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E06DD7" w14:textId="77777777" w:rsidR="00955A27" w:rsidRPr="001667DB" w:rsidRDefault="00955A27" w:rsidP="00955A27">
      <w:pPr>
        <w:spacing w:after="120" w:line="360" w:lineRule="auto"/>
        <w:rPr>
          <w:rFonts w:ascii="Times New Roman" w:hAnsi="Times New Roman" w:cs="Times New Roman"/>
          <w:color w:val="000000" w:themeColor="text1"/>
        </w:rPr>
      </w:pPr>
    </w:p>
    <w:p w14:paraId="6AE29596" w14:textId="77777777" w:rsidR="00955A27" w:rsidRPr="001667DB" w:rsidRDefault="00955A27" w:rsidP="00955A27">
      <w:pPr>
        <w:spacing w:after="120" w:line="360" w:lineRule="auto"/>
        <w:rPr>
          <w:rFonts w:ascii="Times New Roman" w:hAnsi="Times New Roman" w:cs="Times New Roman"/>
          <w:color w:val="000000" w:themeColor="text1"/>
        </w:rPr>
      </w:pPr>
    </w:p>
    <w:p w14:paraId="11919C72" w14:textId="77777777" w:rsidR="00955A27" w:rsidRPr="001667DB" w:rsidRDefault="00955A27" w:rsidP="00955A27">
      <w:pPr>
        <w:spacing w:after="120" w:line="360" w:lineRule="auto"/>
        <w:rPr>
          <w:rFonts w:ascii="Times New Roman" w:hAnsi="Times New Roman" w:cs="Times New Roman"/>
          <w:color w:val="000000" w:themeColor="text1"/>
        </w:rPr>
      </w:pPr>
    </w:p>
    <w:p w14:paraId="1A2B8C1F" w14:textId="77777777" w:rsidR="00955A27" w:rsidRPr="001667DB" w:rsidRDefault="00955A27" w:rsidP="00955A27">
      <w:pPr>
        <w:spacing w:after="120" w:line="360" w:lineRule="auto"/>
        <w:ind w:hanging="10"/>
        <w:jc w:val="center"/>
        <w:rPr>
          <w:rFonts w:ascii="Times New Roman" w:hAnsi="Times New Roman" w:cs="Times New Roman"/>
          <w:b/>
          <w:smallCaps/>
          <w:color w:val="000000" w:themeColor="text1"/>
        </w:rPr>
      </w:pPr>
      <w:r w:rsidRPr="001667DB">
        <w:rPr>
          <w:rFonts w:ascii="Times New Roman" w:hAnsi="Times New Roman" w:cs="Times New Roman"/>
          <w:b/>
          <w:smallCaps/>
          <w:color w:val="000000" w:themeColor="text1"/>
        </w:rPr>
        <w:t xml:space="preserve">SPECYFIKACJA TECHNICZNA WYKONANIA </w:t>
      </w:r>
      <w:r w:rsidRPr="001667DB">
        <w:rPr>
          <w:rFonts w:ascii="Times New Roman" w:hAnsi="Times New Roman" w:cs="Times New Roman"/>
          <w:b/>
          <w:smallCaps/>
          <w:color w:val="000000" w:themeColor="text1"/>
        </w:rPr>
        <w:br/>
        <w:t xml:space="preserve">I ODBIORU ROBÓT BUDOWLANYCH </w:t>
      </w:r>
    </w:p>
    <w:p w14:paraId="13AB3869" w14:textId="77777777" w:rsidR="00955A27" w:rsidRPr="001667DB" w:rsidRDefault="00955A27" w:rsidP="00955A27">
      <w:pPr>
        <w:spacing w:after="120" w:line="360" w:lineRule="auto"/>
        <w:ind w:hanging="10"/>
        <w:jc w:val="center"/>
        <w:rPr>
          <w:rFonts w:ascii="Times New Roman" w:hAnsi="Times New Roman" w:cs="Times New Roman"/>
          <w:b/>
          <w:smallCaps/>
          <w:color w:val="000000" w:themeColor="text1"/>
        </w:rPr>
      </w:pPr>
    </w:p>
    <w:tbl>
      <w:tblPr>
        <w:tblStyle w:val="TableGrid"/>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 w:type="dxa"/>
          <w:left w:w="108" w:type="dxa"/>
          <w:right w:w="94" w:type="dxa"/>
        </w:tblCellMar>
        <w:tblLook w:val="04A0" w:firstRow="1" w:lastRow="0" w:firstColumn="1" w:lastColumn="0" w:noHBand="0" w:noVBand="1"/>
      </w:tblPr>
      <w:tblGrid>
        <w:gridCol w:w="1843"/>
        <w:gridCol w:w="3261"/>
        <w:gridCol w:w="4819"/>
      </w:tblGrid>
      <w:tr w:rsidR="007970D8" w:rsidRPr="001667DB" w14:paraId="438E8645" w14:textId="77777777" w:rsidTr="001B4B8F">
        <w:trPr>
          <w:trHeight w:val="648"/>
        </w:trPr>
        <w:tc>
          <w:tcPr>
            <w:tcW w:w="1843" w:type="dxa"/>
          </w:tcPr>
          <w:p w14:paraId="2A9FE1FF"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Nazwa </w:t>
            </w:r>
          </w:p>
          <w:p w14:paraId="52ADC2E9"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inwestycji: </w:t>
            </w:r>
          </w:p>
        </w:tc>
        <w:tc>
          <w:tcPr>
            <w:tcW w:w="8080" w:type="dxa"/>
            <w:gridSpan w:val="2"/>
            <w:vAlign w:val="center"/>
          </w:tcPr>
          <w:p w14:paraId="6F1B4539" w14:textId="77777777" w:rsidR="007970D8" w:rsidRPr="007970D8" w:rsidRDefault="007970D8" w:rsidP="007970D8">
            <w:pPr>
              <w:rPr>
                <w:rFonts w:ascii="Times New Roman" w:hAnsi="Times New Roman" w:cs="Times New Roman"/>
                <w:b/>
                <w:color w:val="000000" w:themeColor="text1"/>
              </w:rPr>
            </w:pPr>
            <w:r w:rsidRPr="00D14932">
              <w:rPr>
                <w:rFonts w:ascii="Garamond" w:hAnsi="Garamond"/>
                <w:b/>
                <w:sz w:val="20"/>
                <w:szCs w:val="20"/>
              </w:rPr>
              <w:t>„</w:t>
            </w:r>
            <w:r w:rsidRPr="007970D8">
              <w:rPr>
                <w:rFonts w:ascii="Times New Roman" w:hAnsi="Times New Roman" w:cs="Times New Roman"/>
                <w:b/>
                <w:color w:val="000000" w:themeColor="text1"/>
              </w:rPr>
              <w:t>Rozbudowa drogi wojewódzkiej nr 461 w m. Dąbrówka Łubniańska i Łubniany” – Etap I ( km od 9+741,88 do 10+371,13)</w:t>
            </w:r>
          </w:p>
          <w:p w14:paraId="043BA115" w14:textId="77777777" w:rsidR="007970D8" w:rsidRDefault="007970D8" w:rsidP="007970D8">
            <w:pPr>
              <w:rPr>
                <w:rFonts w:ascii="Garamond" w:hAnsi="Garamond"/>
                <w:b/>
                <w:sz w:val="20"/>
                <w:szCs w:val="20"/>
              </w:rPr>
            </w:pPr>
          </w:p>
          <w:p w14:paraId="7E9F6264" w14:textId="77777777" w:rsidR="007970D8" w:rsidRPr="0076283F" w:rsidRDefault="007970D8" w:rsidP="007970D8">
            <w:pPr>
              <w:rPr>
                <w:rFonts w:ascii="Garamond" w:hAnsi="Garamond" w:cs="Garamond,Bold"/>
                <w:b/>
                <w:bCs/>
                <w:sz w:val="20"/>
                <w:szCs w:val="20"/>
              </w:rPr>
            </w:pPr>
          </w:p>
        </w:tc>
      </w:tr>
      <w:tr w:rsidR="007970D8" w:rsidRPr="001667DB" w14:paraId="638FFD10" w14:textId="77777777" w:rsidTr="001B4B8F">
        <w:trPr>
          <w:trHeight w:val="585"/>
        </w:trPr>
        <w:tc>
          <w:tcPr>
            <w:tcW w:w="1843" w:type="dxa"/>
            <w:vAlign w:val="center"/>
          </w:tcPr>
          <w:p w14:paraId="4DC1ED4B"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Adres obiektu</w:t>
            </w:r>
          </w:p>
        </w:tc>
        <w:tc>
          <w:tcPr>
            <w:tcW w:w="3261" w:type="dxa"/>
            <w:vAlign w:val="center"/>
          </w:tcPr>
          <w:p w14:paraId="23B92320" w14:textId="77777777" w:rsidR="007970D8" w:rsidRPr="001667DB" w:rsidRDefault="007970D8" w:rsidP="007970D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Łubniany ul. Opolska, Dąbrówka Łubniańska ul. Oleska</w:t>
            </w:r>
          </w:p>
        </w:tc>
        <w:tc>
          <w:tcPr>
            <w:tcW w:w="4819" w:type="dxa"/>
            <w:vAlign w:val="center"/>
          </w:tcPr>
          <w:p w14:paraId="1085440A" w14:textId="77777777" w:rsidR="007970D8" w:rsidRPr="001667DB" w:rsidRDefault="007970D8" w:rsidP="007970D8">
            <w:pPr>
              <w:spacing w:after="120" w:line="360" w:lineRule="auto"/>
              <w:rPr>
                <w:rFonts w:ascii="Times New Roman" w:hAnsi="Times New Roman" w:cs="Times New Roman"/>
                <w:b/>
                <w:color w:val="000000" w:themeColor="text1"/>
              </w:rPr>
            </w:pPr>
            <w:r w:rsidRPr="00B86EED">
              <w:rPr>
                <w:rFonts w:ascii="Times New Roman" w:hAnsi="Times New Roman" w:cs="Times New Roman"/>
                <w:b/>
                <w:color w:val="000000" w:themeColor="text1"/>
              </w:rPr>
              <w:t>332/4; 444; 446;  391; 443; 392; 442; 393;  440/6; 440/5;  440/4;  440/2; 399; 440/1; 437; 436;  404; 405; 406; 430/1; 411; 412;  415; 414; 468; 420; 185/4;  185/3; 185/7; 388; 398; 387/5; 387/6; 389</w:t>
            </w:r>
          </w:p>
        </w:tc>
      </w:tr>
      <w:tr w:rsidR="007970D8" w:rsidRPr="001667DB" w14:paraId="46F66A8F" w14:textId="77777777" w:rsidTr="001B4B8F">
        <w:trPr>
          <w:trHeight w:val="646"/>
        </w:trPr>
        <w:tc>
          <w:tcPr>
            <w:tcW w:w="1843" w:type="dxa"/>
            <w:vAlign w:val="center"/>
          </w:tcPr>
          <w:p w14:paraId="25EC28F4"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Kat. obiektu budowlanego:</w:t>
            </w:r>
          </w:p>
        </w:tc>
        <w:tc>
          <w:tcPr>
            <w:tcW w:w="8080" w:type="dxa"/>
            <w:gridSpan w:val="2"/>
            <w:vAlign w:val="center"/>
          </w:tcPr>
          <w:p w14:paraId="6FEBDFD2" w14:textId="77777777" w:rsidR="007970D8" w:rsidRPr="001667DB" w:rsidRDefault="007970D8" w:rsidP="007970D8">
            <w:pPr>
              <w:spacing w:after="120" w:line="360" w:lineRule="auto"/>
              <w:rPr>
                <w:rFonts w:ascii="Times New Roman" w:hAnsi="Times New Roman" w:cs="Times New Roman"/>
                <w:b/>
                <w:color w:val="000000" w:themeColor="text1"/>
              </w:rPr>
            </w:pPr>
            <w:r w:rsidRPr="007970D8">
              <w:rPr>
                <w:rFonts w:ascii="Times New Roman" w:hAnsi="Times New Roman" w:cs="Times New Roman"/>
                <w:b/>
                <w:color w:val="000000" w:themeColor="text1"/>
              </w:rPr>
              <w:t>IV, XXV, XXVI</w:t>
            </w:r>
          </w:p>
        </w:tc>
      </w:tr>
      <w:tr w:rsidR="007970D8" w:rsidRPr="001667DB" w14:paraId="634D015F" w14:textId="77777777" w:rsidTr="001B4B8F">
        <w:trPr>
          <w:trHeight w:val="841"/>
        </w:trPr>
        <w:tc>
          <w:tcPr>
            <w:tcW w:w="1843" w:type="dxa"/>
            <w:vAlign w:val="center"/>
          </w:tcPr>
          <w:p w14:paraId="7662BFBF"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Nazwa i adres inwestora: </w:t>
            </w:r>
          </w:p>
        </w:tc>
        <w:tc>
          <w:tcPr>
            <w:tcW w:w="8080" w:type="dxa"/>
            <w:gridSpan w:val="2"/>
            <w:vAlign w:val="center"/>
          </w:tcPr>
          <w:p w14:paraId="4562ED62" w14:textId="77777777" w:rsidR="007970D8" w:rsidRPr="001667DB" w:rsidRDefault="007970D8" w:rsidP="007970D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Zarząd Województwa Opolskiego – Zarząd Dróg Wojewódzkich w Opolu </w:t>
            </w:r>
          </w:p>
          <w:p w14:paraId="7F39B11F" w14:textId="77777777" w:rsidR="007970D8" w:rsidRPr="001667DB" w:rsidRDefault="007970D8" w:rsidP="007970D8">
            <w:pPr>
              <w:spacing w:after="120" w:line="360" w:lineRule="auto"/>
              <w:rPr>
                <w:rFonts w:ascii="Times New Roman" w:hAnsi="Times New Roman" w:cs="Times New Roman"/>
                <w:b/>
                <w:i/>
                <w:color w:val="000000" w:themeColor="text1"/>
              </w:rPr>
            </w:pPr>
            <w:r w:rsidRPr="001667DB">
              <w:rPr>
                <w:rFonts w:ascii="Times New Roman" w:hAnsi="Times New Roman" w:cs="Times New Roman"/>
                <w:b/>
                <w:color w:val="000000" w:themeColor="text1"/>
              </w:rPr>
              <w:t>ul. Oleska 127, 45-231 Opole</w:t>
            </w:r>
            <w:r w:rsidRPr="001667DB">
              <w:rPr>
                <w:rFonts w:ascii="Times New Roman" w:hAnsi="Times New Roman" w:cs="Times New Roman"/>
                <w:color w:val="000000" w:themeColor="text1"/>
              </w:rPr>
              <w:t xml:space="preserve">    </w:t>
            </w:r>
          </w:p>
        </w:tc>
      </w:tr>
      <w:tr w:rsidR="007970D8" w:rsidRPr="001667DB" w14:paraId="2649824B" w14:textId="77777777" w:rsidTr="001B4B8F">
        <w:trPr>
          <w:trHeight w:val="625"/>
        </w:trPr>
        <w:tc>
          <w:tcPr>
            <w:tcW w:w="1843" w:type="dxa"/>
            <w:vAlign w:val="center"/>
          </w:tcPr>
          <w:p w14:paraId="1C3A9752" w14:textId="77777777" w:rsidR="007970D8" w:rsidRPr="001667DB" w:rsidRDefault="007970D8" w:rsidP="007970D8">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Nazwa i adres jednostki projektowej: </w:t>
            </w:r>
          </w:p>
        </w:tc>
        <w:tc>
          <w:tcPr>
            <w:tcW w:w="8080" w:type="dxa"/>
            <w:gridSpan w:val="2"/>
            <w:vAlign w:val="center"/>
          </w:tcPr>
          <w:p w14:paraId="0ECBD74B" w14:textId="77777777" w:rsidR="007970D8" w:rsidRPr="001667DB" w:rsidRDefault="007970D8" w:rsidP="007970D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DMK Inżynieria Sp. z o.o.,  </w:t>
            </w:r>
          </w:p>
          <w:p w14:paraId="3D0F1C0F" w14:textId="77777777" w:rsidR="007970D8" w:rsidRPr="001667DB" w:rsidRDefault="007970D8" w:rsidP="007970D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ul. Kościuszki 64/7 </w:t>
            </w:r>
          </w:p>
          <w:p w14:paraId="07B42DB1" w14:textId="77777777" w:rsidR="007970D8" w:rsidRPr="001667DB" w:rsidRDefault="007970D8" w:rsidP="007970D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44 – 200 Rybnik </w:t>
            </w:r>
          </w:p>
        </w:tc>
      </w:tr>
    </w:tbl>
    <w:p w14:paraId="6D184A6A" w14:textId="77777777" w:rsidR="00955A27" w:rsidRPr="001667DB" w:rsidRDefault="00955A27" w:rsidP="00955A27">
      <w:pPr>
        <w:tabs>
          <w:tab w:val="left" w:pos="5948"/>
        </w:tabs>
        <w:spacing w:after="120" w:line="360" w:lineRule="auto"/>
        <w:rPr>
          <w:rFonts w:ascii="Times New Roman" w:hAnsi="Times New Roman" w:cs="Times New Roman"/>
          <w:color w:val="000000" w:themeColor="text1"/>
        </w:rPr>
      </w:pPr>
    </w:p>
    <w:p w14:paraId="57EBB62C" w14:textId="77777777" w:rsidR="00955A27" w:rsidRPr="001667DB" w:rsidRDefault="00955A27" w:rsidP="00955A27">
      <w:pPr>
        <w:tabs>
          <w:tab w:val="left" w:pos="5948"/>
        </w:tabs>
        <w:spacing w:after="120" w:line="360" w:lineRule="auto"/>
        <w:rPr>
          <w:rFonts w:ascii="Times New Roman" w:hAnsi="Times New Roman" w:cs="Times New Roman"/>
          <w:color w:val="000000" w:themeColor="text1"/>
        </w:rPr>
      </w:pPr>
    </w:p>
    <w:tbl>
      <w:tblPr>
        <w:tblStyle w:val="TableGrid"/>
        <w:tblW w:w="9958" w:type="dxa"/>
        <w:tblInd w:w="-182" w:type="dxa"/>
        <w:tblCellMar>
          <w:left w:w="70" w:type="dxa"/>
        </w:tblCellMar>
        <w:tblLook w:val="04A0" w:firstRow="1" w:lastRow="0" w:firstColumn="1" w:lastColumn="0" w:noHBand="0" w:noVBand="1"/>
      </w:tblPr>
      <w:tblGrid>
        <w:gridCol w:w="1638"/>
        <w:gridCol w:w="4563"/>
        <w:gridCol w:w="1534"/>
        <w:gridCol w:w="2223"/>
      </w:tblGrid>
      <w:tr w:rsidR="00955A27" w:rsidRPr="001667DB" w14:paraId="79ECDD03" w14:textId="77777777" w:rsidTr="001B4B8F">
        <w:trPr>
          <w:trHeight w:val="567"/>
        </w:trPr>
        <w:tc>
          <w:tcPr>
            <w:tcW w:w="1638" w:type="dxa"/>
            <w:tcBorders>
              <w:top w:val="single" w:sz="4" w:space="0" w:color="000000"/>
              <w:left w:val="single" w:sz="4" w:space="0" w:color="000000"/>
              <w:bottom w:val="single" w:sz="4" w:space="0" w:color="000000"/>
              <w:right w:val="single" w:sz="4" w:space="0" w:color="000000"/>
            </w:tcBorders>
            <w:vAlign w:val="center"/>
          </w:tcPr>
          <w:p w14:paraId="08B8A4F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FUNKCJA</w:t>
            </w:r>
          </w:p>
        </w:tc>
        <w:tc>
          <w:tcPr>
            <w:tcW w:w="4563" w:type="dxa"/>
            <w:tcBorders>
              <w:top w:val="single" w:sz="4" w:space="0" w:color="000000"/>
              <w:left w:val="single" w:sz="4" w:space="0" w:color="000000"/>
              <w:bottom w:val="single" w:sz="4" w:space="0" w:color="000000"/>
              <w:right w:val="single" w:sz="4" w:space="0" w:color="000000"/>
            </w:tcBorders>
            <w:vAlign w:val="center"/>
          </w:tcPr>
          <w:p w14:paraId="2E9CFEDB"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IMIĘ I NAZWISKO</w:t>
            </w:r>
          </w:p>
        </w:tc>
        <w:tc>
          <w:tcPr>
            <w:tcW w:w="1534" w:type="dxa"/>
            <w:tcBorders>
              <w:top w:val="single" w:sz="4" w:space="0" w:color="000000"/>
              <w:left w:val="single" w:sz="4" w:space="0" w:color="000000"/>
              <w:bottom w:val="single" w:sz="4" w:space="0" w:color="000000"/>
              <w:right w:val="single" w:sz="4" w:space="0" w:color="000000"/>
            </w:tcBorders>
            <w:vAlign w:val="center"/>
          </w:tcPr>
          <w:p w14:paraId="57E9E5B5"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PODPIS</w:t>
            </w:r>
          </w:p>
        </w:tc>
        <w:tc>
          <w:tcPr>
            <w:tcW w:w="2223" w:type="dxa"/>
            <w:tcBorders>
              <w:top w:val="single" w:sz="4" w:space="0" w:color="000000"/>
              <w:left w:val="single" w:sz="4" w:space="0" w:color="000000"/>
              <w:bottom w:val="single" w:sz="4" w:space="0" w:color="000000"/>
              <w:right w:val="single" w:sz="4" w:space="0" w:color="000000"/>
            </w:tcBorders>
            <w:vAlign w:val="center"/>
          </w:tcPr>
          <w:p w14:paraId="431E3BE7"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DATA</w:t>
            </w:r>
          </w:p>
        </w:tc>
      </w:tr>
      <w:tr w:rsidR="00955A27" w:rsidRPr="001667DB" w14:paraId="0D17D484" w14:textId="77777777" w:rsidTr="001B4B8F">
        <w:trPr>
          <w:trHeight w:val="567"/>
        </w:trPr>
        <w:tc>
          <w:tcPr>
            <w:tcW w:w="1638" w:type="dxa"/>
            <w:tcBorders>
              <w:top w:val="single" w:sz="4" w:space="0" w:color="000000"/>
              <w:left w:val="single" w:sz="4" w:space="0" w:color="000000"/>
              <w:bottom w:val="single" w:sz="4" w:space="0" w:color="000000"/>
              <w:right w:val="single" w:sz="4" w:space="0" w:color="000000"/>
            </w:tcBorders>
            <w:vAlign w:val="center"/>
          </w:tcPr>
          <w:p w14:paraId="0EE7C2F7"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OPRACOWAŁ</w:t>
            </w:r>
          </w:p>
        </w:tc>
        <w:tc>
          <w:tcPr>
            <w:tcW w:w="4563" w:type="dxa"/>
            <w:tcBorders>
              <w:top w:val="single" w:sz="4" w:space="0" w:color="000000"/>
              <w:left w:val="single" w:sz="4" w:space="0" w:color="000000"/>
              <w:bottom w:val="single" w:sz="4" w:space="0" w:color="000000"/>
              <w:right w:val="single" w:sz="4" w:space="0" w:color="000000"/>
            </w:tcBorders>
            <w:vAlign w:val="center"/>
          </w:tcPr>
          <w:p w14:paraId="6C2F2F68" w14:textId="77777777" w:rsidR="00955A27" w:rsidRPr="001667DB" w:rsidRDefault="00955A27" w:rsidP="00955A27">
            <w:pPr>
              <w:spacing w:after="120" w:line="360" w:lineRule="auto"/>
              <w:rPr>
                <w:rFonts w:ascii="Times New Roman" w:eastAsia="Garamond" w:hAnsi="Times New Roman" w:cs="Times New Roman"/>
                <w:color w:val="000000" w:themeColor="text1"/>
              </w:rPr>
            </w:pPr>
            <w:r w:rsidRPr="001667DB">
              <w:rPr>
                <w:rFonts w:ascii="Times New Roman" w:eastAsia="Garamond" w:hAnsi="Times New Roman" w:cs="Times New Roman"/>
                <w:color w:val="000000" w:themeColor="text1"/>
              </w:rPr>
              <w:t>mgr inż. Dariusz</w:t>
            </w:r>
            <w:r w:rsidRPr="001667DB">
              <w:rPr>
                <w:rFonts w:ascii="Times New Roman" w:eastAsia="Garamond" w:hAnsi="Times New Roman" w:cs="Times New Roman"/>
                <w:b/>
                <w:color w:val="000000" w:themeColor="text1"/>
              </w:rPr>
              <w:t xml:space="preserve"> Postuła </w:t>
            </w:r>
          </w:p>
        </w:tc>
        <w:tc>
          <w:tcPr>
            <w:tcW w:w="1534" w:type="dxa"/>
            <w:tcBorders>
              <w:top w:val="single" w:sz="4" w:space="0" w:color="000000"/>
              <w:left w:val="single" w:sz="4" w:space="0" w:color="000000"/>
              <w:bottom w:val="single" w:sz="4" w:space="0" w:color="000000"/>
              <w:right w:val="single" w:sz="4" w:space="0" w:color="000000"/>
            </w:tcBorders>
            <w:vAlign w:val="center"/>
          </w:tcPr>
          <w:p w14:paraId="693A930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23" w:type="dxa"/>
            <w:tcBorders>
              <w:top w:val="single" w:sz="4" w:space="0" w:color="000000"/>
              <w:left w:val="single" w:sz="4" w:space="0" w:color="000000"/>
              <w:bottom w:val="single" w:sz="4" w:space="0" w:color="000000"/>
              <w:right w:val="single" w:sz="4" w:space="0" w:color="000000"/>
            </w:tcBorders>
            <w:vAlign w:val="center"/>
          </w:tcPr>
          <w:p w14:paraId="07276344" w14:textId="77777777" w:rsidR="00955A27" w:rsidRPr="001667DB" w:rsidRDefault="00B86EED"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09.2022</w:t>
            </w:r>
          </w:p>
        </w:tc>
      </w:tr>
      <w:tr w:rsidR="00955A27" w:rsidRPr="001667DB" w14:paraId="7D1E63EA" w14:textId="77777777" w:rsidTr="00E01206">
        <w:trPr>
          <w:trHeight w:val="598"/>
        </w:trPr>
        <w:tc>
          <w:tcPr>
            <w:tcW w:w="1638" w:type="dxa"/>
            <w:tcBorders>
              <w:top w:val="single" w:sz="4" w:space="0" w:color="000000"/>
              <w:left w:val="single" w:sz="4" w:space="0" w:color="000000"/>
              <w:bottom w:val="single" w:sz="4" w:space="0" w:color="000000"/>
              <w:right w:val="single" w:sz="4" w:space="0" w:color="000000"/>
            </w:tcBorders>
            <w:vAlign w:val="center"/>
          </w:tcPr>
          <w:p w14:paraId="664070E4"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OPRACOWAŁ</w:t>
            </w:r>
          </w:p>
        </w:tc>
        <w:tc>
          <w:tcPr>
            <w:tcW w:w="4563" w:type="dxa"/>
            <w:tcBorders>
              <w:top w:val="single" w:sz="4" w:space="0" w:color="000000"/>
              <w:left w:val="single" w:sz="4" w:space="0" w:color="000000"/>
              <w:bottom w:val="single" w:sz="4" w:space="0" w:color="000000"/>
              <w:right w:val="single" w:sz="4" w:space="0" w:color="000000"/>
            </w:tcBorders>
            <w:vAlign w:val="center"/>
          </w:tcPr>
          <w:p w14:paraId="5137C9B9" w14:textId="77777777" w:rsidR="00955A27" w:rsidRPr="001667DB" w:rsidRDefault="00955A27" w:rsidP="00955A27">
            <w:pPr>
              <w:spacing w:after="120" w:line="360" w:lineRule="auto"/>
              <w:rPr>
                <w:rFonts w:ascii="Times New Roman" w:eastAsia="Garamond" w:hAnsi="Times New Roman" w:cs="Times New Roman"/>
                <w:color w:val="000000" w:themeColor="text1"/>
              </w:rPr>
            </w:pPr>
            <w:r w:rsidRPr="001667DB">
              <w:rPr>
                <w:rFonts w:ascii="Times New Roman" w:eastAsia="Garamond" w:hAnsi="Times New Roman" w:cs="Times New Roman"/>
                <w:color w:val="000000" w:themeColor="text1"/>
              </w:rPr>
              <w:t xml:space="preserve">mgr inż. Daniel </w:t>
            </w:r>
            <w:r w:rsidRPr="001667DB">
              <w:rPr>
                <w:rFonts w:ascii="Times New Roman" w:eastAsia="Garamond" w:hAnsi="Times New Roman" w:cs="Times New Roman"/>
                <w:b/>
                <w:color w:val="000000" w:themeColor="text1"/>
              </w:rPr>
              <w:t xml:space="preserve">Lasak </w:t>
            </w:r>
          </w:p>
        </w:tc>
        <w:tc>
          <w:tcPr>
            <w:tcW w:w="1534" w:type="dxa"/>
            <w:tcBorders>
              <w:top w:val="single" w:sz="4" w:space="0" w:color="000000"/>
              <w:left w:val="single" w:sz="4" w:space="0" w:color="000000"/>
              <w:bottom w:val="single" w:sz="4" w:space="0" w:color="000000"/>
              <w:right w:val="single" w:sz="4" w:space="0" w:color="000000"/>
            </w:tcBorders>
            <w:vAlign w:val="center"/>
          </w:tcPr>
          <w:p w14:paraId="6442917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23" w:type="dxa"/>
            <w:tcBorders>
              <w:top w:val="single" w:sz="4" w:space="0" w:color="000000"/>
              <w:left w:val="single" w:sz="4" w:space="0" w:color="000000"/>
              <w:bottom w:val="single" w:sz="4" w:space="0" w:color="000000"/>
              <w:right w:val="single" w:sz="4" w:space="0" w:color="000000"/>
            </w:tcBorders>
            <w:vAlign w:val="center"/>
          </w:tcPr>
          <w:p w14:paraId="68D2E169" w14:textId="77777777" w:rsidR="00955A27" w:rsidRPr="001667DB" w:rsidRDefault="00B86EED"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09.2022</w:t>
            </w:r>
          </w:p>
        </w:tc>
      </w:tr>
      <w:tr w:rsidR="00955A27" w:rsidRPr="001667DB" w14:paraId="44EEE928" w14:textId="77777777" w:rsidTr="001B4B8F">
        <w:trPr>
          <w:trHeight w:val="567"/>
        </w:trPr>
        <w:tc>
          <w:tcPr>
            <w:tcW w:w="1638" w:type="dxa"/>
            <w:tcBorders>
              <w:top w:val="single" w:sz="4" w:space="0" w:color="000000"/>
              <w:left w:val="single" w:sz="4" w:space="0" w:color="000000"/>
              <w:bottom w:val="single" w:sz="4" w:space="0" w:color="000000"/>
              <w:right w:val="single" w:sz="4" w:space="0" w:color="000000"/>
            </w:tcBorders>
            <w:vAlign w:val="center"/>
          </w:tcPr>
          <w:p w14:paraId="11EC01FF"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OPRACOWAŁ</w:t>
            </w:r>
          </w:p>
        </w:tc>
        <w:tc>
          <w:tcPr>
            <w:tcW w:w="4563" w:type="dxa"/>
            <w:tcBorders>
              <w:top w:val="single" w:sz="4" w:space="0" w:color="000000"/>
              <w:left w:val="single" w:sz="4" w:space="0" w:color="000000"/>
              <w:bottom w:val="single" w:sz="4" w:space="0" w:color="000000"/>
              <w:right w:val="single" w:sz="4" w:space="0" w:color="000000"/>
            </w:tcBorders>
            <w:vAlign w:val="center"/>
          </w:tcPr>
          <w:p w14:paraId="26153C06" w14:textId="77777777" w:rsidR="00955A27" w:rsidRPr="001667DB" w:rsidRDefault="00955A27" w:rsidP="00955A27">
            <w:pPr>
              <w:spacing w:after="120" w:line="360" w:lineRule="auto"/>
              <w:rPr>
                <w:rFonts w:ascii="Times New Roman" w:eastAsia="Garamond" w:hAnsi="Times New Roman" w:cs="Times New Roman"/>
                <w:color w:val="000000" w:themeColor="text1"/>
              </w:rPr>
            </w:pPr>
            <w:r w:rsidRPr="001667DB">
              <w:rPr>
                <w:rFonts w:ascii="Times New Roman" w:eastAsia="Garamond" w:hAnsi="Times New Roman" w:cs="Times New Roman"/>
                <w:color w:val="000000" w:themeColor="text1"/>
              </w:rPr>
              <w:t xml:space="preserve">inż. Sebastian </w:t>
            </w:r>
            <w:r w:rsidRPr="001667DB">
              <w:rPr>
                <w:rFonts w:ascii="Times New Roman" w:eastAsia="Garamond" w:hAnsi="Times New Roman" w:cs="Times New Roman"/>
                <w:b/>
                <w:color w:val="000000" w:themeColor="text1"/>
              </w:rPr>
              <w:t xml:space="preserve">Ostręga </w:t>
            </w:r>
          </w:p>
        </w:tc>
        <w:tc>
          <w:tcPr>
            <w:tcW w:w="1534" w:type="dxa"/>
            <w:tcBorders>
              <w:top w:val="single" w:sz="4" w:space="0" w:color="000000"/>
              <w:left w:val="single" w:sz="4" w:space="0" w:color="000000"/>
              <w:bottom w:val="single" w:sz="4" w:space="0" w:color="000000"/>
              <w:right w:val="single" w:sz="4" w:space="0" w:color="000000"/>
            </w:tcBorders>
            <w:vAlign w:val="center"/>
          </w:tcPr>
          <w:p w14:paraId="17AC885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23" w:type="dxa"/>
            <w:tcBorders>
              <w:top w:val="single" w:sz="4" w:space="0" w:color="000000"/>
              <w:left w:val="single" w:sz="4" w:space="0" w:color="000000"/>
              <w:bottom w:val="single" w:sz="4" w:space="0" w:color="000000"/>
              <w:right w:val="single" w:sz="4" w:space="0" w:color="000000"/>
            </w:tcBorders>
            <w:vAlign w:val="center"/>
          </w:tcPr>
          <w:p w14:paraId="50F793D3" w14:textId="77777777" w:rsidR="00955A27" w:rsidRPr="001667DB" w:rsidRDefault="00B86EED"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09</w:t>
            </w:r>
            <w:r w:rsidR="00955A27" w:rsidRPr="001667DB">
              <w:rPr>
                <w:rFonts w:ascii="Times New Roman" w:hAnsi="Times New Roman" w:cs="Times New Roman"/>
                <w:color w:val="000000" w:themeColor="text1"/>
              </w:rPr>
              <w:t>.2021</w:t>
            </w:r>
          </w:p>
        </w:tc>
      </w:tr>
    </w:tbl>
    <w:p w14:paraId="1C7385C4" w14:textId="77777777" w:rsidR="00955A27" w:rsidRPr="001667DB" w:rsidRDefault="00955A27" w:rsidP="00955A27">
      <w:pPr>
        <w:spacing w:after="120" w:line="360" w:lineRule="auto"/>
        <w:rPr>
          <w:rFonts w:ascii="Times New Roman" w:hAnsi="Times New Roman" w:cs="Times New Roman"/>
          <w:color w:val="000000" w:themeColor="text1"/>
        </w:rPr>
      </w:pPr>
    </w:p>
    <w:p w14:paraId="16DF68B4" w14:textId="77777777" w:rsidR="00955A27" w:rsidRPr="001667DB" w:rsidRDefault="00955A27" w:rsidP="00955A27">
      <w:pPr>
        <w:pStyle w:val="Nagwek1"/>
        <w:spacing w:before="0" w:line="360" w:lineRule="auto"/>
        <w:rPr>
          <w:color w:val="000000" w:themeColor="text1"/>
          <w:sz w:val="22"/>
          <w:szCs w:val="22"/>
          <w:lang w:val="pl-PL"/>
        </w:rPr>
      </w:pPr>
      <w:bookmarkStart w:id="0" w:name="_Toc7658806"/>
      <w:r w:rsidRPr="001667DB">
        <w:rPr>
          <w:color w:val="000000" w:themeColor="text1"/>
          <w:sz w:val="22"/>
          <w:szCs w:val="22"/>
          <w:lang w:val="pl-PL"/>
        </w:rPr>
        <w:lastRenderedPageBreak/>
        <w:t>D.00.00.00.</w:t>
      </w:r>
      <w:r w:rsidRPr="001667DB">
        <w:rPr>
          <w:color w:val="000000" w:themeColor="text1"/>
          <w:sz w:val="22"/>
          <w:szCs w:val="22"/>
          <w:lang w:val="pl-PL"/>
        </w:rPr>
        <w:tab/>
      </w:r>
      <w:r w:rsidRPr="001667DB">
        <w:rPr>
          <w:color w:val="000000" w:themeColor="text1"/>
          <w:sz w:val="22"/>
          <w:szCs w:val="22"/>
          <w:lang w:val="pl-PL"/>
        </w:rPr>
        <w:tab/>
        <w:t>WYMAGANIA OGÓLNE</w:t>
      </w:r>
      <w:bookmarkEnd w:id="0"/>
    </w:p>
    <w:p w14:paraId="13C07339" w14:textId="77777777" w:rsidR="00955A27" w:rsidRPr="001667DB" w:rsidRDefault="00955A27" w:rsidP="00955A27">
      <w:pPr>
        <w:pStyle w:val="Nagwek1"/>
        <w:numPr>
          <w:ilvl w:val="0"/>
          <w:numId w:val="1"/>
        </w:numPr>
        <w:tabs>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rPr>
          <w:color w:val="000000" w:themeColor="text1"/>
          <w:sz w:val="22"/>
          <w:szCs w:val="22"/>
          <w:lang w:val="pl-PL"/>
        </w:rPr>
      </w:pPr>
      <w:bookmarkStart w:id="1" w:name="_Toc476391133"/>
      <w:bookmarkStart w:id="2" w:name="_Toc7658807"/>
      <w:r w:rsidRPr="001667DB">
        <w:rPr>
          <w:color w:val="000000" w:themeColor="text1"/>
          <w:sz w:val="22"/>
          <w:szCs w:val="22"/>
          <w:lang w:val="pl-PL"/>
        </w:rPr>
        <w:t>WSTĘP</w:t>
      </w:r>
      <w:bookmarkEnd w:id="1"/>
      <w:bookmarkEnd w:id="2"/>
    </w:p>
    <w:p w14:paraId="5910FD2A" w14:textId="77777777" w:rsidR="00955A27" w:rsidRPr="001667DB" w:rsidRDefault="00955A27" w:rsidP="00955A27">
      <w:pPr>
        <w:pStyle w:val="Nagwek2"/>
        <w:numPr>
          <w:ilvl w:val="1"/>
          <w:numId w:val="1"/>
        </w:numPr>
        <w:tabs>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rPr>
          <w:color w:val="000000" w:themeColor="text1"/>
          <w:sz w:val="22"/>
          <w:szCs w:val="22"/>
          <w:u w:val="none"/>
        </w:rPr>
      </w:pPr>
      <w:bookmarkStart w:id="3" w:name="_Toc476391134"/>
      <w:bookmarkStart w:id="4" w:name="_Toc7658808"/>
      <w:r w:rsidRPr="001667DB">
        <w:rPr>
          <w:color w:val="000000" w:themeColor="text1"/>
          <w:sz w:val="22"/>
          <w:szCs w:val="22"/>
          <w:u w:val="none"/>
        </w:rPr>
        <w:t>Przedmiot Specyfikacji Technicznej</w:t>
      </w:r>
      <w:bookmarkEnd w:id="3"/>
      <w:bookmarkEnd w:id="4"/>
    </w:p>
    <w:p w14:paraId="7BCD1B95" w14:textId="77777777" w:rsidR="000D3174" w:rsidRPr="007970D8" w:rsidRDefault="00955A27" w:rsidP="000D3174">
      <w:pPr>
        <w:rPr>
          <w:rFonts w:ascii="Times New Roman" w:hAnsi="Times New Roman" w:cs="Times New Roman"/>
          <w:b/>
          <w:color w:val="000000" w:themeColor="text1"/>
        </w:rPr>
      </w:pPr>
      <w:bookmarkStart w:id="5" w:name="_Toc476391135"/>
      <w:bookmarkStart w:id="6" w:name="_Toc7658809"/>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xml:space="preserve">Przedmiotem niniejszej Specyfikacji Technicznej są wymagania dotyczące wykonania i odbioru robót w ramach realizacji zadania: </w:t>
      </w:r>
      <w:r w:rsidRPr="001667DB">
        <w:rPr>
          <w:rFonts w:ascii="Times New Roman" w:hAnsi="Times New Roman" w:cs="Times New Roman"/>
          <w:b/>
          <w:color w:val="000000" w:themeColor="text1"/>
        </w:rPr>
        <w:t xml:space="preserve"> </w:t>
      </w:r>
      <w:r w:rsidR="000D3174" w:rsidRPr="00D14932">
        <w:rPr>
          <w:rFonts w:ascii="Garamond" w:hAnsi="Garamond"/>
          <w:b/>
          <w:sz w:val="20"/>
          <w:szCs w:val="20"/>
        </w:rPr>
        <w:t>„</w:t>
      </w:r>
      <w:r w:rsidR="000D3174" w:rsidRPr="007970D8">
        <w:rPr>
          <w:rFonts w:ascii="Times New Roman" w:hAnsi="Times New Roman" w:cs="Times New Roman"/>
          <w:b/>
          <w:color w:val="000000" w:themeColor="text1"/>
        </w:rPr>
        <w:t>Rozbudowa drogi wojewódzkiej nr 461 w m. Dąbrówka Łubniańska i Łubniany” – Etap I ( km od 9+741,88 do 10+371,13)</w:t>
      </w:r>
    </w:p>
    <w:p w14:paraId="06A80F7B" w14:textId="77777777" w:rsidR="00955A27" w:rsidRPr="001667DB" w:rsidRDefault="00955A27" w:rsidP="00955A27">
      <w:pPr>
        <w:pStyle w:val="Nagwek2"/>
        <w:numPr>
          <w:ilvl w:val="1"/>
          <w:numId w:val="1"/>
        </w:numPr>
        <w:tabs>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rPr>
          <w:color w:val="000000" w:themeColor="text1"/>
          <w:sz w:val="22"/>
          <w:szCs w:val="22"/>
          <w:u w:val="none"/>
        </w:rPr>
      </w:pPr>
      <w:r w:rsidRPr="001667DB">
        <w:rPr>
          <w:color w:val="000000" w:themeColor="text1"/>
          <w:sz w:val="22"/>
          <w:szCs w:val="22"/>
          <w:u w:val="none"/>
        </w:rPr>
        <w:t>Zakres stosowania ST</w:t>
      </w:r>
      <w:bookmarkEnd w:id="5"/>
      <w:bookmarkEnd w:id="6"/>
    </w:p>
    <w:p w14:paraId="786687F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r>
      <w:r w:rsidRPr="001667DB">
        <w:rPr>
          <w:color w:val="000000" w:themeColor="text1"/>
          <w:sz w:val="22"/>
          <w:szCs w:val="22"/>
        </w:rPr>
        <w:tab/>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w:t>
      </w:r>
      <w:r w:rsidR="0078381C">
        <w:rPr>
          <w:color w:val="000000" w:themeColor="text1"/>
          <w:sz w:val="22"/>
          <w:szCs w:val="22"/>
        </w:rPr>
        <w:t>f</w:t>
      </w:r>
      <w:r w:rsidRPr="001667DB">
        <w:rPr>
          <w:color w:val="000000" w:themeColor="text1"/>
          <w:sz w:val="22"/>
          <w:szCs w:val="22"/>
        </w:rPr>
        <w:t>opisanych w podpunkcie 1.1.</w:t>
      </w:r>
    </w:p>
    <w:p w14:paraId="107B2E55"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7" w:name="_Toc476391136"/>
      <w:bookmarkStart w:id="8" w:name="_Toc7658810"/>
      <w:r w:rsidRPr="001667DB">
        <w:rPr>
          <w:color w:val="000000" w:themeColor="text1"/>
          <w:sz w:val="22"/>
          <w:szCs w:val="22"/>
          <w:u w:val="none"/>
        </w:rPr>
        <w:t>Zakres Robót objętych ST</w:t>
      </w:r>
      <w:bookmarkEnd w:id="7"/>
      <w:bookmarkEnd w:id="8"/>
    </w:p>
    <w:p w14:paraId="60AD2275" w14:textId="77777777" w:rsidR="007970D8" w:rsidRPr="00D14932" w:rsidRDefault="00955A27" w:rsidP="007970D8">
      <w:pPr>
        <w:rPr>
          <w:rFonts w:ascii="Garamond" w:hAnsi="Garamond"/>
          <w:b/>
          <w:sz w:val="20"/>
          <w:szCs w:val="20"/>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Zakres robót obejmuje roboty związane z wykonaniem zadania:</w:t>
      </w:r>
      <w:r w:rsidR="007970D8" w:rsidRPr="007970D8">
        <w:rPr>
          <w:rFonts w:ascii="Garamond" w:hAnsi="Garamond"/>
          <w:b/>
          <w:sz w:val="20"/>
          <w:szCs w:val="20"/>
        </w:rPr>
        <w:t xml:space="preserve"> </w:t>
      </w:r>
      <w:r w:rsidR="007970D8" w:rsidRPr="007970D8">
        <w:rPr>
          <w:rFonts w:ascii="Times New Roman" w:hAnsi="Times New Roman" w:cs="Times New Roman"/>
          <w:b/>
          <w:color w:val="000000" w:themeColor="text1"/>
        </w:rPr>
        <w:t>„Rozbudowa drogi wojewódzkiej nr 461 w m. Dąbrówka Łubniańska i Łubniany” – Etap I ( km od 9+741,88 do 10+371,13)</w:t>
      </w:r>
    </w:p>
    <w:p w14:paraId="6D0FC974" w14:textId="77777777" w:rsidR="00955A27" w:rsidRPr="001667DB" w:rsidRDefault="00955A27" w:rsidP="00955A27">
      <w:pPr>
        <w:pStyle w:val="Lista"/>
        <w:numPr>
          <w:ilvl w:val="2"/>
          <w:numId w:val="1"/>
        </w:numPr>
        <w:spacing w:after="120" w:line="360" w:lineRule="auto"/>
        <w:rPr>
          <w:color w:val="000000" w:themeColor="text1"/>
          <w:sz w:val="22"/>
          <w:szCs w:val="22"/>
        </w:rPr>
      </w:pPr>
      <w:r w:rsidRPr="001667DB">
        <w:rPr>
          <w:color w:val="000000" w:themeColor="text1"/>
          <w:sz w:val="22"/>
          <w:szCs w:val="22"/>
        </w:rPr>
        <w:t>Wymagania ogólne należy rozumieć i stosować w powiązaniu z niżej wymienionymi Specyfikacjami Technicznymi:</w:t>
      </w:r>
    </w:p>
    <w:tbl>
      <w:tblPr>
        <w:tblW w:w="8410" w:type="dxa"/>
        <w:jc w:val="center"/>
        <w:tblBorders>
          <w:top w:val="single" w:sz="12" w:space="0" w:color="000000"/>
          <w:bottom w:val="single" w:sz="12" w:space="0" w:color="000000"/>
        </w:tblBorders>
        <w:tblLayout w:type="fixed"/>
        <w:tblLook w:val="04A0" w:firstRow="1" w:lastRow="0" w:firstColumn="1" w:lastColumn="0" w:noHBand="0" w:noVBand="1"/>
      </w:tblPr>
      <w:tblGrid>
        <w:gridCol w:w="1545"/>
        <w:gridCol w:w="5953"/>
        <w:gridCol w:w="912"/>
      </w:tblGrid>
      <w:tr w:rsidR="00955A27" w:rsidRPr="001667DB" w14:paraId="3506C8E9" w14:textId="77777777" w:rsidTr="001B4B8F">
        <w:trPr>
          <w:trHeight w:val="48"/>
          <w:jc w:val="center"/>
        </w:trPr>
        <w:tc>
          <w:tcPr>
            <w:tcW w:w="8410" w:type="dxa"/>
            <w:gridSpan w:val="3"/>
            <w:tcBorders>
              <w:top w:val="single" w:sz="12" w:space="0" w:color="000000"/>
              <w:left w:val="single" w:sz="12" w:space="0" w:color="000000"/>
              <w:bottom w:val="single" w:sz="12" w:space="0" w:color="000000"/>
              <w:right w:val="single" w:sz="12" w:space="0" w:color="000000"/>
            </w:tcBorders>
            <w:shd w:val="solid" w:color="BFBFBF" w:fill="FFFFFF"/>
            <w:vAlign w:val="center"/>
          </w:tcPr>
          <w:p w14:paraId="11B05703"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CZĘŚĆ DROGOWA</w:t>
            </w:r>
          </w:p>
        </w:tc>
      </w:tr>
      <w:tr w:rsidR="00955A27" w:rsidRPr="001667DB" w14:paraId="3EEC1F63" w14:textId="77777777" w:rsidTr="00910DF5">
        <w:trPr>
          <w:trHeight w:val="232"/>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60565CAC" w14:textId="77777777" w:rsidR="00955A27" w:rsidRPr="001667DB" w:rsidRDefault="00910DF5"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DM.00.00.00</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6C2E1E01"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WYMAGANIA OGÓLNE</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041FF4E" w14:textId="77777777" w:rsidR="00955A27" w:rsidRPr="001667DB" w:rsidRDefault="00243D2B" w:rsidP="00955A27">
            <w:pPr>
              <w:spacing w:after="120" w:line="360" w:lineRule="auto"/>
              <w:jc w:val="center"/>
              <w:rPr>
                <w:rFonts w:ascii="Times New Roman" w:hAnsi="Times New Roman" w:cs="Times New Roman"/>
                <w:b/>
                <w:bCs/>
                <w:color w:val="000000" w:themeColor="text1"/>
              </w:rPr>
            </w:pPr>
            <w:r w:rsidRPr="001667DB">
              <w:rPr>
                <w:rFonts w:ascii="Times New Roman" w:hAnsi="Times New Roman" w:cs="Times New Roman"/>
                <w:b/>
                <w:bCs/>
                <w:color w:val="000000" w:themeColor="text1"/>
              </w:rPr>
              <w:t>02</w:t>
            </w:r>
          </w:p>
        </w:tc>
      </w:tr>
      <w:tr w:rsidR="00955A27" w:rsidRPr="001667DB" w14:paraId="35D77F8B"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037D00D2"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D.01.00.00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6D952252"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ROBOTY PRZYGOTOWAWCZE</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0D52A02C" w14:textId="77777777" w:rsidR="00955A27" w:rsidRPr="001667DB" w:rsidRDefault="00955A27" w:rsidP="00955A27">
            <w:pPr>
              <w:spacing w:after="120" w:line="360" w:lineRule="auto"/>
              <w:rPr>
                <w:rFonts w:ascii="Times New Roman" w:hAnsi="Times New Roman" w:cs="Times New Roman"/>
                <w:b/>
                <w:bCs/>
                <w:color w:val="000000" w:themeColor="text1"/>
              </w:rPr>
            </w:pPr>
          </w:p>
        </w:tc>
      </w:tr>
      <w:tr w:rsidR="00955A27" w:rsidRPr="001667DB" w14:paraId="6B90FAEC"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2744BCE2" w14:textId="77777777" w:rsidR="00955A27" w:rsidRPr="001667DB" w:rsidRDefault="0026402B"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D.01.01.01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30EE539"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Odtworzenie trasy i punktów wysokościowych</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3D7C7B3F" w14:textId="77777777" w:rsidR="00955A27" w:rsidRPr="001667DB" w:rsidRDefault="00D15259"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33</w:t>
            </w:r>
          </w:p>
        </w:tc>
      </w:tr>
      <w:tr w:rsidR="00955A27" w:rsidRPr="001667DB" w14:paraId="11044F3D"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3F7242D"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D.01.02.01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2B339051"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Usunięcie drzew i krzewów</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4342F37" w14:textId="77777777" w:rsidR="00955A27" w:rsidRPr="001667DB" w:rsidRDefault="00D15259"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44</w:t>
            </w:r>
          </w:p>
        </w:tc>
      </w:tr>
      <w:tr w:rsidR="00955A27" w:rsidRPr="001667DB" w14:paraId="3DDAEFAE"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D608D2E"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D.01.02.02</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2C151C7E"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Usunięcie warstwy humusu</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0F2CE23" w14:textId="77777777" w:rsidR="00955A27" w:rsidRPr="001667DB" w:rsidRDefault="00D15259"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47</w:t>
            </w:r>
          </w:p>
        </w:tc>
      </w:tr>
      <w:tr w:rsidR="00955A27" w:rsidRPr="001667DB" w14:paraId="0238D12B"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1329AD52"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D.01.02.04</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0EAE4BA"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Rozbiórka elementów dróg ogrodzeń i przepustów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E55876B"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50</w:t>
            </w:r>
          </w:p>
        </w:tc>
      </w:tr>
      <w:tr w:rsidR="00955A27" w:rsidRPr="001667DB" w14:paraId="20448AFF"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58BD0210"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D.02.00.00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6604F66E" w14:textId="77777777" w:rsidR="00955A27" w:rsidRPr="001667DB" w:rsidRDefault="00955A27" w:rsidP="00955A27">
            <w:pPr>
              <w:tabs>
                <w:tab w:val="left" w:pos="5172"/>
              </w:tabs>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ROBOTY ZIEMNE</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676EC9E7"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1B101ABB"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0951795"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D.02.00.01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2B6526B"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Roboty ziemne. Wymagania ogólne</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784C1EA" w14:textId="77777777" w:rsidR="00955A27" w:rsidRPr="001667DB" w:rsidRDefault="00D15259"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57</w:t>
            </w:r>
          </w:p>
        </w:tc>
      </w:tr>
      <w:tr w:rsidR="00955A27" w:rsidRPr="001667DB" w14:paraId="718706D8"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3DE40EA"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D.02.02.01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06D27B4"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Wykonanie wykopów w gruntach nieskalistych</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698DDEF"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102</w:t>
            </w:r>
          </w:p>
        </w:tc>
      </w:tr>
      <w:tr w:rsidR="00955A27" w:rsidRPr="001667DB" w14:paraId="532ED4E1"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41E7152"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D.02.03.01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EEE4382"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Wykonane nasypów</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5A0C193"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115</w:t>
            </w:r>
          </w:p>
        </w:tc>
      </w:tr>
      <w:tr w:rsidR="00955A27" w:rsidRPr="001667DB" w14:paraId="5DEC6DA1"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46A9A995" w14:textId="77777777" w:rsidR="00955A27" w:rsidRPr="001667DB" w:rsidRDefault="00955A27" w:rsidP="00955A27">
            <w:pPr>
              <w:spacing w:after="120" w:line="360" w:lineRule="auto"/>
              <w:rPr>
                <w:rFonts w:ascii="Times New Roman" w:hAnsi="Times New Roman" w:cs="Times New Roman"/>
                <w:b/>
                <w:bCs/>
                <w:color w:val="000000" w:themeColor="text1"/>
              </w:rPr>
            </w:pP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75DB9DE8"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ODWODNIENIE KORPUSU DROGOWEGO/BRANŻA SANITARNA</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0545B2E3"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425B7904"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236980C"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S.03.01.01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373E70B"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Kanalizacja deszczowa</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60734CF0"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139</w:t>
            </w:r>
          </w:p>
        </w:tc>
      </w:tr>
      <w:tr w:rsidR="00955A27" w:rsidRPr="001667DB" w14:paraId="06BCBD75"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A3E6286"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lastRenderedPageBreak/>
              <w:t>S.03.01.03</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65680E0"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Sieć gazowa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F9AF52E"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154</w:t>
            </w:r>
          </w:p>
        </w:tc>
      </w:tr>
      <w:tr w:rsidR="00955A27" w:rsidRPr="001667DB" w14:paraId="4806DD7B"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1BCD985" w14:textId="77777777" w:rsidR="00955A27" w:rsidRPr="001667DB" w:rsidRDefault="0026402B"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S.03.02</w:t>
            </w:r>
            <w:r w:rsidR="00955A27" w:rsidRPr="001667DB">
              <w:rPr>
                <w:rFonts w:ascii="Times New Roman" w:hAnsi="Times New Roman" w:cs="Times New Roman"/>
                <w:b/>
                <w:bCs/>
                <w:color w:val="000000" w:themeColor="text1"/>
              </w:rPr>
              <w:t>.02</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4F176A5"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Kanalizacja sanitarna </w:t>
            </w:r>
            <w:r w:rsidR="00D33C82">
              <w:rPr>
                <w:rFonts w:ascii="Times New Roman" w:hAnsi="Times New Roman" w:cs="Times New Roman"/>
                <w:bCs/>
                <w:color w:val="000000" w:themeColor="text1"/>
              </w:rPr>
              <w:t xml:space="preserve">oraz zabezpieczenie sieci wodociągowej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E615BAE"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165</w:t>
            </w:r>
          </w:p>
        </w:tc>
      </w:tr>
      <w:tr w:rsidR="00955A27" w:rsidRPr="001667DB" w14:paraId="6D3A11C2"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4A6B8529"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D.04.00.00.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19E048B1"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PODBUDOWY</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4C517D20"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5B1DD6DE" w14:textId="77777777" w:rsidTr="00910DF5">
        <w:trPr>
          <w:trHeight w:val="195"/>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7C83736"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D.04.01.01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6FAF6A6"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Koryto wraz z profilowaniem i zagęszczeniem podłoża</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4D50496"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175</w:t>
            </w:r>
          </w:p>
        </w:tc>
      </w:tr>
      <w:tr w:rsidR="00955A27" w:rsidRPr="001667DB" w14:paraId="324244AE"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22C8DD77"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D.04.03.01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EE4D767"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Oczyszczenie i skropienie warstw konstrukcyjnych</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7C285498"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184</w:t>
            </w:r>
          </w:p>
        </w:tc>
      </w:tr>
      <w:tr w:rsidR="00955A27" w:rsidRPr="001667DB" w14:paraId="470CEEDD"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3518B9F" w14:textId="77777777" w:rsidR="00955A27" w:rsidRPr="00EE1FBC" w:rsidRDefault="00955A27" w:rsidP="00955A27">
            <w:pPr>
              <w:spacing w:after="120" w:line="360" w:lineRule="auto"/>
              <w:rPr>
                <w:rFonts w:ascii="Times New Roman" w:hAnsi="Times New Roman" w:cs="Times New Roman"/>
                <w:b/>
                <w:bCs/>
                <w:color w:val="000000" w:themeColor="text1"/>
              </w:rPr>
            </w:pPr>
            <w:r w:rsidRPr="00EE1FBC">
              <w:rPr>
                <w:rFonts w:ascii="Times New Roman" w:hAnsi="Times New Roman" w:cs="Times New Roman"/>
                <w:b/>
                <w:bCs/>
                <w:color w:val="000000" w:themeColor="text1"/>
              </w:rPr>
              <w:t>D.04.04.02a</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A662661" w14:textId="77777777" w:rsidR="00955A27" w:rsidRPr="001667DB" w:rsidRDefault="00955A27" w:rsidP="00364C88">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Podbudowa pomocnicza z mieszanki niezwiązanej </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1BDB4C5B"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196</w:t>
            </w:r>
          </w:p>
        </w:tc>
      </w:tr>
      <w:tr w:rsidR="00955A27" w:rsidRPr="001667DB" w14:paraId="00523678"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63469C7" w14:textId="77777777" w:rsidR="00955A27" w:rsidRPr="00EE1FBC" w:rsidRDefault="00955A27" w:rsidP="00955A27">
            <w:pPr>
              <w:spacing w:after="120" w:line="360" w:lineRule="auto"/>
              <w:rPr>
                <w:rFonts w:ascii="Times New Roman" w:hAnsi="Times New Roman" w:cs="Times New Roman"/>
                <w:b/>
                <w:bCs/>
                <w:color w:val="000000" w:themeColor="text1"/>
              </w:rPr>
            </w:pPr>
            <w:r w:rsidRPr="00EE1FBC">
              <w:rPr>
                <w:rFonts w:ascii="Times New Roman" w:hAnsi="Times New Roman" w:cs="Times New Roman"/>
                <w:b/>
                <w:bCs/>
                <w:color w:val="000000" w:themeColor="text1"/>
              </w:rPr>
              <w:t>D.04.04.02b</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3CADACC"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Podbudowa zasadnicza z mieszanki kruszywa niezwiązanego  </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838A658"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227</w:t>
            </w:r>
          </w:p>
        </w:tc>
      </w:tr>
      <w:tr w:rsidR="00955A27" w:rsidRPr="001667DB" w14:paraId="4AD3CFA9"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D004B6B" w14:textId="77777777" w:rsidR="00955A27" w:rsidRPr="001667DB" w:rsidRDefault="00DD5FB9"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D.04.05.00</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F5A400F"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Podłoże ulepszone z mieszanki kruszywa stabilizowanego cementem</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4584ECD"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253</w:t>
            </w:r>
          </w:p>
        </w:tc>
      </w:tr>
      <w:tr w:rsidR="00CD7DB8" w:rsidRPr="001667DB" w14:paraId="27185F9D"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AD26148" w14:textId="77777777" w:rsidR="00CD7DB8" w:rsidRPr="00C2770C" w:rsidRDefault="00CD7DB8" w:rsidP="00955A27">
            <w:pPr>
              <w:spacing w:after="120" w:line="360" w:lineRule="auto"/>
              <w:rPr>
                <w:rFonts w:ascii="Times New Roman" w:hAnsi="Times New Roman" w:cs="Times New Roman"/>
                <w:b/>
                <w:bCs/>
                <w:color w:val="000000" w:themeColor="text1"/>
              </w:rPr>
            </w:pPr>
            <w:r w:rsidRPr="00C2770C">
              <w:rPr>
                <w:rFonts w:ascii="Times New Roman" w:hAnsi="Times New Roman" w:cs="Times New Roman"/>
                <w:b/>
                <w:bCs/>
                <w:color w:val="000000" w:themeColor="text1"/>
              </w:rPr>
              <w:t>D</w:t>
            </w:r>
            <w:r w:rsidR="00613372" w:rsidRPr="00C2770C">
              <w:rPr>
                <w:rFonts w:ascii="Times New Roman" w:hAnsi="Times New Roman" w:cs="Times New Roman"/>
                <w:b/>
                <w:bCs/>
                <w:color w:val="000000" w:themeColor="text1"/>
              </w:rPr>
              <w:t>.04.06.01b</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3EAEDA9" w14:textId="77777777" w:rsidR="00CD7DB8" w:rsidRPr="00C2770C" w:rsidRDefault="00CD7DB8" w:rsidP="00955A27">
            <w:pPr>
              <w:spacing w:after="120" w:line="360" w:lineRule="auto"/>
              <w:rPr>
                <w:rFonts w:ascii="Times New Roman" w:hAnsi="Times New Roman" w:cs="Times New Roman"/>
                <w:bCs/>
                <w:color w:val="000000" w:themeColor="text1"/>
              </w:rPr>
            </w:pPr>
            <w:r w:rsidRPr="00C2770C">
              <w:rPr>
                <w:rFonts w:ascii="Times New Roman" w:hAnsi="Times New Roman" w:cs="Times New Roman"/>
                <w:bCs/>
                <w:color w:val="000000" w:themeColor="text1"/>
              </w:rPr>
              <w:t xml:space="preserve">Podbudowa zasadnicza z betonu cementowego </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6AC3274" w14:textId="77777777" w:rsidR="00CD7DB8"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275</w:t>
            </w:r>
          </w:p>
        </w:tc>
      </w:tr>
      <w:tr w:rsidR="00955A27" w:rsidRPr="001667DB" w14:paraId="6DC00B53"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D18CAD9"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D.04.07.01</w:t>
            </w:r>
            <w:r w:rsidR="0026402B">
              <w:rPr>
                <w:rFonts w:ascii="Times New Roman" w:hAnsi="Times New Roman" w:cs="Times New Roman"/>
                <w:b/>
                <w:bCs/>
                <w:color w:val="000000" w:themeColor="text1"/>
              </w:rPr>
              <w:t>a</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B2AC53D" w14:textId="77777777" w:rsidR="00955A27" w:rsidRPr="001667DB" w:rsidRDefault="00173914" w:rsidP="00955A27">
            <w:pPr>
              <w:spacing w:after="120" w:line="360" w:lineRule="auto"/>
              <w:rPr>
                <w:rFonts w:ascii="Times New Roman" w:hAnsi="Times New Roman" w:cs="Times New Roman"/>
                <w:bCs/>
                <w:color w:val="000000" w:themeColor="text1"/>
              </w:rPr>
            </w:pPr>
            <w:r>
              <w:rPr>
                <w:rFonts w:ascii="Times New Roman" w:hAnsi="Times New Roman" w:cs="Times New Roman"/>
                <w:bCs/>
                <w:color w:val="000000" w:themeColor="text1"/>
              </w:rPr>
              <w:t>Podbudowa z betonu asfaltowego</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2DDB044"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286</w:t>
            </w:r>
          </w:p>
        </w:tc>
      </w:tr>
      <w:tr w:rsidR="00955A27" w:rsidRPr="001667DB" w14:paraId="4009ED7C"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7B7F5B32"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D.05.00.00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5FDA8AAB"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NAWIERZCHNIE</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5E06A58D"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CD7DB8" w:rsidRPr="001667DB" w14:paraId="6E5873C5" w14:textId="77777777" w:rsidTr="00CD7DB8">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themeFill="background1"/>
            <w:vAlign w:val="center"/>
          </w:tcPr>
          <w:p w14:paraId="57E89107" w14:textId="77777777" w:rsidR="00CD7DB8" w:rsidRPr="00C2770C" w:rsidRDefault="00540948" w:rsidP="00955A27">
            <w:pPr>
              <w:spacing w:after="120" w:line="360" w:lineRule="auto"/>
              <w:rPr>
                <w:rFonts w:ascii="Times New Roman" w:hAnsi="Times New Roman" w:cs="Times New Roman"/>
                <w:b/>
                <w:bCs/>
                <w:color w:val="000000" w:themeColor="text1"/>
              </w:rPr>
            </w:pPr>
            <w:r w:rsidRPr="00C2770C">
              <w:rPr>
                <w:rFonts w:ascii="Times New Roman" w:hAnsi="Times New Roman" w:cs="Times New Roman"/>
                <w:b/>
                <w:bCs/>
                <w:color w:val="000000" w:themeColor="text1"/>
              </w:rPr>
              <w:t>D.05.03.04</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themeFill="background1"/>
            <w:vAlign w:val="center"/>
          </w:tcPr>
          <w:p w14:paraId="1010915D" w14:textId="77777777" w:rsidR="00CD7DB8" w:rsidRPr="00C2770C" w:rsidRDefault="00CD7DB8" w:rsidP="00CD7DB8">
            <w:pPr>
              <w:spacing w:after="120" w:line="360" w:lineRule="auto"/>
              <w:rPr>
                <w:rFonts w:ascii="Times New Roman" w:hAnsi="Times New Roman" w:cs="Times New Roman"/>
                <w:bCs/>
                <w:color w:val="000000" w:themeColor="text1"/>
              </w:rPr>
            </w:pPr>
            <w:r w:rsidRPr="00C2770C">
              <w:rPr>
                <w:rFonts w:ascii="Times New Roman" w:hAnsi="Times New Roman" w:cs="Times New Roman"/>
                <w:bCs/>
                <w:color w:val="000000" w:themeColor="text1"/>
              </w:rPr>
              <w:t xml:space="preserve">Warstwa ścieralna z betonu cementowego </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themeFill="background1"/>
            <w:vAlign w:val="center"/>
          </w:tcPr>
          <w:p w14:paraId="66A54BC3" w14:textId="77777777" w:rsidR="00CD7DB8"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347</w:t>
            </w:r>
          </w:p>
        </w:tc>
      </w:tr>
      <w:tr w:rsidR="00955A27" w:rsidRPr="001667DB" w14:paraId="52313289"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25E370A" w14:textId="77777777" w:rsidR="00955A27" w:rsidRPr="00D1553C" w:rsidRDefault="00955A27" w:rsidP="00955A27">
            <w:pPr>
              <w:spacing w:after="120" w:line="360" w:lineRule="auto"/>
              <w:rPr>
                <w:rFonts w:ascii="Times New Roman" w:hAnsi="Times New Roman" w:cs="Times New Roman"/>
                <w:b/>
                <w:bCs/>
                <w:color w:val="000000" w:themeColor="text1"/>
              </w:rPr>
            </w:pPr>
            <w:r w:rsidRPr="00D1553C">
              <w:rPr>
                <w:rFonts w:ascii="Times New Roman" w:hAnsi="Times New Roman" w:cs="Times New Roman"/>
                <w:b/>
                <w:bCs/>
                <w:color w:val="000000" w:themeColor="text1"/>
              </w:rPr>
              <w:t>D.05.03.05</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37258D2" w14:textId="77777777" w:rsidR="00955A27" w:rsidRPr="00D1553C" w:rsidRDefault="00D1553C" w:rsidP="00B07087">
            <w:pPr>
              <w:spacing w:after="120" w:line="360" w:lineRule="auto"/>
              <w:rPr>
                <w:rFonts w:ascii="Times New Roman" w:hAnsi="Times New Roman" w:cs="Times New Roman"/>
                <w:bCs/>
                <w:color w:val="000000" w:themeColor="text1"/>
              </w:rPr>
            </w:pPr>
            <w:r w:rsidRPr="00D1553C">
              <w:rPr>
                <w:rFonts w:ascii="Times New Roman" w:hAnsi="Times New Roman" w:cs="Times New Roman"/>
                <w:bCs/>
                <w:color w:val="000000" w:themeColor="text1"/>
              </w:rPr>
              <w:t xml:space="preserve">Nawierzchnia z betonu asfaltowego. Warstwa </w:t>
            </w:r>
            <w:r w:rsidR="00B07087">
              <w:rPr>
                <w:rFonts w:ascii="Times New Roman" w:hAnsi="Times New Roman" w:cs="Times New Roman"/>
                <w:bCs/>
                <w:color w:val="000000" w:themeColor="text1"/>
              </w:rPr>
              <w:t>ścieralna</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4C63021"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366</w:t>
            </w:r>
          </w:p>
        </w:tc>
      </w:tr>
      <w:tr w:rsidR="00955A27" w:rsidRPr="001667DB" w14:paraId="18302106"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46C95B9" w14:textId="77777777" w:rsidR="00955A27" w:rsidRPr="00D1553C" w:rsidRDefault="00955A27" w:rsidP="00955A27">
            <w:pPr>
              <w:spacing w:after="120" w:line="360" w:lineRule="auto"/>
              <w:rPr>
                <w:rFonts w:ascii="Times New Roman" w:hAnsi="Times New Roman" w:cs="Times New Roman"/>
                <w:b/>
                <w:bCs/>
                <w:color w:val="000000" w:themeColor="text1"/>
              </w:rPr>
            </w:pPr>
            <w:r w:rsidRPr="00D1553C">
              <w:rPr>
                <w:rFonts w:ascii="Times New Roman" w:hAnsi="Times New Roman" w:cs="Times New Roman"/>
                <w:b/>
                <w:bCs/>
                <w:color w:val="000000" w:themeColor="text1"/>
              </w:rPr>
              <w:t>D.05.03.05b</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4B8BFE3" w14:textId="77777777" w:rsidR="00955A27" w:rsidRPr="00D1553C" w:rsidRDefault="00D1553C" w:rsidP="00955A27">
            <w:pPr>
              <w:spacing w:after="120" w:line="360" w:lineRule="auto"/>
              <w:rPr>
                <w:rFonts w:ascii="Times New Roman" w:hAnsi="Times New Roman" w:cs="Times New Roman"/>
                <w:bCs/>
                <w:color w:val="000000" w:themeColor="text1"/>
              </w:rPr>
            </w:pPr>
            <w:r w:rsidRPr="00D1553C">
              <w:rPr>
                <w:rFonts w:ascii="Times New Roman" w:hAnsi="Times New Roman" w:cs="Times New Roman"/>
                <w:bCs/>
                <w:color w:val="000000" w:themeColor="text1"/>
              </w:rPr>
              <w:t>Nawierzchnia z beton</w:t>
            </w:r>
            <w:r w:rsidR="00B07087">
              <w:rPr>
                <w:rFonts w:ascii="Times New Roman" w:hAnsi="Times New Roman" w:cs="Times New Roman"/>
                <w:bCs/>
                <w:color w:val="000000" w:themeColor="text1"/>
              </w:rPr>
              <w:t>u asfaltowego. Warstwa wiążąca</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EA62D9A"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425</w:t>
            </w:r>
          </w:p>
        </w:tc>
      </w:tr>
      <w:tr w:rsidR="00955A27" w:rsidRPr="001667DB" w14:paraId="5530F5D2"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96F9FE0"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D.05.03.11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A550CCC"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Frezowanie nawierzchni asfaltowych na zimno</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BD8BF55"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454</w:t>
            </w:r>
          </w:p>
        </w:tc>
      </w:tr>
      <w:tr w:rsidR="00955A27" w:rsidRPr="001667DB" w14:paraId="5C1D76BA"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253603D"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D.05.03.13</w:t>
            </w:r>
            <w:r w:rsidR="00512C4D">
              <w:rPr>
                <w:rFonts w:ascii="Times New Roman" w:hAnsi="Times New Roman" w:cs="Times New Roman"/>
                <w:b/>
                <w:bCs/>
                <w:color w:val="000000" w:themeColor="text1"/>
              </w:rPr>
              <w:t>a</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639FF407" w14:textId="77777777" w:rsidR="00955A27" w:rsidRPr="001667DB" w:rsidRDefault="00955A27" w:rsidP="00707056">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Warstwa ścieralna z mieszanki </w:t>
            </w:r>
            <w:r w:rsidR="00707056">
              <w:rPr>
                <w:rFonts w:ascii="Times New Roman" w:hAnsi="Times New Roman" w:cs="Times New Roman"/>
                <w:bCs/>
                <w:color w:val="000000" w:themeColor="text1"/>
              </w:rPr>
              <w:t>SMA</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A6191A7"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459</w:t>
            </w:r>
          </w:p>
        </w:tc>
      </w:tr>
      <w:tr w:rsidR="00955A27" w:rsidRPr="001667DB" w14:paraId="7AA74386"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7160AD36"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D.05.03.23a</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24E1E32F"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Nawierzchnia z betonowej kostki brukowej</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8D55194"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492</w:t>
            </w:r>
          </w:p>
        </w:tc>
      </w:tr>
      <w:tr w:rsidR="00955A27" w:rsidRPr="001667DB" w14:paraId="04971D50"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7DD664AF"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D.05.03.26g</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24E19B44"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Połączenie nowej konstrukcji nawierzchni z nawierzchnią istniejącą</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E0E45C2"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508</w:t>
            </w:r>
          </w:p>
        </w:tc>
      </w:tr>
      <w:tr w:rsidR="00955A27" w:rsidRPr="001667DB" w14:paraId="1F048FDF"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344C4707"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D.06.00.00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6D4D9D86"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ROBOTY WYKOŃCZENIOWE</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55A1108B"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5698E941"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D101CA8"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D.06.01.01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E2806D0"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Umocnienie powierzchniowe skarp, rowów i ścieków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209A32BB" w14:textId="77777777" w:rsidR="00955A27" w:rsidRPr="001667DB" w:rsidRDefault="00022365"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520</w:t>
            </w:r>
          </w:p>
        </w:tc>
      </w:tr>
      <w:tr w:rsidR="00955A27" w:rsidRPr="001667DB" w14:paraId="5546D533"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43393ABB" w14:textId="77777777" w:rsidR="00955A27" w:rsidRPr="001667DB" w:rsidRDefault="00E35278"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D.06.02.01a</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58EE2CA"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Przepust z rur polietylenowych</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559F2477" w14:textId="77777777" w:rsidR="00955A27" w:rsidRPr="001667DB" w:rsidRDefault="0026402B"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531</w:t>
            </w:r>
          </w:p>
        </w:tc>
      </w:tr>
      <w:tr w:rsidR="00955A27" w:rsidRPr="001667DB" w14:paraId="16E165B1"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196DFBEB"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D.06.03.01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2B66198C"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Pobocze gruntowe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06EEEC06" w14:textId="77777777" w:rsidR="00955A27" w:rsidRPr="001667DB" w:rsidRDefault="0026402B"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539</w:t>
            </w:r>
          </w:p>
        </w:tc>
      </w:tr>
      <w:tr w:rsidR="00955A27" w:rsidRPr="001667DB" w14:paraId="4B35DDD2"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60070407"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D.07.00.00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08325A63"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URZĄDZENIA BEZPIECZEŃSTWA RUCHU</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0EC23347"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6F1A5BAF"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C8B8F83"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D.07.01.01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410D86B5"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Oznakowanie poziome</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EF599CE" w14:textId="77777777" w:rsidR="00955A27" w:rsidRPr="001667DB" w:rsidRDefault="0026402B" w:rsidP="00955A27">
            <w:pPr>
              <w:spacing w:after="120" w:line="360" w:lineRule="auto"/>
              <w:jc w:val="center"/>
              <w:rPr>
                <w:rFonts w:ascii="Times New Roman" w:hAnsi="Times New Roman" w:cs="Times New Roman"/>
                <w:b/>
                <w:bCs/>
                <w:color w:val="000000" w:themeColor="text1"/>
                <w:highlight w:val="yellow"/>
              </w:rPr>
            </w:pPr>
            <w:r>
              <w:rPr>
                <w:rFonts w:ascii="Times New Roman" w:hAnsi="Times New Roman" w:cs="Times New Roman"/>
                <w:b/>
                <w:bCs/>
                <w:color w:val="000000" w:themeColor="text1"/>
              </w:rPr>
              <w:t>545</w:t>
            </w:r>
          </w:p>
        </w:tc>
      </w:tr>
      <w:tr w:rsidR="00955A27" w:rsidRPr="001667DB" w14:paraId="73F20FD3"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13C3F55"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lastRenderedPageBreak/>
              <w:t>D.07.02.01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5F569C55"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Oznakowanie pionowe</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18B85DC5" w14:textId="77777777" w:rsidR="00955A27" w:rsidRPr="001667DB" w:rsidRDefault="0026402B"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568</w:t>
            </w:r>
          </w:p>
        </w:tc>
      </w:tr>
      <w:tr w:rsidR="001E0A21" w:rsidRPr="001667DB" w14:paraId="16C2065C"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285619E0" w14:textId="77777777" w:rsidR="001E0A21" w:rsidRPr="001667DB" w:rsidRDefault="001E0A21"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D.07.06</w:t>
            </w:r>
            <w:r w:rsidRPr="001667DB">
              <w:rPr>
                <w:rFonts w:ascii="Times New Roman" w:hAnsi="Times New Roman" w:cs="Times New Roman"/>
                <w:b/>
                <w:bCs/>
                <w:color w:val="000000" w:themeColor="text1"/>
              </w:rPr>
              <w:t>.01</w:t>
            </w:r>
          </w:p>
        </w:tc>
        <w:tc>
          <w:tcPr>
            <w:tcW w:w="5953"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0A2B628C" w14:textId="77777777" w:rsidR="001E0A21" w:rsidRPr="001667DB" w:rsidRDefault="001E0A21" w:rsidP="00955A27">
            <w:pPr>
              <w:spacing w:after="120" w:line="360" w:lineRule="auto"/>
              <w:rPr>
                <w:rFonts w:ascii="Times New Roman" w:hAnsi="Times New Roman" w:cs="Times New Roman"/>
                <w:bCs/>
                <w:color w:val="000000" w:themeColor="text1"/>
              </w:rPr>
            </w:pPr>
            <w:r>
              <w:rPr>
                <w:rFonts w:ascii="Times New Roman" w:hAnsi="Times New Roman" w:cs="Times New Roman"/>
                <w:bCs/>
                <w:color w:val="000000" w:themeColor="text1"/>
              </w:rPr>
              <w:t>Ogrodzenia dróg</w:t>
            </w:r>
          </w:p>
        </w:tc>
        <w:tc>
          <w:tcPr>
            <w:tcW w:w="912"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3D7042DE" w14:textId="77777777" w:rsidR="001E0A21" w:rsidRDefault="006D3392"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588</w:t>
            </w:r>
          </w:p>
        </w:tc>
      </w:tr>
      <w:tr w:rsidR="00955A27" w:rsidRPr="001667DB" w14:paraId="0EB9009B"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2C7AA461"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D.08.00.00</w:t>
            </w:r>
          </w:p>
        </w:tc>
        <w:tc>
          <w:tcPr>
            <w:tcW w:w="5953"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7800F67A"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ELEMENTY ULIC</w:t>
            </w:r>
          </w:p>
        </w:tc>
        <w:tc>
          <w:tcPr>
            <w:tcW w:w="912" w:type="dxa"/>
            <w:tcBorders>
              <w:top w:val="single" w:sz="12" w:space="0" w:color="000000"/>
              <w:left w:val="single" w:sz="12" w:space="0" w:color="000000"/>
              <w:bottom w:val="single" w:sz="4" w:space="0" w:color="000000"/>
              <w:right w:val="single" w:sz="12" w:space="0" w:color="000000"/>
            </w:tcBorders>
            <w:shd w:val="clear" w:color="auto" w:fill="BFBFBF"/>
            <w:vAlign w:val="center"/>
          </w:tcPr>
          <w:p w14:paraId="57FC8CF9" w14:textId="77777777" w:rsidR="00955A27" w:rsidRPr="001667DB" w:rsidRDefault="00955A27" w:rsidP="00955A27">
            <w:pPr>
              <w:spacing w:after="120" w:line="360" w:lineRule="auto"/>
              <w:jc w:val="center"/>
              <w:rPr>
                <w:rFonts w:ascii="Times New Roman" w:hAnsi="Times New Roman" w:cs="Times New Roman"/>
                <w:b/>
                <w:bCs/>
                <w:color w:val="000000" w:themeColor="text1"/>
              </w:rPr>
            </w:pPr>
          </w:p>
        </w:tc>
      </w:tr>
      <w:tr w:rsidR="00955A27" w:rsidRPr="001667DB" w14:paraId="2EAB16B4"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A58ED1C"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D.08.01.01b</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08D2ADA"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Ustawienie krawężników betonowych</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72B1EBAC" w14:textId="77777777" w:rsidR="00955A27" w:rsidRPr="001667DB" w:rsidRDefault="006D3392"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627</w:t>
            </w:r>
          </w:p>
        </w:tc>
      </w:tr>
      <w:tr w:rsidR="007970D8" w:rsidRPr="001667DB" w14:paraId="79E1B187"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7492BC8C" w14:textId="77777777" w:rsidR="007970D8" w:rsidRPr="001667DB" w:rsidRDefault="007970D8" w:rsidP="00955A27">
            <w:pPr>
              <w:spacing w:after="120" w:line="360" w:lineRule="auto"/>
              <w:rPr>
                <w:rFonts w:ascii="Times New Roman" w:hAnsi="Times New Roman" w:cs="Times New Roman"/>
                <w:b/>
                <w:bCs/>
                <w:color w:val="000000" w:themeColor="text1"/>
              </w:rPr>
            </w:pPr>
            <w:r>
              <w:rPr>
                <w:rFonts w:ascii="Times New Roman" w:hAnsi="Times New Roman" w:cs="Times New Roman"/>
                <w:b/>
                <w:bCs/>
                <w:color w:val="000000" w:themeColor="text1"/>
              </w:rPr>
              <w:t>D.08.01.02a</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3C5839CD" w14:textId="77777777" w:rsidR="007970D8" w:rsidRPr="001667DB" w:rsidRDefault="007970D8" w:rsidP="007970D8">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Ustawienie krawężników </w:t>
            </w:r>
            <w:r>
              <w:rPr>
                <w:rFonts w:ascii="Times New Roman" w:hAnsi="Times New Roman" w:cs="Times New Roman"/>
                <w:bCs/>
                <w:color w:val="000000" w:themeColor="text1"/>
              </w:rPr>
              <w:t xml:space="preserve">kamiennych </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1FAE3987" w14:textId="77777777" w:rsidR="007970D8" w:rsidRDefault="006D3392"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644</w:t>
            </w:r>
          </w:p>
        </w:tc>
      </w:tr>
      <w:tr w:rsidR="00955A27" w:rsidRPr="001667DB" w14:paraId="5B390D2C" w14:textId="77777777" w:rsidTr="00910DF5">
        <w:trPr>
          <w:jc w:val="center"/>
        </w:trPr>
        <w:tc>
          <w:tcPr>
            <w:tcW w:w="1545" w:type="dxa"/>
            <w:tcBorders>
              <w:top w:val="single" w:sz="12" w:space="0" w:color="000000"/>
              <w:left w:val="single" w:sz="12" w:space="0" w:color="000000"/>
              <w:bottom w:val="single" w:sz="4" w:space="0" w:color="000000"/>
              <w:right w:val="single" w:sz="12" w:space="0" w:color="000000"/>
            </w:tcBorders>
            <w:shd w:val="clear" w:color="auto" w:fill="FFFFFF"/>
            <w:vAlign w:val="center"/>
          </w:tcPr>
          <w:p w14:paraId="62647ECD"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D.08.03.01</w:t>
            </w:r>
          </w:p>
        </w:tc>
        <w:tc>
          <w:tcPr>
            <w:tcW w:w="5953"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44617AEE"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Betonowe obrzeża chodnikowe</w:t>
            </w:r>
          </w:p>
        </w:tc>
        <w:tc>
          <w:tcPr>
            <w:tcW w:w="912" w:type="dxa"/>
            <w:tcBorders>
              <w:top w:val="single" w:sz="12" w:space="0" w:color="000000"/>
              <w:left w:val="single" w:sz="12" w:space="0" w:color="000000"/>
              <w:bottom w:val="single" w:sz="4" w:space="0" w:color="000000"/>
              <w:right w:val="single" w:sz="12" w:space="0" w:color="000000"/>
            </w:tcBorders>
            <w:shd w:val="clear" w:color="auto" w:fill="auto"/>
            <w:vAlign w:val="center"/>
          </w:tcPr>
          <w:p w14:paraId="6AB5CAFC" w14:textId="77777777" w:rsidR="00955A27" w:rsidRPr="001667DB" w:rsidRDefault="006D3392"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660</w:t>
            </w:r>
          </w:p>
        </w:tc>
      </w:tr>
      <w:tr w:rsidR="00955A27" w:rsidRPr="001667DB" w14:paraId="32186F6B" w14:textId="77777777" w:rsidTr="00910DF5">
        <w:trPr>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36BB32D7" w14:textId="77777777" w:rsidR="00955A27" w:rsidRPr="001667DB" w:rsidRDefault="00955A27" w:rsidP="00955A27">
            <w:pPr>
              <w:spacing w:after="120" w:line="360" w:lineRule="auto"/>
              <w:rPr>
                <w:rFonts w:ascii="Times New Roman" w:hAnsi="Times New Roman" w:cs="Times New Roman"/>
                <w:b/>
                <w:bCs/>
                <w:color w:val="000000" w:themeColor="text1"/>
              </w:rPr>
            </w:pPr>
            <w:r w:rsidRPr="001667DB">
              <w:rPr>
                <w:rFonts w:ascii="Times New Roman" w:hAnsi="Times New Roman" w:cs="Times New Roman"/>
                <w:b/>
                <w:bCs/>
                <w:color w:val="000000" w:themeColor="text1"/>
              </w:rPr>
              <w:t>D.09.01.01</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469A447C" w14:textId="77777777" w:rsidR="00955A27" w:rsidRPr="001667DB" w:rsidRDefault="00955A27" w:rsidP="00955A27">
            <w:pPr>
              <w:spacing w:after="120" w:line="360"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Zieleń drogowa </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274235D8" w14:textId="77777777" w:rsidR="00955A27" w:rsidRPr="001667DB" w:rsidRDefault="006D3392" w:rsidP="00955A27">
            <w:pPr>
              <w:spacing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666</w:t>
            </w:r>
          </w:p>
        </w:tc>
      </w:tr>
      <w:tr w:rsidR="00955A27" w:rsidRPr="001667DB" w14:paraId="6D3D8555" w14:textId="77777777" w:rsidTr="001B4B8F">
        <w:trPr>
          <w:jc w:val="center"/>
        </w:trPr>
        <w:tc>
          <w:tcPr>
            <w:tcW w:w="8410" w:type="dxa"/>
            <w:gridSpan w:val="3"/>
            <w:tcBorders>
              <w:top w:val="single" w:sz="12" w:space="0" w:color="000000"/>
              <w:left w:val="single" w:sz="12" w:space="0" w:color="000000"/>
              <w:bottom w:val="single" w:sz="12" w:space="0" w:color="000000"/>
              <w:right w:val="single" w:sz="12" w:space="0" w:color="000000"/>
            </w:tcBorders>
            <w:shd w:val="clear" w:color="auto" w:fill="BFBFBF"/>
          </w:tcPr>
          <w:p w14:paraId="6E772E71"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67B49689" w14:textId="77777777" w:rsidTr="008E09D3">
        <w:trPr>
          <w:trHeight w:val="421"/>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tcPr>
          <w:p w14:paraId="6C30F773"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ST.IE.01</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tcPr>
          <w:p w14:paraId="2D91F46F" w14:textId="77777777" w:rsidR="00955A27" w:rsidRPr="001667DB" w:rsidRDefault="009B3FD6" w:rsidP="00955A27">
            <w:pPr>
              <w:spacing w:after="120" w:line="360" w:lineRule="auto"/>
              <w:rPr>
                <w:rFonts w:ascii="Times New Roman" w:hAnsi="Times New Roman" w:cs="Times New Roman"/>
                <w:color w:val="000000" w:themeColor="text1"/>
              </w:rPr>
            </w:pPr>
            <w:r>
              <w:rPr>
                <w:rFonts w:ascii="Times New Roman" w:hAnsi="Times New Roman" w:cs="Times New Roman"/>
                <w:color w:val="000000" w:themeColor="text1"/>
              </w:rPr>
              <w:t>Roboty w zakresie przygotowania terenu pod budowę</w:t>
            </w:r>
            <w:r w:rsidR="00955A27" w:rsidRPr="001667DB">
              <w:rPr>
                <w:rFonts w:ascii="Times New Roman" w:hAnsi="Times New Roman" w:cs="Times New Roman"/>
                <w:color w:val="000000" w:themeColor="text1"/>
              </w:rPr>
              <w:t>- przebudowa sieci, budowa oświetlenia.</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tcPr>
          <w:p w14:paraId="535B1154" w14:textId="77777777" w:rsidR="00955A27" w:rsidRPr="001667DB" w:rsidRDefault="00904E6C" w:rsidP="00955A27">
            <w:pPr>
              <w:spacing w:after="120" w:line="360" w:lineRule="auto"/>
              <w:jc w:val="center"/>
              <w:rPr>
                <w:rFonts w:ascii="Times New Roman" w:hAnsi="Times New Roman" w:cs="Times New Roman"/>
                <w:b/>
                <w:color w:val="000000" w:themeColor="text1"/>
              </w:rPr>
            </w:pPr>
            <w:r>
              <w:rPr>
                <w:rFonts w:ascii="Times New Roman" w:hAnsi="Times New Roman" w:cs="Times New Roman"/>
                <w:b/>
                <w:color w:val="000000" w:themeColor="text1"/>
              </w:rPr>
              <w:t>673</w:t>
            </w:r>
          </w:p>
        </w:tc>
      </w:tr>
      <w:tr w:rsidR="00955A27" w:rsidRPr="001667DB" w14:paraId="7BCBD469" w14:textId="77777777" w:rsidTr="00910DF5">
        <w:trPr>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tcPr>
          <w:p w14:paraId="15FFE981"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ST.IE.02</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tcPr>
          <w:p w14:paraId="15ADA447" w14:textId="77777777" w:rsidR="00955A27" w:rsidRPr="001667DB" w:rsidRDefault="009B3FD6" w:rsidP="009B3FD6">
            <w:pPr>
              <w:spacing w:after="120" w:line="360" w:lineRule="auto"/>
              <w:rPr>
                <w:rFonts w:ascii="Times New Roman" w:hAnsi="Times New Roman" w:cs="Times New Roman"/>
                <w:color w:val="000000" w:themeColor="text1"/>
              </w:rPr>
            </w:pPr>
            <w:r>
              <w:rPr>
                <w:rFonts w:ascii="Times New Roman" w:hAnsi="Times New Roman" w:cs="Times New Roman"/>
                <w:color w:val="000000" w:themeColor="text1"/>
              </w:rPr>
              <w:t xml:space="preserve">Linie kablowe </w:t>
            </w:r>
            <w:r w:rsidR="00955A27" w:rsidRPr="001667DB">
              <w:rPr>
                <w:rFonts w:ascii="Times New Roman" w:hAnsi="Times New Roman" w:cs="Times New Roman"/>
                <w:color w:val="000000" w:themeColor="text1"/>
              </w:rPr>
              <w:t xml:space="preserve"> - przebudowa sieci, budowa oświetlenia </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tcPr>
          <w:p w14:paraId="4183E3ED" w14:textId="77777777" w:rsidR="00955A27" w:rsidRPr="001667DB" w:rsidRDefault="00904E6C" w:rsidP="00955A27">
            <w:pPr>
              <w:spacing w:after="120" w:line="360" w:lineRule="auto"/>
              <w:jc w:val="center"/>
              <w:rPr>
                <w:rFonts w:ascii="Times New Roman" w:hAnsi="Times New Roman" w:cs="Times New Roman"/>
                <w:b/>
                <w:color w:val="000000" w:themeColor="text1"/>
              </w:rPr>
            </w:pPr>
            <w:r>
              <w:rPr>
                <w:rFonts w:ascii="Times New Roman" w:hAnsi="Times New Roman" w:cs="Times New Roman"/>
                <w:b/>
                <w:color w:val="000000" w:themeColor="text1"/>
              </w:rPr>
              <w:t>684</w:t>
            </w:r>
          </w:p>
        </w:tc>
      </w:tr>
      <w:tr w:rsidR="00955A27" w:rsidRPr="001667DB" w14:paraId="0A4A3CF2" w14:textId="77777777" w:rsidTr="00910DF5">
        <w:trPr>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tcPr>
          <w:p w14:paraId="55A0ADC3" w14:textId="77777777" w:rsidR="00955A27" w:rsidRPr="001667DB" w:rsidRDefault="009B3FD6" w:rsidP="00955A27">
            <w:pPr>
              <w:spacing w:after="120" w:line="360" w:lineRule="auto"/>
              <w:rPr>
                <w:rFonts w:ascii="Times New Roman" w:hAnsi="Times New Roman" w:cs="Times New Roman"/>
                <w:b/>
                <w:color w:val="000000" w:themeColor="text1"/>
              </w:rPr>
            </w:pPr>
            <w:r>
              <w:rPr>
                <w:rFonts w:ascii="Times New Roman" w:hAnsi="Times New Roman" w:cs="Times New Roman"/>
                <w:b/>
                <w:color w:val="000000" w:themeColor="text1"/>
              </w:rPr>
              <w:t>ST.IE.03</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tcPr>
          <w:p w14:paraId="1037082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Napowietrzne linie elektroenergetyczne - przebudowa sieci, budowa oświetlenia.</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tcPr>
          <w:p w14:paraId="2A4092BE" w14:textId="77777777" w:rsidR="00955A27" w:rsidRPr="001667DB" w:rsidRDefault="00904E6C" w:rsidP="00955A27">
            <w:pPr>
              <w:spacing w:after="120" w:line="360" w:lineRule="auto"/>
              <w:jc w:val="center"/>
              <w:rPr>
                <w:rFonts w:ascii="Times New Roman" w:hAnsi="Times New Roman" w:cs="Times New Roman"/>
                <w:b/>
                <w:color w:val="000000" w:themeColor="text1"/>
              </w:rPr>
            </w:pPr>
            <w:r>
              <w:rPr>
                <w:rFonts w:ascii="Times New Roman" w:hAnsi="Times New Roman" w:cs="Times New Roman"/>
                <w:b/>
                <w:color w:val="000000" w:themeColor="text1"/>
              </w:rPr>
              <w:t>697</w:t>
            </w:r>
          </w:p>
        </w:tc>
      </w:tr>
      <w:tr w:rsidR="00955A27" w:rsidRPr="001667DB" w14:paraId="2CE0A6EF" w14:textId="77777777" w:rsidTr="00910DF5">
        <w:trPr>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tcPr>
          <w:p w14:paraId="5D10D30C"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D.01.03.03</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tcPr>
          <w:p w14:paraId="697D69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Przebudowa napowietrznej linii telekomunikacyjnej </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tcPr>
          <w:p w14:paraId="0B573D8B" w14:textId="77777777" w:rsidR="00955A27" w:rsidRPr="001667DB" w:rsidRDefault="00904E6C" w:rsidP="00955A27">
            <w:pPr>
              <w:spacing w:after="120" w:line="360" w:lineRule="auto"/>
              <w:jc w:val="center"/>
              <w:rPr>
                <w:rFonts w:ascii="Times New Roman" w:hAnsi="Times New Roman" w:cs="Times New Roman"/>
                <w:b/>
                <w:color w:val="000000" w:themeColor="text1"/>
              </w:rPr>
            </w:pPr>
            <w:r>
              <w:rPr>
                <w:rFonts w:ascii="Times New Roman" w:hAnsi="Times New Roman" w:cs="Times New Roman"/>
                <w:b/>
                <w:color w:val="000000" w:themeColor="text1"/>
              </w:rPr>
              <w:t>715</w:t>
            </w:r>
          </w:p>
        </w:tc>
      </w:tr>
      <w:tr w:rsidR="00955A27" w:rsidRPr="001667DB" w14:paraId="26683D8A" w14:textId="77777777" w:rsidTr="00910DF5">
        <w:trPr>
          <w:jc w:val="center"/>
        </w:trPr>
        <w:tc>
          <w:tcPr>
            <w:tcW w:w="1545" w:type="dxa"/>
            <w:tcBorders>
              <w:top w:val="single" w:sz="12" w:space="0" w:color="000000"/>
              <w:left w:val="single" w:sz="12" w:space="0" w:color="000000"/>
              <w:bottom w:val="single" w:sz="12" w:space="0" w:color="000000"/>
              <w:right w:val="single" w:sz="12" w:space="0" w:color="000000"/>
            </w:tcBorders>
            <w:shd w:val="clear" w:color="auto" w:fill="auto"/>
          </w:tcPr>
          <w:p w14:paraId="4170E37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D.01.03.04</w:t>
            </w:r>
          </w:p>
        </w:tc>
        <w:tc>
          <w:tcPr>
            <w:tcW w:w="5953" w:type="dxa"/>
            <w:tcBorders>
              <w:top w:val="single" w:sz="12" w:space="0" w:color="000000"/>
              <w:left w:val="single" w:sz="12" w:space="0" w:color="000000"/>
              <w:bottom w:val="single" w:sz="12" w:space="0" w:color="000000"/>
              <w:right w:val="single" w:sz="12" w:space="0" w:color="000000"/>
            </w:tcBorders>
            <w:shd w:val="clear" w:color="auto" w:fill="auto"/>
          </w:tcPr>
          <w:p w14:paraId="22D2E80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Przebudowa kablowych linii telekomunikacyjnych i budowa kanału technologicznego </w:t>
            </w:r>
          </w:p>
        </w:tc>
        <w:tc>
          <w:tcPr>
            <w:tcW w:w="912" w:type="dxa"/>
            <w:tcBorders>
              <w:top w:val="single" w:sz="12" w:space="0" w:color="000000"/>
              <w:left w:val="single" w:sz="12" w:space="0" w:color="000000"/>
              <w:bottom w:val="single" w:sz="12" w:space="0" w:color="000000"/>
              <w:right w:val="single" w:sz="12" w:space="0" w:color="000000"/>
            </w:tcBorders>
            <w:shd w:val="clear" w:color="auto" w:fill="auto"/>
          </w:tcPr>
          <w:p w14:paraId="101C3D4C" w14:textId="77777777" w:rsidR="00955A27" w:rsidRPr="001667DB" w:rsidRDefault="00904E6C" w:rsidP="00955A27">
            <w:pPr>
              <w:spacing w:after="120" w:line="360" w:lineRule="auto"/>
              <w:jc w:val="center"/>
              <w:rPr>
                <w:rFonts w:ascii="Times New Roman" w:hAnsi="Times New Roman" w:cs="Times New Roman"/>
                <w:b/>
                <w:color w:val="000000" w:themeColor="text1"/>
              </w:rPr>
            </w:pPr>
            <w:r>
              <w:rPr>
                <w:rFonts w:ascii="Times New Roman" w:hAnsi="Times New Roman" w:cs="Times New Roman"/>
                <w:b/>
                <w:color w:val="000000" w:themeColor="text1"/>
              </w:rPr>
              <w:t>723</w:t>
            </w:r>
          </w:p>
        </w:tc>
      </w:tr>
    </w:tbl>
    <w:p w14:paraId="080DA211" w14:textId="77777777" w:rsidR="00955A27" w:rsidRPr="001667DB" w:rsidRDefault="00955A27" w:rsidP="00955A27">
      <w:pPr>
        <w:pStyle w:val="Tekstpodstawowy"/>
        <w:spacing w:before="0" w:after="120"/>
        <w:rPr>
          <w:color w:val="000000" w:themeColor="text1"/>
          <w:sz w:val="22"/>
          <w:szCs w:val="22"/>
        </w:rPr>
      </w:pPr>
      <w:r w:rsidRPr="001667DB">
        <w:rPr>
          <w:b/>
          <w:color w:val="000000" w:themeColor="text1"/>
          <w:sz w:val="22"/>
          <w:szCs w:val="22"/>
        </w:rPr>
        <w:t>1.3.2.</w:t>
      </w:r>
      <w:r w:rsidRPr="001667DB">
        <w:rPr>
          <w:color w:val="000000" w:themeColor="text1"/>
          <w:sz w:val="22"/>
          <w:szCs w:val="22"/>
        </w:rPr>
        <w:t xml:space="preserve"> Niezależnie od postanowień Klauzuli 3.1 Danych Kontraktowyc</w:t>
      </w:r>
      <w:r w:rsidR="0026402B">
        <w:rPr>
          <w:color w:val="000000" w:themeColor="text1"/>
          <w:sz w:val="22"/>
          <w:szCs w:val="22"/>
        </w:rPr>
        <w:t>h normy państwowe, instrukcje i </w:t>
      </w:r>
      <w:r w:rsidRPr="001667DB">
        <w:rPr>
          <w:color w:val="000000" w:themeColor="text1"/>
          <w:sz w:val="22"/>
          <w:szCs w:val="22"/>
        </w:rPr>
        <w:t>przepisy wymienione w Specyfikacjach Technicznych będą stosowane przez Wykonawcę w języku polskim.</w:t>
      </w:r>
    </w:p>
    <w:p w14:paraId="0E0F0BDE"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9" w:name="_Toc476391137"/>
      <w:bookmarkStart w:id="10" w:name="_Toc7658811"/>
      <w:r w:rsidRPr="001667DB">
        <w:rPr>
          <w:color w:val="000000" w:themeColor="text1"/>
          <w:sz w:val="22"/>
          <w:szCs w:val="22"/>
          <w:u w:val="none"/>
        </w:rPr>
        <w:t>Określenia podstawowe</w:t>
      </w:r>
      <w:bookmarkEnd w:id="9"/>
      <w:bookmarkEnd w:id="10"/>
    </w:p>
    <w:p w14:paraId="72470522"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Użyte w ST wymienione poniżej określenia należy rozumieć w każdym przypadku następująco:</w:t>
      </w:r>
    </w:p>
    <w:p w14:paraId="299CE01D"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w:t>
      </w:r>
      <w:r w:rsidRPr="001667DB">
        <w:rPr>
          <w:b/>
          <w:color w:val="000000" w:themeColor="text1"/>
          <w:sz w:val="22"/>
          <w:szCs w:val="22"/>
        </w:rPr>
        <w:tab/>
        <w:t xml:space="preserve"> Budowla drogowa</w:t>
      </w:r>
      <w:r w:rsidRPr="001667DB">
        <w:rPr>
          <w:color w:val="000000" w:themeColor="text1"/>
          <w:sz w:val="22"/>
          <w:szCs w:val="22"/>
        </w:rPr>
        <w:t xml:space="preserve"> - obiekt budowlany, nie będący budynkiem, stanowiący całość techniczno-użytkową (drogę) albo jego część stanowiąca odrębny element konstrukcyjny lub technologiczny (obiekt mostowy, korpus ziemny, węzeł).</w:t>
      </w:r>
    </w:p>
    <w:p w14:paraId="024E8EA2"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1.4.2. </w:t>
      </w:r>
      <w:r w:rsidRPr="001667DB">
        <w:rPr>
          <w:b/>
          <w:color w:val="000000" w:themeColor="text1"/>
          <w:sz w:val="22"/>
          <w:szCs w:val="22"/>
        </w:rPr>
        <w:tab/>
        <w:t>Droga</w:t>
      </w:r>
      <w:r w:rsidRPr="001667DB">
        <w:rPr>
          <w:color w:val="000000" w:themeColor="text1"/>
          <w:sz w:val="22"/>
          <w:szCs w:val="22"/>
        </w:rPr>
        <w:t xml:space="preserve"> - wydzielony pas terenu przeznaczony do ruchu lub postoju pojazdów oraz ruchu pieszych wraz z wszelkimi urządzeniami technicznymi związanymi z prowadzeniem i zabezpieczeniem ruchu.</w:t>
      </w:r>
    </w:p>
    <w:p w14:paraId="1AC28504"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1.4.3. </w:t>
      </w:r>
      <w:r w:rsidRPr="001667DB">
        <w:rPr>
          <w:b/>
          <w:color w:val="000000" w:themeColor="text1"/>
          <w:sz w:val="22"/>
          <w:szCs w:val="22"/>
        </w:rPr>
        <w:tab/>
        <w:t>Droga tymczasowa (montażowa)</w:t>
      </w:r>
      <w:r w:rsidRPr="001667DB">
        <w:rPr>
          <w:color w:val="000000" w:themeColor="text1"/>
          <w:sz w:val="22"/>
          <w:szCs w:val="22"/>
        </w:rPr>
        <w:t xml:space="preserve"> - droga specjalnie przygotowana, przeznaczona do ruchu pojazdów obsługujących zadanie budowlane na czas jego wykonania, przewidziana do usunięcia po jego zakończeniu.</w:t>
      </w:r>
    </w:p>
    <w:p w14:paraId="3375ABB8"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lastRenderedPageBreak/>
        <w:t xml:space="preserve">1.4.4. </w:t>
      </w:r>
      <w:r w:rsidRPr="001667DB">
        <w:rPr>
          <w:b/>
          <w:color w:val="000000" w:themeColor="text1"/>
          <w:sz w:val="22"/>
          <w:szCs w:val="22"/>
        </w:rPr>
        <w:tab/>
        <w:t>Dziennik Budowy</w:t>
      </w:r>
      <w:r w:rsidRPr="001667DB">
        <w:rPr>
          <w:color w:val="000000" w:themeColor="text1"/>
          <w:sz w:val="22"/>
          <w:szCs w:val="22"/>
        </w:rPr>
        <w:t xml:space="preserve"> - opatrzony pieczęcią Zamawiającego zeszyt, z ponumerowanymi stronami, służący do notowania wydarzeń zaistniałych w czasie wykonywania zadania budowlanego, rejestrowania dokonywanych odbiorów Robót, przekazywania poleceń i innej korespondencji technicznej pomiędzy Inżynierem, Wykonawcą i Projektantem.</w:t>
      </w:r>
    </w:p>
    <w:p w14:paraId="44498457"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1.4.5. </w:t>
      </w:r>
      <w:r w:rsidRPr="001667DB">
        <w:rPr>
          <w:color w:val="000000" w:themeColor="text1"/>
          <w:sz w:val="22"/>
          <w:szCs w:val="22"/>
        </w:rPr>
        <w:tab/>
      </w:r>
      <w:r w:rsidRPr="001667DB">
        <w:rPr>
          <w:b/>
          <w:color w:val="000000" w:themeColor="text1"/>
          <w:sz w:val="22"/>
          <w:szCs w:val="22"/>
        </w:rPr>
        <w:t>Inżynier - P</w:t>
      </w:r>
      <w:r w:rsidRPr="001667DB">
        <w:rPr>
          <w:b/>
          <w:bCs/>
          <w:color w:val="000000" w:themeColor="text1"/>
          <w:sz w:val="22"/>
          <w:szCs w:val="22"/>
        </w:rPr>
        <w:t>rzedstawiciel Inwestora</w:t>
      </w:r>
      <w:r w:rsidRPr="001667DB">
        <w:rPr>
          <w:color w:val="000000" w:themeColor="text1"/>
          <w:sz w:val="22"/>
          <w:szCs w:val="22"/>
        </w:rPr>
        <w:t>- instytucja upełnomocnionego przedstawiciela Zamawiającego, którego uprawnienia i obowiązki w stosunkach z Wykonawcą w procesie realizacji Robót określono w kontrakcie. Obowiązki Inżyniera może pełnić osoba prawna lub fizyczna, w tym również pracownik Zamawiającego, o wyznaczeniu, której, Zamawiający powiadomił Wykonawcę na piśmie.</w:t>
      </w:r>
    </w:p>
    <w:p w14:paraId="5366D6EB"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1.4.6.</w:t>
      </w:r>
      <w:r w:rsidRPr="001667DB">
        <w:rPr>
          <w:b/>
          <w:color w:val="000000" w:themeColor="text1"/>
          <w:sz w:val="22"/>
          <w:szCs w:val="22"/>
        </w:rPr>
        <w:tab/>
        <w:t xml:space="preserve">  Jezdnia</w:t>
      </w:r>
      <w:r w:rsidRPr="001667DB">
        <w:rPr>
          <w:color w:val="000000" w:themeColor="text1"/>
          <w:sz w:val="22"/>
          <w:szCs w:val="22"/>
        </w:rPr>
        <w:t xml:space="preserve"> - część korony drogi przeznaczona do ruchu pojazdów.</w:t>
      </w:r>
    </w:p>
    <w:p w14:paraId="2B4FE2FE"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1.4.7 .</w:t>
      </w:r>
      <w:r w:rsidRPr="001667DB">
        <w:rPr>
          <w:b/>
          <w:color w:val="000000" w:themeColor="text1"/>
          <w:sz w:val="22"/>
          <w:szCs w:val="22"/>
        </w:rPr>
        <w:tab/>
        <w:t>Kierownik budowy</w:t>
      </w:r>
      <w:r w:rsidRPr="001667DB">
        <w:rPr>
          <w:color w:val="000000" w:themeColor="text1"/>
          <w:sz w:val="22"/>
          <w:szCs w:val="22"/>
        </w:rPr>
        <w:t xml:space="preserve"> - osoba wyznaczona przez Wykonawcę, upoważniona do kierowania Robotami i do występowania w jego imieniu w sprawach realizacji Kontraktu.</w:t>
      </w:r>
    </w:p>
    <w:p w14:paraId="32C3FA26"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1.4.8.</w:t>
      </w:r>
      <w:r w:rsidRPr="001667DB">
        <w:rPr>
          <w:b/>
          <w:color w:val="000000" w:themeColor="text1"/>
          <w:sz w:val="22"/>
          <w:szCs w:val="22"/>
        </w:rPr>
        <w:tab/>
        <w:t>Korona drogi</w:t>
      </w:r>
      <w:r w:rsidRPr="001667DB">
        <w:rPr>
          <w:color w:val="000000" w:themeColor="text1"/>
          <w:sz w:val="22"/>
          <w:szCs w:val="22"/>
        </w:rPr>
        <w:t xml:space="preserve"> - jezdnia z poboczami lub chodnikami, zatokami, pasami awaryjnego postoju i pasami dzielącymi jezdnie.</w:t>
      </w:r>
    </w:p>
    <w:p w14:paraId="23604F69"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1.4.9.</w:t>
      </w:r>
      <w:r w:rsidRPr="001667DB">
        <w:rPr>
          <w:b/>
          <w:color w:val="000000" w:themeColor="text1"/>
          <w:sz w:val="22"/>
          <w:szCs w:val="22"/>
        </w:rPr>
        <w:tab/>
        <w:t>Konstrukcja nawierzchni</w:t>
      </w:r>
      <w:r w:rsidRPr="001667DB">
        <w:rPr>
          <w:color w:val="000000" w:themeColor="text1"/>
          <w:sz w:val="22"/>
          <w:szCs w:val="22"/>
        </w:rPr>
        <w:t xml:space="preserve"> - układ warstw nawierzchni wraz ze sposobem ich połączenia.</w:t>
      </w:r>
    </w:p>
    <w:p w14:paraId="40D32D2F"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1.4.10.</w:t>
      </w:r>
      <w:r w:rsidRPr="001667DB">
        <w:rPr>
          <w:b/>
          <w:color w:val="000000" w:themeColor="text1"/>
          <w:sz w:val="22"/>
          <w:szCs w:val="22"/>
        </w:rPr>
        <w:tab/>
        <w:t>Konstrukcja nośna (przęsło lub przęsła obiektu mostowego)</w:t>
      </w:r>
      <w:r w:rsidRPr="001667DB">
        <w:rPr>
          <w:color w:val="000000" w:themeColor="text1"/>
          <w:sz w:val="22"/>
          <w:szCs w:val="22"/>
        </w:rPr>
        <w:t xml:space="preserve"> - część obiektu oparta na podporach mostowych, tworząca ustrój niosący dla przeniesienia ruchu kołowego, pieszego.</w:t>
      </w:r>
    </w:p>
    <w:p w14:paraId="00794D34"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1.4.11.</w:t>
      </w:r>
      <w:r w:rsidRPr="001667DB">
        <w:rPr>
          <w:b/>
          <w:color w:val="000000" w:themeColor="text1"/>
          <w:sz w:val="22"/>
          <w:szCs w:val="22"/>
        </w:rPr>
        <w:tab/>
        <w:t>Korpus drogowy</w:t>
      </w:r>
      <w:r w:rsidRPr="001667DB">
        <w:rPr>
          <w:color w:val="000000" w:themeColor="text1"/>
          <w:sz w:val="22"/>
          <w:szCs w:val="22"/>
        </w:rPr>
        <w:t xml:space="preserve"> - nasyp lub ta część wykopu, która jest ograniczona koroną drogi i skarpami rowów.</w:t>
      </w:r>
    </w:p>
    <w:p w14:paraId="4893714C"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1.4.12.</w:t>
      </w:r>
      <w:r w:rsidRPr="001667DB">
        <w:rPr>
          <w:b/>
          <w:color w:val="000000" w:themeColor="text1"/>
          <w:sz w:val="22"/>
          <w:szCs w:val="22"/>
        </w:rPr>
        <w:tab/>
        <w:t>Koryto</w:t>
      </w:r>
      <w:r w:rsidRPr="001667DB">
        <w:rPr>
          <w:color w:val="000000" w:themeColor="text1"/>
          <w:sz w:val="22"/>
          <w:szCs w:val="22"/>
        </w:rPr>
        <w:t xml:space="preserve"> - element uformowany w korpusie drogowym w celu ułożenia w nim konstrukcji nawierzchni.</w:t>
      </w:r>
    </w:p>
    <w:p w14:paraId="5B6E4D4C"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1.4.13. </w:t>
      </w:r>
      <w:r w:rsidRPr="001667DB">
        <w:rPr>
          <w:b/>
          <w:color w:val="000000" w:themeColor="text1"/>
          <w:sz w:val="22"/>
          <w:szCs w:val="22"/>
        </w:rPr>
        <w:t>Rejestr Obmiarów</w:t>
      </w:r>
      <w:r w:rsidRPr="001667DB">
        <w:rPr>
          <w:color w:val="000000" w:themeColor="text1"/>
          <w:sz w:val="22"/>
          <w:szCs w:val="22"/>
        </w:rPr>
        <w:t xml:space="preserve"> - akceptowany przez Inżyniera rejestr z ponumerowanymi stronami służący do wpisywania przez Wykonawcę obmiaru dokonywanych Robót w formie wyliczeń, szkiców i ew. dodatkowych załączników. Wpisy w Rejestrze Obmiarów podlegają potwierdzeniu przez Inżyniera. </w:t>
      </w:r>
    </w:p>
    <w:p w14:paraId="31983600"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1.4.14.</w:t>
      </w:r>
      <w:r w:rsidRPr="001667DB">
        <w:rPr>
          <w:b/>
          <w:color w:val="000000" w:themeColor="text1"/>
          <w:sz w:val="22"/>
          <w:szCs w:val="22"/>
        </w:rPr>
        <w:tab/>
        <w:t>Laboratorium</w:t>
      </w:r>
      <w:r w:rsidRPr="001667DB">
        <w:rPr>
          <w:color w:val="000000" w:themeColor="text1"/>
          <w:sz w:val="22"/>
          <w:szCs w:val="22"/>
        </w:rPr>
        <w:t xml:space="preserve"> - drogowe lub inne laboratorium badawcze, zaakceptowane przez Zamawiającego, niezbędne do przeprowadzenia wszelkich badań i prób związanych z oceną jakości materiałów oraz Robót.</w:t>
      </w:r>
    </w:p>
    <w:p w14:paraId="375C6C3A"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1.4.15.</w:t>
      </w:r>
      <w:r w:rsidRPr="001667DB">
        <w:rPr>
          <w:b/>
          <w:color w:val="000000" w:themeColor="text1"/>
          <w:sz w:val="22"/>
          <w:szCs w:val="22"/>
        </w:rPr>
        <w:tab/>
        <w:t>Materiały</w:t>
      </w:r>
      <w:r w:rsidRPr="001667DB">
        <w:rPr>
          <w:color w:val="000000" w:themeColor="text1"/>
          <w:sz w:val="22"/>
          <w:szCs w:val="22"/>
        </w:rPr>
        <w:t xml:space="preserve"> - wszelkie tworzywa niezbędne do wykonania Robót, zgodne z Dokumentacją Projektową i Specyfikacjami Technicznymi, zaakceptowane przez Inżyniera.</w:t>
      </w:r>
    </w:p>
    <w:p w14:paraId="6FB0B8D2"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1.4.16. </w:t>
      </w:r>
      <w:r w:rsidRPr="001667DB">
        <w:rPr>
          <w:b/>
          <w:color w:val="000000" w:themeColor="text1"/>
          <w:sz w:val="22"/>
          <w:szCs w:val="22"/>
        </w:rPr>
        <w:t>Most</w:t>
      </w:r>
      <w:r w:rsidRPr="001667DB">
        <w:rPr>
          <w:color w:val="000000" w:themeColor="text1"/>
          <w:sz w:val="22"/>
          <w:szCs w:val="22"/>
        </w:rPr>
        <w:t xml:space="preserve"> - obiekt zbudowany nad przeszkodą wodną dla zapewnienia komunikacji drogowej i ruchu pieszego.</w:t>
      </w:r>
    </w:p>
    <w:p w14:paraId="69AF42A1"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1.4.17.</w:t>
      </w:r>
      <w:r w:rsidRPr="001667DB">
        <w:rPr>
          <w:b/>
          <w:color w:val="000000" w:themeColor="text1"/>
          <w:sz w:val="22"/>
          <w:szCs w:val="22"/>
        </w:rPr>
        <w:tab/>
        <w:t xml:space="preserve">  Nawierzchnia</w:t>
      </w:r>
      <w:r w:rsidRPr="001667DB">
        <w:rPr>
          <w:color w:val="000000" w:themeColor="text1"/>
          <w:sz w:val="22"/>
          <w:szCs w:val="22"/>
        </w:rPr>
        <w:t xml:space="preserve"> - warstwa lub zespół warstw służących do przejmowania i rozkładania obciążeń od ruchu na podłoże gruntowe i zapewniających dogodne warunki dla ruchu.</w:t>
      </w:r>
    </w:p>
    <w:p w14:paraId="039BFB86"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lastRenderedPageBreak/>
        <w:t>a)</w:t>
      </w:r>
      <w:r w:rsidRPr="001667DB">
        <w:rPr>
          <w:b/>
          <w:color w:val="000000" w:themeColor="text1"/>
          <w:sz w:val="22"/>
          <w:szCs w:val="22"/>
        </w:rPr>
        <w:tab/>
        <w:t xml:space="preserve">  Warstwa ścieralna</w:t>
      </w:r>
      <w:r w:rsidRPr="001667DB">
        <w:rPr>
          <w:color w:val="000000" w:themeColor="text1"/>
          <w:sz w:val="22"/>
          <w:szCs w:val="22"/>
        </w:rPr>
        <w:t xml:space="preserve"> - górna warstwa nawierzchni poddana bez</w:t>
      </w:r>
      <w:r w:rsidR="009A197E">
        <w:rPr>
          <w:color w:val="000000" w:themeColor="text1"/>
          <w:sz w:val="22"/>
          <w:szCs w:val="22"/>
        </w:rPr>
        <w:t>pośrednio oddziaływaniu ruchu i </w:t>
      </w:r>
      <w:r w:rsidRPr="001667DB">
        <w:rPr>
          <w:color w:val="000000" w:themeColor="text1"/>
          <w:sz w:val="22"/>
          <w:szCs w:val="22"/>
        </w:rPr>
        <w:t>czynników atmosferycznych.</w:t>
      </w:r>
    </w:p>
    <w:p w14:paraId="120CFFC6"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b)</w:t>
      </w:r>
      <w:r w:rsidRPr="001667DB">
        <w:rPr>
          <w:b/>
          <w:color w:val="000000" w:themeColor="text1"/>
          <w:sz w:val="22"/>
          <w:szCs w:val="22"/>
        </w:rPr>
        <w:tab/>
        <w:t>Warstwa wiążąca</w:t>
      </w:r>
      <w:r w:rsidRPr="001667DB">
        <w:rPr>
          <w:color w:val="000000" w:themeColor="text1"/>
          <w:sz w:val="22"/>
          <w:szCs w:val="22"/>
        </w:rPr>
        <w:t xml:space="preserve"> - warstwa znajdująca się między warstwą ścieralną a podbudową, zapewniająca lepsze rozłożenie naprężeń w nawierzchni i przekazywanie ich na podbudowę.</w:t>
      </w:r>
    </w:p>
    <w:p w14:paraId="17BD1C55"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c)</w:t>
      </w:r>
      <w:r w:rsidRPr="001667DB">
        <w:rPr>
          <w:b/>
          <w:color w:val="000000" w:themeColor="text1"/>
          <w:sz w:val="22"/>
          <w:szCs w:val="22"/>
        </w:rPr>
        <w:tab/>
        <w:t xml:space="preserve">  Podbudowa</w:t>
      </w:r>
      <w:r w:rsidRPr="001667DB">
        <w:rPr>
          <w:color w:val="000000" w:themeColor="text1"/>
          <w:sz w:val="22"/>
          <w:szCs w:val="22"/>
        </w:rPr>
        <w:t xml:space="preserve"> - dolna część nawierzchni służąca do przenoszenia obciążeń od ruchu na podłoże. Podbudowa może składać się z podbudowy zasadniczej i podbudowy pomocniczej.</w:t>
      </w:r>
    </w:p>
    <w:p w14:paraId="4CF4B4B5"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d)</w:t>
      </w:r>
      <w:r w:rsidRPr="001667DB">
        <w:rPr>
          <w:b/>
          <w:color w:val="000000" w:themeColor="text1"/>
          <w:sz w:val="22"/>
          <w:szCs w:val="22"/>
        </w:rPr>
        <w:tab/>
        <w:t xml:space="preserve"> Podbudowa zasadnicza</w:t>
      </w:r>
      <w:r w:rsidRPr="001667DB">
        <w:rPr>
          <w:color w:val="000000" w:themeColor="text1"/>
          <w:sz w:val="22"/>
          <w:szCs w:val="22"/>
        </w:rPr>
        <w:t xml:space="preserve"> - górna część podbudowy spełniająca funkcje nośne w konstrukcji nawierzchni. Może ona składać się z jednej lub dwóch warstw.</w:t>
      </w:r>
    </w:p>
    <w:p w14:paraId="62C556B3"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e)</w:t>
      </w:r>
      <w:r w:rsidRPr="001667DB">
        <w:rPr>
          <w:b/>
          <w:color w:val="000000" w:themeColor="text1"/>
          <w:sz w:val="22"/>
          <w:szCs w:val="22"/>
        </w:rPr>
        <w:tab/>
        <w:t xml:space="preserve">   Podbudowa pomocnicza</w:t>
      </w:r>
      <w:r w:rsidRPr="001667DB">
        <w:rPr>
          <w:color w:val="000000" w:themeColor="text1"/>
          <w:sz w:val="22"/>
          <w:szCs w:val="22"/>
        </w:rPr>
        <w:t xml:space="preserve"> - dolna część podbudowy spełniająca, obok funkcji nośnych, funkcje zabezpieczenia nawierzchni przed działaniem wody, mrozu i przenikaniem cząstek podłoża. Może zawierać warstwę mrozoochronną, odsączającą lub odcinającą.</w:t>
      </w:r>
    </w:p>
    <w:p w14:paraId="479BEDCA" w14:textId="77777777" w:rsidR="00955A27" w:rsidRPr="001667DB" w:rsidRDefault="00955A27" w:rsidP="00955A27">
      <w:pPr>
        <w:pStyle w:val="Lista"/>
        <w:tabs>
          <w:tab w:val="clear" w:pos="284"/>
        </w:tabs>
        <w:spacing w:after="120" w:line="360" w:lineRule="auto"/>
        <w:ind w:left="0" w:firstLine="0"/>
        <w:rPr>
          <w:color w:val="000000" w:themeColor="text1"/>
          <w:sz w:val="22"/>
          <w:szCs w:val="22"/>
        </w:rPr>
      </w:pPr>
      <w:r w:rsidRPr="001667DB">
        <w:rPr>
          <w:color w:val="000000" w:themeColor="text1"/>
          <w:sz w:val="22"/>
          <w:szCs w:val="22"/>
        </w:rPr>
        <w:t>1.4.18.</w:t>
      </w:r>
      <w:r w:rsidRPr="001667DB">
        <w:rPr>
          <w:b/>
          <w:color w:val="000000" w:themeColor="text1"/>
          <w:sz w:val="22"/>
          <w:szCs w:val="22"/>
        </w:rPr>
        <w:tab/>
        <w:t>Niweleta</w:t>
      </w:r>
      <w:r w:rsidRPr="001667DB">
        <w:rPr>
          <w:color w:val="000000" w:themeColor="text1"/>
          <w:sz w:val="22"/>
          <w:szCs w:val="22"/>
        </w:rPr>
        <w:t xml:space="preserve"> - wysokościowe i geometryczne rozwinięcie na płaszczyźnie pionowego przekroju w osi drogi lub obiektu mostowego.</w:t>
      </w:r>
    </w:p>
    <w:p w14:paraId="43FE3347"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1.4.19.</w:t>
      </w:r>
      <w:r w:rsidRPr="001667DB">
        <w:rPr>
          <w:b/>
          <w:color w:val="000000" w:themeColor="text1"/>
          <w:sz w:val="22"/>
          <w:szCs w:val="22"/>
        </w:rPr>
        <w:tab/>
        <w:t>Obiekt mostowy</w:t>
      </w:r>
      <w:r w:rsidRPr="001667DB">
        <w:rPr>
          <w:color w:val="000000" w:themeColor="text1"/>
          <w:sz w:val="22"/>
          <w:szCs w:val="22"/>
        </w:rPr>
        <w:t xml:space="preserve"> - most, wiadukt, estakada, tunel, kładka dla pieszych i przepust.</w:t>
      </w:r>
    </w:p>
    <w:p w14:paraId="0A01FCEB"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1.4.20.</w:t>
      </w:r>
      <w:r w:rsidRPr="001667DB">
        <w:rPr>
          <w:b/>
          <w:color w:val="000000" w:themeColor="text1"/>
          <w:sz w:val="22"/>
          <w:szCs w:val="22"/>
        </w:rPr>
        <w:tab/>
        <w:t>Objazd tymczasowy</w:t>
      </w:r>
      <w:r w:rsidRPr="001667DB">
        <w:rPr>
          <w:color w:val="000000" w:themeColor="text1"/>
          <w:sz w:val="22"/>
          <w:szCs w:val="22"/>
        </w:rPr>
        <w:t xml:space="preserve"> - droga specjalnie przygotowana i odpowiednio utrzymana do przeprowadzenia ruchu publicznego na okres budowy.</w:t>
      </w:r>
    </w:p>
    <w:p w14:paraId="095079D9"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1.4.21.</w:t>
      </w:r>
      <w:r w:rsidRPr="001667DB">
        <w:rPr>
          <w:b/>
          <w:color w:val="000000" w:themeColor="text1"/>
          <w:sz w:val="22"/>
          <w:szCs w:val="22"/>
        </w:rPr>
        <w:tab/>
        <w:t>Odpowiednia (bliska) zgodność</w:t>
      </w:r>
      <w:r w:rsidRPr="001667DB">
        <w:rPr>
          <w:color w:val="000000" w:themeColor="text1"/>
          <w:sz w:val="22"/>
          <w:szCs w:val="22"/>
        </w:rPr>
        <w:t xml:space="preserve"> - zgodność wykonywanych Robót z dopuszczonymi tolerancjami, a jeśli przedział tolerancji nie został określony - z przeciętnymi tolerancjami, przyjmowanymi zwyczajowo dla danego rodzaju Robót budowlanych.</w:t>
      </w:r>
    </w:p>
    <w:p w14:paraId="6F5F2F54"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1.4.22.</w:t>
      </w:r>
      <w:r w:rsidRPr="001667DB">
        <w:rPr>
          <w:b/>
          <w:color w:val="000000" w:themeColor="text1"/>
          <w:sz w:val="22"/>
          <w:szCs w:val="22"/>
        </w:rPr>
        <w:tab/>
        <w:t>Pas drogowy</w:t>
      </w:r>
      <w:r w:rsidRPr="001667DB">
        <w:rPr>
          <w:color w:val="000000" w:themeColor="text1"/>
          <w:sz w:val="22"/>
          <w:szCs w:val="22"/>
        </w:rPr>
        <w:t xml:space="preserve"> - wydzielony liniami rozgraniczającymi pas terenu przeznaczony do umieszczania w nim drogi oraz drzew i krzewów. Pas drogowy może również obejmować teren przewidziany do rozbudowy drogi i budowy urządzeń chroniących ludzi i środowisko przed uciążliwościami powodowanymi przez ruch na drodze.</w:t>
      </w:r>
    </w:p>
    <w:p w14:paraId="31A79DE1"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1.4.23.</w:t>
      </w:r>
      <w:r w:rsidRPr="001667DB">
        <w:rPr>
          <w:b/>
          <w:color w:val="000000" w:themeColor="text1"/>
          <w:sz w:val="22"/>
          <w:szCs w:val="22"/>
        </w:rPr>
        <w:tab/>
        <w:t xml:space="preserve"> Pobocze</w:t>
      </w:r>
      <w:r w:rsidRPr="001667DB">
        <w:rPr>
          <w:color w:val="000000" w:themeColor="text1"/>
          <w:sz w:val="22"/>
          <w:szCs w:val="22"/>
        </w:rPr>
        <w:t xml:space="preserve"> - część korony drogi przeznaczona do chwilowego zatrzymywania się pojazdów, umieszczenia urządzeń bezpieczeństwa ruchu i wykorzystywana do ruchu pieszych, służąca jednocześnie do bocznego oparcia konstrukcji nawierzchni.</w:t>
      </w:r>
    </w:p>
    <w:p w14:paraId="06609E07" w14:textId="77777777" w:rsidR="00955A27" w:rsidRPr="001667DB" w:rsidRDefault="00955A27" w:rsidP="00955A27">
      <w:pPr>
        <w:pStyle w:val="Lista"/>
        <w:tabs>
          <w:tab w:val="clear" w:pos="435"/>
        </w:tabs>
        <w:spacing w:after="120" w:line="360" w:lineRule="auto"/>
        <w:ind w:left="0" w:firstLine="0"/>
        <w:rPr>
          <w:color w:val="000000" w:themeColor="text1"/>
          <w:sz w:val="22"/>
          <w:szCs w:val="22"/>
        </w:rPr>
      </w:pPr>
      <w:r w:rsidRPr="001667DB">
        <w:rPr>
          <w:bCs/>
          <w:color w:val="000000" w:themeColor="text1"/>
          <w:sz w:val="22"/>
          <w:szCs w:val="22"/>
        </w:rPr>
        <w:t xml:space="preserve">1.4.24.  </w:t>
      </w:r>
      <w:r w:rsidRPr="001667DB">
        <w:rPr>
          <w:b/>
          <w:color w:val="000000" w:themeColor="text1"/>
          <w:sz w:val="22"/>
          <w:szCs w:val="22"/>
        </w:rPr>
        <w:t>Podłoże</w:t>
      </w:r>
      <w:r w:rsidRPr="001667DB">
        <w:rPr>
          <w:color w:val="000000" w:themeColor="text1"/>
          <w:sz w:val="22"/>
          <w:szCs w:val="22"/>
        </w:rPr>
        <w:t xml:space="preserve"> - grunt rodzimy lub nasypowy, leżący pod nawierzchnią do głębokości przemarzania.</w:t>
      </w:r>
    </w:p>
    <w:p w14:paraId="439B2B7D"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1.4.25. </w:t>
      </w:r>
      <w:r w:rsidRPr="001667DB">
        <w:rPr>
          <w:b/>
          <w:color w:val="000000" w:themeColor="text1"/>
          <w:sz w:val="22"/>
          <w:szCs w:val="22"/>
        </w:rPr>
        <w:t>Podłoże ulepszone</w:t>
      </w:r>
      <w:r w:rsidRPr="001667DB">
        <w:rPr>
          <w:color w:val="000000" w:themeColor="text1"/>
          <w:sz w:val="22"/>
          <w:szCs w:val="22"/>
        </w:rPr>
        <w:t xml:space="preserve"> - górna warstwa podłoża, leżąca bezpośredni</w:t>
      </w:r>
      <w:r w:rsidR="009A197E">
        <w:rPr>
          <w:color w:val="000000" w:themeColor="text1"/>
          <w:sz w:val="22"/>
          <w:szCs w:val="22"/>
        </w:rPr>
        <w:t>o pod nawierzchnią, ulepszona w </w:t>
      </w:r>
      <w:r w:rsidRPr="001667DB">
        <w:rPr>
          <w:color w:val="000000" w:themeColor="text1"/>
          <w:sz w:val="22"/>
          <w:szCs w:val="22"/>
        </w:rPr>
        <w:t>celu umożliwienia przejęcia ruchu budowlanego i właściwego wykonania nawierzchni.</w:t>
      </w:r>
    </w:p>
    <w:p w14:paraId="32E0360C"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1.4.26.</w:t>
      </w:r>
      <w:r w:rsidRPr="001667DB">
        <w:rPr>
          <w:b/>
          <w:color w:val="000000" w:themeColor="text1"/>
          <w:sz w:val="22"/>
          <w:szCs w:val="22"/>
        </w:rPr>
        <w:tab/>
        <w:t xml:space="preserve">Polecenie Inżyniera </w:t>
      </w:r>
      <w:r w:rsidRPr="001667DB">
        <w:rPr>
          <w:color w:val="000000" w:themeColor="text1"/>
          <w:sz w:val="22"/>
          <w:szCs w:val="22"/>
        </w:rPr>
        <w:t>- wszelkie polecenia przekazane Wykonawcy przez Inżyniera, w formie pisemnej, dotyczące sposobu realizacji Robót lub innych spraw związanych z prowadzeniem budowy.</w:t>
      </w:r>
    </w:p>
    <w:p w14:paraId="5E8649D1"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1.4.27.</w:t>
      </w:r>
      <w:r w:rsidRPr="001667DB">
        <w:rPr>
          <w:b/>
          <w:color w:val="000000" w:themeColor="text1"/>
          <w:sz w:val="22"/>
          <w:szCs w:val="22"/>
        </w:rPr>
        <w:tab/>
        <w:t>Projektant</w:t>
      </w:r>
      <w:r w:rsidRPr="001667DB">
        <w:rPr>
          <w:color w:val="000000" w:themeColor="text1"/>
          <w:sz w:val="22"/>
          <w:szCs w:val="22"/>
        </w:rPr>
        <w:t xml:space="preserve"> - uprawniona osoba prawna lub fizyczna będąca autorem Dokumentacji Projektowej.</w:t>
      </w:r>
    </w:p>
    <w:p w14:paraId="60CAC080"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lastRenderedPageBreak/>
        <w:t>1.4.28.</w:t>
      </w:r>
      <w:r w:rsidRPr="001667DB">
        <w:rPr>
          <w:b/>
          <w:color w:val="000000" w:themeColor="text1"/>
          <w:sz w:val="22"/>
          <w:szCs w:val="22"/>
        </w:rPr>
        <w:tab/>
        <w:t>Przedsięwzięcie budowlane</w:t>
      </w:r>
      <w:r w:rsidRPr="001667DB">
        <w:rPr>
          <w:color w:val="000000" w:themeColor="text1"/>
          <w:sz w:val="22"/>
          <w:szCs w:val="22"/>
        </w:rPr>
        <w:t xml:space="preserve"> - kompleksowa realizacja nowego połączenia drogowego lub całkowita modernizacja (zmiana parametrów geometrycznych trasy w planie i przekroju podłużnym) istniejącego połączenia.</w:t>
      </w:r>
    </w:p>
    <w:p w14:paraId="5D47C5B7"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1.4.29.</w:t>
      </w:r>
      <w:r w:rsidRPr="001667DB">
        <w:rPr>
          <w:b/>
          <w:color w:val="000000" w:themeColor="text1"/>
          <w:sz w:val="22"/>
          <w:szCs w:val="22"/>
        </w:rPr>
        <w:tab/>
        <w:t>Przepust</w:t>
      </w:r>
      <w:r w:rsidRPr="001667DB">
        <w:rPr>
          <w:color w:val="000000" w:themeColor="text1"/>
          <w:sz w:val="22"/>
          <w:szCs w:val="22"/>
        </w:rPr>
        <w:t xml:space="preserve"> - obiekty wybudowane w formie zamkniętej obudowy konstrukcyjnej, służące do przepływu małych cieków wodnych pod nasypami korpusu drogowego lub dla ruchu kołowego, pieszego.</w:t>
      </w:r>
    </w:p>
    <w:p w14:paraId="2578E7CE"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1.4.30.</w:t>
      </w:r>
      <w:r w:rsidRPr="001667DB">
        <w:rPr>
          <w:color w:val="000000" w:themeColor="text1"/>
          <w:sz w:val="22"/>
          <w:szCs w:val="22"/>
        </w:rPr>
        <w:tab/>
      </w:r>
      <w:r w:rsidRPr="001667DB">
        <w:rPr>
          <w:b/>
          <w:color w:val="000000" w:themeColor="text1"/>
          <w:sz w:val="22"/>
          <w:szCs w:val="22"/>
        </w:rPr>
        <w:t>Przeszkoda naturalna</w:t>
      </w:r>
      <w:r w:rsidRPr="001667DB">
        <w:rPr>
          <w:color w:val="000000" w:themeColor="text1"/>
          <w:sz w:val="22"/>
          <w:szCs w:val="22"/>
        </w:rPr>
        <w:t xml:space="preserve"> - element środowiska naturalnego, stanowiący utrudnienie w realizacji zadania budowlanego, na przykład dolina, bagno, rzeka itp.</w:t>
      </w:r>
    </w:p>
    <w:p w14:paraId="2A619A03" w14:textId="77777777" w:rsidR="00955A27" w:rsidRPr="001667DB" w:rsidRDefault="00955A27" w:rsidP="00955A27">
      <w:pPr>
        <w:pStyle w:val="Lista"/>
        <w:spacing w:after="120" w:line="360" w:lineRule="auto"/>
        <w:ind w:left="0" w:firstLine="0"/>
        <w:rPr>
          <w:color w:val="000000" w:themeColor="text1"/>
          <w:sz w:val="22"/>
          <w:szCs w:val="22"/>
        </w:rPr>
      </w:pPr>
      <w:r w:rsidRPr="001667DB">
        <w:rPr>
          <w:bCs/>
          <w:color w:val="000000" w:themeColor="text1"/>
          <w:sz w:val="22"/>
          <w:szCs w:val="22"/>
        </w:rPr>
        <w:t>1.4.31.</w:t>
      </w:r>
      <w:r w:rsidRPr="001667DB">
        <w:rPr>
          <w:bCs/>
          <w:color w:val="000000" w:themeColor="text1"/>
          <w:sz w:val="22"/>
          <w:szCs w:val="22"/>
        </w:rPr>
        <w:tab/>
      </w:r>
      <w:r w:rsidRPr="001667DB">
        <w:rPr>
          <w:b/>
          <w:color w:val="000000" w:themeColor="text1"/>
          <w:sz w:val="22"/>
          <w:szCs w:val="22"/>
        </w:rPr>
        <w:t>Przeszkoda sztuczna</w:t>
      </w:r>
      <w:r w:rsidRPr="001667DB">
        <w:rPr>
          <w:color w:val="000000" w:themeColor="text1"/>
          <w:sz w:val="22"/>
          <w:szCs w:val="22"/>
        </w:rPr>
        <w:t xml:space="preserve"> - dzieło ludzkie, stanowiące utrudnienie w realizacji zadania budowlanego, na przykład droga, kolej, rurociąg itp.</w:t>
      </w:r>
    </w:p>
    <w:p w14:paraId="7D5E2633"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1.4.32.</w:t>
      </w:r>
      <w:r w:rsidRPr="001667DB">
        <w:rPr>
          <w:color w:val="000000" w:themeColor="text1"/>
          <w:sz w:val="22"/>
          <w:szCs w:val="22"/>
        </w:rPr>
        <w:tab/>
      </w:r>
      <w:r w:rsidRPr="001667DB">
        <w:rPr>
          <w:b/>
          <w:color w:val="000000" w:themeColor="text1"/>
          <w:sz w:val="22"/>
          <w:szCs w:val="22"/>
        </w:rPr>
        <w:t>Przetargowa Dokumentacja Projektowa</w:t>
      </w:r>
      <w:r w:rsidRPr="001667DB">
        <w:rPr>
          <w:color w:val="000000" w:themeColor="text1"/>
          <w:sz w:val="22"/>
          <w:szCs w:val="22"/>
        </w:rPr>
        <w:t xml:space="preserve"> - część Dokumentacji Projektowej, która wskazuje lokalizację, charakterystykę i wymiary obiektu będącego przedmiotem Robót.</w:t>
      </w:r>
    </w:p>
    <w:p w14:paraId="1FEC6CD0"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1.4.35.</w:t>
      </w:r>
      <w:r w:rsidRPr="001667DB">
        <w:rPr>
          <w:b/>
          <w:color w:val="000000" w:themeColor="text1"/>
          <w:sz w:val="22"/>
          <w:szCs w:val="22"/>
        </w:rPr>
        <w:tab/>
        <w:t>Rekultywacja</w:t>
      </w:r>
      <w:r w:rsidRPr="001667DB">
        <w:rPr>
          <w:color w:val="000000" w:themeColor="text1"/>
          <w:sz w:val="22"/>
          <w:szCs w:val="22"/>
        </w:rPr>
        <w:t xml:space="preserve"> - Roboty mające na celu uporządkowanie i przywrócenie pierwotnych funkcji terenom naruszonym w czasie realizacji zadania budowlanego.</w:t>
      </w:r>
    </w:p>
    <w:p w14:paraId="4C172BD2"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1.4.36.</w:t>
      </w:r>
      <w:r w:rsidRPr="001667DB">
        <w:rPr>
          <w:b/>
          <w:color w:val="000000" w:themeColor="text1"/>
          <w:sz w:val="22"/>
          <w:szCs w:val="22"/>
        </w:rPr>
        <w:tab/>
        <w:t>Ślepy Kosztorys</w:t>
      </w:r>
      <w:r w:rsidRPr="001667DB">
        <w:rPr>
          <w:color w:val="000000" w:themeColor="text1"/>
          <w:sz w:val="22"/>
          <w:szCs w:val="22"/>
        </w:rPr>
        <w:t xml:space="preserve"> - wykaz Robót z podaniem ich ilości (przedmiar) w kolejności technologicznej ich wykonania.</w:t>
      </w:r>
    </w:p>
    <w:p w14:paraId="2FF90356"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1.4.37.</w:t>
      </w:r>
      <w:r w:rsidRPr="001667DB">
        <w:rPr>
          <w:b/>
          <w:color w:val="000000" w:themeColor="text1"/>
          <w:sz w:val="22"/>
          <w:szCs w:val="22"/>
        </w:rPr>
        <w:tab/>
        <w:t>Zadanie budowlane</w:t>
      </w:r>
      <w:r w:rsidRPr="001667DB">
        <w:rPr>
          <w:color w:val="000000" w:themeColor="text1"/>
          <w:sz w:val="22"/>
          <w:szCs w:val="22"/>
        </w:rPr>
        <w:t xml:space="preserve"> - część przedsięwzięcia budowlanego, stanowiąca odrębną całość konstrukcyjną lub technologiczną, zdolną do samodzielnego spełnienia przewidywanych funkcji techniczno-użytkowych. Zadanie może polegać na wykonywaniu Robót związanych z budową, modernizacją, utrzymaniem oraz ochroną budowli drogowej lub jej elementu.</w:t>
      </w:r>
    </w:p>
    <w:p w14:paraId="7F01D13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11" w:name="_Toc476391138"/>
      <w:bookmarkStart w:id="12" w:name="_Toc7658812"/>
      <w:r w:rsidRPr="001667DB">
        <w:rPr>
          <w:color w:val="000000" w:themeColor="text1"/>
          <w:sz w:val="22"/>
          <w:szCs w:val="22"/>
          <w:u w:val="none"/>
        </w:rPr>
        <w:t>Ogólne wymagania dotyczące Robót</w:t>
      </w:r>
      <w:bookmarkEnd w:id="11"/>
      <w:bookmarkEnd w:id="12"/>
    </w:p>
    <w:p w14:paraId="03C4C03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Robót jest odpowiedzialny za jakość ich wykonania oraz za ich zgodność z Dokumentacją Projektową, Warunkami Ogólnymi i Szczególnymi, ST i poleceniami Inżyniera.</w:t>
      </w:r>
    </w:p>
    <w:p w14:paraId="2E0EDA85" w14:textId="77777777" w:rsidR="00955A27" w:rsidRPr="00777055" w:rsidRDefault="00955A27" w:rsidP="00777055">
      <w:pPr>
        <w:pStyle w:val="Nagwek3"/>
      </w:pPr>
      <w:r w:rsidRPr="00777055">
        <w:t>1.5.1.</w:t>
      </w:r>
      <w:r w:rsidRPr="00777055">
        <w:tab/>
        <w:t>Przekazanie Terenu Budowy</w:t>
      </w:r>
    </w:p>
    <w:p w14:paraId="0AE1E04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Zamawiający w terminie określonym w Warunkach Kontraktu przekaże Wykonawcy Teren Budowy wraz ze wszystkimi wymaganymi uzgodnieniami prawnymi i administracyjnymi, i współrzędne punktów głównych trasy oraz reperów, Dziennik Budowy oraz dwa egzemplarze Dokumentacji Projektowej i dwa komplety ST.</w:t>
      </w:r>
    </w:p>
    <w:p w14:paraId="1666EED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Na Wykonawcy spoczywa odpowiedzialność za ochronę przekazanych mu punktów pomiarowych do chwili odbioru ostatecznego Robót. Uszkodzone lub zniszczone znaki </w:t>
      </w:r>
      <w:r w:rsidR="00777055">
        <w:rPr>
          <w:color w:val="000000" w:themeColor="text1"/>
          <w:sz w:val="22"/>
          <w:szCs w:val="22"/>
        </w:rPr>
        <w:t>geodezyjne Wykonawca odtworzy i </w:t>
      </w:r>
      <w:r w:rsidRPr="001667DB">
        <w:rPr>
          <w:color w:val="000000" w:themeColor="text1"/>
          <w:sz w:val="22"/>
          <w:szCs w:val="22"/>
        </w:rPr>
        <w:t xml:space="preserve">utrwali na własny koszt. </w:t>
      </w:r>
    </w:p>
    <w:p w14:paraId="05E4CA01" w14:textId="77777777" w:rsidR="00955A27" w:rsidRPr="001667DB" w:rsidRDefault="00955A27" w:rsidP="00777055">
      <w:pPr>
        <w:pStyle w:val="Nagwek3"/>
      </w:pPr>
      <w:r w:rsidRPr="001667DB">
        <w:t>1.5.2.</w:t>
      </w:r>
      <w:r w:rsidRPr="001667DB">
        <w:tab/>
        <w:t>Dokumentacja Projektowa</w:t>
      </w:r>
    </w:p>
    <w:p w14:paraId="3526486E" w14:textId="77777777" w:rsidR="00955A27" w:rsidRPr="001667DB" w:rsidRDefault="00955A27" w:rsidP="00777055">
      <w:pPr>
        <w:pStyle w:val="Lista"/>
        <w:spacing w:before="240" w:line="360" w:lineRule="auto"/>
        <w:ind w:left="0" w:firstLine="0"/>
        <w:rPr>
          <w:color w:val="000000" w:themeColor="text1"/>
          <w:sz w:val="22"/>
          <w:szCs w:val="22"/>
        </w:rPr>
      </w:pPr>
      <w:r w:rsidRPr="001667DB">
        <w:rPr>
          <w:color w:val="000000" w:themeColor="text1"/>
          <w:sz w:val="22"/>
          <w:szCs w:val="22"/>
        </w:rPr>
        <w:t>Część:</w:t>
      </w:r>
    </w:p>
    <w:p w14:paraId="18B5630E" w14:textId="77777777" w:rsidR="00955A27"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w:t>
      </w:r>
      <w:r w:rsidRPr="001667DB">
        <w:rPr>
          <w:color w:val="000000" w:themeColor="text1"/>
          <w:sz w:val="22"/>
          <w:szCs w:val="22"/>
        </w:rPr>
        <w:tab/>
        <w:t>Drogowa (projekt budowlano - wykonawczy)</w:t>
      </w:r>
    </w:p>
    <w:p w14:paraId="01A5C151" w14:textId="77777777" w:rsidR="00910DF5" w:rsidRDefault="00910DF5" w:rsidP="00910DF5">
      <w:pPr>
        <w:pStyle w:val="Lista"/>
        <w:spacing w:after="120" w:line="360" w:lineRule="auto"/>
        <w:ind w:left="0" w:firstLine="0"/>
        <w:rPr>
          <w:color w:val="000000" w:themeColor="text1"/>
          <w:sz w:val="22"/>
          <w:szCs w:val="22"/>
        </w:rPr>
      </w:pPr>
      <w:r>
        <w:rPr>
          <w:color w:val="000000" w:themeColor="text1"/>
          <w:sz w:val="22"/>
          <w:szCs w:val="22"/>
        </w:rPr>
        <w:lastRenderedPageBreak/>
        <w:t>•</w:t>
      </w:r>
      <w:r>
        <w:rPr>
          <w:color w:val="000000" w:themeColor="text1"/>
          <w:sz w:val="22"/>
          <w:szCs w:val="22"/>
        </w:rPr>
        <w:tab/>
        <w:t>Mostowa</w:t>
      </w:r>
      <w:r w:rsidRPr="001667DB">
        <w:rPr>
          <w:color w:val="000000" w:themeColor="text1"/>
          <w:sz w:val="22"/>
          <w:szCs w:val="22"/>
        </w:rPr>
        <w:t xml:space="preserve"> (projekt budowlano - wykonawczy)</w:t>
      </w:r>
    </w:p>
    <w:p w14:paraId="4EF600DD"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 xml:space="preserve">     </w:t>
      </w:r>
      <w:r w:rsidRPr="001667DB">
        <w:rPr>
          <w:color w:val="000000" w:themeColor="text1"/>
          <w:sz w:val="22"/>
          <w:szCs w:val="22"/>
        </w:rPr>
        <w:tab/>
        <w:t>Dokumentacja Projektowa, Specyfikacje Techniczne oraz dodatkowe dokumenty przekazane przez Inżyniera Wykonawcy stanowią część Kontraktu, a wymagania wyszczególnione w choćby jednym z nich są obowiązujące dla Wykonawcy tak jakby zawarte były w całej dokumentacji.</w:t>
      </w:r>
    </w:p>
    <w:p w14:paraId="4E8C003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przypadku rozbieżności w ustaleniach poszczególnych dokumentów obowiązuje następująca kolejność ich ważności:</w:t>
      </w:r>
    </w:p>
    <w:p w14:paraId="6BF132CB"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1). Specyfikacje Techniczne.</w:t>
      </w:r>
    </w:p>
    <w:p w14:paraId="1F367668"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2). Dokumentacja Projektowa.</w:t>
      </w:r>
    </w:p>
    <w:p w14:paraId="0769338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nie może wykorzystywać błędów lub opuszczeń w Dokumentach Kontraktowych, a o ich wykryciu winien natychmiast powiadomić Inżyniera, który dokona odp</w:t>
      </w:r>
      <w:r w:rsidR="009A197E">
        <w:rPr>
          <w:color w:val="000000" w:themeColor="text1"/>
          <w:sz w:val="22"/>
          <w:szCs w:val="22"/>
        </w:rPr>
        <w:t>owiednich zmian lub poprawek. W </w:t>
      </w:r>
      <w:r w:rsidRPr="001667DB">
        <w:rPr>
          <w:color w:val="000000" w:themeColor="text1"/>
          <w:sz w:val="22"/>
          <w:szCs w:val="22"/>
        </w:rPr>
        <w:t>przypadku rozbieżności opis wymiarów ważniejszy jest od odczytu ze skali rysunków.</w:t>
      </w:r>
    </w:p>
    <w:p w14:paraId="69EB4B7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Wszystkie wykonane Roboty i dostarczone materiały będą zgodne z Dokumentacją Projektową i ST. Dane określone w Dokumentacji Projektowej i w ST będą uważane za wartości docelowe, od których dopuszczalne są odchylenia w ramach określonego przedziału tolerancji. Cechy materiałów i elementów budowli muszą być jednorodne i wykazywać bliską zgodność z określonymi wymaganiami, a rozrzuty tych cech nie mogą przekraczać dopuszczalnego przedziału tolerancji. </w:t>
      </w:r>
    </w:p>
    <w:p w14:paraId="02B9EFC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przypadku, gdy materiały lub Roboty nie będą w pełni zgodne z Do</w:t>
      </w:r>
      <w:r w:rsidR="009A197E">
        <w:rPr>
          <w:color w:val="000000" w:themeColor="text1"/>
          <w:sz w:val="22"/>
          <w:szCs w:val="22"/>
        </w:rPr>
        <w:t>kumentacją Projektową lub ST, i </w:t>
      </w:r>
      <w:r w:rsidRPr="001667DB">
        <w:rPr>
          <w:color w:val="000000" w:themeColor="text1"/>
          <w:sz w:val="22"/>
          <w:szCs w:val="22"/>
        </w:rPr>
        <w:t>wpłynie to na niezadowalającą jakość elementu budowli, to takie materiały będą niezwłocznie zastąpione innymi, a Roboty rozebrane na koszt Wykonawcy.</w:t>
      </w:r>
    </w:p>
    <w:p w14:paraId="322FF125"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1.5.2.1. Dokumentacja Projektowa, którą Wykonawca opracuje we własnym zakresie w ramach Ceny Kontraktowej</w:t>
      </w:r>
    </w:p>
    <w:p w14:paraId="7442E21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Wykonawca we własnym zakresie opracuje:</w:t>
      </w:r>
    </w:p>
    <w:p w14:paraId="44E8B8C4" w14:textId="77777777" w:rsidR="00955A27" w:rsidRPr="001667DB" w:rsidRDefault="00955A27" w:rsidP="00955A27">
      <w:pPr>
        <w:pStyle w:val="Tekstpodstawowy"/>
        <w:numPr>
          <w:ilvl w:val="0"/>
          <w:numId w:val="9"/>
        </w:numPr>
        <w:spacing w:before="0" w:after="120"/>
        <w:ind w:left="0" w:firstLine="0"/>
        <w:rPr>
          <w:color w:val="000000" w:themeColor="text1"/>
          <w:sz w:val="22"/>
          <w:szCs w:val="22"/>
        </w:rPr>
      </w:pPr>
      <w:r w:rsidRPr="001667DB">
        <w:rPr>
          <w:color w:val="000000" w:themeColor="text1"/>
          <w:sz w:val="22"/>
          <w:szCs w:val="22"/>
        </w:rPr>
        <w:t>geodezyjną dokumentację powykonawczą oraz inne dodatkowe proj</w:t>
      </w:r>
      <w:r w:rsidR="009A197E">
        <w:rPr>
          <w:color w:val="000000" w:themeColor="text1"/>
          <w:sz w:val="22"/>
          <w:szCs w:val="22"/>
        </w:rPr>
        <w:t>ekty (jeśli będą wykonywane). W </w:t>
      </w:r>
      <w:r w:rsidRPr="001667DB">
        <w:rPr>
          <w:color w:val="000000" w:themeColor="text1"/>
          <w:sz w:val="22"/>
          <w:szCs w:val="22"/>
        </w:rPr>
        <w:t>oparciu o przepisy dotyczące sieci poligonizacji państwowej i osnowy realizacyjnej należy wykonać geodezyjną inwentaryzację powykonawczą sieci uzbrojenia terenu i obiektów, nanieść zmiany na mapę zasadniczą uzyskując potwierdzenie właściwego Ośrodka Dokumentacji Geodezyjnej i Kartograficznej.</w:t>
      </w:r>
    </w:p>
    <w:p w14:paraId="2F050F65" w14:textId="77777777" w:rsidR="00955A27" w:rsidRPr="00777055" w:rsidRDefault="00955A27" w:rsidP="00955A27">
      <w:pPr>
        <w:pStyle w:val="Tekstpodstawowy"/>
        <w:numPr>
          <w:ilvl w:val="0"/>
          <w:numId w:val="9"/>
        </w:numPr>
        <w:spacing w:before="0" w:after="120"/>
        <w:ind w:left="0" w:firstLine="0"/>
        <w:rPr>
          <w:color w:val="000000" w:themeColor="text1"/>
          <w:sz w:val="22"/>
          <w:szCs w:val="22"/>
        </w:rPr>
      </w:pPr>
      <w:r w:rsidRPr="00777055">
        <w:rPr>
          <w:color w:val="000000" w:themeColor="text1"/>
          <w:sz w:val="22"/>
          <w:szCs w:val="22"/>
        </w:rPr>
        <w:t xml:space="preserve">projekty </w:t>
      </w:r>
      <w:r w:rsidR="00D86519" w:rsidRPr="00777055">
        <w:rPr>
          <w:color w:val="000000" w:themeColor="text1"/>
          <w:sz w:val="22"/>
          <w:szCs w:val="22"/>
        </w:rPr>
        <w:t>technologii i organizacji robót,</w:t>
      </w:r>
    </w:p>
    <w:p w14:paraId="702C6783" w14:textId="77777777" w:rsidR="00D86519" w:rsidRPr="00777055" w:rsidRDefault="00D86519" w:rsidP="00955A27">
      <w:pPr>
        <w:pStyle w:val="Tekstpodstawowy"/>
        <w:numPr>
          <w:ilvl w:val="0"/>
          <w:numId w:val="9"/>
        </w:numPr>
        <w:spacing w:before="0" w:after="120"/>
        <w:ind w:left="0" w:firstLine="0"/>
        <w:rPr>
          <w:color w:val="000000" w:themeColor="text1"/>
          <w:sz w:val="22"/>
          <w:szCs w:val="22"/>
        </w:rPr>
      </w:pPr>
      <w:r w:rsidRPr="00777055">
        <w:rPr>
          <w:rFonts w:ascii="TimesNewRoman" w:hAnsi="TimesNewRoman" w:cs="TimesNewRoman"/>
          <w:sz w:val="22"/>
          <w:szCs w:val="22"/>
        </w:rPr>
        <w:t>plan BiOZ</w:t>
      </w:r>
    </w:p>
    <w:p w14:paraId="728BF3EA" w14:textId="77777777" w:rsidR="00955A27" w:rsidRPr="00777055" w:rsidRDefault="00955A27" w:rsidP="00955A27">
      <w:pPr>
        <w:pStyle w:val="Listapunktowana2"/>
        <w:tabs>
          <w:tab w:val="left" w:pos="284"/>
          <w:tab w:val="num" w:pos="426"/>
        </w:tabs>
        <w:spacing w:before="0" w:after="120" w:line="360" w:lineRule="auto"/>
        <w:ind w:left="0" w:firstLine="0"/>
        <w:rPr>
          <w:color w:val="000000" w:themeColor="text1"/>
          <w:sz w:val="22"/>
          <w:szCs w:val="22"/>
        </w:rPr>
      </w:pPr>
      <w:r w:rsidRPr="00777055">
        <w:rPr>
          <w:color w:val="000000" w:themeColor="text1"/>
          <w:sz w:val="22"/>
          <w:szCs w:val="22"/>
        </w:rPr>
        <w:t>projekt technologiczny rozbiórek,</w:t>
      </w:r>
    </w:p>
    <w:p w14:paraId="7E19446D" w14:textId="77777777" w:rsidR="00955A27" w:rsidRPr="00777055" w:rsidRDefault="00D86519" w:rsidP="00955A27">
      <w:pPr>
        <w:pStyle w:val="Tekstpodstawowy"/>
        <w:numPr>
          <w:ilvl w:val="0"/>
          <w:numId w:val="9"/>
        </w:numPr>
        <w:spacing w:before="0" w:after="120"/>
        <w:ind w:left="0" w:firstLine="0"/>
        <w:rPr>
          <w:color w:val="000000" w:themeColor="text1"/>
          <w:sz w:val="22"/>
          <w:szCs w:val="22"/>
        </w:rPr>
      </w:pPr>
      <w:r w:rsidRPr="00777055">
        <w:rPr>
          <w:color w:val="000000" w:themeColor="text1"/>
          <w:sz w:val="22"/>
          <w:szCs w:val="22"/>
        </w:rPr>
        <w:t xml:space="preserve">projekt zabezpieczenia wykopów </w:t>
      </w:r>
      <w:r w:rsidRPr="00777055">
        <w:rPr>
          <w:rFonts w:ascii="TimesNewRoman" w:hAnsi="TimesNewRoman" w:cs="TimesNewRoman"/>
          <w:sz w:val="22"/>
          <w:szCs w:val="22"/>
        </w:rPr>
        <w:t>wraz z ewentualnym odwodnieniem,</w:t>
      </w:r>
    </w:p>
    <w:p w14:paraId="2A630382" w14:textId="77777777" w:rsidR="00D86519" w:rsidRPr="00777055" w:rsidRDefault="00D86519" w:rsidP="00955A27">
      <w:pPr>
        <w:pStyle w:val="Tekstpodstawowy"/>
        <w:numPr>
          <w:ilvl w:val="0"/>
          <w:numId w:val="9"/>
        </w:numPr>
        <w:spacing w:before="0" w:after="120"/>
        <w:ind w:left="0" w:firstLine="0"/>
        <w:rPr>
          <w:color w:val="000000" w:themeColor="text1"/>
          <w:sz w:val="22"/>
          <w:szCs w:val="22"/>
        </w:rPr>
      </w:pPr>
      <w:r w:rsidRPr="00777055">
        <w:rPr>
          <w:rFonts w:ascii="TimesNewRoman" w:hAnsi="TimesNewRoman" w:cs="TimesNewRoman"/>
          <w:sz w:val="22"/>
          <w:szCs w:val="22"/>
        </w:rPr>
        <w:t>projekt zabezpieczenia cieku na czas prowadzenia robót,</w:t>
      </w:r>
    </w:p>
    <w:p w14:paraId="338A5A15" w14:textId="77777777" w:rsidR="00955A27" w:rsidRPr="00777055" w:rsidRDefault="00955A27" w:rsidP="00955A27">
      <w:pPr>
        <w:pStyle w:val="Listapunktowana2"/>
        <w:tabs>
          <w:tab w:val="left" w:pos="284"/>
          <w:tab w:val="num" w:pos="426"/>
        </w:tabs>
        <w:spacing w:before="0" w:after="120" w:line="360" w:lineRule="auto"/>
        <w:ind w:left="0" w:firstLine="0"/>
        <w:rPr>
          <w:color w:val="000000" w:themeColor="text1"/>
          <w:sz w:val="22"/>
          <w:szCs w:val="22"/>
        </w:rPr>
      </w:pPr>
      <w:r w:rsidRPr="00777055">
        <w:rPr>
          <w:color w:val="000000" w:themeColor="text1"/>
          <w:sz w:val="22"/>
          <w:szCs w:val="22"/>
        </w:rPr>
        <w:lastRenderedPageBreak/>
        <w:t>projekt obniżenia zwierciadła wody na czas budow</w:t>
      </w:r>
      <w:r w:rsidRPr="00777055">
        <w:rPr>
          <w:i/>
          <w:color w:val="000000" w:themeColor="text1"/>
          <w:sz w:val="22"/>
          <w:szCs w:val="22"/>
        </w:rPr>
        <w:t>y,</w:t>
      </w:r>
    </w:p>
    <w:p w14:paraId="5DAEB8E2" w14:textId="77777777" w:rsidR="00955A27" w:rsidRPr="00777055" w:rsidRDefault="00955A27" w:rsidP="00955A27">
      <w:pPr>
        <w:pStyle w:val="Listapunktowana2"/>
        <w:tabs>
          <w:tab w:val="left" w:pos="284"/>
          <w:tab w:val="num" w:pos="426"/>
        </w:tabs>
        <w:spacing w:before="0" w:after="120" w:line="360" w:lineRule="auto"/>
        <w:ind w:left="0" w:firstLine="0"/>
        <w:rPr>
          <w:color w:val="000000" w:themeColor="text1"/>
          <w:sz w:val="22"/>
          <w:szCs w:val="22"/>
        </w:rPr>
      </w:pPr>
      <w:r w:rsidRPr="00777055">
        <w:rPr>
          <w:color w:val="000000" w:themeColor="text1"/>
          <w:sz w:val="22"/>
          <w:szCs w:val="22"/>
        </w:rPr>
        <w:t>projekt rusztowań i deskowań elementów betonowych,</w:t>
      </w:r>
    </w:p>
    <w:p w14:paraId="12F7AD77" w14:textId="77777777" w:rsidR="00D86519" w:rsidRPr="00777055" w:rsidRDefault="00D86519" w:rsidP="00955A27">
      <w:pPr>
        <w:pStyle w:val="Listapunktowana2"/>
        <w:tabs>
          <w:tab w:val="left" w:pos="284"/>
          <w:tab w:val="num" w:pos="426"/>
        </w:tabs>
        <w:spacing w:before="0" w:after="120" w:line="360" w:lineRule="auto"/>
        <w:ind w:left="0" w:firstLine="0"/>
        <w:rPr>
          <w:color w:val="000000" w:themeColor="text1"/>
          <w:sz w:val="22"/>
          <w:szCs w:val="22"/>
        </w:rPr>
      </w:pPr>
      <w:r w:rsidRPr="00777055">
        <w:rPr>
          <w:rFonts w:ascii="TimesNewRoman" w:hAnsi="TimesNewRoman" w:cs="TimesNewRoman"/>
          <w:sz w:val="22"/>
          <w:szCs w:val="22"/>
        </w:rPr>
        <w:t>projekt prefabrykowanej konstrukcji,</w:t>
      </w:r>
    </w:p>
    <w:p w14:paraId="42C66F45" w14:textId="77777777" w:rsidR="00955A27" w:rsidRPr="00777055" w:rsidRDefault="00955A27" w:rsidP="00955A27">
      <w:pPr>
        <w:pStyle w:val="Listapunktowana2"/>
        <w:tabs>
          <w:tab w:val="left" w:pos="284"/>
          <w:tab w:val="num" w:pos="426"/>
        </w:tabs>
        <w:spacing w:before="0" w:after="120" w:line="360" w:lineRule="auto"/>
        <w:ind w:left="0" w:firstLine="0"/>
        <w:rPr>
          <w:color w:val="000000" w:themeColor="text1"/>
          <w:sz w:val="22"/>
          <w:szCs w:val="22"/>
        </w:rPr>
      </w:pPr>
      <w:r w:rsidRPr="00777055">
        <w:rPr>
          <w:color w:val="000000" w:themeColor="text1"/>
          <w:sz w:val="22"/>
          <w:szCs w:val="22"/>
        </w:rPr>
        <w:t>projekty warsztatowe</w:t>
      </w:r>
      <w:r w:rsidR="00D86519" w:rsidRPr="00777055">
        <w:rPr>
          <w:color w:val="000000" w:themeColor="text1"/>
          <w:sz w:val="22"/>
          <w:szCs w:val="22"/>
        </w:rPr>
        <w:t>: balustrad, barier, odowdnienia itp</w:t>
      </w:r>
    </w:p>
    <w:p w14:paraId="51A77704" w14:textId="77777777" w:rsidR="00955A27" w:rsidRPr="001667DB" w:rsidRDefault="00955A27" w:rsidP="00955A27">
      <w:pPr>
        <w:pStyle w:val="Listapunktowana2"/>
        <w:tabs>
          <w:tab w:val="left" w:pos="284"/>
          <w:tab w:val="num" w:pos="426"/>
        </w:tabs>
        <w:spacing w:before="0" w:after="120" w:line="360" w:lineRule="auto"/>
        <w:ind w:left="0" w:firstLine="0"/>
        <w:rPr>
          <w:color w:val="000000" w:themeColor="text1"/>
          <w:sz w:val="22"/>
          <w:szCs w:val="22"/>
        </w:rPr>
      </w:pPr>
      <w:r w:rsidRPr="001667DB">
        <w:rPr>
          <w:color w:val="000000" w:themeColor="text1"/>
          <w:sz w:val="22"/>
          <w:szCs w:val="22"/>
        </w:rPr>
        <w:t xml:space="preserve">projekt powykonawczy, w przypadku nieistotnych zmian – naniesienie ich na kopii zatwierdzonego projektu budowlanego </w:t>
      </w:r>
    </w:p>
    <w:p w14:paraId="208DC333"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Ww. projekty powinny być uzgodnione z Zamawiającym oraz podlegają akceptacji Biura Projektowego. Koszty ww. uzgodnień obciążają Wykonawcę Robót. Cen</w:t>
      </w:r>
      <w:r w:rsidR="00777055">
        <w:rPr>
          <w:color w:val="000000" w:themeColor="text1"/>
          <w:sz w:val="22"/>
          <w:szCs w:val="22"/>
        </w:rPr>
        <w:t>y uzgodnień opracowań zgodnie z </w:t>
      </w:r>
      <w:r w:rsidRPr="001667DB">
        <w:rPr>
          <w:color w:val="000000" w:themeColor="text1"/>
          <w:sz w:val="22"/>
          <w:szCs w:val="22"/>
        </w:rPr>
        <w:t>Środowiskowymi Zasadami Wyceny Prac Projektowych.</w:t>
      </w:r>
    </w:p>
    <w:p w14:paraId="798640D5" w14:textId="77777777" w:rsidR="00955A27" w:rsidRPr="001667DB" w:rsidRDefault="00955A27" w:rsidP="00955A27">
      <w:pPr>
        <w:pStyle w:val="Lista"/>
        <w:tabs>
          <w:tab w:val="clear" w:pos="284"/>
        </w:tabs>
        <w:spacing w:after="120" w:line="360" w:lineRule="auto"/>
        <w:ind w:left="0" w:firstLine="0"/>
        <w:rPr>
          <w:color w:val="000000" w:themeColor="text1"/>
          <w:sz w:val="22"/>
          <w:szCs w:val="22"/>
        </w:rPr>
      </w:pPr>
      <w:r w:rsidRPr="001667DB">
        <w:rPr>
          <w:color w:val="000000" w:themeColor="text1"/>
          <w:sz w:val="22"/>
          <w:szCs w:val="22"/>
        </w:rPr>
        <w:t>Niezależnie Wykonawca opracuje i przedstawi do akceptacji Zamaw</w:t>
      </w:r>
      <w:r w:rsidR="00777055">
        <w:rPr>
          <w:color w:val="000000" w:themeColor="text1"/>
          <w:sz w:val="22"/>
          <w:szCs w:val="22"/>
        </w:rPr>
        <w:t>iającemu Projekty Organizacji i </w:t>
      </w:r>
      <w:r w:rsidRPr="001667DB">
        <w:rPr>
          <w:color w:val="000000" w:themeColor="text1"/>
          <w:sz w:val="22"/>
          <w:szCs w:val="22"/>
        </w:rPr>
        <w:t>Technologii Robót dla poszczególnych obiektów i robót.</w:t>
      </w:r>
    </w:p>
    <w:p w14:paraId="2E722C42" w14:textId="77777777" w:rsidR="00955A27" w:rsidRPr="001667DB" w:rsidRDefault="00955A27" w:rsidP="00777055">
      <w:pPr>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Istotne zmiany w Dokumentacji Projektowej powinny b</w:t>
      </w:r>
      <w:r w:rsidR="00777055">
        <w:rPr>
          <w:rFonts w:ascii="Times New Roman" w:hAnsi="Times New Roman" w:cs="Times New Roman"/>
          <w:color w:val="000000" w:themeColor="text1"/>
        </w:rPr>
        <w:t>yć wprowadzone po uzgodnieniu z </w:t>
      </w:r>
      <w:r w:rsidRPr="001667DB">
        <w:rPr>
          <w:rFonts w:ascii="Times New Roman" w:hAnsi="Times New Roman" w:cs="Times New Roman"/>
          <w:color w:val="000000" w:themeColor="text1"/>
        </w:rPr>
        <w:t>Projektantem. Jeżeli w trakcie wykonania Robót okaże się koniecznym uzupełnienie Dokumentacji Projektowej, przekazanej przez Zamawiającego, Wykonawca sporządzi brakujące rysunki i ST na własny koszt, w 4 egzemplarzach i przedłoży je Inspek</w:t>
      </w:r>
      <w:r w:rsidR="00777055">
        <w:rPr>
          <w:rFonts w:ascii="Times New Roman" w:hAnsi="Times New Roman" w:cs="Times New Roman"/>
          <w:color w:val="000000" w:themeColor="text1"/>
        </w:rPr>
        <w:t>torowi Nadzoru Inwestorskiego i </w:t>
      </w:r>
      <w:r w:rsidRPr="001667DB">
        <w:rPr>
          <w:rFonts w:ascii="Times New Roman" w:hAnsi="Times New Roman" w:cs="Times New Roman"/>
          <w:color w:val="000000" w:themeColor="text1"/>
        </w:rPr>
        <w:t>Zamawiającemu do zatwierdzenia.</w:t>
      </w:r>
    </w:p>
    <w:p w14:paraId="6D18A3A2" w14:textId="77777777" w:rsidR="00955A27" w:rsidRPr="001667DB" w:rsidRDefault="00955A27" w:rsidP="00777055">
      <w:pPr>
        <w:pStyle w:val="Nagwek3"/>
      </w:pPr>
      <w:r w:rsidRPr="001667DB">
        <w:t>1.5.3 Ochrona środowiska w czasie wykonywania Robót</w:t>
      </w:r>
    </w:p>
    <w:p w14:paraId="654A7EE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Wykonawca ma obowiązek znać i stosować w czasie prowadzenia Robót wszelkie przepisy dotyczące ochrony środowiska naturalnego. </w:t>
      </w:r>
    </w:p>
    <w:p w14:paraId="75F24F7B"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W okresie trwania budowy i wykańczania Robót Wykonawca będzie:</w:t>
      </w:r>
    </w:p>
    <w:p w14:paraId="6BE02867"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 xml:space="preserve">a) </w:t>
      </w:r>
      <w:r w:rsidRPr="001667DB">
        <w:rPr>
          <w:color w:val="000000" w:themeColor="text1"/>
          <w:sz w:val="22"/>
          <w:szCs w:val="22"/>
        </w:rPr>
        <w:tab/>
        <w:t>utrzymywać Teren Budowy i wykopy w stanie bez wody stojącej,</w:t>
      </w:r>
    </w:p>
    <w:p w14:paraId="117AE80A"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 Stosując się do tych wymagań będzie miał szczególny wzgląd na:</w:t>
      </w:r>
    </w:p>
    <w:p w14:paraId="33247B69"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1)</w:t>
      </w:r>
      <w:r w:rsidRPr="001667DB">
        <w:rPr>
          <w:color w:val="000000" w:themeColor="text1"/>
          <w:sz w:val="22"/>
          <w:szCs w:val="22"/>
        </w:rPr>
        <w:tab/>
        <w:t>Lokalizację baz, warsztatów, magazynów, składowisk, ukopów i dróg dojazdowych</w:t>
      </w:r>
    </w:p>
    <w:p w14:paraId="199F3254"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2)</w:t>
      </w:r>
      <w:r w:rsidRPr="001667DB">
        <w:rPr>
          <w:color w:val="000000" w:themeColor="text1"/>
          <w:sz w:val="22"/>
          <w:szCs w:val="22"/>
        </w:rPr>
        <w:tab/>
        <w:t>Środki ostrożności i zabezpieczenia przed:</w:t>
      </w:r>
    </w:p>
    <w:p w14:paraId="0B5A896D" w14:textId="77777777" w:rsidR="00955A27" w:rsidRPr="001667DB" w:rsidRDefault="00955A27" w:rsidP="00955A27">
      <w:pPr>
        <w:pStyle w:val="Lista4"/>
        <w:spacing w:before="0" w:after="120" w:line="360" w:lineRule="auto"/>
        <w:ind w:left="0" w:firstLine="0"/>
        <w:rPr>
          <w:color w:val="000000" w:themeColor="text1"/>
          <w:sz w:val="22"/>
          <w:szCs w:val="22"/>
        </w:rPr>
      </w:pPr>
      <w:r w:rsidRPr="001667DB">
        <w:rPr>
          <w:color w:val="000000" w:themeColor="text1"/>
          <w:sz w:val="22"/>
          <w:szCs w:val="22"/>
        </w:rPr>
        <w:t>i)</w:t>
      </w:r>
      <w:r w:rsidRPr="001667DB">
        <w:rPr>
          <w:color w:val="000000" w:themeColor="text1"/>
          <w:sz w:val="22"/>
          <w:szCs w:val="22"/>
        </w:rPr>
        <w:tab/>
        <w:t>zanieczyszczeniem zbiorników i cieków wodnych pyłami lub substancjami toksycznymi,</w:t>
      </w:r>
    </w:p>
    <w:p w14:paraId="2B56C3F6" w14:textId="77777777" w:rsidR="00955A27" w:rsidRPr="001667DB" w:rsidRDefault="00955A27" w:rsidP="00955A27">
      <w:pPr>
        <w:pStyle w:val="Lista4"/>
        <w:spacing w:before="0" w:after="120" w:line="360" w:lineRule="auto"/>
        <w:ind w:left="0" w:firstLine="0"/>
        <w:rPr>
          <w:color w:val="000000" w:themeColor="text1"/>
          <w:sz w:val="22"/>
          <w:szCs w:val="22"/>
        </w:rPr>
      </w:pPr>
      <w:r w:rsidRPr="001667DB">
        <w:rPr>
          <w:color w:val="000000" w:themeColor="text1"/>
          <w:sz w:val="22"/>
          <w:szCs w:val="22"/>
        </w:rPr>
        <w:t>ii)</w:t>
      </w:r>
      <w:r w:rsidRPr="001667DB">
        <w:rPr>
          <w:color w:val="000000" w:themeColor="text1"/>
          <w:sz w:val="22"/>
          <w:szCs w:val="22"/>
        </w:rPr>
        <w:tab/>
        <w:t>zanieczyszczeniem powietrza pyłami i gazami,</w:t>
      </w:r>
    </w:p>
    <w:p w14:paraId="3AA87209" w14:textId="77777777" w:rsidR="00955A27" w:rsidRPr="001667DB" w:rsidRDefault="00955A27" w:rsidP="00955A27">
      <w:pPr>
        <w:pStyle w:val="Lista4"/>
        <w:spacing w:before="0" w:after="120" w:line="360" w:lineRule="auto"/>
        <w:ind w:left="0" w:firstLine="0"/>
        <w:rPr>
          <w:color w:val="000000" w:themeColor="text1"/>
          <w:sz w:val="22"/>
          <w:szCs w:val="22"/>
        </w:rPr>
      </w:pPr>
      <w:r w:rsidRPr="001667DB">
        <w:rPr>
          <w:color w:val="000000" w:themeColor="text1"/>
          <w:sz w:val="22"/>
          <w:szCs w:val="22"/>
        </w:rPr>
        <w:t>iii)</w:t>
      </w:r>
      <w:r w:rsidRPr="001667DB">
        <w:rPr>
          <w:color w:val="000000" w:themeColor="text1"/>
          <w:sz w:val="22"/>
          <w:szCs w:val="22"/>
        </w:rPr>
        <w:tab/>
        <w:t>możliwością powstania pożaru.</w:t>
      </w:r>
    </w:p>
    <w:p w14:paraId="6B2B898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Wykonawca zobowiązany jest uzyskanie wskazań odpowiedniego organu dla trasy i miejsca zdeponowania odpadów zgodnie Ustawą o odpadach (Dz.U. nr 62 z 20.06.2001r).</w:t>
      </w:r>
    </w:p>
    <w:p w14:paraId="0048CE9A" w14:textId="77777777" w:rsidR="00955A27" w:rsidRPr="001667DB" w:rsidRDefault="00955A27" w:rsidP="00777055">
      <w:pPr>
        <w:pStyle w:val="Nagwek3"/>
      </w:pPr>
      <w:r w:rsidRPr="001667DB">
        <w:t>1.5.4.</w:t>
      </w:r>
      <w:r w:rsidRPr="001667DB">
        <w:tab/>
        <w:t>Ochrona przeciwpożarowa</w:t>
      </w:r>
    </w:p>
    <w:p w14:paraId="042A9E79"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Wykonawca będzie przestrzegać przepisów ochrony przeciwpożarowej.</w:t>
      </w:r>
    </w:p>
    <w:p w14:paraId="720E481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utrzymywać sprawny sprzęt przeciwpożarowy, wymagany przez odpowiednie przepisy, na terenie baz produkcyjnych, w pomieszczeniach biurowych, mieszkalnych i magazynach oraz w maszynach i pojazdach.</w:t>
      </w:r>
    </w:p>
    <w:p w14:paraId="28F0BB8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Materiały łatwopalne będą składowane w sposób zgodny z odpowiednimi przepisami i zabezpieczone przed dostępem osób trzecich.</w:t>
      </w:r>
    </w:p>
    <w:p w14:paraId="36566EC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odpowiedzialny za wszelkie straty spowodowane pożarem wywołanym jako rezultat realizacji Robót albo przez personel Wykonawcy.</w:t>
      </w:r>
    </w:p>
    <w:p w14:paraId="2CE48822" w14:textId="77777777" w:rsidR="00955A27" w:rsidRPr="001667DB" w:rsidRDefault="00955A27" w:rsidP="00777055">
      <w:pPr>
        <w:pStyle w:val="Nagwek3"/>
      </w:pPr>
      <w:r w:rsidRPr="001667DB">
        <w:t>1.5.5.</w:t>
      </w:r>
      <w:r w:rsidRPr="001667DB">
        <w:tab/>
        <w:t>Materiały szkodliwe dla otoczenia</w:t>
      </w:r>
    </w:p>
    <w:p w14:paraId="564750E6"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Materiały, które w sposób trwały są szkodliwe dla otoczenia, nie będą dopuszczone do użycia.</w:t>
      </w:r>
    </w:p>
    <w:p w14:paraId="08F76B8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Nie dopuszcza się użycia materiałów wywołujących szkodliwe promieniowanie o stężeniu większym od dopuszczalnego, określonego odpowiednimi przepisami.</w:t>
      </w:r>
    </w:p>
    <w:p w14:paraId="16E43FE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Wszelkie materiały odpadowe użyte do Robót będą miały świadectwa dopuszczenia, wydane przez uprawnioną jednostkę, jednoznacznie określające brak szkodliwego oddziaływania tych materiałów na środowisko.</w:t>
      </w:r>
    </w:p>
    <w:p w14:paraId="4D746D6A"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14:paraId="069655F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Jeżeli Wykonawca użył materiałów szkodliwych dla otoczenia zgodnie ze Specyfikacjami, a ich użycie spowodowało jakiekolwiek zagrożenie środowiska, to konsekwencje tego poniesie Zamawiający.</w:t>
      </w:r>
    </w:p>
    <w:p w14:paraId="506C07F8" w14:textId="77777777" w:rsidR="00955A27" w:rsidRPr="001667DB" w:rsidRDefault="00955A27" w:rsidP="00777055">
      <w:pPr>
        <w:pStyle w:val="Nagwek3"/>
      </w:pPr>
      <w:r w:rsidRPr="001667DB">
        <w:t>1.5.6.</w:t>
      </w:r>
      <w:r w:rsidRPr="001667DB">
        <w:tab/>
        <w:t>Ochrona własności publicznej i prywatnej</w:t>
      </w:r>
    </w:p>
    <w:p w14:paraId="5B7A93E0"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 xml:space="preserve">Wykonawca zobowiązany jest do utrzymania ciągłości ruchu komunikacji autobusowej </w:t>
      </w:r>
    </w:p>
    <w:p w14:paraId="0887EFF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t>
      </w:r>
    </w:p>
    <w:p w14:paraId="620D864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Wykonawca zobowiązany jest umieścić w swoim harmonogramie rezerwę czasową dla wszelkiego rodzaju Robót, które mają być wykonane w zakresie przełożenia instalacji i urządzeń podziemnych na Terenie Budowy i powiadomić Inżyniera i władze lokalne o zamiarze rozpoczęcia Robót. O fakcie </w:t>
      </w:r>
      <w:r w:rsidRPr="001667DB">
        <w:rPr>
          <w:color w:val="000000" w:themeColor="text1"/>
          <w:sz w:val="22"/>
          <w:szCs w:val="22"/>
        </w:rPr>
        <w:lastRenderedPageBreak/>
        <w:t>przypadkowego uszkodzenia tych instalacji Wykonawca bez</w:t>
      </w:r>
      <w:r w:rsidR="00777055">
        <w:rPr>
          <w:color w:val="000000" w:themeColor="text1"/>
          <w:sz w:val="22"/>
          <w:szCs w:val="22"/>
        </w:rPr>
        <w:t>zwłocznie powiadomi Inżyniera i </w:t>
      </w:r>
      <w:r w:rsidRPr="001667DB">
        <w:rPr>
          <w:color w:val="000000" w:themeColor="text1"/>
          <w:sz w:val="22"/>
          <w:szCs w:val="22"/>
        </w:rPr>
        <w:t>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3BE66BA7" w14:textId="77777777" w:rsidR="00955A27" w:rsidRPr="001667DB" w:rsidRDefault="00955A27" w:rsidP="00777055">
      <w:pPr>
        <w:pStyle w:val="Nagwek3"/>
      </w:pPr>
      <w:r w:rsidRPr="001667DB">
        <w:t>1.5.6.</w:t>
      </w:r>
      <w:r w:rsidRPr="001667DB">
        <w:tab/>
        <w:t>Ograniczenie obciążeń osi pojazdów</w:t>
      </w:r>
    </w:p>
    <w:p w14:paraId="11BCAF2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Pojazdy lub ładunki będące w dyspozycji Wykonawcy powodujące nadmierne obciążenie osiowe nie będą dopuszczone na świeżo ukończony fragment budowy i Wykonawca będzie odpowiedzialny za naprawę wszelkich Robót w ten sposób uszkodzonych, zgodnie z poleceniami Inżyniera.</w:t>
      </w:r>
    </w:p>
    <w:p w14:paraId="0E990C1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informował Inżyniera. Inżynier może polecić, aby pojazdy nie spełniające tych warunków zostały usunięte z terenu budowy.</w:t>
      </w:r>
    </w:p>
    <w:p w14:paraId="2071B7C8" w14:textId="77777777" w:rsidR="00955A27" w:rsidRPr="001667DB" w:rsidRDefault="00955A27" w:rsidP="00777055">
      <w:pPr>
        <w:pStyle w:val="Nagwek3"/>
      </w:pPr>
      <w:r w:rsidRPr="001667DB">
        <w:t>1.5.7.</w:t>
      </w:r>
      <w:r w:rsidRPr="001667DB">
        <w:tab/>
        <w:t>Bezpieczeństwo i higiena pracy</w:t>
      </w:r>
    </w:p>
    <w:p w14:paraId="45A43CF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Podczas realizacji Robót Wykonawca będzie przestrzegać przepis</w:t>
      </w:r>
      <w:r w:rsidR="00777055">
        <w:rPr>
          <w:color w:val="000000" w:themeColor="text1"/>
          <w:sz w:val="22"/>
          <w:szCs w:val="22"/>
        </w:rPr>
        <w:t>ów dotyczących bezpieczeństwa i </w:t>
      </w:r>
      <w:r w:rsidRPr="001667DB">
        <w:rPr>
          <w:color w:val="000000" w:themeColor="text1"/>
          <w:sz w:val="22"/>
          <w:szCs w:val="22"/>
        </w:rPr>
        <w:t>higieny pracy oraz opracuje Plan Bezpieczeństwa i Ochrony Zdrowia („Plan BiOZ”)wynikający z Art. 21a Prawa Budowlanego w szczególnym zakresie zgodnym z Rozporządz</w:t>
      </w:r>
      <w:r w:rsidR="00777055">
        <w:rPr>
          <w:color w:val="000000" w:themeColor="text1"/>
          <w:sz w:val="22"/>
          <w:szCs w:val="22"/>
        </w:rPr>
        <w:t>eniem Ministra Infrastruktury z </w:t>
      </w:r>
      <w:r w:rsidRPr="001667DB">
        <w:rPr>
          <w:color w:val="000000" w:themeColor="text1"/>
          <w:sz w:val="22"/>
          <w:szCs w:val="22"/>
        </w:rPr>
        <w:t xml:space="preserve">dn 27. 08 2002 DZ. U Nr 151 i uzgodni go z Inżynierem. </w:t>
      </w:r>
    </w:p>
    <w:p w14:paraId="48C28F6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szczególności Wykonawca ma obowiązek zadbać, aby personel nie wykonywał pracy w warunkach niebezpiecznych, szkodliwych dla zdrowia oraz nie spełniających odpowiednich wymagań sanitarnych.</w:t>
      </w:r>
    </w:p>
    <w:p w14:paraId="6B03BEC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zapewni i będzie utrzymywał wszelkie urządzenia zabezpieczające, socjalne oraz sprzęt i odpowiednią odzież dla ochrony życia i zdrowia osób zatrudnionych na budowie oraz dla zapewnienia bezpieczeństwa publicznego.</w:t>
      </w:r>
    </w:p>
    <w:p w14:paraId="09B9BA4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Uznaje się, że wszelkie koszty związane z wypełnieniem wymagań określonych powyżej nie podlegają odrębnej zapłacie i są uwzględnione w Cenie Kontraktowej.</w:t>
      </w:r>
    </w:p>
    <w:p w14:paraId="352BBFE9" w14:textId="77777777" w:rsidR="00955A27" w:rsidRPr="001667DB" w:rsidRDefault="00955A27" w:rsidP="00777055">
      <w:pPr>
        <w:pStyle w:val="Nagwek3"/>
      </w:pPr>
      <w:r w:rsidRPr="001667DB">
        <w:t>1.5.8.Ochrona i utrzymanie Robót</w:t>
      </w:r>
    </w:p>
    <w:p w14:paraId="6A6E152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odpowiedzialny za ochronę Robót i za wszelkie materiały i urządzenia używane do Robót od Daty Rozpoczęcia do daty wydania Potwierdzenia Zakończenia przez Inżyniera.</w:t>
      </w:r>
    </w:p>
    <w:p w14:paraId="1C2D516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Wykonawca będzie utrzymywać Roboty do czasu ostatecznego odbioru Utrzymanie powinno być prowadzone w taki sposób, aby budowla drogowa lub jej elementy były w zadowalającym stanie przez cały czas, do momentu odbioru ostatecznego.</w:t>
      </w:r>
    </w:p>
    <w:p w14:paraId="1198C20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jest zobowiązany do utrzymania ruchu publicznego na Terenie Budowy, w okresie trwania realizacji Kontraktu aż do zakończenia i odbioru końcowego Robót.</w:t>
      </w:r>
    </w:p>
    <w:p w14:paraId="2C581F5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Wszystkie ulice i ciągi ruchu pieszego oraz przystanki, przejści</w:t>
      </w:r>
      <w:r w:rsidR="00777055">
        <w:rPr>
          <w:color w:val="000000" w:themeColor="text1"/>
          <w:sz w:val="22"/>
          <w:szCs w:val="22"/>
        </w:rPr>
        <w:t>a itp. objęte obszarem budowy a </w:t>
      </w:r>
      <w:r w:rsidRPr="001667DB">
        <w:rPr>
          <w:color w:val="000000" w:themeColor="text1"/>
          <w:sz w:val="22"/>
          <w:szCs w:val="22"/>
        </w:rPr>
        <w:t>eksploatowane komunikacyjnie w trakcie budowy, zgodnie z etapami realizacji wynikającymi z projektów organizacji ruchu na czas budowy, będą podlegały utrzymaniu letniemu i zimowemu ( likwidacja ubytków w nawierzchni, likwidacja nierówności, koszenie trawy, czyszczenie jezdni, odśnieżanie, wywóz śniegu itp.)</w:t>
      </w:r>
    </w:p>
    <w:p w14:paraId="4BB7518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czasie wykonywania Robót Wykonawca dostarczy, zainstaluje i będzie obsługiwał wszystkie tymczasowe urządzenia zabezpieczające takie jak: znaki pionowe, poziome, zapory, światła ostrzegawcze, sygnały, sygnalizatory, itp., zapewniając w ten sposób bezpieczeństwo pojazdów i pieszych.</w:t>
      </w:r>
    </w:p>
    <w:p w14:paraId="52BF8AB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zapewni stałe warunki widoczności w dzień i w nocy tych zapór i znaków, dla których jest to nieodzowne ze względów bezpieczeństwa.</w:t>
      </w:r>
    </w:p>
    <w:p w14:paraId="1939BD84"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Wszystkie znaki, zapory i inne urządzenia zabezpieczające będą akceptowane przez Inżyniera.</w:t>
      </w:r>
    </w:p>
    <w:p w14:paraId="5728306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Jeśli Wykonawca w jakimkolwiek czasie zaniedba utrzymanie, to na polecenie Inżyniera powinien rozpocząć Roboty utrzymaniowe nie później niż w 24 godziny po otrzymaniu tego polecenia.</w:t>
      </w:r>
    </w:p>
    <w:p w14:paraId="3BD64CF1"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Reasumując niżej wymienione koszty:</w:t>
      </w:r>
    </w:p>
    <w:p w14:paraId="27528BC0"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zabezpieczenia terenu budowy</w:t>
      </w:r>
    </w:p>
    <w:p w14:paraId="24C80231"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wynikające z utrzymania organizacji ruchu w tym: obsługa tymczasowych urządzeń zabezpieczające itp</w:t>
      </w:r>
    </w:p>
    <w:p w14:paraId="2808E98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utrzymania letniego i zimowego ciągów ruchu kołowego, pieszego.</w:t>
      </w:r>
    </w:p>
    <w:p w14:paraId="78F447DE" w14:textId="77777777" w:rsidR="00955A27" w:rsidRDefault="00955A27" w:rsidP="00955A27">
      <w:pPr>
        <w:pStyle w:val="Lista-kontynuacja2"/>
        <w:spacing w:before="0" w:line="360" w:lineRule="auto"/>
        <w:ind w:left="0"/>
        <w:rPr>
          <w:color w:val="000000" w:themeColor="text1"/>
          <w:sz w:val="22"/>
          <w:szCs w:val="22"/>
        </w:rPr>
      </w:pPr>
      <w:r w:rsidRPr="001667DB">
        <w:rPr>
          <w:color w:val="000000" w:themeColor="text1"/>
          <w:sz w:val="22"/>
          <w:szCs w:val="22"/>
        </w:rPr>
        <w:t>nie podlegają odrębnej zapłacie i przyjmuje się, że są włączone w Cenę Kontraktową.</w:t>
      </w:r>
    </w:p>
    <w:p w14:paraId="4E760FB3" w14:textId="77777777" w:rsidR="004C2985" w:rsidRDefault="004C2985" w:rsidP="00777055">
      <w:pPr>
        <w:pStyle w:val="Tekstpodstawowy"/>
        <w:spacing w:before="0" w:after="120"/>
        <w:rPr>
          <w:color w:val="000000" w:themeColor="text1"/>
          <w:sz w:val="22"/>
          <w:szCs w:val="22"/>
        </w:rPr>
      </w:pPr>
      <w:r>
        <w:rPr>
          <w:color w:val="000000" w:themeColor="text1"/>
          <w:sz w:val="22"/>
          <w:szCs w:val="22"/>
        </w:rPr>
        <w:tab/>
      </w:r>
      <w:r w:rsidRPr="004C2985">
        <w:rPr>
          <w:color w:val="000000" w:themeColor="text1"/>
          <w:sz w:val="22"/>
          <w:szCs w:val="22"/>
        </w:rPr>
        <w:t>Wykonawca przed przystąpieniem do robót budowlanych ma obowiązek wykonać przeszukanie terenu budowy w granicach objętych zezwoleniem na realizację decyzji dro</w:t>
      </w:r>
      <w:r w:rsidR="00777055">
        <w:rPr>
          <w:color w:val="000000" w:themeColor="text1"/>
          <w:sz w:val="22"/>
          <w:szCs w:val="22"/>
        </w:rPr>
        <w:t>gowej na obecność niewybuchów i </w:t>
      </w:r>
      <w:r w:rsidRPr="004C2985">
        <w:rPr>
          <w:color w:val="000000" w:themeColor="text1"/>
          <w:sz w:val="22"/>
          <w:szCs w:val="22"/>
        </w:rPr>
        <w:t>niewypałów. Roboty należy zlecić podmiotowi posiadającemu wymagane prawem zezwolenia i koncesję.</w:t>
      </w:r>
    </w:p>
    <w:p w14:paraId="22453034" w14:textId="77777777" w:rsidR="004C2985" w:rsidRDefault="004C2985" w:rsidP="004C2985">
      <w:pPr>
        <w:pStyle w:val="Tekstpodstawowy"/>
        <w:spacing w:before="0" w:after="120"/>
        <w:jc w:val="left"/>
        <w:rPr>
          <w:color w:val="000000" w:themeColor="text1"/>
          <w:sz w:val="22"/>
          <w:szCs w:val="22"/>
        </w:rPr>
      </w:pPr>
      <w:r w:rsidRPr="004C2985">
        <w:rPr>
          <w:color w:val="000000" w:themeColor="text1"/>
          <w:sz w:val="22"/>
          <w:szCs w:val="22"/>
        </w:rPr>
        <w:t xml:space="preserve"> Wykonawca może przystąpić do robót budowlanych z chwilą przekazania Zamawiającemu oświadczenie o przeprowadzeniu prac poszukiwawczych.</w:t>
      </w:r>
    </w:p>
    <w:p w14:paraId="5356FD20" w14:textId="77777777" w:rsidR="004C2985" w:rsidRDefault="004C2985" w:rsidP="00777055">
      <w:pPr>
        <w:pStyle w:val="Tekstpodstawowy"/>
        <w:spacing w:before="0" w:after="120"/>
        <w:rPr>
          <w:color w:val="000000" w:themeColor="text1"/>
          <w:sz w:val="22"/>
          <w:szCs w:val="22"/>
        </w:rPr>
      </w:pPr>
      <w:r w:rsidRPr="004C2985">
        <w:rPr>
          <w:color w:val="000000" w:themeColor="text1"/>
          <w:sz w:val="22"/>
          <w:szCs w:val="22"/>
        </w:rPr>
        <w:t xml:space="preserve"> Zamawiający dopuszcza podział terenu budowy na sekcje. Warunkiem przystąpienia do robót budowlanych na poszczególnych sekcjach jest przedstawienie oświadczenia o przeprowadzeniu prac poszukiwawczych dla danej sekcji. Sposób prowadzenia poszukiwań</w:t>
      </w:r>
      <w:r w:rsidR="00777055">
        <w:rPr>
          <w:color w:val="000000" w:themeColor="text1"/>
          <w:sz w:val="22"/>
          <w:szCs w:val="22"/>
        </w:rPr>
        <w:t>, zabezpieczenia terenu i </w:t>
      </w:r>
      <w:r w:rsidRPr="004C2985">
        <w:rPr>
          <w:color w:val="000000" w:themeColor="text1"/>
          <w:sz w:val="22"/>
          <w:szCs w:val="22"/>
        </w:rPr>
        <w:t>postępowania na wypadek znalezienia niewybuchów lub niewypałów Wykonawca ma obowiązek opisać w Planie BiOZ. Koszty prowadzonych robót muszą uwzględniać utyliz</w:t>
      </w:r>
      <w:r w:rsidR="00777055">
        <w:rPr>
          <w:color w:val="000000" w:themeColor="text1"/>
          <w:sz w:val="22"/>
          <w:szCs w:val="22"/>
        </w:rPr>
        <w:t>ację znalezionych niewybuchów i </w:t>
      </w:r>
      <w:r w:rsidRPr="004C2985">
        <w:rPr>
          <w:color w:val="000000" w:themeColor="text1"/>
          <w:sz w:val="22"/>
          <w:szCs w:val="22"/>
        </w:rPr>
        <w:t xml:space="preserve">niewypałów. </w:t>
      </w:r>
    </w:p>
    <w:p w14:paraId="4B39A458" w14:textId="77777777" w:rsidR="00955A27" w:rsidRPr="001667DB" w:rsidRDefault="00955A27" w:rsidP="00777055">
      <w:pPr>
        <w:pStyle w:val="Nagwek3"/>
      </w:pPr>
      <w:r w:rsidRPr="001667DB">
        <w:t>1.5.9.</w:t>
      </w:r>
      <w:r w:rsidRPr="001667DB">
        <w:tab/>
        <w:t>Stosowanie się do prawa i innych przepisów</w:t>
      </w:r>
    </w:p>
    <w:p w14:paraId="7D62972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w:t>
      </w:r>
    </w:p>
    <w:p w14:paraId="4A4D0B6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Wykonawca będzie przestrzegać praw patentowych i będzie w pełni odpowiedzialny za wypełnienie wszelkich wymagań prawnych odnośnie wykorzystania opatentowanych urządzeń lub metod i w sposób ciągły będzie informować Inżyniera o swoich działaniach, przedstawiając kopie zezwoleń i inne odnośne dokumenty.</w:t>
      </w:r>
    </w:p>
    <w:p w14:paraId="08BA7736" w14:textId="77777777" w:rsidR="00955A27" w:rsidRPr="001667DB" w:rsidRDefault="00955A27" w:rsidP="00777055">
      <w:pPr>
        <w:pStyle w:val="Nagwek3"/>
      </w:pPr>
      <w:r w:rsidRPr="001667DB">
        <w:t>1.5.10.</w:t>
      </w:r>
      <w:r w:rsidRPr="001667DB">
        <w:tab/>
        <w:t>Równoważność norm.</w:t>
      </w:r>
    </w:p>
    <w:p w14:paraId="747C0677" w14:textId="77777777" w:rsidR="00955A27" w:rsidRPr="001667DB" w:rsidRDefault="00955A27" w:rsidP="00955A27">
      <w:pPr>
        <w:pStyle w:val="Tekstpodstawowy"/>
        <w:tabs>
          <w:tab w:val="clear" w:pos="284"/>
        </w:tabs>
        <w:spacing w:before="0" w:after="120"/>
        <w:rPr>
          <w:color w:val="000000" w:themeColor="text1"/>
          <w:sz w:val="22"/>
          <w:szCs w:val="22"/>
        </w:rPr>
      </w:pPr>
      <w:r w:rsidRPr="001667DB">
        <w:rPr>
          <w:color w:val="000000" w:themeColor="text1"/>
          <w:sz w:val="22"/>
          <w:szCs w:val="22"/>
        </w:rPr>
        <w:tab/>
        <w:t>Gdziekolwiek w Kontrakcie powołane są konkretne normy lub przepisy, które spełniać mają materiały, sprzęt i inne dostarczane towary, oraz wykonane i zbadane roboty, będą obowiązywać postanowienia najnowszego wydania lub poprawionego wydania powoł</w:t>
      </w:r>
      <w:r w:rsidR="00777055">
        <w:rPr>
          <w:color w:val="000000" w:themeColor="text1"/>
          <w:sz w:val="22"/>
          <w:szCs w:val="22"/>
        </w:rPr>
        <w:t>anych norm i przepisów, o ile w </w:t>
      </w:r>
      <w:r w:rsidRPr="001667DB">
        <w:rPr>
          <w:color w:val="000000" w:themeColor="text1"/>
          <w:sz w:val="22"/>
          <w:szCs w:val="22"/>
        </w:rPr>
        <w:t xml:space="preserve">kontrakcie nie postanowiono inaczej. </w:t>
      </w:r>
    </w:p>
    <w:p w14:paraId="5510F7BE" w14:textId="77777777" w:rsidR="00955A27" w:rsidRPr="001667DB" w:rsidRDefault="00955A27" w:rsidP="00955A27">
      <w:pPr>
        <w:pStyle w:val="Tekstpodstawowy"/>
        <w:tabs>
          <w:tab w:val="clear" w:pos="284"/>
        </w:tabs>
        <w:spacing w:before="0" w:after="120"/>
        <w:rPr>
          <w:color w:val="000000" w:themeColor="text1"/>
          <w:sz w:val="22"/>
          <w:szCs w:val="22"/>
        </w:rPr>
      </w:pPr>
      <w:r w:rsidRPr="001667DB">
        <w:rPr>
          <w:color w:val="000000" w:themeColor="text1"/>
          <w:sz w:val="22"/>
          <w:szCs w:val="22"/>
        </w:rPr>
        <w:tab/>
        <w:t>W przypadku gdy powołane normy i przepisy są państwowe lub odnoszą się do konkretnego kraju lub regionu, mogą być również stosowane inne odpowiednie normy zapewniające zasadniczo równy lub wyższy poziom wykonania niż powołane normy i przepisy, pod warunkie</w:t>
      </w:r>
      <w:r w:rsidR="00777055">
        <w:rPr>
          <w:color w:val="000000" w:themeColor="text1"/>
          <w:sz w:val="22"/>
          <w:szCs w:val="22"/>
        </w:rPr>
        <w:t>m ich uprzedniego sprawdzenia i </w:t>
      </w:r>
      <w:r w:rsidRPr="001667DB">
        <w:rPr>
          <w:color w:val="000000" w:themeColor="text1"/>
          <w:sz w:val="22"/>
          <w:szCs w:val="22"/>
        </w:rPr>
        <w:t>pisemnego zatwierdzenia przez Inżyniera. Różnice pomiędzy powołanymi normami a ich proponowanymi zamiennikami muszą by</w:t>
      </w:r>
      <w:r w:rsidRPr="001667DB">
        <w:rPr>
          <w:color w:val="000000" w:themeColor="text1"/>
          <w:sz w:val="22"/>
          <w:szCs w:val="22"/>
        </w:rPr>
        <w:sym w:font="Times New Roman" w:char="0063"/>
      </w:r>
      <w:r w:rsidRPr="001667DB">
        <w:rPr>
          <w:color w:val="000000" w:themeColor="text1"/>
          <w:sz w:val="22"/>
          <w:szCs w:val="22"/>
        </w:rPr>
        <w:t xml:space="preserve"> dokładnie opisane przez Wykonawcę i przedłożone Inżynierowi co najmniej na 28 dni przed datą oczekiwanego przez Wykonawcę zatwierdzenia ich przez Inżyniera. W przypadku, kiedy Inżynier stwierdzi, że zaproponowane zmiany nie zapewniają zasadniczo równego lub wyższego poziomu wykonania, Wykonawca zastosuje się do norm powołanych w dokumentach. Materiały lub urządzenia, na które nie ma odpowiedniej EN-PN czy PN powinny posiadać aktualną Aprobatę Techniczną.</w:t>
      </w:r>
    </w:p>
    <w:p w14:paraId="06FD1F40"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13" w:name="_Toc476391139"/>
      <w:bookmarkStart w:id="14" w:name="_Toc7658813"/>
      <w:r w:rsidRPr="001667DB">
        <w:rPr>
          <w:color w:val="000000" w:themeColor="text1"/>
          <w:sz w:val="22"/>
          <w:szCs w:val="22"/>
          <w:lang w:val="pl-PL"/>
        </w:rPr>
        <w:t>MATERIAŁY</w:t>
      </w:r>
      <w:bookmarkEnd w:id="13"/>
      <w:bookmarkEnd w:id="14"/>
    </w:p>
    <w:p w14:paraId="37A48AF4"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15" w:name="_Toc476391140"/>
      <w:bookmarkStart w:id="16" w:name="_Toc7658814"/>
      <w:r w:rsidRPr="001667DB">
        <w:rPr>
          <w:color w:val="000000" w:themeColor="text1"/>
          <w:sz w:val="22"/>
          <w:szCs w:val="22"/>
          <w:u w:val="none"/>
        </w:rPr>
        <w:t>Źródła uzyskania materiałów</w:t>
      </w:r>
      <w:bookmarkEnd w:id="15"/>
      <w:bookmarkEnd w:id="16"/>
    </w:p>
    <w:p w14:paraId="3E738F0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Co najmniej na trzy tygodnie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Inżyniera.</w:t>
      </w:r>
    </w:p>
    <w:p w14:paraId="7242D7F5"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Zatwierdzenie partii (części) materiałów z danego źródła nie oznacza automatycznie, że wszelkie materiały z danego źródła uzyskają zatwierdzenie.</w:t>
      </w:r>
    </w:p>
    <w:p w14:paraId="0963B8B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zobowiązany jest do prowadzenia badań w celu udokumentowania, że materiały uzyskane z dopuszczonego źródła w sposób ciągły spełniają wymagania Specyfikacji Technicznych w czasie postępu Robót.</w:t>
      </w:r>
    </w:p>
    <w:p w14:paraId="51B2B8F9" w14:textId="77777777" w:rsidR="00955A27" w:rsidRPr="001667DB" w:rsidRDefault="00955A27" w:rsidP="00955A27">
      <w:pPr>
        <w:pStyle w:val="Nagwek2"/>
        <w:numPr>
          <w:ilvl w:val="1"/>
          <w:numId w:val="1"/>
        </w:numPr>
        <w:tabs>
          <w:tab w:val="clear" w:pos="284"/>
          <w:tab w:val="clear" w:pos="851"/>
          <w:tab w:val="left" w:pos="291"/>
          <w:tab w:val="left" w:pos="867"/>
        </w:tabs>
        <w:spacing w:before="0" w:line="360" w:lineRule="auto"/>
        <w:rPr>
          <w:color w:val="000000" w:themeColor="text1"/>
          <w:sz w:val="22"/>
          <w:szCs w:val="22"/>
          <w:u w:val="none"/>
        </w:rPr>
      </w:pPr>
      <w:bookmarkStart w:id="17" w:name="_Toc476391141"/>
      <w:bookmarkStart w:id="18" w:name="_Toc7658815"/>
      <w:r w:rsidRPr="001667DB">
        <w:rPr>
          <w:color w:val="000000" w:themeColor="text1"/>
          <w:sz w:val="22"/>
          <w:szCs w:val="22"/>
          <w:u w:val="none"/>
        </w:rPr>
        <w:t>Pozyskiwanie materiałów miejscowych</w:t>
      </w:r>
      <w:bookmarkEnd w:id="17"/>
      <w:bookmarkEnd w:id="18"/>
    </w:p>
    <w:p w14:paraId="506EF68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odpowiada za uzyskanie pozwoleń od właścicieli i odnośnych władz na pozyskanie materiałów z jakichkolwiek źródeł miejscowych włączając w to źródła</w:t>
      </w:r>
      <w:r w:rsidR="00777055">
        <w:rPr>
          <w:color w:val="000000" w:themeColor="text1"/>
          <w:sz w:val="22"/>
          <w:szCs w:val="22"/>
        </w:rPr>
        <w:t xml:space="preserve"> wskazane przez Zamawiającego i </w:t>
      </w:r>
      <w:r w:rsidRPr="001667DB">
        <w:rPr>
          <w:color w:val="000000" w:themeColor="text1"/>
          <w:sz w:val="22"/>
          <w:szCs w:val="22"/>
        </w:rPr>
        <w:t>jest zobowiązany dostarczyć Inżynierowi wymagane dokumenty przed rozpoczęciem eksploatacji źródła.</w:t>
      </w:r>
    </w:p>
    <w:p w14:paraId="4BF4A39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Wykonawca przedstawi dokumentację zawierającą raporty z badań terenowych i laboratoryjnych oraz proponowaną przez siebie metodę wydobycia i selekcji do zatwierdzenia Inżynierowi.</w:t>
      </w:r>
    </w:p>
    <w:p w14:paraId="033485B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ponosi odpowiedzialność za spełnienie wymagań ilościowych i jakościowych materiałów z jakiegokolwiek źródła.</w:t>
      </w:r>
    </w:p>
    <w:p w14:paraId="10FA774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poniesie wszystkie koszty a w tym: opłaty, wynagrodzenia i jakiekolwiek inne koszty związane z dostarczeniem materiałów do Robót.</w:t>
      </w:r>
    </w:p>
    <w:p w14:paraId="73BDADD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Wszystkie odpowiednie materiały pozyskane z wykopów na Terenie Budowy lub z innych miejsc wskazanych w Kontrakcie będą wykorzystane do Robót lub odwiezione na odkład odpowiednio do wymagań Kontraktu lub wskazań Inżyniera.</w:t>
      </w:r>
    </w:p>
    <w:p w14:paraId="4EC1F40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Z wyjątkiem uzyskania na to pisemnej zgody Inżyniera, Wykonawca nie będzie prowadzić żadnych wykopów w obrębie Terenu Budowy poza tymi, które zostały wyszczególnione w Kontrakcie.</w:t>
      </w:r>
    </w:p>
    <w:p w14:paraId="01BCA1B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Eksploatacja źródeł materiałów będzie zgodna z wszelkimi regulacjami prawnymi obowiązującymi na danym obszarze.</w:t>
      </w:r>
    </w:p>
    <w:p w14:paraId="3C94C126"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19" w:name="_Toc476391142"/>
      <w:bookmarkStart w:id="20" w:name="_Toc7658816"/>
      <w:r w:rsidRPr="001667DB">
        <w:rPr>
          <w:color w:val="000000" w:themeColor="text1"/>
          <w:sz w:val="22"/>
          <w:szCs w:val="22"/>
          <w:u w:val="none"/>
        </w:rPr>
        <w:t>Inspekcja wytwórni materiałów</w:t>
      </w:r>
      <w:bookmarkEnd w:id="19"/>
      <w:bookmarkEnd w:id="20"/>
    </w:p>
    <w:p w14:paraId="31C2963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 xml:space="preserve">Wytwórnie materiałów mogą być okresowo kontrolowane przez Inżyniera w celu sprawdzenia zgodności stosowanych metod produkcyjnych z wymaganiami. Próbki </w:t>
      </w:r>
      <w:r w:rsidR="00777055">
        <w:rPr>
          <w:color w:val="000000" w:themeColor="text1"/>
          <w:sz w:val="22"/>
          <w:szCs w:val="22"/>
        </w:rPr>
        <w:t>materiałów mogą być pobierane w </w:t>
      </w:r>
      <w:r w:rsidRPr="001667DB">
        <w:rPr>
          <w:color w:val="000000" w:themeColor="text1"/>
          <w:sz w:val="22"/>
          <w:szCs w:val="22"/>
        </w:rPr>
        <w:t>celu sprawdzenia ich właściwości. Wynik tych kontroli będzie podstawą akceptacji określonej partii materiałów pod względem jakości.</w:t>
      </w:r>
    </w:p>
    <w:p w14:paraId="11098A6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W przypadku, gdy Inżynier będzie przeprowadzał inspekcję wytwórni będą zachowane następujące warunki:</w:t>
      </w:r>
    </w:p>
    <w:p w14:paraId="36107E9F"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a)</w:t>
      </w:r>
      <w:r w:rsidRPr="001667DB">
        <w:rPr>
          <w:color w:val="000000" w:themeColor="text1"/>
          <w:sz w:val="22"/>
          <w:szCs w:val="22"/>
        </w:rPr>
        <w:tab/>
        <w:t>Inżynier będzie miał zapewnioną współpracę i pomoc Wykonawcy oraz producenta materiałów w czasie przeprowadzania inspekcji,</w:t>
      </w:r>
    </w:p>
    <w:p w14:paraId="31D65961" w14:textId="77777777" w:rsidR="00955A27" w:rsidRPr="001667DB" w:rsidRDefault="00955A27" w:rsidP="00955A27">
      <w:pPr>
        <w:pStyle w:val="Lista"/>
        <w:spacing w:after="120"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Inżynier będzie miał wolny dostęp, w dowolnym czasie, do tych części wytwórni, gdzie odbywa się produkcja materiałów przeznaczonych do realizacji Kontraktu.</w:t>
      </w:r>
    </w:p>
    <w:p w14:paraId="072F99E3"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21" w:name="_Toc476391143"/>
      <w:bookmarkStart w:id="22" w:name="_Toc7658817"/>
      <w:r w:rsidRPr="001667DB">
        <w:rPr>
          <w:color w:val="000000" w:themeColor="text1"/>
          <w:sz w:val="22"/>
          <w:szCs w:val="22"/>
          <w:u w:val="none"/>
        </w:rPr>
        <w:t>Materiały nie odpowiadające wymaganiom</w:t>
      </w:r>
      <w:bookmarkEnd w:id="21"/>
      <w:bookmarkEnd w:id="22"/>
    </w:p>
    <w:p w14:paraId="482F3D0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Materiały nie odpowiadające wymaganiom zostaną przez Wykonawcę wywiezione z Terenu Budowy, bądź złożone w miejscu wskazanym przez Inżyniera. Jeśli Inżynier zezwoli Wykonawcy na użycie tych materiałów do innych robót niż te, dla których zostały zakupione, to koszt tych materiałów zostanie przewartościowany przez Inżyniera.</w:t>
      </w:r>
    </w:p>
    <w:p w14:paraId="574626A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Każdy rodzaj Robót, w którym znajdują się nie zbadane i nie zaakceptowane materiały, Wykonawca wykonuje na własne ryzyko, licząc się z jego nie przyjęciem i niezapłaceniem.</w:t>
      </w:r>
    </w:p>
    <w:p w14:paraId="39453247"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23" w:name="_Toc476391144"/>
      <w:bookmarkStart w:id="24" w:name="_Toc7658818"/>
      <w:r w:rsidRPr="001667DB">
        <w:rPr>
          <w:color w:val="000000" w:themeColor="text1"/>
          <w:sz w:val="22"/>
          <w:szCs w:val="22"/>
          <w:u w:val="none"/>
        </w:rPr>
        <w:lastRenderedPageBreak/>
        <w:t>Przechowywanie i składowanie materiałów</w:t>
      </w:r>
      <w:bookmarkEnd w:id="23"/>
      <w:bookmarkEnd w:id="24"/>
    </w:p>
    <w:p w14:paraId="2EA69952"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zapewni, aby tymczasowo składowane materiały do czasu, gdy będą one potrzebne do Robót, były zabezpieczone przed zanieczyszczeniem, zachowały swoją jakość i właściwość do Robót i były dostępne do kontroli przez Inżyniera.</w:t>
      </w:r>
    </w:p>
    <w:p w14:paraId="4854BC3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Miejsca czasowego składowania będą zlokalizowane w obrębie Terenu Budowy w miejscach uzgodnionych z Inżynierem lub poza Terenem Budowy w miejscach zorganizowanych przez Wykonawcę.</w:t>
      </w:r>
    </w:p>
    <w:p w14:paraId="75C5C3F3"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25" w:name="_Toc476391145"/>
      <w:bookmarkStart w:id="26" w:name="_Toc7658819"/>
      <w:r w:rsidRPr="001667DB">
        <w:rPr>
          <w:color w:val="000000" w:themeColor="text1"/>
          <w:sz w:val="22"/>
          <w:szCs w:val="22"/>
          <w:u w:val="none"/>
        </w:rPr>
        <w:t>Wariantowe stosowanie materiałów</w:t>
      </w:r>
      <w:bookmarkEnd w:id="25"/>
      <w:bookmarkEnd w:id="26"/>
    </w:p>
    <w:p w14:paraId="3EFB3B0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Jeśli Dokumentacja Projektowa lub ST przewidują możliwość wariantowego zastosowania rodzaju materiału w wykonywanych Robotach, Wykonawca powiadomi Inżyniera o swoim zamiarze co najmniej 3 tygodnie przed użyciem materiału, albo w okresie dłuższym, jeśli będzie to wymagane dla badań prowadzonych przez Inżyniera. Wybrany i zaakceptowany rodzaj materiału nie może być później zmieniany bez zgody Inżyniera.</w:t>
      </w:r>
    </w:p>
    <w:p w14:paraId="4714A88D"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27" w:name="_Toc476391146"/>
      <w:bookmarkStart w:id="28" w:name="_Toc7658820"/>
      <w:r w:rsidRPr="001667DB">
        <w:rPr>
          <w:color w:val="000000" w:themeColor="text1"/>
          <w:sz w:val="22"/>
          <w:szCs w:val="22"/>
          <w:lang w:val="pl-PL"/>
        </w:rPr>
        <w:t>SPRZĘT</w:t>
      </w:r>
      <w:bookmarkEnd w:id="27"/>
      <w:bookmarkEnd w:id="28"/>
    </w:p>
    <w:p w14:paraId="7E9312B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PZJ lub projekcie organizacji Robót, zaakceptowanym przez Inżyniera; w przypadku braku ustaleń w takich dokumentach sprzęt powinien być uzgodniony i zaakceptowany przez Inżyniera.</w:t>
      </w:r>
    </w:p>
    <w:p w14:paraId="6B42137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Liczba i wydajność sprzętu będzie gwarantować przeprowadzenie Robót, zgodnie z zasadami określonymi w Dokumentacji Projektowej, ST i wskazaniach Inżyniera w terminie przewidzianym Kontraktem.</w:t>
      </w:r>
    </w:p>
    <w:p w14:paraId="60F137A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Sprzęt będący własnością Wykonawcy lub wynajęty do wykon</w:t>
      </w:r>
      <w:r w:rsidR="00777055">
        <w:rPr>
          <w:color w:val="000000" w:themeColor="text1"/>
          <w:sz w:val="22"/>
          <w:szCs w:val="22"/>
        </w:rPr>
        <w:t>ania Robót ma być utrzymywany w </w:t>
      </w:r>
      <w:r w:rsidRPr="001667DB">
        <w:rPr>
          <w:color w:val="000000" w:themeColor="text1"/>
          <w:sz w:val="22"/>
          <w:szCs w:val="22"/>
        </w:rPr>
        <w:t>dobrym stanie i gotowości do pracy. Będzie on zgodny z normami ochrony środowiska i przepisami dotyczącymi jego użytkowania.</w:t>
      </w:r>
    </w:p>
    <w:p w14:paraId="20F1253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dostarczy Inżynierowi kopie dokumentów potwierdzających dopuszczenie sprzętu do użytkowania, tam gdzie jest to wymagane przepisami.</w:t>
      </w:r>
    </w:p>
    <w:p w14:paraId="5E2E5CA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Jeżeli Dokumentacja Projektowa lub ST przewidują możliwość wariantowego użycia sprzętu przy wykonywanych Robotach, Wykonawca powiadomi Inżyniera o swoim zamiarze wyboru i uzyska jego akceptację przed użyciem sprzętu. Wybrany sprzęt, po akceptacji Inżyniera, nie może być później zmieniany bez jego zgody.</w:t>
      </w:r>
    </w:p>
    <w:p w14:paraId="33A4E45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Jakikolwiek sprzęt, maszyny, urządzenia i narzędzia nie gwarantujące zachowania warunków Kontraktu, zostaną przez Inżyniera zdyskwalifikowane i nie dopuszczone do Robót.</w:t>
      </w:r>
    </w:p>
    <w:p w14:paraId="57D95CA9"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29" w:name="_Toc476391147"/>
      <w:bookmarkStart w:id="30" w:name="_Toc7658821"/>
      <w:r w:rsidRPr="001667DB">
        <w:rPr>
          <w:color w:val="000000" w:themeColor="text1"/>
          <w:sz w:val="22"/>
          <w:szCs w:val="22"/>
          <w:lang w:val="pl-PL"/>
        </w:rPr>
        <w:lastRenderedPageBreak/>
        <w:t>TRANSPORT</w:t>
      </w:r>
      <w:bookmarkEnd w:id="29"/>
      <w:bookmarkEnd w:id="30"/>
    </w:p>
    <w:p w14:paraId="48C4A4E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stosowa</w:t>
      </w:r>
      <w:r w:rsidRPr="001667DB">
        <w:rPr>
          <w:color w:val="000000" w:themeColor="text1"/>
          <w:sz w:val="22"/>
          <w:szCs w:val="22"/>
        </w:rPr>
        <w:sym w:font="Times New Roman" w:char="0107"/>
      </w:r>
      <w:r w:rsidRPr="001667DB">
        <w:rPr>
          <w:color w:val="000000" w:themeColor="text1"/>
          <w:sz w:val="22"/>
          <w:szCs w:val="22"/>
        </w:rPr>
        <w:t xml:space="preserve"> się będzie do ustawowych ograniczeń obciążenia na oś przy transporcie materiałów / sprzętu na i z terenu Robót. </w:t>
      </w:r>
    </w:p>
    <w:p w14:paraId="3AF7D04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Uzyska on wszelkie niezbędne zezwolenia od władz co do przewozu nietypowych ładunków i w sposób ciągły będzie o każdym takim przewozie powiadamiał Inżyniera.</w:t>
      </w:r>
    </w:p>
    <w:p w14:paraId="4FFEAFE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jest zobowiązany do stosowania jedynie takich środków transportu, które nie wpłyną niekorzystnie na jakość wykonywanych Robót i właściwości przewożonych materiałów.</w:t>
      </w:r>
    </w:p>
    <w:p w14:paraId="78AFF96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Liczba środków transportu będzie zapewniać prowadzenie Robót z</w:t>
      </w:r>
      <w:r w:rsidR="00777055">
        <w:rPr>
          <w:color w:val="000000" w:themeColor="text1"/>
          <w:sz w:val="22"/>
          <w:szCs w:val="22"/>
        </w:rPr>
        <w:t>godnie z zasadami określonymi w </w:t>
      </w:r>
      <w:r w:rsidRPr="001667DB">
        <w:rPr>
          <w:color w:val="000000" w:themeColor="text1"/>
          <w:sz w:val="22"/>
          <w:szCs w:val="22"/>
        </w:rPr>
        <w:t>Dokumentacji Projektowej, ST i wskazaniach Inżyniera, w terminie przewidzianym Kontraktem.</w:t>
      </w:r>
    </w:p>
    <w:p w14:paraId="11FFCA4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Środki transportu nie odpowiadające warunkom dopuszczalnych obciążeń na osie mogą by</w:t>
      </w:r>
      <w:r w:rsidRPr="001667DB">
        <w:rPr>
          <w:color w:val="000000" w:themeColor="text1"/>
          <w:sz w:val="22"/>
          <w:szCs w:val="22"/>
        </w:rPr>
        <w:sym w:font="Times New Roman" w:char="0107"/>
      </w:r>
      <w:r w:rsidRPr="001667DB">
        <w:rPr>
          <w:color w:val="000000" w:themeColor="text1"/>
          <w:sz w:val="22"/>
          <w:szCs w:val="22"/>
        </w:rPr>
        <w:t xml:space="preserve"> użyte przez Wykonawcę pod warunkiem przywrócenia do stanu pierwotnego użytkowanych odcinków dróg publicznych na koszt Wykonawcy. </w:t>
      </w:r>
    </w:p>
    <w:p w14:paraId="1CFEA70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usuwać na bieżąco, na własny koszt, wszelkie zanieczyszczenia spowodowane jego pojazdami na drogach publicznych oraz dojazdach do Terenu Budowy.</w:t>
      </w:r>
    </w:p>
    <w:p w14:paraId="705AB71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zapewni wykonanie i utrzymanie wszelkich, niezb</w:t>
      </w:r>
      <w:r w:rsidR="00777055">
        <w:rPr>
          <w:color w:val="000000" w:themeColor="text1"/>
          <w:sz w:val="22"/>
          <w:szCs w:val="22"/>
        </w:rPr>
        <w:t>ędnych dróg  technologicznych i </w:t>
      </w:r>
      <w:r w:rsidRPr="001667DB">
        <w:rPr>
          <w:color w:val="000000" w:themeColor="text1"/>
          <w:sz w:val="22"/>
          <w:szCs w:val="22"/>
        </w:rPr>
        <w:t>dojazdowych na terenie budowy, w czasie prowadzonych robót.</w:t>
      </w:r>
    </w:p>
    <w:p w14:paraId="632E0D38"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31" w:name="_Toc476391148"/>
      <w:bookmarkStart w:id="32" w:name="_Toc7658822"/>
      <w:r w:rsidRPr="001667DB">
        <w:rPr>
          <w:color w:val="000000" w:themeColor="text1"/>
          <w:sz w:val="22"/>
          <w:szCs w:val="22"/>
          <w:lang w:val="pl-PL"/>
        </w:rPr>
        <w:t>WYKONANIE ROBÓT</w:t>
      </w:r>
      <w:bookmarkEnd w:id="31"/>
      <w:bookmarkEnd w:id="32"/>
    </w:p>
    <w:p w14:paraId="78BE1BE5"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33" w:name="_Toc476391149"/>
      <w:bookmarkStart w:id="34" w:name="_Toc7658823"/>
      <w:r w:rsidRPr="001667DB">
        <w:rPr>
          <w:color w:val="000000" w:themeColor="text1"/>
          <w:sz w:val="22"/>
          <w:szCs w:val="22"/>
          <w:u w:val="none"/>
        </w:rPr>
        <w:t>Ogólne zasady wykonywania Robót</w:t>
      </w:r>
      <w:bookmarkEnd w:id="33"/>
      <w:bookmarkEnd w:id="34"/>
    </w:p>
    <w:p w14:paraId="3041186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jest odpowiedzialny za prowadzenie Robót zgodnie z Kontraktem, oraz za jakość zastosowanych materiałów i wykonywanych Robót, za ich zgodność z Dokumentacją Projektową, wymaganiami ST, PZJ, Projektu Technologii i Organizacji Robót oraz poleceniami Inżyniera.</w:t>
      </w:r>
    </w:p>
    <w:p w14:paraId="4C51023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ponosi odpowiedzialność za dokładne wytyczenie w planie i wyznaczenie wysokości wszystkich elementów Robót zgodnie z wymiarami i rzędnymi określonymi w Dokumentacji Projektowej lub przekazanymi na piśmie przez Inżyniera.</w:t>
      </w:r>
    </w:p>
    <w:p w14:paraId="5ACE4AD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Następstwa jakiegokolwiek błędu spowodowanego przez Wykonawcę w wytyczeniu i wyznaczaniu Robót zostaną, jeśli wymagać tego będzie Inżynier, poprawione przez Wykonawcę na własny koszt.</w:t>
      </w:r>
    </w:p>
    <w:p w14:paraId="371B3FE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Sprawdzenie wytyczenia Robót lub wyznaczenia wysokości przez Inżyniera nie zwalnia Wykonawcy od odpowiedzialności za ich dokładność.</w:t>
      </w:r>
    </w:p>
    <w:p w14:paraId="2B6E5FA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 xml:space="preserve">Decyzje Inżyniera dotyczące akceptacji lub odrzucenia materiałów i elementów Robót będą oparte na wymaganiach sformułowanych w Kontrakcie, Dokumentacji Projektowej i w ST, a także </w:t>
      </w:r>
      <w:r w:rsidR="00777055">
        <w:rPr>
          <w:color w:val="000000" w:themeColor="text1"/>
          <w:sz w:val="22"/>
          <w:szCs w:val="22"/>
        </w:rPr>
        <w:t>w normach i </w:t>
      </w:r>
      <w:r w:rsidRPr="001667DB">
        <w:rPr>
          <w:color w:val="000000" w:themeColor="text1"/>
          <w:sz w:val="22"/>
          <w:szCs w:val="22"/>
        </w:rPr>
        <w:t xml:space="preserve">wytycznych. Przy podejmowaniu decyzji Inżynier uwzględni wyniki badań materiałów i Robót, rozrzuty </w:t>
      </w:r>
      <w:r w:rsidRPr="001667DB">
        <w:rPr>
          <w:color w:val="000000" w:themeColor="text1"/>
          <w:sz w:val="22"/>
          <w:szCs w:val="22"/>
        </w:rPr>
        <w:lastRenderedPageBreak/>
        <w:t>normalnie występujące przy produkcji i przy badaniach materiałów, doświadczenia z przeszłości, wyniki badań naukowych oraz inne czynniki wpływające na rozważaną kwestię.</w:t>
      </w:r>
    </w:p>
    <w:p w14:paraId="44592785"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Polecenia Inżyniera będą wykonywane nie później niż w czasie przez niego wyznaczonym, po ich otrzymaniu przez Wykonawcę, pod groźbą zatrzymania Robót. Skutki finansowe z tego tytułu ponosi Wykonawca.</w:t>
      </w:r>
    </w:p>
    <w:p w14:paraId="2B4DF195"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Wykonawca prowadzi Roboty na podstawie przyjętej własnej technologii robót.</w:t>
      </w:r>
    </w:p>
    <w:p w14:paraId="6839B9EB"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35" w:name="_Toc476391150"/>
      <w:bookmarkStart w:id="36" w:name="_Toc7658824"/>
      <w:r w:rsidRPr="001667DB">
        <w:rPr>
          <w:color w:val="000000" w:themeColor="text1"/>
          <w:sz w:val="22"/>
          <w:szCs w:val="22"/>
          <w:lang w:val="pl-PL"/>
        </w:rPr>
        <w:t>KONTROLA JAKOŚCI ROBÓT</w:t>
      </w:r>
      <w:bookmarkEnd w:id="35"/>
      <w:bookmarkEnd w:id="36"/>
    </w:p>
    <w:p w14:paraId="099E4F94"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37" w:name="_Toc476391151"/>
      <w:bookmarkStart w:id="38" w:name="_Toc7658825"/>
      <w:r w:rsidRPr="001667DB">
        <w:rPr>
          <w:color w:val="000000" w:themeColor="text1"/>
          <w:sz w:val="22"/>
          <w:szCs w:val="22"/>
          <w:u w:val="none"/>
        </w:rPr>
        <w:t>Program zapewnienia jakości (PZJ)</w:t>
      </w:r>
      <w:bookmarkEnd w:id="37"/>
      <w:bookmarkEnd w:id="38"/>
    </w:p>
    <w:p w14:paraId="195FA72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Do obowiązków Wykonawcy należy opracowanie i przedstawienie do aprobaty Inżyniera programu zapewnienia jakości, w którym przedstawi on zamierzony sposób wykonywania Robót, możliwości techniczne, kadrowe i organizacyjne gwarantujące wykonanie Robót zgodnie z Dokumentacją Projektową, ST oraz poleceniami i ustaleniami przekazanymi przez Inżyniera.</w:t>
      </w:r>
    </w:p>
    <w:p w14:paraId="059B3F9C"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Program zapewnienia jakości będzie zawierać:</w:t>
      </w:r>
    </w:p>
    <w:p w14:paraId="2FE3F400" w14:textId="77777777" w:rsidR="00955A27" w:rsidRPr="001667DB" w:rsidRDefault="00955A27" w:rsidP="00777055">
      <w:pPr>
        <w:pStyle w:val="Nagwek3"/>
      </w:pPr>
      <w:r w:rsidRPr="001667DB">
        <w:t>a)</w:t>
      </w:r>
      <w:r w:rsidRPr="001667DB">
        <w:tab/>
        <w:t>część ogólną opisującą:</w:t>
      </w:r>
    </w:p>
    <w:p w14:paraId="571483E8"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organizację wykonania Robót, w tym terminy i sposób prowadzenia Robót,</w:t>
      </w:r>
    </w:p>
    <w:p w14:paraId="4915484D"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organizację ruchu na budowie wraz z oznakowaniem Robót,</w:t>
      </w:r>
    </w:p>
    <w:p w14:paraId="508396D3"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 xml:space="preserve">bhp, szczegółowy Plan BiOZ, </w:t>
      </w:r>
    </w:p>
    <w:p w14:paraId="633E0939"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wykaz zespołów roboczych, ich kwalifikacje i przygotowanie praktyczne,</w:t>
      </w:r>
    </w:p>
    <w:p w14:paraId="5DF4B11D"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wykaz osób odpowiedzialnych za jakość i terminowość wykonania poszczególnych elementów Robót,</w:t>
      </w:r>
    </w:p>
    <w:p w14:paraId="0F3B8479"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system (sposób i procedurę) proponowanej kontroli i sterowania jakością wykonywanych Robót,</w:t>
      </w:r>
    </w:p>
    <w:p w14:paraId="7955CEC0"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wyposażenie w sprzęt i urządzenia do pomiarów i kontroli (opis laboratorium własnego lub laboratorium,</w:t>
      </w:r>
    </w:p>
    <w:p w14:paraId="6BE98FD0" w14:textId="77777777" w:rsidR="00955A27" w:rsidRPr="001667DB" w:rsidRDefault="00955A27" w:rsidP="00955A27">
      <w:pPr>
        <w:pStyle w:val="Listapunktowana2"/>
        <w:numPr>
          <w:ilvl w:val="0"/>
          <w:numId w:val="0"/>
        </w:numPr>
        <w:spacing w:before="0" w:after="120" w:line="360" w:lineRule="auto"/>
        <w:rPr>
          <w:color w:val="000000" w:themeColor="text1"/>
          <w:sz w:val="22"/>
          <w:szCs w:val="22"/>
        </w:rPr>
      </w:pPr>
      <w:r w:rsidRPr="001667DB">
        <w:rPr>
          <w:color w:val="000000" w:themeColor="text1"/>
          <w:sz w:val="22"/>
          <w:szCs w:val="22"/>
        </w:rPr>
        <w:t xml:space="preserve"> </w:t>
      </w:r>
      <w:r w:rsidRPr="001667DB">
        <w:rPr>
          <w:color w:val="000000" w:themeColor="text1"/>
          <w:sz w:val="22"/>
          <w:szCs w:val="22"/>
        </w:rPr>
        <w:tab/>
        <w:t>któremu Wykonawca zamierza zlecić prowadzenie badań),</w:t>
      </w:r>
    </w:p>
    <w:p w14:paraId="7A3F065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sposób oraz formę gromadzenia wyników badań laboratoryjnych, zapis pomiarów, nastaw mechanizmów</w:t>
      </w:r>
    </w:p>
    <w:p w14:paraId="5EE3011C" w14:textId="77777777" w:rsidR="00955A27" w:rsidRPr="001667DB" w:rsidRDefault="00955A27" w:rsidP="00955A27">
      <w:pPr>
        <w:pStyle w:val="Listapunktowana2"/>
        <w:numPr>
          <w:ilvl w:val="0"/>
          <w:numId w:val="0"/>
        </w:numPr>
        <w:spacing w:before="0" w:after="120" w:line="360" w:lineRule="auto"/>
        <w:rPr>
          <w:color w:val="000000" w:themeColor="text1"/>
          <w:sz w:val="22"/>
          <w:szCs w:val="22"/>
        </w:rPr>
      </w:pPr>
      <w:r w:rsidRPr="001667DB">
        <w:rPr>
          <w:color w:val="000000" w:themeColor="text1"/>
          <w:sz w:val="22"/>
          <w:szCs w:val="22"/>
        </w:rPr>
        <w:tab/>
        <w:t>sterujących a także wyciąganych wniosków i zastosowanych korekt w procesie technologicznym,</w:t>
      </w:r>
    </w:p>
    <w:p w14:paraId="45AE705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proponowany sposób i formę przekazywania tych informacji Inżynierowi;</w:t>
      </w:r>
    </w:p>
    <w:p w14:paraId="50191D16" w14:textId="77777777" w:rsidR="00955A27" w:rsidRPr="001667DB" w:rsidRDefault="00955A27" w:rsidP="00777055">
      <w:pPr>
        <w:pStyle w:val="Nagwek3"/>
      </w:pPr>
      <w:r w:rsidRPr="001667DB">
        <w:t>b)</w:t>
      </w:r>
      <w:r w:rsidRPr="001667DB">
        <w:tab/>
        <w:t>część szczegółową opisującą dla każdego asortymentu Robót:</w:t>
      </w:r>
    </w:p>
    <w:p w14:paraId="6E7DC083"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wykaz maszyn i urządzeń stosowanych na budowie z ich parametrami technicznymi oraz wyposażeniem w mechanizmy do sterowania i urządzenia pomiarowo-kontrolne,</w:t>
      </w:r>
    </w:p>
    <w:p w14:paraId="694F5487"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wykaz projektów technologicznych i wykonawczych przewidzianych w ST,</w:t>
      </w:r>
    </w:p>
    <w:p w14:paraId="236AB17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lastRenderedPageBreak/>
        <w:t xml:space="preserve">rodzaje i ilość środków transportu oraz urządzeń do magazynowania i załadunku materiałów, spoiw, </w:t>
      </w:r>
    </w:p>
    <w:p w14:paraId="4F26BD5B" w14:textId="77777777" w:rsidR="00955A27" w:rsidRPr="001667DB" w:rsidRDefault="00955A27" w:rsidP="00955A27">
      <w:pPr>
        <w:pStyle w:val="Listapunktowana2"/>
        <w:numPr>
          <w:ilvl w:val="0"/>
          <w:numId w:val="0"/>
        </w:numPr>
        <w:spacing w:before="0" w:after="120" w:line="360" w:lineRule="auto"/>
        <w:rPr>
          <w:color w:val="000000" w:themeColor="text1"/>
          <w:sz w:val="22"/>
          <w:szCs w:val="22"/>
        </w:rPr>
      </w:pPr>
      <w:r w:rsidRPr="001667DB">
        <w:rPr>
          <w:color w:val="000000" w:themeColor="text1"/>
          <w:sz w:val="22"/>
          <w:szCs w:val="22"/>
        </w:rPr>
        <w:tab/>
        <w:t>lepiszczy, kruszyw itp.,</w:t>
      </w:r>
    </w:p>
    <w:p w14:paraId="1C3B1C7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sposób zabezpieczenia i ochrony ładunków przed utratą ich właściwości w czasie transportu,</w:t>
      </w:r>
    </w:p>
    <w:p w14:paraId="22BF8A8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sposób i procedurę pomiarów i badań (rodzaj i częstotliwość, p</w:t>
      </w:r>
      <w:r w:rsidR="00777055">
        <w:rPr>
          <w:color w:val="000000" w:themeColor="text1"/>
          <w:sz w:val="22"/>
          <w:szCs w:val="22"/>
        </w:rPr>
        <w:t>obieranie próbek, legalizacja i </w:t>
      </w:r>
      <w:r w:rsidRPr="001667DB">
        <w:rPr>
          <w:color w:val="000000" w:themeColor="text1"/>
          <w:sz w:val="22"/>
          <w:szCs w:val="22"/>
        </w:rPr>
        <w:t xml:space="preserve">sprawdzanie </w:t>
      </w:r>
    </w:p>
    <w:p w14:paraId="2931FE3D" w14:textId="77777777" w:rsidR="00955A27" w:rsidRPr="001667DB" w:rsidRDefault="00955A27" w:rsidP="00955A27">
      <w:pPr>
        <w:pStyle w:val="Listapunktowana2"/>
        <w:numPr>
          <w:ilvl w:val="0"/>
          <w:numId w:val="0"/>
        </w:numPr>
        <w:spacing w:before="0" w:after="120" w:line="360" w:lineRule="auto"/>
        <w:rPr>
          <w:color w:val="000000" w:themeColor="text1"/>
          <w:sz w:val="22"/>
          <w:szCs w:val="22"/>
        </w:rPr>
      </w:pPr>
      <w:r w:rsidRPr="001667DB">
        <w:rPr>
          <w:color w:val="000000" w:themeColor="text1"/>
          <w:sz w:val="22"/>
          <w:szCs w:val="22"/>
        </w:rPr>
        <w:tab/>
        <w:t xml:space="preserve">urządzeń, itp.) prowadzonych podczas dostaw materiałów, wytwarzania mieszanek i wykonywania </w:t>
      </w:r>
    </w:p>
    <w:p w14:paraId="7DF32F8A" w14:textId="77777777" w:rsidR="00955A27" w:rsidRPr="001667DB" w:rsidRDefault="00955A27" w:rsidP="00955A27">
      <w:pPr>
        <w:pStyle w:val="Listapunktowana2"/>
        <w:numPr>
          <w:ilvl w:val="0"/>
          <w:numId w:val="0"/>
        </w:numPr>
        <w:spacing w:before="0" w:after="120" w:line="360" w:lineRule="auto"/>
        <w:rPr>
          <w:color w:val="000000" w:themeColor="text1"/>
          <w:sz w:val="22"/>
          <w:szCs w:val="22"/>
        </w:rPr>
      </w:pPr>
      <w:r w:rsidRPr="001667DB">
        <w:rPr>
          <w:color w:val="000000" w:themeColor="text1"/>
          <w:sz w:val="22"/>
          <w:szCs w:val="22"/>
        </w:rPr>
        <w:tab/>
        <w:t>poszczególnych elementów Robót,</w:t>
      </w:r>
    </w:p>
    <w:p w14:paraId="7573C8FA"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sposób postępowania z materiałami i Robotami nie odpowiadającymi wymaganiom.</w:t>
      </w:r>
    </w:p>
    <w:p w14:paraId="75F204C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39" w:name="_Toc476391152"/>
      <w:bookmarkStart w:id="40" w:name="_Toc7658826"/>
      <w:r w:rsidRPr="001667DB">
        <w:rPr>
          <w:color w:val="000000" w:themeColor="text1"/>
          <w:sz w:val="22"/>
          <w:szCs w:val="22"/>
          <w:u w:val="none"/>
        </w:rPr>
        <w:t>Zasady kontroli jakości Robót</w:t>
      </w:r>
      <w:bookmarkEnd w:id="39"/>
      <w:bookmarkEnd w:id="40"/>
    </w:p>
    <w:p w14:paraId="60AEE83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Celem kontroli Robót będzie takie sterowanie ich przygotowaniem i wykonaniem, aby osiągnąć założoną jakość Robót.</w:t>
      </w:r>
    </w:p>
    <w:p w14:paraId="310E70C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120A298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Przed zatwierdzeniem systemu kontroli Inżynier może zażądać od Wykonawcy przeprowadzenia badań w celu zademonstrowania, że poziom ich wykonywania jest zadowalający.</w:t>
      </w:r>
    </w:p>
    <w:p w14:paraId="2AE7538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Wykonawca będzie przeprowadzać pomiary i badania materiałów oraz Robót z częstotliwością zapewniającą stwierdzenie, że Roboty wykonano zgodnie z wymaganiami zawartymi w Dokumentacji Projektowej i ST.</w:t>
      </w:r>
    </w:p>
    <w:p w14:paraId="077CC3E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Minimalne wymagania co do zakresu badań i ich częstotliwo</w:t>
      </w:r>
      <w:r w:rsidR="00777055">
        <w:rPr>
          <w:color w:val="000000" w:themeColor="text1"/>
          <w:sz w:val="22"/>
          <w:szCs w:val="22"/>
        </w:rPr>
        <w:t>ść są określone w ST, normach i </w:t>
      </w:r>
      <w:r w:rsidRPr="001667DB">
        <w:rPr>
          <w:color w:val="000000" w:themeColor="text1"/>
          <w:sz w:val="22"/>
          <w:szCs w:val="22"/>
        </w:rPr>
        <w:t>wytycznych. W przypadku, gdy nie zostały one tam określone, Inżynier ustali, jaki zakres kontroli jest konieczny, aby zapewnić wykonanie Robót zgodnie z Kontraktem.</w:t>
      </w:r>
    </w:p>
    <w:p w14:paraId="5873540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Wykonawca dostarczy Inżynierowi świadectwa, że wszystkie stosowane urządzenia i sprzęt badawczy posiadają ważną legalizację, zostały prawidłowo wykalibrowane i odpowiadają wymaganiom norm określających procedury badań.</w:t>
      </w:r>
    </w:p>
    <w:p w14:paraId="5B6C2AD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Inżynier będzie mieć nieograniczony dostęp do pomieszczeń laboratoryjnych, w celu ich inspekcji.</w:t>
      </w:r>
    </w:p>
    <w:p w14:paraId="5FB5970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Inżynier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odpowiednia jakość tych materiałów.</w:t>
      </w:r>
    </w:p>
    <w:p w14:paraId="54700EE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lastRenderedPageBreak/>
        <w:t>Wszystkie koszty związane z organizowaniem i prowadzeniem badań materiałów ponosi Wykonawca.</w:t>
      </w:r>
    </w:p>
    <w:p w14:paraId="69F9B86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41" w:name="_Toc476391153"/>
      <w:bookmarkStart w:id="42" w:name="_Toc7658827"/>
      <w:r w:rsidRPr="001667DB">
        <w:rPr>
          <w:color w:val="000000" w:themeColor="text1"/>
          <w:sz w:val="22"/>
          <w:szCs w:val="22"/>
          <w:u w:val="none"/>
        </w:rPr>
        <w:t>Pobieranie próbek</w:t>
      </w:r>
      <w:bookmarkEnd w:id="41"/>
      <w:bookmarkEnd w:id="42"/>
    </w:p>
    <w:p w14:paraId="2C24D9A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Próbki będą pobierane losowo. Zaleca się stosowanie statystycznych metod pobierania próbek, opartych na zasadzie, że wszystkie jednostkow</w:t>
      </w:r>
      <w:r w:rsidR="00777055">
        <w:rPr>
          <w:color w:val="000000" w:themeColor="text1"/>
          <w:sz w:val="22"/>
          <w:szCs w:val="22"/>
        </w:rPr>
        <w:t xml:space="preserve">e elementy produkcji mogą być z </w:t>
      </w:r>
      <w:r w:rsidRPr="001667DB">
        <w:rPr>
          <w:color w:val="000000" w:themeColor="text1"/>
          <w:sz w:val="22"/>
          <w:szCs w:val="22"/>
        </w:rPr>
        <w:t>jednakowym prawdopodobieństwem wytypowane do badań.</w:t>
      </w:r>
    </w:p>
    <w:p w14:paraId="1CBED461"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Inżynier będzie mieć zapewnioną możliwość udziału w pobieraniu próbek.</w:t>
      </w:r>
    </w:p>
    <w:p w14:paraId="5FE6589D" w14:textId="77777777" w:rsidR="00B41779" w:rsidRDefault="00955A27" w:rsidP="00955A27">
      <w:pPr>
        <w:pStyle w:val="Tekstpodstawowy"/>
        <w:spacing w:before="0" w:after="120"/>
        <w:rPr>
          <w:color w:val="000000" w:themeColor="text1"/>
          <w:sz w:val="22"/>
          <w:szCs w:val="22"/>
        </w:rPr>
      </w:pPr>
      <w:r w:rsidRPr="001667DB">
        <w:rPr>
          <w:color w:val="000000" w:themeColor="text1"/>
          <w:sz w:val="22"/>
          <w:szCs w:val="22"/>
        </w:rPr>
        <w:tab/>
        <w:t>Na zlecenie Inżyniera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14:paraId="22E274E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Pojemniki do pobierania próbek będą dostarczone przez Wykonawcę i zatwierdzone przez Inżyniera. Próbki dostarczone przez Wykonawcę do badań wykonywanych przez Inżyniera będą odpowiednio opisane i oznakowane, w sposób zaakceptowany przez Inżyniera.</w:t>
      </w:r>
    </w:p>
    <w:p w14:paraId="64AB6AAD"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43" w:name="_Toc476391154"/>
      <w:bookmarkStart w:id="44" w:name="_Toc7658828"/>
      <w:r w:rsidRPr="001667DB">
        <w:rPr>
          <w:color w:val="000000" w:themeColor="text1"/>
          <w:sz w:val="22"/>
          <w:szCs w:val="22"/>
          <w:u w:val="none"/>
        </w:rPr>
        <w:t>Badania i pomiary</w:t>
      </w:r>
      <w:bookmarkEnd w:id="43"/>
      <w:bookmarkEnd w:id="44"/>
    </w:p>
    <w:p w14:paraId="1F2867D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Wszystkie badania i pomiary będą przeprowadzone zgodnie z wymaganiami norm. W przypadku, gdy normy nie obejmują jakiegokolwiek badania wymaganego w ST, stosować można wytyczne krajowe, albo inne procedury, zaakceptowane przez Inżyniera.</w:t>
      </w:r>
    </w:p>
    <w:p w14:paraId="6C2523C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Przed przystąpieniem do pomiarów lub badań, Wykonawca powiadomi Inżyni</w:t>
      </w:r>
      <w:r w:rsidR="00777055">
        <w:rPr>
          <w:color w:val="000000" w:themeColor="text1"/>
          <w:sz w:val="22"/>
          <w:szCs w:val="22"/>
        </w:rPr>
        <w:t>era o rodzaju, miejscu i </w:t>
      </w:r>
      <w:r w:rsidRPr="001667DB">
        <w:rPr>
          <w:color w:val="000000" w:themeColor="text1"/>
          <w:sz w:val="22"/>
          <w:szCs w:val="22"/>
        </w:rPr>
        <w:t>terminie pomiaru lub badania. Po wykonaniu pomiaru lub badania, Wykonawca przedstawi na piśmie ich wyniki do akceptacji Inżyniera.</w:t>
      </w:r>
    </w:p>
    <w:p w14:paraId="67DBA193"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45" w:name="_Toc476391155"/>
      <w:bookmarkStart w:id="46" w:name="_Toc7658829"/>
      <w:r w:rsidRPr="001667DB">
        <w:rPr>
          <w:color w:val="000000" w:themeColor="text1"/>
          <w:sz w:val="22"/>
          <w:szCs w:val="22"/>
          <w:u w:val="none"/>
        </w:rPr>
        <w:t>Raporty z badań</w:t>
      </w:r>
      <w:bookmarkEnd w:id="45"/>
      <w:bookmarkEnd w:id="46"/>
    </w:p>
    <w:p w14:paraId="6FD27B7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będzie przekazywać Inżynierowi kopie raportów z wynikami badań jak najszybciej, nie później jednak niż w terminie określonym w programie zapewnienia jakości.</w:t>
      </w:r>
    </w:p>
    <w:p w14:paraId="78D74FC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Wyniki badań (kopie) będą przekazywane Inżyniera na formularzach według dostarczonego przez niego wzoru lub innych, przez niego zaaprobowanych.</w:t>
      </w:r>
    </w:p>
    <w:p w14:paraId="771BA2E9"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47" w:name="_Toc476391156"/>
      <w:bookmarkStart w:id="48" w:name="_Toc7658830"/>
      <w:r w:rsidRPr="001667DB">
        <w:rPr>
          <w:color w:val="000000" w:themeColor="text1"/>
          <w:sz w:val="22"/>
          <w:szCs w:val="22"/>
          <w:u w:val="none"/>
        </w:rPr>
        <w:t xml:space="preserve">Badania prowadzone przez </w:t>
      </w:r>
      <w:bookmarkEnd w:id="47"/>
      <w:bookmarkEnd w:id="48"/>
      <w:r w:rsidRPr="001667DB">
        <w:rPr>
          <w:color w:val="000000" w:themeColor="text1"/>
          <w:sz w:val="22"/>
          <w:szCs w:val="22"/>
          <w:u w:val="none"/>
        </w:rPr>
        <w:t>Inżyniera</w:t>
      </w:r>
    </w:p>
    <w:p w14:paraId="7A45B1F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Dla celów kontroli jakości i zatwierdzenia, Inżynier uprawniony jest do dokonywania kontroli, pobierania próbek i badania materiałów u źródła ich wytwarzania i zapewniona mu będzie wszelka potrzebna do tego pomoc ze strony Wykonawcy i producenta materiałów.</w:t>
      </w:r>
    </w:p>
    <w:p w14:paraId="5EC92B2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Inżynier, po uprzedniej weryfikacji systemu kontroli Robót prowadzonego przez Wykonawcę, będzie oceniać zgodność materiałów i Robót z wymaganiami ST na podstawie wyników badań dostarczonych przez Wykonawcę.</w:t>
      </w:r>
    </w:p>
    <w:p w14:paraId="6689F3C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Inżynier może pobierać próbki materiałów i prowadzić badania niezależnie od Wykonawcy, na swój koszt. Jeżeli wyniki tych badań wykażą, że raporty Wykonawcy są niewiarygodne, to Inżynier poleci 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w:t>
      </w:r>
    </w:p>
    <w:p w14:paraId="5558F280"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49" w:name="_Toc476391157"/>
      <w:bookmarkStart w:id="50" w:name="_Toc7658831"/>
      <w:r w:rsidRPr="001667DB">
        <w:rPr>
          <w:color w:val="000000" w:themeColor="text1"/>
          <w:sz w:val="22"/>
          <w:szCs w:val="22"/>
          <w:u w:val="none"/>
        </w:rPr>
        <w:t>Certyfikaty i deklaracje</w:t>
      </w:r>
      <w:bookmarkEnd w:id="49"/>
      <w:bookmarkEnd w:id="50"/>
      <w:r w:rsidRPr="001667DB">
        <w:rPr>
          <w:color w:val="000000" w:themeColor="text1"/>
          <w:sz w:val="22"/>
          <w:szCs w:val="22"/>
          <w:u w:val="none"/>
        </w:rPr>
        <w:t xml:space="preserve"> </w:t>
      </w:r>
    </w:p>
    <w:p w14:paraId="505C0BF7"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Inżynier może dopuści</w:t>
      </w:r>
      <w:r w:rsidRPr="001667DB">
        <w:rPr>
          <w:color w:val="000000" w:themeColor="text1"/>
          <w:sz w:val="22"/>
          <w:szCs w:val="22"/>
        </w:rPr>
        <w:sym w:font="Times New Roman" w:char="0107"/>
      </w:r>
      <w:r w:rsidRPr="001667DB">
        <w:rPr>
          <w:color w:val="000000" w:themeColor="text1"/>
          <w:sz w:val="22"/>
          <w:szCs w:val="22"/>
        </w:rPr>
        <w:t xml:space="preserve"> do użycia tylko te materiały, które posiadają:</w:t>
      </w:r>
    </w:p>
    <w:p w14:paraId="7643D90B" w14:textId="77777777" w:rsidR="00955A27" w:rsidRPr="001667DB" w:rsidRDefault="00955A27" w:rsidP="00955A27">
      <w:pPr>
        <w:pStyle w:val="Lista"/>
        <w:numPr>
          <w:ilvl w:val="0"/>
          <w:numId w:val="2"/>
        </w:numPr>
        <w:spacing w:after="120" w:line="360" w:lineRule="auto"/>
        <w:ind w:left="0" w:firstLine="0"/>
        <w:rPr>
          <w:color w:val="000000" w:themeColor="text1"/>
          <w:sz w:val="22"/>
          <w:szCs w:val="22"/>
        </w:rPr>
      </w:pPr>
      <w:r w:rsidRPr="001667DB">
        <w:rPr>
          <w:color w:val="000000" w:themeColor="text1"/>
          <w:sz w:val="22"/>
          <w:szCs w:val="22"/>
        </w:rPr>
        <w:t>certyfikat na znak bezpieczeństwa, wykazujący że zapewniono zgodność</w:t>
      </w:r>
      <w:r w:rsidRPr="001667DB">
        <w:rPr>
          <w:color w:val="000000" w:themeColor="text1"/>
          <w:sz w:val="22"/>
          <w:szCs w:val="22"/>
        </w:rPr>
        <w:sym w:font="Times New Roman" w:char="0107"/>
      </w:r>
      <w:r w:rsidRPr="001667DB">
        <w:rPr>
          <w:color w:val="000000" w:themeColor="text1"/>
          <w:sz w:val="22"/>
          <w:szCs w:val="22"/>
        </w:rPr>
        <w:t xml:space="preserve"> z kryteriami technicznymi określonymi na podstawie Polskich Norm, właściwych zharmonizowanych Europejskich Norm, aprobat technicznych oraz właściwych przepisów i dokumentów technicznych,</w:t>
      </w:r>
    </w:p>
    <w:p w14:paraId="23EA84CB" w14:textId="77777777" w:rsidR="00955A27" w:rsidRPr="001667DB" w:rsidRDefault="00955A27" w:rsidP="00955A27">
      <w:pPr>
        <w:pStyle w:val="Lista"/>
        <w:numPr>
          <w:ilvl w:val="0"/>
          <w:numId w:val="3"/>
        </w:numPr>
        <w:spacing w:after="120" w:line="360" w:lineRule="auto"/>
        <w:ind w:left="0" w:firstLine="0"/>
        <w:rPr>
          <w:color w:val="000000" w:themeColor="text1"/>
          <w:sz w:val="22"/>
          <w:szCs w:val="22"/>
        </w:rPr>
      </w:pPr>
      <w:r w:rsidRPr="001667DB">
        <w:rPr>
          <w:color w:val="000000" w:themeColor="text1"/>
          <w:sz w:val="22"/>
          <w:szCs w:val="22"/>
        </w:rPr>
        <w:t>deklarację zgodności lub certyfikat zgodności z:</w:t>
      </w:r>
    </w:p>
    <w:p w14:paraId="76F514B8"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 xml:space="preserve">Polską Normą lub </w:t>
      </w:r>
    </w:p>
    <w:p w14:paraId="3328C0C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 xml:space="preserve">aprobatą techniczną, w przypadku wyrobów, dla których nie ustanowiono odpowiedniej normy, jeżeli nie </w:t>
      </w:r>
    </w:p>
    <w:p w14:paraId="3D78FF97"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są objęte certyfikacją określoną w pkt. 1.</w:t>
      </w:r>
    </w:p>
    <w:p w14:paraId="65F22782"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i które spełniają wymogi Specyfikacji Technicznej.</w:t>
      </w:r>
    </w:p>
    <w:p w14:paraId="15E2966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przypadku materiałów, dla których w/w dokumenty są wymagane przez ST, każda partia dostarczona do Robót będzie posiadać te dokumenty, określające w sposób jednoznaczny jej cechy.</w:t>
      </w:r>
    </w:p>
    <w:p w14:paraId="30B0774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Produkty przemysłowe muszą posiadać w/w dokumenty wydane przez producenta, a w razie potrzeby poparte wynikami badań wykonanych przez niego. Kopie wyników tych badań będą dostarczone przez Wykonawcę Inżynierowi.</w:t>
      </w:r>
    </w:p>
    <w:p w14:paraId="7CDDEAA3"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Jakiekolwiek materiały, które nie spełniają tych wymagań będą odrzucone.</w:t>
      </w:r>
    </w:p>
    <w:p w14:paraId="687F605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51" w:name="_Toc476391158"/>
      <w:bookmarkStart w:id="52" w:name="_Toc7658832"/>
      <w:r w:rsidRPr="001667DB">
        <w:rPr>
          <w:color w:val="000000" w:themeColor="text1"/>
          <w:sz w:val="22"/>
          <w:szCs w:val="22"/>
          <w:u w:val="none"/>
        </w:rPr>
        <w:t>Dokumenty budowy</w:t>
      </w:r>
      <w:bookmarkEnd w:id="51"/>
      <w:bookmarkEnd w:id="52"/>
    </w:p>
    <w:p w14:paraId="79A067AF" w14:textId="77777777" w:rsidR="00955A27" w:rsidRPr="001667DB" w:rsidRDefault="00955A27" w:rsidP="00777055">
      <w:pPr>
        <w:pStyle w:val="Nagwek3"/>
      </w:pPr>
      <w:r w:rsidRPr="001667DB">
        <w:t>(1)</w:t>
      </w:r>
      <w:r w:rsidRPr="001667DB">
        <w:tab/>
        <w:t>Dziennik Budowy</w:t>
      </w:r>
    </w:p>
    <w:p w14:paraId="19B6A29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Dziennik Budowy jest wymaganym dokumentem prawny</w:t>
      </w:r>
      <w:r w:rsidR="00777055">
        <w:rPr>
          <w:color w:val="000000" w:themeColor="text1"/>
          <w:sz w:val="22"/>
          <w:szCs w:val="22"/>
        </w:rPr>
        <w:t>m obowiązującym Zamawiającego i </w:t>
      </w:r>
      <w:r w:rsidRPr="001667DB">
        <w:rPr>
          <w:color w:val="000000" w:themeColor="text1"/>
          <w:sz w:val="22"/>
          <w:szCs w:val="22"/>
        </w:rPr>
        <w:t>Wykonawcę w okresie od przekazania Wykonawcy Terenu Budowy do końca okresu gwarancyjnego. Odpowiedzialność za prowadzenie Dziennika Budowy zgodnie z obowiązującymi przepisami spoczywa na Wykonawcy.</w:t>
      </w:r>
    </w:p>
    <w:p w14:paraId="0E88DBD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Zapisy w Dzienniku Budowy będą dokonywane na bieżąco i będą dotyczyć przebiegu Robót, stanu bezpieczeństwa ludzi i mienia oraz technicznej i gospodarczej strony budowy.</w:t>
      </w:r>
    </w:p>
    <w:p w14:paraId="33679908"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2866A96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Załączone do Dziennika Budowy protokoły i inne dokumenty będą oznaczone kolejnym numerem załącznika i opatrzone datą i podpisem Wykonawcy i Inżyniera.</w:t>
      </w:r>
    </w:p>
    <w:p w14:paraId="057D20D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Do Dziennika Budowy należy wpisywać w szczególności:</w:t>
      </w:r>
    </w:p>
    <w:p w14:paraId="2C62BFB0"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datę przekazania Wykonawcy Terenu Budowy,</w:t>
      </w:r>
    </w:p>
    <w:p w14:paraId="63609103"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datę przekazania przez Zamawiającego Dokumentacji Projektowej,</w:t>
      </w:r>
    </w:p>
    <w:p w14:paraId="0AA8044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uzgodnienie przez Inżyniera programu zapewnienia jakości i harmonogramów Robót,</w:t>
      </w:r>
    </w:p>
    <w:p w14:paraId="6AB89F49"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terminy rozpoczęcia i zakończenia poszczególnych elementów Robót,</w:t>
      </w:r>
    </w:p>
    <w:p w14:paraId="47C393A7"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przebieg Robót, trudności i przeszkody w ich prowadzeniu, okresy i przyczyny przerw w Robotach,</w:t>
      </w:r>
    </w:p>
    <w:p w14:paraId="3504493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uwagi i polecenia Inżyniera,</w:t>
      </w:r>
    </w:p>
    <w:p w14:paraId="007A34EE"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daty zarządzenia wstrzymania Robót, z podaniem powodu,</w:t>
      </w:r>
    </w:p>
    <w:p w14:paraId="6B4D2F6D"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zgłoszenia i daty odbiorów Robót zanikających i ulegających zakryciu, częściowych i ostatecznych odbiorów Robót,</w:t>
      </w:r>
    </w:p>
    <w:p w14:paraId="0B2165CF"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wyjaśnienia, uwagi i propozycje Wykonawcy,</w:t>
      </w:r>
    </w:p>
    <w:p w14:paraId="1B4B62EF"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stan pogody i temperaturę powietrza w okresie wykonywania Robót podlegających ograniczeniom lub wymaganiom szczególnym w związku z warunkami klimatycznymi,</w:t>
      </w:r>
    </w:p>
    <w:p w14:paraId="361F2F29"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zgodność rzeczywistych warunków geotechnicznych z ich opisem w Dokumentacji Projektowej,</w:t>
      </w:r>
    </w:p>
    <w:p w14:paraId="6561048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dane dotyczące czynności geodezyjnych (pomiarowych) dokonywanych przed i w trakcie wykonywania Robót,</w:t>
      </w:r>
    </w:p>
    <w:p w14:paraId="55F841BB"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dane dotyczące sposobu wykonywania zabezpieczenia Robót,</w:t>
      </w:r>
    </w:p>
    <w:p w14:paraId="2FFE78BA"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 xml:space="preserve">dane dotyczące jakości materiałów, pobierania próbek oraz </w:t>
      </w:r>
      <w:r w:rsidR="00777055">
        <w:rPr>
          <w:color w:val="000000" w:themeColor="text1"/>
          <w:sz w:val="22"/>
          <w:szCs w:val="22"/>
        </w:rPr>
        <w:t>wyniki przeprowadzonych badań z </w:t>
      </w:r>
      <w:r w:rsidRPr="001667DB">
        <w:rPr>
          <w:color w:val="000000" w:themeColor="text1"/>
          <w:sz w:val="22"/>
          <w:szCs w:val="22"/>
        </w:rPr>
        <w:t>podaniem, kto je przeprowadzał,</w:t>
      </w:r>
    </w:p>
    <w:p w14:paraId="506A509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wyniki prób poszczególnych elementów budowli z podaniem, kto je przeprowadzał,</w:t>
      </w:r>
    </w:p>
    <w:p w14:paraId="19A25C3E"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inne istotne informacje o przebiegu Robót.</w:t>
      </w:r>
    </w:p>
    <w:p w14:paraId="04B9708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Propozycje, uwagi i wyjaśnienia Wykonawcy, wpisane do Dziennika Budowy będą przedłożone Inżynierowi do ustosunkowania się.</w:t>
      </w:r>
    </w:p>
    <w:p w14:paraId="591E686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Decyzje Inżyniera wpisane do Dziennika Budowy Wykonawca podpisuje z zaznaczeniem ich przyjęcia lub zajęciem stanowiska.</w:t>
      </w:r>
    </w:p>
    <w:p w14:paraId="7E98C35C" w14:textId="77777777" w:rsidR="00955A27" w:rsidRPr="001667DB" w:rsidRDefault="00955A27" w:rsidP="00955A27">
      <w:pPr>
        <w:pStyle w:val="Tekstpodstawowy"/>
        <w:spacing w:before="0" w:after="120"/>
        <w:rPr>
          <w:b/>
          <w:color w:val="000000" w:themeColor="text1"/>
          <w:sz w:val="22"/>
          <w:szCs w:val="22"/>
        </w:rPr>
      </w:pPr>
      <w:r w:rsidRPr="001667DB">
        <w:rPr>
          <w:color w:val="000000" w:themeColor="text1"/>
          <w:sz w:val="22"/>
          <w:szCs w:val="22"/>
        </w:rPr>
        <w:lastRenderedPageBreak/>
        <w:tab/>
        <w:t>Wpis Projektanta do Dziennika Budowy obliguje Inżyniera do ustosunkowania się. Projektant nie jest jednak stroną Kontraktu i nie ma uprawnień do wydawania poleceń Wykonawcy Robót.</w:t>
      </w:r>
    </w:p>
    <w:p w14:paraId="458B8F3E" w14:textId="77777777" w:rsidR="00955A27" w:rsidRPr="001667DB" w:rsidRDefault="00955A27" w:rsidP="00777055">
      <w:pPr>
        <w:pStyle w:val="Nagwek3"/>
      </w:pPr>
      <w:r w:rsidRPr="001667DB">
        <w:t>(2)</w:t>
      </w:r>
      <w:r w:rsidRPr="001667DB">
        <w:tab/>
        <w:t xml:space="preserve">Rejestr Obmiarów </w:t>
      </w:r>
    </w:p>
    <w:p w14:paraId="160309E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Rejestr Obmiarów stanowi dokument pozwalający na rozliczeni</w:t>
      </w:r>
      <w:r w:rsidR="00777055">
        <w:rPr>
          <w:color w:val="000000" w:themeColor="text1"/>
          <w:sz w:val="22"/>
          <w:szCs w:val="22"/>
        </w:rPr>
        <w:t>e faktycznego postępu każdego z </w:t>
      </w:r>
      <w:r w:rsidRPr="001667DB">
        <w:rPr>
          <w:color w:val="000000" w:themeColor="text1"/>
          <w:sz w:val="22"/>
          <w:szCs w:val="22"/>
        </w:rPr>
        <w:t>elementów Robót. Obmiary wykonanych Robót przeprowadza się w sposób ciągły w jednostkach przyjętych w Kosztorysie i wpisuje do Rejestru Obmiarów.</w:t>
      </w:r>
    </w:p>
    <w:p w14:paraId="0D9EB3BD" w14:textId="77777777" w:rsidR="00955A27" w:rsidRPr="001667DB" w:rsidRDefault="00955A27" w:rsidP="00777055">
      <w:pPr>
        <w:pStyle w:val="Nagwek3"/>
      </w:pPr>
      <w:r w:rsidRPr="001667DB">
        <w:t>(3)</w:t>
      </w:r>
      <w:r w:rsidRPr="001667DB">
        <w:tab/>
        <w:t>Dokumenty laboratoryjne</w:t>
      </w:r>
    </w:p>
    <w:p w14:paraId="1C62199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Dzienniki laboratoryjne, deklaracje zgodności lub certyfikaty zgo</w:t>
      </w:r>
      <w:r w:rsidR="00777055">
        <w:rPr>
          <w:color w:val="000000" w:themeColor="text1"/>
          <w:sz w:val="22"/>
          <w:szCs w:val="22"/>
        </w:rPr>
        <w:t>dności materiałów, orzeczenia o </w:t>
      </w:r>
      <w:r w:rsidRPr="001667DB">
        <w:rPr>
          <w:color w:val="000000" w:themeColor="text1"/>
          <w:sz w:val="22"/>
          <w:szCs w:val="22"/>
        </w:rPr>
        <w:t>jakości materiałów, recepty robocze i kontrolne wyniki badań Wykonawcy będą gromadzone w formie uzgodnionej w programie zapewnienia jakości. Dokumenty te stanowią załączniki do odbioru Robót. Winny być udostępnione na każde życzenie Inżyniera.</w:t>
      </w:r>
    </w:p>
    <w:p w14:paraId="7A7BF3EA" w14:textId="77777777" w:rsidR="00955A27" w:rsidRPr="001667DB" w:rsidRDefault="00955A27" w:rsidP="00777055">
      <w:pPr>
        <w:pStyle w:val="Nagwek3"/>
      </w:pPr>
      <w:r w:rsidRPr="001667DB">
        <w:t>(4)</w:t>
      </w:r>
      <w:r w:rsidRPr="001667DB">
        <w:tab/>
        <w:t>Pozostałe dokumenty budowy</w:t>
      </w:r>
    </w:p>
    <w:p w14:paraId="00495E35"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Do dokumentów budowy zalicza się, oprócz wymienionych w pkt. (1)-(3) następujące dokumenty:</w:t>
      </w:r>
    </w:p>
    <w:p w14:paraId="19AFD705" w14:textId="77777777" w:rsidR="00955A27" w:rsidRPr="001667DB" w:rsidRDefault="00955A27" w:rsidP="00B41779">
      <w:pPr>
        <w:pStyle w:val="Lista2"/>
        <w:spacing w:before="0" w:line="360" w:lineRule="auto"/>
        <w:ind w:left="0" w:firstLine="0"/>
        <w:rPr>
          <w:color w:val="000000" w:themeColor="text1"/>
          <w:sz w:val="22"/>
          <w:szCs w:val="22"/>
        </w:rPr>
      </w:pPr>
      <w:r w:rsidRPr="001667DB">
        <w:rPr>
          <w:color w:val="000000" w:themeColor="text1"/>
          <w:sz w:val="22"/>
          <w:szCs w:val="22"/>
        </w:rPr>
        <w:t>a)</w:t>
      </w:r>
      <w:r w:rsidRPr="001667DB">
        <w:rPr>
          <w:color w:val="000000" w:themeColor="text1"/>
          <w:sz w:val="22"/>
          <w:szCs w:val="22"/>
        </w:rPr>
        <w:tab/>
        <w:t>pozwolenie na realizację zadania budowlanego,</w:t>
      </w:r>
    </w:p>
    <w:p w14:paraId="09D8A467" w14:textId="77777777" w:rsidR="00955A27" w:rsidRPr="001667DB" w:rsidRDefault="00955A27" w:rsidP="00B41779">
      <w:pPr>
        <w:pStyle w:val="Lista2"/>
        <w:spacing w:before="0"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protokoły przekazania Terenu Budowy,</w:t>
      </w:r>
    </w:p>
    <w:p w14:paraId="5727AD22" w14:textId="77777777" w:rsidR="00955A27" w:rsidRPr="001667DB" w:rsidRDefault="00955A27" w:rsidP="00B41779">
      <w:pPr>
        <w:pStyle w:val="Lista2"/>
        <w:spacing w:before="0" w:line="360" w:lineRule="auto"/>
        <w:ind w:left="0" w:firstLine="0"/>
        <w:rPr>
          <w:color w:val="000000" w:themeColor="text1"/>
          <w:sz w:val="22"/>
          <w:szCs w:val="22"/>
        </w:rPr>
      </w:pPr>
      <w:r w:rsidRPr="001667DB">
        <w:rPr>
          <w:color w:val="000000" w:themeColor="text1"/>
          <w:sz w:val="22"/>
          <w:szCs w:val="22"/>
        </w:rPr>
        <w:t>c)</w:t>
      </w:r>
      <w:r w:rsidRPr="001667DB">
        <w:rPr>
          <w:color w:val="000000" w:themeColor="text1"/>
          <w:sz w:val="22"/>
          <w:szCs w:val="22"/>
        </w:rPr>
        <w:tab/>
        <w:t>umowy cywilno-prawne z osobami trzecimi i inne umowy cywilno-prawne,</w:t>
      </w:r>
    </w:p>
    <w:p w14:paraId="2829D9B6" w14:textId="77777777" w:rsidR="00955A27" w:rsidRPr="001667DB" w:rsidRDefault="00955A27" w:rsidP="00B41779">
      <w:pPr>
        <w:pStyle w:val="Lista2"/>
        <w:spacing w:before="0" w:line="360" w:lineRule="auto"/>
        <w:ind w:left="0" w:firstLine="0"/>
        <w:rPr>
          <w:color w:val="000000" w:themeColor="text1"/>
          <w:sz w:val="22"/>
          <w:szCs w:val="22"/>
        </w:rPr>
      </w:pPr>
      <w:r w:rsidRPr="001667DB">
        <w:rPr>
          <w:color w:val="000000" w:themeColor="text1"/>
          <w:sz w:val="22"/>
          <w:szCs w:val="22"/>
        </w:rPr>
        <w:t>d)</w:t>
      </w:r>
      <w:r w:rsidRPr="001667DB">
        <w:rPr>
          <w:color w:val="000000" w:themeColor="text1"/>
          <w:sz w:val="22"/>
          <w:szCs w:val="22"/>
        </w:rPr>
        <w:tab/>
        <w:t>protokoły odbioru Robót,</w:t>
      </w:r>
    </w:p>
    <w:p w14:paraId="6891D76F" w14:textId="77777777" w:rsidR="00955A27" w:rsidRPr="001667DB" w:rsidRDefault="00955A27" w:rsidP="00B41779">
      <w:pPr>
        <w:pStyle w:val="Lista2"/>
        <w:spacing w:before="0" w:line="360" w:lineRule="auto"/>
        <w:ind w:left="0" w:firstLine="0"/>
        <w:rPr>
          <w:color w:val="000000" w:themeColor="text1"/>
          <w:sz w:val="22"/>
          <w:szCs w:val="22"/>
        </w:rPr>
      </w:pPr>
      <w:r w:rsidRPr="001667DB">
        <w:rPr>
          <w:color w:val="000000" w:themeColor="text1"/>
          <w:sz w:val="22"/>
          <w:szCs w:val="22"/>
        </w:rPr>
        <w:t>e)</w:t>
      </w:r>
      <w:r w:rsidRPr="001667DB">
        <w:rPr>
          <w:color w:val="000000" w:themeColor="text1"/>
          <w:sz w:val="22"/>
          <w:szCs w:val="22"/>
        </w:rPr>
        <w:tab/>
        <w:t>protokoły z narad i ustaleń,</w:t>
      </w:r>
    </w:p>
    <w:p w14:paraId="3E029FA1"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f)</w:t>
      </w:r>
      <w:r w:rsidRPr="001667DB">
        <w:rPr>
          <w:color w:val="000000" w:themeColor="text1"/>
          <w:sz w:val="22"/>
          <w:szCs w:val="22"/>
        </w:rPr>
        <w:tab/>
        <w:t>korespondencję na budowie.</w:t>
      </w:r>
    </w:p>
    <w:p w14:paraId="05B2C952" w14:textId="77777777" w:rsidR="00955A27" w:rsidRPr="001667DB" w:rsidRDefault="00955A27" w:rsidP="00777055">
      <w:pPr>
        <w:pStyle w:val="Nagwek3"/>
      </w:pPr>
      <w:r w:rsidRPr="001667DB">
        <w:t>(5)</w:t>
      </w:r>
      <w:r w:rsidRPr="001667DB">
        <w:tab/>
        <w:t>Przechowywanie dokumentów budowy</w:t>
      </w:r>
    </w:p>
    <w:p w14:paraId="36E1FC7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Dokumenty budowy będą przechowywane na Terenie Budowy w miejscu odpowiednio zabezpieczonym.</w:t>
      </w:r>
    </w:p>
    <w:p w14:paraId="16A06656"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Zaginięcie któregokolwiek z dokumentów budowy spowoduje jego natychmiastowe odtworzenie w formie przewidzianej prawem.</w:t>
      </w:r>
    </w:p>
    <w:p w14:paraId="2282AEA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Wszelkie dokumenty budowy będą zawsze dostępne dla Inżyniera i przedstawiane do wglądu na życzenie Zamawiającego.</w:t>
      </w:r>
    </w:p>
    <w:p w14:paraId="0A744752"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53" w:name="_Toc476391159"/>
      <w:bookmarkStart w:id="54" w:name="_Toc7658833"/>
      <w:r w:rsidRPr="001667DB">
        <w:rPr>
          <w:color w:val="000000" w:themeColor="text1"/>
          <w:sz w:val="22"/>
          <w:szCs w:val="22"/>
          <w:lang w:val="pl-PL"/>
        </w:rPr>
        <w:t>OBMIAR ROBÓT</w:t>
      </w:r>
      <w:bookmarkEnd w:id="53"/>
      <w:bookmarkEnd w:id="54"/>
    </w:p>
    <w:p w14:paraId="29E0BCCD"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55" w:name="_Toc476391160"/>
      <w:bookmarkStart w:id="56" w:name="_Toc7658834"/>
      <w:r w:rsidRPr="001667DB">
        <w:rPr>
          <w:color w:val="000000" w:themeColor="text1"/>
          <w:sz w:val="22"/>
          <w:szCs w:val="22"/>
          <w:u w:val="none"/>
        </w:rPr>
        <w:t>Ogólne zasady obmiaru Robót</w:t>
      </w:r>
      <w:bookmarkEnd w:id="55"/>
      <w:bookmarkEnd w:id="56"/>
    </w:p>
    <w:p w14:paraId="2DB7DE2A"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Obmiar Robót będzie określać faktyczny zakres wykonywanych Robót zgodnie z Dokumentacją Projektową i ST, w jednostkach ustalonych w Kosztorysie.</w:t>
      </w:r>
    </w:p>
    <w:p w14:paraId="01D2B4FF"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Obmiaru Robót dokonuje Wykonawca po pisemnym powiadomieniu Inżyniera o zakresie obmierzanych Robót i terminie obmiaru, co najmniej na 3 dni przed tym terminem.</w:t>
      </w:r>
    </w:p>
    <w:p w14:paraId="0B7655E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Wyniki obmiaru będą wpisane do Rejestru Obmiarów.</w:t>
      </w:r>
    </w:p>
    <w:p w14:paraId="55CA72C2"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Jakikolwiek błąd lub przeoczenie (opuszczenie) w ilościach podanych w Ślepym Kosztorysie lub gdzie indziej w Specyfikacjach Technicznych nie zwalnia Wykonawcy od obowiązku ukończenia wszystkich Robót. Błędne dane zostaną poprawione wg instrukcji Inżyniera na piśmie.</w:t>
      </w:r>
    </w:p>
    <w:p w14:paraId="52A16644"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Obmiar gotowych Robót będzie przeprowadzony z częstością wymaganą do celu miesięcznej płatności na rzecz Wykonawcy lub w innym czasie określonym w Kontrakcie lub oczekiwanym przez Wykonawcę i Inżyniera.</w:t>
      </w:r>
    </w:p>
    <w:p w14:paraId="14DD1B8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57" w:name="_Toc476391161"/>
      <w:bookmarkStart w:id="58" w:name="_Toc7658835"/>
      <w:r w:rsidRPr="001667DB">
        <w:rPr>
          <w:color w:val="000000" w:themeColor="text1"/>
          <w:sz w:val="22"/>
          <w:szCs w:val="22"/>
          <w:u w:val="none"/>
        </w:rPr>
        <w:t>Zasady określania ilości Robót i materiałów</w:t>
      </w:r>
      <w:bookmarkEnd w:id="57"/>
      <w:bookmarkEnd w:id="58"/>
    </w:p>
    <w:p w14:paraId="01765900"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Długości i odległości pomiędzy wyszczególnionymi punktami skrajnymi będą obmierzone poziomo wzdłuż linii osiowej.</w:t>
      </w:r>
    </w:p>
    <w:p w14:paraId="3440FCA3"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Jeśli Specyfikacje Techniczne właściwe dla danych Robót nie wymagają tego inaczej, objętości będą wyliczone w m</w:t>
      </w:r>
      <w:r w:rsidRPr="001667DB">
        <w:rPr>
          <w:color w:val="000000" w:themeColor="text1"/>
          <w:sz w:val="22"/>
          <w:szCs w:val="22"/>
          <w:vertAlign w:val="superscript"/>
        </w:rPr>
        <w:t>3</w:t>
      </w:r>
      <w:r w:rsidRPr="001667DB">
        <w:rPr>
          <w:color w:val="000000" w:themeColor="text1"/>
          <w:sz w:val="22"/>
          <w:szCs w:val="22"/>
        </w:rPr>
        <w:t xml:space="preserve"> jako długość pomnożona przez średni przekrój.</w:t>
      </w:r>
    </w:p>
    <w:p w14:paraId="3C28D66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Ilości, które mają być obmierzone wagowo, będą ważone w t</w:t>
      </w:r>
      <w:r w:rsidR="00777055">
        <w:rPr>
          <w:color w:val="000000" w:themeColor="text1"/>
          <w:sz w:val="22"/>
          <w:szCs w:val="22"/>
        </w:rPr>
        <w:t>onach lub kilogramach zgodnie z </w:t>
      </w:r>
      <w:r w:rsidRPr="001667DB">
        <w:rPr>
          <w:color w:val="000000" w:themeColor="text1"/>
          <w:sz w:val="22"/>
          <w:szCs w:val="22"/>
        </w:rPr>
        <w:t>wymaganiami Specyfikacji Technicznych.</w:t>
      </w:r>
    </w:p>
    <w:p w14:paraId="05B6F772"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59" w:name="_Toc476391162"/>
      <w:bookmarkStart w:id="60" w:name="_Toc7658836"/>
      <w:r w:rsidRPr="001667DB">
        <w:rPr>
          <w:color w:val="000000" w:themeColor="text1"/>
          <w:sz w:val="22"/>
          <w:szCs w:val="22"/>
          <w:u w:val="none"/>
        </w:rPr>
        <w:t>Urządzenia i sprzęt pomiarowy</w:t>
      </w:r>
      <w:bookmarkEnd w:id="59"/>
      <w:bookmarkEnd w:id="60"/>
    </w:p>
    <w:p w14:paraId="573F722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Wszystkie urządzenia i sprzęt pomiarowy, stosowany w czasie obmiaru Robót będą zaakceptowane przez Inżyniera.</w:t>
      </w:r>
    </w:p>
    <w:p w14:paraId="380A522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Urządzenia i sprzęt pomiarowy zostaną dostarczone przez Wykonawcę. Jeżeli urządzenia te lub sprzęt wymagają badań atestujących to Wykonawca będzie posiadać ważne świadectwa legalizacji.</w:t>
      </w:r>
    </w:p>
    <w:p w14:paraId="7EFE66C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Wszystkie urządzenia pomiarowe będą przez Wykonawcę utrzymywane w dobrym stanie, w całym okresie trwania Robót.</w:t>
      </w:r>
    </w:p>
    <w:p w14:paraId="00BAAF00"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61" w:name="_Toc476391163"/>
      <w:bookmarkStart w:id="62" w:name="_Toc7658837"/>
      <w:r w:rsidRPr="001667DB">
        <w:rPr>
          <w:color w:val="000000" w:themeColor="text1"/>
          <w:sz w:val="22"/>
          <w:szCs w:val="22"/>
          <w:u w:val="none"/>
        </w:rPr>
        <w:t>Wagi i zasady ważenia</w:t>
      </w:r>
      <w:bookmarkEnd w:id="61"/>
      <w:bookmarkEnd w:id="62"/>
    </w:p>
    <w:p w14:paraId="14D85577"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Wykonawca dostarczy i zainstaluje urządzenia wagowe odpowiadające odnośnym wymaganiom Specyfikacji Technicznych. Będzie utrzymywać to wyposażenie zapewniając w sposób ciągły zachowanie dokładności wg norm zatwierdzonych przez Inżyniera.</w:t>
      </w:r>
    </w:p>
    <w:p w14:paraId="4A536E21"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63" w:name="_Toc476391164"/>
      <w:bookmarkStart w:id="64" w:name="_Toc7658838"/>
      <w:r w:rsidRPr="001667DB">
        <w:rPr>
          <w:color w:val="000000" w:themeColor="text1"/>
          <w:sz w:val="22"/>
          <w:szCs w:val="22"/>
          <w:u w:val="none"/>
        </w:rPr>
        <w:t>Czas przeprowadzenia obmiaru</w:t>
      </w:r>
      <w:bookmarkEnd w:id="63"/>
      <w:bookmarkEnd w:id="64"/>
    </w:p>
    <w:p w14:paraId="7DB4BA4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Obmiary będą przeprowadzone przed częściowym lub ostatecznym odbiorem odcinków Robót, a także w przypadku występowania dłuższej przerwy w Robotach.</w:t>
      </w:r>
    </w:p>
    <w:p w14:paraId="195BD0BA"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Obmiar Robót zanikających przeprowadza się w czasie ich wykonywania.</w:t>
      </w:r>
    </w:p>
    <w:p w14:paraId="72631E3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Obmiar Robót podlegających zakryciu przeprowadza się przed ich zakryciem.</w:t>
      </w:r>
    </w:p>
    <w:p w14:paraId="5F8C5D4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Roboty pomiarowe do obmiaru oraz nieodzowne obliczenia będą wykonane w sposób zrozumiały i jednoznaczny.</w:t>
      </w:r>
    </w:p>
    <w:p w14:paraId="26E47472"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lastRenderedPageBreak/>
        <w:tab/>
        <w:t>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Inżynierem.</w:t>
      </w:r>
    </w:p>
    <w:p w14:paraId="2553FD9A"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65" w:name="_Toc476391165"/>
      <w:bookmarkStart w:id="66" w:name="_Toc7658839"/>
      <w:r w:rsidRPr="001667DB">
        <w:rPr>
          <w:color w:val="000000" w:themeColor="text1"/>
          <w:sz w:val="22"/>
          <w:szCs w:val="22"/>
          <w:lang w:val="pl-PL"/>
        </w:rPr>
        <w:t>ODBIÓR ROBÓT</w:t>
      </w:r>
      <w:bookmarkEnd w:id="65"/>
      <w:bookmarkEnd w:id="66"/>
    </w:p>
    <w:p w14:paraId="2234BBAA" w14:textId="77777777" w:rsidR="00955A27" w:rsidRPr="001667DB" w:rsidRDefault="00955A27" w:rsidP="00B41779">
      <w:pPr>
        <w:pStyle w:val="Tekstpodstawowywcity"/>
        <w:spacing w:before="0" w:after="0" w:line="360" w:lineRule="auto"/>
        <w:ind w:left="0"/>
        <w:rPr>
          <w:color w:val="000000" w:themeColor="text1"/>
          <w:sz w:val="22"/>
          <w:szCs w:val="22"/>
        </w:rPr>
      </w:pPr>
      <w:r w:rsidRPr="001667DB">
        <w:rPr>
          <w:color w:val="000000" w:themeColor="text1"/>
          <w:sz w:val="22"/>
          <w:szCs w:val="22"/>
        </w:rPr>
        <w:t>W zależności od ustaleń odpowiednich ST, Roboty podlegają następującym etapom odbioru:</w:t>
      </w:r>
    </w:p>
    <w:p w14:paraId="5C101D82" w14:textId="77777777" w:rsidR="00955A27" w:rsidRPr="001667DB" w:rsidRDefault="00955A27" w:rsidP="00B41779">
      <w:pPr>
        <w:pStyle w:val="Lista"/>
        <w:spacing w:line="360" w:lineRule="auto"/>
        <w:ind w:left="0" w:firstLine="0"/>
        <w:rPr>
          <w:color w:val="000000" w:themeColor="text1"/>
          <w:sz w:val="22"/>
          <w:szCs w:val="22"/>
        </w:rPr>
      </w:pPr>
      <w:r w:rsidRPr="001667DB">
        <w:rPr>
          <w:color w:val="000000" w:themeColor="text1"/>
          <w:sz w:val="22"/>
          <w:szCs w:val="22"/>
        </w:rPr>
        <w:t>a)</w:t>
      </w:r>
      <w:r w:rsidRPr="001667DB">
        <w:rPr>
          <w:color w:val="000000" w:themeColor="text1"/>
          <w:sz w:val="22"/>
          <w:szCs w:val="22"/>
        </w:rPr>
        <w:tab/>
        <w:t>odbiorowi Robót zanikających i ulegających zakryciu,</w:t>
      </w:r>
    </w:p>
    <w:p w14:paraId="7148D944" w14:textId="77777777" w:rsidR="00955A27" w:rsidRPr="001667DB" w:rsidRDefault="00955A27" w:rsidP="00B41779">
      <w:pPr>
        <w:pStyle w:val="Lista"/>
        <w:spacing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odbiorowi częściowemu,</w:t>
      </w:r>
    </w:p>
    <w:p w14:paraId="12C40C21" w14:textId="77777777" w:rsidR="00955A27" w:rsidRPr="001667DB" w:rsidRDefault="00955A27" w:rsidP="00B41779">
      <w:pPr>
        <w:pStyle w:val="Lista"/>
        <w:spacing w:line="360" w:lineRule="auto"/>
        <w:ind w:left="0" w:firstLine="0"/>
        <w:rPr>
          <w:color w:val="000000" w:themeColor="text1"/>
          <w:sz w:val="22"/>
          <w:szCs w:val="22"/>
        </w:rPr>
      </w:pPr>
      <w:r w:rsidRPr="001667DB">
        <w:rPr>
          <w:color w:val="000000" w:themeColor="text1"/>
          <w:sz w:val="22"/>
          <w:szCs w:val="22"/>
        </w:rPr>
        <w:t>c)</w:t>
      </w:r>
      <w:r w:rsidRPr="001667DB">
        <w:rPr>
          <w:color w:val="000000" w:themeColor="text1"/>
          <w:sz w:val="22"/>
          <w:szCs w:val="22"/>
        </w:rPr>
        <w:tab/>
        <w:t>odbiorowi ostatecznemu,</w:t>
      </w:r>
    </w:p>
    <w:p w14:paraId="0611FC5F" w14:textId="77777777" w:rsidR="00955A27" w:rsidRPr="001667DB" w:rsidRDefault="00955A27" w:rsidP="00B41779">
      <w:pPr>
        <w:pStyle w:val="Lista"/>
        <w:spacing w:line="360" w:lineRule="auto"/>
        <w:ind w:left="0" w:firstLine="0"/>
        <w:rPr>
          <w:color w:val="000000" w:themeColor="text1"/>
          <w:sz w:val="22"/>
          <w:szCs w:val="22"/>
        </w:rPr>
      </w:pPr>
      <w:r w:rsidRPr="001667DB">
        <w:rPr>
          <w:color w:val="000000" w:themeColor="text1"/>
          <w:sz w:val="22"/>
          <w:szCs w:val="22"/>
        </w:rPr>
        <w:t>d)</w:t>
      </w:r>
      <w:r w:rsidRPr="001667DB">
        <w:rPr>
          <w:color w:val="000000" w:themeColor="text1"/>
          <w:sz w:val="22"/>
          <w:szCs w:val="22"/>
        </w:rPr>
        <w:tab/>
        <w:t>odbiorowi pogwarancyjnemu.</w:t>
      </w:r>
    </w:p>
    <w:p w14:paraId="7B0B8CB1"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67" w:name="_Toc476391166"/>
      <w:bookmarkStart w:id="68" w:name="_Toc7658840"/>
      <w:r w:rsidRPr="001667DB">
        <w:rPr>
          <w:color w:val="000000" w:themeColor="text1"/>
          <w:sz w:val="22"/>
          <w:szCs w:val="22"/>
          <w:u w:val="none"/>
        </w:rPr>
        <w:t>Odbiór Robót zanikających i ulegających zakryciu</w:t>
      </w:r>
      <w:bookmarkEnd w:id="67"/>
      <w:bookmarkEnd w:id="68"/>
    </w:p>
    <w:p w14:paraId="05216DBF"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Odbiór Robót zanikających i ulegających zakryciu polega na finalnej ocenie ilości i jakości wykonywanych Robót, które w dalszym procesie realizacji ulegną zakryciu.</w:t>
      </w:r>
    </w:p>
    <w:p w14:paraId="6E7BED35"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Odbiór Robót zanikających i ulegających zakryciu będzie dokonany w czasie umożliwiającym wykonanie ewentualnych korekt i poprawek bez hamowania ogólnego postępu Robót.</w:t>
      </w:r>
    </w:p>
    <w:p w14:paraId="23480CA2"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ab/>
        <w:t>Odbioru Robót dokonuje Inżynier.</w:t>
      </w:r>
    </w:p>
    <w:p w14:paraId="1E19586D"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Gotowość danej części Robót do odbioru zgłasza Wykonaw</w:t>
      </w:r>
      <w:r w:rsidR="00777055">
        <w:rPr>
          <w:color w:val="000000" w:themeColor="text1"/>
          <w:sz w:val="22"/>
          <w:szCs w:val="22"/>
        </w:rPr>
        <w:t>ca wpisem do Dziennika Budowy i </w:t>
      </w:r>
      <w:r w:rsidRPr="001667DB">
        <w:rPr>
          <w:color w:val="000000" w:themeColor="text1"/>
          <w:sz w:val="22"/>
          <w:szCs w:val="22"/>
        </w:rPr>
        <w:t>jednoczesnym powiadomieniem Inżyniera. Odbiór będzie przeprowadzony niezwłocznie, nie później jednak niż w ciągu 3 dni od daty zgłoszenia wpisem do Dziennika Budowy i powiadomienia o tym fakcie Inżyniera.</w:t>
      </w:r>
    </w:p>
    <w:p w14:paraId="4D622291"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Jakość i ilość Robót ulegających zakryciu ocenia Inżynier na podstawie dokumentów zawierających komplet wyników badań laboratoryjnych i w oparciu o przeprowa</w:t>
      </w:r>
      <w:r w:rsidR="00777055">
        <w:rPr>
          <w:color w:val="000000" w:themeColor="text1"/>
          <w:sz w:val="22"/>
          <w:szCs w:val="22"/>
        </w:rPr>
        <w:t>dzone pomiary, w konfrontacji z </w:t>
      </w:r>
      <w:r w:rsidRPr="001667DB">
        <w:rPr>
          <w:color w:val="000000" w:themeColor="text1"/>
          <w:sz w:val="22"/>
          <w:szCs w:val="22"/>
        </w:rPr>
        <w:t>Dokumentacją Projektową, ST i uprzednimi ustaleniami.</w:t>
      </w:r>
    </w:p>
    <w:p w14:paraId="48D4EDC4"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69" w:name="_Toc476391167"/>
      <w:bookmarkStart w:id="70" w:name="_Toc7658841"/>
      <w:r w:rsidRPr="001667DB">
        <w:rPr>
          <w:color w:val="000000" w:themeColor="text1"/>
          <w:sz w:val="22"/>
          <w:szCs w:val="22"/>
          <w:u w:val="none"/>
        </w:rPr>
        <w:t>Odbiór częściowy</w:t>
      </w:r>
      <w:bookmarkEnd w:id="69"/>
      <w:bookmarkEnd w:id="70"/>
    </w:p>
    <w:p w14:paraId="2BB250EB"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Odbiór częściowy polega na ocenie ilości i jakości wykonanych części Robót. Odbioru częściowego Robót dokonuje się wg zasad jak przy odbiorze ostatecznym Robót. Odbioru Robót dokonuje Inżynier.</w:t>
      </w:r>
    </w:p>
    <w:p w14:paraId="72D7239B"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71" w:name="_Toc476391168"/>
      <w:bookmarkStart w:id="72" w:name="_Toc7658842"/>
      <w:r w:rsidRPr="001667DB">
        <w:rPr>
          <w:color w:val="000000" w:themeColor="text1"/>
          <w:sz w:val="22"/>
          <w:szCs w:val="22"/>
          <w:u w:val="none"/>
        </w:rPr>
        <w:t>Odbiór ostateczny Robót</w:t>
      </w:r>
      <w:bookmarkEnd w:id="71"/>
      <w:bookmarkEnd w:id="72"/>
    </w:p>
    <w:p w14:paraId="427DE227"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Odbiór ostateczny polega na finalnej ocenie rzeczywistego wykonania Robót w odniesieniu do ich ilości, jakości i wartości.</w:t>
      </w:r>
    </w:p>
    <w:p w14:paraId="7259BAEC"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Całkowite zakończenie Robót oraz gotowość do odbioru ostatecznego będzie stwierdzona przez Wykonawcę wpisem do Dziennika Budowy z bezzwłocznym powiadomieniem na piśmie o tym fakcie Inżyniera.</w:t>
      </w:r>
    </w:p>
    <w:p w14:paraId="7764D7E2"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lastRenderedPageBreak/>
        <w:tab/>
        <w:t>Odbiór ostateczny Robót nastąpi w terminie ustalonym w Dokumentach Kontraktowych, licząc od dnia potwierdzenia przez Inżyniera zakończenia Robót i przyjęcia dokumentów, o których mowa w punkcie 8.3.1.</w:t>
      </w:r>
    </w:p>
    <w:p w14:paraId="72BAE585"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Odbioru ostatecznego Robót dokona komisja wyznaczona przez Zamawiającego w obecności Inżyniera i Wykonawcy. Komisja odbierająca Roboty dokona ich oceny jakościowej na podstawie przedłożonych dokumentów, wyników badań i pomiarów, ocenie wizualnej o</w:t>
      </w:r>
      <w:r w:rsidR="00777055">
        <w:rPr>
          <w:color w:val="000000" w:themeColor="text1"/>
          <w:sz w:val="22"/>
          <w:szCs w:val="22"/>
        </w:rPr>
        <w:t>raz zgodności wykonania Robót z </w:t>
      </w:r>
      <w:r w:rsidRPr="001667DB">
        <w:rPr>
          <w:color w:val="000000" w:themeColor="text1"/>
          <w:sz w:val="22"/>
          <w:szCs w:val="22"/>
        </w:rPr>
        <w:t>Dokumentacją Projektową i ST.</w:t>
      </w:r>
    </w:p>
    <w:p w14:paraId="0704193B"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W toku odbioru ostatecznego Robót komisja zapozna się z realizacją ustaleń przyjętych w trakcie odbiorów Robót zanikających i ulegających zakryciu, zwłaszcza w zakresie wykonania Robót uzupełniających i Robót poprawkowych.</w:t>
      </w:r>
    </w:p>
    <w:p w14:paraId="43488DED"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W przypadkach niewykonania wyznaczonych Robót poprawkow</w:t>
      </w:r>
      <w:r w:rsidR="00777055">
        <w:rPr>
          <w:color w:val="000000" w:themeColor="text1"/>
          <w:sz w:val="22"/>
          <w:szCs w:val="22"/>
        </w:rPr>
        <w:t>ych lub Robót uzupełniających w </w:t>
      </w:r>
      <w:r w:rsidRPr="001667DB">
        <w:rPr>
          <w:color w:val="000000" w:themeColor="text1"/>
          <w:sz w:val="22"/>
          <w:szCs w:val="22"/>
        </w:rPr>
        <w:t>warstwie ścieralnej lub Robotach wykończeniowych, komisja przerwie swoje czynności i ustala nowy termin odbioru ostatecznego.</w:t>
      </w:r>
    </w:p>
    <w:p w14:paraId="51799E5B"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W przypadku stwierdzenia przez komisję, że jakość wykonywanych Robót w poszczególnych asortymentach nieznacznie odbiega od wymaganej Dokumentacją Projektową i ST z uwzględnieniem tolerancji i nie ma większego wpływu na cechy eksploatacyjne obiektu i bezpieczeństwo ruchu, komisja dokona potrąceń, oceniając pomniejszoną wartość wykonywanych Robót w stosunku do wymagań przyjętych w Dokumentach Kontraktowych.</w:t>
      </w:r>
    </w:p>
    <w:p w14:paraId="41BCDA0E"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8.3.1.</w:t>
      </w:r>
      <w:r w:rsidRPr="001667DB">
        <w:rPr>
          <w:color w:val="000000" w:themeColor="text1"/>
          <w:sz w:val="22"/>
          <w:szCs w:val="22"/>
        </w:rPr>
        <w:tab/>
        <w:t>Dokumenty do odbioru ostatecznego</w:t>
      </w:r>
    </w:p>
    <w:p w14:paraId="0506327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Podstawowym dokumentem do dokonania odbioru ostatecznego Robót jest protokół odbioru ostatecznego Robót sporządzony wg wzoru ustalonego przez Zamawiającego.</w:t>
      </w:r>
    </w:p>
    <w:p w14:paraId="59CBB25C"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Do odbioru ostatecznego Wykonawca jest zobowiązany przygotować następujące dokumenty:</w:t>
      </w:r>
    </w:p>
    <w:p w14:paraId="7686622A" w14:textId="77777777" w:rsidR="00955A27" w:rsidRPr="001667DB" w:rsidRDefault="00955A27" w:rsidP="00B41779">
      <w:pPr>
        <w:pStyle w:val="Lista4"/>
        <w:numPr>
          <w:ilvl w:val="0"/>
          <w:numId w:val="4"/>
        </w:numPr>
        <w:spacing w:before="0" w:line="360" w:lineRule="auto"/>
        <w:ind w:left="0" w:firstLine="0"/>
        <w:rPr>
          <w:color w:val="000000" w:themeColor="text1"/>
          <w:sz w:val="22"/>
          <w:szCs w:val="22"/>
        </w:rPr>
      </w:pPr>
      <w:r w:rsidRPr="001667DB">
        <w:rPr>
          <w:color w:val="000000" w:themeColor="text1"/>
          <w:sz w:val="22"/>
          <w:szCs w:val="22"/>
        </w:rPr>
        <w:t>Dokumentację Projektową podstawową z naniesionymi zmianami oraz dodatkową, jeśli została sporządzona w trakcie realizacji Kontraktu.</w:t>
      </w:r>
    </w:p>
    <w:p w14:paraId="1C70D0EF"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Specyfikacje Techniczne (podstawowe z Kontraktu i ew. uzupełniające lub zamienne).</w:t>
      </w:r>
    </w:p>
    <w:p w14:paraId="2F0C150D"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Recepty i ustalenia technologiczne.</w:t>
      </w:r>
    </w:p>
    <w:p w14:paraId="7D905E59"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Dzienniki Budowy i Rejestry Obmiarów (oryginały).</w:t>
      </w:r>
    </w:p>
    <w:p w14:paraId="2680793D"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Wyniki pomiarów kontrolnych oraz badań i oznaczeń laboratoryjnych, zgodnie z ST i ew. PZJ.</w:t>
      </w:r>
    </w:p>
    <w:p w14:paraId="29B7EB35"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Deklaracje zgodności lub certyfikaty zgodności wbudowanych materiałów zgodnie z ST i ew. PZJ.</w:t>
      </w:r>
    </w:p>
    <w:p w14:paraId="0FC72620"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Opinię technologiczną sporządzoną na podstawie wszystkich wyników badań i pomiarów załączonych do dokumentów odbioru, wykonanych zgodnie z ST i PZJ.</w:t>
      </w:r>
    </w:p>
    <w:p w14:paraId="660E533E"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Rysunki (dokumentacje) na wykonanie robót towarzyszących (np. na przełożenie linii telefonicznej, energetycznej, gazowej, oświetlenia itp.) oraz protokoły odbioru i przekazania tych robót właścicielom urządzeń.</w:t>
      </w:r>
    </w:p>
    <w:p w14:paraId="4E9C6583"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lastRenderedPageBreak/>
        <w:t>Geodezyjną inwentaryzację powykonawczą Robót i sieci uzbrojenia terenu.</w:t>
      </w:r>
    </w:p>
    <w:p w14:paraId="60EF3352" w14:textId="77777777" w:rsidR="00955A27" w:rsidRPr="001667DB" w:rsidRDefault="00955A27" w:rsidP="00B41779">
      <w:pPr>
        <w:pStyle w:val="Lista4"/>
        <w:numPr>
          <w:ilvl w:val="0"/>
          <w:numId w:val="5"/>
        </w:numPr>
        <w:spacing w:before="0" w:line="360" w:lineRule="auto"/>
        <w:ind w:left="0" w:firstLine="0"/>
        <w:rPr>
          <w:color w:val="000000" w:themeColor="text1"/>
          <w:sz w:val="22"/>
          <w:szCs w:val="22"/>
        </w:rPr>
      </w:pPr>
      <w:r w:rsidRPr="001667DB">
        <w:rPr>
          <w:color w:val="000000" w:themeColor="text1"/>
          <w:sz w:val="22"/>
          <w:szCs w:val="22"/>
        </w:rPr>
        <w:t>Kopię mapy zasadniczej powstałej w wyniku geodezyjnej inwentaryzacji powykonawczej.</w:t>
      </w:r>
    </w:p>
    <w:p w14:paraId="5390BDBC"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 przypadku, gdy wg komisji, Roboty pod względem przygotowania dokumentacyjnego nie będą gotowe do odbioru ostatecznego, komisja w porozumieniu z Wykonawcą wyznaczy ponowny termin odbioru ostatecznego Robót.</w:t>
      </w:r>
    </w:p>
    <w:p w14:paraId="72CBB32E"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Wszystkie zarządzone przez komisję Roboty poprawkowe lub uzupełniające będą zestawione wg wzoru ustalonego przez Zamawiającego.</w:t>
      </w:r>
    </w:p>
    <w:p w14:paraId="0BA5DC68"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Termin wykonania Robót poprawkowych i Robót uzupełniających wyznaczy komisja.</w:t>
      </w:r>
    </w:p>
    <w:p w14:paraId="75053C72"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73" w:name="_Toc476391169"/>
      <w:bookmarkStart w:id="74" w:name="_Toc7658843"/>
      <w:r w:rsidRPr="001667DB">
        <w:rPr>
          <w:color w:val="000000" w:themeColor="text1"/>
          <w:sz w:val="22"/>
          <w:szCs w:val="22"/>
          <w:u w:val="none"/>
        </w:rPr>
        <w:t>Odbiór pogwarancyjny</w:t>
      </w:r>
      <w:bookmarkEnd w:id="73"/>
      <w:bookmarkEnd w:id="74"/>
    </w:p>
    <w:p w14:paraId="64ECEA3B"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Odbiór pogwarancyjny polega na ocenie wykonanych Robót związanych z usunięciem wad stwierdzonych przy odbiorze ostatecznym i zaistniałych w okresie gwarancyjnym.</w:t>
      </w:r>
    </w:p>
    <w:p w14:paraId="6FE2CD58"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Odbiór pogwarancyjny będzie dokonany na podstawie oceny wizualnej obiektu z uwzględnieniem zasad opisanych w punkcie 8.3. „Odbiór ostateczny Robót”.</w:t>
      </w:r>
    </w:p>
    <w:p w14:paraId="6AECA918" w14:textId="77777777" w:rsidR="00955A27" w:rsidRPr="001667DB" w:rsidRDefault="00955A27" w:rsidP="00955A27">
      <w:pPr>
        <w:pStyle w:val="Nagwek1"/>
        <w:numPr>
          <w:ilvl w:val="0"/>
          <w:numId w:val="1"/>
        </w:numPr>
        <w:spacing w:before="0" w:line="360" w:lineRule="auto"/>
        <w:rPr>
          <w:color w:val="000000" w:themeColor="text1"/>
          <w:sz w:val="22"/>
          <w:szCs w:val="22"/>
          <w:lang w:val="pl-PL"/>
        </w:rPr>
      </w:pPr>
      <w:bookmarkStart w:id="75" w:name="_Toc476391170"/>
      <w:bookmarkStart w:id="76" w:name="_Toc7658844"/>
      <w:r w:rsidRPr="001667DB">
        <w:rPr>
          <w:color w:val="000000" w:themeColor="text1"/>
          <w:sz w:val="22"/>
          <w:szCs w:val="22"/>
          <w:lang w:val="pl-PL"/>
        </w:rPr>
        <w:t>PODSTAWA PŁATNOŚCI</w:t>
      </w:r>
      <w:bookmarkEnd w:id="75"/>
      <w:bookmarkEnd w:id="76"/>
    </w:p>
    <w:p w14:paraId="141FEEF0"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77" w:name="_Toc476391171"/>
      <w:bookmarkStart w:id="78" w:name="_Toc7658845"/>
      <w:r w:rsidRPr="001667DB">
        <w:rPr>
          <w:color w:val="000000" w:themeColor="text1"/>
          <w:sz w:val="22"/>
          <w:szCs w:val="22"/>
          <w:u w:val="none"/>
        </w:rPr>
        <w:t>Ustalenia Ogólne</w:t>
      </w:r>
      <w:bookmarkEnd w:id="77"/>
      <w:bookmarkEnd w:id="78"/>
    </w:p>
    <w:p w14:paraId="281E325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Podstawą płatności jest cena jednostkowa skalkulowana przez Wykonawcę za jednostkę obmiarową ustaloną dla danej pozycji Kosztorysu.</w:t>
      </w:r>
    </w:p>
    <w:p w14:paraId="297E4CE9"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Dla pozycji kosztorysowych wycenionych ryczałtowo podstawą płatności jest wartość (kwota) podana przez Wykonawcę w danej pozycji Kosztorysu.</w:t>
      </w:r>
    </w:p>
    <w:p w14:paraId="6D59528B"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Cena jednostkowa lub kwota ryczałtowa pozycji Kosztorysowej będzie uwzględniać wszystkie czynności, wymagania i badania składające się na jej wykonanie, określone dla tej Roboty w Specyfikacji Technicznej i w Dokumentacji Projektowej.</w:t>
      </w:r>
    </w:p>
    <w:p w14:paraId="16C09EC7" w14:textId="77777777" w:rsidR="00955A27" w:rsidRPr="001667DB" w:rsidRDefault="00955A27" w:rsidP="00955A27">
      <w:pPr>
        <w:pStyle w:val="Tekstpodstawowywcity"/>
        <w:tabs>
          <w:tab w:val="clear" w:pos="284"/>
        </w:tabs>
        <w:spacing w:before="0" w:line="360" w:lineRule="auto"/>
        <w:ind w:left="0"/>
        <w:rPr>
          <w:color w:val="000000" w:themeColor="text1"/>
          <w:sz w:val="22"/>
          <w:szCs w:val="22"/>
        </w:rPr>
      </w:pPr>
      <w:r w:rsidRPr="001667DB">
        <w:rPr>
          <w:color w:val="000000" w:themeColor="text1"/>
          <w:sz w:val="22"/>
          <w:szCs w:val="22"/>
        </w:rPr>
        <w:t>Ceny jednostkowe lub kwoty ryczałtowe Robót będą obejmować:</w:t>
      </w:r>
    </w:p>
    <w:p w14:paraId="7697EA91" w14:textId="77777777" w:rsidR="00955A27" w:rsidRPr="001667DB" w:rsidRDefault="00955A27" w:rsidP="00B41779">
      <w:pPr>
        <w:pStyle w:val="Listapunktowana2"/>
        <w:spacing w:before="0" w:line="240" w:lineRule="auto"/>
        <w:ind w:left="0" w:firstLine="0"/>
        <w:rPr>
          <w:color w:val="000000" w:themeColor="text1"/>
          <w:sz w:val="22"/>
          <w:szCs w:val="22"/>
        </w:rPr>
      </w:pPr>
      <w:r w:rsidRPr="001667DB">
        <w:rPr>
          <w:color w:val="000000" w:themeColor="text1"/>
          <w:sz w:val="22"/>
          <w:szCs w:val="22"/>
        </w:rPr>
        <w:t>Robociznę bezpośrednią wraz z towarzyszącymi kosztami</w:t>
      </w:r>
    </w:p>
    <w:p w14:paraId="3D0EB84F" w14:textId="77777777" w:rsidR="00955A27" w:rsidRPr="00777055" w:rsidRDefault="00955A27" w:rsidP="00777055">
      <w:pPr>
        <w:pStyle w:val="Listapunktowana2"/>
        <w:numPr>
          <w:ilvl w:val="0"/>
          <w:numId w:val="0"/>
        </w:numPr>
        <w:tabs>
          <w:tab w:val="num" w:pos="284"/>
        </w:tabs>
        <w:spacing w:before="0" w:line="240" w:lineRule="auto"/>
        <w:rPr>
          <w:color w:val="000000" w:themeColor="text1"/>
          <w:sz w:val="22"/>
          <w:szCs w:val="22"/>
        </w:rPr>
      </w:pPr>
      <w:r w:rsidRPr="00777055">
        <w:rPr>
          <w:color w:val="000000" w:themeColor="text1"/>
          <w:sz w:val="22"/>
          <w:szCs w:val="22"/>
        </w:rPr>
        <w:t>Wartość zużytych Materiałów wraz z kosztami zakupu, magazynowania, ewentualnych ubytków i</w:t>
      </w:r>
      <w:r w:rsidR="00777055">
        <w:rPr>
          <w:color w:val="000000" w:themeColor="text1"/>
          <w:sz w:val="22"/>
          <w:szCs w:val="22"/>
        </w:rPr>
        <w:t> </w:t>
      </w:r>
      <w:r w:rsidRPr="00777055">
        <w:rPr>
          <w:color w:val="000000" w:themeColor="text1"/>
          <w:sz w:val="22"/>
          <w:szCs w:val="22"/>
        </w:rPr>
        <w:t>transportu na Teren Budowy.</w:t>
      </w:r>
    </w:p>
    <w:p w14:paraId="78C17D72" w14:textId="77777777" w:rsidR="00955A27" w:rsidRPr="001667DB" w:rsidRDefault="00955A27" w:rsidP="00B41779">
      <w:pPr>
        <w:pStyle w:val="Listapunktowana2"/>
        <w:spacing w:before="0" w:line="240" w:lineRule="auto"/>
        <w:ind w:left="0" w:firstLine="0"/>
        <w:rPr>
          <w:color w:val="000000" w:themeColor="text1"/>
          <w:sz w:val="22"/>
          <w:szCs w:val="22"/>
        </w:rPr>
      </w:pPr>
      <w:r w:rsidRPr="001667DB">
        <w:rPr>
          <w:color w:val="000000" w:themeColor="text1"/>
          <w:sz w:val="22"/>
          <w:szCs w:val="22"/>
        </w:rPr>
        <w:t>Wartość pracy Sprzętu wraz z towarzyszącymi kosztami</w:t>
      </w:r>
    </w:p>
    <w:p w14:paraId="31F67AF2" w14:textId="77777777" w:rsidR="00955A27" w:rsidRPr="001667DB" w:rsidRDefault="00955A27" w:rsidP="00B41779">
      <w:pPr>
        <w:pStyle w:val="Listapunktowana2"/>
        <w:spacing w:before="0" w:line="240" w:lineRule="auto"/>
        <w:ind w:left="0" w:firstLine="0"/>
        <w:rPr>
          <w:color w:val="000000" w:themeColor="text1"/>
          <w:sz w:val="22"/>
          <w:szCs w:val="22"/>
        </w:rPr>
      </w:pPr>
      <w:r w:rsidRPr="001667DB">
        <w:rPr>
          <w:color w:val="000000" w:themeColor="text1"/>
          <w:sz w:val="22"/>
          <w:szCs w:val="22"/>
        </w:rPr>
        <w:t>Koszty pośrednie, zysk kalkulacyjny i ryzyko</w:t>
      </w:r>
    </w:p>
    <w:p w14:paraId="57D76B8E" w14:textId="77777777" w:rsidR="00955A27" w:rsidRPr="001667DB" w:rsidRDefault="00955A27" w:rsidP="00955A27">
      <w:pPr>
        <w:pStyle w:val="Tekstpodstawowywcity"/>
        <w:tabs>
          <w:tab w:val="clear" w:pos="284"/>
        </w:tabs>
        <w:spacing w:before="0" w:line="360" w:lineRule="auto"/>
        <w:ind w:left="0"/>
        <w:rPr>
          <w:color w:val="000000" w:themeColor="text1"/>
          <w:sz w:val="22"/>
          <w:szCs w:val="22"/>
        </w:rPr>
      </w:pPr>
      <w:r w:rsidRPr="001667DB">
        <w:rPr>
          <w:color w:val="000000" w:themeColor="text1"/>
          <w:sz w:val="22"/>
          <w:szCs w:val="22"/>
        </w:rPr>
        <w:t xml:space="preserve">W skład kosztów pośrednich wchodzą: płace personelu i kierownictwa budowy, pracowników nadzoru i laboratorium, koszty urządzenia i eksploatacji zaplecza budowy (w tym doprowadzenie energii i wody, budowa dróg dojazdowych, itp.), koszty dotyczące oznakowania Robót, wydatki dotyczące bhp, usługi obce na rzecz budowy, koszty projektów uzupełniających i ich uzgodnień, </w:t>
      </w:r>
      <w:r w:rsidRPr="001667DB">
        <w:rPr>
          <w:bCs/>
          <w:color w:val="000000" w:themeColor="text1"/>
          <w:sz w:val="22"/>
          <w:szCs w:val="22"/>
        </w:rPr>
        <w:t>koszty szkolenia BHP pracowników i dozoru budowy, koszty prowadzenia nadzorów dla przebudowy uzbrojenia, koszty technologii robót</w:t>
      </w:r>
      <w:r w:rsidRPr="001667DB">
        <w:rPr>
          <w:color w:val="000000" w:themeColor="text1"/>
          <w:sz w:val="22"/>
          <w:szCs w:val="22"/>
        </w:rPr>
        <w:t xml:space="preserve">, opłaty za dzierżawę terenu, placów, ekspertyzy dotyczące wykonanych Robót, </w:t>
      </w:r>
      <w:r w:rsidRPr="001667DB">
        <w:rPr>
          <w:color w:val="000000" w:themeColor="text1"/>
          <w:sz w:val="22"/>
          <w:szCs w:val="22"/>
        </w:rPr>
        <w:lastRenderedPageBreak/>
        <w:t>ubezpieczenia oraz koszty zarządu przedsiębiorstwa Wykonawcy, koszty opracowania powykonawczej dokumentacji geodezyjno-kartograficznej, zysk kalkulacyjny zawierający ewentualne ryzyko Wykonawcy z tytułu innych wydatków mogących wystąpić w czasie realizacji Robót i w okresie gwarancyjnym.</w:t>
      </w:r>
    </w:p>
    <w:p w14:paraId="7E461806" w14:textId="77777777" w:rsidR="00955A27" w:rsidRPr="001667DB" w:rsidRDefault="00955A27" w:rsidP="00955A27">
      <w:pPr>
        <w:pStyle w:val="Listapunktowana2"/>
        <w:spacing w:before="0" w:after="120" w:line="360" w:lineRule="auto"/>
        <w:ind w:left="0" w:firstLine="0"/>
        <w:rPr>
          <w:color w:val="000000" w:themeColor="text1"/>
          <w:sz w:val="22"/>
          <w:szCs w:val="22"/>
        </w:rPr>
      </w:pPr>
      <w:r w:rsidRPr="001667DB">
        <w:rPr>
          <w:color w:val="000000" w:themeColor="text1"/>
          <w:sz w:val="22"/>
          <w:szCs w:val="22"/>
        </w:rPr>
        <w:t>Podatki obliczane zgodnie z obowiązującymi przepisami.</w:t>
      </w:r>
    </w:p>
    <w:p w14:paraId="62149E88" w14:textId="77777777" w:rsidR="00955A27" w:rsidRPr="001667DB" w:rsidRDefault="00955A27" w:rsidP="00955A27">
      <w:pPr>
        <w:pStyle w:val="Tekstpodstawowy"/>
        <w:tabs>
          <w:tab w:val="clear" w:pos="284"/>
        </w:tabs>
        <w:spacing w:before="0" w:after="120"/>
        <w:rPr>
          <w:color w:val="000000" w:themeColor="text1"/>
          <w:sz w:val="22"/>
          <w:szCs w:val="22"/>
          <w:u w:val="single"/>
        </w:rPr>
      </w:pPr>
      <w:r w:rsidRPr="001667DB">
        <w:rPr>
          <w:color w:val="000000" w:themeColor="text1"/>
          <w:sz w:val="22"/>
          <w:szCs w:val="22"/>
        </w:rPr>
        <w:t>Do cen jednostkowych nie należy wliczać podatku VAT.</w:t>
      </w:r>
    </w:p>
    <w:p w14:paraId="4C12A717"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79" w:name="_Toc476391172"/>
      <w:bookmarkStart w:id="80" w:name="_Toc7658846"/>
      <w:r w:rsidRPr="001667DB">
        <w:rPr>
          <w:color w:val="000000" w:themeColor="text1"/>
          <w:sz w:val="22"/>
          <w:szCs w:val="22"/>
          <w:u w:val="none"/>
        </w:rPr>
        <w:t>Warunki Kontraktu i Wymagania Ogólne Specyfikacji Technicznej D 00.00.00</w:t>
      </w:r>
      <w:bookmarkEnd w:id="79"/>
      <w:bookmarkEnd w:id="80"/>
    </w:p>
    <w:p w14:paraId="02A0F57A" w14:textId="77777777" w:rsidR="00955A27" w:rsidRPr="001667DB" w:rsidRDefault="00955A27" w:rsidP="00955A27">
      <w:pPr>
        <w:pStyle w:val="Tekstpodstawowy"/>
        <w:spacing w:before="0" w:after="120"/>
        <w:rPr>
          <w:color w:val="000000" w:themeColor="text1"/>
          <w:sz w:val="22"/>
          <w:szCs w:val="22"/>
        </w:rPr>
      </w:pPr>
      <w:r w:rsidRPr="001667DB">
        <w:rPr>
          <w:color w:val="000000" w:themeColor="text1"/>
          <w:sz w:val="22"/>
          <w:szCs w:val="22"/>
        </w:rPr>
        <w:tab/>
        <w:t>Koszt dostosowania się do wymagań Warunków Kontraktu</w:t>
      </w:r>
      <w:r w:rsidR="00777055">
        <w:rPr>
          <w:color w:val="000000" w:themeColor="text1"/>
          <w:sz w:val="22"/>
          <w:szCs w:val="22"/>
        </w:rPr>
        <w:t xml:space="preserve"> i Wymagań Ogólnych zawartych w </w:t>
      </w:r>
      <w:r w:rsidRPr="001667DB">
        <w:rPr>
          <w:color w:val="000000" w:themeColor="text1"/>
          <w:sz w:val="22"/>
          <w:szCs w:val="22"/>
        </w:rPr>
        <w:t>Specyfikacji Technicznej D 00.00.00 obejmuje wszystkie warunki określone w w/w dokumentach, a nie wyszczególnione w kosztorysie.</w:t>
      </w:r>
    </w:p>
    <w:p w14:paraId="73F5EDCF"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bookmarkStart w:id="81" w:name="_Toc476391173"/>
      <w:bookmarkStart w:id="82" w:name="_Toc7658847"/>
      <w:r w:rsidRPr="001667DB">
        <w:rPr>
          <w:color w:val="000000" w:themeColor="text1"/>
          <w:sz w:val="22"/>
          <w:szCs w:val="22"/>
          <w:u w:val="none"/>
        </w:rPr>
        <w:t xml:space="preserve">Objazdy, Przejazdy </w:t>
      </w:r>
      <w:bookmarkEnd w:id="81"/>
      <w:bookmarkEnd w:id="82"/>
      <w:r w:rsidRPr="001667DB">
        <w:rPr>
          <w:color w:val="000000" w:themeColor="text1"/>
          <w:sz w:val="22"/>
          <w:szCs w:val="22"/>
          <w:u w:val="none"/>
        </w:rPr>
        <w:t>wynikające z przyjętej technologii robót Wykonawcy</w:t>
      </w:r>
    </w:p>
    <w:p w14:paraId="3CB109A6"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Koszt wybudowania objazdów / przejazdów obejmuje:</w:t>
      </w:r>
    </w:p>
    <w:p w14:paraId="6ECC01FD"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(a)</w:t>
      </w:r>
      <w:r w:rsidRPr="001667DB">
        <w:rPr>
          <w:color w:val="000000" w:themeColor="text1"/>
          <w:sz w:val="22"/>
          <w:szCs w:val="22"/>
        </w:rPr>
        <w:tab/>
        <w:t>Opracowanie oraz uzgodnienie z Inżynierem i odpowiednimi instytucjami projektu organizacji ruchu na czas trwania budowy wraz z dostarczeniem kopii projektu Inżynierowi i</w:t>
      </w:r>
      <w:r w:rsidR="00777055">
        <w:rPr>
          <w:color w:val="000000" w:themeColor="text1"/>
          <w:sz w:val="22"/>
          <w:szCs w:val="22"/>
        </w:rPr>
        <w:t xml:space="preserve"> wprowadzeniem dalszych zmian i </w:t>
      </w:r>
      <w:r w:rsidRPr="001667DB">
        <w:rPr>
          <w:color w:val="000000" w:themeColor="text1"/>
          <w:sz w:val="22"/>
          <w:szCs w:val="22"/>
        </w:rPr>
        <w:t>uzgodnień wynikających z postępu robót,</w:t>
      </w:r>
    </w:p>
    <w:p w14:paraId="23753B33"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Ustawienie tymczasowego oznakowania i oświetlenia zgodnie z wymaganiami bezpieczeństwa ruchu.</w:t>
      </w:r>
    </w:p>
    <w:p w14:paraId="636CE9C5"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(c)</w:t>
      </w:r>
      <w:r w:rsidRPr="001667DB">
        <w:rPr>
          <w:color w:val="000000" w:themeColor="text1"/>
          <w:sz w:val="22"/>
          <w:szCs w:val="22"/>
        </w:rPr>
        <w:tab/>
        <w:t>Opłaty/dzierżawy terenu</w:t>
      </w:r>
    </w:p>
    <w:p w14:paraId="64510707"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(d)</w:t>
      </w:r>
      <w:r w:rsidRPr="001667DB">
        <w:rPr>
          <w:color w:val="000000" w:themeColor="text1"/>
          <w:sz w:val="22"/>
          <w:szCs w:val="22"/>
        </w:rPr>
        <w:tab/>
        <w:t>Przygotowanie terenu</w:t>
      </w:r>
    </w:p>
    <w:p w14:paraId="138776EE"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(e)</w:t>
      </w:r>
      <w:r w:rsidRPr="001667DB">
        <w:rPr>
          <w:color w:val="000000" w:themeColor="text1"/>
          <w:sz w:val="22"/>
          <w:szCs w:val="22"/>
        </w:rPr>
        <w:tab/>
        <w:t xml:space="preserve">Konstrukcja tymczasowej nawierzchni, ramp, chodników, krawężników, barier, oznakowań i drenażu. </w:t>
      </w:r>
    </w:p>
    <w:p w14:paraId="4EEA44B4" w14:textId="77777777" w:rsidR="00955A27" w:rsidRPr="001667DB" w:rsidRDefault="00955A27" w:rsidP="00955A27">
      <w:pPr>
        <w:pStyle w:val="Lista3"/>
        <w:spacing w:before="0" w:after="120" w:line="360" w:lineRule="auto"/>
        <w:ind w:left="0" w:firstLine="0"/>
        <w:rPr>
          <w:color w:val="000000" w:themeColor="text1"/>
          <w:sz w:val="22"/>
          <w:szCs w:val="22"/>
        </w:rPr>
      </w:pPr>
      <w:r w:rsidRPr="001667DB">
        <w:rPr>
          <w:color w:val="000000" w:themeColor="text1"/>
          <w:sz w:val="22"/>
          <w:szCs w:val="22"/>
        </w:rPr>
        <w:t>(f)</w:t>
      </w:r>
      <w:r w:rsidRPr="001667DB">
        <w:rPr>
          <w:color w:val="000000" w:themeColor="text1"/>
          <w:sz w:val="22"/>
          <w:szCs w:val="22"/>
        </w:rPr>
        <w:tab/>
        <w:t>Tymczasowa przebudowa urządzeń obcych.</w:t>
      </w:r>
    </w:p>
    <w:p w14:paraId="0C5A88BB"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Koszt Utrzymania objazdów/przejazdów obejmuje:</w:t>
      </w:r>
    </w:p>
    <w:p w14:paraId="083C3186"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(a)</w:t>
      </w:r>
      <w:r w:rsidRPr="001667DB">
        <w:rPr>
          <w:color w:val="000000" w:themeColor="text1"/>
          <w:sz w:val="22"/>
          <w:szCs w:val="22"/>
        </w:rPr>
        <w:tab/>
        <w:t>Oczyszczanie, przestawienie, przykrycie i usunięcie tymczasowych oznakowań pionowych, poziomych, barier i świateł</w:t>
      </w:r>
    </w:p>
    <w:p w14:paraId="08448F04" w14:textId="77777777" w:rsidR="00955A27" w:rsidRPr="001667DB" w:rsidRDefault="00955A27" w:rsidP="00955A27">
      <w:pPr>
        <w:pStyle w:val="Lista2"/>
        <w:spacing w:before="0" w:after="120" w:line="360" w:lineRule="auto"/>
        <w:ind w:left="0" w:firstLine="0"/>
        <w:rPr>
          <w:color w:val="000000" w:themeColor="text1"/>
          <w:sz w:val="22"/>
          <w:szCs w:val="22"/>
        </w:rPr>
      </w:pPr>
      <w:r w:rsidRPr="001667DB">
        <w:rPr>
          <w:color w:val="000000" w:themeColor="text1"/>
          <w:sz w:val="22"/>
          <w:szCs w:val="22"/>
        </w:rPr>
        <w:t>(b)</w:t>
      </w:r>
      <w:r w:rsidRPr="001667DB">
        <w:rPr>
          <w:color w:val="000000" w:themeColor="text1"/>
          <w:sz w:val="22"/>
          <w:szCs w:val="22"/>
        </w:rPr>
        <w:tab/>
        <w:t>Utrzymanie płynności ruchu publicznego.</w:t>
      </w:r>
    </w:p>
    <w:p w14:paraId="492F3BCF" w14:textId="77777777" w:rsidR="00955A27" w:rsidRPr="001667DB" w:rsidRDefault="00955A27" w:rsidP="00955A27">
      <w:pPr>
        <w:pStyle w:val="Tekstpodstawowywcity"/>
        <w:spacing w:before="0" w:line="360" w:lineRule="auto"/>
        <w:ind w:left="0"/>
        <w:rPr>
          <w:color w:val="000000" w:themeColor="text1"/>
          <w:sz w:val="22"/>
          <w:szCs w:val="22"/>
        </w:rPr>
      </w:pPr>
      <w:r w:rsidRPr="001667DB">
        <w:rPr>
          <w:color w:val="000000" w:themeColor="text1"/>
          <w:sz w:val="22"/>
          <w:szCs w:val="22"/>
        </w:rPr>
        <w:tab/>
        <w:t>Koszt Likwidacji objazdów/przejazdów i obejmuje:</w:t>
      </w:r>
    </w:p>
    <w:p w14:paraId="3416463F" w14:textId="77777777" w:rsidR="00955A27" w:rsidRPr="001667DB" w:rsidRDefault="00955A27" w:rsidP="00955A27">
      <w:pPr>
        <w:pStyle w:val="Lista2"/>
        <w:numPr>
          <w:ilvl w:val="0"/>
          <w:numId w:val="6"/>
        </w:numPr>
        <w:spacing w:before="0" w:after="120" w:line="360" w:lineRule="auto"/>
        <w:ind w:left="0" w:firstLine="0"/>
        <w:rPr>
          <w:color w:val="000000" w:themeColor="text1"/>
          <w:sz w:val="22"/>
          <w:szCs w:val="22"/>
        </w:rPr>
      </w:pPr>
      <w:r w:rsidRPr="001667DB">
        <w:rPr>
          <w:color w:val="000000" w:themeColor="text1"/>
          <w:sz w:val="22"/>
          <w:szCs w:val="22"/>
        </w:rPr>
        <w:t>Usunięcie wbudowanych materiałów i oznakowania</w:t>
      </w:r>
    </w:p>
    <w:p w14:paraId="5591B4C1" w14:textId="77777777" w:rsidR="00955A27" w:rsidRPr="001667DB" w:rsidRDefault="00955A27" w:rsidP="00955A27">
      <w:pPr>
        <w:pStyle w:val="Lista2"/>
        <w:numPr>
          <w:ilvl w:val="0"/>
          <w:numId w:val="6"/>
        </w:numPr>
        <w:spacing w:before="0" w:after="120" w:line="360" w:lineRule="auto"/>
        <w:ind w:left="0" w:firstLine="0"/>
        <w:rPr>
          <w:color w:val="000000" w:themeColor="text1"/>
          <w:sz w:val="22"/>
          <w:szCs w:val="22"/>
        </w:rPr>
      </w:pPr>
      <w:r w:rsidRPr="001667DB">
        <w:rPr>
          <w:color w:val="000000" w:themeColor="text1"/>
          <w:sz w:val="22"/>
          <w:szCs w:val="22"/>
        </w:rPr>
        <w:t>Doprowadzenie terenu do stanu pierwotnego</w:t>
      </w:r>
    </w:p>
    <w:p w14:paraId="51D03018" w14:textId="77777777" w:rsidR="00955A27" w:rsidRPr="001667DB" w:rsidRDefault="00955A27" w:rsidP="00955A27">
      <w:pPr>
        <w:pStyle w:val="Nagwek2"/>
        <w:numPr>
          <w:ilvl w:val="1"/>
          <w:numId w:val="1"/>
        </w:numPr>
        <w:spacing w:before="0" w:line="360" w:lineRule="auto"/>
        <w:rPr>
          <w:color w:val="000000" w:themeColor="text1"/>
          <w:sz w:val="22"/>
          <w:szCs w:val="22"/>
          <w:u w:val="none"/>
        </w:rPr>
      </w:pPr>
      <w:r w:rsidRPr="001667DB">
        <w:rPr>
          <w:color w:val="000000" w:themeColor="text1"/>
          <w:sz w:val="22"/>
          <w:szCs w:val="22"/>
          <w:u w:val="none"/>
        </w:rPr>
        <w:t>Usuwanie wad i usterek :</w:t>
      </w:r>
    </w:p>
    <w:p w14:paraId="3AD1FCB5" w14:textId="77777777" w:rsidR="00955A27" w:rsidRPr="001667DB" w:rsidRDefault="00955A27" w:rsidP="00955A27">
      <w:pPr>
        <w:spacing w:after="120" w:line="360" w:lineRule="auto"/>
        <w:contextualSpacing/>
        <w:rPr>
          <w:rFonts w:ascii="Times New Roman" w:hAnsi="Times New Roman" w:cs="Times New Roman"/>
          <w:color w:val="000000" w:themeColor="text1"/>
        </w:rPr>
      </w:pPr>
      <w:r w:rsidRPr="001667DB">
        <w:rPr>
          <w:rFonts w:ascii="Times New Roman" w:hAnsi="Times New Roman" w:cs="Times New Roman"/>
          <w:color w:val="000000" w:themeColor="text1"/>
        </w:rPr>
        <w:t>9.4.1 Ustalenia ogólne:</w:t>
      </w:r>
    </w:p>
    <w:p w14:paraId="24D88C7D"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 xml:space="preserve">Zakres i technologia robót mających na celu usunięcie usterek powinny być uzasadnione poprzez odniesienie do stosowanych (obowiązujących lub przyjętych ) dokumentów odniesienia. (wytyczne, </w:t>
      </w:r>
      <w:r w:rsidRPr="001667DB">
        <w:rPr>
          <w:color w:val="000000" w:themeColor="text1"/>
          <w:sz w:val="22"/>
          <w:szCs w:val="22"/>
        </w:rPr>
        <w:lastRenderedPageBreak/>
        <w:t>zalecenia i normy). Jedynie w przypadku braku w/w dokumentów odniesienia, zakres i technologia robót uzgadniana będzie z Zamawiającym indywidualnie dla danego przypadku.</w:t>
      </w:r>
    </w:p>
    <w:p w14:paraId="22925DFF"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Odnośnie technologii wykonania robót gwarancyjnych,  Wykonawca zobowiązany jest w pierwszej kolejności do stosowania istniejących rozwiązań systemowych przewidzianych dla naprawy danego rodzaju uszkodzenia, usterki lub usunięcia wady. Jedynie w przypadku braku dostępności rozwiązań systemowych (np. gotowych zestawów naprawczych lub opracowanych przez specjalistyczne Firmy technologii napraw), technologia napraw może być uzgodniona  indywidualnie dla danego typu uszkodzenia. W każdym przypadku zakres i technologia powinny być przedstawione do akceptacji Zamawiającemu.</w:t>
      </w:r>
    </w:p>
    <w:p w14:paraId="642CB728"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Na żądanie Zamawiającego, Wykonawca opracuje projekt technologii i organizacji robót poprawkowych, w którym określi sposób i zakres naprawy oraz okres jej wykonania. W/w program podlega akceptacji przez Zamawiającego.</w:t>
      </w:r>
    </w:p>
    <w:p w14:paraId="227B6A3A" w14:textId="77777777" w:rsidR="00955A27" w:rsidRPr="001667DB" w:rsidRDefault="00955A27" w:rsidP="00955A27">
      <w:pPr>
        <w:pStyle w:val="Lista-kontynuacja2"/>
        <w:tabs>
          <w:tab w:val="clear" w:pos="435"/>
          <w:tab w:val="clear" w:pos="567"/>
        </w:tabs>
        <w:spacing w:before="0" w:line="360" w:lineRule="auto"/>
        <w:ind w:left="0"/>
        <w:rPr>
          <w:color w:val="000000" w:themeColor="text1"/>
          <w:sz w:val="22"/>
          <w:szCs w:val="22"/>
        </w:rPr>
      </w:pPr>
      <w:r w:rsidRPr="001667DB">
        <w:rPr>
          <w:color w:val="000000" w:themeColor="text1"/>
          <w:sz w:val="22"/>
          <w:szCs w:val="22"/>
        </w:rPr>
        <w:tab/>
        <w:t xml:space="preserve">Niezależnie od powyższego, Zamawiający zastrzega sobie prawo wyboru i decydowania o technologii przeprowadzenia napraw. </w:t>
      </w:r>
    </w:p>
    <w:p w14:paraId="73A6EDBD"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Wprowadza się pojęcie Dodatkowe badania  - pod w/w pojęciem rozumie się badania laboratoryjne wykonywane przez Wykonawcę kosztem i staraniem własnym, których rodzaj, zakres i okres wykonania został uzgodniony (zaakceptowany) przez przedstawiciela Zamawiającego. Badania powinny być tak dobrane, aby ich wyniki pozwoliły wiarygodnie ocenić przyczynę powstania danej usterki. Wyniki badań powinny m.in. pozwolić na określenie rodzaju i stanu wbudowanych materiałów oraz ich cech geometrycznych, a w niektórych sytuacjach ich parametrów fizykochemicznych..  </w:t>
      </w:r>
    </w:p>
    <w:p w14:paraId="65FB4E1D"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uchylania się Wykonawcy od wykonania robót poprawkowych, Zamawiający zleci ich wykonanie innemu wykonawcy, przy czym koszty wyk</w:t>
      </w:r>
      <w:r w:rsidR="00777055">
        <w:rPr>
          <w:rFonts w:ascii="Times New Roman" w:hAnsi="Times New Roman" w:cs="Times New Roman"/>
          <w:color w:val="000000" w:themeColor="text1"/>
        </w:rPr>
        <w:t>onanych robót zostaną pokryte z </w:t>
      </w:r>
      <w:r w:rsidRPr="001667DB">
        <w:rPr>
          <w:rFonts w:ascii="Times New Roman" w:hAnsi="Times New Roman" w:cs="Times New Roman"/>
          <w:color w:val="000000" w:themeColor="text1"/>
        </w:rPr>
        <w:t>zabezpieczenia usunięcia wad i usterek wniesionego przez Wykonawcę.</w:t>
      </w:r>
    </w:p>
    <w:p w14:paraId="74F0A272"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Zamawiający nie przyjmie uzasadnienia braku wykonania robót poprawkowych przez Wykonawcę, w którym Wykonawca stwierdza, że przyczyną powstania usterek są błędy projektowe lub niejasności w dokumentacji projektowej. W celu uniknięcia takich przypadków, Wykonawca ma prawo sprawdzić dokumentację projektową i wnieść uwagi oraz wyjaśnić wszelkie niejasności przed przystąpieniem do wykonania robót. Z chwilą rozpoczęcia robót budowlanych, Zamawiający uznaje, że Wykonawca nie ma żadnych uwag oraz nie występują żadne niejasności co do przyjętych rozwiązań projektowych.</w:t>
      </w:r>
    </w:p>
    <w:p w14:paraId="4E94EF8A"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Niezależnie od procedur opisanych poniżej dla typowych przypadków, dla dowolnego rodzaju usterki technologia i zakres robót naprawczych powinny zostać ustalone w sposób minimalizujący możliwość jej powtórzenia się,</w:t>
      </w:r>
    </w:p>
    <w:p w14:paraId="42B6725A"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 przypadku powtórnego wystąpienia usterki w danym miejscu, w miejscach sąsiadujących lub na danym obszarze, Wykonawca zobowiązany jest przeprowadzić dodatkowe badania. Na podstawie uzyskanych wyników Wykonawca uzgodni z Zamawiającym (wymagana akceptacja Zamawiającego) zakres i sposób usunięcia usterki.</w:t>
      </w:r>
    </w:p>
    <w:p w14:paraId="6C4DABC7" w14:textId="77777777" w:rsidR="00955A27" w:rsidRPr="001667DB" w:rsidRDefault="00955A27" w:rsidP="00955A27">
      <w:pPr>
        <w:spacing w:after="120" w:line="360" w:lineRule="auto"/>
        <w:contextualSpacing/>
        <w:rPr>
          <w:rFonts w:ascii="Times New Roman" w:hAnsi="Times New Roman" w:cs="Times New Roman"/>
          <w:color w:val="000000" w:themeColor="text1"/>
        </w:rPr>
      </w:pPr>
      <w:r w:rsidRPr="001667DB">
        <w:rPr>
          <w:rFonts w:ascii="Times New Roman" w:hAnsi="Times New Roman" w:cs="Times New Roman"/>
          <w:color w:val="000000" w:themeColor="text1"/>
        </w:rPr>
        <w:t>9.4.2 Usuwanie typowych usterek:</w:t>
      </w:r>
    </w:p>
    <w:p w14:paraId="7AC3DD43" w14:textId="77777777" w:rsidR="00955A27" w:rsidRPr="001667DB" w:rsidRDefault="00955A27" w:rsidP="00955A27">
      <w:pPr>
        <w:spacing w:after="120" w:line="360" w:lineRule="auto"/>
        <w:ind w:left="180" w:firstLine="529"/>
        <w:contextualSpacing/>
        <w:rPr>
          <w:rFonts w:ascii="Times New Roman" w:hAnsi="Times New Roman" w:cs="Times New Roman"/>
          <w:color w:val="000000" w:themeColor="text1"/>
        </w:rPr>
      </w:pPr>
      <w:r w:rsidRPr="001667DB">
        <w:rPr>
          <w:rFonts w:ascii="Times New Roman" w:hAnsi="Times New Roman" w:cs="Times New Roman"/>
          <w:color w:val="000000" w:themeColor="text1"/>
        </w:rPr>
        <w:t>Wykonawca zobowiązany jest do usuwania typowych usterek w oparciu o procedury opisane niżej:</w:t>
      </w:r>
    </w:p>
    <w:p w14:paraId="470C49CD"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Niekontrolowane, nadmierne odkształcenia wybudowanych nawierzchni z drobnowymiarowych elementów betonowych lub kamiennych:</w:t>
      </w:r>
    </w:p>
    <w:p w14:paraId="3D781E0E" w14:textId="77777777" w:rsidR="00955A27" w:rsidRPr="001667DB" w:rsidRDefault="00955A27" w:rsidP="00955A27">
      <w:pPr>
        <w:spacing w:after="120" w:line="360" w:lineRule="auto"/>
        <w:ind w:left="180"/>
        <w:contextualSpacing/>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miejscowego ujawnienia się wady, naprawa polega na usunięciu drobnowymiarowych elementów nawierzchni na powierzchni wystąpienia zjawiska, powiększonym o min </w:t>
      </w:r>
      <w:smartTag w:uri="urn:schemas-microsoft-com:office:smarttags" w:element="metricconverter">
        <w:smartTagPr>
          <w:attr w:name="ProductID" w:val="30 cm"/>
        </w:smartTagPr>
        <w:r w:rsidRPr="001667DB">
          <w:rPr>
            <w:rFonts w:ascii="Times New Roman" w:hAnsi="Times New Roman" w:cs="Times New Roman"/>
            <w:color w:val="000000" w:themeColor="text1"/>
          </w:rPr>
          <w:t>30 cm</w:t>
        </w:r>
      </w:smartTag>
      <w:r w:rsidRPr="001667DB">
        <w:rPr>
          <w:rFonts w:ascii="Times New Roman" w:hAnsi="Times New Roman" w:cs="Times New Roman"/>
          <w:color w:val="000000" w:themeColor="text1"/>
        </w:rPr>
        <w:t>, wyrównaniu podbudowy (uzupełnienie gruntem budowlanym identycznym jak w istniejącej podbudowie), wraz z jej zagęszczeniem oraz ponownym ułożeniu nawierzchni.</w:t>
      </w:r>
    </w:p>
    <w:p w14:paraId="4425DE18"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Rozluźnienie drobnowymiarowych elementów kamiennych lub betonowych:</w:t>
      </w:r>
    </w:p>
    <w:p w14:paraId="7BC624D8"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Naprawa polega na usunięciu elementów rozluźnionych i po</w:t>
      </w:r>
      <w:r w:rsidR="00777055">
        <w:rPr>
          <w:rFonts w:ascii="Times New Roman" w:hAnsi="Times New Roman" w:cs="Times New Roman"/>
          <w:color w:val="000000" w:themeColor="text1"/>
        </w:rPr>
        <w:t>nownym ich wbudowaniu zgodnie z </w:t>
      </w:r>
      <w:r w:rsidRPr="001667DB">
        <w:rPr>
          <w:rFonts w:ascii="Times New Roman" w:hAnsi="Times New Roman" w:cs="Times New Roman"/>
          <w:color w:val="000000" w:themeColor="text1"/>
        </w:rPr>
        <w:t xml:space="preserve">technologią przyjętą w dokumentacji technicznej. </w:t>
      </w:r>
    </w:p>
    <w:p w14:paraId="7B806269"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Niekontrolowane, nadmierne odkształcenia nawierzchni bitumicznych:</w:t>
      </w:r>
    </w:p>
    <w:p w14:paraId="074C3E60"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miejscowego ujawnienia się wady, naprawa polega na całkowitym usunięciu (poprzez nacięcie powierzchni i frezowanie) warstwy ścieralnej w miej</w:t>
      </w:r>
      <w:r w:rsidR="00777055">
        <w:rPr>
          <w:rFonts w:ascii="Times New Roman" w:hAnsi="Times New Roman" w:cs="Times New Roman"/>
          <w:color w:val="000000" w:themeColor="text1"/>
        </w:rPr>
        <w:t>scu wystąpienia odkształcenia i </w:t>
      </w:r>
      <w:r w:rsidRPr="001667DB">
        <w:rPr>
          <w:rFonts w:ascii="Times New Roman" w:hAnsi="Times New Roman" w:cs="Times New Roman"/>
          <w:color w:val="000000" w:themeColor="text1"/>
        </w:rPr>
        <w:t xml:space="preserve">wbudowaniu (po oczyszczeniu miejsca sprężonym powietrzem) fragmentu nowej warstwy ścieralnej o identycznych parametrach z uszczelnieniem spoin taśmą bitumiczną. Naprawa powinna obejmować powierzchnię o regularnych kształtach równoległoboku, o wymiarach o min </w:t>
      </w:r>
      <w:smartTag w:uri="urn:schemas-microsoft-com:office:smarttags" w:element="metricconverter">
        <w:smartTagPr>
          <w:attr w:name="ProductID" w:val="30 cm"/>
        </w:smartTagPr>
        <w:r w:rsidRPr="001667DB">
          <w:rPr>
            <w:rFonts w:ascii="Times New Roman" w:hAnsi="Times New Roman" w:cs="Times New Roman"/>
            <w:color w:val="000000" w:themeColor="text1"/>
          </w:rPr>
          <w:t>30 cm</w:t>
        </w:r>
      </w:smartTag>
      <w:r w:rsidRPr="001667DB">
        <w:rPr>
          <w:rFonts w:ascii="Times New Roman" w:hAnsi="Times New Roman" w:cs="Times New Roman"/>
          <w:color w:val="000000" w:themeColor="text1"/>
        </w:rPr>
        <w:t xml:space="preserve"> większych od obszaru odkształcenia w każdym kierunku. </w:t>
      </w:r>
    </w:p>
    <w:p w14:paraId="13018F77"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Gdy zachodzą przesłanki wskazujące, że przyczyną usterki jest utrata stateczności warstw znajdujących się głębiej (tzn. warstw podbudowy, stabilizacji lub podłoża gruntowego), naprawa powinna objąć wszystkie warstwy konstrukcyjne, przy czym naprawa powinna być prowadzona dla każdej z warstw osobno, przy zachowaniu zasady schodkowego zachodzenia na siebie poszczególnych warstw.</w:t>
      </w:r>
    </w:p>
    <w:p w14:paraId="3DE9909D"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razie wystąpienia usterki w więcej niż jednym miejscu, gdy miejsca odkształceń są oddalone odsiebie o mniej niż </w:t>
      </w:r>
      <w:smartTag w:uri="urn:schemas-microsoft-com:office:smarttags" w:element="metricconverter">
        <w:smartTagPr>
          <w:attr w:name="ProductID" w:val="5 m"/>
        </w:smartTagPr>
        <w:r w:rsidRPr="001667DB">
          <w:rPr>
            <w:rFonts w:ascii="Times New Roman" w:hAnsi="Times New Roman" w:cs="Times New Roman"/>
            <w:color w:val="000000" w:themeColor="text1"/>
          </w:rPr>
          <w:t>5 m</w:t>
        </w:r>
      </w:smartTag>
      <w:r w:rsidRPr="001667DB">
        <w:rPr>
          <w:rFonts w:ascii="Times New Roman" w:hAnsi="Times New Roman" w:cs="Times New Roman"/>
          <w:color w:val="000000" w:themeColor="text1"/>
        </w:rPr>
        <w:t xml:space="preserve"> w każdym dowolnym kierunku, naprawa powinna objąć obszar uszkodzeń na całej szerokości pasa ruchu, oraz na całej długości występowania odkształceń. Jedynie gdy usterki zlokalizowane są w linii równoległej do osi jezdni , naprawa nie musi być wykonana na całej szerokości pasa ruchu, pod warunkiem, że szerokość naprawianego pasa będzie nie większa niż </w:t>
      </w:r>
      <w:smartTag w:uri="urn:schemas-microsoft-com:office:smarttags" w:element="metricconverter">
        <w:smartTagPr>
          <w:attr w:name="ProductID" w:val="1,5 m"/>
        </w:smartTagPr>
        <w:r w:rsidRPr="001667DB">
          <w:rPr>
            <w:rFonts w:ascii="Times New Roman" w:hAnsi="Times New Roman" w:cs="Times New Roman"/>
            <w:color w:val="000000" w:themeColor="text1"/>
          </w:rPr>
          <w:t>1,5 m</w:t>
        </w:r>
      </w:smartTag>
      <w:r w:rsidRPr="001667DB">
        <w:rPr>
          <w:rFonts w:ascii="Times New Roman" w:hAnsi="Times New Roman" w:cs="Times New Roman"/>
          <w:color w:val="000000" w:themeColor="text1"/>
        </w:rPr>
        <w:t xml:space="preserve">.  </w:t>
      </w:r>
    </w:p>
    <w:p w14:paraId="445D9C58"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Ubytki i wykruszenia w nawierzchniach bitumicznych</w:t>
      </w:r>
    </w:p>
    <w:p w14:paraId="5643B67B" w14:textId="77777777" w:rsidR="00955A27" w:rsidRPr="001667DB" w:rsidRDefault="00955A27" w:rsidP="00955A27">
      <w:pPr>
        <w:spacing w:after="120" w:line="360" w:lineRule="auto"/>
        <w:ind w:left="180"/>
        <w:contextualSpacing/>
        <w:rPr>
          <w:rFonts w:ascii="Times New Roman" w:hAnsi="Times New Roman" w:cs="Times New Roman"/>
          <w:color w:val="000000" w:themeColor="text1"/>
        </w:rPr>
      </w:pPr>
      <w:r w:rsidRPr="001667DB">
        <w:rPr>
          <w:rFonts w:ascii="Times New Roman" w:hAnsi="Times New Roman" w:cs="Times New Roman"/>
          <w:color w:val="000000" w:themeColor="text1"/>
        </w:rPr>
        <w:tab/>
        <w:t>Naprawa powinna być przeprowadzona zgodnie z procedurą  naprawy nadmiernych odkształceń nawierzchni bitumicznych</w:t>
      </w:r>
    </w:p>
    <w:p w14:paraId="7EBC76B4" w14:textId="77777777" w:rsidR="00955A27" w:rsidRPr="001667DB" w:rsidRDefault="00955A27" w:rsidP="00955A27">
      <w:pPr>
        <w:spacing w:after="120" w:line="360" w:lineRule="auto"/>
        <w:ind w:left="180" w:firstLine="529"/>
        <w:contextualSpacing/>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Spękania nawierzchni bitumicznych: </w:t>
      </w:r>
    </w:p>
    <w:p w14:paraId="1F22D86B" w14:textId="77777777" w:rsidR="00955A27" w:rsidRPr="001667DB" w:rsidRDefault="00955A27" w:rsidP="00955A27">
      <w:pPr>
        <w:spacing w:after="120" w:line="360" w:lineRule="auto"/>
        <w:ind w:left="180" w:firstLine="529"/>
        <w:contextualSpacing/>
        <w:rPr>
          <w:rFonts w:ascii="Times New Roman" w:hAnsi="Times New Roman" w:cs="Times New Roman"/>
          <w:color w:val="000000" w:themeColor="text1"/>
        </w:rPr>
      </w:pPr>
      <w:r w:rsidRPr="001667DB">
        <w:rPr>
          <w:rFonts w:ascii="Times New Roman" w:hAnsi="Times New Roman" w:cs="Times New Roman"/>
          <w:color w:val="000000" w:themeColor="text1"/>
        </w:rPr>
        <w:t>W razie powstania spękań bitumicznych, usunięcie usterki w zależności od rodzaju spękań, naprawa polega na:</w:t>
      </w:r>
    </w:p>
    <w:p w14:paraId="16D5529F" w14:textId="77777777" w:rsidR="00955A27" w:rsidRPr="001667DB" w:rsidRDefault="00955A27" w:rsidP="00955A27">
      <w:pPr>
        <w:numPr>
          <w:ilvl w:val="0"/>
          <w:numId w:val="11"/>
        </w:numPr>
        <w:spacing w:after="120" w:line="360" w:lineRule="auto"/>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spękań liniowych występujących pojedynczo: </w:t>
      </w:r>
    </w:p>
    <w:p w14:paraId="10CF57C2" w14:textId="77777777" w:rsidR="00955A27" w:rsidRPr="001667DB" w:rsidRDefault="00955A27" w:rsidP="00955A27">
      <w:pPr>
        <w:spacing w:after="120" w:line="360" w:lineRule="auto"/>
        <w:ind w:left="720"/>
        <w:contextualSpacing/>
        <w:rPr>
          <w:rFonts w:ascii="Times New Roman" w:hAnsi="Times New Roman" w:cs="Times New Roman"/>
          <w:color w:val="000000" w:themeColor="text1"/>
        </w:rPr>
      </w:pPr>
      <w:r w:rsidRPr="001667DB">
        <w:rPr>
          <w:rFonts w:ascii="Times New Roman" w:hAnsi="Times New Roman" w:cs="Times New Roman"/>
          <w:color w:val="000000" w:themeColor="text1"/>
        </w:rPr>
        <w:t xml:space="preserve">Naprawa obejmuje na nacięciu szczeliny – poszerzeniu szczeliny frezarką palcowa lub tarczową w celu uzyskania szczeliny o pionowych ściankach, o przekroju zbliżonym do prostokątnego, o szerokości od 12 do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 xml:space="preserve"> i głębokości około </w:t>
      </w:r>
      <w:smartTag w:uri="urn:schemas-microsoft-com:office:smarttags" w:element="metricconverter">
        <w:smartTagPr>
          <w:attr w:name="ProductID" w:val="25 mm"/>
        </w:smartTagPr>
        <w:r w:rsidRPr="001667DB">
          <w:rPr>
            <w:rFonts w:ascii="Times New Roman" w:hAnsi="Times New Roman" w:cs="Times New Roman"/>
            <w:color w:val="000000" w:themeColor="text1"/>
          </w:rPr>
          <w:t>25 mm</w:t>
        </w:r>
      </w:smartTag>
      <w:r w:rsidRPr="001667DB">
        <w:rPr>
          <w:rFonts w:ascii="Times New Roman" w:hAnsi="Times New Roman" w:cs="Times New Roman"/>
          <w:color w:val="000000" w:themeColor="text1"/>
        </w:rPr>
        <w:t>. Następnie szczelina powinna zostać oczyszczona sprężonym powietrzem, zagruntowana środkiem gruntującym (gruntownikiem) oraz wypełniona zalewą asfaltową. Gruntownik powinien być nanoszony specjalną wtryskarką, zapewniającą równomierne pokrycie ścianek cienką warstwą środka zwiększającego przyczepność. Przed aplikacją mas asfaltowych na gorąco, szczelina powinna  być podgrzana lanca gorącego powietrza. Zalewanie masą wypełniającą powinno być prowadzone z użyciem specjalnych przeznaczonych do tego celu urządzeń przesuwanych wzdłuż zalewanej szczeliny. Urządzenia te powinny posiadać zbiorniki na kruszywo, w celu możliwości natychmiastowego posypania zalanej szczeliny kruszywem. Jako materiał zalewowy stosować należy specjalne zalewy  z dodatkiem polimerów termoplastycznych, posiadające dobrą zdolność wypełniania spękań i szczelin, niską spływność w temperaturze +</w:t>
      </w:r>
      <w:smartTag w:uri="urn:schemas-microsoft-com:office:smarttags" w:element="metricconverter">
        <w:smartTagPr>
          <w:attr w:name="ProductID" w:val="60 C"/>
        </w:smartTagPr>
        <w:r w:rsidRPr="001667DB">
          <w:rPr>
            <w:rFonts w:ascii="Times New Roman" w:hAnsi="Times New Roman" w:cs="Times New Roman"/>
            <w:color w:val="000000" w:themeColor="text1"/>
          </w:rPr>
          <w:t>60 C</w:t>
        </w:r>
      </w:smartTag>
      <w:r w:rsidRPr="001667DB">
        <w:rPr>
          <w:rFonts w:ascii="Times New Roman" w:hAnsi="Times New Roman" w:cs="Times New Roman"/>
          <w:color w:val="000000" w:themeColor="text1"/>
        </w:rPr>
        <w:t xml:space="preserve">, dobrą przyczepność do ścianek oraz dobrą rozciągliwość w niskich temperaturach, Masa zalewowa powinna posiadać aprobatę techniczną wydaną przez uprawnioną jednostkę. Jako posypkę należy zastosować cement lub mączkę kamienną. </w:t>
      </w:r>
    </w:p>
    <w:p w14:paraId="7D667794" w14:textId="77777777" w:rsidR="00955A27" w:rsidRPr="001667DB" w:rsidRDefault="00955A27" w:rsidP="00955A27">
      <w:pPr>
        <w:spacing w:after="120" w:line="360" w:lineRule="auto"/>
        <w:ind w:left="180"/>
        <w:contextualSpacing/>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spękań odbitych, naprawa zostanie przeprowadzona zgodnie z procedurą określoną dla naprawy nadmiernych odkształceń nawierzchni bitumicznych, z uwzględnieniem wzmocnienia między warstwowego geosiatką. </w:t>
      </w:r>
    </w:p>
    <w:p w14:paraId="5F065B41" w14:textId="77777777" w:rsidR="00955A27" w:rsidRPr="001667DB" w:rsidRDefault="00955A27" w:rsidP="00955A27">
      <w:pPr>
        <w:spacing w:after="120" w:line="360" w:lineRule="auto"/>
        <w:ind w:left="180"/>
        <w:contextualSpacing/>
        <w:rPr>
          <w:rFonts w:ascii="Times New Roman" w:hAnsi="Times New Roman" w:cs="Times New Roman"/>
          <w:color w:val="000000" w:themeColor="text1"/>
        </w:rPr>
      </w:pPr>
      <w:r w:rsidRPr="001667DB">
        <w:rPr>
          <w:rFonts w:ascii="Times New Roman" w:hAnsi="Times New Roman" w:cs="Times New Roman"/>
          <w:color w:val="000000" w:themeColor="text1"/>
        </w:rPr>
        <w:t>Ewentualny spór między Zamawiającym i Wykonawcą dotyczący określenia, czy w danym przypadku występują spękania odbite, może zostać rozstrzygnięty na podstawie wyników dodatkowych badań.</w:t>
      </w:r>
    </w:p>
    <w:p w14:paraId="11E7BB6F" w14:textId="77777777" w:rsidR="00955A27" w:rsidRPr="001667DB" w:rsidRDefault="00955A27" w:rsidP="00955A27">
      <w:pPr>
        <w:numPr>
          <w:ilvl w:val="0"/>
          <w:numId w:val="12"/>
        </w:numPr>
        <w:spacing w:after="120" w:line="360" w:lineRule="auto"/>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dla spękań liniowych występujących grupowo, naprawa po</w:t>
      </w:r>
      <w:r w:rsidR="00777055">
        <w:rPr>
          <w:rFonts w:ascii="Times New Roman" w:hAnsi="Times New Roman" w:cs="Times New Roman"/>
          <w:color w:val="000000" w:themeColor="text1"/>
        </w:rPr>
        <w:t>winna zostać wykonana zgodnie z </w:t>
      </w:r>
      <w:r w:rsidRPr="001667DB">
        <w:rPr>
          <w:rFonts w:ascii="Times New Roman" w:hAnsi="Times New Roman" w:cs="Times New Roman"/>
          <w:color w:val="000000" w:themeColor="text1"/>
        </w:rPr>
        <w:t>procedurą określoną dla naprawy odkształceń wybudowanych nawierzchni bitumicznych.  Ustala się, że spękania liniowe występują grupowo wtedy, gdy na danym obszarze znajdują się one w ilości co najmniej dwie szt. w odległości mniejszej niż pięciokrotna długość najdłuższego pęknięcia.</w:t>
      </w:r>
    </w:p>
    <w:p w14:paraId="020E5D9B" w14:textId="77777777" w:rsidR="00955A27" w:rsidRPr="001667DB" w:rsidRDefault="00955A27" w:rsidP="00955A27">
      <w:pPr>
        <w:numPr>
          <w:ilvl w:val="0"/>
          <w:numId w:val="13"/>
        </w:numPr>
        <w:spacing w:after="120" w:line="360" w:lineRule="auto"/>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spękania siatkowe: naprawa powinna zostać wykonana zgodnie z procedurą określoną dla naprawy  nadmiernych odkształceń nawierzchni bitumicznych. Zarysowania powierzchni betonowych: naprawy polegają na nacięciu, oczyszczeniu i wypełnieniu szczeliny środkami przeznaczonymi do tego typu napraw (np. głęboko penetrujące żywice polimerowe). Ubytki materiału w wykonanych nasypach (lub skarpach) spowodowane erozją: Naprawa polega na usunięciu przemieszczonych materiałów nasypowych z miejsc ich nagromadzenia się, a następnie ponownym wbudowaniu </w:t>
      </w:r>
      <w:r w:rsidRPr="001667DB">
        <w:rPr>
          <w:rFonts w:ascii="Times New Roman" w:hAnsi="Times New Roman" w:cs="Times New Roman"/>
          <w:color w:val="000000" w:themeColor="text1"/>
        </w:rPr>
        <w:lastRenderedPageBreak/>
        <w:t>odzyskanego lub dowiezionego materiału, oraz wykonania umocnienia naprawionych powierzchni (np. obsianie trawą lub ułożenie ażurowych płyt betonowych).</w:t>
      </w:r>
    </w:p>
    <w:p w14:paraId="7C29B356" w14:textId="77777777" w:rsidR="00955A27" w:rsidRPr="001667DB" w:rsidRDefault="00955A27" w:rsidP="00955A27">
      <w:pPr>
        <w:spacing w:after="120" w:line="360" w:lineRule="auto"/>
        <w:contextualSpacing/>
        <w:rPr>
          <w:rFonts w:ascii="Times New Roman" w:hAnsi="Times New Roman" w:cs="Times New Roman"/>
          <w:color w:val="000000" w:themeColor="text1"/>
        </w:rPr>
      </w:pPr>
      <w:r w:rsidRPr="001667DB">
        <w:rPr>
          <w:rFonts w:ascii="Times New Roman" w:hAnsi="Times New Roman" w:cs="Times New Roman"/>
          <w:color w:val="000000" w:themeColor="text1"/>
        </w:rPr>
        <w:t>Uszkodzenia i odkształcenia nawierzchni bitumicznych wokół wpustów ściekowych:</w:t>
      </w:r>
    </w:p>
    <w:p w14:paraId="66D1D4A4" w14:textId="77777777" w:rsidR="00955A27" w:rsidRPr="001667DB" w:rsidRDefault="00955A27" w:rsidP="00955A27">
      <w:pPr>
        <w:numPr>
          <w:ilvl w:val="0"/>
          <w:numId w:val="14"/>
        </w:numPr>
        <w:spacing w:after="120" w:line="360" w:lineRule="auto"/>
        <w:ind w:left="426"/>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spękania nawierzchni wokół wpustu:naprawa polega na nacięciu warstwy ścieralnej w liniach tworzących równoległobok po zewnętrznym obrysie występujących spękań, usunięciu warstwy ścieranej z wyciętej przestrzeni, oczyszczeniu pola r</w:t>
      </w:r>
      <w:r w:rsidR="00777055">
        <w:rPr>
          <w:rFonts w:ascii="Times New Roman" w:hAnsi="Times New Roman" w:cs="Times New Roman"/>
          <w:color w:val="000000" w:themeColor="text1"/>
        </w:rPr>
        <w:t>oboczego sprężonym powietrzem i </w:t>
      </w:r>
      <w:r w:rsidRPr="001667DB">
        <w:rPr>
          <w:rFonts w:ascii="Times New Roman" w:hAnsi="Times New Roman" w:cs="Times New Roman"/>
          <w:color w:val="000000" w:themeColor="text1"/>
        </w:rPr>
        <w:t>wbudowaniu nowego fragmentu warstwy ścieralnej o identycznych parametrach z uszczelnieniem spoin taśmą bitumiczną,</w:t>
      </w:r>
    </w:p>
    <w:p w14:paraId="1AD785CD" w14:textId="77777777" w:rsidR="00955A27" w:rsidRPr="001667DB" w:rsidRDefault="00955A27" w:rsidP="00955A27">
      <w:pPr>
        <w:numPr>
          <w:ilvl w:val="0"/>
          <w:numId w:val="14"/>
        </w:numPr>
        <w:spacing w:after="120" w:line="360" w:lineRule="auto"/>
        <w:ind w:left="426"/>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odkształcenia nawierzchni w sąsiedztwie wpustu, gdy obszar odkształcenia mieści się w odległości </w:t>
      </w:r>
      <w:smartTag w:uri="urn:schemas-microsoft-com:office:smarttags" w:element="metricconverter">
        <w:smartTagPr>
          <w:attr w:name="ProductID" w:val="30 cm"/>
        </w:smartTagPr>
        <w:r w:rsidRPr="001667DB">
          <w:rPr>
            <w:rFonts w:ascii="Times New Roman" w:hAnsi="Times New Roman" w:cs="Times New Roman"/>
            <w:color w:val="000000" w:themeColor="text1"/>
          </w:rPr>
          <w:t>30 cm</w:t>
        </w:r>
      </w:smartTag>
      <w:r w:rsidRPr="001667DB">
        <w:rPr>
          <w:rFonts w:ascii="Times New Roman" w:hAnsi="Times New Roman" w:cs="Times New Roman"/>
          <w:color w:val="000000" w:themeColor="text1"/>
        </w:rPr>
        <w:t xml:space="preserve"> od wpustu, a odkształcenie jest nie większe niż </w:t>
      </w:r>
      <w:smartTag w:uri="urn:schemas-microsoft-com:office:smarttags" w:element="metricconverter">
        <w:smartTagPr>
          <w:attr w:name="ProductID" w:val="1 cm"/>
        </w:smartTagPr>
        <w:r w:rsidRPr="001667DB">
          <w:rPr>
            <w:rFonts w:ascii="Times New Roman" w:hAnsi="Times New Roman" w:cs="Times New Roman"/>
            <w:color w:val="000000" w:themeColor="text1"/>
          </w:rPr>
          <w:t>1 cm</w:t>
        </w:r>
      </w:smartTag>
      <w:r w:rsidRPr="001667DB">
        <w:rPr>
          <w:rFonts w:ascii="Times New Roman" w:hAnsi="Times New Roman" w:cs="Times New Roman"/>
          <w:color w:val="000000" w:themeColor="text1"/>
        </w:rPr>
        <w:t xml:space="preserve"> w stosunku do przyległych nawierzchni, naprawa powinna zostać wykonana wg pkt a),</w:t>
      </w:r>
    </w:p>
    <w:p w14:paraId="5934C45D" w14:textId="77777777" w:rsidR="00955A27" w:rsidRPr="001667DB" w:rsidRDefault="00955A27" w:rsidP="00955A27">
      <w:pPr>
        <w:numPr>
          <w:ilvl w:val="0"/>
          <w:numId w:val="14"/>
        </w:numPr>
        <w:spacing w:after="120" w:line="360" w:lineRule="auto"/>
        <w:ind w:left="426"/>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odkształcenia nawierzchni w sąsiedztwie wpustu, gdy obszar odkształcenia przekracza odległość </w:t>
      </w:r>
      <w:smartTag w:uri="urn:schemas-microsoft-com:office:smarttags" w:element="metricconverter">
        <w:smartTagPr>
          <w:attr w:name="ProductID" w:val="30 cm"/>
        </w:smartTagPr>
        <w:r w:rsidRPr="001667DB">
          <w:rPr>
            <w:rFonts w:ascii="Times New Roman" w:hAnsi="Times New Roman" w:cs="Times New Roman"/>
            <w:color w:val="000000" w:themeColor="text1"/>
          </w:rPr>
          <w:t>30 cm</w:t>
        </w:r>
      </w:smartTag>
      <w:r w:rsidRPr="001667DB">
        <w:rPr>
          <w:rFonts w:ascii="Times New Roman" w:hAnsi="Times New Roman" w:cs="Times New Roman"/>
          <w:color w:val="000000" w:themeColor="text1"/>
        </w:rPr>
        <w:t xml:space="preserve"> od wpustu lub odkształcenie jest większe niż </w:t>
      </w:r>
      <w:smartTag w:uri="urn:schemas-microsoft-com:office:smarttags" w:element="metricconverter">
        <w:smartTagPr>
          <w:attr w:name="ProductID" w:val="1 cm"/>
        </w:smartTagPr>
        <w:r w:rsidRPr="001667DB">
          <w:rPr>
            <w:rFonts w:ascii="Times New Roman" w:hAnsi="Times New Roman" w:cs="Times New Roman"/>
            <w:color w:val="000000" w:themeColor="text1"/>
          </w:rPr>
          <w:t>1 cm</w:t>
        </w:r>
      </w:smartTag>
      <w:r w:rsidRPr="001667DB">
        <w:rPr>
          <w:rFonts w:ascii="Times New Roman" w:hAnsi="Times New Roman" w:cs="Times New Roman"/>
          <w:color w:val="000000" w:themeColor="text1"/>
        </w:rPr>
        <w:t xml:space="preserve"> w stosunku do przyległych nawierzchni, wymianie podlegają wszystki</w:t>
      </w:r>
      <w:r w:rsidR="00777055">
        <w:rPr>
          <w:rFonts w:ascii="Times New Roman" w:hAnsi="Times New Roman" w:cs="Times New Roman"/>
          <w:color w:val="000000" w:themeColor="text1"/>
        </w:rPr>
        <w:t>e warstwy konstrukcyjne drogi w </w:t>
      </w:r>
      <w:r w:rsidRPr="001667DB">
        <w:rPr>
          <w:rFonts w:ascii="Times New Roman" w:hAnsi="Times New Roman" w:cs="Times New Roman"/>
          <w:color w:val="000000" w:themeColor="text1"/>
        </w:rPr>
        <w:t>sąsiedztwie wpustu, przy zachowaniu zasady schodkowego zachodzenia na siebie poszczególnych warstw oraz z zastosowaniem na stykach warstw taśm bitumicznych. Przed wbudowaniem nowych warstw należy sprawdzić nośność podłoża i ewentualnie wykonać zabiegi wzmacniające.</w:t>
      </w:r>
    </w:p>
    <w:p w14:paraId="585E1B25"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Odchylenia krawężników od linii ich wbudowania. W przypadku wystąpienia odchylenia pojedynczych lub kilku sztuk krawężników, naprawa powinna polegać na usunięciu krawężnika wraz z jego podbudową i fragmentem opornika oraz gruntem użytym do obsypki, a następnie wbudowaniu nowych elementów jak wyżej z geometrycznym dopasowaniem do </w:t>
      </w:r>
      <w:r w:rsidR="00777055">
        <w:rPr>
          <w:rFonts w:ascii="Times New Roman" w:hAnsi="Times New Roman" w:cs="Times New Roman"/>
          <w:color w:val="000000" w:themeColor="text1"/>
        </w:rPr>
        <w:t>linii przyległych krawężników i </w:t>
      </w:r>
      <w:r w:rsidRPr="001667DB">
        <w:rPr>
          <w:rFonts w:ascii="Times New Roman" w:hAnsi="Times New Roman" w:cs="Times New Roman"/>
          <w:color w:val="000000" w:themeColor="text1"/>
        </w:rPr>
        <w:t>wykonaniem obsypki.</w:t>
      </w:r>
    </w:p>
    <w:p w14:paraId="2D4441D8"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odchylenia większej grupy krawężników, roboty j/w powinny być poprzedzone geodezyjnym wytyczeniem linii krawężników.</w:t>
      </w:r>
    </w:p>
    <w:p w14:paraId="2E9EC86C"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Spękania siatkowe i ubytki w powierzchni krawężników: nie dopuszcza się naprawy wbudowanych krawężników z użyciem jakichkolwiek zapraw. Jeżeli zakres ubytków lub spękań będzie kwalifikował krawężniki do naprawy, Wykonawca zobowiązany jest do całkowitej wymiany uszkodzonych sztuk,</w:t>
      </w:r>
    </w:p>
    <w:p w14:paraId="1C7B9F9E"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Korozja elementów stalowych wyposażenia obiektów mostowych, zabezpieczonych powłokami malarskimi:</w:t>
      </w:r>
    </w:p>
    <w:p w14:paraId="4DA735B5"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Naprawa polega na usunięciu mechanicznym powłok malarskich oraz ognisk korozji w sposób mechaniczny, oraz doprowadzeniu metalu do stopnia czystości wymaganego dla danego rodzaju powłoki malarskiej, a następnie na nałożeniu kompletnego pakietu powłok malarskich (co najmniej dwie warstwy: powłoka podkładowa i powłoka właściwa).</w:t>
      </w:r>
    </w:p>
    <w:p w14:paraId="22C43B45" w14:textId="77777777" w:rsidR="00955A27" w:rsidRPr="001667DB" w:rsidRDefault="00955A27" w:rsidP="00955A27">
      <w:pPr>
        <w:numPr>
          <w:ilvl w:val="0"/>
          <w:numId w:val="10"/>
        </w:numPr>
        <w:tabs>
          <w:tab w:val="clear" w:pos="720"/>
          <w:tab w:val="num" w:pos="180"/>
        </w:tabs>
        <w:spacing w:after="120" w:line="360" w:lineRule="auto"/>
        <w:ind w:left="180" w:hanging="180"/>
        <w:contextualSpacing/>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Zamawiający wymaga, aby nałożenie nowej powłoki ochronnej wykonane było dla całego elementu konstrukcyjnego, z którego wykonany jest dany element – nie dopuszcza się ograniczenia zakresu robót do fragmentu elementu (np. fragmentu pochwytu, przeciągu lub słupka balustrady). </w:t>
      </w:r>
    </w:p>
    <w:p w14:paraId="5D2289BA" w14:textId="77777777" w:rsidR="00955A27" w:rsidRPr="001667DB" w:rsidRDefault="00955A27" w:rsidP="00955A27">
      <w:pPr>
        <w:pStyle w:val="Nagwek1"/>
        <w:numPr>
          <w:ilvl w:val="0"/>
          <w:numId w:val="1"/>
        </w:numPr>
        <w:spacing w:before="0" w:line="360" w:lineRule="auto"/>
        <w:rPr>
          <w:color w:val="000000" w:themeColor="text1"/>
          <w:sz w:val="22"/>
          <w:szCs w:val="22"/>
        </w:rPr>
      </w:pPr>
      <w:bookmarkStart w:id="83" w:name="_Toc476391174"/>
      <w:bookmarkStart w:id="84" w:name="_Toc7658848"/>
      <w:r w:rsidRPr="001667DB">
        <w:rPr>
          <w:color w:val="000000" w:themeColor="text1"/>
          <w:sz w:val="22"/>
          <w:szCs w:val="22"/>
        </w:rPr>
        <w:lastRenderedPageBreak/>
        <w:t>PRZEPISY ZWIĄZANE</w:t>
      </w:r>
      <w:bookmarkEnd w:id="83"/>
      <w:bookmarkEnd w:id="84"/>
    </w:p>
    <w:p w14:paraId="110A7F3D" w14:textId="77777777" w:rsidR="00955A27" w:rsidRPr="00B36A70"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 xml:space="preserve">Standardowe Dokumenty Przetargowe, Zlecanie Robót - Mniejsze Kontrakty, Bank Światowy, styczeń 1995 </w:t>
      </w:r>
    </w:p>
    <w:p w14:paraId="5ABFF264" w14:textId="77777777" w:rsidR="00955A27" w:rsidRPr="00B36A70"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Ustawa z dnia 7 lipca 1994 - Prawo budowlane (Dz.U Nr 89 z 25.08.1994r, poz. 414).</w:t>
      </w:r>
    </w:p>
    <w:p w14:paraId="10C2DF1E" w14:textId="77777777" w:rsidR="00955A27" w:rsidRPr="00B36A70"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Rozporządzenie MGPiB z 19.12.1994r (Dz.U Nr 10)</w:t>
      </w:r>
    </w:p>
    <w:p w14:paraId="1EF62DE2" w14:textId="77777777" w:rsidR="00955A27" w:rsidRPr="00B36A70"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Rozporządzenie MGPiB z 21.02.1995r (Dz.U Nr 25, poz. 133 z dnia 13 marca 1995r).</w:t>
      </w:r>
    </w:p>
    <w:p w14:paraId="654B027A" w14:textId="77777777" w:rsidR="00955A27" w:rsidRPr="00B36A70"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Ustawa z dnia 17 maja 1989 roku - Prawo geodezyjne i kartograficzne (Dz. U. Nr 30, poz. 163 z późniejszymi zmianami).</w:t>
      </w:r>
    </w:p>
    <w:p w14:paraId="09AAF830" w14:textId="77777777" w:rsidR="00955A27" w:rsidRDefault="00955A27" w:rsidP="00955A27">
      <w:pPr>
        <w:pStyle w:val="Lista"/>
        <w:numPr>
          <w:ilvl w:val="0"/>
          <w:numId w:val="7"/>
        </w:numPr>
        <w:spacing w:after="120" w:line="360" w:lineRule="auto"/>
        <w:ind w:left="0" w:firstLine="0"/>
        <w:rPr>
          <w:color w:val="000000" w:themeColor="text1"/>
          <w:sz w:val="22"/>
          <w:szCs w:val="22"/>
        </w:rPr>
      </w:pPr>
      <w:r w:rsidRPr="00B36A70">
        <w:rPr>
          <w:color w:val="000000" w:themeColor="text1"/>
          <w:sz w:val="22"/>
          <w:szCs w:val="22"/>
        </w:rPr>
        <w:t>Rozporządzenie MI z 06.02.2003 r. w sprawie bezpieczeństwa i higieny pracy przy wykonywaniu robót budowlanych (Dz.U Nr 47, poz. 401).</w:t>
      </w:r>
    </w:p>
    <w:p w14:paraId="23D98425" w14:textId="77777777" w:rsidR="00BC063D" w:rsidRDefault="00BC063D" w:rsidP="00BC063D">
      <w:pPr>
        <w:pStyle w:val="Lista"/>
        <w:spacing w:after="120" w:line="360" w:lineRule="auto"/>
        <w:rPr>
          <w:color w:val="000000" w:themeColor="text1"/>
          <w:sz w:val="22"/>
          <w:szCs w:val="22"/>
        </w:rPr>
      </w:pPr>
    </w:p>
    <w:p w14:paraId="2DB32241" w14:textId="77777777" w:rsidR="00BC063D" w:rsidRDefault="00BC063D" w:rsidP="00BC063D">
      <w:pPr>
        <w:pStyle w:val="Lista"/>
        <w:spacing w:after="120" w:line="360" w:lineRule="auto"/>
        <w:rPr>
          <w:color w:val="000000" w:themeColor="text1"/>
          <w:sz w:val="22"/>
          <w:szCs w:val="22"/>
        </w:rPr>
      </w:pPr>
    </w:p>
    <w:p w14:paraId="4CDE7C6A" w14:textId="77777777" w:rsidR="00BC063D" w:rsidRDefault="00BC063D" w:rsidP="00BC063D">
      <w:pPr>
        <w:pStyle w:val="Lista"/>
        <w:spacing w:after="120" w:line="360" w:lineRule="auto"/>
        <w:rPr>
          <w:color w:val="000000" w:themeColor="text1"/>
          <w:sz w:val="22"/>
          <w:szCs w:val="22"/>
        </w:rPr>
      </w:pPr>
    </w:p>
    <w:p w14:paraId="0F5C02AA" w14:textId="73B260B8" w:rsidR="00BC063D" w:rsidRPr="00BC063D" w:rsidRDefault="00BC063D" w:rsidP="00BC063D">
      <w:pPr>
        <w:pStyle w:val="Lista"/>
        <w:spacing w:after="120" w:line="360" w:lineRule="auto"/>
        <w:rPr>
          <w:b/>
          <w:bCs/>
          <w:color w:val="000000" w:themeColor="text1"/>
          <w:sz w:val="22"/>
          <w:szCs w:val="22"/>
        </w:rPr>
      </w:pPr>
      <w:r w:rsidRPr="00BC063D">
        <w:rPr>
          <w:b/>
          <w:bCs/>
          <w:color w:val="000000" w:themeColor="text1"/>
          <w:sz w:val="22"/>
          <w:szCs w:val="22"/>
        </w:rPr>
        <w:t>11. Wzór karty obmiarowej</w:t>
      </w:r>
    </w:p>
    <w:tbl>
      <w:tblPr>
        <w:tblW w:w="10146" w:type="dxa"/>
        <w:tblInd w:w="55" w:type="dxa"/>
        <w:tblCellMar>
          <w:left w:w="70" w:type="dxa"/>
          <w:right w:w="70" w:type="dxa"/>
        </w:tblCellMar>
        <w:tblLook w:val="04A0" w:firstRow="1" w:lastRow="0" w:firstColumn="1" w:lastColumn="0" w:noHBand="0" w:noVBand="1"/>
      </w:tblPr>
      <w:tblGrid>
        <w:gridCol w:w="999"/>
        <w:gridCol w:w="1660"/>
        <w:gridCol w:w="1338"/>
        <w:gridCol w:w="1139"/>
        <w:gridCol w:w="1800"/>
        <w:gridCol w:w="230"/>
        <w:gridCol w:w="202"/>
        <w:gridCol w:w="1060"/>
        <w:gridCol w:w="1718"/>
      </w:tblGrid>
      <w:tr w:rsidR="00BC063D" w:rsidRPr="00766369" w14:paraId="5FFFC30F" w14:textId="77777777" w:rsidTr="004A6EFA">
        <w:trPr>
          <w:trHeight w:val="720"/>
        </w:trPr>
        <w:tc>
          <w:tcPr>
            <w:tcW w:w="2659" w:type="dxa"/>
            <w:gridSpan w:val="2"/>
            <w:tcBorders>
              <w:top w:val="single" w:sz="8" w:space="0" w:color="000000"/>
              <w:left w:val="single" w:sz="8" w:space="0" w:color="000000"/>
              <w:bottom w:val="nil"/>
              <w:right w:val="nil"/>
            </w:tcBorders>
            <w:shd w:val="clear" w:color="auto" w:fill="auto"/>
            <w:vAlign w:val="center"/>
            <w:hideMark/>
          </w:tcPr>
          <w:p w14:paraId="743A212C" w14:textId="77777777" w:rsidR="00BC063D" w:rsidRPr="00BC063D" w:rsidRDefault="00BC063D" w:rsidP="00BC063D">
            <w:pPr>
              <w:pStyle w:val="Akapitzlist"/>
              <w:numPr>
                <w:ilvl w:val="0"/>
                <w:numId w:val="7"/>
              </w:numPr>
              <w:jc w:val="center"/>
              <w:rPr>
                <w:rFonts w:ascii="Arial Narrow" w:hAnsi="Arial Narrow"/>
                <w:b/>
                <w:bCs/>
                <w:sz w:val="16"/>
                <w:szCs w:val="16"/>
              </w:rPr>
            </w:pPr>
            <w:bookmarkStart w:id="85" w:name="RANGE!B2:J31"/>
            <w:bookmarkStart w:id="86" w:name="_Toc274137170"/>
            <w:bookmarkStart w:id="87" w:name="_Toc236626155"/>
            <w:bookmarkStart w:id="88" w:name="_Toc416830698"/>
            <w:bookmarkStart w:id="89" w:name="_Toc404150096"/>
            <w:r w:rsidRPr="00BC063D">
              <w:rPr>
                <w:rFonts w:ascii="Arial Narrow" w:hAnsi="Arial Narrow"/>
                <w:b/>
                <w:bCs/>
                <w:sz w:val="16"/>
                <w:szCs w:val="16"/>
              </w:rPr>
              <w:t>Nazwa zadania</w:t>
            </w:r>
            <w:bookmarkEnd w:id="85"/>
          </w:p>
        </w:tc>
        <w:tc>
          <w:tcPr>
            <w:tcW w:w="5769" w:type="dxa"/>
            <w:gridSpan w:val="6"/>
            <w:tcBorders>
              <w:top w:val="single" w:sz="8" w:space="0" w:color="000000"/>
              <w:left w:val="nil"/>
              <w:bottom w:val="nil"/>
              <w:right w:val="nil"/>
            </w:tcBorders>
            <w:shd w:val="clear" w:color="auto" w:fill="auto"/>
            <w:vAlign w:val="bottom"/>
            <w:hideMark/>
          </w:tcPr>
          <w:p w14:paraId="7517824D" w14:textId="77777777" w:rsidR="00BC063D" w:rsidRPr="00766369" w:rsidRDefault="00BC063D" w:rsidP="004A6EFA">
            <w:pPr>
              <w:jc w:val="center"/>
              <w:rPr>
                <w:rFonts w:ascii="Arial" w:hAnsi="Arial" w:cs="Arial"/>
                <w:b/>
                <w:bCs/>
              </w:rPr>
            </w:pPr>
            <w:r w:rsidRPr="00766369">
              <w:rPr>
                <w:rFonts w:ascii="Arial" w:hAnsi="Arial" w:cs="Arial"/>
                <w:b/>
                <w:bCs/>
              </w:rPr>
              <w:t xml:space="preserve">Tytuł zadania:                                                                                                                                                                                                                                                 1. .....................................................................                                                                                                  </w:t>
            </w:r>
          </w:p>
        </w:tc>
        <w:tc>
          <w:tcPr>
            <w:tcW w:w="1718" w:type="dxa"/>
            <w:tcBorders>
              <w:top w:val="single" w:sz="8" w:space="0" w:color="000000"/>
              <w:left w:val="nil"/>
              <w:bottom w:val="nil"/>
              <w:right w:val="single" w:sz="8" w:space="0" w:color="000000"/>
            </w:tcBorders>
            <w:shd w:val="clear" w:color="auto" w:fill="auto"/>
            <w:vAlign w:val="bottom"/>
            <w:hideMark/>
          </w:tcPr>
          <w:p w14:paraId="21EEC4C7" w14:textId="77777777" w:rsidR="00BC063D" w:rsidRPr="00766369" w:rsidRDefault="00BC063D" w:rsidP="004A6EFA">
            <w:pPr>
              <w:rPr>
                <w:rFonts w:ascii="Arial" w:hAnsi="Arial" w:cs="Arial"/>
                <w:b/>
                <w:bCs/>
                <w:color w:val="008000"/>
              </w:rPr>
            </w:pPr>
            <w:r w:rsidRPr="00766369">
              <w:rPr>
                <w:rFonts w:ascii="Arial" w:hAnsi="Arial" w:cs="Arial"/>
                <w:b/>
                <w:bCs/>
                <w:color w:val="008000"/>
              </w:rPr>
              <w:t> </w:t>
            </w:r>
          </w:p>
        </w:tc>
      </w:tr>
      <w:tr w:rsidR="00BC063D" w:rsidRPr="00766369" w14:paraId="71A39DAA" w14:textId="77777777" w:rsidTr="004A6EFA">
        <w:trPr>
          <w:trHeight w:val="1200"/>
        </w:trPr>
        <w:tc>
          <w:tcPr>
            <w:tcW w:w="8428" w:type="dxa"/>
            <w:gridSpan w:val="8"/>
            <w:tcBorders>
              <w:top w:val="nil"/>
              <w:left w:val="single" w:sz="8" w:space="0" w:color="000000"/>
              <w:bottom w:val="nil"/>
              <w:right w:val="nil"/>
            </w:tcBorders>
            <w:shd w:val="clear" w:color="auto" w:fill="auto"/>
            <w:vAlign w:val="center"/>
            <w:hideMark/>
          </w:tcPr>
          <w:p w14:paraId="71EAFC33" w14:textId="5E7DBD2A" w:rsidR="00BC063D" w:rsidRPr="00766369" w:rsidRDefault="00BC063D" w:rsidP="004A6EFA">
            <w:pPr>
              <w:jc w:val="center"/>
              <w:rPr>
                <w:rFonts w:ascii="Arial Narrow" w:hAnsi="Arial Narrow"/>
                <w:b/>
                <w:bCs/>
                <w:sz w:val="24"/>
                <w:szCs w:val="24"/>
              </w:rPr>
            </w:pPr>
            <w:r w:rsidRPr="00766369">
              <w:rPr>
                <w:rFonts w:ascii="Arial Narrow" w:hAnsi="Arial Narrow"/>
                <w:b/>
                <w:bCs/>
                <w:sz w:val="24"/>
                <w:szCs w:val="24"/>
              </w:rPr>
              <w:t xml:space="preserve">Zamawiający: Województwo Opolskie, ul. </w:t>
            </w:r>
            <w:r w:rsidRPr="00BC063D">
              <w:rPr>
                <w:rFonts w:ascii="Arial" w:hAnsi="Arial" w:cs="Arial"/>
                <w:b/>
                <w:bCs/>
                <w:color w:val="474747"/>
                <w:sz w:val="21"/>
                <w:szCs w:val="21"/>
                <w:shd w:val="clear" w:color="auto" w:fill="FFFFFF"/>
              </w:rPr>
              <w:t>Ostrówek 5, 45-088 Opole</w:t>
            </w:r>
            <w:r w:rsidRPr="00766369">
              <w:rPr>
                <w:rFonts w:ascii="Arial Narrow" w:hAnsi="Arial Narrow"/>
                <w:b/>
                <w:bCs/>
                <w:sz w:val="24"/>
                <w:szCs w:val="24"/>
              </w:rPr>
              <w:br/>
              <w:t>w imieniu którego działa na podstawie pełnomocnictwa:</w:t>
            </w:r>
            <w:r w:rsidRPr="00766369">
              <w:rPr>
                <w:rFonts w:ascii="Arial Narrow" w:hAnsi="Arial Narrow"/>
                <w:b/>
                <w:bCs/>
                <w:sz w:val="24"/>
                <w:szCs w:val="24"/>
              </w:rPr>
              <w:br/>
              <w:t>Zarząd Dróg Wojewódzkich w Opolu, ul. Oleska 127, 45-231 Opole</w:t>
            </w:r>
          </w:p>
        </w:tc>
        <w:tc>
          <w:tcPr>
            <w:tcW w:w="1718" w:type="dxa"/>
            <w:tcBorders>
              <w:top w:val="nil"/>
              <w:left w:val="nil"/>
              <w:bottom w:val="nil"/>
              <w:right w:val="single" w:sz="8" w:space="0" w:color="000000"/>
            </w:tcBorders>
            <w:shd w:val="clear" w:color="auto" w:fill="auto"/>
            <w:vAlign w:val="center"/>
            <w:hideMark/>
          </w:tcPr>
          <w:p w14:paraId="5EDA23FE"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r>
      <w:tr w:rsidR="00BC063D" w:rsidRPr="00766369" w14:paraId="523C6EAC" w14:textId="77777777" w:rsidTr="004A6EFA">
        <w:trPr>
          <w:trHeight w:val="405"/>
        </w:trPr>
        <w:tc>
          <w:tcPr>
            <w:tcW w:w="10146" w:type="dxa"/>
            <w:gridSpan w:val="9"/>
            <w:tcBorders>
              <w:top w:val="nil"/>
              <w:left w:val="single" w:sz="8" w:space="0" w:color="000000"/>
              <w:bottom w:val="nil"/>
              <w:right w:val="single" w:sz="8" w:space="0" w:color="000000"/>
            </w:tcBorders>
            <w:shd w:val="clear" w:color="auto" w:fill="auto"/>
            <w:vAlign w:val="center"/>
            <w:hideMark/>
          </w:tcPr>
          <w:p w14:paraId="2CE46D28" w14:textId="77777777" w:rsidR="00BC063D" w:rsidRPr="00766369" w:rsidRDefault="00BC063D" w:rsidP="004A6EFA">
            <w:pPr>
              <w:jc w:val="center"/>
              <w:rPr>
                <w:rFonts w:ascii="Arial Narrow" w:hAnsi="Arial Narrow"/>
                <w:b/>
                <w:bCs/>
                <w:sz w:val="24"/>
                <w:szCs w:val="24"/>
              </w:rPr>
            </w:pPr>
            <w:r w:rsidRPr="00766369">
              <w:rPr>
                <w:rFonts w:ascii="Arial Narrow" w:hAnsi="Arial Narrow"/>
                <w:b/>
                <w:bCs/>
                <w:sz w:val="24"/>
                <w:szCs w:val="24"/>
              </w:rPr>
              <w:t xml:space="preserve">Wykonawca:    </w:t>
            </w:r>
            <w:r w:rsidRPr="00766369">
              <w:rPr>
                <w:rFonts w:ascii="Arial Narrow" w:hAnsi="Arial Narrow"/>
                <w:b/>
                <w:bCs/>
                <w:sz w:val="24"/>
                <w:szCs w:val="24"/>
              </w:rPr>
              <w:br/>
              <w:t xml:space="preserve">                                       </w:t>
            </w:r>
          </w:p>
        </w:tc>
      </w:tr>
      <w:tr w:rsidR="00BC063D" w:rsidRPr="00766369" w14:paraId="0CD9FF0F" w14:textId="77777777" w:rsidTr="004A6EFA">
        <w:trPr>
          <w:trHeight w:val="450"/>
        </w:trPr>
        <w:tc>
          <w:tcPr>
            <w:tcW w:w="2659" w:type="dxa"/>
            <w:gridSpan w:val="2"/>
            <w:tcBorders>
              <w:top w:val="nil"/>
              <w:left w:val="single" w:sz="8" w:space="0" w:color="000000"/>
              <w:bottom w:val="nil"/>
              <w:right w:val="nil"/>
            </w:tcBorders>
            <w:shd w:val="clear" w:color="auto" w:fill="auto"/>
            <w:vAlign w:val="center"/>
            <w:hideMark/>
          </w:tcPr>
          <w:p w14:paraId="736E9FD6" w14:textId="77777777" w:rsidR="00BC063D" w:rsidRPr="00766369" w:rsidRDefault="00BC063D" w:rsidP="004A6EFA">
            <w:pPr>
              <w:jc w:val="center"/>
              <w:rPr>
                <w:rFonts w:ascii="Arial Narrow" w:hAnsi="Arial Narrow"/>
                <w:b/>
                <w:bCs/>
                <w:sz w:val="16"/>
                <w:szCs w:val="16"/>
              </w:rPr>
            </w:pPr>
            <w:r w:rsidRPr="00766369">
              <w:rPr>
                <w:rFonts w:ascii="Arial Narrow" w:hAnsi="Arial Narrow"/>
                <w:b/>
                <w:bCs/>
                <w:sz w:val="16"/>
                <w:szCs w:val="16"/>
              </w:rPr>
              <w:t> </w:t>
            </w:r>
          </w:p>
        </w:tc>
        <w:tc>
          <w:tcPr>
            <w:tcW w:w="4507" w:type="dxa"/>
            <w:gridSpan w:val="4"/>
            <w:tcBorders>
              <w:top w:val="nil"/>
              <w:left w:val="nil"/>
              <w:bottom w:val="nil"/>
              <w:right w:val="nil"/>
            </w:tcBorders>
            <w:shd w:val="clear" w:color="auto" w:fill="auto"/>
            <w:vAlign w:val="center"/>
            <w:hideMark/>
          </w:tcPr>
          <w:p w14:paraId="75F6CF66" w14:textId="77777777" w:rsidR="00BC063D" w:rsidRPr="00766369" w:rsidRDefault="00BC063D" w:rsidP="004A6EFA">
            <w:pPr>
              <w:rPr>
                <w:rFonts w:ascii="Arial Narrow" w:hAnsi="Arial Narrow"/>
                <w:b/>
                <w:bCs/>
                <w:sz w:val="16"/>
                <w:szCs w:val="16"/>
              </w:rPr>
            </w:pPr>
            <w:r w:rsidRPr="00766369">
              <w:rPr>
                <w:rFonts w:ascii="Arial Narrow" w:hAnsi="Arial Narrow"/>
                <w:b/>
                <w:bCs/>
                <w:sz w:val="16"/>
                <w:szCs w:val="16"/>
              </w:rPr>
              <w:t>Umowa z wykonawcą: XXXXXX</w:t>
            </w:r>
          </w:p>
        </w:tc>
        <w:tc>
          <w:tcPr>
            <w:tcW w:w="202" w:type="dxa"/>
            <w:tcBorders>
              <w:top w:val="nil"/>
              <w:left w:val="nil"/>
              <w:bottom w:val="nil"/>
              <w:right w:val="nil"/>
            </w:tcBorders>
            <w:shd w:val="clear" w:color="auto" w:fill="auto"/>
            <w:vAlign w:val="center"/>
            <w:hideMark/>
          </w:tcPr>
          <w:p w14:paraId="187F633C" w14:textId="77777777" w:rsidR="00BC063D" w:rsidRPr="00766369" w:rsidRDefault="00BC063D" w:rsidP="004A6EFA">
            <w:pPr>
              <w:rPr>
                <w:rFonts w:ascii="Arial Narrow" w:hAnsi="Arial Narrow"/>
                <w:b/>
                <w:bCs/>
                <w:sz w:val="16"/>
                <w:szCs w:val="16"/>
              </w:rPr>
            </w:pPr>
          </w:p>
        </w:tc>
        <w:tc>
          <w:tcPr>
            <w:tcW w:w="1060" w:type="dxa"/>
            <w:tcBorders>
              <w:top w:val="nil"/>
              <w:left w:val="nil"/>
              <w:bottom w:val="nil"/>
              <w:right w:val="nil"/>
            </w:tcBorders>
            <w:shd w:val="clear" w:color="auto" w:fill="auto"/>
            <w:vAlign w:val="center"/>
            <w:hideMark/>
          </w:tcPr>
          <w:p w14:paraId="6A0EACEA" w14:textId="77777777" w:rsidR="00BC063D" w:rsidRPr="00766369" w:rsidRDefault="00BC063D" w:rsidP="004A6EFA">
            <w:pPr>
              <w:jc w:val="center"/>
              <w:rPr>
                <w:rFonts w:ascii="Arial Narrow" w:hAnsi="Arial Narrow"/>
                <w:b/>
                <w:bCs/>
              </w:rPr>
            </w:pPr>
          </w:p>
        </w:tc>
        <w:tc>
          <w:tcPr>
            <w:tcW w:w="1718" w:type="dxa"/>
            <w:tcBorders>
              <w:top w:val="nil"/>
              <w:left w:val="nil"/>
              <w:bottom w:val="nil"/>
              <w:right w:val="single" w:sz="8" w:space="0" w:color="000000"/>
            </w:tcBorders>
            <w:shd w:val="clear" w:color="auto" w:fill="auto"/>
            <w:vAlign w:val="center"/>
            <w:hideMark/>
          </w:tcPr>
          <w:p w14:paraId="500C8F15" w14:textId="77777777" w:rsidR="00BC063D" w:rsidRPr="00766369" w:rsidRDefault="00BC063D" w:rsidP="004A6EFA">
            <w:pPr>
              <w:jc w:val="center"/>
              <w:rPr>
                <w:rFonts w:ascii="Arial Narrow" w:hAnsi="Arial Narrow"/>
                <w:b/>
                <w:bCs/>
              </w:rPr>
            </w:pPr>
            <w:r w:rsidRPr="00766369">
              <w:rPr>
                <w:rFonts w:ascii="Arial Narrow" w:hAnsi="Arial Narrow"/>
                <w:b/>
                <w:bCs/>
              </w:rPr>
              <w:t> </w:t>
            </w:r>
          </w:p>
        </w:tc>
      </w:tr>
      <w:tr w:rsidR="00BC063D" w:rsidRPr="00766369" w14:paraId="60162FDB" w14:textId="77777777" w:rsidTr="004A6EFA">
        <w:trPr>
          <w:trHeight w:val="600"/>
        </w:trPr>
        <w:tc>
          <w:tcPr>
            <w:tcW w:w="5136" w:type="dxa"/>
            <w:gridSpan w:val="4"/>
            <w:tcBorders>
              <w:top w:val="nil"/>
              <w:left w:val="single" w:sz="8" w:space="0" w:color="000000"/>
              <w:bottom w:val="nil"/>
              <w:right w:val="nil"/>
            </w:tcBorders>
            <w:shd w:val="clear" w:color="FFFFCC" w:fill="FFFFFF"/>
            <w:noWrap/>
            <w:vAlign w:val="bottom"/>
            <w:hideMark/>
          </w:tcPr>
          <w:p w14:paraId="221AA18A" w14:textId="77777777" w:rsidR="00BC063D" w:rsidRPr="00766369" w:rsidRDefault="00BC063D" w:rsidP="004A6EFA">
            <w:pPr>
              <w:jc w:val="right"/>
              <w:rPr>
                <w:rFonts w:ascii="Arial Narrow" w:hAnsi="Arial Narrow"/>
                <w:b/>
                <w:bCs/>
                <w:sz w:val="32"/>
                <w:szCs w:val="32"/>
              </w:rPr>
            </w:pPr>
            <w:r w:rsidRPr="00766369">
              <w:rPr>
                <w:rFonts w:ascii="Arial Narrow" w:hAnsi="Arial Narrow"/>
                <w:b/>
                <w:bCs/>
                <w:sz w:val="32"/>
                <w:szCs w:val="32"/>
              </w:rPr>
              <w:t xml:space="preserve">KARTA OBMIAROWA NR:  </w:t>
            </w:r>
          </w:p>
        </w:tc>
        <w:tc>
          <w:tcPr>
            <w:tcW w:w="1800" w:type="dxa"/>
            <w:tcBorders>
              <w:top w:val="nil"/>
              <w:left w:val="nil"/>
              <w:bottom w:val="nil"/>
              <w:right w:val="nil"/>
            </w:tcBorders>
            <w:shd w:val="clear" w:color="FFFFCC" w:fill="FFFFFF"/>
            <w:noWrap/>
            <w:vAlign w:val="bottom"/>
            <w:hideMark/>
          </w:tcPr>
          <w:p w14:paraId="72B402B9" w14:textId="77777777" w:rsidR="00BC063D" w:rsidRPr="00766369" w:rsidRDefault="00BC063D" w:rsidP="004A6EFA">
            <w:pPr>
              <w:jc w:val="right"/>
              <w:rPr>
                <w:rFonts w:ascii="Arial Narrow" w:hAnsi="Arial Narrow"/>
                <w:b/>
                <w:bCs/>
                <w:sz w:val="32"/>
                <w:szCs w:val="32"/>
              </w:rPr>
            </w:pPr>
            <w:r w:rsidRPr="00766369">
              <w:rPr>
                <w:rFonts w:ascii="Arial Narrow" w:hAnsi="Arial Narrow"/>
                <w:b/>
                <w:bCs/>
                <w:sz w:val="32"/>
                <w:szCs w:val="32"/>
              </w:rPr>
              <w:t>…................</w:t>
            </w:r>
          </w:p>
        </w:tc>
        <w:tc>
          <w:tcPr>
            <w:tcW w:w="230" w:type="dxa"/>
            <w:tcBorders>
              <w:top w:val="nil"/>
              <w:left w:val="nil"/>
              <w:bottom w:val="nil"/>
              <w:right w:val="nil"/>
            </w:tcBorders>
            <w:shd w:val="clear" w:color="auto" w:fill="auto"/>
            <w:noWrap/>
            <w:vAlign w:val="bottom"/>
            <w:hideMark/>
          </w:tcPr>
          <w:p w14:paraId="7ED95A01" w14:textId="77777777" w:rsidR="00BC063D" w:rsidRPr="00766369" w:rsidRDefault="00BC063D" w:rsidP="004A6EFA">
            <w:pPr>
              <w:rPr>
                <w:rFonts w:ascii="Symbol" w:hAnsi="Symbol"/>
                <w:b/>
                <w:bCs/>
                <w:color w:val="000000"/>
                <w:sz w:val="32"/>
                <w:szCs w:val="32"/>
              </w:rPr>
            </w:pPr>
            <w:r w:rsidRPr="00766369">
              <w:rPr>
                <w:rFonts w:ascii="Symbol" w:hAnsi="Symbol"/>
                <w:b/>
                <w:bCs/>
                <w:color w:val="000000"/>
                <w:sz w:val="32"/>
                <w:szCs w:val="32"/>
              </w:rPr>
              <w:t></w:t>
            </w:r>
          </w:p>
        </w:tc>
        <w:tc>
          <w:tcPr>
            <w:tcW w:w="1262" w:type="dxa"/>
            <w:gridSpan w:val="2"/>
            <w:tcBorders>
              <w:top w:val="nil"/>
              <w:left w:val="nil"/>
              <w:bottom w:val="nil"/>
              <w:right w:val="nil"/>
            </w:tcBorders>
            <w:shd w:val="clear" w:color="auto" w:fill="auto"/>
            <w:noWrap/>
            <w:vAlign w:val="bottom"/>
            <w:hideMark/>
          </w:tcPr>
          <w:p w14:paraId="735EE0A8" w14:textId="77777777" w:rsidR="00BC063D" w:rsidRPr="00766369" w:rsidRDefault="00BC063D" w:rsidP="004A6EFA">
            <w:pPr>
              <w:rPr>
                <w:rFonts w:ascii="Arial Narrow" w:hAnsi="Arial Narrow"/>
                <w:b/>
                <w:bCs/>
                <w:color w:val="000000"/>
                <w:sz w:val="32"/>
                <w:szCs w:val="32"/>
              </w:rPr>
            </w:pPr>
            <w:r w:rsidRPr="00766369">
              <w:rPr>
                <w:rFonts w:ascii="Arial Narrow" w:hAnsi="Arial Narrow"/>
                <w:b/>
                <w:bCs/>
                <w:color w:val="000000"/>
                <w:sz w:val="32"/>
                <w:szCs w:val="32"/>
              </w:rPr>
              <w:t>….</w:t>
            </w:r>
          </w:p>
        </w:tc>
        <w:tc>
          <w:tcPr>
            <w:tcW w:w="1718" w:type="dxa"/>
            <w:tcBorders>
              <w:top w:val="nil"/>
              <w:left w:val="nil"/>
              <w:bottom w:val="nil"/>
              <w:right w:val="single" w:sz="8" w:space="0" w:color="000000"/>
            </w:tcBorders>
            <w:shd w:val="clear" w:color="auto" w:fill="auto"/>
            <w:noWrap/>
            <w:vAlign w:val="bottom"/>
            <w:hideMark/>
          </w:tcPr>
          <w:p w14:paraId="19DD7675" w14:textId="77777777" w:rsidR="00BC063D" w:rsidRPr="00766369" w:rsidRDefault="00BC063D" w:rsidP="004A6EFA">
            <w:pPr>
              <w:rPr>
                <w:rFonts w:ascii="Calibri" w:hAnsi="Calibri"/>
                <w:color w:val="000000"/>
              </w:rPr>
            </w:pPr>
            <w:r w:rsidRPr="00766369">
              <w:rPr>
                <w:rFonts w:ascii="Calibri" w:hAnsi="Calibri"/>
                <w:color w:val="000000"/>
              </w:rPr>
              <w:t> </w:t>
            </w:r>
          </w:p>
        </w:tc>
      </w:tr>
      <w:tr w:rsidR="00BC063D" w:rsidRPr="00766369" w14:paraId="4A6C6B6F" w14:textId="77777777" w:rsidTr="004A6EFA">
        <w:trPr>
          <w:trHeight w:val="600"/>
        </w:trPr>
        <w:tc>
          <w:tcPr>
            <w:tcW w:w="999" w:type="dxa"/>
            <w:tcBorders>
              <w:top w:val="nil"/>
              <w:left w:val="single" w:sz="8" w:space="0" w:color="000000"/>
              <w:bottom w:val="nil"/>
              <w:right w:val="nil"/>
            </w:tcBorders>
            <w:shd w:val="clear" w:color="auto" w:fill="auto"/>
            <w:noWrap/>
            <w:vAlign w:val="bottom"/>
            <w:hideMark/>
          </w:tcPr>
          <w:p w14:paraId="4E36DE17" w14:textId="77777777" w:rsidR="00BC063D" w:rsidRPr="00766369" w:rsidRDefault="00BC063D" w:rsidP="004A6EFA">
            <w:pPr>
              <w:jc w:val="right"/>
              <w:rPr>
                <w:rFonts w:ascii="Arial Narrow" w:hAnsi="Arial Narrow"/>
              </w:rPr>
            </w:pPr>
            <w:r w:rsidRPr="00766369">
              <w:rPr>
                <w:rFonts w:ascii="Arial Narrow" w:hAnsi="Arial Narrow"/>
              </w:rPr>
              <w:t>Data :</w:t>
            </w:r>
          </w:p>
        </w:tc>
        <w:tc>
          <w:tcPr>
            <w:tcW w:w="1660" w:type="dxa"/>
            <w:tcBorders>
              <w:top w:val="nil"/>
              <w:left w:val="nil"/>
              <w:bottom w:val="nil"/>
              <w:right w:val="nil"/>
            </w:tcBorders>
            <w:shd w:val="clear" w:color="auto" w:fill="auto"/>
            <w:noWrap/>
            <w:vAlign w:val="bottom"/>
            <w:hideMark/>
          </w:tcPr>
          <w:p w14:paraId="29F30A06" w14:textId="77777777" w:rsidR="00BC063D" w:rsidRPr="00766369" w:rsidRDefault="00BC063D" w:rsidP="004A6EFA">
            <w:pPr>
              <w:jc w:val="center"/>
              <w:rPr>
                <w:rFonts w:ascii="Arial Narrow" w:hAnsi="Arial Narrow"/>
              </w:rPr>
            </w:pPr>
            <w:r w:rsidRPr="00766369">
              <w:rPr>
                <w:rFonts w:ascii="Arial Narrow" w:hAnsi="Arial Narrow"/>
              </w:rPr>
              <w:t>…......................r.</w:t>
            </w:r>
          </w:p>
        </w:tc>
        <w:tc>
          <w:tcPr>
            <w:tcW w:w="1338" w:type="dxa"/>
            <w:tcBorders>
              <w:top w:val="nil"/>
              <w:left w:val="nil"/>
              <w:bottom w:val="nil"/>
              <w:right w:val="nil"/>
            </w:tcBorders>
            <w:shd w:val="clear" w:color="auto" w:fill="auto"/>
            <w:noWrap/>
            <w:vAlign w:val="bottom"/>
            <w:hideMark/>
          </w:tcPr>
          <w:p w14:paraId="6BD450B5" w14:textId="77777777" w:rsidR="00BC063D" w:rsidRPr="00766369" w:rsidRDefault="00BC063D" w:rsidP="004A6EFA">
            <w:pPr>
              <w:rPr>
                <w:rFonts w:ascii="Arial Narrow" w:hAnsi="Arial Narrow"/>
              </w:rPr>
            </w:pPr>
          </w:p>
        </w:tc>
        <w:tc>
          <w:tcPr>
            <w:tcW w:w="3371" w:type="dxa"/>
            <w:gridSpan w:val="4"/>
            <w:tcBorders>
              <w:top w:val="nil"/>
              <w:left w:val="nil"/>
              <w:bottom w:val="nil"/>
              <w:right w:val="nil"/>
            </w:tcBorders>
            <w:shd w:val="clear" w:color="auto" w:fill="auto"/>
            <w:noWrap/>
            <w:hideMark/>
          </w:tcPr>
          <w:p w14:paraId="4B29295D" w14:textId="77777777" w:rsidR="00BC063D" w:rsidRPr="00766369" w:rsidRDefault="00BC063D" w:rsidP="004A6EFA">
            <w:pPr>
              <w:jc w:val="center"/>
              <w:rPr>
                <w:rFonts w:ascii="Arial Narrow" w:hAnsi="Arial Narrow"/>
                <w:b/>
                <w:bCs/>
              </w:rPr>
            </w:pPr>
            <w:r w:rsidRPr="00766369">
              <w:rPr>
                <w:rFonts w:ascii="Arial Narrow" w:hAnsi="Arial Narrow"/>
                <w:b/>
                <w:bCs/>
              </w:rPr>
              <w:t xml:space="preserve"> L.p. z kosztorysu/numer fakturowania</w:t>
            </w:r>
          </w:p>
        </w:tc>
        <w:tc>
          <w:tcPr>
            <w:tcW w:w="1060" w:type="dxa"/>
            <w:tcBorders>
              <w:top w:val="nil"/>
              <w:left w:val="nil"/>
              <w:bottom w:val="nil"/>
              <w:right w:val="nil"/>
            </w:tcBorders>
            <w:shd w:val="clear" w:color="auto" w:fill="auto"/>
            <w:noWrap/>
            <w:vAlign w:val="bottom"/>
            <w:hideMark/>
          </w:tcPr>
          <w:p w14:paraId="0524A723" w14:textId="77777777" w:rsidR="00BC063D" w:rsidRPr="00766369" w:rsidRDefault="00BC063D" w:rsidP="004A6EFA">
            <w:pPr>
              <w:rPr>
                <w:rFonts w:ascii="Arial Narrow" w:hAnsi="Arial Narrow"/>
              </w:rPr>
            </w:pPr>
          </w:p>
        </w:tc>
        <w:tc>
          <w:tcPr>
            <w:tcW w:w="1718" w:type="dxa"/>
            <w:tcBorders>
              <w:top w:val="nil"/>
              <w:left w:val="nil"/>
              <w:bottom w:val="nil"/>
              <w:right w:val="single" w:sz="8" w:space="0" w:color="000000"/>
            </w:tcBorders>
            <w:shd w:val="clear" w:color="auto" w:fill="auto"/>
            <w:noWrap/>
            <w:vAlign w:val="bottom"/>
            <w:hideMark/>
          </w:tcPr>
          <w:p w14:paraId="6A2C8EBA" w14:textId="77777777" w:rsidR="00BC063D" w:rsidRPr="00766369" w:rsidRDefault="00BC063D" w:rsidP="004A6EFA">
            <w:pPr>
              <w:rPr>
                <w:rFonts w:ascii="Arial Narrow" w:hAnsi="Arial Narrow"/>
              </w:rPr>
            </w:pPr>
            <w:r w:rsidRPr="00766369">
              <w:rPr>
                <w:rFonts w:ascii="Arial Narrow" w:hAnsi="Arial Narrow"/>
              </w:rPr>
              <w:t> </w:t>
            </w:r>
          </w:p>
        </w:tc>
      </w:tr>
      <w:tr w:rsidR="00BC063D" w:rsidRPr="00766369" w14:paraId="0FBAB943" w14:textId="77777777" w:rsidTr="004A6EFA">
        <w:trPr>
          <w:trHeight w:val="720"/>
        </w:trPr>
        <w:tc>
          <w:tcPr>
            <w:tcW w:w="999" w:type="dxa"/>
            <w:tcBorders>
              <w:top w:val="nil"/>
              <w:left w:val="single" w:sz="8" w:space="0" w:color="000000"/>
              <w:bottom w:val="nil"/>
              <w:right w:val="nil"/>
            </w:tcBorders>
            <w:shd w:val="clear" w:color="auto" w:fill="auto"/>
            <w:noWrap/>
            <w:vAlign w:val="center"/>
            <w:hideMark/>
          </w:tcPr>
          <w:p w14:paraId="3C625073" w14:textId="77777777" w:rsidR="00BC063D" w:rsidRPr="00766369" w:rsidRDefault="00BC063D" w:rsidP="004A6EFA">
            <w:pPr>
              <w:jc w:val="center"/>
              <w:rPr>
                <w:rFonts w:ascii="Arial Narrow" w:hAnsi="Arial Narrow"/>
                <w:sz w:val="16"/>
                <w:szCs w:val="16"/>
              </w:rPr>
            </w:pPr>
            <w:r w:rsidRPr="00766369">
              <w:rPr>
                <w:rFonts w:ascii="Arial Narrow" w:hAnsi="Arial Narrow"/>
                <w:sz w:val="16"/>
                <w:szCs w:val="16"/>
              </w:rPr>
              <w:t>Do:</w:t>
            </w:r>
          </w:p>
        </w:tc>
        <w:tc>
          <w:tcPr>
            <w:tcW w:w="1660" w:type="dxa"/>
            <w:tcBorders>
              <w:top w:val="nil"/>
              <w:left w:val="nil"/>
              <w:bottom w:val="nil"/>
              <w:right w:val="nil"/>
            </w:tcBorders>
            <w:shd w:val="clear" w:color="auto" w:fill="auto"/>
            <w:noWrap/>
            <w:vAlign w:val="center"/>
            <w:hideMark/>
          </w:tcPr>
          <w:p w14:paraId="22B51E6D" w14:textId="77777777" w:rsidR="00BC063D" w:rsidRPr="00766369" w:rsidRDefault="00BC063D" w:rsidP="004A6EFA">
            <w:pPr>
              <w:rPr>
                <w:rFonts w:ascii="Arial Narrow" w:hAnsi="Arial Narrow"/>
                <w:b/>
                <w:bCs/>
              </w:rPr>
            </w:pPr>
            <w:r w:rsidRPr="00766369">
              <w:rPr>
                <w:rFonts w:ascii="Arial Narrow" w:hAnsi="Arial Narrow"/>
                <w:b/>
                <w:bCs/>
              </w:rPr>
              <w:t>Inspektor Nadzoru:</w:t>
            </w:r>
          </w:p>
        </w:tc>
        <w:tc>
          <w:tcPr>
            <w:tcW w:w="4277" w:type="dxa"/>
            <w:gridSpan w:val="3"/>
            <w:tcBorders>
              <w:top w:val="nil"/>
              <w:left w:val="nil"/>
              <w:bottom w:val="nil"/>
              <w:right w:val="nil"/>
            </w:tcBorders>
            <w:shd w:val="clear" w:color="auto" w:fill="auto"/>
            <w:noWrap/>
            <w:vAlign w:val="center"/>
            <w:hideMark/>
          </w:tcPr>
          <w:p w14:paraId="195CFC7D" w14:textId="77777777" w:rsidR="00BC063D" w:rsidRPr="00766369" w:rsidRDefault="00BC063D" w:rsidP="004A6EFA">
            <w:pPr>
              <w:rPr>
                <w:rFonts w:ascii="Arial Narrow" w:hAnsi="Arial Narrow"/>
                <w:b/>
                <w:bCs/>
              </w:rPr>
            </w:pPr>
            <w:r w:rsidRPr="00766369">
              <w:rPr>
                <w:rFonts w:ascii="Arial Narrow" w:hAnsi="Arial Narrow"/>
                <w:b/>
                <w:bCs/>
              </w:rPr>
              <w:t>….........................................</w:t>
            </w:r>
          </w:p>
        </w:tc>
        <w:tc>
          <w:tcPr>
            <w:tcW w:w="230" w:type="dxa"/>
            <w:tcBorders>
              <w:top w:val="nil"/>
              <w:left w:val="nil"/>
              <w:bottom w:val="nil"/>
              <w:right w:val="nil"/>
            </w:tcBorders>
            <w:shd w:val="clear" w:color="FFFFCC" w:fill="FFFFFF"/>
            <w:noWrap/>
            <w:vAlign w:val="center"/>
            <w:hideMark/>
          </w:tcPr>
          <w:p w14:paraId="1F4F066D" w14:textId="77777777" w:rsidR="00BC063D" w:rsidRPr="00766369" w:rsidRDefault="00BC063D" w:rsidP="004A6EFA">
            <w:pPr>
              <w:rPr>
                <w:rFonts w:ascii="Arial Narrow" w:hAnsi="Arial Narrow"/>
                <w:sz w:val="14"/>
                <w:szCs w:val="14"/>
              </w:rPr>
            </w:pPr>
            <w:r w:rsidRPr="00766369">
              <w:rPr>
                <w:rFonts w:ascii="Arial Narrow" w:hAnsi="Arial Narrow"/>
                <w:sz w:val="14"/>
                <w:szCs w:val="14"/>
              </w:rPr>
              <w:t> </w:t>
            </w:r>
          </w:p>
        </w:tc>
        <w:tc>
          <w:tcPr>
            <w:tcW w:w="202" w:type="dxa"/>
            <w:tcBorders>
              <w:top w:val="nil"/>
              <w:left w:val="nil"/>
              <w:bottom w:val="nil"/>
              <w:right w:val="nil"/>
            </w:tcBorders>
            <w:shd w:val="clear" w:color="FFFFCC" w:fill="FFFFFF"/>
            <w:noWrap/>
            <w:vAlign w:val="center"/>
            <w:hideMark/>
          </w:tcPr>
          <w:p w14:paraId="35B65439" w14:textId="77777777" w:rsidR="00BC063D" w:rsidRPr="00766369" w:rsidRDefault="00BC063D" w:rsidP="004A6EFA">
            <w:pPr>
              <w:rPr>
                <w:rFonts w:ascii="Arial Narrow" w:hAnsi="Arial Narrow"/>
                <w:sz w:val="14"/>
                <w:szCs w:val="14"/>
              </w:rPr>
            </w:pPr>
            <w:r w:rsidRPr="00766369">
              <w:rPr>
                <w:rFonts w:ascii="Arial Narrow" w:hAnsi="Arial Narrow"/>
                <w:sz w:val="14"/>
                <w:szCs w:val="14"/>
              </w:rPr>
              <w:t> </w:t>
            </w:r>
          </w:p>
        </w:tc>
        <w:tc>
          <w:tcPr>
            <w:tcW w:w="2778" w:type="dxa"/>
            <w:gridSpan w:val="2"/>
            <w:tcBorders>
              <w:top w:val="nil"/>
              <w:left w:val="nil"/>
              <w:bottom w:val="nil"/>
              <w:right w:val="single" w:sz="8" w:space="0" w:color="000000"/>
            </w:tcBorders>
            <w:shd w:val="clear" w:color="auto" w:fill="auto"/>
            <w:noWrap/>
            <w:vAlign w:val="bottom"/>
            <w:hideMark/>
          </w:tcPr>
          <w:p w14:paraId="2EC9D345" w14:textId="77777777" w:rsidR="00BC063D" w:rsidRPr="00766369" w:rsidRDefault="00BC063D" w:rsidP="004A6EFA">
            <w:pPr>
              <w:jc w:val="center"/>
              <w:rPr>
                <w:rFonts w:ascii="Arial Narrow" w:hAnsi="Arial Narrow"/>
                <w:sz w:val="14"/>
                <w:szCs w:val="14"/>
              </w:rPr>
            </w:pPr>
            <w:r w:rsidRPr="00766369">
              <w:rPr>
                <w:rFonts w:ascii="Arial Narrow" w:hAnsi="Arial Narrow"/>
                <w:sz w:val="14"/>
                <w:szCs w:val="14"/>
              </w:rPr>
              <w:t>(pieczątka i podpis)</w:t>
            </w:r>
          </w:p>
        </w:tc>
      </w:tr>
      <w:tr w:rsidR="00BC063D" w:rsidRPr="00766369" w14:paraId="7CD935E2" w14:textId="77777777" w:rsidTr="004A6EFA">
        <w:trPr>
          <w:trHeight w:val="474"/>
        </w:trPr>
        <w:tc>
          <w:tcPr>
            <w:tcW w:w="999" w:type="dxa"/>
            <w:tcBorders>
              <w:top w:val="nil"/>
              <w:left w:val="single" w:sz="8" w:space="0" w:color="000000"/>
              <w:bottom w:val="nil"/>
              <w:right w:val="nil"/>
            </w:tcBorders>
            <w:shd w:val="clear" w:color="auto" w:fill="auto"/>
            <w:noWrap/>
            <w:vAlign w:val="center"/>
            <w:hideMark/>
          </w:tcPr>
          <w:p w14:paraId="096205DA" w14:textId="77777777" w:rsidR="00BC063D" w:rsidRPr="00766369" w:rsidRDefault="00BC063D" w:rsidP="004A6EFA">
            <w:pPr>
              <w:jc w:val="center"/>
              <w:rPr>
                <w:rFonts w:ascii="Arial Narrow" w:hAnsi="Arial Narrow"/>
                <w:sz w:val="16"/>
                <w:szCs w:val="16"/>
              </w:rPr>
            </w:pPr>
            <w:r w:rsidRPr="00766369">
              <w:rPr>
                <w:rFonts w:ascii="Arial Narrow" w:hAnsi="Arial Narrow"/>
                <w:sz w:val="16"/>
                <w:szCs w:val="16"/>
              </w:rPr>
              <w:t>Od:</w:t>
            </w:r>
          </w:p>
        </w:tc>
        <w:tc>
          <w:tcPr>
            <w:tcW w:w="1660" w:type="dxa"/>
            <w:tcBorders>
              <w:top w:val="nil"/>
              <w:left w:val="nil"/>
              <w:bottom w:val="single" w:sz="4" w:space="0" w:color="000000"/>
              <w:right w:val="nil"/>
            </w:tcBorders>
            <w:shd w:val="clear" w:color="auto" w:fill="auto"/>
            <w:noWrap/>
            <w:vAlign w:val="center"/>
            <w:hideMark/>
          </w:tcPr>
          <w:p w14:paraId="10872CC1" w14:textId="77777777" w:rsidR="00BC063D" w:rsidRPr="00766369" w:rsidRDefault="00BC063D" w:rsidP="004A6EFA">
            <w:pPr>
              <w:rPr>
                <w:rFonts w:ascii="Arial Narrow" w:hAnsi="Arial Narrow"/>
                <w:b/>
                <w:bCs/>
              </w:rPr>
            </w:pPr>
            <w:r w:rsidRPr="00766369">
              <w:rPr>
                <w:rFonts w:ascii="Arial Narrow" w:hAnsi="Arial Narrow"/>
                <w:b/>
                <w:bCs/>
              </w:rPr>
              <w:t xml:space="preserve">Kierownik robót: </w:t>
            </w:r>
          </w:p>
        </w:tc>
        <w:tc>
          <w:tcPr>
            <w:tcW w:w="4277" w:type="dxa"/>
            <w:gridSpan w:val="3"/>
            <w:tcBorders>
              <w:top w:val="nil"/>
              <w:left w:val="nil"/>
              <w:bottom w:val="single" w:sz="4" w:space="0" w:color="000000"/>
              <w:right w:val="nil"/>
            </w:tcBorders>
            <w:shd w:val="clear" w:color="auto" w:fill="auto"/>
            <w:noWrap/>
            <w:vAlign w:val="center"/>
            <w:hideMark/>
          </w:tcPr>
          <w:p w14:paraId="2CCC9034" w14:textId="77777777" w:rsidR="00BC063D" w:rsidRPr="00766369" w:rsidRDefault="00BC063D" w:rsidP="004A6EFA">
            <w:pPr>
              <w:rPr>
                <w:rFonts w:ascii="Arial Narrow" w:hAnsi="Arial Narrow"/>
                <w:b/>
                <w:bCs/>
              </w:rPr>
            </w:pPr>
            <w:r w:rsidRPr="00766369">
              <w:rPr>
                <w:rFonts w:ascii="Arial Narrow" w:hAnsi="Arial Narrow"/>
                <w:b/>
                <w:bCs/>
              </w:rPr>
              <w:t>…......................................</w:t>
            </w:r>
          </w:p>
        </w:tc>
        <w:tc>
          <w:tcPr>
            <w:tcW w:w="230" w:type="dxa"/>
            <w:tcBorders>
              <w:top w:val="nil"/>
              <w:left w:val="nil"/>
              <w:bottom w:val="single" w:sz="4" w:space="0" w:color="000000"/>
              <w:right w:val="nil"/>
            </w:tcBorders>
            <w:shd w:val="clear" w:color="auto" w:fill="auto"/>
            <w:noWrap/>
            <w:vAlign w:val="center"/>
            <w:hideMark/>
          </w:tcPr>
          <w:p w14:paraId="3EC4D52F" w14:textId="77777777" w:rsidR="00BC063D" w:rsidRPr="00766369" w:rsidRDefault="00BC063D" w:rsidP="004A6EFA">
            <w:pPr>
              <w:rPr>
                <w:rFonts w:ascii="Arial Narrow" w:hAnsi="Arial Narrow"/>
                <w:b/>
                <w:bCs/>
              </w:rPr>
            </w:pPr>
            <w:r w:rsidRPr="00766369">
              <w:rPr>
                <w:rFonts w:ascii="Arial Narrow" w:hAnsi="Arial Narrow"/>
                <w:b/>
                <w:bCs/>
              </w:rPr>
              <w:t> </w:t>
            </w:r>
          </w:p>
        </w:tc>
        <w:tc>
          <w:tcPr>
            <w:tcW w:w="202" w:type="dxa"/>
            <w:tcBorders>
              <w:top w:val="nil"/>
              <w:left w:val="nil"/>
              <w:bottom w:val="nil"/>
              <w:right w:val="nil"/>
            </w:tcBorders>
            <w:shd w:val="clear" w:color="auto" w:fill="auto"/>
            <w:noWrap/>
            <w:vAlign w:val="center"/>
            <w:hideMark/>
          </w:tcPr>
          <w:p w14:paraId="2033520E" w14:textId="77777777" w:rsidR="00BC063D" w:rsidRPr="00766369" w:rsidRDefault="00BC063D" w:rsidP="004A6EFA">
            <w:pPr>
              <w:rPr>
                <w:rFonts w:ascii="Arial Narrow" w:hAnsi="Arial Narrow"/>
                <w:b/>
                <w:bCs/>
              </w:rPr>
            </w:pPr>
          </w:p>
        </w:tc>
        <w:tc>
          <w:tcPr>
            <w:tcW w:w="2778" w:type="dxa"/>
            <w:gridSpan w:val="2"/>
            <w:tcBorders>
              <w:top w:val="nil"/>
              <w:left w:val="nil"/>
              <w:bottom w:val="nil"/>
              <w:right w:val="single" w:sz="8" w:space="0" w:color="000000"/>
            </w:tcBorders>
            <w:shd w:val="clear" w:color="auto" w:fill="auto"/>
            <w:noWrap/>
            <w:vAlign w:val="bottom"/>
            <w:hideMark/>
          </w:tcPr>
          <w:p w14:paraId="6BDF9EBA" w14:textId="77777777" w:rsidR="00BC063D" w:rsidRPr="00766369" w:rsidRDefault="00BC063D" w:rsidP="004A6EFA">
            <w:pPr>
              <w:jc w:val="center"/>
              <w:rPr>
                <w:rFonts w:ascii="Arial Narrow" w:hAnsi="Arial Narrow"/>
                <w:sz w:val="14"/>
                <w:szCs w:val="14"/>
              </w:rPr>
            </w:pPr>
            <w:r w:rsidRPr="00766369">
              <w:rPr>
                <w:rFonts w:ascii="Arial Narrow" w:hAnsi="Arial Narrow"/>
                <w:sz w:val="14"/>
                <w:szCs w:val="14"/>
              </w:rPr>
              <w:t>(pieczątka i podpis)</w:t>
            </w:r>
          </w:p>
        </w:tc>
      </w:tr>
      <w:tr w:rsidR="00BC063D" w:rsidRPr="00766369" w14:paraId="4F71C91D" w14:textId="77777777" w:rsidTr="004A6EFA">
        <w:trPr>
          <w:trHeight w:val="825"/>
        </w:trPr>
        <w:tc>
          <w:tcPr>
            <w:tcW w:w="999" w:type="dxa"/>
            <w:tcBorders>
              <w:top w:val="single" w:sz="4" w:space="0" w:color="000000"/>
              <w:left w:val="single" w:sz="8" w:space="0" w:color="000000"/>
              <w:bottom w:val="single" w:sz="8" w:space="0" w:color="000000"/>
              <w:right w:val="single" w:sz="4" w:space="0" w:color="000000"/>
            </w:tcBorders>
            <w:shd w:val="clear" w:color="auto" w:fill="auto"/>
            <w:vAlign w:val="center"/>
            <w:hideMark/>
          </w:tcPr>
          <w:p w14:paraId="33F52A18" w14:textId="77777777" w:rsidR="00BC063D" w:rsidRPr="00766369" w:rsidRDefault="00BC063D" w:rsidP="004A6EFA">
            <w:pPr>
              <w:jc w:val="center"/>
              <w:rPr>
                <w:rFonts w:ascii="Arial Narrow" w:hAnsi="Arial Narrow"/>
                <w:sz w:val="16"/>
                <w:szCs w:val="16"/>
              </w:rPr>
            </w:pPr>
            <w:r w:rsidRPr="00766369">
              <w:rPr>
                <w:rFonts w:ascii="Arial Narrow" w:hAnsi="Arial Narrow"/>
                <w:sz w:val="16"/>
                <w:szCs w:val="16"/>
              </w:rPr>
              <w:t>L.p. kosztorysu ofertowego</w:t>
            </w:r>
          </w:p>
        </w:tc>
        <w:tc>
          <w:tcPr>
            <w:tcW w:w="1660" w:type="dxa"/>
            <w:tcBorders>
              <w:top w:val="nil"/>
              <w:left w:val="nil"/>
              <w:bottom w:val="single" w:sz="8" w:space="0" w:color="000000"/>
              <w:right w:val="single" w:sz="4" w:space="0" w:color="000000"/>
            </w:tcBorders>
            <w:shd w:val="clear" w:color="auto" w:fill="auto"/>
            <w:vAlign w:val="center"/>
            <w:hideMark/>
          </w:tcPr>
          <w:p w14:paraId="5F5CB275" w14:textId="77777777" w:rsidR="00BC063D" w:rsidRPr="00766369" w:rsidRDefault="00BC063D" w:rsidP="004A6EFA">
            <w:pPr>
              <w:jc w:val="center"/>
              <w:rPr>
                <w:rFonts w:ascii="Arial Narrow" w:hAnsi="Arial Narrow"/>
              </w:rPr>
            </w:pPr>
            <w:r w:rsidRPr="00766369">
              <w:rPr>
                <w:rFonts w:ascii="Arial Narrow" w:hAnsi="Arial Narrow"/>
              </w:rPr>
              <w:t>nr STWiORB</w:t>
            </w:r>
          </w:p>
        </w:tc>
        <w:tc>
          <w:tcPr>
            <w:tcW w:w="4709" w:type="dxa"/>
            <w:gridSpan w:val="5"/>
            <w:tcBorders>
              <w:top w:val="single" w:sz="4" w:space="0" w:color="000000"/>
              <w:left w:val="nil"/>
              <w:bottom w:val="single" w:sz="8" w:space="0" w:color="000000"/>
              <w:right w:val="single" w:sz="4" w:space="0" w:color="000000"/>
            </w:tcBorders>
            <w:shd w:val="clear" w:color="auto" w:fill="auto"/>
            <w:vAlign w:val="center"/>
            <w:hideMark/>
          </w:tcPr>
          <w:p w14:paraId="0237273F" w14:textId="77777777" w:rsidR="00BC063D" w:rsidRPr="00766369" w:rsidRDefault="00BC063D" w:rsidP="004A6EFA">
            <w:pPr>
              <w:jc w:val="center"/>
              <w:rPr>
                <w:rFonts w:ascii="Arial Narrow" w:hAnsi="Arial Narrow"/>
              </w:rPr>
            </w:pPr>
            <w:r w:rsidRPr="00766369">
              <w:rPr>
                <w:rFonts w:ascii="Arial Narrow" w:hAnsi="Arial Narrow"/>
              </w:rPr>
              <w:t>Wyszczególnienie elementów rozliczeniowych</w:t>
            </w:r>
          </w:p>
        </w:tc>
        <w:tc>
          <w:tcPr>
            <w:tcW w:w="1060" w:type="dxa"/>
            <w:tcBorders>
              <w:top w:val="single" w:sz="4" w:space="0" w:color="000000"/>
              <w:left w:val="nil"/>
              <w:bottom w:val="single" w:sz="8" w:space="0" w:color="000000"/>
              <w:right w:val="single" w:sz="8" w:space="0" w:color="000000"/>
            </w:tcBorders>
            <w:shd w:val="clear" w:color="auto" w:fill="auto"/>
            <w:vAlign w:val="center"/>
            <w:hideMark/>
          </w:tcPr>
          <w:p w14:paraId="18E94F37" w14:textId="77777777" w:rsidR="00BC063D" w:rsidRPr="00766369" w:rsidRDefault="00BC063D" w:rsidP="004A6EFA">
            <w:pPr>
              <w:jc w:val="center"/>
              <w:rPr>
                <w:rFonts w:ascii="Arial Narrow" w:hAnsi="Arial Narrow"/>
              </w:rPr>
            </w:pPr>
            <w:r w:rsidRPr="00766369">
              <w:rPr>
                <w:rFonts w:ascii="Arial Narrow" w:hAnsi="Arial Narrow"/>
              </w:rPr>
              <w:t>Ilość  wg kosztorysu ofertowego</w:t>
            </w:r>
          </w:p>
        </w:tc>
        <w:tc>
          <w:tcPr>
            <w:tcW w:w="1718" w:type="dxa"/>
            <w:tcBorders>
              <w:top w:val="single" w:sz="4" w:space="0" w:color="000000"/>
              <w:left w:val="single" w:sz="4" w:space="0" w:color="000000"/>
              <w:bottom w:val="single" w:sz="8" w:space="0" w:color="000000"/>
              <w:right w:val="single" w:sz="8" w:space="0" w:color="000000"/>
            </w:tcBorders>
            <w:shd w:val="clear" w:color="auto" w:fill="auto"/>
            <w:vAlign w:val="center"/>
            <w:hideMark/>
          </w:tcPr>
          <w:p w14:paraId="4990B4B8" w14:textId="77777777" w:rsidR="00BC063D" w:rsidRPr="00766369" w:rsidRDefault="00BC063D" w:rsidP="004A6EFA">
            <w:pPr>
              <w:jc w:val="center"/>
              <w:rPr>
                <w:rFonts w:ascii="Arial Narrow" w:hAnsi="Arial Narrow"/>
              </w:rPr>
            </w:pPr>
            <w:r w:rsidRPr="00766369">
              <w:rPr>
                <w:rFonts w:ascii="Arial Narrow" w:hAnsi="Arial Narrow"/>
              </w:rPr>
              <w:t>Jednostka miary</w:t>
            </w:r>
          </w:p>
        </w:tc>
      </w:tr>
      <w:tr w:rsidR="00BC063D" w:rsidRPr="00766369" w14:paraId="3739C9D0" w14:textId="77777777" w:rsidTr="004A6EFA">
        <w:trPr>
          <w:trHeight w:val="360"/>
        </w:trPr>
        <w:tc>
          <w:tcPr>
            <w:tcW w:w="999" w:type="dxa"/>
            <w:tcBorders>
              <w:top w:val="nil"/>
              <w:left w:val="single" w:sz="8" w:space="0" w:color="000000"/>
              <w:bottom w:val="single" w:sz="8" w:space="0" w:color="000000"/>
              <w:right w:val="single" w:sz="4" w:space="0" w:color="000000"/>
            </w:tcBorders>
            <w:shd w:val="clear" w:color="auto" w:fill="auto"/>
            <w:vAlign w:val="center"/>
            <w:hideMark/>
          </w:tcPr>
          <w:p w14:paraId="5B3D484E" w14:textId="77777777" w:rsidR="00BC063D" w:rsidRPr="00766369" w:rsidRDefault="00BC063D" w:rsidP="004A6EFA">
            <w:pPr>
              <w:jc w:val="center"/>
              <w:rPr>
                <w:rFonts w:ascii="Arial" w:hAnsi="Arial" w:cs="Arial"/>
                <w:color w:val="000000"/>
                <w:sz w:val="18"/>
                <w:szCs w:val="18"/>
              </w:rPr>
            </w:pPr>
            <w:r w:rsidRPr="00766369">
              <w:rPr>
                <w:rFonts w:ascii="Arial" w:hAnsi="Arial" w:cs="Arial"/>
                <w:color w:val="000000"/>
                <w:sz w:val="18"/>
                <w:szCs w:val="18"/>
              </w:rPr>
              <w:t>xx</w:t>
            </w:r>
          </w:p>
        </w:tc>
        <w:tc>
          <w:tcPr>
            <w:tcW w:w="1660" w:type="dxa"/>
            <w:tcBorders>
              <w:top w:val="nil"/>
              <w:left w:val="nil"/>
              <w:bottom w:val="single" w:sz="8" w:space="0" w:color="000000"/>
              <w:right w:val="single" w:sz="4" w:space="0" w:color="000000"/>
            </w:tcBorders>
            <w:shd w:val="clear" w:color="auto" w:fill="auto"/>
            <w:vAlign w:val="center"/>
            <w:hideMark/>
          </w:tcPr>
          <w:p w14:paraId="590BD251" w14:textId="77777777" w:rsidR="00BC063D" w:rsidRPr="00766369" w:rsidRDefault="00BC063D" w:rsidP="004A6EFA">
            <w:pPr>
              <w:jc w:val="center"/>
              <w:rPr>
                <w:rFonts w:ascii="Arial" w:hAnsi="Arial" w:cs="Arial"/>
                <w:color w:val="000000"/>
              </w:rPr>
            </w:pPr>
            <w:r w:rsidRPr="00766369">
              <w:rPr>
                <w:rFonts w:ascii="Arial" w:hAnsi="Arial" w:cs="Arial"/>
                <w:color w:val="000000"/>
              </w:rPr>
              <w:t>xxx</w:t>
            </w:r>
          </w:p>
        </w:tc>
        <w:tc>
          <w:tcPr>
            <w:tcW w:w="4709" w:type="dxa"/>
            <w:gridSpan w:val="5"/>
            <w:tcBorders>
              <w:top w:val="single" w:sz="8" w:space="0" w:color="000000"/>
              <w:left w:val="nil"/>
              <w:bottom w:val="single" w:sz="8" w:space="0" w:color="000000"/>
              <w:right w:val="single" w:sz="4" w:space="0" w:color="000000"/>
            </w:tcBorders>
            <w:shd w:val="clear" w:color="FFFFCC" w:fill="FFFFFF"/>
            <w:vAlign w:val="center"/>
            <w:hideMark/>
          </w:tcPr>
          <w:p w14:paraId="3590628A" w14:textId="77777777" w:rsidR="00BC063D" w:rsidRPr="00766369" w:rsidRDefault="00BC063D" w:rsidP="004A6EFA">
            <w:pPr>
              <w:jc w:val="center"/>
              <w:rPr>
                <w:rFonts w:ascii="Arial" w:hAnsi="Arial" w:cs="Arial"/>
                <w:color w:val="000000"/>
                <w:sz w:val="18"/>
                <w:szCs w:val="18"/>
              </w:rPr>
            </w:pPr>
            <w:r w:rsidRPr="00766369">
              <w:rPr>
                <w:rFonts w:ascii="Arial" w:hAnsi="Arial" w:cs="Arial"/>
                <w:color w:val="000000"/>
                <w:sz w:val="18"/>
                <w:szCs w:val="18"/>
              </w:rPr>
              <w:t>xxxxx</w:t>
            </w:r>
          </w:p>
        </w:tc>
        <w:tc>
          <w:tcPr>
            <w:tcW w:w="1060" w:type="dxa"/>
            <w:tcBorders>
              <w:top w:val="nil"/>
              <w:left w:val="nil"/>
              <w:bottom w:val="single" w:sz="8" w:space="0" w:color="000000"/>
              <w:right w:val="single" w:sz="8" w:space="0" w:color="000000"/>
            </w:tcBorders>
            <w:shd w:val="clear" w:color="auto" w:fill="auto"/>
            <w:vAlign w:val="center"/>
            <w:hideMark/>
          </w:tcPr>
          <w:p w14:paraId="7F211E4C" w14:textId="77777777" w:rsidR="00BC063D" w:rsidRPr="00766369" w:rsidRDefault="00BC063D" w:rsidP="004A6EFA">
            <w:pPr>
              <w:jc w:val="center"/>
              <w:rPr>
                <w:rFonts w:ascii="Arial" w:hAnsi="Arial" w:cs="Arial"/>
                <w:b/>
                <w:bCs/>
                <w:color w:val="000000"/>
              </w:rPr>
            </w:pPr>
            <w:r w:rsidRPr="00766369">
              <w:rPr>
                <w:rFonts w:ascii="Arial" w:hAnsi="Arial" w:cs="Arial"/>
                <w:b/>
                <w:bCs/>
                <w:color w:val="000000"/>
              </w:rPr>
              <w:t> </w:t>
            </w:r>
          </w:p>
        </w:tc>
        <w:tc>
          <w:tcPr>
            <w:tcW w:w="1718" w:type="dxa"/>
            <w:tcBorders>
              <w:top w:val="nil"/>
              <w:left w:val="single" w:sz="4" w:space="0" w:color="000000"/>
              <w:bottom w:val="single" w:sz="8" w:space="0" w:color="000000"/>
              <w:right w:val="single" w:sz="8" w:space="0" w:color="000000"/>
            </w:tcBorders>
            <w:shd w:val="clear" w:color="auto" w:fill="auto"/>
            <w:vAlign w:val="center"/>
            <w:hideMark/>
          </w:tcPr>
          <w:p w14:paraId="34944578" w14:textId="77777777" w:rsidR="00BC063D" w:rsidRPr="00766369" w:rsidRDefault="00BC063D" w:rsidP="004A6EFA">
            <w:pPr>
              <w:jc w:val="center"/>
              <w:rPr>
                <w:rFonts w:ascii="Arial" w:hAnsi="Arial" w:cs="Arial"/>
                <w:b/>
                <w:bCs/>
                <w:color w:val="000000"/>
              </w:rPr>
            </w:pPr>
            <w:r w:rsidRPr="00766369">
              <w:rPr>
                <w:rFonts w:ascii="Arial" w:hAnsi="Arial" w:cs="Arial"/>
                <w:b/>
                <w:bCs/>
                <w:color w:val="000000"/>
              </w:rPr>
              <w:t> </w:t>
            </w:r>
          </w:p>
        </w:tc>
      </w:tr>
      <w:tr w:rsidR="00BC063D" w:rsidRPr="00766369" w14:paraId="441C2033" w14:textId="77777777" w:rsidTr="004A6EFA">
        <w:trPr>
          <w:trHeight w:val="402"/>
        </w:trPr>
        <w:tc>
          <w:tcPr>
            <w:tcW w:w="2659" w:type="dxa"/>
            <w:gridSpan w:val="2"/>
            <w:tcBorders>
              <w:top w:val="nil"/>
              <w:left w:val="single" w:sz="8" w:space="0" w:color="000000"/>
              <w:bottom w:val="single" w:sz="4" w:space="0" w:color="000000"/>
              <w:right w:val="nil"/>
            </w:tcBorders>
            <w:shd w:val="clear" w:color="auto" w:fill="auto"/>
            <w:vAlign w:val="center"/>
            <w:hideMark/>
          </w:tcPr>
          <w:p w14:paraId="3EFFF366" w14:textId="77777777" w:rsidR="00BC063D" w:rsidRPr="00766369" w:rsidRDefault="00BC063D" w:rsidP="004A6EFA">
            <w:pPr>
              <w:jc w:val="right"/>
              <w:rPr>
                <w:rFonts w:ascii="Arial Narrow" w:hAnsi="Arial Narrow"/>
                <w:b/>
                <w:bCs/>
                <w:sz w:val="24"/>
                <w:szCs w:val="24"/>
              </w:rPr>
            </w:pPr>
            <w:r w:rsidRPr="00766369">
              <w:rPr>
                <w:rFonts w:ascii="Arial Narrow" w:hAnsi="Arial Narrow"/>
                <w:b/>
                <w:bCs/>
                <w:sz w:val="24"/>
                <w:szCs w:val="24"/>
              </w:rPr>
              <w:lastRenderedPageBreak/>
              <w:t xml:space="preserve">Obmiar za okres </w:t>
            </w:r>
          </w:p>
        </w:tc>
        <w:tc>
          <w:tcPr>
            <w:tcW w:w="2477" w:type="dxa"/>
            <w:gridSpan w:val="2"/>
            <w:tcBorders>
              <w:top w:val="nil"/>
              <w:left w:val="nil"/>
              <w:bottom w:val="single" w:sz="4" w:space="0" w:color="000000"/>
              <w:right w:val="nil"/>
            </w:tcBorders>
            <w:shd w:val="clear" w:color="auto" w:fill="auto"/>
            <w:vAlign w:val="center"/>
            <w:hideMark/>
          </w:tcPr>
          <w:p w14:paraId="7C296ACA"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rozliczeniowy do dnia:</w:t>
            </w:r>
          </w:p>
        </w:tc>
        <w:tc>
          <w:tcPr>
            <w:tcW w:w="1800" w:type="dxa"/>
            <w:tcBorders>
              <w:top w:val="nil"/>
              <w:left w:val="nil"/>
              <w:bottom w:val="single" w:sz="4" w:space="0" w:color="000000"/>
              <w:right w:val="nil"/>
            </w:tcBorders>
            <w:shd w:val="clear" w:color="auto" w:fill="auto"/>
            <w:vAlign w:val="center"/>
            <w:hideMark/>
          </w:tcPr>
          <w:p w14:paraId="5BF2C64F"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…......................r.</w:t>
            </w:r>
          </w:p>
        </w:tc>
        <w:tc>
          <w:tcPr>
            <w:tcW w:w="230" w:type="dxa"/>
            <w:tcBorders>
              <w:top w:val="nil"/>
              <w:left w:val="nil"/>
              <w:bottom w:val="single" w:sz="4" w:space="0" w:color="000000"/>
              <w:right w:val="nil"/>
            </w:tcBorders>
            <w:shd w:val="clear" w:color="auto" w:fill="auto"/>
            <w:vAlign w:val="center"/>
            <w:hideMark/>
          </w:tcPr>
          <w:p w14:paraId="0BAEB984"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c>
          <w:tcPr>
            <w:tcW w:w="202" w:type="dxa"/>
            <w:tcBorders>
              <w:top w:val="nil"/>
              <w:left w:val="nil"/>
              <w:bottom w:val="single" w:sz="4" w:space="0" w:color="000000"/>
              <w:right w:val="nil"/>
            </w:tcBorders>
            <w:shd w:val="clear" w:color="auto" w:fill="auto"/>
            <w:vAlign w:val="center"/>
            <w:hideMark/>
          </w:tcPr>
          <w:p w14:paraId="490FB73F"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c>
          <w:tcPr>
            <w:tcW w:w="1060" w:type="dxa"/>
            <w:tcBorders>
              <w:top w:val="nil"/>
              <w:left w:val="nil"/>
              <w:bottom w:val="single" w:sz="4" w:space="0" w:color="000000"/>
              <w:right w:val="nil"/>
            </w:tcBorders>
            <w:shd w:val="clear" w:color="auto" w:fill="auto"/>
            <w:vAlign w:val="center"/>
            <w:hideMark/>
          </w:tcPr>
          <w:p w14:paraId="7AF5D1DC"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c>
          <w:tcPr>
            <w:tcW w:w="1718" w:type="dxa"/>
            <w:tcBorders>
              <w:top w:val="nil"/>
              <w:left w:val="nil"/>
              <w:bottom w:val="single" w:sz="4" w:space="0" w:color="000000"/>
              <w:right w:val="single" w:sz="8" w:space="0" w:color="000000"/>
            </w:tcBorders>
            <w:shd w:val="clear" w:color="auto" w:fill="auto"/>
            <w:vAlign w:val="center"/>
            <w:hideMark/>
          </w:tcPr>
          <w:p w14:paraId="4380ED4B"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r>
      <w:tr w:rsidR="00BC063D" w:rsidRPr="00766369" w14:paraId="4FE479A6" w14:textId="77777777" w:rsidTr="004A6EFA">
        <w:trPr>
          <w:trHeight w:val="510"/>
        </w:trPr>
        <w:tc>
          <w:tcPr>
            <w:tcW w:w="999" w:type="dxa"/>
            <w:tcBorders>
              <w:top w:val="nil"/>
              <w:left w:val="single" w:sz="8" w:space="0" w:color="000000"/>
              <w:bottom w:val="single" w:sz="4" w:space="0" w:color="000000"/>
              <w:right w:val="single" w:sz="4" w:space="0" w:color="000000"/>
            </w:tcBorders>
            <w:shd w:val="clear" w:color="FFFFFF" w:fill="FFFFCC"/>
            <w:vAlign w:val="center"/>
            <w:hideMark/>
          </w:tcPr>
          <w:p w14:paraId="060C2916" w14:textId="77777777" w:rsidR="00BC063D" w:rsidRPr="00766369" w:rsidRDefault="00BC063D" w:rsidP="004A6EFA">
            <w:pPr>
              <w:jc w:val="center"/>
              <w:rPr>
                <w:rFonts w:ascii="Arial Narrow" w:hAnsi="Arial Narrow"/>
                <w:sz w:val="24"/>
                <w:szCs w:val="24"/>
              </w:rPr>
            </w:pPr>
            <w:r w:rsidRPr="00766369">
              <w:rPr>
                <w:rFonts w:ascii="Arial Narrow" w:hAnsi="Arial Narrow"/>
                <w:sz w:val="24"/>
                <w:szCs w:val="24"/>
              </w:rPr>
              <w:t>Lp.</w:t>
            </w:r>
          </w:p>
        </w:tc>
        <w:tc>
          <w:tcPr>
            <w:tcW w:w="1660" w:type="dxa"/>
            <w:tcBorders>
              <w:top w:val="nil"/>
              <w:left w:val="nil"/>
              <w:bottom w:val="single" w:sz="4" w:space="0" w:color="000000"/>
              <w:right w:val="single" w:sz="4" w:space="0" w:color="000000"/>
            </w:tcBorders>
            <w:shd w:val="clear" w:color="FFFFFF" w:fill="FFFFCC"/>
            <w:vAlign w:val="center"/>
            <w:hideMark/>
          </w:tcPr>
          <w:p w14:paraId="1B90DB54" w14:textId="77777777" w:rsidR="00BC063D" w:rsidRPr="00766369" w:rsidRDefault="00BC063D" w:rsidP="004A6EFA">
            <w:pPr>
              <w:jc w:val="center"/>
              <w:rPr>
                <w:rFonts w:ascii="Arial Narrow" w:hAnsi="Arial Narrow"/>
              </w:rPr>
            </w:pPr>
            <w:r w:rsidRPr="00766369">
              <w:rPr>
                <w:rFonts w:ascii="Arial Narrow" w:hAnsi="Arial Narrow"/>
              </w:rPr>
              <w:t>Nr Zatwierdzenia</w:t>
            </w:r>
          </w:p>
        </w:tc>
        <w:tc>
          <w:tcPr>
            <w:tcW w:w="4709" w:type="dxa"/>
            <w:gridSpan w:val="5"/>
            <w:tcBorders>
              <w:top w:val="single" w:sz="4" w:space="0" w:color="000000"/>
              <w:left w:val="nil"/>
              <w:bottom w:val="single" w:sz="4" w:space="0" w:color="000000"/>
              <w:right w:val="single" w:sz="4" w:space="0" w:color="000000"/>
            </w:tcBorders>
            <w:shd w:val="clear" w:color="FFFFFF" w:fill="FFFFCC"/>
            <w:vAlign w:val="center"/>
            <w:hideMark/>
          </w:tcPr>
          <w:p w14:paraId="1F3AF10C" w14:textId="77777777" w:rsidR="00BC063D" w:rsidRPr="00766369" w:rsidRDefault="00BC063D" w:rsidP="004A6EFA">
            <w:pPr>
              <w:jc w:val="center"/>
              <w:rPr>
                <w:rFonts w:ascii="Arial Narrow" w:hAnsi="Arial Narrow"/>
                <w:sz w:val="24"/>
                <w:szCs w:val="24"/>
              </w:rPr>
            </w:pPr>
            <w:r w:rsidRPr="00766369">
              <w:rPr>
                <w:rFonts w:ascii="Arial Narrow" w:hAnsi="Arial Narrow"/>
                <w:sz w:val="24"/>
                <w:szCs w:val="24"/>
              </w:rPr>
              <w:t>Kalkulacje obmiaru</w:t>
            </w:r>
          </w:p>
        </w:tc>
        <w:tc>
          <w:tcPr>
            <w:tcW w:w="1060" w:type="dxa"/>
            <w:tcBorders>
              <w:top w:val="nil"/>
              <w:left w:val="nil"/>
              <w:bottom w:val="nil"/>
              <w:right w:val="single" w:sz="4" w:space="0" w:color="000000"/>
            </w:tcBorders>
            <w:shd w:val="clear" w:color="FFFFFF" w:fill="FFFFCC"/>
            <w:vAlign w:val="center"/>
            <w:hideMark/>
          </w:tcPr>
          <w:p w14:paraId="333E106F" w14:textId="77777777" w:rsidR="00BC063D" w:rsidRPr="00766369" w:rsidRDefault="00BC063D" w:rsidP="004A6EFA">
            <w:pPr>
              <w:jc w:val="center"/>
              <w:rPr>
                <w:rFonts w:ascii="Arial Narrow" w:hAnsi="Arial Narrow"/>
                <w:sz w:val="24"/>
                <w:szCs w:val="24"/>
              </w:rPr>
            </w:pPr>
            <w:r w:rsidRPr="00766369">
              <w:rPr>
                <w:rFonts w:ascii="Arial Narrow" w:hAnsi="Arial Narrow"/>
                <w:sz w:val="24"/>
                <w:szCs w:val="24"/>
              </w:rPr>
              <w:t>Ilość</w:t>
            </w:r>
          </w:p>
        </w:tc>
        <w:tc>
          <w:tcPr>
            <w:tcW w:w="1718" w:type="dxa"/>
            <w:tcBorders>
              <w:top w:val="nil"/>
              <w:left w:val="nil"/>
              <w:bottom w:val="single" w:sz="4" w:space="0" w:color="000000"/>
              <w:right w:val="single" w:sz="8" w:space="0" w:color="000000"/>
            </w:tcBorders>
            <w:shd w:val="clear" w:color="FFFFFF" w:fill="FFFFCC"/>
            <w:vAlign w:val="center"/>
            <w:hideMark/>
          </w:tcPr>
          <w:p w14:paraId="6F093934" w14:textId="77777777" w:rsidR="00BC063D" w:rsidRPr="00766369" w:rsidRDefault="00BC063D" w:rsidP="004A6EFA">
            <w:pPr>
              <w:jc w:val="center"/>
              <w:rPr>
                <w:rFonts w:ascii="Arial Narrow" w:hAnsi="Arial Narrow"/>
                <w:sz w:val="24"/>
                <w:szCs w:val="24"/>
              </w:rPr>
            </w:pPr>
            <w:r w:rsidRPr="00766369">
              <w:rPr>
                <w:rFonts w:ascii="Arial Narrow" w:hAnsi="Arial Narrow"/>
                <w:sz w:val="24"/>
                <w:szCs w:val="24"/>
              </w:rPr>
              <w:t>Uwagi</w:t>
            </w:r>
          </w:p>
        </w:tc>
      </w:tr>
      <w:tr w:rsidR="00BC063D" w:rsidRPr="00766369" w14:paraId="3D227FF4" w14:textId="77777777" w:rsidTr="004A6EFA">
        <w:trPr>
          <w:trHeight w:val="750"/>
        </w:trPr>
        <w:tc>
          <w:tcPr>
            <w:tcW w:w="999" w:type="dxa"/>
            <w:vMerge w:val="restart"/>
            <w:tcBorders>
              <w:top w:val="nil"/>
              <w:left w:val="single" w:sz="8" w:space="0" w:color="000000"/>
              <w:bottom w:val="single" w:sz="4" w:space="0" w:color="000000"/>
              <w:right w:val="single" w:sz="4" w:space="0" w:color="000000"/>
            </w:tcBorders>
            <w:shd w:val="clear" w:color="auto" w:fill="auto"/>
            <w:vAlign w:val="center"/>
            <w:hideMark/>
          </w:tcPr>
          <w:p w14:paraId="0B1BB597" w14:textId="77777777" w:rsidR="00BC063D" w:rsidRPr="00766369" w:rsidRDefault="00BC063D" w:rsidP="004A6EFA">
            <w:pPr>
              <w:jc w:val="center"/>
              <w:rPr>
                <w:rFonts w:ascii="Arial Narrow" w:hAnsi="Arial Narrow"/>
                <w:sz w:val="24"/>
                <w:szCs w:val="24"/>
              </w:rPr>
            </w:pPr>
            <w:r w:rsidRPr="00766369">
              <w:rPr>
                <w:rFonts w:ascii="Arial Narrow" w:hAnsi="Arial Narrow"/>
                <w:sz w:val="24"/>
                <w:szCs w:val="24"/>
              </w:rPr>
              <w:t>xx</w:t>
            </w:r>
          </w:p>
        </w:tc>
        <w:tc>
          <w:tcPr>
            <w:tcW w:w="1660" w:type="dxa"/>
            <w:tcBorders>
              <w:top w:val="nil"/>
              <w:left w:val="nil"/>
              <w:bottom w:val="nil"/>
              <w:right w:val="single" w:sz="4" w:space="0" w:color="000000"/>
            </w:tcBorders>
            <w:shd w:val="clear" w:color="auto" w:fill="auto"/>
            <w:vAlign w:val="center"/>
            <w:hideMark/>
          </w:tcPr>
          <w:p w14:paraId="411224FE" w14:textId="77777777" w:rsidR="00BC063D" w:rsidRPr="00766369" w:rsidRDefault="00BC063D" w:rsidP="004A6EFA">
            <w:pPr>
              <w:jc w:val="center"/>
              <w:rPr>
                <w:rFonts w:ascii="Arial Narrow" w:hAnsi="Arial Narrow"/>
              </w:rPr>
            </w:pPr>
            <w:r w:rsidRPr="00766369">
              <w:rPr>
                <w:rFonts w:ascii="Arial Narrow" w:hAnsi="Arial Narrow"/>
              </w:rPr>
              <w:t xml:space="preserve">KARTA OBMIAROWA NR  </w:t>
            </w:r>
          </w:p>
        </w:tc>
        <w:tc>
          <w:tcPr>
            <w:tcW w:w="4709" w:type="dxa"/>
            <w:gridSpan w:val="5"/>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021F485" w14:textId="77777777" w:rsidR="00BC063D" w:rsidRPr="00766369" w:rsidRDefault="00BC063D" w:rsidP="004A6EFA">
            <w:pPr>
              <w:jc w:val="center"/>
              <w:rPr>
                <w:rFonts w:ascii="Arial Narrow" w:hAnsi="Arial Narrow"/>
              </w:rPr>
            </w:pPr>
            <w:r w:rsidRPr="00766369">
              <w:rPr>
                <w:rFonts w:ascii="Arial Narrow" w:hAnsi="Arial Narrow"/>
              </w:rPr>
              <w:t> </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FFFFCC" w:fill="FFFFFF"/>
            <w:vAlign w:val="center"/>
            <w:hideMark/>
          </w:tcPr>
          <w:p w14:paraId="61AE80C2" w14:textId="77777777" w:rsidR="00BC063D" w:rsidRPr="00766369" w:rsidRDefault="00BC063D" w:rsidP="004A6EFA">
            <w:pPr>
              <w:jc w:val="center"/>
              <w:rPr>
                <w:rFonts w:ascii="Arial Narrow" w:hAnsi="Arial Narrow"/>
                <w:color w:val="000000"/>
              </w:rPr>
            </w:pPr>
            <w:r w:rsidRPr="00766369">
              <w:rPr>
                <w:rFonts w:ascii="Arial Narrow" w:hAnsi="Arial Narrow"/>
                <w:color w:val="000000"/>
              </w:rPr>
              <w:t> </w:t>
            </w:r>
          </w:p>
        </w:tc>
        <w:tc>
          <w:tcPr>
            <w:tcW w:w="1718" w:type="dxa"/>
            <w:vMerge w:val="restart"/>
            <w:tcBorders>
              <w:top w:val="nil"/>
              <w:left w:val="single" w:sz="4" w:space="0" w:color="000000"/>
              <w:bottom w:val="nil"/>
              <w:right w:val="single" w:sz="8" w:space="0" w:color="000000"/>
            </w:tcBorders>
            <w:shd w:val="clear" w:color="FFFFCC" w:fill="FFFFFF"/>
            <w:vAlign w:val="center"/>
            <w:hideMark/>
          </w:tcPr>
          <w:p w14:paraId="7E8E88C9" w14:textId="77777777" w:rsidR="00BC063D" w:rsidRPr="00766369" w:rsidRDefault="00BC063D" w:rsidP="004A6EFA">
            <w:pPr>
              <w:jc w:val="center"/>
              <w:rPr>
                <w:rFonts w:ascii="Arial Narrow" w:hAnsi="Arial Narrow"/>
                <w:b/>
                <w:bCs/>
                <w:sz w:val="18"/>
                <w:szCs w:val="18"/>
              </w:rPr>
            </w:pPr>
            <w:r w:rsidRPr="00766369">
              <w:rPr>
                <w:rFonts w:ascii="Arial Narrow" w:hAnsi="Arial Narrow"/>
                <w:b/>
                <w:bCs/>
                <w:sz w:val="18"/>
                <w:szCs w:val="18"/>
              </w:rPr>
              <w:t> </w:t>
            </w:r>
          </w:p>
        </w:tc>
      </w:tr>
      <w:tr w:rsidR="00BC063D" w:rsidRPr="00766369" w14:paraId="5335E40C" w14:textId="77777777" w:rsidTr="004A6EFA">
        <w:trPr>
          <w:trHeight w:val="131"/>
        </w:trPr>
        <w:tc>
          <w:tcPr>
            <w:tcW w:w="999" w:type="dxa"/>
            <w:vMerge/>
            <w:tcBorders>
              <w:top w:val="nil"/>
              <w:left w:val="single" w:sz="8" w:space="0" w:color="000000"/>
              <w:bottom w:val="single" w:sz="4" w:space="0" w:color="000000"/>
              <w:right w:val="single" w:sz="4" w:space="0" w:color="000000"/>
            </w:tcBorders>
            <w:vAlign w:val="center"/>
            <w:hideMark/>
          </w:tcPr>
          <w:p w14:paraId="6F939412" w14:textId="77777777" w:rsidR="00BC063D" w:rsidRPr="00766369" w:rsidRDefault="00BC063D" w:rsidP="004A6EFA">
            <w:pPr>
              <w:rPr>
                <w:rFonts w:ascii="Arial Narrow" w:hAnsi="Arial Narrow"/>
                <w:sz w:val="24"/>
                <w:szCs w:val="24"/>
              </w:rPr>
            </w:pPr>
          </w:p>
        </w:tc>
        <w:tc>
          <w:tcPr>
            <w:tcW w:w="1660" w:type="dxa"/>
            <w:tcBorders>
              <w:top w:val="nil"/>
              <w:left w:val="nil"/>
              <w:bottom w:val="nil"/>
              <w:right w:val="single" w:sz="4" w:space="0" w:color="000000"/>
            </w:tcBorders>
            <w:shd w:val="clear" w:color="auto" w:fill="auto"/>
            <w:vAlign w:val="center"/>
            <w:hideMark/>
          </w:tcPr>
          <w:p w14:paraId="0BA46DFA" w14:textId="77777777" w:rsidR="00BC063D" w:rsidRPr="00766369" w:rsidRDefault="00BC063D" w:rsidP="004A6EFA">
            <w:pPr>
              <w:rPr>
                <w:rFonts w:ascii="Arial Narrow" w:hAnsi="Arial Narrow"/>
              </w:rPr>
            </w:pPr>
            <w:r w:rsidRPr="00766369">
              <w:rPr>
                <w:rFonts w:ascii="Arial Narrow" w:hAnsi="Arial Narrow"/>
              </w:rPr>
              <w:t>.......</w:t>
            </w:r>
          </w:p>
        </w:tc>
        <w:tc>
          <w:tcPr>
            <w:tcW w:w="4709" w:type="dxa"/>
            <w:gridSpan w:val="5"/>
            <w:vMerge/>
            <w:tcBorders>
              <w:top w:val="nil"/>
              <w:left w:val="nil"/>
              <w:bottom w:val="nil"/>
              <w:right w:val="single" w:sz="4" w:space="0" w:color="000000"/>
            </w:tcBorders>
            <w:vAlign w:val="center"/>
            <w:hideMark/>
          </w:tcPr>
          <w:p w14:paraId="3E1BD7FA" w14:textId="77777777" w:rsidR="00BC063D" w:rsidRPr="00766369" w:rsidRDefault="00BC063D" w:rsidP="004A6EFA">
            <w:pPr>
              <w:rPr>
                <w:rFonts w:ascii="Arial Narrow" w:hAnsi="Arial Narrow"/>
              </w:rPr>
            </w:pPr>
          </w:p>
        </w:tc>
        <w:tc>
          <w:tcPr>
            <w:tcW w:w="1060" w:type="dxa"/>
            <w:vMerge/>
            <w:tcBorders>
              <w:top w:val="single" w:sz="4" w:space="0" w:color="000000"/>
              <w:left w:val="single" w:sz="4" w:space="0" w:color="000000"/>
              <w:bottom w:val="single" w:sz="4" w:space="0" w:color="000000"/>
              <w:right w:val="single" w:sz="4" w:space="0" w:color="000000"/>
            </w:tcBorders>
            <w:vAlign w:val="center"/>
            <w:hideMark/>
          </w:tcPr>
          <w:p w14:paraId="4D396896" w14:textId="77777777" w:rsidR="00BC063D" w:rsidRPr="00766369" w:rsidRDefault="00BC063D" w:rsidP="004A6EFA">
            <w:pPr>
              <w:rPr>
                <w:rFonts w:ascii="Arial Narrow" w:hAnsi="Arial Narrow"/>
                <w:color w:val="000000"/>
              </w:rPr>
            </w:pPr>
          </w:p>
        </w:tc>
        <w:tc>
          <w:tcPr>
            <w:tcW w:w="1718" w:type="dxa"/>
            <w:vMerge/>
            <w:tcBorders>
              <w:top w:val="nil"/>
              <w:left w:val="single" w:sz="4" w:space="0" w:color="000000"/>
              <w:bottom w:val="nil"/>
              <w:right w:val="single" w:sz="8" w:space="0" w:color="000000"/>
            </w:tcBorders>
            <w:vAlign w:val="center"/>
            <w:hideMark/>
          </w:tcPr>
          <w:p w14:paraId="2E6E295F" w14:textId="77777777" w:rsidR="00BC063D" w:rsidRPr="00766369" w:rsidRDefault="00BC063D" w:rsidP="004A6EFA">
            <w:pPr>
              <w:rPr>
                <w:rFonts w:ascii="Arial Narrow" w:hAnsi="Arial Narrow"/>
                <w:b/>
                <w:bCs/>
                <w:sz w:val="18"/>
                <w:szCs w:val="18"/>
              </w:rPr>
            </w:pPr>
          </w:p>
        </w:tc>
      </w:tr>
      <w:tr w:rsidR="00BC063D" w:rsidRPr="00766369" w14:paraId="6FDE43FF" w14:textId="77777777" w:rsidTr="004A6EFA">
        <w:trPr>
          <w:trHeight w:val="70"/>
        </w:trPr>
        <w:tc>
          <w:tcPr>
            <w:tcW w:w="999" w:type="dxa"/>
            <w:vMerge/>
            <w:tcBorders>
              <w:top w:val="nil"/>
              <w:left w:val="single" w:sz="8" w:space="0" w:color="000000"/>
              <w:bottom w:val="single" w:sz="4" w:space="0" w:color="000000"/>
              <w:right w:val="single" w:sz="4" w:space="0" w:color="000000"/>
            </w:tcBorders>
            <w:vAlign w:val="center"/>
            <w:hideMark/>
          </w:tcPr>
          <w:p w14:paraId="557A8596" w14:textId="77777777" w:rsidR="00BC063D" w:rsidRPr="00766369" w:rsidRDefault="00BC063D" w:rsidP="004A6EFA">
            <w:pPr>
              <w:rPr>
                <w:rFonts w:ascii="Arial Narrow" w:hAnsi="Arial Narrow"/>
                <w:sz w:val="24"/>
                <w:szCs w:val="24"/>
              </w:rPr>
            </w:pPr>
          </w:p>
        </w:tc>
        <w:tc>
          <w:tcPr>
            <w:tcW w:w="1660" w:type="dxa"/>
            <w:tcBorders>
              <w:top w:val="nil"/>
              <w:left w:val="nil"/>
              <w:bottom w:val="nil"/>
              <w:right w:val="single" w:sz="4" w:space="0" w:color="000000"/>
            </w:tcBorders>
            <w:shd w:val="clear" w:color="auto" w:fill="auto"/>
            <w:vAlign w:val="center"/>
            <w:hideMark/>
          </w:tcPr>
          <w:p w14:paraId="5863B48A" w14:textId="77777777" w:rsidR="00BC063D" w:rsidRPr="00766369" w:rsidRDefault="00BC063D" w:rsidP="004A6EFA">
            <w:pPr>
              <w:rPr>
                <w:rFonts w:ascii="Symbol" w:hAnsi="Symbol"/>
                <w:b/>
                <w:bCs/>
              </w:rPr>
            </w:pPr>
          </w:p>
        </w:tc>
        <w:tc>
          <w:tcPr>
            <w:tcW w:w="4709" w:type="dxa"/>
            <w:gridSpan w:val="5"/>
            <w:vMerge/>
            <w:tcBorders>
              <w:top w:val="nil"/>
              <w:left w:val="nil"/>
              <w:bottom w:val="nil"/>
              <w:right w:val="single" w:sz="4" w:space="0" w:color="000000"/>
            </w:tcBorders>
            <w:vAlign w:val="center"/>
            <w:hideMark/>
          </w:tcPr>
          <w:p w14:paraId="0412054D" w14:textId="77777777" w:rsidR="00BC063D" w:rsidRPr="00766369" w:rsidRDefault="00BC063D" w:rsidP="004A6EFA">
            <w:pPr>
              <w:rPr>
                <w:rFonts w:ascii="Arial Narrow" w:hAnsi="Arial Narrow"/>
              </w:rPr>
            </w:pPr>
          </w:p>
        </w:tc>
        <w:tc>
          <w:tcPr>
            <w:tcW w:w="1060" w:type="dxa"/>
            <w:vMerge/>
            <w:tcBorders>
              <w:top w:val="single" w:sz="4" w:space="0" w:color="000000"/>
              <w:left w:val="single" w:sz="4" w:space="0" w:color="000000"/>
              <w:bottom w:val="single" w:sz="4" w:space="0" w:color="000000"/>
              <w:right w:val="single" w:sz="4" w:space="0" w:color="000000"/>
            </w:tcBorders>
            <w:vAlign w:val="center"/>
            <w:hideMark/>
          </w:tcPr>
          <w:p w14:paraId="4262156B" w14:textId="77777777" w:rsidR="00BC063D" w:rsidRPr="00766369" w:rsidRDefault="00BC063D" w:rsidP="004A6EFA">
            <w:pPr>
              <w:rPr>
                <w:rFonts w:ascii="Arial Narrow" w:hAnsi="Arial Narrow"/>
                <w:color w:val="000000"/>
              </w:rPr>
            </w:pPr>
          </w:p>
        </w:tc>
        <w:tc>
          <w:tcPr>
            <w:tcW w:w="1718" w:type="dxa"/>
            <w:vMerge/>
            <w:tcBorders>
              <w:top w:val="nil"/>
              <w:left w:val="single" w:sz="4" w:space="0" w:color="000000"/>
              <w:bottom w:val="nil"/>
              <w:right w:val="single" w:sz="8" w:space="0" w:color="000000"/>
            </w:tcBorders>
            <w:vAlign w:val="center"/>
            <w:hideMark/>
          </w:tcPr>
          <w:p w14:paraId="47DC776C" w14:textId="77777777" w:rsidR="00BC063D" w:rsidRPr="00766369" w:rsidRDefault="00BC063D" w:rsidP="004A6EFA">
            <w:pPr>
              <w:rPr>
                <w:rFonts w:ascii="Arial Narrow" w:hAnsi="Arial Narrow"/>
                <w:b/>
                <w:bCs/>
                <w:sz w:val="18"/>
                <w:szCs w:val="18"/>
              </w:rPr>
            </w:pPr>
          </w:p>
        </w:tc>
      </w:tr>
      <w:tr w:rsidR="00BC063D" w:rsidRPr="00766369" w14:paraId="2712F7A4" w14:textId="77777777" w:rsidTr="004A6EFA">
        <w:trPr>
          <w:trHeight w:val="509"/>
        </w:trPr>
        <w:tc>
          <w:tcPr>
            <w:tcW w:w="10146" w:type="dxa"/>
            <w:gridSpan w:val="9"/>
            <w:vMerge w:val="restart"/>
            <w:tcBorders>
              <w:top w:val="single" w:sz="4" w:space="0" w:color="000000"/>
              <w:left w:val="single" w:sz="8" w:space="0" w:color="000000"/>
              <w:bottom w:val="single" w:sz="4" w:space="0" w:color="000000"/>
              <w:right w:val="single" w:sz="8" w:space="0" w:color="000000"/>
            </w:tcBorders>
            <w:shd w:val="clear" w:color="auto" w:fill="auto"/>
            <w:hideMark/>
          </w:tcPr>
          <w:p w14:paraId="3CE37EB4" w14:textId="77777777" w:rsidR="00BC063D" w:rsidRDefault="00BC063D" w:rsidP="004A6EFA">
            <w:pPr>
              <w:rPr>
                <w:rFonts w:ascii="Calibri" w:hAnsi="Calibri"/>
                <w:color w:val="000000"/>
              </w:rPr>
            </w:pPr>
            <w:r w:rsidRPr="00766369">
              <w:rPr>
                <w:rFonts w:ascii="Calibri" w:hAnsi="Calibri"/>
                <w:color w:val="000000"/>
              </w:rPr>
              <w:t>Uwagi dodatkowe: xxxx</w:t>
            </w:r>
          </w:p>
          <w:p w14:paraId="7E809CF9" w14:textId="77777777" w:rsidR="00BC063D" w:rsidRPr="005F111A" w:rsidRDefault="00BC063D" w:rsidP="004A6EFA">
            <w:pPr>
              <w:ind w:firstLine="709"/>
              <w:rPr>
                <w:rFonts w:ascii="Calibri" w:hAnsi="Calibri"/>
              </w:rPr>
            </w:pPr>
          </w:p>
        </w:tc>
      </w:tr>
      <w:tr w:rsidR="00BC063D" w:rsidRPr="00766369" w14:paraId="7AEEFBE3" w14:textId="77777777" w:rsidTr="004A6EFA">
        <w:trPr>
          <w:trHeight w:val="509"/>
        </w:trPr>
        <w:tc>
          <w:tcPr>
            <w:tcW w:w="10146" w:type="dxa"/>
            <w:gridSpan w:val="9"/>
            <w:vMerge/>
            <w:tcBorders>
              <w:top w:val="single" w:sz="4" w:space="0" w:color="000000"/>
              <w:left w:val="single" w:sz="8" w:space="0" w:color="000000"/>
              <w:bottom w:val="single" w:sz="4" w:space="0" w:color="000000"/>
              <w:right w:val="single" w:sz="8" w:space="0" w:color="000000"/>
            </w:tcBorders>
            <w:vAlign w:val="center"/>
            <w:hideMark/>
          </w:tcPr>
          <w:p w14:paraId="1DB319BC" w14:textId="77777777" w:rsidR="00BC063D" w:rsidRPr="00766369" w:rsidRDefault="00BC063D" w:rsidP="004A6EFA">
            <w:pPr>
              <w:rPr>
                <w:rFonts w:ascii="Calibri" w:hAnsi="Calibri"/>
                <w:color w:val="000000"/>
              </w:rPr>
            </w:pPr>
          </w:p>
        </w:tc>
      </w:tr>
      <w:tr w:rsidR="00BC063D" w:rsidRPr="00766369" w14:paraId="2E291CA0" w14:textId="77777777" w:rsidTr="004A6EFA">
        <w:trPr>
          <w:trHeight w:val="315"/>
        </w:trPr>
        <w:tc>
          <w:tcPr>
            <w:tcW w:w="7166" w:type="dxa"/>
            <w:gridSpan w:val="6"/>
            <w:tcBorders>
              <w:top w:val="single" w:sz="4" w:space="0" w:color="000000"/>
              <w:left w:val="single" w:sz="8" w:space="0" w:color="000000"/>
              <w:bottom w:val="single" w:sz="8" w:space="0" w:color="000000"/>
              <w:right w:val="single" w:sz="4" w:space="0" w:color="000000"/>
            </w:tcBorders>
            <w:shd w:val="clear" w:color="CCCCFF" w:fill="C0C0C0"/>
            <w:vAlign w:val="bottom"/>
            <w:hideMark/>
          </w:tcPr>
          <w:p w14:paraId="3D423551" w14:textId="77777777" w:rsidR="00BC063D" w:rsidRPr="00766369" w:rsidRDefault="00BC063D" w:rsidP="004A6EFA">
            <w:pPr>
              <w:jc w:val="right"/>
              <w:rPr>
                <w:rFonts w:ascii="Arial" w:hAnsi="Arial" w:cs="Arial"/>
                <w:b/>
                <w:bCs/>
                <w:color w:val="000000"/>
              </w:rPr>
            </w:pPr>
            <w:r w:rsidRPr="00766369">
              <w:rPr>
                <w:rFonts w:ascii="Arial" w:hAnsi="Arial" w:cs="Arial"/>
                <w:b/>
                <w:bCs/>
                <w:color w:val="000000"/>
              </w:rPr>
              <w:t>Razem</w:t>
            </w:r>
            <w:r w:rsidRPr="00766369">
              <w:rPr>
                <w:rFonts w:ascii="Calibri" w:hAnsi="Calibri" w:cs="Arial"/>
                <w:b/>
                <w:bCs/>
                <w:color w:val="000000"/>
              </w:rPr>
              <w:t xml:space="preserve"> </w:t>
            </w:r>
            <w:r w:rsidRPr="00766369">
              <w:rPr>
                <w:rFonts w:ascii="Arial" w:hAnsi="Arial" w:cs="Arial"/>
                <w:b/>
                <w:bCs/>
                <w:color w:val="000000"/>
              </w:rPr>
              <w:t xml:space="preserve"> w okresie rozliczeniowym:</w:t>
            </w:r>
          </w:p>
        </w:tc>
        <w:tc>
          <w:tcPr>
            <w:tcW w:w="202" w:type="dxa"/>
            <w:tcBorders>
              <w:top w:val="nil"/>
              <w:left w:val="nil"/>
              <w:bottom w:val="single" w:sz="8" w:space="0" w:color="000000"/>
              <w:right w:val="single" w:sz="4" w:space="0" w:color="000000"/>
            </w:tcBorders>
            <w:shd w:val="clear" w:color="CCCCFF" w:fill="C0C0C0"/>
            <w:vAlign w:val="bottom"/>
            <w:hideMark/>
          </w:tcPr>
          <w:p w14:paraId="30043606" w14:textId="77777777" w:rsidR="00BC063D" w:rsidRPr="00766369" w:rsidRDefault="00BC063D" w:rsidP="004A6EFA">
            <w:pPr>
              <w:jc w:val="center"/>
              <w:rPr>
                <w:rFonts w:ascii="Arial" w:hAnsi="Arial" w:cs="Arial"/>
                <w:b/>
                <w:bCs/>
              </w:rPr>
            </w:pPr>
            <w:r w:rsidRPr="00766369">
              <w:rPr>
                <w:rFonts w:ascii="Arial" w:hAnsi="Arial" w:cs="Arial"/>
                <w:b/>
                <w:bCs/>
              </w:rPr>
              <w:t> </w:t>
            </w:r>
          </w:p>
        </w:tc>
        <w:tc>
          <w:tcPr>
            <w:tcW w:w="1060" w:type="dxa"/>
            <w:tcBorders>
              <w:top w:val="nil"/>
              <w:left w:val="nil"/>
              <w:bottom w:val="single" w:sz="8" w:space="0" w:color="000000"/>
              <w:right w:val="single" w:sz="4" w:space="0" w:color="000000"/>
            </w:tcBorders>
            <w:shd w:val="clear" w:color="CCCCFF" w:fill="C0C0C0"/>
            <w:vAlign w:val="bottom"/>
            <w:hideMark/>
          </w:tcPr>
          <w:p w14:paraId="2C99569A" w14:textId="77777777" w:rsidR="00BC063D" w:rsidRPr="00766369" w:rsidRDefault="00BC063D" w:rsidP="004A6EFA">
            <w:pPr>
              <w:jc w:val="center"/>
              <w:rPr>
                <w:rFonts w:ascii="Arial" w:hAnsi="Arial" w:cs="Arial"/>
                <w:b/>
                <w:bCs/>
              </w:rPr>
            </w:pPr>
            <w:r w:rsidRPr="00766369">
              <w:rPr>
                <w:rFonts w:ascii="Arial" w:hAnsi="Arial" w:cs="Arial"/>
                <w:b/>
                <w:bCs/>
              </w:rPr>
              <w:t>0,000</w:t>
            </w:r>
          </w:p>
        </w:tc>
        <w:tc>
          <w:tcPr>
            <w:tcW w:w="1718" w:type="dxa"/>
            <w:tcBorders>
              <w:top w:val="nil"/>
              <w:left w:val="nil"/>
              <w:bottom w:val="single" w:sz="8" w:space="0" w:color="000000"/>
              <w:right w:val="single" w:sz="8" w:space="0" w:color="000000"/>
            </w:tcBorders>
            <w:shd w:val="clear" w:color="CCCCFF" w:fill="C0C0C0"/>
            <w:vAlign w:val="bottom"/>
            <w:hideMark/>
          </w:tcPr>
          <w:p w14:paraId="119C244B" w14:textId="77777777" w:rsidR="00BC063D" w:rsidRPr="00766369" w:rsidRDefault="00BC063D" w:rsidP="004A6EFA">
            <w:pPr>
              <w:jc w:val="center"/>
              <w:rPr>
                <w:rFonts w:ascii="Calibri" w:hAnsi="Calibri"/>
                <w:b/>
                <w:bCs/>
                <w:color w:val="000000"/>
              </w:rPr>
            </w:pPr>
            <w:r w:rsidRPr="00766369">
              <w:rPr>
                <w:rFonts w:ascii="Calibri" w:hAnsi="Calibri"/>
                <w:b/>
                <w:bCs/>
                <w:color w:val="000000"/>
              </w:rPr>
              <w:t> </w:t>
            </w:r>
          </w:p>
        </w:tc>
      </w:tr>
      <w:tr w:rsidR="00BC063D" w:rsidRPr="00766369" w14:paraId="2E57F5D6" w14:textId="77777777" w:rsidTr="004A6EFA">
        <w:trPr>
          <w:trHeight w:val="315"/>
        </w:trPr>
        <w:tc>
          <w:tcPr>
            <w:tcW w:w="999" w:type="dxa"/>
            <w:tcBorders>
              <w:top w:val="nil"/>
              <w:left w:val="single" w:sz="8" w:space="0" w:color="000000"/>
              <w:bottom w:val="nil"/>
              <w:right w:val="single" w:sz="4" w:space="0" w:color="000000"/>
            </w:tcBorders>
            <w:shd w:val="clear" w:color="auto" w:fill="auto"/>
            <w:vAlign w:val="bottom"/>
            <w:hideMark/>
          </w:tcPr>
          <w:p w14:paraId="7A3BF59F" w14:textId="77777777" w:rsidR="00BC063D" w:rsidRPr="00766369" w:rsidRDefault="00BC063D" w:rsidP="004A6EFA">
            <w:pPr>
              <w:rPr>
                <w:rFonts w:ascii="Calibri" w:hAnsi="Calibri"/>
                <w:color w:val="000000"/>
              </w:rPr>
            </w:pPr>
            <w:r w:rsidRPr="00766369">
              <w:rPr>
                <w:rFonts w:ascii="Calibri" w:hAnsi="Calibri"/>
                <w:color w:val="000000"/>
              </w:rPr>
              <w:t> </w:t>
            </w:r>
          </w:p>
        </w:tc>
        <w:tc>
          <w:tcPr>
            <w:tcW w:w="1660" w:type="dxa"/>
            <w:tcBorders>
              <w:top w:val="nil"/>
              <w:left w:val="nil"/>
              <w:bottom w:val="nil"/>
              <w:right w:val="nil"/>
            </w:tcBorders>
            <w:shd w:val="clear" w:color="auto" w:fill="auto"/>
            <w:vAlign w:val="bottom"/>
            <w:hideMark/>
          </w:tcPr>
          <w:p w14:paraId="694ACA3F" w14:textId="77777777" w:rsidR="00BC063D" w:rsidRPr="00766369" w:rsidRDefault="00BC063D" w:rsidP="004A6EFA">
            <w:pPr>
              <w:rPr>
                <w:rFonts w:ascii="Calibri" w:hAnsi="Calibri"/>
                <w:color w:val="000000"/>
              </w:rPr>
            </w:pPr>
            <w:r w:rsidRPr="00766369">
              <w:rPr>
                <w:rFonts w:ascii="Calibri" w:hAnsi="Calibri"/>
                <w:color w:val="000000"/>
              </w:rPr>
              <w:t> </w:t>
            </w:r>
          </w:p>
        </w:tc>
        <w:tc>
          <w:tcPr>
            <w:tcW w:w="4507" w:type="dxa"/>
            <w:gridSpan w:val="4"/>
            <w:tcBorders>
              <w:top w:val="nil"/>
              <w:left w:val="single" w:sz="4" w:space="0" w:color="000000"/>
              <w:bottom w:val="nil"/>
              <w:right w:val="single" w:sz="4" w:space="0" w:color="000000"/>
            </w:tcBorders>
            <w:shd w:val="clear" w:color="auto" w:fill="auto"/>
            <w:vAlign w:val="bottom"/>
            <w:hideMark/>
          </w:tcPr>
          <w:p w14:paraId="753DCBE5" w14:textId="77777777" w:rsidR="00BC063D" w:rsidRPr="00766369" w:rsidRDefault="00BC063D" w:rsidP="004A6EFA">
            <w:pPr>
              <w:rPr>
                <w:rFonts w:ascii="Calibri" w:hAnsi="Calibri"/>
                <w:color w:val="000000"/>
              </w:rPr>
            </w:pPr>
            <w:r w:rsidRPr="00766369">
              <w:rPr>
                <w:rFonts w:ascii="Calibri" w:hAnsi="Calibri"/>
                <w:color w:val="000000"/>
              </w:rPr>
              <w:t> </w:t>
            </w:r>
          </w:p>
        </w:tc>
        <w:tc>
          <w:tcPr>
            <w:tcW w:w="202" w:type="dxa"/>
            <w:tcBorders>
              <w:top w:val="nil"/>
              <w:left w:val="nil"/>
              <w:bottom w:val="nil"/>
              <w:right w:val="single" w:sz="4" w:space="0" w:color="000000"/>
            </w:tcBorders>
            <w:shd w:val="clear" w:color="auto" w:fill="auto"/>
            <w:vAlign w:val="bottom"/>
            <w:hideMark/>
          </w:tcPr>
          <w:p w14:paraId="5EC3F771" w14:textId="77777777" w:rsidR="00BC063D" w:rsidRPr="00766369" w:rsidRDefault="00BC063D" w:rsidP="004A6EFA">
            <w:pPr>
              <w:rPr>
                <w:rFonts w:ascii="Calibri" w:hAnsi="Calibri"/>
                <w:color w:val="000000"/>
              </w:rPr>
            </w:pPr>
            <w:r w:rsidRPr="00766369">
              <w:rPr>
                <w:rFonts w:ascii="Calibri" w:hAnsi="Calibri"/>
                <w:color w:val="000000"/>
              </w:rPr>
              <w:t> </w:t>
            </w:r>
          </w:p>
        </w:tc>
        <w:tc>
          <w:tcPr>
            <w:tcW w:w="1060" w:type="dxa"/>
            <w:tcBorders>
              <w:top w:val="nil"/>
              <w:left w:val="nil"/>
              <w:bottom w:val="nil"/>
              <w:right w:val="single" w:sz="4" w:space="0" w:color="000000"/>
            </w:tcBorders>
            <w:shd w:val="clear" w:color="auto" w:fill="auto"/>
            <w:vAlign w:val="bottom"/>
            <w:hideMark/>
          </w:tcPr>
          <w:p w14:paraId="1EF88F95" w14:textId="77777777" w:rsidR="00BC063D" w:rsidRPr="00766369" w:rsidRDefault="00BC063D" w:rsidP="004A6EFA">
            <w:pPr>
              <w:rPr>
                <w:rFonts w:ascii="Calibri" w:hAnsi="Calibri"/>
                <w:color w:val="000000"/>
              </w:rPr>
            </w:pPr>
            <w:r w:rsidRPr="00766369">
              <w:rPr>
                <w:rFonts w:ascii="Calibri" w:hAnsi="Calibri"/>
                <w:color w:val="000000"/>
              </w:rPr>
              <w:t> </w:t>
            </w:r>
          </w:p>
        </w:tc>
        <w:tc>
          <w:tcPr>
            <w:tcW w:w="1718" w:type="dxa"/>
            <w:tcBorders>
              <w:top w:val="nil"/>
              <w:left w:val="nil"/>
              <w:bottom w:val="nil"/>
              <w:right w:val="single" w:sz="8" w:space="0" w:color="000000"/>
            </w:tcBorders>
            <w:shd w:val="clear" w:color="auto" w:fill="auto"/>
            <w:vAlign w:val="bottom"/>
            <w:hideMark/>
          </w:tcPr>
          <w:p w14:paraId="40A8FF53" w14:textId="77777777" w:rsidR="00BC063D" w:rsidRPr="00766369" w:rsidRDefault="00BC063D" w:rsidP="004A6EFA">
            <w:pPr>
              <w:rPr>
                <w:rFonts w:ascii="Calibri" w:hAnsi="Calibri"/>
                <w:color w:val="000000"/>
              </w:rPr>
            </w:pPr>
            <w:r w:rsidRPr="00766369">
              <w:rPr>
                <w:rFonts w:ascii="Calibri" w:hAnsi="Calibri"/>
                <w:color w:val="000000"/>
              </w:rPr>
              <w:t> </w:t>
            </w:r>
          </w:p>
        </w:tc>
      </w:tr>
      <w:tr w:rsidR="00BC063D" w:rsidRPr="00766369" w14:paraId="36DA2501" w14:textId="77777777" w:rsidTr="004A6EFA">
        <w:trPr>
          <w:trHeight w:val="330"/>
        </w:trPr>
        <w:tc>
          <w:tcPr>
            <w:tcW w:w="7166" w:type="dxa"/>
            <w:gridSpan w:val="6"/>
            <w:tcBorders>
              <w:top w:val="double" w:sz="6" w:space="0" w:color="000000"/>
              <w:left w:val="single" w:sz="8" w:space="0" w:color="000000"/>
              <w:bottom w:val="single" w:sz="4" w:space="0" w:color="000000"/>
              <w:right w:val="single" w:sz="4" w:space="0" w:color="000000"/>
            </w:tcBorders>
            <w:shd w:val="clear" w:color="FFFFFF" w:fill="FFFFCC"/>
            <w:vAlign w:val="bottom"/>
            <w:hideMark/>
          </w:tcPr>
          <w:p w14:paraId="7F7ECEAE"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Wykonanie przed okresem rozliczeniowym :</w:t>
            </w:r>
          </w:p>
        </w:tc>
        <w:tc>
          <w:tcPr>
            <w:tcW w:w="202" w:type="dxa"/>
            <w:tcBorders>
              <w:top w:val="double" w:sz="6" w:space="0" w:color="000000"/>
              <w:left w:val="nil"/>
              <w:bottom w:val="single" w:sz="4" w:space="0" w:color="000000"/>
              <w:right w:val="single" w:sz="4" w:space="0" w:color="000000"/>
            </w:tcBorders>
            <w:shd w:val="clear" w:color="FFFFFF" w:fill="FFFFCC"/>
            <w:vAlign w:val="bottom"/>
            <w:hideMark/>
          </w:tcPr>
          <w:p w14:paraId="3ECBF567"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 </w:t>
            </w:r>
          </w:p>
        </w:tc>
        <w:tc>
          <w:tcPr>
            <w:tcW w:w="1060" w:type="dxa"/>
            <w:tcBorders>
              <w:top w:val="double" w:sz="6" w:space="0" w:color="000000"/>
              <w:left w:val="nil"/>
              <w:bottom w:val="single" w:sz="4" w:space="0" w:color="000000"/>
              <w:right w:val="single" w:sz="4" w:space="0" w:color="000000"/>
            </w:tcBorders>
            <w:shd w:val="clear" w:color="FFFFFF" w:fill="FFFFCC"/>
            <w:vAlign w:val="bottom"/>
            <w:hideMark/>
          </w:tcPr>
          <w:p w14:paraId="31924490" w14:textId="77777777" w:rsidR="00BC063D" w:rsidRPr="00766369" w:rsidRDefault="00BC063D" w:rsidP="004A6EFA">
            <w:pPr>
              <w:jc w:val="center"/>
              <w:rPr>
                <w:rFonts w:ascii="Arial Narrow" w:hAnsi="Arial Narrow"/>
                <w:b/>
                <w:bCs/>
              </w:rPr>
            </w:pPr>
            <w:r w:rsidRPr="00766369">
              <w:rPr>
                <w:rFonts w:ascii="Arial Narrow" w:hAnsi="Arial Narrow"/>
                <w:b/>
                <w:bCs/>
              </w:rPr>
              <w:t> </w:t>
            </w:r>
          </w:p>
        </w:tc>
        <w:tc>
          <w:tcPr>
            <w:tcW w:w="1718" w:type="dxa"/>
            <w:tcBorders>
              <w:top w:val="double" w:sz="6" w:space="0" w:color="000000"/>
              <w:left w:val="nil"/>
              <w:bottom w:val="single" w:sz="4" w:space="0" w:color="000000"/>
              <w:right w:val="single" w:sz="8" w:space="0" w:color="000000"/>
            </w:tcBorders>
            <w:shd w:val="clear" w:color="FFFFFF" w:fill="FFFFCC"/>
            <w:vAlign w:val="bottom"/>
            <w:hideMark/>
          </w:tcPr>
          <w:p w14:paraId="535D217A" w14:textId="77777777" w:rsidR="00BC063D" w:rsidRPr="00766369" w:rsidRDefault="00BC063D" w:rsidP="004A6EFA">
            <w:pPr>
              <w:jc w:val="center"/>
              <w:rPr>
                <w:rFonts w:ascii="Arial Narrow" w:hAnsi="Arial Narrow"/>
                <w:b/>
                <w:bCs/>
              </w:rPr>
            </w:pPr>
            <w:r w:rsidRPr="00766369">
              <w:rPr>
                <w:rFonts w:ascii="Arial Narrow" w:hAnsi="Arial Narrow"/>
                <w:b/>
                <w:bCs/>
              </w:rPr>
              <w:t> </w:t>
            </w:r>
          </w:p>
        </w:tc>
      </w:tr>
      <w:tr w:rsidR="00BC063D" w:rsidRPr="00766369" w14:paraId="7A334CBC" w14:textId="77777777" w:rsidTr="004A6EFA">
        <w:trPr>
          <w:trHeight w:val="315"/>
        </w:trPr>
        <w:tc>
          <w:tcPr>
            <w:tcW w:w="7166" w:type="dxa"/>
            <w:gridSpan w:val="6"/>
            <w:tcBorders>
              <w:top w:val="single" w:sz="4" w:space="0" w:color="000000"/>
              <w:left w:val="single" w:sz="8" w:space="0" w:color="000000"/>
              <w:bottom w:val="single" w:sz="4" w:space="0" w:color="000000"/>
              <w:right w:val="single" w:sz="4" w:space="0" w:color="000000"/>
            </w:tcBorders>
            <w:shd w:val="clear" w:color="FFFFFF" w:fill="FFFFCC"/>
            <w:vAlign w:val="bottom"/>
            <w:hideMark/>
          </w:tcPr>
          <w:p w14:paraId="69CA6F7A"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Wykonanie na koniec okresu rozliczeniowego (ogółem od początku robót) :</w:t>
            </w:r>
          </w:p>
        </w:tc>
        <w:tc>
          <w:tcPr>
            <w:tcW w:w="202" w:type="dxa"/>
            <w:tcBorders>
              <w:top w:val="nil"/>
              <w:left w:val="nil"/>
              <w:bottom w:val="single" w:sz="4" w:space="0" w:color="000000"/>
              <w:right w:val="single" w:sz="4" w:space="0" w:color="000000"/>
            </w:tcBorders>
            <w:shd w:val="clear" w:color="FFFFFF" w:fill="FFFFCC"/>
            <w:vAlign w:val="bottom"/>
            <w:hideMark/>
          </w:tcPr>
          <w:p w14:paraId="16238C8A"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 </w:t>
            </w:r>
          </w:p>
        </w:tc>
        <w:tc>
          <w:tcPr>
            <w:tcW w:w="1060" w:type="dxa"/>
            <w:tcBorders>
              <w:top w:val="nil"/>
              <w:left w:val="nil"/>
              <w:bottom w:val="single" w:sz="4" w:space="0" w:color="000000"/>
              <w:right w:val="single" w:sz="4" w:space="0" w:color="000000"/>
            </w:tcBorders>
            <w:shd w:val="clear" w:color="FFFFFF" w:fill="FFFFCC"/>
            <w:vAlign w:val="bottom"/>
            <w:hideMark/>
          </w:tcPr>
          <w:p w14:paraId="6CD34F37" w14:textId="77777777" w:rsidR="00BC063D" w:rsidRPr="00766369" w:rsidRDefault="00BC063D" w:rsidP="004A6EFA">
            <w:pPr>
              <w:jc w:val="center"/>
              <w:rPr>
                <w:rFonts w:ascii="Arial Narrow" w:hAnsi="Arial Narrow"/>
                <w:b/>
                <w:bCs/>
              </w:rPr>
            </w:pPr>
            <w:r w:rsidRPr="00766369">
              <w:rPr>
                <w:rFonts w:ascii="Arial Narrow" w:hAnsi="Arial Narrow"/>
                <w:b/>
                <w:bCs/>
              </w:rPr>
              <w:t> </w:t>
            </w:r>
          </w:p>
        </w:tc>
        <w:tc>
          <w:tcPr>
            <w:tcW w:w="1718" w:type="dxa"/>
            <w:tcBorders>
              <w:top w:val="nil"/>
              <w:left w:val="nil"/>
              <w:bottom w:val="single" w:sz="4" w:space="0" w:color="000000"/>
              <w:right w:val="single" w:sz="8" w:space="0" w:color="000000"/>
            </w:tcBorders>
            <w:shd w:val="clear" w:color="FFFFFF" w:fill="FFFFCC"/>
            <w:vAlign w:val="bottom"/>
            <w:hideMark/>
          </w:tcPr>
          <w:p w14:paraId="0192DCF5" w14:textId="77777777" w:rsidR="00BC063D" w:rsidRPr="00766369" w:rsidRDefault="00BC063D" w:rsidP="004A6EFA">
            <w:pPr>
              <w:jc w:val="center"/>
              <w:rPr>
                <w:rFonts w:ascii="Arial Narrow" w:hAnsi="Arial Narrow"/>
                <w:b/>
                <w:bCs/>
              </w:rPr>
            </w:pPr>
            <w:r w:rsidRPr="00766369">
              <w:rPr>
                <w:rFonts w:ascii="Arial Narrow" w:hAnsi="Arial Narrow"/>
                <w:b/>
                <w:bCs/>
              </w:rPr>
              <w:t> </w:t>
            </w:r>
          </w:p>
        </w:tc>
      </w:tr>
      <w:tr w:rsidR="00BC063D" w:rsidRPr="00766369" w14:paraId="6CF99E43" w14:textId="77777777" w:rsidTr="004A6EFA">
        <w:trPr>
          <w:trHeight w:val="330"/>
        </w:trPr>
        <w:tc>
          <w:tcPr>
            <w:tcW w:w="7166" w:type="dxa"/>
            <w:gridSpan w:val="6"/>
            <w:tcBorders>
              <w:top w:val="single" w:sz="4" w:space="0" w:color="000000"/>
              <w:left w:val="single" w:sz="8" w:space="0" w:color="000000"/>
              <w:bottom w:val="single" w:sz="4" w:space="0" w:color="000000"/>
              <w:right w:val="single" w:sz="4" w:space="0" w:color="000000"/>
            </w:tcBorders>
            <w:shd w:val="clear" w:color="FFFFFF" w:fill="FFFFCC"/>
            <w:vAlign w:val="bottom"/>
            <w:hideMark/>
          </w:tcPr>
          <w:p w14:paraId="1D13CF2C"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Procent wykonania :</w:t>
            </w:r>
          </w:p>
        </w:tc>
        <w:tc>
          <w:tcPr>
            <w:tcW w:w="202" w:type="dxa"/>
            <w:tcBorders>
              <w:top w:val="nil"/>
              <w:left w:val="nil"/>
              <w:bottom w:val="single" w:sz="4" w:space="0" w:color="000000"/>
              <w:right w:val="single" w:sz="4" w:space="0" w:color="000000"/>
            </w:tcBorders>
            <w:shd w:val="clear" w:color="FFFFFF" w:fill="FFFFCC"/>
            <w:vAlign w:val="bottom"/>
            <w:hideMark/>
          </w:tcPr>
          <w:p w14:paraId="1BFF8834" w14:textId="77777777" w:rsidR="00BC063D" w:rsidRPr="00766369" w:rsidRDefault="00BC063D" w:rsidP="004A6EFA">
            <w:pPr>
              <w:jc w:val="right"/>
              <w:rPr>
                <w:rFonts w:ascii="Arial Narrow" w:hAnsi="Arial Narrow"/>
                <w:sz w:val="24"/>
                <w:szCs w:val="24"/>
              </w:rPr>
            </w:pPr>
            <w:r w:rsidRPr="00766369">
              <w:rPr>
                <w:rFonts w:ascii="Arial Narrow" w:hAnsi="Arial Narrow"/>
                <w:sz w:val="24"/>
                <w:szCs w:val="24"/>
              </w:rPr>
              <w:t> </w:t>
            </w:r>
          </w:p>
        </w:tc>
        <w:tc>
          <w:tcPr>
            <w:tcW w:w="1060" w:type="dxa"/>
            <w:tcBorders>
              <w:top w:val="nil"/>
              <w:left w:val="nil"/>
              <w:bottom w:val="single" w:sz="4" w:space="0" w:color="000000"/>
              <w:right w:val="single" w:sz="4" w:space="0" w:color="000000"/>
            </w:tcBorders>
            <w:shd w:val="clear" w:color="FFFFFF" w:fill="FFFFCC"/>
            <w:vAlign w:val="bottom"/>
            <w:hideMark/>
          </w:tcPr>
          <w:p w14:paraId="3518F5BA" w14:textId="77777777" w:rsidR="00BC063D" w:rsidRPr="00766369" w:rsidRDefault="00BC063D" w:rsidP="004A6EFA">
            <w:pPr>
              <w:jc w:val="center"/>
              <w:rPr>
                <w:rFonts w:ascii="Arial Narrow" w:hAnsi="Arial Narrow"/>
                <w:b/>
                <w:bCs/>
                <w:sz w:val="24"/>
                <w:szCs w:val="24"/>
              </w:rPr>
            </w:pPr>
            <w:r w:rsidRPr="00766369">
              <w:rPr>
                <w:rFonts w:ascii="Arial Narrow" w:hAnsi="Arial Narrow"/>
                <w:b/>
                <w:bCs/>
                <w:sz w:val="24"/>
                <w:szCs w:val="24"/>
              </w:rPr>
              <w:t> </w:t>
            </w:r>
          </w:p>
        </w:tc>
        <w:tc>
          <w:tcPr>
            <w:tcW w:w="1718" w:type="dxa"/>
            <w:tcBorders>
              <w:top w:val="nil"/>
              <w:left w:val="nil"/>
              <w:bottom w:val="single" w:sz="4" w:space="0" w:color="000000"/>
              <w:right w:val="single" w:sz="8" w:space="0" w:color="000000"/>
            </w:tcBorders>
            <w:shd w:val="clear" w:color="FFFFFF" w:fill="FFFFCC"/>
            <w:vAlign w:val="bottom"/>
            <w:hideMark/>
          </w:tcPr>
          <w:p w14:paraId="1997BB50" w14:textId="77777777" w:rsidR="00BC063D" w:rsidRPr="00766369" w:rsidRDefault="00BC063D" w:rsidP="004A6EFA">
            <w:pPr>
              <w:jc w:val="center"/>
              <w:rPr>
                <w:rFonts w:ascii="Arial Narrow" w:hAnsi="Arial Narrow"/>
                <w:b/>
                <w:bCs/>
              </w:rPr>
            </w:pPr>
            <w:r w:rsidRPr="00766369">
              <w:rPr>
                <w:rFonts w:ascii="Arial Narrow" w:hAnsi="Arial Narrow"/>
                <w:b/>
                <w:bCs/>
              </w:rPr>
              <w:t> </w:t>
            </w:r>
          </w:p>
        </w:tc>
      </w:tr>
      <w:tr w:rsidR="00BC063D" w:rsidRPr="00766369" w14:paraId="1F8807CF" w14:textId="77777777" w:rsidTr="004A6EFA">
        <w:trPr>
          <w:trHeight w:val="45"/>
        </w:trPr>
        <w:tc>
          <w:tcPr>
            <w:tcW w:w="999" w:type="dxa"/>
            <w:tcBorders>
              <w:top w:val="nil"/>
              <w:left w:val="single" w:sz="8" w:space="0" w:color="000000"/>
              <w:bottom w:val="nil"/>
              <w:right w:val="nil"/>
            </w:tcBorders>
            <w:shd w:val="clear" w:color="auto" w:fill="auto"/>
            <w:vAlign w:val="bottom"/>
            <w:hideMark/>
          </w:tcPr>
          <w:p w14:paraId="3F396501" w14:textId="77777777" w:rsidR="00BC063D" w:rsidRPr="00766369" w:rsidRDefault="00BC063D" w:rsidP="004A6EFA">
            <w:pPr>
              <w:rPr>
                <w:rFonts w:ascii="Arial Narrow" w:hAnsi="Arial Narrow"/>
              </w:rPr>
            </w:pPr>
            <w:r w:rsidRPr="00766369">
              <w:rPr>
                <w:rFonts w:ascii="Arial Narrow" w:hAnsi="Arial Narrow"/>
              </w:rPr>
              <w:t> </w:t>
            </w:r>
          </w:p>
        </w:tc>
        <w:tc>
          <w:tcPr>
            <w:tcW w:w="2998" w:type="dxa"/>
            <w:gridSpan w:val="2"/>
            <w:tcBorders>
              <w:top w:val="nil"/>
              <w:left w:val="nil"/>
              <w:bottom w:val="nil"/>
              <w:right w:val="nil"/>
            </w:tcBorders>
            <w:shd w:val="clear" w:color="auto" w:fill="auto"/>
            <w:vAlign w:val="bottom"/>
            <w:hideMark/>
          </w:tcPr>
          <w:p w14:paraId="17E4AA29" w14:textId="77777777" w:rsidR="00BC063D" w:rsidRPr="00766369" w:rsidRDefault="00BC063D" w:rsidP="004A6EFA">
            <w:pPr>
              <w:jc w:val="center"/>
              <w:rPr>
                <w:rFonts w:ascii="Arial Narrow" w:hAnsi="Arial Narrow"/>
              </w:rPr>
            </w:pPr>
            <w:r w:rsidRPr="00766369">
              <w:rPr>
                <w:rFonts w:ascii="Arial Narrow" w:hAnsi="Arial Narrow"/>
              </w:rPr>
              <w:t>………………………..</w:t>
            </w:r>
          </w:p>
        </w:tc>
        <w:tc>
          <w:tcPr>
            <w:tcW w:w="1139" w:type="dxa"/>
            <w:tcBorders>
              <w:top w:val="nil"/>
              <w:left w:val="nil"/>
              <w:bottom w:val="nil"/>
              <w:right w:val="nil"/>
            </w:tcBorders>
            <w:shd w:val="clear" w:color="auto" w:fill="auto"/>
            <w:vAlign w:val="bottom"/>
            <w:hideMark/>
          </w:tcPr>
          <w:p w14:paraId="3A60B5B8" w14:textId="77777777" w:rsidR="00BC063D" w:rsidRPr="00766369" w:rsidRDefault="00BC063D" w:rsidP="004A6EFA">
            <w:pPr>
              <w:rPr>
                <w:rFonts w:ascii="Arial Narrow" w:hAnsi="Arial Narrow"/>
              </w:rPr>
            </w:pPr>
          </w:p>
        </w:tc>
        <w:tc>
          <w:tcPr>
            <w:tcW w:w="1800" w:type="dxa"/>
            <w:tcBorders>
              <w:top w:val="nil"/>
              <w:left w:val="nil"/>
              <w:bottom w:val="nil"/>
              <w:right w:val="nil"/>
            </w:tcBorders>
            <w:shd w:val="clear" w:color="auto" w:fill="auto"/>
            <w:vAlign w:val="bottom"/>
            <w:hideMark/>
          </w:tcPr>
          <w:p w14:paraId="2B2830FB" w14:textId="77777777" w:rsidR="00BC063D" w:rsidRPr="00766369" w:rsidRDefault="00BC063D" w:rsidP="004A6EFA">
            <w:pPr>
              <w:rPr>
                <w:rFonts w:ascii="Arial Narrow" w:hAnsi="Arial Narrow"/>
              </w:rPr>
            </w:pPr>
            <w:r w:rsidRPr="00766369">
              <w:rPr>
                <w:rFonts w:ascii="Arial Narrow" w:hAnsi="Arial Narrow"/>
              </w:rPr>
              <w:t>…......................r.</w:t>
            </w:r>
          </w:p>
        </w:tc>
        <w:tc>
          <w:tcPr>
            <w:tcW w:w="230" w:type="dxa"/>
            <w:tcBorders>
              <w:top w:val="nil"/>
              <w:left w:val="nil"/>
              <w:bottom w:val="nil"/>
              <w:right w:val="nil"/>
            </w:tcBorders>
            <w:shd w:val="clear" w:color="auto" w:fill="auto"/>
            <w:vAlign w:val="bottom"/>
            <w:hideMark/>
          </w:tcPr>
          <w:p w14:paraId="3FEBDE8E" w14:textId="77777777" w:rsidR="00BC063D" w:rsidRPr="00766369" w:rsidRDefault="00BC063D" w:rsidP="004A6EFA">
            <w:pPr>
              <w:rPr>
                <w:rFonts w:ascii="Arial Narrow" w:hAnsi="Arial Narrow"/>
              </w:rPr>
            </w:pPr>
          </w:p>
        </w:tc>
        <w:tc>
          <w:tcPr>
            <w:tcW w:w="202" w:type="dxa"/>
            <w:tcBorders>
              <w:top w:val="nil"/>
              <w:left w:val="nil"/>
              <w:bottom w:val="nil"/>
              <w:right w:val="nil"/>
            </w:tcBorders>
            <w:shd w:val="clear" w:color="auto" w:fill="auto"/>
            <w:vAlign w:val="bottom"/>
            <w:hideMark/>
          </w:tcPr>
          <w:p w14:paraId="56C5D177" w14:textId="77777777" w:rsidR="00BC063D" w:rsidRPr="00766369" w:rsidRDefault="00BC063D" w:rsidP="004A6EFA">
            <w:pPr>
              <w:rPr>
                <w:rFonts w:ascii="Arial Narrow" w:hAnsi="Arial Narrow"/>
              </w:rPr>
            </w:pPr>
          </w:p>
        </w:tc>
        <w:tc>
          <w:tcPr>
            <w:tcW w:w="2778" w:type="dxa"/>
            <w:gridSpan w:val="2"/>
            <w:tcBorders>
              <w:top w:val="nil"/>
              <w:left w:val="nil"/>
              <w:bottom w:val="nil"/>
              <w:right w:val="single" w:sz="8" w:space="0" w:color="000000"/>
            </w:tcBorders>
            <w:shd w:val="clear" w:color="auto" w:fill="auto"/>
            <w:vAlign w:val="bottom"/>
            <w:hideMark/>
          </w:tcPr>
          <w:p w14:paraId="7E01A0F0" w14:textId="77777777" w:rsidR="00BC063D" w:rsidRPr="00766369" w:rsidRDefault="00BC063D" w:rsidP="004A6EFA">
            <w:pPr>
              <w:jc w:val="center"/>
              <w:rPr>
                <w:rFonts w:ascii="Arial Narrow" w:hAnsi="Arial Narrow"/>
              </w:rPr>
            </w:pPr>
            <w:r w:rsidRPr="00766369">
              <w:rPr>
                <w:rFonts w:ascii="Arial Narrow" w:hAnsi="Arial Narrow"/>
              </w:rPr>
              <w:t>…………………………….</w:t>
            </w:r>
          </w:p>
        </w:tc>
      </w:tr>
      <w:tr w:rsidR="00BC063D" w:rsidRPr="00766369" w14:paraId="23AA34E9" w14:textId="77777777" w:rsidTr="004A6EFA">
        <w:trPr>
          <w:trHeight w:val="80"/>
        </w:trPr>
        <w:tc>
          <w:tcPr>
            <w:tcW w:w="999" w:type="dxa"/>
            <w:tcBorders>
              <w:top w:val="nil"/>
              <w:left w:val="single" w:sz="8" w:space="0" w:color="000000"/>
              <w:bottom w:val="single" w:sz="8" w:space="0" w:color="000000"/>
              <w:right w:val="nil"/>
            </w:tcBorders>
            <w:shd w:val="clear" w:color="auto" w:fill="auto"/>
            <w:vAlign w:val="bottom"/>
            <w:hideMark/>
          </w:tcPr>
          <w:p w14:paraId="40A043FA" w14:textId="77777777" w:rsidR="00BC063D" w:rsidRPr="00766369" w:rsidRDefault="00BC063D" w:rsidP="004A6EFA">
            <w:pPr>
              <w:rPr>
                <w:rFonts w:ascii="Arial Narrow" w:hAnsi="Arial Narrow"/>
              </w:rPr>
            </w:pPr>
            <w:r w:rsidRPr="00766369">
              <w:rPr>
                <w:rFonts w:ascii="Arial Narrow" w:hAnsi="Arial Narrow"/>
              </w:rPr>
              <w:t> </w:t>
            </w:r>
          </w:p>
        </w:tc>
        <w:tc>
          <w:tcPr>
            <w:tcW w:w="2998" w:type="dxa"/>
            <w:gridSpan w:val="2"/>
            <w:tcBorders>
              <w:top w:val="nil"/>
              <w:left w:val="nil"/>
              <w:bottom w:val="single" w:sz="8" w:space="0" w:color="000000"/>
              <w:right w:val="nil"/>
            </w:tcBorders>
            <w:shd w:val="clear" w:color="auto" w:fill="auto"/>
            <w:hideMark/>
          </w:tcPr>
          <w:p w14:paraId="5F5C9500" w14:textId="77777777" w:rsidR="00BC063D" w:rsidRPr="00766369" w:rsidRDefault="00BC063D" w:rsidP="004A6EFA">
            <w:pPr>
              <w:jc w:val="center"/>
              <w:rPr>
                <w:rFonts w:ascii="Arial Narrow" w:hAnsi="Arial Narrow"/>
                <w:b/>
                <w:bCs/>
              </w:rPr>
            </w:pPr>
            <w:r w:rsidRPr="00766369">
              <w:rPr>
                <w:rFonts w:ascii="Arial Narrow" w:hAnsi="Arial Narrow"/>
                <w:b/>
                <w:bCs/>
              </w:rPr>
              <w:t>Wykonawca</w:t>
            </w:r>
          </w:p>
        </w:tc>
        <w:tc>
          <w:tcPr>
            <w:tcW w:w="1139" w:type="dxa"/>
            <w:tcBorders>
              <w:top w:val="nil"/>
              <w:left w:val="nil"/>
              <w:bottom w:val="single" w:sz="8" w:space="0" w:color="000000"/>
              <w:right w:val="nil"/>
            </w:tcBorders>
            <w:shd w:val="clear" w:color="auto" w:fill="auto"/>
            <w:vAlign w:val="bottom"/>
            <w:hideMark/>
          </w:tcPr>
          <w:p w14:paraId="7DCD1044" w14:textId="77777777" w:rsidR="00BC063D" w:rsidRPr="00766369" w:rsidRDefault="00BC063D" w:rsidP="004A6EFA">
            <w:pPr>
              <w:jc w:val="center"/>
              <w:rPr>
                <w:rFonts w:ascii="Arial Narrow" w:hAnsi="Arial Narrow"/>
                <w:b/>
                <w:bCs/>
              </w:rPr>
            </w:pPr>
            <w:r w:rsidRPr="00766369">
              <w:rPr>
                <w:rFonts w:ascii="Arial Narrow" w:hAnsi="Arial Narrow"/>
                <w:b/>
                <w:bCs/>
              </w:rPr>
              <w:t> </w:t>
            </w:r>
          </w:p>
        </w:tc>
        <w:tc>
          <w:tcPr>
            <w:tcW w:w="2030" w:type="dxa"/>
            <w:gridSpan w:val="2"/>
            <w:tcBorders>
              <w:top w:val="nil"/>
              <w:left w:val="nil"/>
              <w:bottom w:val="single" w:sz="8" w:space="0" w:color="000000"/>
              <w:right w:val="nil"/>
            </w:tcBorders>
            <w:shd w:val="clear" w:color="auto" w:fill="auto"/>
            <w:hideMark/>
          </w:tcPr>
          <w:p w14:paraId="3EF5F6CA" w14:textId="77777777" w:rsidR="00BC063D" w:rsidRPr="00766369" w:rsidRDefault="00BC063D" w:rsidP="004A6EFA">
            <w:pPr>
              <w:jc w:val="center"/>
              <w:rPr>
                <w:rFonts w:ascii="Arial Narrow" w:hAnsi="Arial Narrow"/>
                <w:b/>
                <w:bCs/>
                <w:sz w:val="24"/>
                <w:szCs w:val="24"/>
              </w:rPr>
            </w:pPr>
            <w:r w:rsidRPr="00766369">
              <w:rPr>
                <w:rFonts w:ascii="Arial Narrow" w:hAnsi="Arial Narrow"/>
                <w:b/>
                <w:bCs/>
                <w:sz w:val="24"/>
                <w:szCs w:val="24"/>
              </w:rPr>
              <w:t xml:space="preserve">Data: </w:t>
            </w:r>
          </w:p>
        </w:tc>
        <w:tc>
          <w:tcPr>
            <w:tcW w:w="202" w:type="dxa"/>
            <w:tcBorders>
              <w:top w:val="nil"/>
              <w:left w:val="nil"/>
              <w:bottom w:val="single" w:sz="8" w:space="0" w:color="000000"/>
              <w:right w:val="nil"/>
            </w:tcBorders>
            <w:shd w:val="clear" w:color="auto" w:fill="auto"/>
            <w:hideMark/>
          </w:tcPr>
          <w:p w14:paraId="7D098769" w14:textId="77777777" w:rsidR="00BC063D" w:rsidRPr="00766369" w:rsidRDefault="00BC063D" w:rsidP="004A6EFA">
            <w:pPr>
              <w:rPr>
                <w:rFonts w:ascii="Arial Narrow" w:hAnsi="Arial Narrow"/>
                <w:b/>
                <w:bCs/>
                <w:sz w:val="24"/>
                <w:szCs w:val="24"/>
              </w:rPr>
            </w:pPr>
            <w:r w:rsidRPr="00766369">
              <w:rPr>
                <w:rFonts w:ascii="Arial Narrow" w:hAnsi="Arial Narrow"/>
                <w:b/>
                <w:bCs/>
                <w:sz w:val="24"/>
                <w:szCs w:val="24"/>
              </w:rPr>
              <w:t> </w:t>
            </w:r>
          </w:p>
        </w:tc>
        <w:tc>
          <w:tcPr>
            <w:tcW w:w="2778" w:type="dxa"/>
            <w:gridSpan w:val="2"/>
            <w:tcBorders>
              <w:top w:val="nil"/>
              <w:left w:val="nil"/>
              <w:bottom w:val="single" w:sz="8" w:space="0" w:color="000000"/>
              <w:right w:val="single" w:sz="8" w:space="0" w:color="000000"/>
            </w:tcBorders>
            <w:shd w:val="clear" w:color="auto" w:fill="auto"/>
            <w:hideMark/>
          </w:tcPr>
          <w:p w14:paraId="719CB3CA" w14:textId="77777777" w:rsidR="00BC063D" w:rsidRPr="00766369" w:rsidRDefault="00BC063D" w:rsidP="004A6EFA">
            <w:pPr>
              <w:jc w:val="center"/>
              <w:rPr>
                <w:rFonts w:ascii="Arial Narrow" w:hAnsi="Arial Narrow"/>
                <w:b/>
                <w:bCs/>
              </w:rPr>
            </w:pPr>
            <w:r w:rsidRPr="00766369">
              <w:rPr>
                <w:rFonts w:ascii="Arial Narrow" w:hAnsi="Arial Narrow"/>
                <w:b/>
                <w:bCs/>
              </w:rPr>
              <w:t>Inspektor Nadzoru</w:t>
            </w:r>
          </w:p>
        </w:tc>
      </w:tr>
    </w:tbl>
    <w:p w14:paraId="7EFFF232" w14:textId="77777777" w:rsidR="00A62596" w:rsidRDefault="00A62596" w:rsidP="00955A27">
      <w:pPr>
        <w:spacing w:after="120" w:line="36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3BFB612D" w14:textId="77777777" w:rsidR="00955A27" w:rsidRPr="001667DB" w:rsidRDefault="00707056" w:rsidP="00955A27">
      <w:pPr>
        <w:spacing w:after="120" w:line="360" w:lineRule="auto"/>
        <w:rPr>
          <w:rFonts w:ascii="Times New Roman" w:hAnsi="Times New Roman" w:cs="Times New Roman"/>
          <w:color w:val="000000" w:themeColor="text1"/>
        </w:rPr>
      </w:pPr>
      <w:r>
        <w:rPr>
          <w:rFonts w:ascii="Times New Roman" w:hAnsi="Times New Roman" w:cs="Times New Roman"/>
          <w:b/>
          <w:color w:val="000000" w:themeColor="text1"/>
        </w:rPr>
        <w:lastRenderedPageBreak/>
        <w:t>D.01.01.01</w:t>
      </w:r>
      <w:r w:rsidR="00955A27" w:rsidRPr="001667DB">
        <w:rPr>
          <w:rFonts w:ascii="Times New Roman" w:hAnsi="Times New Roman" w:cs="Times New Roman"/>
          <w:color w:val="000000" w:themeColor="text1"/>
        </w:rPr>
        <w:tab/>
      </w:r>
      <w:r w:rsidR="00955A27" w:rsidRPr="001667DB">
        <w:rPr>
          <w:rFonts w:ascii="Times New Roman" w:hAnsi="Times New Roman" w:cs="Times New Roman"/>
          <w:b/>
          <w:color w:val="000000" w:themeColor="text1"/>
        </w:rPr>
        <w:t xml:space="preserve">ODTWORZENIE  TRASY  I  PUNKTÓW </w:t>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t xml:space="preserve">WYSOKOŚCIOWYCH  ORAZ  SPORZĄDZENIE </w:t>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r>
      <w:r w:rsidR="00955A27" w:rsidRPr="001667DB">
        <w:rPr>
          <w:rFonts w:ascii="Times New Roman" w:hAnsi="Times New Roman" w:cs="Times New Roman"/>
          <w:b/>
          <w:color w:val="000000" w:themeColor="text1"/>
        </w:rPr>
        <w:tab/>
        <w:t>INWENTARYZACJI  POWYKONAWCZEJ  DROGI</w:t>
      </w:r>
    </w:p>
    <w:p w14:paraId="35CBBC50" w14:textId="77777777" w:rsidR="00955A27" w:rsidRPr="001667DB" w:rsidRDefault="00955A27" w:rsidP="00904E6C">
      <w:pPr>
        <w:pStyle w:val="Nagwek1"/>
        <w:numPr>
          <w:ilvl w:val="0"/>
          <w:numId w:val="352"/>
        </w:numPr>
        <w:tabs>
          <w:tab w:val="clear" w:pos="-1725"/>
          <w:tab w:val="clear" w:pos="-1440"/>
          <w:tab w:val="clear" w:pos="-1005"/>
          <w:tab w:val="clear" w:pos="-720"/>
          <w:tab w:val="clear" w:pos="-285"/>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WSTĘP</w:t>
      </w:r>
      <w:bookmarkEnd w:id="86"/>
      <w:bookmarkEnd w:id="87"/>
      <w:bookmarkEnd w:id="88"/>
      <w:bookmarkEnd w:id="89"/>
    </w:p>
    <w:p w14:paraId="64040F0B" w14:textId="77777777" w:rsidR="00955A27" w:rsidRPr="001667DB" w:rsidRDefault="00955A27" w:rsidP="00955A27">
      <w:pPr>
        <w:pStyle w:val="Nagwek2"/>
        <w:numPr>
          <w:ilvl w:val="1"/>
          <w:numId w:val="0"/>
        </w:numPr>
        <w:tabs>
          <w:tab w:val="clear" w:pos="435"/>
          <w:tab w:val="clear" w:pos="1155"/>
          <w:tab w:val="num" w:pos="426"/>
          <w:tab w:val="left" w:pos="1134"/>
        </w:tabs>
        <w:spacing w:before="0" w:line="360" w:lineRule="auto"/>
        <w:ind w:left="851" w:hanging="851"/>
        <w:rPr>
          <w:color w:val="000000" w:themeColor="text1"/>
          <w:sz w:val="22"/>
          <w:szCs w:val="22"/>
        </w:rPr>
      </w:pPr>
      <w:bookmarkStart w:id="90" w:name="_Toc407161179"/>
      <w:bookmarkStart w:id="91" w:name="_Toc405615031"/>
      <w:r w:rsidRPr="001667DB">
        <w:rPr>
          <w:color w:val="000000" w:themeColor="text1"/>
          <w:sz w:val="22"/>
          <w:szCs w:val="22"/>
        </w:rPr>
        <w:t>1.1 Przedmiot ST</w:t>
      </w:r>
      <w:bookmarkEnd w:id="90"/>
      <w:bookmarkEnd w:id="91"/>
    </w:p>
    <w:p w14:paraId="0AC20BDD" w14:textId="77777777" w:rsidR="00FD3B41" w:rsidRPr="00FD3B41"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Przedmiotem niniejszej specyfikacji technicznej (ST) są </w:t>
      </w:r>
      <w:r w:rsidR="00B36A70">
        <w:rPr>
          <w:rFonts w:ascii="Times New Roman" w:hAnsi="Times New Roman" w:cs="Times New Roman"/>
          <w:color w:val="000000" w:themeColor="text1"/>
        </w:rPr>
        <w:t>wymagania dotyczące wykonania i </w:t>
      </w:r>
      <w:r w:rsidRPr="001667DB">
        <w:rPr>
          <w:rFonts w:ascii="Times New Roman" w:hAnsi="Times New Roman" w:cs="Times New Roman"/>
          <w:color w:val="000000" w:themeColor="text1"/>
        </w:rPr>
        <w:t xml:space="preserve">odbioru robót związanych z odtworzeniem trasy drogowej i jej punktów wysokościowych oraz sporządzeniem inwentaryzacji powykonawczej wybudowanej drogi </w:t>
      </w:r>
      <w:bookmarkStart w:id="92" w:name="_Toc407161180"/>
      <w:bookmarkStart w:id="93" w:name="_Toc405615032"/>
      <w:r w:rsidR="00FD3B41">
        <w:rPr>
          <w:rFonts w:ascii="Times New Roman" w:hAnsi="Times New Roman" w:cs="Times New Roman"/>
          <w:color w:val="000000" w:themeColor="text1"/>
        </w:rPr>
        <w:t xml:space="preserve">w związku z </w:t>
      </w:r>
      <w:r w:rsidR="00FD3B41" w:rsidRPr="00FD3B41">
        <w:rPr>
          <w:rFonts w:ascii="Times New Roman" w:hAnsi="Times New Roman" w:cs="Times New Roman"/>
          <w:b/>
          <w:color w:val="000000" w:themeColor="text1"/>
        </w:rPr>
        <w:t>„Rozbudowa drogi wojewódzkiej nr 461 w m. Dąbrówka Łubniańska i Łubniany” – Etap I ( km od 9+741,88 do 10+371,13)</w:t>
      </w:r>
    </w:p>
    <w:p w14:paraId="514DE238"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t>1.2. Zakres stosowania ST</w:t>
      </w:r>
      <w:bookmarkEnd w:id="92"/>
      <w:bookmarkEnd w:id="93"/>
    </w:p>
    <w:p w14:paraId="33EC5C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ST jest stosowana jako Dokument Przetargowy i Kontraktowy przy zleceniu i realizacji robót wymienionych w p. 1.1.</w:t>
      </w:r>
    </w:p>
    <w:p w14:paraId="0DA0CD82" w14:textId="77777777" w:rsidR="00955A27" w:rsidRPr="001667DB" w:rsidRDefault="00955A27" w:rsidP="00955A27">
      <w:pPr>
        <w:pStyle w:val="Nagwek2"/>
        <w:spacing w:line="360" w:lineRule="auto"/>
        <w:ind w:left="851" w:hanging="851"/>
        <w:rPr>
          <w:color w:val="000000" w:themeColor="text1"/>
          <w:sz w:val="22"/>
          <w:szCs w:val="22"/>
        </w:rPr>
      </w:pPr>
      <w:bookmarkStart w:id="94" w:name="_Toc407161181"/>
      <w:bookmarkStart w:id="95" w:name="_Toc405615033"/>
      <w:r w:rsidRPr="001667DB">
        <w:rPr>
          <w:color w:val="000000" w:themeColor="text1"/>
          <w:sz w:val="22"/>
          <w:szCs w:val="22"/>
        </w:rPr>
        <w:t>1.3. Zakres robót objętych ST</w:t>
      </w:r>
      <w:bookmarkEnd w:id="94"/>
      <w:bookmarkEnd w:id="95"/>
    </w:p>
    <w:p w14:paraId="6CF8A6A7"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Ustalenia zawarte w niniejszej specyfikacji dotyczą zasad prowadzenia robót związanych z wszystkim czynnościami mającymi na celu odtworzenie w terenie przebiegu trasy drogowej oraz położenia obiektów inżynierskich, a także wykonan</w:t>
      </w:r>
      <w:r w:rsidR="00B36A70">
        <w:rPr>
          <w:rFonts w:ascii="Times New Roman" w:hAnsi="Times New Roman" w:cs="Times New Roman"/>
          <w:color w:val="000000" w:themeColor="text1"/>
        </w:rPr>
        <w:t>ia inwentaryzacji geodezyjnej i </w:t>
      </w:r>
      <w:r w:rsidRPr="001667DB">
        <w:rPr>
          <w:rFonts w:ascii="Times New Roman" w:hAnsi="Times New Roman" w:cs="Times New Roman"/>
          <w:color w:val="000000" w:themeColor="text1"/>
        </w:rPr>
        <w:t>kartograficznej drogi po jej wybudowaniu.</w:t>
      </w:r>
    </w:p>
    <w:p w14:paraId="1A1E37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 zakres robót wchodzą:</w:t>
      </w:r>
    </w:p>
    <w:p w14:paraId="145252BC"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wyznaczenie sytuacyjne i wysokościowe punktów głównych osi trasy i punktów wysokościowych (reperów roboczych dowiązanych do reperów krajowych), z ich </w:t>
      </w:r>
      <w:r w:rsidRPr="001667DB">
        <w:rPr>
          <w:rStyle w:val="spelle"/>
          <w:rFonts w:ascii="Times New Roman" w:hAnsi="Times New Roman" w:cs="Times New Roman"/>
          <w:color w:val="000000" w:themeColor="text1"/>
        </w:rPr>
        <w:t>zastabilizowaniem</w:t>
      </w:r>
      <w:r w:rsidRPr="001667DB">
        <w:rPr>
          <w:rFonts w:ascii="Times New Roman" w:hAnsi="Times New Roman" w:cs="Times New Roman"/>
          <w:color w:val="000000" w:themeColor="text1"/>
        </w:rPr>
        <w:t>,</w:t>
      </w:r>
    </w:p>
    <w:p w14:paraId="353CBF47"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Style w:val="spelle"/>
          <w:rFonts w:ascii="Times New Roman" w:hAnsi="Times New Roman" w:cs="Times New Roman"/>
          <w:color w:val="000000" w:themeColor="text1"/>
        </w:rPr>
        <w:t>zastabilizowanie</w:t>
      </w:r>
      <w:r w:rsidRPr="001667DB">
        <w:rPr>
          <w:rFonts w:ascii="Times New Roman" w:hAnsi="Times New Roman" w:cs="Times New Roman"/>
          <w:color w:val="000000" w:themeColor="text1"/>
        </w:rPr>
        <w:t xml:space="preserve"> punktów w sposób trwały oraz odtwarzania uszkodzonych punktów,</w:t>
      </w:r>
    </w:p>
    <w:p w14:paraId="7682DD7B"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wyznaczenie roboczego </w:t>
      </w:r>
      <w:r w:rsidRPr="001667DB">
        <w:rPr>
          <w:rStyle w:val="spelle"/>
          <w:rFonts w:ascii="Times New Roman" w:hAnsi="Times New Roman" w:cs="Times New Roman"/>
          <w:color w:val="000000" w:themeColor="text1"/>
        </w:rPr>
        <w:t>pikietażu</w:t>
      </w:r>
      <w:r w:rsidRPr="001667DB">
        <w:rPr>
          <w:rFonts w:ascii="Times New Roman" w:hAnsi="Times New Roman" w:cs="Times New Roman"/>
          <w:color w:val="000000" w:themeColor="text1"/>
        </w:rPr>
        <w:t xml:space="preserve"> trasy poza granicą robót,</w:t>
      </w:r>
    </w:p>
    <w:p w14:paraId="1577BDF5"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przeniesienie punktów istniejącej osnowy geodezyjnej poza granicę robót ziemnych,</w:t>
      </w:r>
    </w:p>
    <w:p w14:paraId="2DBF26AA"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wyznaczenie przekrojów poprzecznych,</w:t>
      </w:r>
    </w:p>
    <w:p w14:paraId="193B0640"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wyznaczenie zjazdów i uzgodnienie ich z właścicielami nieruchomości,</w:t>
      </w:r>
    </w:p>
    <w:p w14:paraId="086B8B76"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pomiar geodezyjny i dokumentacja kartograficzna do inwentaryzacji powykonawczej wybudowanej drogi.</w:t>
      </w:r>
    </w:p>
    <w:p w14:paraId="20D1E8EA" w14:textId="77777777" w:rsidR="00955A27" w:rsidRPr="001667DB" w:rsidRDefault="00955A27" w:rsidP="00955A27">
      <w:pPr>
        <w:pStyle w:val="Nagwek2"/>
        <w:spacing w:line="360" w:lineRule="auto"/>
        <w:ind w:left="851" w:hanging="851"/>
        <w:rPr>
          <w:color w:val="000000" w:themeColor="text1"/>
          <w:sz w:val="22"/>
          <w:szCs w:val="22"/>
        </w:rPr>
      </w:pPr>
      <w:bookmarkStart w:id="96" w:name="_Toc434887980"/>
      <w:bookmarkStart w:id="97" w:name="_Toc433675534"/>
      <w:bookmarkStart w:id="98" w:name="_Toc433636043"/>
      <w:bookmarkStart w:id="99" w:name="_Toc428880125"/>
      <w:bookmarkStart w:id="100" w:name="_Toc411231967"/>
      <w:bookmarkStart w:id="101" w:name="_Toc438609818"/>
      <w:r w:rsidRPr="001667DB">
        <w:rPr>
          <w:color w:val="000000" w:themeColor="text1"/>
          <w:sz w:val="22"/>
          <w:szCs w:val="22"/>
        </w:rPr>
        <w:lastRenderedPageBreak/>
        <w:t>1.4. Określenia podstawowe</w:t>
      </w:r>
      <w:bookmarkEnd w:id="96"/>
      <w:bookmarkEnd w:id="97"/>
      <w:bookmarkEnd w:id="98"/>
      <w:bookmarkEnd w:id="99"/>
      <w:bookmarkEnd w:id="100"/>
      <w:bookmarkEnd w:id="101"/>
      <w:r w:rsidRPr="001667DB">
        <w:rPr>
          <w:color w:val="000000" w:themeColor="text1"/>
          <w:sz w:val="22"/>
          <w:szCs w:val="22"/>
        </w:rPr>
        <w:t xml:space="preserve"> </w:t>
      </w:r>
    </w:p>
    <w:p w14:paraId="2FE11194"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1.4.1. Odtworzenie trasy i punktów wysokościowych</w:t>
      </w:r>
      <w:r w:rsidRPr="001667DB">
        <w:rPr>
          <w:color w:val="000000" w:themeColor="text1"/>
          <w:sz w:val="22"/>
          <w:szCs w:val="22"/>
        </w:rPr>
        <w:t xml:space="preserve"> – założenie poziomej i wysokościowej geodezyjnej osnowy realizacyjnej niezbędnej przy budowie drogi, uwzględniającej ustalenia dokumentacji projektowej.</w:t>
      </w:r>
    </w:p>
    <w:p w14:paraId="686C39EC"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1.4.2. Punkty główne trasy</w:t>
      </w:r>
      <w:r w:rsidRPr="001667DB">
        <w:rPr>
          <w:color w:val="000000" w:themeColor="text1"/>
          <w:sz w:val="22"/>
          <w:szCs w:val="22"/>
        </w:rPr>
        <w:t xml:space="preserve"> – punkty załamania osi trasy, punkty kierunkowe oraz początkowy i końcowy punkt trasy.</w:t>
      </w:r>
    </w:p>
    <w:p w14:paraId="1AF706CD"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1.4.3. Reper</w:t>
      </w:r>
      <w:r w:rsidRPr="001667DB">
        <w:rPr>
          <w:color w:val="000000" w:themeColor="text1"/>
          <w:sz w:val="22"/>
          <w:szCs w:val="22"/>
        </w:rPr>
        <w:t xml:space="preserve"> –  zasadniczy element znaku wysokościowego lub samodzielny znak wysokościowy, którego wysokość jest wyznaczona.</w:t>
      </w:r>
    </w:p>
    <w:p w14:paraId="11CCA7D0"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1.4.4. Znak geodezyjny</w:t>
      </w:r>
      <w:r w:rsidRPr="001667DB">
        <w:rPr>
          <w:color w:val="000000" w:themeColor="text1"/>
          <w:sz w:val="22"/>
          <w:szCs w:val="22"/>
        </w:rPr>
        <w:t xml:space="preserve"> –  znak z trwałego materiału umieszczony w punktach osnowy geodezyjnej.</w:t>
      </w:r>
    </w:p>
    <w:p w14:paraId="734E9905"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1.4.5. Osnowa realizacyjna</w:t>
      </w:r>
      <w:r w:rsidRPr="001667DB">
        <w:rPr>
          <w:color w:val="000000" w:themeColor="text1"/>
          <w:sz w:val="22"/>
          <w:szCs w:val="22"/>
        </w:rPr>
        <w:t xml:space="preserve"> - osnowa geodezyjna (pozioma i wysokościowa), przeznaczona do geodezyjnego wytyczenia elementów projektu w terenie oraz geodezyjnej obsługi budowy.</w:t>
      </w:r>
    </w:p>
    <w:p w14:paraId="29515971"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1.4.6. Inwentaryzacja powykonawcza</w:t>
      </w:r>
      <w:r w:rsidRPr="001667DB">
        <w:rPr>
          <w:color w:val="000000" w:themeColor="text1"/>
          <w:sz w:val="22"/>
          <w:szCs w:val="22"/>
        </w:rPr>
        <w:t xml:space="preserve"> – pomiar powykonawczy wybudowanej drogi i sporządzenie związanej z nim dokumentacji geodezyjnej i kartograficznej.</w:t>
      </w:r>
    </w:p>
    <w:p w14:paraId="30E10B02" w14:textId="77777777" w:rsidR="00955A27" w:rsidRPr="001667DB" w:rsidRDefault="00955A27" w:rsidP="00955A27">
      <w:pPr>
        <w:pStyle w:val="Tekstpodstawowy"/>
        <w:spacing w:after="120"/>
        <w:rPr>
          <w:color w:val="000000" w:themeColor="text1"/>
          <w:sz w:val="22"/>
          <w:szCs w:val="22"/>
        </w:rPr>
      </w:pPr>
      <w:r w:rsidRPr="001667DB">
        <w:rPr>
          <w:b/>
          <w:color w:val="000000" w:themeColor="text1"/>
          <w:sz w:val="22"/>
          <w:szCs w:val="22"/>
        </w:rPr>
        <w:t xml:space="preserve">1.4.7. </w:t>
      </w:r>
      <w:r w:rsidRPr="001667DB">
        <w:rPr>
          <w:color w:val="000000" w:themeColor="text1"/>
          <w:sz w:val="22"/>
          <w:szCs w:val="22"/>
        </w:rPr>
        <w:t xml:space="preserve">Pozostałe określenia podstawowe są zgodne z obowiązującymi, odpowiednimi polskimi normami i z definicjami podanymi w ST D.00.00.00 „Wymagania ogólne” [1] </w:t>
      </w:r>
      <w:r w:rsidRPr="001667DB">
        <w:rPr>
          <w:rStyle w:val="spelle"/>
          <w:color w:val="000000" w:themeColor="text1"/>
          <w:sz w:val="22"/>
          <w:szCs w:val="22"/>
        </w:rPr>
        <w:t>pkt</w:t>
      </w:r>
      <w:r w:rsidRPr="001667DB">
        <w:rPr>
          <w:color w:val="000000" w:themeColor="text1"/>
          <w:sz w:val="22"/>
          <w:szCs w:val="22"/>
        </w:rPr>
        <w:t xml:space="preserve"> 1.4.</w:t>
      </w:r>
    </w:p>
    <w:p w14:paraId="44702617" w14:textId="77777777" w:rsidR="001E718C" w:rsidRPr="001667DB" w:rsidRDefault="001E718C" w:rsidP="00955A27">
      <w:pPr>
        <w:pStyle w:val="Tekstpodstawowy"/>
        <w:spacing w:after="120"/>
        <w:rPr>
          <w:color w:val="000000" w:themeColor="text1"/>
          <w:sz w:val="22"/>
          <w:szCs w:val="22"/>
        </w:rPr>
      </w:pPr>
    </w:p>
    <w:p w14:paraId="1D721C72" w14:textId="77777777" w:rsidR="00955A27" w:rsidRPr="001667DB" w:rsidRDefault="00955A27" w:rsidP="00904E6C">
      <w:pPr>
        <w:pStyle w:val="Nagwek1"/>
        <w:numPr>
          <w:ilvl w:val="0"/>
          <w:numId w:val="352"/>
        </w:numPr>
        <w:tabs>
          <w:tab w:val="clear" w:pos="-1725"/>
          <w:tab w:val="clear" w:pos="-1440"/>
          <w:tab w:val="clear" w:pos="-1005"/>
          <w:tab w:val="clear" w:pos="-720"/>
          <w:tab w:val="clear" w:pos="-285"/>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102" w:name="_Toc438609822"/>
      <w:bookmarkStart w:id="103" w:name="_Toc166309962"/>
      <w:bookmarkStart w:id="104" w:name="_Toc274137171"/>
      <w:bookmarkStart w:id="105" w:name="_Toc434887984"/>
      <w:bookmarkStart w:id="106" w:name="_Toc433675538"/>
      <w:bookmarkStart w:id="107" w:name="_Toc433636047"/>
      <w:bookmarkStart w:id="108" w:name="_Toc428880129"/>
      <w:bookmarkStart w:id="109" w:name="_Toc411231970"/>
      <w:r w:rsidRPr="001667DB">
        <w:rPr>
          <w:color w:val="000000" w:themeColor="text1"/>
          <w:sz w:val="22"/>
          <w:szCs w:val="22"/>
        </w:rPr>
        <w:t>MATERIAŁY</w:t>
      </w:r>
      <w:bookmarkEnd w:id="102"/>
      <w:bookmarkEnd w:id="103"/>
      <w:bookmarkEnd w:id="104"/>
      <w:bookmarkEnd w:id="105"/>
      <w:bookmarkEnd w:id="106"/>
      <w:bookmarkEnd w:id="107"/>
      <w:bookmarkEnd w:id="108"/>
      <w:bookmarkEnd w:id="109"/>
    </w:p>
    <w:p w14:paraId="3DB9FDF5" w14:textId="77777777" w:rsidR="00955A27" w:rsidRPr="001667DB" w:rsidRDefault="00955A27" w:rsidP="00955A27">
      <w:pPr>
        <w:pStyle w:val="Nagwek2"/>
        <w:numPr>
          <w:ilvl w:val="1"/>
          <w:numId w:val="0"/>
        </w:numPr>
        <w:tabs>
          <w:tab w:val="clear" w:pos="435"/>
          <w:tab w:val="clear" w:pos="1155"/>
          <w:tab w:val="num" w:pos="426"/>
          <w:tab w:val="left" w:pos="1134"/>
        </w:tabs>
        <w:spacing w:before="0" w:line="360" w:lineRule="auto"/>
        <w:ind w:left="851" w:hanging="851"/>
        <w:rPr>
          <w:color w:val="000000" w:themeColor="text1"/>
          <w:sz w:val="22"/>
          <w:szCs w:val="22"/>
        </w:rPr>
      </w:pPr>
      <w:r w:rsidRPr="001667DB">
        <w:rPr>
          <w:color w:val="000000" w:themeColor="text1"/>
          <w:sz w:val="22"/>
          <w:szCs w:val="22"/>
        </w:rPr>
        <w:t>2.1 Ogólne wymagania dotyczące materiałów</w:t>
      </w:r>
    </w:p>
    <w:p w14:paraId="235070DB" w14:textId="77777777" w:rsidR="00955A27" w:rsidRPr="001667DB" w:rsidRDefault="00955A27" w:rsidP="00955A27">
      <w:pPr>
        <w:pStyle w:val="Tekstpodstawowy"/>
        <w:spacing w:after="120"/>
        <w:ind w:firstLine="709"/>
        <w:rPr>
          <w:color w:val="000000" w:themeColor="text1"/>
          <w:sz w:val="22"/>
          <w:szCs w:val="22"/>
        </w:rPr>
      </w:pPr>
      <w:r w:rsidRPr="001667DB">
        <w:rPr>
          <w:color w:val="000000" w:themeColor="text1"/>
          <w:sz w:val="22"/>
          <w:szCs w:val="22"/>
        </w:rPr>
        <w:t xml:space="preserve">Ogólne wymagania dotyczące materiałów podano w ST D.00.00.00 „Wymagania ogólne" [1] </w:t>
      </w:r>
      <w:r w:rsidRPr="001667DB">
        <w:rPr>
          <w:rStyle w:val="spelle"/>
          <w:color w:val="000000" w:themeColor="text1"/>
          <w:sz w:val="22"/>
          <w:szCs w:val="22"/>
        </w:rPr>
        <w:t>pkt</w:t>
      </w:r>
      <w:r w:rsidRPr="001667DB">
        <w:rPr>
          <w:color w:val="000000" w:themeColor="text1"/>
          <w:sz w:val="22"/>
          <w:szCs w:val="22"/>
        </w:rPr>
        <w:t xml:space="preserve"> 2</w:t>
      </w:r>
    </w:p>
    <w:p w14:paraId="600634A8" w14:textId="77777777" w:rsidR="00955A27" w:rsidRPr="001667DB" w:rsidRDefault="00955A27" w:rsidP="00955A27">
      <w:pPr>
        <w:pStyle w:val="Nagwek2"/>
        <w:numPr>
          <w:ilvl w:val="1"/>
          <w:numId w:val="0"/>
        </w:numPr>
        <w:tabs>
          <w:tab w:val="clear" w:pos="435"/>
          <w:tab w:val="num" w:pos="142"/>
          <w:tab w:val="left" w:pos="426"/>
        </w:tabs>
        <w:spacing w:before="0" w:line="360" w:lineRule="auto"/>
        <w:ind w:left="142" w:hanging="142"/>
        <w:rPr>
          <w:color w:val="000000" w:themeColor="text1"/>
          <w:sz w:val="22"/>
          <w:szCs w:val="22"/>
        </w:rPr>
      </w:pPr>
      <w:r w:rsidRPr="001667DB">
        <w:rPr>
          <w:color w:val="000000" w:themeColor="text1"/>
          <w:sz w:val="22"/>
          <w:szCs w:val="22"/>
        </w:rPr>
        <w:t xml:space="preserve"> 2.2 Materiały do wykonania robót</w:t>
      </w:r>
    </w:p>
    <w:p w14:paraId="691F0C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utrwalenia punktów głównych trasy należy stosować pale drewniane z gwoździem lub prętem stalowym, słupki betonowe albo rury metalowe długości około </w:t>
      </w:r>
      <w:smartTag w:uri="urn:schemas-microsoft-com:office:smarttags" w:element="metricconverter">
        <w:smartTagPr>
          <w:attr w:name="ProductID" w:val="0,5 m"/>
        </w:smartTagPr>
        <w:r w:rsidRPr="001667DB">
          <w:rPr>
            <w:rFonts w:ascii="Times New Roman" w:hAnsi="Times New Roman" w:cs="Times New Roman"/>
            <w:color w:val="000000" w:themeColor="text1"/>
          </w:rPr>
          <w:t>0,5 m</w:t>
        </w:r>
      </w:smartTag>
      <w:r w:rsidRPr="001667DB">
        <w:rPr>
          <w:rFonts w:ascii="Times New Roman" w:hAnsi="Times New Roman" w:cs="Times New Roman"/>
          <w:color w:val="000000" w:themeColor="text1"/>
        </w:rPr>
        <w:t>.</w:t>
      </w:r>
    </w:p>
    <w:p w14:paraId="6732C47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Pale drewniane umieszczone poza granicą robót ziemnych, w sąsiedztwie punktów załamania trasy powinny mieć średnicę 0,15 ÷ </w:t>
      </w:r>
      <w:smartTag w:uri="urn:schemas-microsoft-com:office:smarttags" w:element="metricconverter">
        <w:smartTagPr>
          <w:attr w:name="ProductID" w:val="0,20 m"/>
        </w:smartTagPr>
        <w:r w:rsidRPr="001667DB">
          <w:rPr>
            <w:rFonts w:ascii="Times New Roman" w:hAnsi="Times New Roman" w:cs="Times New Roman"/>
            <w:color w:val="000000" w:themeColor="text1"/>
          </w:rPr>
          <w:t>0,20 m</w:t>
        </w:r>
      </w:smartTag>
      <w:r w:rsidRPr="001667DB">
        <w:rPr>
          <w:rFonts w:ascii="Times New Roman" w:hAnsi="Times New Roman" w:cs="Times New Roman"/>
          <w:color w:val="000000" w:themeColor="text1"/>
        </w:rPr>
        <w:t xml:space="preserve"> i długość 1,5 ÷ </w:t>
      </w:r>
      <w:smartTag w:uri="urn:schemas-microsoft-com:office:smarttags" w:element="metricconverter">
        <w:smartTagPr>
          <w:attr w:name="ProductID" w:val="1,7 m"/>
        </w:smartTagPr>
        <w:r w:rsidRPr="001667DB">
          <w:rPr>
            <w:rFonts w:ascii="Times New Roman" w:hAnsi="Times New Roman" w:cs="Times New Roman"/>
            <w:color w:val="000000" w:themeColor="text1"/>
          </w:rPr>
          <w:t>1,7 m</w:t>
        </w:r>
      </w:smartTag>
      <w:r w:rsidRPr="001667DB">
        <w:rPr>
          <w:rFonts w:ascii="Times New Roman" w:hAnsi="Times New Roman" w:cs="Times New Roman"/>
          <w:color w:val="000000" w:themeColor="text1"/>
        </w:rPr>
        <w:t>.</w:t>
      </w:r>
    </w:p>
    <w:p w14:paraId="21A8BBC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stabilizacji pozostałych punktów należy stosować paliki drewniane średnicy 0,05 ÷ </w:t>
      </w:r>
      <w:smartTag w:uri="urn:schemas-microsoft-com:office:smarttags" w:element="metricconverter">
        <w:smartTagPr>
          <w:attr w:name="ProductID" w:val="0,08 m"/>
        </w:smartTagPr>
        <w:r w:rsidRPr="001667DB">
          <w:rPr>
            <w:rFonts w:ascii="Times New Roman" w:hAnsi="Times New Roman" w:cs="Times New Roman"/>
            <w:color w:val="000000" w:themeColor="text1"/>
          </w:rPr>
          <w:t>0,08 m</w:t>
        </w:r>
      </w:smartTag>
      <w:r w:rsidRPr="001667DB">
        <w:rPr>
          <w:rFonts w:ascii="Times New Roman" w:hAnsi="Times New Roman" w:cs="Times New Roman"/>
          <w:color w:val="000000" w:themeColor="text1"/>
        </w:rPr>
        <w:t xml:space="preserve"> i długości około </w:t>
      </w:r>
      <w:smartTag w:uri="urn:schemas-microsoft-com:office:smarttags" w:element="metricconverter">
        <w:smartTagPr>
          <w:attr w:name="ProductID" w:val="0,30 m"/>
        </w:smartTagPr>
        <w:r w:rsidRPr="001667DB">
          <w:rPr>
            <w:rFonts w:ascii="Times New Roman" w:hAnsi="Times New Roman" w:cs="Times New Roman"/>
            <w:color w:val="000000" w:themeColor="text1"/>
          </w:rPr>
          <w:t>0,30 m</w:t>
        </w:r>
      </w:smartTag>
      <w:r w:rsidRPr="001667DB">
        <w:rPr>
          <w:rFonts w:ascii="Times New Roman" w:hAnsi="Times New Roman" w:cs="Times New Roman"/>
          <w:color w:val="000000" w:themeColor="text1"/>
        </w:rPr>
        <w:t xml:space="preserve">, a dla punktów utrwalonych w istniejącej nawierzchni bolce stalowe średnicy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 xml:space="preserve"> i długości 0,04 ÷ </w:t>
      </w:r>
      <w:smartTag w:uri="urn:schemas-microsoft-com:office:smarttags" w:element="metricconverter">
        <w:smartTagPr>
          <w:attr w:name="ProductID" w:val="0,05 m"/>
        </w:smartTagPr>
        <w:r w:rsidRPr="001667DB">
          <w:rPr>
            <w:rFonts w:ascii="Times New Roman" w:hAnsi="Times New Roman" w:cs="Times New Roman"/>
            <w:color w:val="000000" w:themeColor="text1"/>
          </w:rPr>
          <w:t>0,05 m</w:t>
        </w:r>
      </w:smartTag>
      <w:r w:rsidRPr="001667DB">
        <w:rPr>
          <w:rFonts w:ascii="Times New Roman" w:hAnsi="Times New Roman" w:cs="Times New Roman"/>
          <w:color w:val="000000" w:themeColor="text1"/>
        </w:rPr>
        <w:t>.</w:t>
      </w:r>
    </w:p>
    <w:p w14:paraId="61380533"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„Świadki” powinny mieć długość około </w:t>
      </w:r>
      <w:smartTag w:uri="urn:schemas-microsoft-com:office:smarttags" w:element="metricconverter">
        <w:smartTagPr>
          <w:attr w:name="ProductID" w:val="0,50 m"/>
        </w:smartTagPr>
        <w:r w:rsidRPr="001667DB">
          <w:rPr>
            <w:rFonts w:ascii="Times New Roman" w:hAnsi="Times New Roman" w:cs="Times New Roman"/>
            <w:color w:val="000000" w:themeColor="text1"/>
          </w:rPr>
          <w:t>0,50 m</w:t>
        </w:r>
      </w:smartTag>
      <w:r w:rsidRPr="001667DB">
        <w:rPr>
          <w:rFonts w:ascii="Times New Roman" w:hAnsi="Times New Roman" w:cs="Times New Roman"/>
          <w:color w:val="000000" w:themeColor="text1"/>
        </w:rPr>
        <w:t xml:space="preserve"> i przekrój prostokątny.</w:t>
      </w:r>
    </w:p>
    <w:p w14:paraId="3D2C5BCE" w14:textId="77777777" w:rsidR="00955A27" w:rsidRPr="001667DB" w:rsidRDefault="00955A27" w:rsidP="00B36A70">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stabilizowania roboczego </w:t>
      </w:r>
      <w:r w:rsidRPr="001667DB">
        <w:rPr>
          <w:rStyle w:val="spelle"/>
          <w:rFonts w:ascii="Times New Roman" w:hAnsi="Times New Roman" w:cs="Times New Roman"/>
          <w:color w:val="000000" w:themeColor="text1"/>
        </w:rPr>
        <w:t>pikietażu</w:t>
      </w:r>
      <w:r w:rsidRPr="001667DB">
        <w:rPr>
          <w:rFonts w:ascii="Times New Roman" w:hAnsi="Times New Roman" w:cs="Times New Roman"/>
          <w:color w:val="000000" w:themeColor="text1"/>
        </w:rPr>
        <w:t xml:space="preserve"> trasy, poza granicą pasa robót, należy stosować pale drewniane średnicy 0,15 ÷ </w:t>
      </w:r>
      <w:smartTag w:uri="urn:schemas-microsoft-com:office:smarttags" w:element="metricconverter">
        <w:smartTagPr>
          <w:attr w:name="ProductID" w:val="0,20 m"/>
        </w:smartTagPr>
        <w:r w:rsidRPr="001667DB">
          <w:rPr>
            <w:rFonts w:ascii="Times New Roman" w:hAnsi="Times New Roman" w:cs="Times New Roman"/>
            <w:color w:val="000000" w:themeColor="text1"/>
          </w:rPr>
          <w:t>0,20 m</w:t>
        </w:r>
      </w:smartTag>
      <w:r w:rsidRPr="001667DB">
        <w:rPr>
          <w:rFonts w:ascii="Times New Roman" w:hAnsi="Times New Roman" w:cs="Times New Roman"/>
          <w:color w:val="000000" w:themeColor="text1"/>
        </w:rPr>
        <w:t xml:space="preserve"> i długości 1,5 ÷ </w:t>
      </w:r>
      <w:smartTag w:uri="urn:schemas-microsoft-com:office:smarttags" w:element="metricconverter">
        <w:smartTagPr>
          <w:attr w:name="ProductID" w:val="1,7 m"/>
        </w:smartTagPr>
        <w:r w:rsidRPr="001667DB">
          <w:rPr>
            <w:rFonts w:ascii="Times New Roman" w:hAnsi="Times New Roman" w:cs="Times New Roman"/>
            <w:color w:val="000000" w:themeColor="text1"/>
          </w:rPr>
          <w:t>1,7 m</w:t>
        </w:r>
      </w:smartTag>
      <w:r w:rsidRPr="001667DB">
        <w:rPr>
          <w:rFonts w:ascii="Times New Roman" w:hAnsi="Times New Roman" w:cs="Times New Roman"/>
          <w:color w:val="000000" w:themeColor="text1"/>
        </w:rPr>
        <w:t xml:space="preserve"> z tablicz</w:t>
      </w:r>
      <w:r w:rsidR="00B36A70">
        <w:rPr>
          <w:rFonts w:ascii="Times New Roman" w:hAnsi="Times New Roman" w:cs="Times New Roman"/>
          <w:color w:val="000000" w:themeColor="text1"/>
        </w:rPr>
        <w:t>kami o wymiarach uzgodnionych z </w:t>
      </w:r>
      <w:r w:rsidRPr="001667DB">
        <w:rPr>
          <w:rFonts w:ascii="Times New Roman" w:hAnsi="Times New Roman" w:cs="Times New Roman"/>
          <w:color w:val="000000" w:themeColor="text1"/>
        </w:rPr>
        <w:t>Inżynierem.</w:t>
      </w:r>
    </w:p>
    <w:p w14:paraId="69CAC55A"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Do utrwalenia punktów osnowy geodezyjnej należy stosować materiały zgodne z instrukcjami technicznymi G-1 [5] i G-2 [6].</w:t>
      </w:r>
    </w:p>
    <w:p w14:paraId="2301ED88" w14:textId="77777777" w:rsidR="00955A27" w:rsidRPr="001667DB" w:rsidRDefault="00955A27" w:rsidP="00904E6C">
      <w:pPr>
        <w:pStyle w:val="Nagwek1"/>
        <w:numPr>
          <w:ilvl w:val="0"/>
          <w:numId w:val="352"/>
        </w:numPr>
        <w:tabs>
          <w:tab w:val="clear" w:pos="-1725"/>
          <w:tab w:val="clear" w:pos="-1440"/>
          <w:tab w:val="clear" w:pos="-1005"/>
          <w:tab w:val="clear" w:pos="-720"/>
          <w:tab w:val="clear" w:pos="-285"/>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340"/>
        <w:jc w:val="both"/>
        <w:rPr>
          <w:color w:val="000000" w:themeColor="text1"/>
          <w:sz w:val="22"/>
          <w:szCs w:val="22"/>
        </w:rPr>
      </w:pPr>
      <w:r w:rsidRPr="001667DB">
        <w:rPr>
          <w:color w:val="000000" w:themeColor="text1"/>
          <w:sz w:val="22"/>
          <w:szCs w:val="22"/>
        </w:rPr>
        <w:t>SPRZĘT</w:t>
      </w:r>
    </w:p>
    <w:p w14:paraId="1C023A19" w14:textId="77777777" w:rsidR="00955A27" w:rsidRPr="001667DB" w:rsidRDefault="00955A27" w:rsidP="00955A27">
      <w:pPr>
        <w:pStyle w:val="Nagwek2"/>
        <w:numPr>
          <w:ilvl w:val="1"/>
          <w:numId w:val="0"/>
        </w:numPr>
        <w:tabs>
          <w:tab w:val="clear" w:pos="435"/>
          <w:tab w:val="clear" w:pos="1155"/>
          <w:tab w:val="num" w:pos="426"/>
          <w:tab w:val="left" w:pos="1134"/>
        </w:tabs>
        <w:spacing w:before="0" w:line="360" w:lineRule="auto"/>
        <w:ind w:left="851" w:hanging="851"/>
        <w:rPr>
          <w:color w:val="000000" w:themeColor="text1"/>
          <w:sz w:val="22"/>
          <w:szCs w:val="22"/>
        </w:rPr>
      </w:pPr>
      <w:r w:rsidRPr="001667DB">
        <w:rPr>
          <w:color w:val="000000" w:themeColor="text1"/>
          <w:sz w:val="22"/>
          <w:szCs w:val="22"/>
        </w:rPr>
        <w:t>3.1  Ogólne wymagania dotyczące sprzętu</w:t>
      </w:r>
    </w:p>
    <w:p w14:paraId="1C7B93B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sprzętu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w:t>
      </w:r>
    </w:p>
    <w:p w14:paraId="4BDDD97F" w14:textId="77777777" w:rsidR="00955A27" w:rsidRPr="001667DB" w:rsidRDefault="00955A27" w:rsidP="00955A27">
      <w:pPr>
        <w:pStyle w:val="Nagwek2"/>
        <w:numPr>
          <w:ilvl w:val="1"/>
          <w:numId w:val="0"/>
        </w:numPr>
        <w:tabs>
          <w:tab w:val="clear" w:pos="435"/>
          <w:tab w:val="num" w:pos="284"/>
          <w:tab w:val="left" w:pos="426"/>
        </w:tabs>
        <w:spacing w:before="0" w:line="360" w:lineRule="auto"/>
        <w:ind w:left="284" w:hanging="284"/>
        <w:rPr>
          <w:color w:val="000000" w:themeColor="text1"/>
          <w:sz w:val="22"/>
          <w:szCs w:val="22"/>
        </w:rPr>
      </w:pPr>
      <w:r w:rsidRPr="001667DB">
        <w:rPr>
          <w:color w:val="000000" w:themeColor="text1"/>
          <w:sz w:val="22"/>
          <w:szCs w:val="22"/>
        </w:rPr>
        <w:t xml:space="preserve"> 3.2  Sprzęt stosowany do wykonania robót</w:t>
      </w:r>
    </w:p>
    <w:p w14:paraId="18EDC21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743AD359"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teodolity lub tachimetry,</w:t>
      </w:r>
    </w:p>
    <w:p w14:paraId="0FCB00FC"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niwelatory,</w:t>
      </w:r>
    </w:p>
    <w:p w14:paraId="79F17C90"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dalmierze,</w:t>
      </w:r>
    </w:p>
    <w:p w14:paraId="4044A948"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tyczki, łaty, taśmy stalowe, szpilki,</w:t>
      </w:r>
    </w:p>
    <w:p w14:paraId="251F0A7F"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ew. odbiorniki GPS, zapewniające uzyskanie wymaganych dokładności pomiarów.</w:t>
      </w:r>
    </w:p>
    <w:p w14:paraId="32E26DB9"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Sprzęt stosowany do odtworzenia trasy drogowej i jej punktów wysokościowych powinien gwarantować uzyskanie wymaganej dokładności pomiaru.</w:t>
      </w:r>
    </w:p>
    <w:p w14:paraId="339825E7" w14:textId="77777777" w:rsidR="00955A27" w:rsidRPr="001667DB" w:rsidRDefault="00955A27" w:rsidP="00904E6C">
      <w:pPr>
        <w:pStyle w:val="Nagwek1"/>
        <w:numPr>
          <w:ilvl w:val="0"/>
          <w:numId w:val="352"/>
        </w:numPr>
        <w:tabs>
          <w:tab w:val="clear" w:pos="-1725"/>
          <w:tab w:val="clear" w:pos="-1440"/>
          <w:tab w:val="clear" w:pos="-1005"/>
          <w:tab w:val="clear" w:pos="-720"/>
          <w:tab w:val="clear" w:pos="-285"/>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340"/>
        <w:jc w:val="both"/>
        <w:rPr>
          <w:color w:val="000000" w:themeColor="text1"/>
          <w:sz w:val="22"/>
          <w:szCs w:val="22"/>
        </w:rPr>
      </w:pPr>
      <w:bookmarkStart w:id="110" w:name="_Toc274137173"/>
      <w:bookmarkStart w:id="111" w:name="_Toc204566519"/>
      <w:bookmarkStart w:id="112" w:name="_Toc199904822"/>
      <w:bookmarkStart w:id="113" w:name="_Toc144694238"/>
      <w:bookmarkStart w:id="114" w:name="_Toc124213276"/>
      <w:bookmarkStart w:id="115" w:name="_Toc113338100"/>
      <w:bookmarkStart w:id="116" w:name="_Toc70745914"/>
      <w:bookmarkStart w:id="117" w:name="_Toc68929546"/>
      <w:bookmarkStart w:id="118" w:name="_Toc68921159"/>
      <w:bookmarkStart w:id="119" w:name="_Toc68660264"/>
      <w:bookmarkStart w:id="120" w:name="_Toc38338023"/>
      <w:bookmarkStart w:id="121" w:name="_Toc33320734"/>
      <w:bookmarkStart w:id="122" w:name="_Toc33319442"/>
      <w:r w:rsidRPr="001667DB">
        <w:rPr>
          <w:color w:val="000000" w:themeColor="text1"/>
          <w:sz w:val="22"/>
          <w:szCs w:val="22"/>
        </w:rPr>
        <w:t>TRANSPORT</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6EF2E4A2" w14:textId="77777777" w:rsidR="00955A27" w:rsidRPr="001667DB" w:rsidRDefault="00955A27" w:rsidP="00955A27">
      <w:pPr>
        <w:pStyle w:val="Nagwek2"/>
        <w:numPr>
          <w:ilvl w:val="1"/>
          <w:numId w:val="0"/>
        </w:numPr>
        <w:tabs>
          <w:tab w:val="clear" w:pos="435"/>
          <w:tab w:val="clear" w:pos="1155"/>
          <w:tab w:val="num" w:pos="426"/>
          <w:tab w:val="left" w:pos="1134"/>
        </w:tabs>
        <w:spacing w:before="0" w:line="360" w:lineRule="auto"/>
        <w:ind w:left="851" w:hanging="851"/>
        <w:rPr>
          <w:color w:val="000000" w:themeColor="text1"/>
          <w:sz w:val="22"/>
          <w:szCs w:val="22"/>
        </w:rPr>
      </w:pPr>
      <w:r w:rsidRPr="001667DB">
        <w:rPr>
          <w:color w:val="000000" w:themeColor="text1"/>
          <w:sz w:val="22"/>
          <w:szCs w:val="22"/>
        </w:rPr>
        <w:t>4.1  Ogólne wymagania dotyczące transportu</w:t>
      </w:r>
    </w:p>
    <w:p w14:paraId="773A134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transportu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4.</w:t>
      </w:r>
      <w:r w:rsidRPr="001667DB">
        <w:rPr>
          <w:rFonts w:ascii="Times New Roman" w:hAnsi="Times New Roman" w:cs="Times New Roman"/>
          <w:color w:val="000000" w:themeColor="text1"/>
        </w:rPr>
        <w:tab/>
      </w:r>
    </w:p>
    <w:p w14:paraId="0A01C749" w14:textId="77777777" w:rsidR="00955A27" w:rsidRPr="001667DB" w:rsidRDefault="00955A27" w:rsidP="00955A27">
      <w:pPr>
        <w:pStyle w:val="Nagwek2"/>
        <w:numPr>
          <w:ilvl w:val="1"/>
          <w:numId w:val="0"/>
        </w:numPr>
        <w:tabs>
          <w:tab w:val="clear" w:pos="435"/>
          <w:tab w:val="clear" w:pos="1155"/>
          <w:tab w:val="num" w:pos="426"/>
          <w:tab w:val="left" w:pos="1134"/>
        </w:tabs>
        <w:spacing w:before="0" w:line="360" w:lineRule="auto"/>
        <w:ind w:left="851" w:hanging="851"/>
        <w:rPr>
          <w:color w:val="000000" w:themeColor="text1"/>
          <w:sz w:val="22"/>
          <w:szCs w:val="22"/>
        </w:rPr>
      </w:pPr>
      <w:r w:rsidRPr="001667DB">
        <w:rPr>
          <w:color w:val="000000" w:themeColor="text1"/>
          <w:sz w:val="22"/>
          <w:szCs w:val="22"/>
        </w:rPr>
        <w:t>4.2 Transport materiałów i sprzętu</w:t>
      </w:r>
    </w:p>
    <w:p w14:paraId="0146FC3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Sprzęt i materiały do prac geodezyjnych można przewozić dowolnym środkiem transportu.</w:t>
      </w:r>
    </w:p>
    <w:p w14:paraId="1B45678D" w14:textId="77777777" w:rsidR="00955A27" w:rsidRPr="001667DB" w:rsidRDefault="00955A27" w:rsidP="00904E6C">
      <w:pPr>
        <w:pStyle w:val="Nagwek1"/>
        <w:numPr>
          <w:ilvl w:val="0"/>
          <w:numId w:val="352"/>
        </w:numPr>
        <w:tabs>
          <w:tab w:val="clear" w:pos="-1725"/>
          <w:tab w:val="clear" w:pos="-1440"/>
          <w:tab w:val="clear" w:pos="-1005"/>
          <w:tab w:val="clear" w:pos="-720"/>
          <w:tab w:val="clear" w:pos="-285"/>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340"/>
        <w:jc w:val="both"/>
        <w:rPr>
          <w:color w:val="000000" w:themeColor="text1"/>
          <w:sz w:val="22"/>
          <w:szCs w:val="22"/>
        </w:rPr>
      </w:pPr>
      <w:r w:rsidRPr="001667DB">
        <w:rPr>
          <w:color w:val="000000" w:themeColor="text1"/>
          <w:sz w:val="22"/>
          <w:szCs w:val="22"/>
        </w:rPr>
        <w:t>WYKONANIE ROBÓT</w:t>
      </w:r>
    </w:p>
    <w:p w14:paraId="50A242D9"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t>5.1. Ogólne zasady wykonania robót</w:t>
      </w:r>
    </w:p>
    <w:p w14:paraId="7BEB4DC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zasady wykonania robót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5.</w:t>
      </w:r>
    </w:p>
    <w:p w14:paraId="0D1352F0"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t>5.2. Zasady wykonywania robót</w:t>
      </w:r>
    </w:p>
    <w:p w14:paraId="396189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wykonywaniu robót obejmują:</w:t>
      </w:r>
    </w:p>
    <w:p w14:paraId="6DD34C40" w14:textId="77777777" w:rsidR="00955A27" w:rsidRPr="001667DB" w:rsidRDefault="00955A27" w:rsidP="00955A27">
      <w:pPr>
        <w:spacing w:after="120" w:line="360" w:lineRule="auto"/>
        <w:ind w:left="283" w:hanging="283"/>
        <w:rPr>
          <w:rFonts w:ascii="Times New Roman" w:hAnsi="Times New Roman" w:cs="Times New Roman"/>
          <w:color w:val="000000" w:themeColor="text1"/>
        </w:rPr>
      </w:pPr>
      <w:r w:rsidRPr="001667DB">
        <w:rPr>
          <w:rFonts w:ascii="Times New Roman" w:hAnsi="Times New Roman" w:cs="Times New Roman"/>
          <w:color w:val="000000" w:themeColor="text1"/>
        </w:rPr>
        <w:t xml:space="preserve">1.    roboty przygotowawcze, </w:t>
      </w:r>
    </w:p>
    <w:p w14:paraId="5E212A9C" w14:textId="77777777" w:rsidR="00955A27" w:rsidRPr="001667DB" w:rsidRDefault="00955A27" w:rsidP="00955A27">
      <w:pPr>
        <w:spacing w:after="120" w:line="360" w:lineRule="auto"/>
        <w:ind w:left="283" w:hanging="283"/>
        <w:rPr>
          <w:rFonts w:ascii="Times New Roman" w:hAnsi="Times New Roman" w:cs="Times New Roman"/>
          <w:color w:val="000000" w:themeColor="text1"/>
        </w:rPr>
      </w:pPr>
      <w:r w:rsidRPr="001667DB">
        <w:rPr>
          <w:rFonts w:ascii="Times New Roman" w:hAnsi="Times New Roman" w:cs="Times New Roman"/>
          <w:color w:val="000000" w:themeColor="text1"/>
        </w:rPr>
        <w:t>2.    odtworzenie trasy i punktów wysokościowych,</w:t>
      </w:r>
    </w:p>
    <w:p w14:paraId="396C8A26" w14:textId="77777777" w:rsidR="00955A27" w:rsidRPr="001667DB" w:rsidRDefault="00955A27" w:rsidP="00955A27">
      <w:pPr>
        <w:spacing w:after="120" w:line="360" w:lineRule="auto"/>
        <w:ind w:left="283" w:hanging="283"/>
        <w:rPr>
          <w:rFonts w:ascii="Times New Roman" w:hAnsi="Times New Roman" w:cs="Times New Roman"/>
          <w:color w:val="000000" w:themeColor="text1"/>
        </w:rPr>
      </w:pPr>
      <w:r w:rsidRPr="001667DB">
        <w:rPr>
          <w:rFonts w:ascii="Times New Roman" w:hAnsi="Times New Roman" w:cs="Times New Roman"/>
          <w:color w:val="000000" w:themeColor="text1"/>
        </w:rPr>
        <w:t>3.    geodezyjna inwentaryzacja powykonawcza.</w:t>
      </w:r>
    </w:p>
    <w:p w14:paraId="13FCA7BA"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lastRenderedPageBreak/>
        <w:t>5.3. Prace przygotowawcze</w:t>
      </w:r>
    </w:p>
    <w:p w14:paraId="5EBB4ED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robót geodezyjnych powinien:</w:t>
      </w:r>
    </w:p>
    <w:p w14:paraId="52CC0710"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zapoznać się z zakresem opracowania,</w:t>
      </w:r>
    </w:p>
    <w:p w14:paraId="7837C7CD"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przeprowadzić z Zamawiającym (Inżynierem) uzgodnienia dotyczące sposobu wykonania prac,</w:t>
      </w:r>
    </w:p>
    <w:p w14:paraId="0EF8FF42"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zapoznać się z dokumentacją projektową,</w:t>
      </w:r>
    </w:p>
    <w:p w14:paraId="01653D27"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zebrać informacje o rodzaju i stanie osnów geodezyjnych na obszarze objętym budową drogi,</w:t>
      </w:r>
    </w:p>
    <w:p w14:paraId="23E7C129"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xml:space="preserve">–      zapoznać się z przewidywanym sposobem realizacji budowy, </w:t>
      </w:r>
    </w:p>
    <w:p w14:paraId="0CE9FA05" w14:textId="77777777" w:rsidR="00955A27" w:rsidRPr="001667DB" w:rsidRDefault="00955A27" w:rsidP="00955A27">
      <w:pPr>
        <w:tabs>
          <w:tab w:val="num"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przeprowadzić wywiad szczegółowy w terenie.</w:t>
      </w:r>
    </w:p>
    <w:p w14:paraId="072952AC"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t>5.4. Odtworzenie trasy drogi i punktów wysokościowych</w:t>
      </w:r>
    </w:p>
    <w:p w14:paraId="575538D5"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5.4.1. </w:t>
      </w:r>
      <w:r w:rsidRPr="001667DB">
        <w:rPr>
          <w:rFonts w:ascii="Times New Roman" w:hAnsi="Times New Roman" w:cs="Times New Roman"/>
          <w:color w:val="000000" w:themeColor="text1"/>
        </w:rPr>
        <w:t>Zasady wykonywania prac pomiarowych</w:t>
      </w:r>
    </w:p>
    <w:p w14:paraId="7B72293E"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Prace pomiarowe powinny być wykonane zgodnie </w:t>
      </w:r>
      <w:r w:rsidR="00B36A70">
        <w:rPr>
          <w:rFonts w:ascii="Times New Roman" w:hAnsi="Times New Roman" w:cs="Times New Roman"/>
          <w:color w:val="000000" w:themeColor="text1"/>
        </w:rPr>
        <w:t>z obowiązującymi Instrukcjami i </w:t>
      </w:r>
      <w:r w:rsidRPr="001667DB">
        <w:rPr>
          <w:rFonts w:ascii="Times New Roman" w:hAnsi="Times New Roman" w:cs="Times New Roman"/>
          <w:color w:val="000000" w:themeColor="text1"/>
        </w:rPr>
        <w:t xml:space="preserve">wytycznymi </w:t>
      </w:r>
      <w:r w:rsidRPr="001667DB">
        <w:rPr>
          <w:rStyle w:val="spelle"/>
          <w:rFonts w:ascii="Times New Roman" w:hAnsi="Times New Roman" w:cs="Times New Roman"/>
          <w:color w:val="000000" w:themeColor="text1"/>
        </w:rPr>
        <w:t>GUGiK</w:t>
      </w:r>
      <w:r w:rsidRPr="001667DB">
        <w:rPr>
          <w:rFonts w:ascii="Times New Roman" w:hAnsi="Times New Roman" w:cs="Times New Roman"/>
          <w:color w:val="000000" w:themeColor="text1"/>
        </w:rPr>
        <w:t xml:space="preserve"> [3÷10].</w:t>
      </w:r>
    </w:p>
    <w:p w14:paraId="65A51A38"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 przejąć od Zamawiającego dane zawierające lokalizację i współrzędne punktów głównych trasy oraz reperów.</w:t>
      </w:r>
    </w:p>
    <w:p w14:paraId="09EBC95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oparciu o materiały dostarczone przez Zamawiającego, Wykonawca powinien przeprowadzić obliczenia i pomiary geodezyjne niezbędne do szczegółowego wytyczenia robót.</w:t>
      </w:r>
    </w:p>
    <w:p w14:paraId="3598A14B"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Prace pomiarowe powinny być wykonane przez osoby posiadające odpowiednie kwalifikacje i uprawnienia.</w:t>
      </w:r>
    </w:p>
    <w:p w14:paraId="3B70900A"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natychmiast poinformować Inżyniera o wszelkich błędach wykrytych w wytyczeniu punktów głównych trasy i (lub) reperów roboczych. Błędy te powinny być usunięte na koszt Zamawiającego.</w:t>
      </w:r>
    </w:p>
    <w:p w14:paraId="6852A8A5"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sprawdzić czy rzędne terenu określone w dokumentacji projektowej są zgodne z rzeczywistymi rzędnymi terenu. Jeżeli Wykonawca stwierdzi, że rzeczywiste rzędne terenu istotnie różnią się od rzędnych określonych w dokumentacji projek</w:t>
      </w:r>
      <w:r w:rsidR="00B36A70">
        <w:rPr>
          <w:rFonts w:ascii="Times New Roman" w:hAnsi="Times New Roman" w:cs="Times New Roman"/>
          <w:color w:val="000000" w:themeColor="text1"/>
        </w:rPr>
        <w:t>towej, to powinien powiadomić o </w:t>
      </w:r>
      <w:r w:rsidRPr="001667DB">
        <w:rPr>
          <w:rFonts w:ascii="Times New Roman" w:hAnsi="Times New Roman" w:cs="Times New Roman"/>
          <w:color w:val="000000" w:themeColor="text1"/>
        </w:rPr>
        <w:t>tym Inżyniera. Ukształtowanie terenu w 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14:paraId="461CBA0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roboty, które bazują na pomiarach Wykonawcy, nie mogą być rozpoczęte przed zaakceptowaniem wyników pomiarów przez Inżyniera.</w:t>
      </w:r>
    </w:p>
    <w:p w14:paraId="571A6514"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14:paraId="2AA4A0BC"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jest odpowiedzialny za zabezpieczanie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14:paraId="08B7186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pozostałe prace pomiarowe konieczne dla prawidłowej realizacji robót należą do obowiązków Wykonawcy.</w:t>
      </w:r>
    </w:p>
    <w:p w14:paraId="7330D60D" w14:textId="77777777" w:rsidR="00955A27" w:rsidRPr="001667DB" w:rsidRDefault="00955A27" w:rsidP="00B36A70">
      <w:pPr>
        <w:pStyle w:val="Nagwek2"/>
        <w:spacing w:line="360" w:lineRule="auto"/>
        <w:ind w:left="709" w:hanging="709"/>
        <w:jc w:val="both"/>
        <w:rPr>
          <w:color w:val="000000" w:themeColor="text1"/>
          <w:sz w:val="22"/>
          <w:szCs w:val="22"/>
        </w:rPr>
      </w:pPr>
      <w:r w:rsidRPr="001667DB">
        <w:rPr>
          <w:color w:val="000000" w:themeColor="text1"/>
          <w:sz w:val="22"/>
          <w:szCs w:val="22"/>
        </w:rPr>
        <w:t xml:space="preserve">5.4.2. </w:t>
      </w:r>
      <w:r w:rsidRPr="001667DB">
        <w:rPr>
          <w:b w:val="0"/>
          <w:bCs/>
          <w:color w:val="000000" w:themeColor="text1"/>
          <w:sz w:val="22"/>
          <w:szCs w:val="22"/>
        </w:rPr>
        <w:t>Sprawdzenie wyznaczenia punktów głównych osi trasy i punktów wysokościowych</w:t>
      </w:r>
    </w:p>
    <w:p w14:paraId="3390A35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Punkty wierzchołkowe trasy i inne punkty główne powinny być </w:t>
      </w:r>
      <w:r w:rsidRPr="001667DB">
        <w:rPr>
          <w:rStyle w:val="spelle"/>
          <w:rFonts w:ascii="Times New Roman" w:hAnsi="Times New Roman" w:cs="Times New Roman"/>
          <w:color w:val="000000" w:themeColor="text1"/>
        </w:rPr>
        <w:t>zastabilizowane</w:t>
      </w:r>
      <w:r w:rsidRPr="001667DB">
        <w:rPr>
          <w:rFonts w:ascii="Times New Roman" w:hAnsi="Times New Roman" w:cs="Times New Roman"/>
          <w:color w:val="000000" w:themeColor="text1"/>
        </w:rPr>
        <w:t xml:space="preserve"> w sposób trwały, przy użyciu pali drewnianych lub słupków betonowych, a także dowiązane do punktów pomocniczych, położonych poza granicą robót ziemnych. Maksymalna odległość pomiędzy punktami głównymi na odcinkach prostych nie może przekraczać </w:t>
      </w:r>
      <w:smartTag w:uri="urn:schemas-microsoft-com:office:smarttags" w:element="metricconverter">
        <w:smartTagPr>
          <w:attr w:name="ProductID" w:val="500 m"/>
        </w:smartTagPr>
        <w:r w:rsidRPr="001667DB">
          <w:rPr>
            <w:rFonts w:ascii="Times New Roman" w:hAnsi="Times New Roman" w:cs="Times New Roman"/>
            <w:color w:val="000000" w:themeColor="text1"/>
          </w:rPr>
          <w:t>500 m</w:t>
        </w:r>
      </w:smartTag>
      <w:r w:rsidRPr="001667DB">
        <w:rPr>
          <w:rFonts w:ascii="Times New Roman" w:hAnsi="Times New Roman" w:cs="Times New Roman"/>
          <w:color w:val="000000" w:themeColor="text1"/>
        </w:rPr>
        <w:t>.</w:t>
      </w:r>
    </w:p>
    <w:p w14:paraId="4ED7FD54"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Wykonawca powinien założyć robocze punkty wysokościowe (repery robocze) wzdłuż osi trasy drogowej, a także przy każdym obiekcie inżynierskim. Maksymalna odległość między reperami roboczymi wzdłuż trasy drogowej w terenie płaskim powinna wynosić </w:t>
      </w:r>
      <w:smartTag w:uri="urn:schemas-microsoft-com:office:smarttags" w:element="metricconverter">
        <w:smartTagPr>
          <w:attr w:name="ProductID" w:val="500 metrów"/>
        </w:smartTagPr>
        <w:r w:rsidRPr="001667DB">
          <w:rPr>
            <w:rFonts w:ascii="Times New Roman" w:hAnsi="Times New Roman" w:cs="Times New Roman"/>
            <w:color w:val="000000" w:themeColor="text1"/>
          </w:rPr>
          <w:t>500 metrów</w:t>
        </w:r>
      </w:smartTag>
      <w:r w:rsidRPr="001667DB">
        <w:rPr>
          <w:rFonts w:ascii="Times New Roman" w:hAnsi="Times New Roman" w:cs="Times New Roman"/>
          <w:color w:val="000000" w:themeColor="text1"/>
        </w:rPr>
        <w:t>, natomiast w terenie falistym i górskim powinna być odpowiednio zmniejszona, zależnie od jego konfiguracji.</w:t>
      </w:r>
    </w:p>
    <w:p w14:paraId="4F1E517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Repery robocze należy założyć poza granicami robót związanych z wykonaniem trasy drogowej i obiektów towarzyszących. Jako repery robocze można wykorzystać punkty stałe na stabilnych, istniejących budowlach wzdłuż trasy drogowej. O ile brak jest  takich punktów, repery robocze należy założyć w postaci słupków betonowych lub grubych kształtowników stalowych, osadzonych w gruncie w sposób wykluczający osiadanie, w sposób zaakceptowany przez Inżyniera.</w:t>
      </w:r>
    </w:p>
    <w:p w14:paraId="5928F74F"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Rzędne reperów roboczych należy określać z taką dokładnością, aby średni błąd niwelacji po wyrównaniu był mniejszy od 4 mm/km, stosując niwelację podwójną w nawiązaniu do reperów państwowych.</w:t>
      </w:r>
    </w:p>
    <w:p w14:paraId="13A475CE"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Repery robocze powinny być wyposażone w dodatkowe oznaczenia, zawierające wyraźne i jednoznaczne określenie nazwy </w:t>
      </w:r>
      <w:r w:rsidRPr="001667DB">
        <w:rPr>
          <w:rStyle w:val="spelle"/>
          <w:rFonts w:ascii="Times New Roman" w:hAnsi="Times New Roman" w:cs="Times New Roman"/>
          <w:color w:val="000000" w:themeColor="text1"/>
        </w:rPr>
        <w:t>repera</w:t>
      </w:r>
      <w:r w:rsidRPr="001667DB">
        <w:rPr>
          <w:rFonts w:ascii="Times New Roman" w:hAnsi="Times New Roman" w:cs="Times New Roman"/>
          <w:color w:val="000000" w:themeColor="text1"/>
        </w:rPr>
        <w:t xml:space="preserve"> i jego rzędnej.</w:t>
      </w:r>
    </w:p>
    <w:p w14:paraId="27482D17"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 xml:space="preserve">5.4.3.  </w:t>
      </w:r>
      <w:r w:rsidRPr="001667DB">
        <w:rPr>
          <w:b w:val="0"/>
          <w:bCs/>
          <w:color w:val="000000" w:themeColor="text1"/>
          <w:sz w:val="22"/>
          <w:szCs w:val="22"/>
        </w:rPr>
        <w:t>Odtworzenie osi trasy</w:t>
      </w:r>
    </w:p>
    <w:p w14:paraId="16F68940"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Tyczenie osi trasy należy wykonać w oparciu o dokumentację projektową oraz inne dane geodezyjne przekazane przez Zamawiającego, przy wykorzystaniu sieci poligonizacji państwowej albo innej osnowy geodezyjnej, określonej w dokumentacji projektowej.</w:t>
      </w:r>
    </w:p>
    <w:p w14:paraId="0AFC1114"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 xml:space="preserve">Oś trasy powinna być wyznaczona w punktach głównych i w punktach pośrednich w odległości zależnej od charakterystyki terenu i ukształtowania trasy, lecz nie rzadziej niż co </w:t>
      </w:r>
      <w:smartTag w:uri="urn:schemas-microsoft-com:office:smarttags" w:element="metricconverter">
        <w:smartTagPr>
          <w:attr w:name="ProductID" w:val="50 metrów"/>
        </w:smartTagPr>
        <w:r w:rsidRPr="001667DB">
          <w:rPr>
            <w:rFonts w:ascii="Times New Roman" w:hAnsi="Times New Roman" w:cs="Times New Roman"/>
            <w:color w:val="000000" w:themeColor="text1"/>
          </w:rPr>
          <w:t>50 metrów</w:t>
        </w:r>
      </w:smartTag>
      <w:r w:rsidRPr="001667DB">
        <w:rPr>
          <w:rFonts w:ascii="Times New Roman" w:hAnsi="Times New Roman" w:cs="Times New Roman"/>
          <w:color w:val="000000" w:themeColor="text1"/>
        </w:rPr>
        <w:t>.</w:t>
      </w:r>
    </w:p>
    <w:p w14:paraId="0327E1EB"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Dopuszczalne odchylenie sytuacyjne wytyczonej osi trasy w stosunku do dokumentacji projektowej nie może być większe niż </w:t>
      </w:r>
      <w:smartTag w:uri="urn:schemas-microsoft-com:office:smarttags" w:element="metricconverter">
        <w:smartTagPr>
          <w:attr w:name="ProductID" w:val="3 cm"/>
        </w:smartTagPr>
        <w:r w:rsidRPr="001667DB">
          <w:rPr>
            <w:rFonts w:ascii="Times New Roman" w:hAnsi="Times New Roman" w:cs="Times New Roman"/>
            <w:color w:val="000000" w:themeColor="text1"/>
          </w:rPr>
          <w:t>3 cm</w:t>
        </w:r>
      </w:smartTag>
      <w:r w:rsidRPr="001667DB">
        <w:rPr>
          <w:rFonts w:ascii="Times New Roman" w:hAnsi="Times New Roman" w:cs="Times New Roman"/>
          <w:color w:val="000000" w:themeColor="text1"/>
        </w:rPr>
        <w:t xml:space="preserve"> dla autostrad i dróg ekspresowych lub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 xml:space="preserve"> dla pozostałych dróg. Rzędne niwelety punktów osi trasy należy wyznaczyć z dokładnością do </w:t>
      </w:r>
      <w:smartTag w:uri="urn:schemas-microsoft-com:office:smarttags" w:element="metricconverter">
        <w:smartTagPr>
          <w:attr w:name="ProductID" w:val="1 cm"/>
        </w:smartTagPr>
        <w:r w:rsidRPr="001667DB">
          <w:rPr>
            <w:rFonts w:ascii="Times New Roman" w:hAnsi="Times New Roman" w:cs="Times New Roman"/>
            <w:color w:val="000000" w:themeColor="text1"/>
          </w:rPr>
          <w:t>1 cm</w:t>
        </w:r>
      </w:smartTag>
      <w:r w:rsidRPr="001667DB">
        <w:rPr>
          <w:rFonts w:ascii="Times New Roman" w:hAnsi="Times New Roman" w:cs="Times New Roman"/>
          <w:color w:val="000000" w:themeColor="text1"/>
        </w:rPr>
        <w:t xml:space="preserve"> w stosunku do rzędnych niwelety określonych w dokumentacji projektowej.</w:t>
      </w:r>
    </w:p>
    <w:p w14:paraId="2C12A9F2"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utrwalenia osi trasy w terenie należy użyć materiałów wymienionych w </w:t>
      </w:r>
      <w:r w:rsidRPr="001667DB">
        <w:rPr>
          <w:rStyle w:val="spelle"/>
          <w:rFonts w:ascii="Times New Roman" w:hAnsi="Times New Roman" w:cs="Times New Roman"/>
          <w:color w:val="000000" w:themeColor="text1"/>
        </w:rPr>
        <w:t>pkcie</w:t>
      </w:r>
      <w:r w:rsidRPr="001667DB">
        <w:rPr>
          <w:rFonts w:ascii="Times New Roman" w:hAnsi="Times New Roman" w:cs="Times New Roman"/>
          <w:color w:val="000000" w:themeColor="text1"/>
        </w:rPr>
        <w:t> 2.2.</w:t>
      </w:r>
    </w:p>
    <w:p w14:paraId="630E7DE2"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Usunięcie pali z osi trasy jest dopuszczalne tylko wówczas, gdy Wykonawca robót zastąpi je odpowiednimi palami po obu stronach osi, umieszczonych poza granicą robót.</w:t>
      </w:r>
    </w:p>
    <w:p w14:paraId="3E003732"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 xml:space="preserve">5.4.4. </w:t>
      </w:r>
      <w:r w:rsidRPr="001667DB">
        <w:rPr>
          <w:b w:val="0"/>
          <w:bCs/>
          <w:color w:val="000000" w:themeColor="text1"/>
          <w:sz w:val="22"/>
          <w:szCs w:val="22"/>
        </w:rPr>
        <w:t>Wyznaczenie przekrojów poprzecznych</w:t>
      </w:r>
    </w:p>
    <w:p w14:paraId="295248D1"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w:t>
      </w:r>
    </w:p>
    <w:p w14:paraId="54C0309F"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wyznaczania krawędzi nasypów i wykopów należy stosować dobrze widoczne paliki lub wiechy. Wiechy należy stosować w przypadku nasypów o wysokości przekraczającej </w:t>
      </w:r>
      <w:smartTag w:uri="urn:schemas-microsoft-com:office:smarttags" w:element="metricconverter">
        <w:smartTagPr>
          <w:attr w:name="ProductID" w:val="1 metr"/>
        </w:smartTagPr>
        <w:r w:rsidRPr="001667DB">
          <w:rPr>
            <w:rFonts w:ascii="Times New Roman" w:hAnsi="Times New Roman" w:cs="Times New Roman"/>
            <w:color w:val="000000" w:themeColor="text1"/>
          </w:rPr>
          <w:t>1 metr</w:t>
        </w:r>
      </w:smartTag>
      <w:r w:rsidRPr="001667DB">
        <w:rPr>
          <w:rFonts w:ascii="Times New Roman" w:hAnsi="Times New Roman" w:cs="Times New Roman"/>
          <w:color w:val="000000" w:themeColor="text1"/>
        </w:rPr>
        <w:t xml:space="preserve"> oraz wykopów głębszych niż </w:t>
      </w:r>
      <w:smartTag w:uri="urn:schemas-microsoft-com:office:smarttags" w:element="metricconverter">
        <w:smartTagPr>
          <w:attr w:name="ProductID" w:val="1 metr"/>
        </w:smartTagPr>
        <w:r w:rsidRPr="001667DB">
          <w:rPr>
            <w:rFonts w:ascii="Times New Roman" w:hAnsi="Times New Roman" w:cs="Times New Roman"/>
            <w:color w:val="000000" w:themeColor="text1"/>
          </w:rPr>
          <w:t>1 metr</w:t>
        </w:r>
      </w:smartTag>
      <w:r w:rsidRPr="001667DB">
        <w:rPr>
          <w:rFonts w:ascii="Times New Roman" w:hAnsi="Times New Roman" w:cs="Times New Roman"/>
          <w:color w:val="000000" w:themeColor="text1"/>
        </w:rPr>
        <w:t>. Odległość między palikami lub wiechami należy dostosować do ukształtowania terenu oraz geometrii trasy drogowej. Odległość ta co najmniej powinna odpowiadać odstępowi kolejnych przekrojów poprzecznych.</w:t>
      </w:r>
    </w:p>
    <w:p w14:paraId="6C163487"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Profilowanie przekrojów poprzecznych musi umożliwia</w:t>
      </w:r>
      <w:r w:rsidR="00B36A70">
        <w:rPr>
          <w:rFonts w:ascii="Times New Roman" w:hAnsi="Times New Roman" w:cs="Times New Roman"/>
          <w:color w:val="000000" w:themeColor="text1"/>
        </w:rPr>
        <w:t>ć wykonanie nasypów i wykopów o </w:t>
      </w:r>
      <w:r w:rsidRPr="001667DB">
        <w:rPr>
          <w:rFonts w:ascii="Times New Roman" w:hAnsi="Times New Roman" w:cs="Times New Roman"/>
          <w:color w:val="000000" w:themeColor="text1"/>
        </w:rPr>
        <w:t>kształcie zgodnym z dokumentacją projektową.</w:t>
      </w:r>
    </w:p>
    <w:p w14:paraId="2AEA070C"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 xml:space="preserve">5.4.5.  </w:t>
      </w:r>
      <w:r w:rsidRPr="001667DB">
        <w:rPr>
          <w:b w:val="0"/>
          <w:bCs/>
          <w:color w:val="000000" w:themeColor="text1"/>
          <w:sz w:val="22"/>
          <w:szCs w:val="22"/>
        </w:rPr>
        <w:t xml:space="preserve">Wyznaczenie położenia obiektów </w:t>
      </w:r>
    </w:p>
    <w:p w14:paraId="6F1D0F54"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Dla każdego z obiektów należy wyznaczyć jego położenie w terenie poprzez:</w:t>
      </w:r>
    </w:p>
    <w:p w14:paraId="48E1FDA7" w14:textId="77777777" w:rsidR="00955A27" w:rsidRPr="001667DB" w:rsidRDefault="00955A27" w:rsidP="00B36A70">
      <w:pPr>
        <w:tabs>
          <w:tab w:val="left" w:pos="0"/>
        </w:tabs>
        <w:spacing w:after="120" w:line="360" w:lineRule="auto"/>
        <w:ind w:left="283"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a)    wytyczenie osi obiektu,</w:t>
      </w:r>
    </w:p>
    <w:p w14:paraId="20CCDE7D" w14:textId="77777777" w:rsidR="00955A27" w:rsidRPr="001667DB" w:rsidRDefault="00955A27" w:rsidP="00B36A70">
      <w:pPr>
        <w:tabs>
          <w:tab w:val="left" w:pos="0"/>
        </w:tabs>
        <w:spacing w:after="120" w:line="360" w:lineRule="auto"/>
        <w:ind w:left="283"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b)    wytyczenie punktów określających usytuowanie (kontur) obiektu.</w:t>
      </w:r>
    </w:p>
    <w:p w14:paraId="6E802DAF"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Położenie obiektu w planie należy określić z dokładnością określoną w  punkcie 5.4.3.</w:t>
      </w:r>
    </w:p>
    <w:p w14:paraId="46658F54"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5.4.6. </w:t>
      </w:r>
      <w:r w:rsidRPr="001667DB">
        <w:rPr>
          <w:rFonts w:ascii="Times New Roman" w:hAnsi="Times New Roman" w:cs="Times New Roman"/>
          <w:color w:val="000000" w:themeColor="text1"/>
        </w:rPr>
        <w:t>Skompletowanie dokumentacji geodezyjnej</w:t>
      </w:r>
    </w:p>
    <w:p w14:paraId="413873FD"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Dokumentację geodezyjną należy skompletować zgodnie z przepisami instrukcji 0-</w:t>
      </w:r>
      <w:r w:rsidR="00B36A70">
        <w:rPr>
          <w:rFonts w:ascii="Times New Roman" w:hAnsi="Times New Roman" w:cs="Times New Roman"/>
          <w:color w:val="000000" w:themeColor="text1"/>
        </w:rPr>
        <w:t>3 [4] z </w:t>
      </w:r>
      <w:r w:rsidRPr="001667DB">
        <w:rPr>
          <w:rFonts w:ascii="Times New Roman" w:hAnsi="Times New Roman" w:cs="Times New Roman"/>
          <w:color w:val="000000" w:themeColor="text1"/>
        </w:rPr>
        <w:t>podziałem na:</w:t>
      </w:r>
    </w:p>
    <w:p w14:paraId="2DC68F06" w14:textId="77777777" w:rsidR="00955A27" w:rsidRPr="001667DB" w:rsidRDefault="00955A27" w:rsidP="00B36A70">
      <w:pPr>
        <w:pStyle w:val="Tekstpodstawowy"/>
        <w:widowControl w:val="0"/>
        <w:spacing w:after="120"/>
        <w:ind w:left="284" w:hanging="284"/>
        <w:rPr>
          <w:color w:val="000000" w:themeColor="text1"/>
          <w:sz w:val="22"/>
          <w:szCs w:val="22"/>
        </w:rPr>
      </w:pPr>
      <w:r w:rsidRPr="001667DB">
        <w:rPr>
          <w:color w:val="000000" w:themeColor="text1"/>
          <w:sz w:val="22"/>
          <w:szCs w:val="22"/>
        </w:rPr>
        <w:t>1)    akta postępowania przeznaczone dla Wykonawcy,</w:t>
      </w:r>
    </w:p>
    <w:p w14:paraId="3569920D" w14:textId="77777777" w:rsidR="00955A27" w:rsidRPr="001667DB" w:rsidRDefault="00955A27" w:rsidP="00B36A70">
      <w:pPr>
        <w:pStyle w:val="Tekstpodstawowy"/>
        <w:widowControl w:val="0"/>
        <w:spacing w:after="120"/>
        <w:ind w:left="284" w:hanging="284"/>
        <w:rPr>
          <w:color w:val="000000" w:themeColor="text1"/>
          <w:sz w:val="22"/>
          <w:szCs w:val="22"/>
        </w:rPr>
      </w:pPr>
      <w:r w:rsidRPr="001667DB">
        <w:rPr>
          <w:color w:val="000000" w:themeColor="text1"/>
          <w:sz w:val="22"/>
          <w:szCs w:val="22"/>
        </w:rPr>
        <w:t>2)    dokumentację techniczną przeznaczoną dla Zamawiającego,</w:t>
      </w:r>
    </w:p>
    <w:p w14:paraId="2E14D165" w14:textId="77777777" w:rsidR="00955A27" w:rsidRPr="001667DB" w:rsidRDefault="00955A27" w:rsidP="00B36A70">
      <w:pPr>
        <w:pStyle w:val="Tekstpodstawowy"/>
        <w:widowControl w:val="0"/>
        <w:spacing w:after="120"/>
        <w:ind w:left="284" w:hanging="284"/>
        <w:rPr>
          <w:color w:val="000000" w:themeColor="text1"/>
          <w:sz w:val="22"/>
          <w:szCs w:val="22"/>
        </w:rPr>
      </w:pPr>
      <w:r w:rsidRPr="001667DB">
        <w:rPr>
          <w:color w:val="000000" w:themeColor="text1"/>
          <w:sz w:val="22"/>
          <w:szCs w:val="22"/>
        </w:rPr>
        <w:lastRenderedPageBreak/>
        <w:t>3)    dokumentację techniczną przeznaczoną dla ośrodka dokumentacji geodezyjnej i kartograficznej.</w:t>
      </w:r>
    </w:p>
    <w:p w14:paraId="6FB1CCE8" w14:textId="77777777" w:rsidR="00955A27" w:rsidRPr="001667DB" w:rsidRDefault="00955A27" w:rsidP="00B36A70">
      <w:pPr>
        <w:pStyle w:val="Tekstpodstawowy"/>
        <w:spacing w:after="120"/>
        <w:ind w:firstLine="709"/>
        <w:rPr>
          <w:color w:val="000000" w:themeColor="text1"/>
          <w:sz w:val="22"/>
          <w:szCs w:val="22"/>
        </w:rPr>
      </w:pPr>
      <w:r w:rsidRPr="001667DB">
        <w:rPr>
          <w:color w:val="000000" w:themeColor="text1"/>
          <w:sz w:val="22"/>
          <w:szCs w:val="22"/>
        </w:rPr>
        <w:t xml:space="preserve">Sposób skompletowania dokumentacji, o której mowa w  </w:t>
      </w:r>
      <w:r w:rsidRPr="001667DB">
        <w:rPr>
          <w:rStyle w:val="spelle"/>
          <w:color w:val="000000" w:themeColor="text1"/>
          <w:sz w:val="22"/>
          <w:szCs w:val="22"/>
        </w:rPr>
        <w:t>ppkcie</w:t>
      </w:r>
      <w:r w:rsidRPr="001667DB">
        <w:rPr>
          <w:color w:val="000000" w:themeColor="text1"/>
          <w:sz w:val="22"/>
          <w:szCs w:val="22"/>
        </w:rPr>
        <w:t xml:space="preserve"> 3 oraz formę dokumentów należy uzgodnić z ośrodkiem dokumentacji. Zamawiający poda w ST, czy dokumentację tę należy okazać Zamawiającemu do wglądu.</w:t>
      </w:r>
    </w:p>
    <w:p w14:paraId="130EC97C"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5.5. Pomiar powykonawczy wybudowanej drogi</w:t>
      </w:r>
    </w:p>
    <w:p w14:paraId="39544E6C"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5.5.1. </w:t>
      </w:r>
      <w:r w:rsidRPr="001667DB">
        <w:rPr>
          <w:rFonts w:ascii="Times New Roman" w:hAnsi="Times New Roman" w:cs="Times New Roman"/>
          <w:color w:val="000000" w:themeColor="text1"/>
        </w:rPr>
        <w:t>Zebranie materiałów i informacji</w:t>
      </w:r>
    </w:p>
    <w:p w14:paraId="72515DCC"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zapoznać się z zakresem opracowania i uzyskać od Zamawiającego instrukcje dotyczące ewentualnych etapów wykonywania pomiarów powykonawczych.</w:t>
      </w:r>
    </w:p>
    <w:p w14:paraId="36884FC6"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Pomiary powykonawcze powinny być poprzedzone uzyskaniem z ośrodków dokumentacji geodezyjnej i kartograficznej informacji o rodzaju, położeniu i stanie punktów osnowy geodezyjnej (poziomej i wysokościowej) oraz o mapie zasadniczej i katastralnej.</w:t>
      </w:r>
    </w:p>
    <w:p w14:paraId="266931BA"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stwierdzenia, że w trakcie realizacji obiektu nie została wykonana bieżąca inwentaryzacja sieci uzbrojenia terenu, należy powiadomić o tym Zamawiającego.</w:t>
      </w:r>
    </w:p>
    <w:p w14:paraId="2CA57B65"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analizie zebranych materiałów i informacji należy ustalić:</w:t>
      </w:r>
    </w:p>
    <w:p w14:paraId="637BAED3"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klasy i dokładności istniejących osnów geodezyjnych oraz możliwości wykorzystania ich do pomiarów powykonawczych,</w:t>
      </w:r>
    </w:p>
    <w:p w14:paraId="1AEECC64"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rodzaje układów współrzędnych i poziomów odniesienia,</w:t>
      </w:r>
    </w:p>
    <w:p w14:paraId="5623D5D8"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zakres i sposób aktualizacji dokumentów bazowych, znajdujący</w:t>
      </w:r>
      <w:r w:rsidR="00B36A70">
        <w:rPr>
          <w:rFonts w:ascii="Times New Roman" w:hAnsi="Times New Roman" w:cs="Times New Roman"/>
          <w:color w:val="000000" w:themeColor="text1"/>
        </w:rPr>
        <w:t>ch się w ośrodku dokumentacji o </w:t>
      </w:r>
      <w:r w:rsidRPr="001667DB">
        <w:rPr>
          <w:rFonts w:ascii="Times New Roman" w:hAnsi="Times New Roman" w:cs="Times New Roman"/>
          <w:color w:val="000000" w:themeColor="text1"/>
        </w:rPr>
        <w:t>wyniku pomiaru powykonawczego.</w:t>
      </w:r>
    </w:p>
    <w:p w14:paraId="37CF9E2E"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5.5.2. </w:t>
      </w:r>
      <w:r w:rsidRPr="001667DB">
        <w:rPr>
          <w:rFonts w:ascii="Times New Roman" w:hAnsi="Times New Roman" w:cs="Times New Roman"/>
          <w:color w:val="000000" w:themeColor="text1"/>
        </w:rPr>
        <w:t>Prace pomiarowe i kameralne</w:t>
      </w:r>
    </w:p>
    <w:p w14:paraId="32F414F7"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pierwszej fazie prac należy wykonać: ogólne rozeznanie w terenie, odszukanie punktów istniejącej osnowy geodezyjnej z ustaleniem stanu technicznego tych punktów oraz aktualizacją opisów topograficznych, zbadanie wizur pomiędzy punktami i ewentualne ich oczyszczenie, wstępne rozeznanie odnośnie konieczności uzupełnienia lub zaprojektowania osnowy poziomej III klasy oraz osnowy pomiarowej.</w:t>
      </w:r>
    </w:p>
    <w:p w14:paraId="58D521CB"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Następnie należy pomierzyć wznowioną lub założoną osnowę, a następnie wykonać pomiary inwentaryzacyjne, zgodnie z instrukcją G-4 [8] </w:t>
      </w:r>
      <w:r w:rsidRPr="001667DB">
        <w:rPr>
          <w:rStyle w:val="spelle"/>
          <w:rFonts w:ascii="Times New Roman" w:hAnsi="Times New Roman" w:cs="Times New Roman"/>
          <w:color w:val="000000" w:themeColor="text1"/>
        </w:rPr>
        <w:t>GUGiK</w:t>
      </w:r>
      <w:r w:rsidRPr="001667DB">
        <w:rPr>
          <w:rFonts w:ascii="Times New Roman" w:hAnsi="Times New Roman" w:cs="Times New Roman"/>
          <w:color w:val="000000" w:themeColor="text1"/>
        </w:rPr>
        <w:t>, mierząc wszystkie elementy treści mapy zasadniczej oraz treść dodatkową obejmującą: granice ustalone według stanu prawnego, kilometraż dróg, znaki drogowe, punkty referencyjne, obiekty mostowe z rzęd</w:t>
      </w:r>
      <w:r w:rsidR="00B36A70">
        <w:rPr>
          <w:rFonts w:ascii="Times New Roman" w:hAnsi="Times New Roman" w:cs="Times New Roman"/>
          <w:color w:val="000000" w:themeColor="text1"/>
        </w:rPr>
        <w:t>nymi wlotu i wylotu, światłem i </w:t>
      </w:r>
      <w:r w:rsidRPr="001667DB">
        <w:rPr>
          <w:rFonts w:ascii="Times New Roman" w:hAnsi="Times New Roman" w:cs="Times New Roman"/>
          <w:color w:val="000000" w:themeColor="text1"/>
        </w:rPr>
        <w:t>skrajnią, wszystkie drzewa w pasie drogowym, zabytki i pomniki p</w:t>
      </w:r>
      <w:r w:rsidR="00B36A70">
        <w:rPr>
          <w:rFonts w:ascii="Times New Roman" w:hAnsi="Times New Roman" w:cs="Times New Roman"/>
          <w:color w:val="000000" w:themeColor="text1"/>
        </w:rPr>
        <w:t>rzyrody, wszystkie ogrodzenia z </w:t>
      </w:r>
      <w:r w:rsidRPr="001667DB">
        <w:rPr>
          <w:rFonts w:ascii="Times New Roman" w:hAnsi="Times New Roman" w:cs="Times New Roman"/>
          <w:color w:val="000000" w:themeColor="text1"/>
        </w:rPr>
        <w:t>furtkami i bramami oraz z podziałem na trwałe i nietrwałe, rowy, studnie z ich średnicami, przekroje poprzeczne dróg co 20÷50 m oraz inne elementy według wymagań Zamawiającego.</w:t>
      </w:r>
    </w:p>
    <w:p w14:paraId="037E4F54"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Prace obliczeniowe należy wykonać przy pomocy sprzętu komputerowego. Wniesienie pomierzonej treści na mapę zasadniczą oraz mapę katastralną należy wykonać metodą klasyczną (kartowaniem i kreśleniem ręcznym) lub przy pomocy plotera.</w:t>
      </w:r>
    </w:p>
    <w:p w14:paraId="1FB5F02E"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Wtórnik mapy zasadniczej dla Zamawiającego należy uz</w:t>
      </w:r>
      <w:r w:rsidR="00B36A70">
        <w:rPr>
          <w:rFonts w:ascii="Times New Roman" w:hAnsi="Times New Roman" w:cs="Times New Roman"/>
          <w:color w:val="000000" w:themeColor="text1"/>
        </w:rPr>
        <w:t>upełnić o elementy wymienione w </w:t>
      </w:r>
      <w:r w:rsidRPr="001667DB">
        <w:rPr>
          <w:rFonts w:ascii="Times New Roman" w:hAnsi="Times New Roman" w:cs="Times New Roman"/>
          <w:color w:val="000000" w:themeColor="text1"/>
        </w:rPr>
        <w:t>drugim akapicie niniejszego punktu, tą samą techniką z jaką została wykonana mapa (numeryczną względnie analogową).</w:t>
      </w:r>
    </w:p>
    <w:p w14:paraId="21CBE410"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Dokumentację geodezyjną i kartograficzną należy skompletować zgodnie z przepisami instrukcji 0-3 [4], z podziałem na: akta postępowania przeznaczone dla Wykonawcy, dokumentację techniczną przeznaczoną dla Zamawiającego i dokumentację techniczną przeznaczoną dla ośrodka dokumentacji geodezyjnej i kartograficznej. Sposób skompletowania i formę dokumentacji dla ośrodka dokumentacji należy uzgodnić z ośrodkiem oraz ustalić czy tę dokumentację należy okazać Zamawiającemu do wglądu.</w:t>
      </w:r>
    </w:p>
    <w:p w14:paraId="25F8FB01"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5.5.3. </w:t>
      </w:r>
      <w:r w:rsidRPr="001667DB">
        <w:rPr>
          <w:rFonts w:ascii="Times New Roman" w:hAnsi="Times New Roman" w:cs="Times New Roman"/>
          <w:color w:val="000000" w:themeColor="text1"/>
        </w:rPr>
        <w:t>Dokumentacja dla Zamawiającego</w:t>
      </w:r>
    </w:p>
    <w:p w14:paraId="5BC209E3"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Zamawiający nie ustalił inaczej, to należy skompletować dla Zamawiającego następujące materiały:</w:t>
      </w:r>
    </w:p>
    <w:p w14:paraId="3E022FF8"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sprawozdanie techniczne,</w:t>
      </w:r>
    </w:p>
    <w:p w14:paraId="74F70326"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wtórnik mapy zasadniczej uzupełniony dodatkową treścią, którą wymieniono w punkcie 5.5.2,</w:t>
      </w:r>
    </w:p>
    <w:p w14:paraId="4340C2A3"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kopie wykazów współrzędnych punktów osnowy oraz wykazy współrzędnych punktów granicznych w postaci dysku i wydruku na papierze,</w:t>
      </w:r>
    </w:p>
    <w:p w14:paraId="2677CE8B"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kopie protokołów przekazania znaków geodezyjnych pod ochronę,</w:t>
      </w:r>
    </w:p>
    <w:p w14:paraId="5D3B707A"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kopie opisów topograficznych,</w:t>
      </w:r>
    </w:p>
    <w:p w14:paraId="4C56EB2F"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kopie szkiców polowych,</w:t>
      </w:r>
    </w:p>
    <w:p w14:paraId="3D89555F"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nośnik elektroniczny (dysk) z mapą numeryczną oraz wydruk ploterem tych map, jeżeli mapa realizowana jest numerycznie,</w:t>
      </w:r>
    </w:p>
    <w:p w14:paraId="589CFB8C"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inne materiały zgodne z wymaganiami Zamawiającego.</w:t>
      </w:r>
    </w:p>
    <w:p w14:paraId="196B0221" w14:textId="77777777" w:rsidR="00955A27" w:rsidRPr="00326BBF" w:rsidRDefault="00955A27" w:rsidP="00B36A70">
      <w:pPr>
        <w:pStyle w:val="Nagwek1"/>
        <w:tabs>
          <w:tab w:val="clear" w:pos="435"/>
          <w:tab w:val="clear" w:pos="1155"/>
          <w:tab w:val="num" w:pos="426"/>
          <w:tab w:val="left" w:pos="1134"/>
        </w:tabs>
        <w:spacing w:before="0" w:line="360" w:lineRule="auto"/>
        <w:ind w:left="851" w:hanging="851"/>
        <w:jc w:val="both"/>
        <w:rPr>
          <w:color w:val="000000" w:themeColor="text1"/>
          <w:sz w:val="22"/>
          <w:szCs w:val="22"/>
          <w:lang w:val="pl-PL"/>
        </w:rPr>
      </w:pPr>
      <w:bookmarkStart w:id="123" w:name="_Toc274137175"/>
      <w:bookmarkStart w:id="124" w:name="_Toc164048103"/>
      <w:bookmarkStart w:id="125" w:name="_Toc161023547"/>
      <w:bookmarkStart w:id="126" w:name="_Toc147039497"/>
      <w:bookmarkStart w:id="127" w:name="_Toc146429505"/>
      <w:bookmarkStart w:id="128" w:name="_Toc144793980"/>
      <w:bookmarkStart w:id="129" w:name="_Toc144694240"/>
      <w:bookmarkStart w:id="130" w:name="_Toc124213278"/>
      <w:bookmarkStart w:id="131" w:name="_Toc113338102"/>
      <w:bookmarkStart w:id="132" w:name="_Toc70745916"/>
      <w:bookmarkStart w:id="133" w:name="_Toc51995834"/>
      <w:bookmarkStart w:id="134" w:name="_Toc46644001"/>
      <w:bookmarkStart w:id="135" w:name="_Toc424534470"/>
      <w:r w:rsidRPr="00326BBF">
        <w:rPr>
          <w:color w:val="000000" w:themeColor="text1"/>
          <w:sz w:val="22"/>
          <w:szCs w:val="22"/>
          <w:lang w:val="pl-PL"/>
        </w:rPr>
        <w:t>6.</w:t>
      </w:r>
      <w:r w:rsidRPr="00326BBF">
        <w:rPr>
          <w:color w:val="000000" w:themeColor="text1"/>
          <w:sz w:val="22"/>
          <w:szCs w:val="22"/>
          <w:lang w:val="pl-PL"/>
        </w:rPr>
        <w:tab/>
      </w:r>
      <w:r w:rsidRPr="00326BBF">
        <w:rPr>
          <w:color w:val="000000" w:themeColor="text1"/>
          <w:sz w:val="22"/>
          <w:szCs w:val="22"/>
          <w:lang w:val="pl-PL"/>
        </w:rPr>
        <w:tab/>
        <w:t>KONTROLA JAKOŚCI ROBÓT</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393D5E6A"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6.1. Ogólne zasady kontroli jakości robót</w:t>
      </w:r>
    </w:p>
    <w:p w14:paraId="025BEBB8"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zasady kontroli jakości robót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6.</w:t>
      </w:r>
    </w:p>
    <w:p w14:paraId="1B6E91D7"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6.2. Kontrola jakości prac</w:t>
      </w:r>
    </w:p>
    <w:p w14:paraId="7BDDAE16"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Kontrola jakości prac pomiarowych powinna obejmować:</w:t>
      </w:r>
    </w:p>
    <w:p w14:paraId="026C6FB1"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wewnętrzną kontrolę prowadzoną przez Wykonawcę robót geodezyjnych, która powinna zapewniać możliwość śledzenia przebiegu prac, oceniania ich jakości oraz usuwania nieprawidłowości mogących mieć wpływ na kolejne etapy robót,</w:t>
      </w:r>
    </w:p>
    <w:p w14:paraId="150589C8"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kontrolę prowadzoną przez służbę nadzoru (Inżyniera),</w:t>
      </w:r>
    </w:p>
    <w:p w14:paraId="10838525"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przestrzeganie ogólnych zasad prac określonych w instrukcjach i wytycznych </w:t>
      </w:r>
      <w:r w:rsidRPr="001667DB">
        <w:rPr>
          <w:rStyle w:val="spelle"/>
          <w:rFonts w:ascii="Times New Roman" w:hAnsi="Times New Roman" w:cs="Times New Roman"/>
          <w:color w:val="000000" w:themeColor="text1"/>
        </w:rPr>
        <w:t>GUGiK</w:t>
      </w:r>
      <w:r w:rsidRPr="001667DB">
        <w:rPr>
          <w:rFonts w:ascii="Times New Roman" w:hAnsi="Times New Roman" w:cs="Times New Roman"/>
          <w:color w:val="000000" w:themeColor="text1"/>
        </w:rPr>
        <w:t xml:space="preserve"> [3÷10], zgodnie z wymaganiami podanymi w punkcie 5,</w:t>
      </w:r>
    </w:p>
    <w:p w14:paraId="20978B80" w14:textId="77777777" w:rsidR="00955A27" w:rsidRPr="001667DB" w:rsidRDefault="00955A27" w:rsidP="00B36A70">
      <w:pPr>
        <w:tabs>
          <w:tab w:val="num" w:pos="284"/>
        </w:tabs>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sporządzenie przez Wykonawcę robót geodezyjnych protokołu z wewnętrznej kontroli robót.</w:t>
      </w:r>
    </w:p>
    <w:p w14:paraId="70CF63AC" w14:textId="77777777" w:rsidR="00955A27" w:rsidRPr="001667DB" w:rsidRDefault="00955A27" w:rsidP="00B36A70">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Kontrolę należy prowadzić według ogólnych zasad określonych w instrukcjach i wytycznych </w:t>
      </w:r>
      <w:r w:rsidRPr="001667DB">
        <w:rPr>
          <w:rStyle w:val="spelle"/>
          <w:rFonts w:ascii="Times New Roman" w:hAnsi="Times New Roman" w:cs="Times New Roman"/>
          <w:color w:val="000000" w:themeColor="text1"/>
        </w:rPr>
        <w:t>GUGiK</w:t>
      </w:r>
      <w:r w:rsidRPr="001667DB">
        <w:rPr>
          <w:rFonts w:ascii="Times New Roman" w:hAnsi="Times New Roman" w:cs="Times New Roman"/>
          <w:color w:val="000000" w:themeColor="text1"/>
        </w:rPr>
        <w:t xml:space="preserve"> [3÷10], zgodnie z wymaganiami podanymi w punkcie 5.4.3.</w:t>
      </w:r>
    </w:p>
    <w:p w14:paraId="5F2FA3D6" w14:textId="77777777" w:rsidR="00955A27" w:rsidRPr="00326BBF" w:rsidRDefault="00955A27" w:rsidP="00B36A70">
      <w:pPr>
        <w:pStyle w:val="Nagwek1"/>
        <w:tabs>
          <w:tab w:val="clear" w:pos="435"/>
          <w:tab w:val="clear" w:pos="1155"/>
          <w:tab w:val="num" w:pos="426"/>
          <w:tab w:val="left" w:pos="1134"/>
        </w:tabs>
        <w:spacing w:before="0" w:line="360" w:lineRule="auto"/>
        <w:ind w:left="851" w:hanging="851"/>
        <w:jc w:val="both"/>
        <w:rPr>
          <w:color w:val="000000" w:themeColor="text1"/>
          <w:sz w:val="22"/>
          <w:szCs w:val="22"/>
          <w:lang w:val="pl-PL"/>
        </w:rPr>
      </w:pPr>
      <w:bookmarkStart w:id="136" w:name="_Toc274137176"/>
      <w:r w:rsidRPr="00326BBF">
        <w:rPr>
          <w:color w:val="000000" w:themeColor="text1"/>
          <w:sz w:val="22"/>
          <w:szCs w:val="22"/>
          <w:lang w:val="pl-PL"/>
        </w:rPr>
        <w:t>7.</w:t>
      </w:r>
      <w:r w:rsidRPr="00326BBF">
        <w:rPr>
          <w:color w:val="000000" w:themeColor="text1"/>
          <w:sz w:val="22"/>
          <w:szCs w:val="22"/>
          <w:lang w:val="pl-PL"/>
        </w:rPr>
        <w:tab/>
      </w:r>
      <w:r w:rsidRPr="00326BBF">
        <w:rPr>
          <w:color w:val="000000" w:themeColor="text1"/>
          <w:sz w:val="22"/>
          <w:szCs w:val="22"/>
          <w:lang w:val="pl-PL"/>
        </w:rPr>
        <w:tab/>
        <w:t>OBMIAR ROBÓT</w:t>
      </w:r>
      <w:bookmarkEnd w:id="136"/>
    </w:p>
    <w:p w14:paraId="41AD2760" w14:textId="77777777" w:rsidR="00955A27" w:rsidRPr="001667DB" w:rsidRDefault="00955A27" w:rsidP="00B36A70">
      <w:pPr>
        <w:pStyle w:val="Nagwek2"/>
        <w:numPr>
          <w:ilvl w:val="1"/>
          <w:numId w:val="0"/>
        </w:numPr>
        <w:tabs>
          <w:tab w:val="clear" w:pos="1155"/>
          <w:tab w:val="num" w:pos="851"/>
          <w:tab w:val="left" w:pos="1134"/>
        </w:tabs>
        <w:spacing w:before="0" w:line="360" w:lineRule="auto"/>
        <w:ind w:left="851" w:hanging="851"/>
        <w:jc w:val="both"/>
        <w:rPr>
          <w:color w:val="000000" w:themeColor="text1"/>
          <w:sz w:val="22"/>
          <w:szCs w:val="22"/>
        </w:rPr>
      </w:pPr>
      <w:r w:rsidRPr="001667DB">
        <w:rPr>
          <w:color w:val="000000" w:themeColor="text1"/>
          <w:sz w:val="22"/>
          <w:szCs w:val="22"/>
        </w:rPr>
        <w:t>Ogólne zasady obmiaru robót</w:t>
      </w:r>
    </w:p>
    <w:p w14:paraId="2ACC7787"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zasady obmiaru robót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7.</w:t>
      </w:r>
    </w:p>
    <w:p w14:paraId="01122DDE"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7.2. Jednostka obmiarowa</w:t>
      </w:r>
    </w:p>
    <w:p w14:paraId="31765D7D" w14:textId="77777777" w:rsidR="00955A27" w:rsidRPr="001667DB" w:rsidRDefault="00337012"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km</w:t>
      </w:r>
      <w:r w:rsidR="00DF62FB" w:rsidRPr="001667DB">
        <w:rPr>
          <w:rFonts w:ascii="Times New Roman" w:hAnsi="Times New Roman" w:cs="Times New Roman"/>
          <w:color w:val="000000" w:themeColor="text1"/>
        </w:rPr>
        <w:t xml:space="preserve">. </w:t>
      </w:r>
      <w:r w:rsidR="00955A27" w:rsidRPr="001667DB">
        <w:rPr>
          <w:rFonts w:ascii="Times New Roman" w:hAnsi="Times New Roman" w:cs="Times New Roman"/>
          <w:color w:val="000000" w:themeColor="text1"/>
        </w:rPr>
        <w:t>odtworzonej trasy w terenie.</w:t>
      </w:r>
    </w:p>
    <w:p w14:paraId="24ED54F6"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pomiarach powykonawczych wybudowanej drogi przyjmuje się jednostki kpl. (komplet).</w:t>
      </w:r>
    </w:p>
    <w:p w14:paraId="3FE12A76" w14:textId="77777777" w:rsidR="00955A27" w:rsidRPr="00326BBF" w:rsidRDefault="00955A27" w:rsidP="00B36A70">
      <w:pPr>
        <w:pStyle w:val="Nagwek1"/>
        <w:tabs>
          <w:tab w:val="clear" w:pos="435"/>
          <w:tab w:val="clear" w:pos="1155"/>
          <w:tab w:val="num" w:pos="426"/>
          <w:tab w:val="left" w:pos="1134"/>
        </w:tabs>
        <w:spacing w:before="0" w:line="360" w:lineRule="auto"/>
        <w:ind w:left="851" w:hanging="851"/>
        <w:jc w:val="both"/>
        <w:rPr>
          <w:color w:val="000000" w:themeColor="text1"/>
          <w:sz w:val="22"/>
          <w:szCs w:val="22"/>
          <w:lang w:val="pl-PL"/>
        </w:rPr>
      </w:pPr>
      <w:bookmarkStart w:id="137" w:name="_Toc274137177"/>
      <w:r w:rsidRPr="00326BBF">
        <w:rPr>
          <w:color w:val="000000" w:themeColor="text1"/>
          <w:sz w:val="22"/>
          <w:szCs w:val="22"/>
          <w:lang w:val="pl-PL"/>
        </w:rPr>
        <w:t>8.</w:t>
      </w:r>
      <w:r w:rsidRPr="00326BBF">
        <w:rPr>
          <w:color w:val="000000" w:themeColor="text1"/>
          <w:sz w:val="22"/>
          <w:szCs w:val="22"/>
          <w:lang w:val="pl-PL"/>
        </w:rPr>
        <w:tab/>
      </w:r>
      <w:r w:rsidRPr="00326BBF">
        <w:rPr>
          <w:color w:val="000000" w:themeColor="text1"/>
          <w:sz w:val="22"/>
          <w:szCs w:val="22"/>
          <w:lang w:val="pl-PL"/>
        </w:rPr>
        <w:tab/>
        <w:t>ODBIÓR ROBÓT</w:t>
      </w:r>
      <w:bookmarkEnd w:id="137"/>
    </w:p>
    <w:p w14:paraId="3C26BED5"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8.1. Ogólne zasady odbioru robót</w:t>
      </w:r>
    </w:p>
    <w:p w14:paraId="3573B7F6"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Ogólne zasady odbioru robót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8.</w:t>
      </w:r>
    </w:p>
    <w:p w14:paraId="33653641"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8.2. Sposób odbioru robót</w:t>
      </w:r>
    </w:p>
    <w:p w14:paraId="4CDF25F1"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Odbiór robót następuje na podstawie protokołu odbioru oraz dokumentacji technicznej przeznaczonej dla Zamawiającego.</w:t>
      </w:r>
    </w:p>
    <w:p w14:paraId="27BF6F96" w14:textId="77777777" w:rsidR="00955A27" w:rsidRPr="00326BBF" w:rsidRDefault="00955A27" w:rsidP="00B36A70">
      <w:pPr>
        <w:pStyle w:val="Nagwek1"/>
        <w:tabs>
          <w:tab w:val="clear" w:pos="435"/>
          <w:tab w:val="clear" w:pos="1155"/>
          <w:tab w:val="num" w:pos="426"/>
          <w:tab w:val="left" w:pos="1134"/>
        </w:tabs>
        <w:spacing w:before="0" w:line="360" w:lineRule="auto"/>
        <w:ind w:left="851" w:hanging="851"/>
        <w:jc w:val="both"/>
        <w:rPr>
          <w:color w:val="000000" w:themeColor="text1"/>
          <w:sz w:val="22"/>
          <w:szCs w:val="22"/>
          <w:lang w:val="pl-PL"/>
        </w:rPr>
      </w:pPr>
      <w:bookmarkStart w:id="138" w:name="_Toc274137178"/>
      <w:r w:rsidRPr="00326BBF">
        <w:rPr>
          <w:color w:val="000000" w:themeColor="text1"/>
          <w:sz w:val="22"/>
          <w:szCs w:val="22"/>
          <w:lang w:val="pl-PL"/>
        </w:rPr>
        <w:t>9.</w:t>
      </w:r>
      <w:r w:rsidRPr="00326BBF">
        <w:rPr>
          <w:color w:val="000000" w:themeColor="text1"/>
          <w:sz w:val="22"/>
          <w:szCs w:val="22"/>
          <w:lang w:val="pl-PL"/>
        </w:rPr>
        <w:tab/>
      </w:r>
      <w:r w:rsidRPr="00326BBF">
        <w:rPr>
          <w:color w:val="000000" w:themeColor="text1"/>
          <w:sz w:val="22"/>
          <w:szCs w:val="22"/>
          <w:lang w:val="pl-PL"/>
        </w:rPr>
        <w:tab/>
        <w:t>PODSTAWA PŁATNOŚCI</w:t>
      </w:r>
      <w:bookmarkEnd w:id="138"/>
    </w:p>
    <w:p w14:paraId="76288995"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9.1. Ogólne ustalenia dotyczące podstawy płatności</w:t>
      </w:r>
    </w:p>
    <w:p w14:paraId="0C330CE6"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ustalenia dotyczące podstawy płatności podano w ST D.00.00.00 „Wymagania ogólne” [1] </w:t>
      </w:r>
      <w:r w:rsidRPr="001667DB">
        <w:rPr>
          <w:rStyle w:val="spelle"/>
          <w:rFonts w:ascii="Times New Roman" w:hAnsi="Times New Roman" w:cs="Times New Roman"/>
          <w:color w:val="000000" w:themeColor="text1"/>
        </w:rPr>
        <w:t>pkt</w:t>
      </w:r>
      <w:r w:rsidRPr="001667DB">
        <w:rPr>
          <w:rFonts w:ascii="Times New Roman" w:hAnsi="Times New Roman" w:cs="Times New Roman"/>
          <w:color w:val="000000" w:themeColor="text1"/>
        </w:rPr>
        <w:t xml:space="preserve"> 9.</w:t>
      </w:r>
    </w:p>
    <w:p w14:paraId="1D827919"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9.2. Cena jednostki obmiarowej</w:t>
      </w:r>
    </w:p>
    <w:p w14:paraId="316C67A2" w14:textId="77777777" w:rsidR="00955A27" w:rsidRPr="001667DB" w:rsidRDefault="00955A27" w:rsidP="00B36A70">
      <w:p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obejmuje:</w:t>
      </w:r>
    </w:p>
    <w:p w14:paraId="26D08A7E"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zakup, dostarczenie i składowanie potrzebnych materiałów,</w:t>
      </w:r>
    </w:p>
    <w:p w14:paraId="295DD90B"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koszt zapewnienia niezbędnych czynników produkcji,</w:t>
      </w:r>
    </w:p>
    <w:p w14:paraId="105C4999"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lastRenderedPageBreak/>
        <w:t>zakup i dostarczenie materiałów,</w:t>
      </w:r>
    </w:p>
    <w:p w14:paraId="3F803AD0"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sprawdzenie wyznaczenia punktów głównych osi trasy i punktów wysokościowych,</w:t>
      </w:r>
    </w:p>
    <w:p w14:paraId="355D1B4C"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rFonts w:eastAsia="Symbol"/>
          <w:color w:val="000000" w:themeColor="text1"/>
          <w:sz w:val="22"/>
          <w:szCs w:val="22"/>
        </w:rPr>
        <w:t xml:space="preserve"> </w:t>
      </w:r>
      <w:r w:rsidRPr="001667DB">
        <w:rPr>
          <w:color w:val="000000" w:themeColor="text1"/>
          <w:sz w:val="22"/>
          <w:szCs w:val="22"/>
        </w:rPr>
        <w:t>uzupełnienie osi trasy dodatkowymi punktami,</w:t>
      </w:r>
    </w:p>
    <w:p w14:paraId="4FED155D"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rFonts w:eastAsia="Symbol"/>
          <w:color w:val="000000" w:themeColor="text1"/>
          <w:sz w:val="22"/>
          <w:szCs w:val="22"/>
        </w:rPr>
        <w:t xml:space="preserve"> </w:t>
      </w:r>
      <w:r w:rsidRPr="001667DB">
        <w:rPr>
          <w:color w:val="000000" w:themeColor="text1"/>
          <w:sz w:val="22"/>
          <w:szCs w:val="22"/>
        </w:rPr>
        <w:t>wyznaczenie dodatkowych punktów wysokościowych,</w:t>
      </w:r>
    </w:p>
    <w:p w14:paraId="55597A0F"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wyznaczenie zjazdów i uzgodnienie ich z właścicielami nieruchomości,</w:t>
      </w:r>
    </w:p>
    <w:p w14:paraId="64AC7327"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rFonts w:eastAsia="Symbol"/>
          <w:color w:val="000000" w:themeColor="text1"/>
          <w:sz w:val="22"/>
          <w:szCs w:val="22"/>
        </w:rPr>
        <w:t xml:space="preserve"> </w:t>
      </w:r>
      <w:r w:rsidRPr="001667DB">
        <w:rPr>
          <w:color w:val="000000" w:themeColor="text1"/>
          <w:sz w:val="22"/>
          <w:szCs w:val="22"/>
        </w:rPr>
        <w:t>wyznaczenie przekrojów poprzecznych z ewentualnym wytyczeniem dodatkowych przekrojów,</w:t>
      </w:r>
    </w:p>
    <w:p w14:paraId="46CA99FA"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 xml:space="preserve">wyznaczenie punktów roboczego </w:t>
      </w:r>
      <w:r w:rsidRPr="001667DB">
        <w:rPr>
          <w:rStyle w:val="spelle"/>
          <w:color w:val="000000" w:themeColor="text1"/>
          <w:sz w:val="22"/>
          <w:szCs w:val="22"/>
        </w:rPr>
        <w:t>pikietażu</w:t>
      </w:r>
      <w:r w:rsidRPr="001667DB">
        <w:rPr>
          <w:color w:val="000000" w:themeColor="text1"/>
          <w:sz w:val="22"/>
          <w:szCs w:val="22"/>
        </w:rPr>
        <w:t xml:space="preserve"> trasy,</w:t>
      </w:r>
    </w:p>
    <w:p w14:paraId="6581DA7E"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ustawienie łat z wyznaczeniem pochylenia skarp,</w:t>
      </w:r>
    </w:p>
    <w:p w14:paraId="41A80956"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rStyle w:val="spelle"/>
          <w:color w:val="000000" w:themeColor="text1"/>
          <w:sz w:val="22"/>
          <w:szCs w:val="22"/>
        </w:rPr>
        <w:t>zastabilizowanie</w:t>
      </w:r>
      <w:r w:rsidRPr="001667DB">
        <w:rPr>
          <w:color w:val="000000" w:themeColor="text1"/>
          <w:sz w:val="22"/>
          <w:szCs w:val="22"/>
        </w:rPr>
        <w:t xml:space="preserve"> punktów w sposób trwały, ochrona ich przed zniszczeniem i oznakowanie ułatwiające odszukanie i ewentualne odtworzenie,</w:t>
      </w:r>
    </w:p>
    <w:p w14:paraId="667B01DB"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color w:val="000000" w:themeColor="text1"/>
          <w:sz w:val="22"/>
          <w:szCs w:val="22"/>
        </w:rPr>
        <w:t>prace pomiarowe i kameralne przy pomiarze powykonawczym wybudowanej drogi według wymagań dokumentacji technicznej,</w:t>
      </w:r>
    </w:p>
    <w:p w14:paraId="180311B1" w14:textId="77777777" w:rsidR="00955A27" w:rsidRPr="001667DB" w:rsidRDefault="00955A27" w:rsidP="00904E6C">
      <w:pPr>
        <w:pStyle w:val="Akapitzlist"/>
        <w:numPr>
          <w:ilvl w:val="0"/>
          <w:numId w:val="317"/>
        </w:numPr>
        <w:tabs>
          <w:tab w:val="left" w:pos="0"/>
        </w:tabs>
        <w:spacing w:after="120" w:line="360" w:lineRule="auto"/>
        <w:rPr>
          <w:color w:val="000000" w:themeColor="text1"/>
          <w:sz w:val="22"/>
          <w:szCs w:val="22"/>
        </w:rPr>
      </w:pPr>
      <w:r w:rsidRPr="001667DB">
        <w:rPr>
          <w:rFonts w:eastAsia="Symbol"/>
          <w:color w:val="000000" w:themeColor="text1"/>
          <w:sz w:val="22"/>
          <w:szCs w:val="22"/>
        </w:rPr>
        <w:t xml:space="preserve"> </w:t>
      </w:r>
      <w:r w:rsidRPr="001667DB">
        <w:rPr>
          <w:color w:val="000000" w:themeColor="text1"/>
          <w:sz w:val="22"/>
          <w:szCs w:val="22"/>
        </w:rPr>
        <w:t>koszty ośrodków geodezyjnych.</w:t>
      </w:r>
    </w:p>
    <w:p w14:paraId="48CA72B1"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9.3. Sposób rozliczenia robót tymczasowych i prac towarzyszących</w:t>
      </w:r>
    </w:p>
    <w:p w14:paraId="199EBD68"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79D4EEBB" w14:textId="77777777" w:rsidR="00955A27" w:rsidRPr="001667DB" w:rsidRDefault="00A40F62" w:rsidP="00B36A70">
      <w:pPr>
        <w:spacing w:after="120" w:line="360" w:lineRule="auto"/>
        <w:ind w:left="283" w:hanging="283"/>
        <w:jc w:val="both"/>
        <w:rPr>
          <w:rFonts w:ascii="Times New Roman" w:hAnsi="Times New Roman" w:cs="Times New Roman"/>
          <w:color w:val="000000" w:themeColor="text1"/>
        </w:rPr>
      </w:pPr>
      <w:r w:rsidRPr="001667DB">
        <w:rPr>
          <w:rFonts w:ascii="Times New Roman" w:eastAsia="Symbol" w:hAnsi="Times New Roman" w:cs="Times New Roman"/>
          <w:color w:val="000000" w:themeColor="text1"/>
        </w:rPr>
        <w:t>-</w:t>
      </w:r>
      <w:r w:rsidR="00955A27" w:rsidRPr="001667DB">
        <w:rPr>
          <w:rFonts w:ascii="Times New Roman" w:eastAsia="Symbol" w:hAnsi="Times New Roman" w:cs="Times New Roman"/>
          <w:color w:val="000000" w:themeColor="text1"/>
        </w:rPr>
        <w:t xml:space="preserve">      </w:t>
      </w:r>
      <w:r w:rsidR="00955A27"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78D785B9" w14:textId="77777777" w:rsidR="00955A27" w:rsidRPr="001667DB" w:rsidRDefault="00A40F62" w:rsidP="00B36A70">
      <w:pPr>
        <w:spacing w:after="120" w:line="360" w:lineRule="auto"/>
        <w:ind w:left="283" w:hanging="283"/>
        <w:jc w:val="both"/>
        <w:rPr>
          <w:rFonts w:ascii="Times New Roman" w:hAnsi="Times New Roman" w:cs="Times New Roman"/>
          <w:color w:val="000000" w:themeColor="text1"/>
        </w:rPr>
      </w:pPr>
      <w:r w:rsidRPr="001667DB">
        <w:rPr>
          <w:rFonts w:ascii="Times New Roman" w:eastAsia="Symbol" w:hAnsi="Times New Roman" w:cs="Times New Roman"/>
          <w:color w:val="000000" w:themeColor="text1"/>
        </w:rPr>
        <w:t>-</w:t>
      </w:r>
      <w:r w:rsidR="00955A27" w:rsidRPr="001667DB">
        <w:rPr>
          <w:rFonts w:ascii="Times New Roman" w:eastAsia="Symbol" w:hAnsi="Times New Roman" w:cs="Times New Roman"/>
          <w:color w:val="000000" w:themeColor="text1"/>
        </w:rPr>
        <w:t xml:space="preserve">      </w:t>
      </w:r>
      <w:r w:rsidR="00955A27"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7F320BE8" w14:textId="77777777" w:rsidR="00955A27" w:rsidRPr="00326BBF" w:rsidRDefault="00955A27" w:rsidP="00B36A70">
      <w:pPr>
        <w:pStyle w:val="Nagwek1"/>
        <w:tabs>
          <w:tab w:val="clear" w:pos="435"/>
          <w:tab w:val="clear" w:pos="1155"/>
          <w:tab w:val="num" w:pos="426"/>
          <w:tab w:val="left" w:pos="1134"/>
        </w:tabs>
        <w:spacing w:before="0" w:line="360" w:lineRule="auto"/>
        <w:ind w:left="851" w:hanging="851"/>
        <w:jc w:val="both"/>
        <w:rPr>
          <w:color w:val="000000" w:themeColor="text1"/>
          <w:sz w:val="22"/>
          <w:szCs w:val="22"/>
          <w:lang w:val="pl-PL"/>
        </w:rPr>
      </w:pPr>
      <w:bookmarkStart w:id="139" w:name="_Toc274137179"/>
      <w:r w:rsidRPr="00326BBF">
        <w:rPr>
          <w:color w:val="000000" w:themeColor="text1"/>
          <w:sz w:val="22"/>
          <w:szCs w:val="22"/>
          <w:lang w:val="pl-PL"/>
        </w:rPr>
        <w:t>10.</w:t>
      </w:r>
      <w:r w:rsidRPr="00326BBF">
        <w:rPr>
          <w:color w:val="000000" w:themeColor="text1"/>
          <w:sz w:val="22"/>
          <w:szCs w:val="22"/>
          <w:lang w:val="pl-PL"/>
        </w:rPr>
        <w:tab/>
      </w:r>
      <w:r w:rsidRPr="00326BBF">
        <w:rPr>
          <w:color w:val="000000" w:themeColor="text1"/>
          <w:sz w:val="22"/>
          <w:szCs w:val="22"/>
          <w:lang w:val="pl-PL"/>
        </w:rPr>
        <w:tab/>
        <w:t>PRZEPISY ZWIĄZANE</w:t>
      </w:r>
      <w:bookmarkEnd w:id="139"/>
    </w:p>
    <w:p w14:paraId="3DFFAD4E" w14:textId="77777777" w:rsidR="00955A27" w:rsidRPr="001667DB" w:rsidRDefault="00955A27" w:rsidP="00B36A70">
      <w:pPr>
        <w:pStyle w:val="Nagwek2"/>
        <w:spacing w:line="360" w:lineRule="auto"/>
        <w:ind w:left="851" w:hanging="851"/>
        <w:jc w:val="both"/>
        <w:rPr>
          <w:color w:val="000000" w:themeColor="text1"/>
          <w:sz w:val="22"/>
          <w:szCs w:val="22"/>
        </w:rPr>
      </w:pPr>
      <w:r w:rsidRPr="001667DB">
        <w:rPr>
          <w:color w:val="000000" w:themeColor="text1"/>
          <w:sz w:val="22"/>
          <w:szCs w:val="22"/>
        </w:rPr>
        <w:t>Specyfikacje techniczne</w:t>
      </w:r>
    </w:p>
    <w:p w14:paraId="14A86414" w14:textId="77777777" w:rsidR="00955A27" w:rsidRPr="001667DB" w:rsidRDefault="00955A27" w:rsidP="00B36A70">
      <w:pPr>
        <w:spacing w:after="120" w:line="360" w:lineRule="auto"/>
        <w:ind w:left="11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1.  D.00.00.00 </w:t>
      </w:r>
      <w:r w:rsidRPr="001667DB">
        <w:rPr>
          <w:rFonts w:ascii="Times New Roman" w:hAnsi="Times New Roman" w:cs="Times New Roman"/>
          <w:color w:val="000000" w:themeColor="text1"/>
        </w:rPr>
        <w:tab/>
        <w:t xml:space="preserve">           Wymagania ogólne</w:t>
      </w:r>
    </w:p>
    <w:p w14:paraId="1B140578" w14:textId="77777777" w:rsidR="00955A27" w:rsidRPr="001667DB" w:rsidRDefault="00955A27" w:rsidP="00B36A70">
      <w:pPr>
        <w:pStyle w:val="Nagwek2"/>
        <w:spacing w:line="360" w:lineRule="auto"/>
        <w:jc w:val="both"/>
        <w:rPr>
          <w:color w:val="000000" w:themeColor="text1"/>
          <w:sz w:val="22"/>
          <w:szCs w:val="22"/>
        </w:rPr>
      </w:pPr>
      <w:r w:rsidRPr="001667DB">
        <w:rPr>
          <w:color w:val="000000" w:themeColor="text1"/>
          <w:sz w:val="22"/>
          <w:szCs w:val="22"/>
        </w:rPr>
        <w:t xml:space="preserve"> Inne dokumenty</w:t>
      </w:r>
    </w:p>
    <w:p w14:paraId="6A229AE4" w14:textId="77777777" w:rsidR="00955A27" w:rsidRPr="001667DB" w:rsidRDefault="00955A27" w:rsidP="00B36A70">
      <w:pPr>
        <w:tabs>
          <w:tab w:val="num" w:pos="-2835"/>
        </w:tabs>
        <w:spacing w:after="120" w:line="360" w:lineRule="auto"/>
        <w:ind w:left="397"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2.    Ustawa z dnia 17 maja 1989 r. – Prawo geodezyjne i kartograf</w:t>
      </w:r>
      <w:r w:rsidR="00B36A70">
        <w:rPr>
          <w:rFonts w:ascii="Times New Roman" w:hAnsi="Times New Roman" w:cs="Times New Roman"/>
          <w:color w:val="000000" w:themeColor="text1"/>
        </w:rPr>
        <w:t>iczne (Dz. U. nr 30, poz. 163 z </w:t>
      </w:r>
      <w:r w:rsidRPr="001667DB">
        <w:rPr>
          <w:rFonts w:ascii="Times New Roman" w:hAnsi="Times New Roman" w:cs="Times New Roman"/>
          <w:color w:val="000000" w:themeColor="text1"/>
        </w:rPr>
        <w:t>późniejszymi zmianami)</w:t>
      </w:r>
      <w:r w:rsidR="00B36A70">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[Instrukcje i wytyczne techniczne by</w:t>
      </w:r>
      <w:r w:rsidR="00B36A70">
        <w:rPr>
          <w:rFonts w:ascii="Times New Roman" w:hAnsi="Times New Roman" w:cs="Times New Roman"/>
          <w:color w:val="000000" w:themeColor="text1"/>
        </w:rPr>
        <w:t>łego Głównego Urzędu Geodezji i </w:t>
      </w:r>
      <w:r w:rsidRPr="001667DB">
        <w:rPr>
          <w:rFonts w:ascii="Times New Roman" w:hAnsi="Times New Roman" w:cs="Times New Roman"/>
          <w:color w:val="000000" w:themeColor="text1"/>
        </w:rPr>
        <w:t>Kartografii]:</w:t>
      </w:r>
    </w:p>
    <w:p w14:paraId="4C9D15E9"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3.    Instrukcja techniczna 0-1. Ogólne zasady wykonywania prac geodezyjnych.</w:t>
      </w:r>
    </w:p>
    <w:p w14:paraId="415E79DD"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4.    Instrukcja techniczna 0-3. Zasady kompletowania dokumentacji geodezyjnej i kartograficznej</w:t>
      </w:r>
    </w:p>
    <w:p w14:paraId="6075F48A"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5.    Instrukcja techniczna G-1. Pozioma osnowa geodezyjna</w:t>
      </w:r>
    </w:p>
    <w:p w14:paraId="2833497F"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6.    Instrukcja techniczna G-2. Wysokościowa osnowa geodezyjna</w:t>
      </w:r>
    </w:p>
    <w:p w14:paraId="52974E2C"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    Instrukcja techniczna G-3. Geodezyjna obsługa inwestycji</w:t>
      </w:r>
    </w:p>
    <w:p w14:paraId="119EE14D"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8.    Instrukcja techniczna G-4. Pomiary sytuacyjne i wysokościowe</w:t>
      </w:r>
    </w:p>
    <w:p w14:paraId="17360F5B" w14:textId="77777777" w:rsidR="00955A27" w:rsidRPr="001667DB" w:rsidRDefault="00955A27" w:rsidP="00955A27">
      <w:pPr>
        <w:tabs>
          <w:tab w:val="num" w:pos="-2835"/>
        </w:tabs>
        <w:spacing w:after="120" w:line="360" w:lineRule="auto"/>
        <w:ind w:left="397" w:hanging="284"/>
        <w:rPr>
          <w:rFonts w:ascii="Times New Roman" w:hAnsi="Times New Roman" w:cs="Times New Roman"/>
          <w:color w:val="000000" w:themeColor="text1"/>
        </w:rPr>
      </w:pPr>
      <w:r w:rsidRPr="001667DB">
        <w:rPr>
          <w:rFonts w:ascii="Times New Roman" w:hAnsi="Times New Roman" w:cs="Times New Roman"/>
          <w:color w:val="000000" w:themeColor="text1"/>
        </w:rPr>
        <w:t>9.    Wytyczne techniczne G-3.1. Osnowy realizacyjne</w:t>
      </w:r>
    </w:p>
    <w:p w14:paraId="0FF7DB5F" w14:textId="77777777" w:rsidR="00955A27" w:rsidRPr="001667DB" w:rsidRDefault="00955A27" w:rsidP="00955A27">
      <w:pPr>
        <w:tabs>
          <w:tab w:val="num" w:pos="-2835"/>
        </w:tabs>
        <w:spacing w:after="120" w:line="360" w:lineRule="auto"/>
        <w:ind w:left="397" w:hanging="397"/>
        <w:rPr>
          <w:rFonts w:ascii="Times New Roman" w:hAnsi="Times New Roman" w:cs="Times New Roman"/>
          <w:color w:val="000000" w:themeColor="text1"/>
        </w:rPr>
      </w:pPr>
      <w:r w:rsidRPr="001667DB">
        <w:rPr>
          <w:rFonts w:ascii="Times New Roman" w:hAnsi="Times New Roman" w:cs="Times New Roman"/>
          <w:color w:val="000000" w:themeColor="text1"/>
        </w:rPr>
        <w:t>10.     Wytyczne techniczne G-3.2. Pomiary realizacyjne</w:t>
      </w:r>
    </w:p>
    <w:p w14:paraId="32A77FAA" w14:textId="77777777" w:rsidR="00955A27" w:rsidRPr="001667DB" w:rsidRDefault="00955A27" w:rsidP="00955A27">
      <w:pPr>
        <w:spacing w:after="120" w:line="360" w:lineRule="auto"/>
        <w:rPr>
          <w:rFonts w:ascii="Times New Roman" w:hAnsi="Times New Roman" w:cs="Times New Roman"/>
          <w:color w:val="000000" w:themeColor="text1"/>
        </w:rPr>
      </w:pPr>
    </w:p>
    <w:p w14:paraId="5ED9606B" w14:textId="77777777" w:rsidR="00A62596" w:rsidRDefault="00A62596">
      <w:pPr>
        <w:rPr>
          <w:rFonts w:ascii="Times New Roman" w:hAnsi="Times New Roman" w:cs="Times New Roman"/>
          <w:color w:val="000000" w:themeColor="text1"/>
        </w:rPr>
      </w:pPr>
      <w:r>
        <w:rPr>
          <w:rFonts w:ascii="Times New Roman" w:hAnsi="Times New Roman" w:cs="Times New Roman"/>
          <w:color w:val="000000" w:themeColor="text1"/>
        </w:rPr>
        <w:br w:type="page"/>
      </w:r>
    </w:p>
    <w:p w14:paraId="5454C389" w14:textId="77777777" w:rsidR="00955A27" w:rsidRPr="001667DB" w:rsidRDefault="00955A27" w:rsidP="00955A27">
      <w:pPr>
        <w:pStyle w:val="Podtytu"/>
        <w:spacing w:line="360" w:lineRule="auto"/>
        <w:jc w:val="both"/>
        <w:rPr>
          <w:rFonts w:ascii="Times New Roman" w:hAnsi="Times New Roman"/>
          <w:color w:val="000000" w:themeColor="text1"/>
          <w:szCs w:val="22"/>
        </w:rPr>
      </w:pPr>
      <w:bookmarkStart w:id="140" w:name="_Toc188081234"/>
      <w:bookmarkStart w:id="141" w:name="_Toc188081072"/>
      <w:r w:rsidRPr="001667DB">
        <w:rPr>
          <w:rFonts w:ascii="Times New Roman" w:hAnsi="Times New Roman"/>
          <w:color w:val="000000" w:themeColor="text1"/>
          <w:szCs w:val="22"/>
        </w:rPr>
        <w:lastRenderedPageBreak/>
        <w:t xml:space="preserve">D.01.02.01     </w:t>
      </w:r>
      <w:r w:rsidRPr="001667DB">
        <w:rPr>
          <w:rFonts w:ascii="Times New Roman" w:hAnsi="Times New Roman"/>
          <w:color w:val="000000" w:themeColor="text1"/>
          <w:szCs w:val="22"/>
        </w:rPr>
        <w:tab/>
        <w:t>USUNIĘCIE DRZEW I KRZEWÓW.</w:t>
      </w:r>
      <w:bookmarkEnd w:id="140"/>
      <w:bookmarkEnd w:id="141"/>
    </w:p>
    <w:p w14:paraId="52DE305E" w14:textId="77777777" w:rsidR="00955A27" w:rsidRPr="001667DB" w:rsidRDefault="00955A27" w:rsidP="00F55914">
      <w:pPr>
        <w:pStyle w:val="Tytuspecyfikacji"/>
        <w:keepLines/>
        <w:numPr>
          <w:ilvl w:val="0"/>
          <w:numId w:val="16"/>
        </w:numPr>
        <w:tabs>
          <w:tab w:val="left" w:pos="709"/>
        </w:tabs>
        <w:spacing w:before="0" w:after="120" w:line="360" w:lineRule="auto"/>
        <w:jc w:val="both"/>
        <w:rPr>
          <w:rStyle w:val="PunktyZnak"/>
          <w:rFonts w:ascii="Times New Roman" w:hAnsi="Times New Roman"/>
          <w:caps w:val="0"/>
          <w:color w:val="000000" w:themeColor="text1"/>
          <w:sz w:val="22"/>
          <w:szCs w:val="22"/>
        </w:rPr>
      </w:pPr>
      <w:r w:rsidRPr="001667DB">
        <w:rPr>
          <w:rStyle w:val="PunktyZnak"/>
          <w:rFonts w:ascii="Times New Roman" w:hAnsi="Times New Roman"/>
          <w:color w:val="000000" w:themeColor="text1"/>
          <w:sz w:val="22"/>
          <w:szCs w:val="22"/>
        </w:rPr>
        <w:t xml:space="preserve"> </w:t>
      </w:r>
      <w:r w:rsidRPr="001667DB">
        <w:rPr>
          <w:rStyle w:val="PunktyZnak"/>
          <w:rFonts w:ascii="Times New Roman" w:hAnsi="Times New Roman"/>
          <w:b/>
          <w:color w:val="000000" w:themeColor="text1"/>
          <w:sz w:val="22"/>
          <w:szCs w:val="22"/>
        </w:rPr>
        <w:tab/>
        <w:t>Wstęp</w:t>
      </w:r>
    </w:p>
    <w:p w14:paraId="30F25892" w14:textId="77777777" w:rsidR="00955A27" w:rsidRPr="001667DB" w:rsidRDefault="00955A27" w:rsidP="00F55914">
      <w:pPr>
        <w:pStyle w:val="Podpunkty"/>
        <w:numPr>
          <w:ilvl w:val="1"/>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Przedmiot ST.</w:t>
      </w:r>
    </w:p>
    <w:p w14:paraId="5C3CAB62" w14:textId="77777777" w:rsidR="00955A27" w:rsidRPr="001667DB" w:rsidRDefault="00955A27" w:rsidP="005421AD">
      <w:pPr>
        <w:pStyle w:val="Podpunkty"/>
        <w:spacing w:before="0" w:after="120" w:line="360" w:lineRule="auto"/>
        <w:ind w:left="0" w:firstLine="0"/>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b w:val="0"/>
          <w:color w:val="000000" w:themeColor="text1"/>
          <w:sz w:val="22"/>
          <w:szCs w:val="22"/>
        </w:rPr>
        <w:t xml:space="preserve">Przedmiotem niniejszej Specyfikacji Technicznej są wymagania dotyczące wykonania i odbioru robót związanych z wycięciem i wykarczowaniem drzew i krzewów w ramach realizacji zadania: </w:t>
      </w:r>
      <w:r w:rsidR="00FD3B41" w:rsidRPr="00FD3B41">
        <w:rPr>
          <w:rFonts w:ascii="Times New Roman" w:hAnsi="Times New Roman"/>
          <w:b w:val="0"/>
          <w:color w:val="000000" w:themeColor="text1"/>
          <w:sz w:val="22"/>
          <w:szCs w:val="22"/>
        </w:rPr>
        <w:t>„Rozbudowa drogi wojewódzkiej nr 461 w m. Dąbrówka Łubniańska i Łubniany” – Etap I ( km od 9+741,88 do 10+371,13)</w:t>
      </w:r>
    </w:p>
    <w:p w14:paraId="1E87C058" w14:textId="77777777" w:rsidR="00955A27" w:rsidRPr="001667DB" w:rsidRDefault="00955A27" w:rsidP="00F55914">
      <w:pPr>
        <w:keepLines/>
        <w:widowControl w:val="0"/>
        <w:numPr>
          <w:ilvl w:val="1"/>
          <w:numId w:val="16"/>
        </w:numPr>
        <w:tabs>
          <w:tab w:val="left" w:pos="709"/>
        </w:tabs>
        <w:overflowPunct w:val="0"/>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Zakres stosowania ST.</w:t>
      </w:r>
    </w:p>
    <w:p w14:paraId="58EABF77" w14:textId="77777777" w:rsidR="00955A27" w:rsidRPr="001667DB" w:rsidRDefault="00955A27" w:rsidP="00955A27">
      <w:pPr>
        <w:keepLines/>
        <w:widowControl w:val="0"/>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ST jest stosowana jako dokument przetargowy i kontraktowy przy zlecaniu i realizacji robót wymienionych w punkcie 1.1</w:t>
      </w:r>
    </w:p>
    <w:p w14:paraId="40C02DB8" w14:textId="77777777" w:rsidR="00955A27" w:rsidRPr="001667DB" w:rsidRDefault="00955A27" w:rsidP="00955A27">
      <w:pPr>
        <w:keepLines/>
        <w:widowControl w:val="0"/>
        <w:tabs>
          <w:tab w:val="left" w:pos="709"/>
        </w:tabs>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b/>
          <w:color w:val="000000" w:themeColor="text1"/>
        </w:rPr>
        <w:t>Zakres robót  objętych ST.</w:t>
      </w:r>
    </w:p>
    <w:p w14:paraId="27A6BE7E"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Roboty obejmują:</w:t>
      </w:r>
    </w:p>
    <w:p w14:paraId="42E6A8A9"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wycinkę drzew </w:t>
      </w:r>
    </w:p>
    <w:p w14:paraId="25E140C6"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wykarczowanie kolidujących z inwestycją krzewów. </w:t>
      </w:r>
    </w:p>
    <w:p w14:paraId="4D7EBC8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12145826" w14:textId="77777777" w:rsidR="00955A27" w:rsidRPr="001667DB" w:rsidRDefault="00955A27" w:rsidP="00955A27">
      <w:pPr>
        <w:keepLines/>
        <w:widowControl w:val="0"/>
        <w:spacing w:after="120" w:line="360" w:lineRule="auto"/>
        <w:rPr>
          <w:rFonts w:ascii="Times New Roman" w:hAnsi="Times New Roman" w:cs="Times New Roman"/>
          <w:b/>
          <w:color w:val="000000" w:themeColor="text1"/>
        </w:rPr>
      </w:pPr>
    </w:p>
    <w:p w14:paraId="31866500" w14:textId="77777777" w:rsidR="00955A27" w:rsidRPr="001667DB" w:rsidRDefault="00955A27" w:rsidP="00F55914">
      <w:pPr>
        <w:keepLines/>
        <w:widowControl w:val="0"/>
        <w:numPr>
          <w:ilvl w:val="1"/>
          <w:numId w:val="16"/>
        </w:numPr>
        <w:tabs>
          <w:tab w:val="left" w:pos="709"/>
        </w:tabs>
        <w:overflowPunct w:val="0"/>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Określenia podstawowe.</w:t>
      </w:r>
    </w:p>
    <w:p w14:paraId="0BDD7783"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Określenia podane w niniejszej ST są zgodne z obowiązującymi odpowiednimi normami, wytycznymi i określeniami podanymi w ST.  D 00.00.00.</w:t>
      </w:r>
    </w:p>
    <w:p w14:paraId="4A3E8D25" w14:textId="77777777" w:rsidR="00955A27" w:rsidRPr="001667DB" w:rsidRDefault="00955A27" w:rsidP="00F55914">
      <w:pPr>
        <w:keepLines/>
        <w:widowControl w:val="0"/>
        <w:numPr>
          <w:ilvl w:val="1"/>
          <w:numId w:val="16"/>
        </w:numPr>
        <w:tabs>
          <w:tab w:val="left" w:pos="709"/>
        </w:tabs>
        <w:overflowPunct w:val="0"/>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Ogólne wymagania dotyczące robót.</w:t>
      </w:r>
    </w:p>
    <w:p w14:paraId="5CB992E4"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Wykonawca robót jest odpowiedzialny za jakość wykonania robót i ich zgodność z Dokumentacją Projektową, ST i poleceniami Inżyniera. </w:t>
      </w:r>
    </w:p>
    <w:p w14:paraId="5645157C" w14:textId="77777777" w:rsidR="00955A27" w:rsidRPr="001667DB" w:rsidRDefault="00955A27" w:rsidP="00955A27">
      <w:pPr>
        <w:tabs>
          <w:tab w:val="num" w:pos="1224"/>
        </w:tabs>
        <w:spacing w:after="120" w:line="360" w:lineRule="auto"/>
        <w:contextualSpacing/>
        <w:rPr>
          <w:rFonts w:ascii="Times New Roman" w:hAnsi="Times New Roman" w:cs="Times New Roman"/>
          <w:i/>
          <w:color w:val="000000" w:themeColor="text1"/>
        </w:rPr>
      </w:pPr>
      <w:r w:rsidRPr="001667DB">
        <w:rPr>
          <w:rFonts w:ascii="Times New Roman" w:hAnsi="Times New Roman" w:cs="Times New Roman"/>
          <w:color w:val="000000" w:themeColor="text1"/>
        </w:rPr>
        <w:t>Do obowiązków Wykonawcy robót należy</w:t>
      </w:r>
      <w:r w:rsidRPr="001667DB">
        <w:rPr>
          <w:rFonts w:ascii="Times New Roman" w:hAnsi="Times New Roman" w:cs="Times New Roman"/>
          <w:i/>
          <w:color w:val="000000" w:themeColor="text1"/>
        </w:rPr>
        <w:t xml:space="preserve">: </w:t>
      </w:r>
    </w:p>
    <w:p w14:paraId="33561C06"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przetargu na sprzedaż drewna z wycinki, przy czym ilość, kategoria i cena </w:t>
      </w:r>
    </w:p>
    <w:p w14:paraId="097DF431"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może być niższa niż oszacowane przez rzeczoznawcę, </w:t>
      </w:r>
    </w:p>
    <w:p w14:paraId="400D9F64"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 przekazanie Inwestorowi protokółu z przeprowadzonego postępowania przetargowego mającego na celu uzyskanie oferty z najwyższą ceną, </w:t>
      </w:r>
    </w:p>
    <w:p w14:paraId="65A8A3E1"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wydanie drewna oferentowi, który zaoferował najwyższą cenę, po uzyskaniu informacji od Inwestora , że należność za drewno została zapłacona; jeżeli oferent mimo otrzymania faktury nie zapłaci należności w wyznaczonym terminie, drewno zostanie sprzedane oferentowi, który zaoferował drugą ceną , jednakże nie niższą niż ustalona przez rzeczoznawcę,</w:t>
      </w:r>
    </w:p>
    <w:p w14:paraId="11A3E5CD"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wpłata za drewno musi zostać dokonana przed wystawieniem przez Wykonawcę ostatniej faktury dla zadania,</w:t>
      </w:r>
    </w:p>
    <w:p w14:paraId="57B3B500"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koszty związane z przeprowadzeniem przetargu oraz zatrudnieniem rzeczoznawcy należy ująć w cenach jednostkowych kosztorysu ofertowego,</w:t>
      </w:r>
    </w:p>
    <w:p w14:paraId="24339E70" w14:textId="77777777" w:rsidR="00955A27" w:rsidRPr="001667DB" w:rsidRDefault="00955A27" w:rsidP="00F55914">
      <w:pPr>
        <w:numPr>
          <w:ilvl w:val="0"/>
          <w:numId w:val="18"/>
        </w:numPr>
        <w:spacing w:after="120" w:line="360" w:lineRule="auto"/>
        <w:ind w:left="8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 przypadku , gdy w postępowaniu przetargowym zaoferowano ceny niższe od ceny wynikającej z wyceny dokonanej przez rzeczoznawcę</w:t>
      </w:r>
      <w:r w:rsidR="00B36A70">
        <w:rPr>
          <w:rFonts w:ascii="Times New Roman" w:hAnsi="Times New Roman" w:cs="Times New Roman"/>
          <w:color w:val="000000" w:themeColor="text1"/>
        </w:rPr>
        <w:t xml:space="preserve"> lub gdy oferent nie zapłacił w </w:t>
      </w:r>
      <w:r w:rsidRPr="001667DB">
        <w:rPr>
          <w:rFonts w:ascii="Times New Roman" w:hAnsi="Times New Roman" w:cs="Times New Roman"/>
          <w:color w:val="000000" w:themeColor="text1"/>
        </w:rPr>
        <w:t>wyznaczonym terminie należności za drewno, Wykonawca jest zobowiązany zakupić drewno od Inwestora po cenie ustalonej przez rzeczoznawcę.</w:t>
      </w:r>
    </w:p>
    <w:p w14:paraId="6B51F591"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 00.00.00 „Wymagania ogólne”.</w:t>
      </w:r>
    </w:p>
    <w:p w14:paraId="4246B56F" w14:textId="77777777" w:rsidR="00955A27" w:rsidRPr="001667DB" w:rsidRDefault="00955A27" w:rsidP="00F55914">
      <w:pPr>
        <w:pStyle w:val="Punkty"/>
        <w:numPr>
          <w:ilvl w:val="0"/>
          <w:numId w:val="16"/>
        </w:numPr>
        <w:spacing w:before="0" w:after="120" w:line="360" w:lineRule="auto"/>
        <w:ind w:left="357" w:hanging="357"/>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Materiały.</w:t>
      </w:r>
    </w:p>
    <w:p w14:paraId="2DAB439C"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Nie występują.</w:t>
      </w:r>
    </w:p>
    <w:p w14:paraId="1E4D7ACF" w14:textId="77777777" w:rsidR="00955A27" w:rsidRPr="001667DB" w:rsidRDefault="00955A27" w:rsidP="00F55914">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Sprzęt.</w:t>
      </w:r>
    </w:p>
    <w:p w14:paraId="1D6D2773"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Przewiduje się użycie sprzętu wg zaleceń Wykonawcy. </w:t>
      </w:r>
    </w:p>
    <w:p w14:paraId="7F8F2EDB" w14:textId="77777777" w:rsidR="00955A27" w:rsidRPr="001667DB" w:rsidRDefault="00955A27" w:rsidP="00B36A70">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Transport.</w:t>
      </w:r>
    </w:p>
    <w:p w14:paraId="33057DB9" w14:textId="77777777" w:rsidR="00955A27" w:rsidRPr="001667DB" w:rsidRDefault="00955A27" w:rsidP="00B36A70">
      <w:pPr>
        <w:keepLines/>
        <w:widowControl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Pnie i gałęzie będzie się wywozić przyczepami skrzyniowymi. Przewożone ładunki należy rozmieścić równomiernie na całej powierzchni ładunkowej i zabezpieczyć przed spadaniem lub przesuwaniem się.</w:t>
      </w:r>
    </w:p>
    <w:p w14:paraId="74B4E6EA"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Materiały z wycinki drzew i krzewów należy odwieźć w miejsce wskazane przez Inżyniera. </w:t>
      </w:r>
    </w:p>
    <w:p w14:paraId="5B0B8E80" w14:textId="77777777" w:rsidR="00955A27" w:rsidRPr="001667DB" w:rsidRDefault="00955A27" w:rsidP="00F55914">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Wykonanie robót.</w:t>
      </w:r>
    </w:p>
    <w:p w14:paraId="6566A920" w14:textId="77777777" w:rsidR="00955A27" w:rsidRPr="001667DB" w:rsidRDefault="00955A27" w:rsidP="00B36A70">
      <w:pPr>
        <w:keepLines/>
        <w:widowControl w:val="0"/>
        <w:tabs>
          <w:tab w:val="left" w:pos="709"/>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Roboty obejmują wycięcie drzew i krzewów z wykarczowaniem pni, bądź bezpośrednie ich wykarczowanie z obcięciem pni, wierzchołków i gałęzi, wywiezieniem poza obręb robót ziemnych lub na wskazane przez Inżyniera miejsce oraz oczyszczenie terenu z</w:t>
      </w:r>
      <w:r w:rsidR="00B36A70">
        <w:rPr>
          <w:rFonts w:ascii="Times New Roman" w:hAnsi="Times New Roman" w:cs="Times New Roman"/>
          <w:color w:val="000000" w:themeColor="text1"/>
        </w:rPr>
        <w:t xml:space="preserve"> pozostałości po karczowaniu. W </w:t>
      </w:r>
      <w:r w:rsidRPr="001667DB">
        <w:rPr>
          <w:rFonts w:ascii="Times New Roman" w:hAnsi="Times New Roman" w:cs="Times New Roman"/>
          <w:color w:val="000000" w:themeColor="text1"/>
        </w:rPr>
        <w:t>miejscach nasypów doły po karczowaniu powinny być wypełnione gruntem przydatnym do budowy nasypów zagęszczonym zgodnie z wymaganiami dla podłoża.</w:t>
      </w:r>
    </w:p>
    <w:p w14:paraId="2E732EA8" w14:textId="77777777" w:rsidR="00955A27" w:rsidRPr="001667DB" w:rsidRDefault="00955A27" w:rsidP="00955A27">
      <w:pPr>
        <w:keepLines/>
        <w:widowControl w:val="0"/>
        <w:tabs>
          <w:tab w:val="left" w:pos="709"/>
        </w:tabs>
        <w:spacing w:after="120" w:line="360" w:lineRule="auto"/>
        <w:rPr>
          <w:rFonts w:ascii="Times New Roman" w:hAnsi="Times New Roman" w:cs="Times New Roman"/>
          <w:color w:val="000000" w:themeColor="text1"/>
        </w:rPr>
      </w:pPr>
    </w:p>
    <w:p w14:paraId="13D1AA71" w14:textId="77777777" w:rsidR="00955A27" w:rsidRPr="001667DB" w:rsidRDefault="00955A27" w:rsidP="00F55914">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Kontrola jakości robót.</w:t>
      </w:r>
    </w:p>
    <w:p w14:paraId="6D84687F" w14:textId="77777777" w:rsidR="00955A27" w:rsidRPr="001667DB" w:rsidRDefault="00955A27" w:rsidP="00955A27">
      <w:pPr>
        <w:keepLines/>
        <w:widowControl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Wymagania dla wycinki  drzew podano w punkcie 5.</w:t>
      </w:r>
    </w:p>
    <w:p w14:paraId="0BA9B9DD" w14:textId="77777777" w:rsidR="00955A27" w:rsidRPr="001667DB" w:rsidRDefault="00955A27" w:rsidP="00F55914">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Obmiar robót.</w:t>
      </w:r>
    </w:p>
    <w:p w14:paraId="094C1227" w14:textId="77777777" w:rsidR="00955A27" w:rsidRPr="001667DB" w:rsidRDefault="00955A27" w:rsidP="00B36A70">
      <w:pPr>
        <w:keepLines/>
        <w:widowControl w:val="0"/>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Jednostką obmiaru jest [szt.] wyciętego drzewa wyciętych krzewów.</w:t>
      </w:r>
    </w:p>
    <w:p w14:paraId="466124DB" w14:textId="77777777" w:rsidR="00955A27" w:rsidRPr="001667DB" w:rsidRDefault="00955A27" w:rsidP="00B36A70">
      <w:pPr>
        <w:keepLines/>
        <w:widowControl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Ilość robót określa się na podstawie obmiaru faktycznie wyciętych drzew i krzewów z uwzględnieniem średnicy pni i sposobu karczowania.</w:t>
      </w:r>
    </w:p>
    <w:p w14:paraId="17CFB25D" w14:textId="77777777" w:rsidR="00955A27" w:rsidRPr="001667DB" w:rsidRDefault="00955A27" w:rsidP="00B36A70">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lastRenderedPageBreak/>
        <w:t xml:space="preserve"> </w:t>
      </w:r>
      <w:r w:rsidRPr="001667DB">
        <w:rPr>
          <w:rFonts w:ascii="Times New Roman" w:hAnsi="Times New Roman"/>
          <w:color w:val="000000" w:themeColor="text1"/>
          <w:sz w:val="22"/>
          <w:szCs w:val="22"/>
        </w:rPr>
        <w:tab/>
        <w:t>Odbiór robót.</w:t>
      </w:r>
    </w:p>
    <w:p w14:paraId="15FA543B" w14:textId="77777777" w:rsidR="00955A27" w:rsidRPr="001667DB" w:rsidRDefault="00955A27" w:rsidP="00B36A70">
      <w:pPr>
        <w:keepLines/>
        <w:widowControl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ujęte niniejszą ST podlegają zasadom odbioru robót zanikających i ulegających zakryciu wg zasad ujętych w ST D 00.00.00.</w:t>
      </w:r>
    </w:p>
    <w:p w14:paraId="3F7E28FC" w14:textId="77777777" w:rsidR="00955A27" w:rsidRPr="001667DB" w:rsidRDefault="00955A27" w:rsidP="00B36A70">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Podstawa płatności.</w:t>
      </w:r>
    </w:p>
    <w:p w14:paraId="65F7254F" w14:textId="77777777" w:rsidR="00955A27" w:rsidRPr="001667DB" w:rsidRDefault="00955A27" w:rsidP="00B36A70">
      <w:pPr>
        <w:keepLines/>
        <w:widowControl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Podstawą płatności jest : 1 [szt.] usunięcia drzew i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wyciętych krzewów.</w:t>
      </w:r>
    </w:p>
    <w:p w14:paraId="555F38C4" w14:textId="77777777" w:rsidR="00955A27" w:rsidRPr="001667DB" w:rsidRDefault="00955A27" w:rsidP="00B36A70">
      <w:pPr>
        <w:keepLines/>
        <w:widowControl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Cena jednostkowa obejmuje:</w:t>
      </w:r>
    </w:p>
    <w:p w14:paraId="411194B7" w14:textId="77777777" w:rsidR="00955A27" w:rsidRPr="001667DB" w:rsidRDefault="00955A27" w:rsidP="00B36A70">
      <w:pPr>
        <w:keepLines/>
        <w:widowControl w:val="0"/>
        <w:spacing w:after="120" w:line="360" w:lineRule="auto"/>
        <w:ind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r w:rsidRPr="001667DB">
        <w:rPr>
          <w:rFonts w:ascii="Times New Roman" w:hAnsi="Times New Roman" w:cs="Times New Roman"/>
          <w:color w:val="000000" w:themeColor="text1"/>
        </w:rPr>
        <w:tab/>
        <w:t>wycinkę drzew</w:t>
      </w:r>
    </w:p>
    <w:p w14:paraId="5A82FE54" w14:textId="77777777" w:rsidR="00955A27" w:rsidRPr="001667DB" w:rsidRDefault="00955A27" w:rsidP="00B36A70">
      <w:pPr>
        <w:keepLines/>
        <w:widowControl w:val="0"/>
        <w:numPr>
          <w:ilvl w:val="0"/>
          <w:numId w:val="15"/>
        </w:numPr>
        <w:tabs>
          <w:tab w:val="left" w:pos="851"/>
          <w:tab w:val="left" w:pos="1134"/>
          <w:tab w:val="left" w:pos="1701"/>
        </w:tabs>
        <w:overflowPunct w:val="0"/>
        <w:spacing w:after="120" w:line="360" w:lineRule="auto"/>
        <w:ind w:left="0"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obcięcie gałęzi</w:t>
      </w:r>
    </w:p>
    <w:p w14:paraId="6E63D227" w14:textId="77777777" w:rsidR="00955A27" w:rsidRPr="001667DB" w:rsidRDefault="00955A27" w:rsidP="00B36A70">
      <w:pPr>
        <w:keepLines/>
        <w:widowControl w:val="0"/>
        <w:numPr>
          <w:ilvl w:val="0"/>
          <w:numId w:val="15"/>
        </w:numPr>
        <w:tabs>
          <w:tab w:val="left" w:pos="851"/>
          <w:tab w:val="left" w:pos="1134"/>
          <w:tab w:val="left" w:pos="1701"/>
        </w:tabs>
        <w:overflowPunct w:val="0"/>
        <w:spacing w:after="120" w:line="360" w:lineRule="auto"/>
        <w:ind w:left="0"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wycięcie krzewów</w:t>
      </w:r>
    </w:p>
    <w:p w14:paraId="068202C1" w14:textId="77777777" w:rsidR="00955A27" w:rsidRPr="001667DB" w:rsidRDefault="00955A27" w:rsidP="00B36A70">
      <w:pPr>
        <w:keepLines/>
        <w:widowControl w:val="0"/>
        <w:numPr>
          <w:ilvl w:val="0"/>
          <w:numId w:val="15"/>
        </w:numPr>
        <w:tabs>
          <w:tab w:val="left" w:pos="851"/>
          <w:tab w:val="left" w:pos="1134"/>
          <w:tab w:val="left" w:pos="1701"/>
        </w:tabs>
        <w:overflowPunct w:val="0"/>
        <w:spacing w:after="120" w:line="360" w:lineRule="auto"/>
        <w:ind w:left="0"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karczowanie pni</w:t>
      </w:r>
    </w:p>
    <w:p w14:paraId="44B05ED6" w14:textId="77777777" w:rsidR="00955A27" w:rsidRPr="001667DB" w:rsidRDefault="00955A27" w:rsidP="00B36A70">
      <w:pPr>
        <w:keepLines/>
        <w:widowControl w:val="0"/>
        <w:numPr>
          <w:ilvl w:val="0"/>
          <w:numId w:val="15"/>
        </w:numPr>
        <w:tabs>
          <w:tab w:val="left" w:pos="851"/>
          <w:tab w:val="left" w:pos="1134"/>
          <w:tab w:val="left" w:pos="1701"/>
        </w:tabs>
        <w:overflowPunct w:val="0"/>
        <w:spacing w:after="120" w:line="360" w:lineRule="auto"/>
        <w:ind w:left="0"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rozdrobnienie materiału drzewnego</w:t>
      </w:r>
    </w:p>
    <w:p w14:paraId="3D32FE7A" w14:textId="77777777" w:rsidR="00955A27" w:rsidRPr="001667DB" w:rsidRDefault="00955A27" w:rsidP="00B36A70">
      <w:pPr>
        <w:keepLines/>
        <w:widowControl w:val="0"/>
        <w:numPr>
          <w:ilvl w:val="0"/>
          <w:numId w:val="15"/>
        </w:numPr>
        <w:tabs>
          <w:tab w:val="left" w:pos="851"/>
          <w:tab w:val="left" w:pos="1134"/>
          <w:tab w:val="left" w:pos="1701"/>
        </w:tabs>
        <w:overflowPunct w:val="0"/>
        <w:spacing w:after="120" w:line="360" w:lineRule="auto"/>
        <w:ind w:left="0"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zasypanie dołów po wykarczowaniu wraz z zagęszczeniem</w:t>
      </w:r>
    </w:p>
    <w:p w14:paraId="685953C7" w14:textId="77777777" w:rsidR="00955A27" w:rsidRPr="001667DB" w:rsidRDefault="00955A27" w:rsidP="00B36A70">
      <w:pPr>
        <w:keepLines/>
        <w:widowControl w:val="0"/>
        <w:spacing w:after="120" w:line="360" w:lineRule="auto"/>
        <w:ind w:firstLine="540"/>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r w:rsidRPr="001667DB">
        <w:rPr>
          <w:rFonts w:ascii="Times New Roman" w:hAnsi="Times New Roman" w:cs="Times New Roman"/>
          <w:color w:val="000000" w:themeColor="text1"/>
        </w:rPr>
        <w:tab/>
        <w:t>załadunek i transport na składowisko Wykonawcy wraz z kosztami składowania.</w:t>
      </w:r>
    </w:p>
    <w:p w14:paraId="45EFE1BE" w14:textId="77777777" w:rsidR="00955A27" w:rsidRPr="001667DB" w:rsidRDefault="00955A27" w:rsidP="00B36A70">
      <w:pPr>
        <w:pStyle w:val="Punkty"/>
        <w:numPr>
          <w:ilvl w:val="0"/>
          <w:numId w:val="16"/>
        </w:numPr>
        <w:spacing w:before="0" w:after="120" w:line="360" w:lineRule="auto"/>
        <w:jc w:val="both"/>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 </w:t>
      </w:r>
      <w:r w:rsidRPr="001667DB">
        <w:rPr>
          <w:rFonts w:ascii="Times New Roman" w:hAnsi="Times New Roman"/>
          <w:color w:val="000000" w:themeColor="text1"/>
          <w:sz w:val="22"/>
          <w:szCs w:val="22"/>
        </w:rPr>
        <w:tab/>
        <w:t>Przepisy związane.</w:t>
      </w:r>
    </w:p>
    <w:p w14:paraId="1EB417CF" w14:textId="77777777" w:rsidR="00955A27" w:rsidRPr="001667DB" w:rsidRDefault="00955A27" w:rsidP="00B36A70">
      <w:pPr>
        <w:keepLines/>
        <w:widowControl w:val="0"/>
        <w:numPr>
          <w:ilvl w:val="0"/>
          <w:numId w:val="17"/>
        </w:numPr>
        <w:spacing w:after="120" w:line="360" w:lineRule="auto"/>
        <w:ind w:left="70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BN-72/8932-01</w:t>
      </w:r>
      <w:r w:rsidRPr="001667DB">
        <w:rPr>
          <w:rFonts w:ascii="Times New Roman" w:hAnsi="Times New Roman" w:cs="Times New Roman"/>
          <w:color w:val="000000" w:themeColor="text1"/>
        </w:rPr>
        <w:tab/>
        <w:t>-      Budowle kolejowe i drogowe. Roboty  ziemne.</w:t>
      </w:r>
    </w:p>
    <w:p w14:paraId="7E02153F" w14:textId="77777777" w:rsidR="00955A27" w:rsidRPr="001667DB" w:rsidRDefault="00955A27" w:rsidP="00B36A70">
      <w:pPr>
        <w:keepLines/>
        <w:widowControl w:val="0"/>
        <w:numPr>
          <w:ilvl w:val="0"/>
          <w:numId w:val="17"/>
        </w:numPr>
        <w:spacing w:after="120" w:line="360" w:lineRule="auto"/>
        <w:ind w:left="70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Rozporządzenie Ministrów Komunikacji oraz Administracji, Gospodarki Terenowej i Ochrony Środowiska z 10.02.1977 w sprawie bezpieczeństwa i higieny pracy przy wykonywaniu robót drogowych i mostowych (DZ. Ustaw nr 7, pozycja 30). </w:t>
      </w:r>
    </w:p>
    <w:p w14:paraId="30F602CE" w14:textId="77777777" w:rsidR="00955A27" w:rsidRPr="001667DB" w:rsidRDefault="00955A27" w:rsidP="00B36A70">
      <w:pPr>
        <w:spacing w:after="120" w:line="360" w:lineRule="auto"/>
        <w:jc w:val="both"/>
        <w:rPr>
          <w:rFonts w:ascii="Times New Roman" w:hAnsi="Times New Roman" w:cs="Times New Roman"/>
          <w:color w:val="000000" w:themeColor="text1"/>
        </w:rPr>
      </w:pPr>
    </w:p>
    <w:p w14:paraId="68D6687C" w14:textId="77777777" w:rsidR="00A62596" w:rsidRDefault="00A62596" w:rsidP="00B36A70">
      <w:pPr>
        <w:jc w:val="both"/>
        <w:rPr>
          <w:rFonts w:ascii="Times New Roman" w:hAnsi="Times New Roman" w:cs="Times New Roman"/>
          <w:b/>
          <w:color w:val="000000" w:themeColor="text1"/>
        </w:rPr>
      </w:pPr>
      <w:r>
        <w:rPr>
          <w:rFonts w:ascii="Times New Roman" w:hAnsi="Times New Roman" w:cs="Times New Roman"/>
          <w:b/>
          <w:color w:val="000000" w:themeColor="text1"/>
        </w:rPr>
        <w:br w:type="page"/>
      </w:r>
    </w:p>
    <w:p w14:paraId="04733A1D" w14:textId="77777777" w:rsidR="00955A27" w:rsidRPr="001667DB" w:rsidRDefault="0008270D" w:rsidP="00D1442B">
      <w:pPr>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D</w:t>
      </w:r>
      <w:r w:rsidR="00955A27" w:rsidRPr="001667DB">
        <w:rPr>
          <w:rFonts w:ascii="Times New Roman" w:hAnsi="Times New Roman" w:cs="Times New Roman"/>
          <w:b/>
          <w:color w:val="000000" w:themeColor="text1"/>
        </w:rPr>
        <w:t>.01.02.02.</w:t>
      </w:r>
      <w:r w:rsidR="00955A27" w:rsidRPr="001667DB">
        <w:rPr>
          <w:rFonts w:ascii="Times New Roman" w:hAnsi="Times New Roman" w:cs="Times New Roman"/>
          <w:b/>
          <w:color w:val="000000" w:themeColor="text1"/>
        </w:rPr>
        <w:tab/>
        <w:t xml:space="preserve">USUNIĘCIE WARSTWY HUMUSU </w:t>
      </w:r>
    </w:p>
    <w:p w14:paraId="53890E93" w14:textId="77777777" w:rsidR="00955A27" w:rsidRPr="001667DB" w:rsidRDefault="00955A27" w:rsidP="00F55914">
      <w:pPr>
        <w:pStyle w:val="Akapitzlist"/>
        <w:keepNext/>
        <w:numPr>
          <w:ilvl w:val="0"/>
          <w:numId w:val="21"/>
        </w:numPr>
        <w:tabs>
          <w:tab w:val="num" w:pos="284"/>
          <w:tab w:val="left" w:pos="1134"/>
          <w:tab w:val="left" w:pos="1701"/>
        </w:tabs>
        <w:overflowPunct/>
        <w:autoSpaceDE/>
        <w:autoSpaceDN/>
        <w:adjustRightInd/>
        <w:spacing w:after="120" w:line="360" w:lineRule="auto"/>
        <w:ind w:left="397"/>
        <w:textAlignment w:val="auto"/>
        <w:outlineLvl w:val="0"/>
        <w:rPr>
          <w:b/>
          <w:caps/>
          <w:color w:val="000000" w:themeColor="text1"/>
          <w:kern w:val="28"/>
          <w:sz w:val="22"/>
          <w:szCs w:val="22"/>
        </w:rPr>
      </w:pPr>
      <w:r w:rsidRPr="001667DB">
        <w:rPr>
          <w:b/>
          <w:caps/>
          <w:color w:val="000000" w:themeColor="text1"/>
          <w:kern w:val="28"/>
          <w:sz w:val="22"/>
          <w:szCs w:val="22"/>
        </w:rPr>
        <w:t>WSTĘP</w:t>
      </w:r>
    </w:p>
    <w:p w14:paraId="4C010567" w14:textId="77777777" w:rsidR="00955A27" w:rsidRPr="001667DB" w:rsidRDefault="00955A27" w:rsidP="00F55914">
      <w:pPr>
        <w:pStyle w:val="Akapitzlist"/>
        <w:keepNext/>
        <w:numPr>
          <w:ilvl w:val="1"/>
          <w:numId w:val="21"/>
        </w:numPr>
        <w:tabs>
          <w:tab w:val="num" w:pos="851"/>
          <w:tab w:val="left" w:pos="1134"/>
          <w:tab w:val="left" w:pos="1701"/>
        </w:tabs>
        <w:overflowPunct/>
        <w:autoSpaceDE/>
        <w:autoSpaceDN/>
        <w:adjustRightInd/>
        <w:spacing w:after="120" w:line="360" w:lineRule="auto"/>
        <w:ind w:left="397"/>
        <w:textAlignment w:val="auto"/>
        <w:outlineLvl w:val="1"/>
        <w:rPr>
          <w:b/>
          <w:color w:val="000000" w:themeColor="text1"/>
          <w:sz w:val="22"/>
          <w:szCs w:val="22"/>
        </w:rPr>
      </w:pPr>
      <w:r w:rsidRPr="001667DB">
        <w:rPr>
          <w:b/>
          <w:color w:val="000000" w:themeColor="text1"/>
          <w:sz w:val="22"/>
          <w:szCs w:val="22"/>
        </w:rPr>
        <w:t>Przedmiot Specyfikacji Technicznej</w:t>
      </w:r>
    </w:p>
    <w:p w14:paraId="5E391EC0" w14:textId="77777777" w:rsidR="00955A27" w:rsidRPr="001667DB" w:rsidRDefault="00955A27" w:rsidP="00B36A70">
      <w:pPr>
        <w:spacing w:after="120" w:line="360" w:lineRule="auto"/>
        <w:ind w:left="90" w:firstLine="360"/>
        <w:jc w:val="both"/>
        <w:rPr>
          <w:rFonts w:ascii="Times New Roman" w:eastAsia="Calibri" w:hAnsi="Times New Roman" w:cs="Times New Roman"/>
          <w:b/>
          <w:color w:val="000000" w:themeColor="text1"/>
        </w:rPr>
      </w:pPr>
      <w:r w:rsidRPr="001667DB">
        <w:rPr>
          <w:rFonts w:ascii="Times New Roman" w:hAnsi="Times New Roman" w:cs="Times New Roman"/>
          <w:color w:val="000000" w:themeColor="text1"/>
        </w:rPr>
        <w:tab/>
        <w:t xml:space="preserve">Przedmiotem niniejszej Specyfikacji Technicznej są wymagania dotyczące wykonania i odbioru robót związanych z usunięciem warstwy humusu w ramach realizacji zadania: </w:t>
      </w:r>
      <w:r w:rsidR="00FD3B41" w:rsidRPr="00FD3B41">
        <w:rPr>
          <w:rFonts w:ascii="Times New Roman" w:hAnsi="Times New Roman" w:cs="Times New Roman"/>
          <w:b/>
          <w:color w:val="000000" w:themeColor="text1"/>
        </w:rPr>
        <w:t>„Rozbudowa drogi wojewódzkiej nr 461 w m. Dąbrówka Łubniańska i Łubniany” – Etap I ( km od 9+741,88 do 10+371,13)</w:t>
      </w:r>
    </w:p>
    <w:p w14:paraId="505D9FE3" w14:textId="77777777" w:rsidR="00955A27" w:rsidRPr="001667DB" w:rsidRDefault="00955A27" w:rsidP="00B36A70">
      <w:pPr>
        <w:keepNext/>
        <w:numPr>
          <w:ilvl w:val="1"/>
          <w:numId w:val="0"/>
        </w:numPr>
        <w:tabs>
          <w:tab w:val="num" w:pos="851"/>
          <w:tab w:val="left" w:pos="1134"/>
          <w:tab w:val="left" w:pos="1701"/>
        </w:tabs>
        <w:spacing w:after="120" w:line="360" w:lineRule="auto"/>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1.2 Zakres stosowania ST</w:t>
      </w:r>
    </w:p>
    <w:p w14:paraId="32CBB623"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ST jest stosowana jako dokument przetargowy i kontraktowy przy zlecaniu i realizacji robót wymienionych w pkt.1.1. </w:t>
      </w:r>
    </w:p>
    <w:p w14:paraId="4C171B0E" w14:textId="77777777" w:rsidR="00955A27" w:rsidRPr="001667DB" w:rsidRDefault="00955A27" w:rsidP="00B36A70">
      <w:pPr>
        <w:keepNext/>
        <w:numPr>
          <w:ilvl w:val="1"/>
          <w:numId w:val="0"/>
        </w:numPr>
        <w:tabs>
          <w:tab w:val="num" w:pos="851"/>
          <w:tab w:val="left" w:pos="1134"/>
          <w:tab w:val="left" w:pos="1701"/>
        </w:tabs>
        <w:spacing w:after="120" w:line="360" w:lineRule="auto"/>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1.3 Zakres Robót objętych ST</w:t>
      </w:r>
    </w:p>
    <w:p w14:paraId="2D75C6B9"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wykonania Robót wymienionych w p. 1.1., związanych z usunięciem warstwy humusu.</w:t>
      </w:r>
    </w:p>
    <w:p w14:paraId="1A556A7F"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ab/>
        <w:t>Zakres robót obejmuje:</w:t>
      </w:r>
    </w:p>
    <w:p w14:paraId="59E341F5" w14:textId="77777777" w:rsidR="00955A27" w:rsidRPr="001667DB" w:rsidRDefault="00955A27" w:rsidP="00B36A70">
      <w:pPr>
        <w:numPr>
          <w:ilvl w:val="0"/>
          <w:numId w:val="22"/>
        </w:num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usunięcie warstwy humusu</w:t>
      </w:r>
    </w:p>
    <w:p w14:paraId="7E663A34" w14:textId="77777777" w:rsidR="00955A27" w:rsidRPr="001667DB" w:rsidRDefault="00955A27" w:rsidP="00B36A70">
      <w:pPr>
        <w:numPr>
          <w:ilvl w:val="0"/>
          <w:numId w:val="22"/>
        </w:numPr>
        <w:tabs>
          <w:tab w:val="left" w:pos="851"/>
          <w:tab w:val="left" w:pos="1134"/>
          <w:tab w:val="left" w:pos="1701"/>
        </w:tabs>
        <w:spacing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zmagazynowanie humusu na hałdzie </w:t>
      </w:r>
    </w:p>
    <w:p w14:paraId="32D3D3CE"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03714382"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1.4 Określenia podstawowe </w:t>
      </w:r>
    </w:p>
    <w:p w14:paraId="2B377226" w14:textId="77777777" w:rsidR="00955A27" w:rsidRPr="001667DB" w:rsidRDefault="00955A27" w:rsidP="00B36A70">
      <w:pPr>
        <w:keepNext/>
        <w:numPr>
          <w:ilvl w:val="2"/>
          <w:numId w:val="0"/>
        </w:numPr>
        <w:tabs>
          <w:tab w:val="num" w:pos="851"/>
          <w:tab w:val="left" w:pos="1134"/>
          <w:tab w:val="left" w:pos="1701"/>
        </w:tabs>
        <w:spacing w:after="120" w:line="360" w:lineRule="auto"/>
        <w:ind w:left="851" w:hanging="851"/>
        <w:jc w:val="both"/>
        <w:outlineLvl w:val="2"/>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1.5 Warstwa humusu </w:t>
      </w:r>
      <w:r w:rsidRPr="001667DB">
        <w:rPr>
          <w:rFonts w:ascii="Times New Roman" w:hAnsi="Times New Roman" w:cs="Times New Roman"/>
          <w:color w:val="000000" w:themeColor="text1"/>
        </w:rPr>
        <w:t xml:space="preserve">- warstwa ziemi roślinnej urodzajnej nadającej się do upraw rolnych. </w:t>
      </w:r>
    </w:p>
    <w:p w14:paraId="0922DDD2" w14:textId="77777777" w:rsidR="00955A27" w:rsidRPr="001667DB" w:rsidRDefault="00955A27" w:rsidP="00B36A70">
      <w:pPr>
        <w:keepNext/>
        <w:numPr>
          <w:ilvl w:val="2"/>
          <w:numId w:val="0"/>
        </w:numPr>
        <w:tabs>
          <w:tab w:val="num" w:pos="851"/>
          <w:tab w:val="left" w:pos="1134"/>
          <w:tab w:val="left" w:pos="1701"/>
        </w:tabs>
        <w:spacing w:after="120" w:line="360" w:lineRule="auto"/>
        <w:ind w:left="851" w:hanging="851"/>
        <w:jc w:val="both"/>
        <w:outlineLvl w:val="2"/>
        <w:rPr>
          <w:rFonts w:ascii="Times New Roman" w:hAnsi="Times New Roman" w:cs="Times New Roman"/>
          <w:color w:val="000000" w:themeColor="text1"/>
        </w:rPr>
      </w:pPr>
      <w:r w:rsidRPr="001667DB">
        <w:rPr>
          <w:rFonts w:ascii="Times New Roman" w:hAnsi="Times New Roman" w:cs="Times New Roman"/>
          <w:color w:val="000000" w:themeColor="text1"/>
        </w:rPr>
        <w:t>Pozostałe określenia podstawowe podane w niniejszej Specyfikac</w:t>
      </w:r>
      <w:r w:rsidR="00B36A70">
        <w:rPr>
          <w:rFonts w:ascii="Times New Roman" w:hAnsi="Times New Roman" w:cs="Times New Roman"/>
          <w:color w:val="000000" w:themeColor="text1"/>
        </w:rPr>
        <w:t>ji są zgodne z zamieszczonymi w </w:t>
      </w:r>
      <w:r w:rsidRPr="001667DB">
        <w:rPr>
          <w:rFonts w:ascii="Times New Roman" w:hAnsi="Times New Roman" w:cs="Times New Roman"/>
          <w:color w:val="000000" w:themeColor="text1"/>
        </w:rPr>
        <w:t xml:space="preserve">Specyfikacji D.00.00.00.Wymagania ogólne </w:t>
      </w:r>
    </w:p>
    <w:p w14:paraId="19A475BE"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1.6 Ogólne wymagania dotyczące robót </w:t>
      </w:r>
    </w:p>
    <w:p w14:paraId="5545B331"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Robót podano w Specyfikacji D.00.00.00. "Wymagania ogólne" </w:t>
      </w:r>
    </w:p>
    <w:p w14:paraId="6DF84F57"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97"/>
        <w:textAlignment w:val="auto"/>
        <w:outlineLvl w:val="0"/>
        <w:rPr>
          <w:b/>
          <w:caps/>
          <w:color w:val="000000" w:themeColor="text1"/>
          <w:kern w:val="28"/>
          <w:sz w:val="22"/>
          <w:szCs w:val="22"/>
        </w:rPr>
      </w:pPr>
      <w:r w:rsidRPr="001667DB">
        <w:rPr>
          <w:b/>
          <w:caps/>
          <w:color w:val="000000" w:themeColor="text1"/>
          <w:kern w:val="28"/>
          <w:sz w:val="22"/>
          <w:szCs w:val="22"/>
        </w:rPr>
        <w:t xml:space="preserve">MATERIAŁY </w:t>
      </w:r>
    </w:p>
    <w:p w14:paraId="6A08B610" w14:textId="77777777" w:rsidR="00955A27" w:rsidRPr="001667DB" w:rsidRDefault="00955A27" w:rsidP="00B36A70">
      <w:pPr>
        <w:tabs>
          <w:tab w:val="left" w:pos="851"/>
          <w:tab w:val="left" w:pos="1134"/>
          <w:tab w:val="left" w:pos="1701"/>
        </w:tabs>
        <w:spacing w:after="120" w:line="360" w:lineRule="auto"/>
        <w:jc w:val="both"/>
        <w:outlineLvl w:val="0"/>
        <w:rPr>
          <w:rFonts w:ascii="Times New Roman" w:hAnsi="Times New Roman" w:cs="Times New Roman"/>
          <w:color w:val="000000" w:themeColor="text1"/>
        </w:rPr>
      </w:pPr>
      <w:r w:rsidRPr="001667DB">
        <w:rPr>
          <w:rFonts w:ascii="Times New Roman" w:hAnsi="Times New Roman" w:cs="Times New Roman"/>
          <w:color w:val="000000" w:themeColor="text1"/>
        </w:rPr>
        <w:tab/>
        <w:t>Nie występują.</w:t>
      </w:r>
    </w:p>
    <w:p w14:paraId="6B3D6E95"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 xml:space="preserve">SPRZĘT </w:t>
      </w:r>
    </w:p>
    <w:p w14:paraId="2EC8441D"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3.1 Ogólne wymagania dotyczące sprzętu </w:t>
      </w:r>
    </w:p>
    <w:p w14:paraId="53E9DB49"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sprzętu podano w Specyfikacji D.00.00.00 "Wymagania ogólne". </w:t>
      </w:r>
    </w:p>
    <w:p w14:paraId="4D8E55B0"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Sprzęt przyjąć wg zaleceń Wykonawcy.</w:t>
      </w:r>
    </w:p>
    <w:p w14:paraId="687A166E"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 xml:space="preserve">TRANSPORT </w:t>
      </w:r>
    </w:p>
    <w:p w14:paraId="2EBB5D78"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4.1 Ogólne wymagania dotyczące transportu </w:t>
      </w:r>
    </w:p>
    <w:p w14:paraId="64FD8076"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Specyfikacji D.00.00.00. "Wymagania ogólne" .</w:t>
      </w:r>
    </w:p>
    <w:p w14:paraId="6C360DB9"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4.2 Transport humusu</w:t>
      </w:r>
    </w:p>
    <w:p w14:paraId="70B970C2"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Zdjęty humus transportowany będzie na pryzmy dowolnymi samowyładowczymi środkami transportu zaakceptowanymi przez Inżyniera. </w:t>
      </w:r>
    </w:p>
    <w:p w14:paraId="1527BABD"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 xml:space="preserve">WYKONANIE ROBOT </w:t>
      </w:r>
    </w:p>
    <w:p w14:paraId="3033ACAB"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5.1  Ogólne zasady wykonania robót</w:t>
      </w:r>
    </w:p>
    <w:p w14:paraId="4973E4F3"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D.00.00.00. „Wymagania Ogólne”.</w:t>
      </w:r>
    </w:p>
    <w:p w14:paraId="7E232D64"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przedstawi Inżynierowi do akceptacji Projekt Technologii i Organizacji Robót oraz Program Zapewnienia Jakości uwzględniający wszystkie warunki, w jakich będą wykonywane Roboty.</w:t>
      </w:r>
    </w:p>
    <w:p w14:paraId="269163D8" w14:textId="77777777" w:rsidR="00955A27" w:rsidRPr="001667DB" w:rsidRDefault="00955A27" w:rsidP="00B36A70">
      <w:pPr>
        <w:keepNext/>
        <w:numPr>
          <w:ilvl w:val="1"/>
          <w:numId w:val="0"/>
        </w:numPr>
        <w:tabs>
          <w:tab w:val="num" w:pos="851"/>
          <w:tab w:val="left" w:pos="1134"/>
          <w:tab w:val="left" w:pos="1701"/>
        </w:tabs>
        <w:spacing w:after="120" w:line="360" w:lineRule="auto"/>
        <w:ind w:left="851" w:hanging="851"/>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5.2 Zakres wykonywanych robót: </w:t>
      </w:r>
    </w:p>
    <w:p w14:paraId="32B01B87" w14:textId="77777777" w:rsidR="00955A27" w:rsidRPr="001667DB" w:rsidRDefault="00955A27" w:rsidP="00B36A70">
      <w:pPr>
        <w:keepNext/>
        <w:numPr>
          <w:ilvl w:val="2"/>
          <w:numId w:val="0"/>
        </w:numPr>
        <w:tabs>
          <w:tab w:val="num" w:pos="851"/>
          <w:tab w:val="left" w:pos="1134"/>
          <w:tab w:val="left" w:pos="1701"/>
        </w:tabs>
        <w:spacing w:after="120" w:line="360" w:lineRule="auto"/>
        <w:ind w:left="851" w:hanging="851"/>
        <w:jc w:val="both"/>
        <w:outlineLvl w:val="2"/>
        <w:rPr>
          <w:rFonts w:ascii="Times New Roman" w:hAnsi="Times New Roman" w:cs="Times New Roman"/>
          <w:color w:val="000000" w:themeColor="text1"/>
        </w:rPr>
      </w:pPr>
      <w:r w:rsidRPr="001667DB">
        <w:rPr>
          <w:rFonts w:ascii="Times New Roman" w:hAnsi="Times New Roman" w:cs="Times New Roman"/>
          <w:color w:val="000000" w:themeColor="text1"/>
        </w:rPr>
        <w:t xml:space="preserve">Zdjęcie warstwy humusu </w:t>
      </w:r>
    </w:p>
    <w:p w14:paraId="291CDD84"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Warstwa humusu powinna być zdjęta na całą grubość jej zalegania (30 cm) z przeznaczeniem do późniejszego użycia przy doprowadzeniu terenu do stanu pierwotnego. Zdjęty humus należy składować regularnych pryzmach nie wyższych niż </w:t>
      </w:r>
      <w:smartTag w:uri="urn:schemas-microsoft-com:office:smarttags" w:element="metricconverter">
        <w:smartTagPr>
          <w:attr w:name="ProductID" w:val="3 metry"/>
        </w:smartTagPr>
        <w:r w:rsidRPr="001667DB">
          <w:rPr>
            <w:rFonts w:ascii="Times New Roman" w:hAnsi="Times New Roman" w:cs="Times New Roman"/>
            <w:color w:val="000000" w:themeColor="text1"/>
          </w:rPr>
          <w:t>3 metry</w:t>
        </w:r>
      </w:smartTag>
      <w:r w:rsidRPr="001667DB">
        <w:rPr>
          <w:rFonts w:ascii="Times New Roman" w:hAnsi="Times New Roman" w:cs="Times New Roman"/>
          <w:color w:val="000000" w:themeColor="text1"/>
        </w:rPr>
        <w:t xml:space="preserve">. Miejsca składowania humusu powinny być przez Wykonawcę tak wybrane, aby humus był zabezpieczony przed zanieczyszczeniami. </w:t>
      </w:r>
    </w:p>
    <w:p w14:paraId="536AD1C4" w14:textId="77777777" w:rsidR="00955A27" w:rsidRPr="001667DB" w:rsidRDefault="00955A27" w:rsidP="00B36A70">
      <w:pPr>
        <w:keepNext/>
        <w:numPr>
          <w:ilvl w:val="2"/>
          <w:numId w:val="0"/>
        </w:numPr>
        <w:tabs>
          <w:tab w:val="num" w:pos="851"/>
          <w:tab w:val="left" w:pos="1134"/>
          <w:tab w:val="left" w:pos="1701"/>
        </w:tabs>
        <w:spacing w:after="120" w:line="360" w:lineRule="auto"/>
        <w:ind w:left="851" w:hanging="851"/>
        <w:jc w:val="both"/>
        <w:outlineLvl w:val="2"/>
        <w:rPr>
          <w:rFonts w:ascii="Times New Roman" w:hAnsi="Times New Roman" w:cs="Times New Roman"/>
          <w:color w:val="000000" w:themeColor="text1"/>
        </w:rPr>
      </w:pPr>
      <w:r w:rsidRPr="001667DB">
        <w:rPr>
          <w:rFonts w:ascii="Times New Roman" w:hAnsi="Times New Roman" w:cs="Times New Roman"/>
          <w:color w:val="000000" w:themeColor="text1"/>
        </w:rPr>
        <w:t xml:space="preserve">Załadunek i transport humusu </w:t>
      </w:r>
    </w:p>
    <w:p w14:paraId="43FE2A9D"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Załadunek odbędzie się przy użyciu sprzętu wymienionego w punkcie 3 niniejszej specyfikacji, a przewóz zostanie określony przez wykonawcę.  </w:t>
      </w:r>
    </w:p>
    <w:p w14:paraId="08B59DC8"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p>
    <w:p w14:paraId="3A72C5D7" w14:textId="77777777" w:rsidR="00955A27" w:rsidRPr="001667DB" w:rsidRDefault="00955A27" w:rsidP="00F55914">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97"/>
        <w:textAlignment w:val="auto"/>
        <w:outlineLvl w:val="0"/>
        <w:rPr>
          <w:b/>
          <w:caps/>
          <w:color w:val="000000" w:themeColor="text1"/>
          <w:kern w:val="28"/>
          <w:sz w:val="22"/>
          <w:szCs w:val="22"/>
        </w:rPr>
      </w:pPr>
      <w:r w:rsidRPr="001667DB">
        <w:rPr>
          <w:b/>
          <w:caps/>
          <w:color w:val="000000" w:themeColor="text1"/>
          <w:kern w:val="28"/>
          <w:sz w:val="22"/>
          <w:szCs w:val="22"/>
        </w:rPr>
        <w:t xml:space="preserve">KONTROLA JAKOŚCI ROBÓT </w:t>
      </w:r>
    </w:p>
    <w:p w14:paraId="601CAE2F" w14:textId="77777777" w:rsidR="00955A27" w:rsidRPr="001667DB" w:rsidRDefault="00955A27" w:rsidP="00955A27">
      <w:pPr>
        <w:keepNext/>
        <w:numPr>
          <w:ilvl w:val="1"/>
          <w:numId w:val="0"/>
        </w:numPr>
        <w:tabs>
          <w:tab w:val="left" w:pos="284"/>
          <w:tab w:val="num" w:pos="851"/>
        </w:tabs>
        <w:spacing w:after="120" w:line="360" w:lineRule="auto"/>
        <w:ind w:left="851" w:hanging="851"/>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6.1 Ogólne zasady kontroli jakości robót </w:t>
      </w:r>
    </w:p>
    <w:p w14:paraId="47531C30" w14:textId="77777777" w:rsidR="00955A27" w:rsidRPr="001667DB" w:rsidRDefault="00955A27" w:rsidP="00955A27">
      <w:pPr>
        <w:tabs>
          <w:tab w:val="left" w:pos="851"/>
          <w:tab w:val="left" w:pos="1134"/>
          <w:tab w:val="left" w:pos="1701"/>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zasady kontroli jakości Robót podano w Specyfikacji D.00.00.00. "Wymagania ogólne" </w:t>
      </w:r>
    </w:p>
    <w:p w14:paraId="5A6D327B" w14:textId="77777777" w:rsidR="00955A27" w:rsidRPr="001667DB" w:rsidRDefault="00955A27" w:rsidP="00955A27">
      <w:pPr>
        <w:keepNext/>
        <w:numPr>
          <w:ilvl w:val="1"/>
          <w:numId w:val="0"/>
        </w:numPr>
        <w:tabs>
          <w:tab w:val="left" w:pos="284"/>
          <w:tab w:val="num" w:pos="851"/>
          <w:tab w:val="left" w:pos="1134"/>
          <w:tab w:val="left" w:pos="1701"/>
        </w:tabs>
        <w:spacing w:after="120" w:line="360" w:lineRule="auto"/>
        <w:ind w:left="851" w:hanging="851"/>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6.2 Kontroli podlega w szczególności zgodność wykonania robót z Dokumentacją Projektową: </w:t>
      </w:r>
    </w:p>
    <w:p w14:paraId="2A3678BE" w14:textId="77777777" w:rsidR="00955A27" w:rsidRPr="001667DB" w:rsidRDefault="00955A27" w:rsidP="00F55914">
      <w:pPr>
        <w:numPr>
          <w:ilvl w:val="0"/>
          <w:numId w:val="20"/>
        </w:numPr>
        <w:tabs>
          <w:tab w:val="clear" w:pos="1800"/>
          <w:tab w:val="left" w:pos="851"/>
          <w:tab w:val="left" w:pos="1134"/>
          <w:tab w:val="num" w:pos="1440"/>
          <w:tab w:val="left" w:pos="1701"/>
        </w:tabs>
        <w:spacing w:after="120" w:line="360"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powierzchnia zdjęcia humusu, </w:t>
      </w:r>
    </w:p>
    <w:p w14:paraId="06C2E59F" w14:textId="77777777" w:rsidR="00955A27" w:rsidRPr="001667DB" w:rsidRDefault="00955A27" w:rsidP="00F55914">
      <w:pPr>
        <w:numPr>
          <w:ilvl w:val="0"/>
          <w:numId w:val="20"/>
        </w:numPr>
        <w:tabs>
          <w:tab w:val="clear" w:pos="1800"/>
          <w:tab w:val="left" w:pos="851"/>
          <w:tab w:val="left" w:pos="1134"/>
          <w:tab w:val="num" w:pos="1440"/>
          <w:tab w:val="left" w:pos="1701"/>
        </w:tabs>
        <w:spacing w:after="120" w:line="360"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zdjętej warstwy humusu, </w:t>
      </w:r>
    </w:p>
    <w:p w14:paraId="7DEFBB02" w14:textId="77777777" w:rsidR="00955A27" w:rsidRPr="001667DB" w:rsidRDefault="00955A27" w:rsidP="00B36A70">
      <w:pPr>
        <w:numPr>
          <w:ilvl w:val="0"/>
          <w:numId w:val="20"/>
        </w:numPr>
        <w:tabs>
          <w:tab w:val="clear" w:pos="1800"/>
          <w:tab w:val="left" w:pos="851"/>
          <w:tab w:val="left" w:pos="1134"/>
          <w:tab w:val="num" w:pos="1440"/>
          <w:tab w:val="left" w:pos="1701"/>
        </w:tabs>
        <w:spacing w:after="120" w:line="360"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prawidłowość spryzmowania humusu. </w:t>
      </w:r>
    </w:p>
    <w:p w14:paraId="70E6290B"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Kontrola jakości robót polega również na wizualnej ocenie prawidłowości ich wykonania.</w:t>
      </w:r>
    </w:p>
    <w:p w14:paraId="48C18BCC"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OBMIAR ROBÓT</w:t>
      </w:r>
    </w:p>
    <w:p w14:paraId="441CF43D"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D.00.00.00.00 „Wymagania ogólne”.</w:t>
      </w:r>
    </w:p>
    <w:p w14:paraId="25D2ADEA" w14:textId="77777777" w:rsidR="00955A27" w:rsidRPr="001667DB" w:rsidRDefault="00955A27" w:rsidP="00B36A70">
      <w:p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Jednostką obmiaru jest metr kwadratowy (m</w:t>
      </w:r>
      <w:r w:rsidRPr="001667DB">
        <w:rPr>
          <w:rFonts w:ascii="Times New Roman" w:hAnsi="Times New Roman" w:cs="Times New Roman"/>
          <w:color w:val="000000" w:themeColor="text1"/>
          <w:position w:val="6"/>
          <w:vertAlign w:val="superscript"/>
        </w:rPr>
        <w:t xml:space="preserve">2 </w:t>
      </w:r>
      <w:r w:rsidRPr="001667DB">
        <w:rPr>
          <w:rFonts w:ascii="Times New Roman" w:hAnsi="Times New Roman" w:cs="Times New Roman"/>
          <w:color w:val="000000" w:themeColor="text1"/>
        </w:rPr>
        <w:t>) zdjętej warstwy humusu według Dokumentacji Projektowej.</w:t>
      </w:r>
    </w:p>
    <w:p w14:paraId="1E66B71D" w14:textId="77777777" w:rsidR="00955A27" w:rsidRPr="001667DB" w:rsidRDefault="00955A27" w:rsidP="00B36A70">
      <w:pPr>
        <w:pStyle w:val="Akapitzlist"/>
        <w:keepNext/>
        <w:numPr>
          <w:ilvl w:val="0"/>
          <w:numId w:val="21"/>
        </w:numPr>
        <w:tabs>
          <w:tab w:val="num" w:pos="284"/>
          <w:tab w:val="num" w:pos="851"/>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ODBIÓR ROBÓT</w:t>
      </w:r>
    </w:p>
    <w:p w14:paraId="658B837D" w14:textId="77777777" w:rsidR="00955A27" w:rsidRPr="001667DB" w:rsidRDefault="00955A27" w:rsidP="00B36A70">
      <w:p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Zdjęcie warstwy humusu podlega odbiorowi Robót zanikających i ulegających zakryciu według zasad podanych w ST D.00.00.00. „Wymagania Ogólne”.</w:t>
      </w:r>
    </w:p>
    <w:p w14:paraId="344035D7" w14:textId="77777777" w:rsidR="00955A27" w:rsidRPr="001667DB" w:rsidRDefault="00955A27" w:rsidP="00B36A70">
      <w:p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p>
    <w:p w14:paraId="1E5E545F" w14:textId="77777777" w:rsidR="00955A27" w:rsidRPr="001667DB" w:rsidRDefault="00955A27" w:rsidP="00B36A70">
      <w:pPr>
        <w:pStyle w:val="Akapitzlist"/>
        <w:keepNext/>
        <w:numPr>
          <w:ilvl w:val="0"/>
          <w:numId w:val="21"/>
        </w:numPr>
        <w:tabs>
          <w:tab w:val="num" w:pos="284"/>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WARUNKI PŁATNOŚCI</w:t>
      </w:r>
    </w:p>
    <w:p w14:paraId="23D77D21" w14:textId="77777777" w:rsidR="00955A27" w:rsidRPr="001667DB" w:rsidRDefault="00955A27" w:rsidP="00B36A70">
      <w:p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dotyczące płatności podano w ST D.00.00.00. „Wymagania Ogólne”.</w:t>
      </w:r>
    </w:p>
    <w:p w14:paraId="1CE832CF" w14:textId="77777777" w:rsidR="00955A27" w:rsidRPr="001667DB" w:rsidRDefault="00955A27" w:rsidP="00B36A70">
      <w:p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Płaci się za metr kwadratowy (m</w:t>
      </w:r>
      <w:r w:rsidRPr="001667DB">
        <w:rPr>
          <w:rFonts w:ascii="Times New Roman" w:hAnsi="Times New Roman" w:cs="Times New Roman"/>
          <w:color w:val="000000" w:themeColor="text1"/>
          <w:position w:val="6"/>
          <w:vertAlign w:val="superscript"/>
        </w:rPr>
        <w:t xml:space="preserve">2 </w:t>
      </w:r>
      <w:r w:rsidRPr="001667DB">
        <w:rPr>
          <w:rFonts w:ascii="Times New Roman" w:hAnsi="Times New Roman" w:cs="Times New Roman"/>
          <w:color w:val="000000" w:themeColor="text1"/>
        </w:rPr>
        <w:t>) zgodnie z obmiarem. Cena jednostkowa jest ceną uśrednioną dla założonego sposobu wykonania i obejmuje:</w:t>
      </w:r>
    </w:p>
    <w:p w14:paraId="12F1DE2F"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opracowanie Projektu Technologii i Organizacji Robót oraz Programu Zapewnienia Jakości</w:t>
      </w:r>
    </w:p>
    <w:p w14:paraId="63E56047"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p w14:paraId="71AB6E43"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ręczne i mechaniczne zdjęcie warstwy humusu na pełną głębokość jego zalegania,</w:t>
      </w:r>
    </w:p>
    <w:p w14:paraId="58B204D0"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transport humusu na składowisko przyobiektowe,</w:t>
      </w:r>
    </w:p>
    <w:p w14:paraId="406F7ECC"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utrzymanie odkładu w niezbędnym zakresie,</w:t>
      </w:r>
    </w:p>
    <w:p w14:paraId="10602CC8"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bieżące oczyszczanie dróg dojazdowych z resztek przewożonego humusu nanoszonego kołami pojazdów,</w:t>
      </w:r>
    </w:p>
    <w:p w14:paraId="54A2B1DF"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rekultywacja terenu po likwidacji odkładu,</w:t>
      </w:r>
    </w:p>
    <w:p w14:paraId="008EA137"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oznakowanie miejsca Robót i jego utrzymanie,</w:t>
      </w:r>
    </w:p>
    <w:p w14:paraId="7ACB6F5A" w14:textId="77777777" w:rsidR="00955A27" w:rsidRPr="001667DB" w:rsidRDefault="00955A27" w:rsidP="00B36A70">
      <w:pPr>
        <w:numPr>
          <w:ilvl w:val="0"/>
          <w:numId w:val="19"/>
        </w:numPr>
        <w:tabs>
          <w:tab w:val="left" w:pos="426"/>
          <w:tab w:val="left" w:pos="851"/>
          <w:tab w:val="left" w:pos="1134"/>
          <w:tab w:val="left" w:pos="1701"/>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niezbędnych pomiarów, prób i sprawdzeń.</w:t>
      </w:r>
    </w:p>
    <w:p w14:paraId="697BCE9F" w14:textId="77777777" w:rsidR="00955A27" w:rsidRPr="001667DB" w:rsidRDefault="00955A27" w:rsidP="00B36A70">
      <w:pPr>
        <w:tabs>
          <w:tab w:val="left" w:pos="851"/>
          <w:tab w:val="left" w:pos="1134"/>
          <w:tab w:val="left" w:pos="1701"/>
        </w:tabs>
        <w:spacing w:after="120" w:line="360" w:lineRule="auto"/>
        <w:jc w:val="both"/>
        <w:rPr>
          <w:rFonts w:ascii="Times New Roman" w:hAnsi="Times New Roman" w:cs="Times New Roman"/>
          <w:color w:val="000000" w:themeColor="text1"/>
        </w:rPr>
      </w:pPr>
    </w:p>
    <w:p w14:paraId="4DB2A9F7" w14:textId="77777777" w:rsidR="00955A27" w:rsidRPr="001667DB" w:rsidRDefault="00955A27" w:rsidP="00B36A70">
      <w:pPr>
        <w:pStyle w:val="Akapitzlist"/>
        <w:keepNext/>
        <w:numPr>
          <w:ilvl w:val="0"/>
          <w:numId w:val="21"/>
        </w:numPr>
        <w:tabs>
          <w:tab w:val="num" w:pos="426"/>
          <w:tab w:val="left" w:pos="1134"/>
          <w:tab w:val="left" w:pos="1701"/>
        </w:tabs>
        <w:overflowPunct/>
        <w:autoSpaceDE/>
        <w:autoSpaceDN/>
        <w:adjustRightInd/>
        <w:spacing w:after="120" w:line="360" w:lineRule="auto"/>
        <w:ind w:left="340"/>
        <w:textAlignment w:val="auto"/>
        <w:outlineLvl w:val="0"/>
        <w:rPr>
          <w:b/>
          <w:caps/>
          <w:color w:val="000000" w:themeColor="text1"/>
          <w:kern w:val="28"/>
          <w:sz w:val="22"/>
          <w:szCs w:val="22"/>
        </w:rPr>
      </w:pPr>
      <w:r w:rsidRPr="001667DB">
        <w:rPr>
          <w:b/>
          <w:caps/>
          <w:color w:val="000000" w:themeColor="text1"/>
          <w:kern w:val="28"/>
          <w:sz w:val="22"/>
          <w:szCs w:val="22"/>
        </w:rPr>
        <w:t xml:space="preserve"> PRZEPISY ZWIĄZANE </w:t>
      </w:r>
    </w:p>
    <w:p w14:paraId="5A2F3A67" w14:textId="77777777" w:rsidR="00955A27" w:rsidRDefault="00955A27" w:rsidP="00B36A70">
      <w:pPr>
        <w:tabs>
          <w:tab w:val="left" w:pos="851"/>
          <w:tab w:val="left" w:pos="1134"/>
          <w:tab w:val="left" w:pos="1701"/>
        </w:tabs>
        <w:spacing w:after="120" w:line="360" w:lineRule="auto"/>
        <w:jc w:val="both"/>
        <w:outlineLvl w:val="0"/>
        <w:rPr>
          <w:rFonts w:ascii="Times New Roman" w:hAnsi="Times New Roman" w:cs="Times New Roman"/>
          <w:color w:val="000000" w:themeColor="text1"/>
        </w:rPr>
      </w:pPr>
      <w:r w:rsidRPr="001667DB">
        <w:rPr>
          <w:rFonts w:ascii="Times New Roman" w:hAnsi="Times New Roman" w:cs="Times New Roman"/>
          <w:color w:val="000000" w:themeColor="text1"/>
        </w:rPr>
        <w:t>Nie występują</w:t>
      </w:r>
    </w:p>
    <w:p w14:paraId="60E05ACE" w14:textId="77777777" w:rsidR="00A62596" w:rsidRDefault="00A62596" w:rsidP="00B36A70">
      <w:pPr>
        <w:jc w:val="both"/>
        <w:rPr>
          <w:rFonts w:ascii="Times New Roman" w:hAnsi="Times New Roman" w:cs="Times New Roman"/>
          <w:color w:val="000000" w:themeColor="text1"/>
        </w:rPr>
      </w:pPr>
      <w:r>
        <w:rPr>
          <w:rFonts w:ascii="Times New Roman" w:hAnsi="Times New Roman" w:cs="Times New Roman"/>
          <w:color w:val="000000" w:themeColor="text1"/>
        </w:rPr>
        <w:br w:type="page"/>
      </w:r>
    </w:p>
    <w:p w14:paraId="1A08856D" w14:textId="77777777" w:rsidR="00955A27" w:rsidRPr="00A62596" w:rsidRDefault="00955A27" w:rsidP="00B36A70">
      <w:pPr>
        <w:jc w:val="both"/>
        <w:rPr>
          <w:rFonts w:ascii="Times New Roman" w:hAnsi="Times New Roman" w:cs="Times New Roman"/>
          <w:b/>
          <w:color w:val="000000" w:themeColor="text1"/>
        </w:rPr>
      </w:pPr>
      <w:r w:rsidRPr="00A62596">
        <w:rPr>
          <w:rFonts w:ascii="Times New Roman" w:hAnsi="Times New Roman" w:cs="Times New Roman"/>
          <w:b/>
          <w:color w:val="000000" w:themeColor="text1"/>
        </w:rPr>
        <w:lastRenderedPageBreak/>
        <w:t>D.01.02.04.</w:t>
      </w:r>
      <w:r w:rsidRPr="00A62596">
        <w:rPr>
          <w:rFonts w:ascii="Times New Roman" w:hAnsi="Times New Roman" w:cs="Times New Roman"/>
          <w:b/>
          <w:color w:val="000000" w:themeColor="text1"/>
        </w:rPr>
        <w:tab/>
        <w:t>ROZBIÓRKA ELEMENTÓW DRÓG, OGRODZEŃ I PRZEPUSTÓW</w:t>
      </w:r>
    </w:p>
    <w:p w14:paraId="53F37259" w14:textId="77777777" w:rsidR="00955A27" w:rsidRPr="001667DB" w:rsidRDefault="00955A27" w:rsidP="00904E6C">
      <w:pPr>
        <w:pStyle w:val="Akapitzlist"/>
        <w:keepNext/>
        <w:numPr>
          <w:ilvl w:val="0"/>
          <w:numId w:val="223"/>
        </w:numPr>
        <w:tabs>
          <w:tab w:val="left" w:pos="1134"/>
          <w:tab w:val="left" w:pos="1701"/>
        </w:tabs>
        <w:overflowPunct/>
        <w:autoSpaceDE/>
        <w:autoSpaceDN/>
        <w:adjustRightInd/>
        <w:spacing w:after="120" w:line="360" w:lineRule="auto"/>
        <w:textAlignment w:val="auto"/>
        <w:outlineLvl w:val="0"/>
        <w:rPr>
          <w:b/>
          <w:caps/>
          <w:color w:val="000000" w:themeColor="text1"/>
          <w:kern w:val="28"/>
          <w:sz w:val="22"/>
          <w:szCs w:val="22"/>
        </w:rPr>
      </w:pPr>
      <w:r w:rsidRPr="001667DB">
        <w:rPr>
          <w:b/>
          <w:caps/>
          <w:color w:val="000000" w:themeColor="text1"/>
          <w:kern w:val="28"/>
          <w:sz w:val="22"/>
          <w:szCs w:val="22"/>
        </w:rPr>
        <w:t>WSTĘP</w:t>
      </w:r>
    </w:p>
    <w:p w14:paraId="3D76B2AC" w14:textId="77777777" w:rsidR="00955A27" w:rsidRPr="001667DB" w:rsidRDefault="00955A27" w:rsidP="00904E6C">
      <w:pPr>
        <w:pStyle w:val="Akapitzlist"/>
        <w:keepNext/>
        <w:numPr>
          <w:ilvl w:val="1"/>
          <w:numId w:val="223"/>
        </w:numPr>
        <w:tabs>
          <w:tab w:val="left" w:pos="1134"/>
          <w:tab w:val="left" w:pos="1701"/>
        </w:tabs>
        <w:spacing w:after="120" w:line="360" w:lineRule="auto"/>
        <w:outlineLvl w:val="1"/>
        <w:rPr>
          <w:b/>
          <w:color w:val="000000" w:themeColor="text1"/>
          <w:sz w:val="22"/>
          <w:szCs w:val="22"/>
        </w:rPr>
      </w:pPr>
      <w:r w:rsidRPr="001667DB">
        <w:rPr>
          <w:b/>
          <w:color w:val="000000" w:themeColor="text1"/>
          <w:sz w:val="22"/>
          <w:szCs w:val="22"/>
        </w:rPr>
        <w:t>Przedmiot Specyfikacji Technicznej</w:t>
      </w:r>
    </w:p>
    <w:p w14:paraId="0DB1515F" w14:textId="77777777" w:rsidR="00FD3B41"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Przedmiotem niniejszej Specyfikacji Technicznej są </w:t>
      </w:r>
      <w:r w:rsidR="00B36A70">
        <w:rPr>
          <w:rFonts w:ascii="Times New Roman" w:hAnsi="Times New Roman" w:cs="Times New Roman"/>
          <w:color w:val="000000" w:themeColor="text1"/>
        </w:rPr>
        <w:t>wymagania dotyczące wykonania i </w:t>
      </w:r>
      <w:r w:rsidRPr="001667DB">
        <w:rPr>
          <w:rFonts w:ascii="Times New Roman" w:hAnsi="Times New Roman" w:cs="Times New Roman"/>
          <w:color w:val="000000" w:themeColor="text1"/>
        </w:rPr>
        <w:t xml:space="preserve">odbioru robót związanych z rozbiórką elementów dróg w ramach realizacji zadania: </w:t>
      </w:r>
      <w:r w:rsidR="00FD3B41" w:rsidRPr="00FD3B41">
        <w:rPr>
          <w:rFonts w:ascii="Times New Roman" w:hAnsi="Times New Roman" w:cs="Times New Roman"/>
          <w:b/>
          <w:color w:val="000000" w:themeColor="text1"/>
        </w:rPr>
        <w:t>„Rozbudowa drogi wojewódzkiej nr 461 w m. Dąbrówka Łubniańska i Łubniany” – Etap I ( km od 9+741,88 do 10+371,13)</w:t>
      </w:r>
    </w:p>
    <w:p w14:paraId="668B57AA" w14:textId="77777777" w:rsidR="00955A27" w:rsidRPr="001667DB" w:rsidRDefault="00955A27" w:rsidP="00B36A70">
      <w:pPr>
        <w:keepNext/>
        <w:numPr>
          <w:ilvl w:val="1"/>
          <w:numId w:val="0"/>
        </w:numPr>
        <w:tabs>
          <w:tab w:val="num" w:pos="851"/>
          <w:tab w:val="left" w:pos="1134"/>
          <w:tab w:val="left" w:pos="1701"/>
        </w:tabs>
        <w:spacing w:after="120" w:line="360" w:lineRule="auto"/>
        <w:jc w:val="both"/>
        <w:outlineLvl w:val="1"/>
        <w:rPr>
          <w:rFonts w:ascii="Times New Roman" w:hAnsi="Times New Roman" w:cs="Times New Roman"/>
          <w:b/>
          <w:color w:val="000000" w:themeColor="text1"/>
        </w:rPr>
      </w:pPr>
      <w:r w:rsidRPr="001667DB">
        <w:rPr>
          <w:rFonts w:ascii="Times New Roman" w:hAnsi="Times New Roman" w:cs="Times New Roman"/>
          <w:b/>
          <w:color w:val="000000" w:themeColor="text1"/>
        </w:rPr>
        <w:t>1.2 Zakres stosowania ST</w:t>
      </w:r>
    </w:p>
    <w:p w14:paraId="0AAF10C5"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Ustalenia zawarte w niniejszej specyfikacji dotyczą zasad prowadzenia robót związanych z</w:t>
      </w:r>
      <w:r w:rsidR="00B36A70">
        <w:rPr>
          <w:rFonts w:ascii="Times New Roman" w:hAnsi="Times New Roman" w:cs="Times New Roman"/>
          <w:color w:val="000000" w:themeColor="text1"/>
        </w:rPr>
        <w:t> </w:t>
      </w:r>
      <w:r w:rsidRPr="001667DB">
        <w:rPr>
          <w:rFonts w:ascii="Times New Roman" w:hAnsi="Times New Roman" w:cs="Times New Roman"/>
          <w:color w:val="000000" w:themeColor="text1"/>
        </w:rPr>
        <w:t>rozbiórką:</w:t>
      </w:r>
    </w:p>
    <w:p w14:paraId="7922FA47"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warstw nawierzchni,</w:t>
      </w:r>
    </w:p>
    <w:p w14:paraId="4DE87625"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krawężników, obrzeży i oporników,</w:t>
      </w:r>
    </w:p>
    <w:p w14:paraId="6A09491F"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chodników,</w:t>
      </w:r>
    </w:p>
    <w:p w14:paraId="014728BF"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ogrodzeń,</w:t>
      </w:r>
    </w:p>
    <w:p w14:paraId="21F2CBE1" w14:textId="77777777" w:rsidR="00955A27"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znaków drogowych,</w:t>
      </w:r>
    </w:p>
    <w:p w14:paraId="7A843BD2" w14:textId="77777777" w:rsidR="004662D8" w:rsidRDefault="004662D8"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płyt ażurowych</w:t>
      </w:r>
    </w:p>
    <w:p w14:paraId="3DF7DEC3" w14:textId="77777777" w:rsidR="004662D8" w:rsidRPr="001667DB" w:rsidRDefault="004662D8"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przepustów</w:t>
      </w:r>
    </w:p>
    <w:p w14:paraId="6929BD9F" w14:textId="77777777" w:rsidR="00955A27" w:rsidRPr="001667DB" w:rsidRDefault="00955A27" w:rsidP="00B36A70">
      <w:pPr>
        <w:pStyle w:val="Nagwek2"/>
        <w:spacing w:line="360" w:lineRule="auto"/>
        <w:jc w:val="both"/>
        <w:rPr>
          <w:color w:val="000000" w:themeColor="text1"/>
          <w:sz w:val="22"/>
          <w:szCs w:val="22"/>
        </w:rPr>
      </w:pPr>
      <w:r w:rsidRPr="001667DB">
        <w:rPr>
          <w:color w:val="000000" w:themeColor="text1"/>
          <w:sz w:val="22"/>
          <w:szCs w:val="22"/>
        </w:rPr>
        <w:t>1.4. Określenia podstawowe</w:t>
      </w:r>
    </w:p>
    <w:p w14:paraId="015C745A" w14:textId="77777777" w:rsidR="00955A27" w:rsidRPr="001667DB" w:rsidRDefault="00955A27" w:rsidP="00B36A70">
      <w:pPr>
        <w:numPr>
          <w:ilvl w:val="12"/>
          <w:numId w:val="0"/>
        </w:numPr>
        <w:tabs>
          <w:tab w:val="left" w:pos="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Stosowane określenia podstawowe są zgodne z obowiązującymi, odpowiednimi polskimi normami oraz z </w:t>
      </w:r>
      <w:r w:rsidR="00B36A70">
        <w:rPr>
          <w:rFonts w:ascii="Times New Roman" w:hAnsi="Times New Roman" w:cs="Times New Roman"/>
          <w:color w:val="000000" w:themeColor="text1"/>
        </w:rPr>
        <w:t>definicjami podanymi w ST D</w:t>
      </w:r>
      <w:r w:rsidRPr="001667DB">
        <w:rPr>
          <w:rFonts w:ascii="Times New Roman" w:hAnsi="Times New Roman" w:cs="Times New Roman"/>
          <w:color w:val="000000" w:themeColor="text1"/>
        </w:rPr>
        <w:t>-00.00.00 „Wymagania ogólne” pkt 1.4.</w:t>
      </w:r>
    </w:p>
    <w:p w14:paraId="52E85046"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1.5. Ogólne wymagania dotyczące robót</w:t>
      </w:r>
    </w:p>
    <w:p w14:paraId="355C7462"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w:t>
      </w:r>
      <w:r w:rsidR="00B36A70">
        <w:rPr>
          <w:rFonts w:ascii="Times New Roman" w:hAnsi="Times New Roman" w:cs="Times New Roman"/>
          <w:color w:val="000000" w:themeColor="text1"/>
        </w:rPr>
        <w:t>gania dotyczące robót podano w ST D</w:t>
      </w:r>
      <w:r w:rsidRPr="001667DB">
        <w:rPr>
          <w:rFonts w:ascii="Times New Roman" w:hAnsi="Times New Roman" w:cs="Times New Roman"/>
          <w:color w:val="000000" w:themeColor="text1"/>
        </w:rPr>
        <w:t>-00.00.00 „Wymagania ogólne” pkt 1.5.</w:t>
      </w:r>
    </w:p>
    <w:p w14:paraId="36E9A892" w14:textId="77777777" w:rsidR="00955A27" w:rsidRPr="00326BBF" w:rsidRDefault="00955A27" w:rsidP="00B36A70">
      <w:pPr>
        <w:pStyle w:val="Nagwek1"/>
        <w:numPr>
          <w:ilvl w:val="12"/>
          <w:numId w:val="0"/>
        </w:numPr>
        <w:spacing w:line="360" w:lineRule="auto"/>
        <w:jc w:val="both"/>
        <w:rPr>
          <w:color w:val="000000" w:themeColor="text1"/>
          <w:sz w:val="22"/>
          <w:szCs w:val="22"/>
          <w:lang w:val="pl-PL"/>
        </w:rPr>
      </w:pPr>
      <w:r w:rsidRPr="00326BBF">
        <w:rPr>
          <w:color w:val="000000" w:themeColor="text1"/>
          <w:sz w:val="22"/>
          <w:szCs w:val="22"/>
          <w:lang w:val="pl-PL"/>
        </w:rPr>
        <w:t>2. MATERIAŁY</w:t>
      </w:r>
    </w:p>
    <w:p w14:paraId="3CF4C221"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2.1. Ogólne wymagania dotyczące materiałów</w:t>
      </w:r>
    </w:p>
    <w:p w14:paraId="14C844B5"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wymagania dotyczące materiałów, ich pozysk</w:t>
      </w:r>
      <w:r w:rsidR="00B36A70">
        <w:rPr>
          <w:rFonts w:ascii="Times New Roman" w:hAnsi="Times New Roman" w:cs="Times New Roman"/>
          <w:color w:val="000000" w:themeColor="text1"/>
        </w:rPr>
        <w:t>iwania i składowania, podano w ST D-</w:t>
      </w:r>
      <w:r w:rsidRPr="001667DB">
        <w:rPr>
          <w:rFonts w:ascii="Times New Roman" w:hAnsi="Times New Roman" w:cs="Times New Roman"/>
          <w:color w:val="000000" w:themeColor="text1"/>
        </w:rPr>
        <w:t>00.00.00 „Wymagania ogólne” pkt 2.</w:t>
      </w:r>
    </w:p>
    <w:p w14:paraId="620089A0" w14:textId="77777777" w:rsidR="00955A27" w:rsidRPr="00326BBF" w:rsidRDefault="00955A27" w:rsidP="00B36A70">
      <w:pPr>
        <w:pStyle w:val="Nagwek1"/>
        <w:spacing w:line="360" w:lineRule="auto"/>
        <w:jc w:val="both"/>
        <w:rPr>
          <w:color w:val="000000" w:themeColor="text1"/>
          <w:sz w:val="22"/>
          <w:szCs w:val="22"/>
          <w:lang w:val="pl-PL"/>
        </w:rPr>
      </w:pPr>
      <w:r w:rsidRPr="00326BBF">
        <w:rPr>
          <w:color w:val="000000" w:themeColor="text1"/>
          <w:sz w:val="22"/>
          <w:szCs w:val="22"/>
          <w:lang w:val="pl-PL"/>
        </w:rPr>
        <w:lastRenderedPageBreak/>
        <w:t>3. SPRZĘT</w:t>
      </w:r>
    </w:p>
    <w:p w14:paraId="49ACAFF7"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3.1. Ogólne wymagania dotyczące sprzętu</w:t>
      </w:r>
    </w:p>
    <w:p w14:paraId="00E785B4"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w:t>
      </w:r>
      <w:r w:rsidR="00B36A70">
        <w:rPr>
          <w:rFonts w:ascii="Times New Roman" w:hAnsi="Times New Roman" w:cs="Times New Roman"/>
          <w:color w:val="000000" w:themeColor="text1"/>
        </w:rPr>
        <w:t>nia dotyczące sprzętu podano w ST D</w:t>
      </w:r>
      <w:r w:rsidRPr="001667DB">
        <w:rPr>
          <w:rFonts w:ascii="Times New Roman" w:hAnsi="Times New Roman" w:cs="Times New Roman"/>
          <w:color w:val="000000" w:themeColor="text1"/>
        </w:rPr>
        <w:t>-00.00.00 „Wymagania ogólne” pkt 3.</w:t>
      </w:r>
    </w:p>
    <w:p w14:paraId="4D00FE3E"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3.2. Sprzęt do rozbiórki</w:t>
      </w:r>
    </w:p>
    <w:p w14:paraId="3A265EAD"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wykonania robót związanych z rozbiórką elementów dróg, ogrodzeń i przepustów może być wykorzystany sprzęt podany poniżej, lub inny zaakceptowany przez Inżyniera:</w:t>
      </w:r>
    </w:p>
    <w:p w14:paraId="6D0AE318"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spycharki,</w:t>
      </w:r>
    </w:p>
    <w:p w14:paraId="55B6FE29"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ładowarki,</w:t>
      </w:r>
    </w:p>
    <w:p w14:paraId="68416134"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żurawie samochodowe,</w:t>
      </w:r>
    </w:p>
    <w:p w14:paraId="2F3B00D4"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samochody ciężarowe,</w:t>
      </w:r>
    </w:p>
    <w:p w14:paraId="059B7EF0"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zrywarki,</w:t>
      </w:r>
    </w:p>
    <w:p w14:paraId="39618053"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młoty pneumatyczne,</w:t>
      </w:r>
    </w:p>
    <w:p w14:paraId="6C84C066"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piły mechaniczne,</w:t>
      </w:r>
    </w:p>
    <w:p w14:paraId="3BD5F780"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frezarki nawierzchni,</w:t>
      </w:r>
    </w:p>
    <w:p w14:paraId="1A84B973"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koparki.</w:t>
      </w:r>
    </w:p>
    <w:p w14:paraId="70CB4358" w14:textId="77777777" w:rsidR="00955A27" w:rsidRPr="001667DB" w:rsidRDefault="00955A27" w:rsidP="00B36A70">
      <w:pPr>
        <w:pStyle w:val="Nagwek1"/>
        <w:spacing w:line="360" w:lineRule="auto"/>
        <w:jc w:val="both"/>
        <w:rPr>
          <w:color w:val="000000" w:themeColor="text1"/>
          <w:sz w:val="22"/>
          <w:szCs w:val="22"/>
        </w:rPr>
      </w:pPr>
      <w:r w:rsidRPr="001667DB">
        <w:rPr>
          <w:color w:val="000000" w:themeColor="text1"/>
          <w:sz w:val="22"/>
          <w:szCs w:val="22"/>
        </w:rPr>
        <w:t>4. TRANSPORT</w:t>
      </w:r>
    </w:p>
    <w:p w14:paraId="40E38D9D"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4.1. Ogólne wymagania dotyczące transportu</w:t>
      </w:r>
    </w:p>
    <w:p w14:paraId="74BCA99B"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w:t>
      </w:r>
      <w:r w:rsidR="00B36A70">
        <w:rPr>
          <w:rFonts w:ascii="Times New Roman" w:hAnsi="Times New Roman" w:cs="Times New Roman"/>
          <w:color w:val="000000" w:themeColor="text1"/>
        </w:rPr>
        <w:t xml:space="preserve"> dotyczące transportu podano w ST D</w:t>
      </w:r>
      <w:r w:rsidRPr="001667DB">
        <w:rPr>
          <w:rFonts w:ascii="Times New Roman" w:hAnsi="Times New Roman" w:cs="Times New Roman"/>
          <w:color w:val="000000" w:themeColor="text1"/>
        </w:rPr>
        <w:t>-00</w:t>
      </w:r>
      <w:r w:rsidR="00052469" w:rsidRPr="001667DB">
        <w:rPr>
          <w:rFonts w:ascii="Times New Roman" w:hAnsi="Times New Roman" w:cs="Times New Roman"/>
          <w:color w:val="000000" w:themeColor="text1"/>
        </w:rPr>
        <w:t>.00.00 „Wymagania ogólne” pkt 4</w:t>
      </w:r>
    </w:p>
    <w:p w14:paraId="04C39CE4"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4.2. Transport materiałów z rozbiórki</w:t>
      </w:r>
    </w:p>
    <w:p w14:paraId="5F669AC9"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 z rozbiórki można przewozić dowolnym środkiem transportu.</w:t>
      </w:r>
    </w:p>
    <w:p w14:paraId="7E4D078D" w14:textId="77777777" w:rsidR="00955A27" w:rsidRPr="00326BBF" w:rsidRDefault="00955A27" w:rsidP="00B36A70">
      <w:pPr>
        <w:pStyle w:val="Nagwek1"/>
        <w:numPr>
          <w:ilvl w:val="12"/>
          <w:numId w:val="0"/>
        </w:numPr>
        <w:spacing w:line="360" w:lineRule="auto"/>
        <w:jc w:val="both"/>
        <w:rPr>
          <w:color w:val="000000" w:themeColor="text1"/>
          <w:sz w:val="22"/>
          <w:szCs w:val="22"/>
          <w:lang w:val="pl-PL"/>
        </w:rPr>
      </w:pPr>
      <w:r w:rsidRPr="00326BBF">
        <w:rPr>
          <w:color w:val="000000" w:themeColor="text1"/>
          <w:sz w:val="22"/>
          <w:szCs w:val="22"/>
          <w:lang w:val="pl-PL"/>
        </w:rPr>
        <w:t>5. WYKONANIE ROBÓT</w:t>
      </w:r>
    </w:p>
    <w:p w14:paraId="6C27BA0F"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5.1. Ogólne zasady wykonania robót</w:t>
      </w:r>
    </w:p>
    <w:p w14:paraId="4B19CBCF"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w:t>
      </w:r>
      <w:r w:rsidR="00B36A70">
        <w:rPr>
          <w:rFonts w:ascii="Times New Roman" w:hAnsi="Times New Roman" w:cs="Times New Roman"/>
          <w:color w:val="000000" w:themeColor="text1"/>
        </w:rPr>
        <w:t>asady wykonania robót podano w ST D-</w:t>
      </w:r>
      <w:r w:rsidRPr="001667DB">
        <w:rPr>
          <w:rFonts w:ascii="Times New Roman" w:hAnsi="Times New Roman" w:cs="Times New Roman"/>
          <w:color w:val="000000" w:themeColor="text1"/>
        </w:rPr>
        <w:t>00.00.00 „Wymagania ogólne” pkt 5.</w:t>
      </w:r>
    </w:p>
    <w:p w14:paraId="37AC8F81"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5.2. Wykonanie robót rozbiórkowych</w:t>
      </w:r>
    </w:p>
    <w:p w14:paraId="720A1064"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rozbiórkowe elementów dróg, ogrodzeń obejmują usunięcie z terenu budowy wszystkich elementów wymienionych w pkt 1.3, zgodn</w:t>
      </w:r>
      <w:r w:rsidR="00B36A70">
        <w:rPr>
          <w:rFonts w:ascii="Times New Roman" w:hAnsi="Times New Roman" w:cs="Times New Roman"/>
          <w:color w:val="000000" w:themeColor="text1"/>
        </w:rPr>
        <w:t>ie z dokumentacją projektową, S</w:t>
      </w:r>
      <w:r w:rsidRPr="001667DB">
        <w:rPr>
          <w:rFonts w:ascii="Times New Roman" w:hAnsi="Times New Roman" w:cs="Times New Roman"/>
          <w:color w:val="000000" w:themeColor="text1"/>
        </w:rPr>
        <w:t>T lub wskazanych przez Inżyniera.</w:t>
      </w:r>
    </w:p>
    <w:p w14:paraId="0723C5F1"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Jeśli dokumentacja projektowa nie zawiera dokumentacji inwentaryzacyjnej lub/i rozbiórkowej, Inżynier może polecić Wykonawcy sporządzenie takiej dokumentacji, w której zostanie określony przewidziany odzysk materiałów.</w:t>
      </w:r>
    </w:p>
    <w:p w14:paraId="026D5A8A"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rozbiórkowe można wykonywać mechanicznie lub</w:t>
      </w:r>
      <w:r w:rsidR="00B36A70">
        <w:rPr>
          <w:rFonts w:ascii="Times New Roman" w:hAnsi="Times New Roman" w:cs="Times New Roman"/>
          <w:color w:val="000000" w:themeColor="text1"/>
        </w:rPr>
        <w:t xml:space="preserve"> ręcznie w sposób określony w S</w:t>
      </w:r>
      <w:r w:rsidRPr="001667DB">
        <w:rPr>
          <w:rFonts w:ascii="Times New Roman" w:hAnsi="Times New Roman" w:cs="Times New Roman"/>
          <w:color w:val="000000" w:themeColor="text1"/>
        </w:rPr>
        <w:t>T lub przez Inżyniera.</w:t>
      </w:r>
    </w:p>
    <w:p w14:paraId="38370526"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usuwania warstw nawierzchni z zastosowaniem frezarek drogowych, nale</w:t>
      </w:r>
      <w:r w:rsidR="00903B31" w:rsidRPr="001667DB">
        <w:rPr>
          <w:rFonts w:ascii="Times New Roman" w:hAnsi="Times New Roman" w:cs="Times New Roman"/>
          <w:color w:val="000000" w:themeColor="text1"/>
        </w:rPr>
        <w:t xml:space="preserve">ży spełnić warunki określone w </w:t>
      </w:r>
      <w:r w:rsidRPr="001667DB">
        <w:rPr>
          <w:rFonts w:ascii="Times New Roman" w:hAnsi="Times New Roman" w:cs="Times New Roman"/>
          <w:color w:val="000000" w:themeColor="text1"/>
        </w:rPr>
        <w:t>ST D-05.03.11 „Recykling”.</w:t>
      </w:r>
    </w:p>
    <w:p w14:paraId="31CD524F"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elementy możliwe do powtórnego wykorzystania powinny być usuwane bez powodowania zbędnych uszkodzeń. O ile uzyskane elementy nie stają się własnością Wykonawcy, powinien on przew</w:t>
      </w:r>
      <w:r w:rsidR="00B36A70">
        <w:rPr>
          <w:rFonts w:ascii="Times New Roman" w:hAnsi="Times New Roman" w:cs="Times New Roman"/>
          <w:color w:val="000000" w:themeColor="text1"/>
        </w:rPr>
        <w:t xml:space="preserve">ieźć je na miejsce określone w </w:t>
      </w:r>
      <w:r w:rsidRPr="001667DB">
        <w:rPr>
          <w:rFonts w:ascii="Times New Roman" w:hAnsi="Times New Roman" w:cs="Times New Roman"/>
          <w:color w:val="000000" w:themeColor="text1"/>
        </w:rPr>
        <w:t>ST lub wskazane przez Inżyniera.</w:t>
      </w:r>
    </w:p>
    <w:p w14:paraId="2CDB6077"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Elementy i materiały, które zgodnie z SST stają się własnością Wykonawcy, powinny być usunięte z terenu budowy.</w:t>
      </w:r>
    </w:p>
    <w:p w14:paraId="77107ECF"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Doły (wykopy) powstałe po rozbiórce elementów dróg, ogrodzeń i przepustów znajdujące się w miejscach, gdzie zgodnie z dokumentacją projektową będą wykonane wykopy drogowe, powinny być tymczasowo zabezpieczone. W szczególności należy zapobiec gromadzeniu się w nich wody opadowej.</w:t>
      </w:r>
    </w:p>
    <w:p w14:paraId="4EDDB346"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Doły w miejscach, gdzie nie przewiduje się wykonania wykopów drogowych należy wypełnić, warstwami, odpowiednim gruntem do poziomu otaczającego terenu i zagęścić zgodn</w:t>
      </w:r>
      <w:r w:rsidR="00B36A70">
        <w:rPr>
          <w:rFonts w:ascii="Times New Roman" w:hAnsi="Times New Roman" w:cs="Times New Roman"/>
          <w:color w:val="000000" w:themeColor="text1"/>
        </w:rPr>
        <w:t xml:space="preserve">ie z wymaganiami określonymi w </w:t>
      </w:r>
      <w:r w:rsidRPr="001667DB">
        <w:rPr>
          <w:rFonts w:ascii="Times New Roman" w:hAnsi="Times New Roman" w:cs="Times New Roman"/>
          <w:color w:val="000000" w:themeColor="text1"/>
        </w:rPr>
        <w:t>ST D-02.00.00 „Roboty ziemne”.</w:t>
      </w:r>
    </w:p>
    <w:p w14:paraId="2A3369CF" w14:textId="77777777" w:rsidR="00955A27" w:rsidRPr="00326BBF" w:rsidRDefault="00955A27" w:rsidP="00B36A70">
      <w:pPr>
        <w:pStyle w:val="Nagwek1"/>
        <w:numPr>
          <w:ilvl w:val="12"/>
          <w:numId w:val="0"/>
        </w:numPr>
        <w:spacing w:line="360" w:lineRule="auto"/>
        <w:jc w:val="both"/>
        <w:rPr>
          <w:color w:val="000000" w:themeColor="text1"/>
          <w:sz w:val="22"/>
          <w:szCs w:val="22"/>
          <w:lang w:val="pl-PL"/>
        </w:rPr>
      </w:pPr>
      <w:r w:rsidRPr="00326BBF">
        <w:rPr>
          <w:color w:val="000000" w:themeColor="text1"/>
          <w:sz w:val="22"/>
          <w:szCs w:val="22"/>
          <w:lang w:val="pl-PL"/>
        </w:rPr>
        <w:t>6. KONTROLA JAKOŚCI ROBÓT</w:t>
      </w:r>
    </w:p>
    <w:p w14:paraId="116EFAD3"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6.1. Ogólne zasady kontroli jakości robót</w:t>
      </w:r>
    </w:p>
    <w:p w14:paraId="69993536"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w:t>
      </w:r>
      <w:r w:rsidR="007032D4" w:rsidRPr="001667DB">
        <w:rPr>
          <w:rFonts w:ascii="Times New Roman" w:hAnsi="Times New Roman" w:cs="Times New Roman"/>
          <w:color w:val="000000" w:themeColor="text1"/>
        </w:rPr>
        <w:t xml:space="preserve">ontroli jakości robót podano w </w:t>
      </w:r>
      <w:r w:rsidR="00B36A70">
        <w:rPr>
          <w:rFonts w:ascii="Times New Roman" w:hAnsi="Times New Roman" w:cs="Times New Roman"/>
          <w:color w:val="000000" w:themeColor="text1"/>
        </w:rPr>
        <w:t>ST D-</w:t>
      </w:r>
      <w:r w:rsidRPr="001667DB">
        <w:rPr>
          <w:rFonts w:ascii="Times New Roman" w:hAnsi="Times New Roman" w:cs="Times New Roman"/>
          <w:color w:val="000000" w:themeColor="text1"/>
        </w:rPr>
        <w:t>00.00.00 „Wymagania ogólne” pkt 6.</w:t>
      </w:r>
    </w:p>
    <w:p w14:paraId="359B3A2D"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6.2. Kontrola jakości robót rozbiórkowych</w:t>
      </w:r>
    </w:p>
    <w:p w14:paraId="1F1396DC"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Kontrola jakości robót polega na wizualnej ocenie kompletności wykonanych robót rozbiórkowych oraz sprawdzeniu stopnia uszkodzenia elementów przewidzianych do powtórnego wykorzystania.</w:t>
      </w:r>
    </w:p>
    <w:p w14:paraId="4D8F267A" w14:textId="77777777" w:rsidR="00955A27" w:rsidRPr="001667DB" w:rsidRDefault="00955A27" w:rsidP="00955A27">
      <w:pPr>
        <w:numPr>
          <w:ilvl w:val="12"/>
          <w:numId w:val="0"/>
        </w:num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Zagęszczenie gruntu wypełniającego ewentualne doły po usuniętych elementach nawierzchni, ogrodzeń powinno spełniać odpowiednie wymagania określone w</w:t>
      </w:r>
      <w:r w:rsidR="0075634F"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ST D-02.00.00 „Roboty ziemne”.</w:t>
      </w:r>
    </w:p>
    <w:p w14:paraId="07C3E4C6" w14:textId="77777777" w:rsidR="00955A27" w:rsidRPr="00326BBF" w:rsidRDefault="00955A27" w:rsidP="00955A27">
      <w:pPr>
        <w:pStyle w:val="Nagwek1"/>
        <w:numPr>
          <w:ilvl w:val="12"/>
          <w:numId w:val="0"/>
        </w:numPr>
        <w:spacing w:line="360" w:lineRule="auto"/>
        <w:rPr>
          <w:color w:val="000000" w:themeColor="text1"/>
          <w:sz w:val="22"/>
          <w:szCs w:val="22"/>
          <w:lang w:val="pl-PL"/>
        </w:rPr>
      </w:pPr>
      <w:r w:rsidRPr="00326BBF">
        <w:rPr>
          <w:color w:val="000000" w:themeColor="text1"/>
          <w:sz w:val="22"/>
          <w:szCs w:val="22"/>
          <w:lang w:val="pl-PL"/>
        </w:rPr>
        <w:t>7. OBMIAR ROBÓT</w:t>
      </w:r>
    </w:p>
    <w:p w14:paraId="012C3A3A" w14:textId="77777777" w:rsidR="00955A27" w:rsidRPr="001667DB" w:rsidRDefault="00955A27" w:rsidP="00955A27">
      <w:pPr>
        <w:pStyle w:val="Nagwek2"/>
        <w:numPr>
          <w:ilvl w:val="12"/>
          <w:numId w:val="0"/>
        </w:numPr>
        <w:spacing w:line="360" w:lineRule="auto"/>
        <w:rPr>
          <w:color w:val="000000" w:themeColor="text1"/>
          <w:sz w:val="22"/>
          <w:szCs w:val="22"/>
        </w:rPr>
      </w:pPr>
      <w:r w:rsidRPr="001667DB">
        <w:rPr>
          <w:color w:val="000000" w:themeColor="text1"/>
          <w:sz w:val="22"/>
          <w:szCs w:val="22"/>
        </w:rPr>
        <w:t>7.1. Ogólne zasady obmiaru robót</w:t>
      </w:r>
    </w:p>
    <w:p w14:paraId="18C282B0" w14:textId="77777777" w:rsidR="00955A27" w:rsidRPr="001667DB" w:rsidRDefault="00955A27" w:rsidP="00955A27">
      <w:pPr>
        <w:numPr>
          <w:ilvl w:val="12"/>
          <w:numId w:val="0"/>
        </w:num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w:t>
      </w:r>
      <w:r w:rsidR="007032D4" w:rsidRPr="001667DB">
        <w:rPr>
          <w:rFonts w:ascii="Times New Roman" w:hAnsi="Times New Roman" w:cs="Times New Roman"/>
          <w:color w:val="000000" w:themeColor="text1"/>
        </w:rPr>
        <w:t xml:space="preserve"> zasady obmiaru robót podano w </w:t>
      </w:r>
      <w:r w:rsidR="00B36A70">
        <w:rPr>
          <w:rFonts w:ascii="Times New Roman" w:hAnsi="Times New Roman" w:cs="Times New Roman"/>
          <w:color w:val="000000" w:themeColor="text1"/>
        </w:rPr>
        <w:t>ST D-</w:t>
      </w:r>
      <w:r w:rsidRPr="001667DB">
        <w:rPr>
          <w:rFonts w:ascii="Times New Roman" w:hAnsi="Times New Roman" w:cs="Times New Roman"/>
          <w:color w:val="000000" w:themeColor="text1"/>
        </w:rPr>
        <w:t>00.00.00 „Wymagania ogólne”     pkt 7.</w:t>
      </w:r>
    </w:p>
    <w:p w14:paraId="791C5594" w14:textId="77777777" w:rsidR="00955A27" w:rsidRPr="001667DB" w:rsidRDefault="00955A27" w:rsidP="00955A27">
      <w:pPr>
        <w:pStyle w:val="Nagwek2"/>
        <w:numPr>
          <w:ilvl w:val="12"/>
          <w:numId w:val="0"/>
        </w:numPr>
        <w:spacing w:line="360" w:lineRule="auto"/>
        <w:rPr>
          <w:color w:val="000000" w:themeColor="text1"/>
          <w:sz w:val="22"/>
          <w:szCs w:val="22"/>
        </w:rPr>
      </w:pPr>
      <w:r w:rsidRPr="001667DB">
        <w:rPr>
          <w:color w:val="000000" w:themeColor="text1"/>
          <w:sz w:val="22"/>
          <w:szCs w:val="22"/>
        </w:rPr>
        <w:lastRenderedPageBreak/>
        <w:t>7.2. Jednostka obmiarowa</w:t>
      </w:r>
    </w:p>
    <w:p w14:paraId="4F0C0A96"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Jednostką obmiarową robót związanych z rozbiórką elementów dróg i ogrodzeń jest:</w:t>
      </w:r>
    </w:p>
    <w:p w14:paraId="1BFEE972"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dla nawierzchni i chodnika -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w:t>
      </w:r>
    </w:p>
    <w:p w14:paraId="1D4E82CC"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dla krawężnika, opornika, obrzeża, ścieków prefabrykowanych, ogrodzeń, barier i poręczy - m (metr),</w:t>
      </w:r>
    </w:p>
    <w:p w14:paraId="67FC916A"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dla znaków drogowych - szt. (sztuka),</w:t>
      </w:r>
    </w:p>
    <w:p w14:paraId="5F639062" w14:textId="77777777" w:rsidR="00955A27" w:rsidRPr="00326BBF" w:rsidRDefault="00955A27" w:rsidP="00B36A70">
      <w:pPr>
        <w:pStyle w:val="Nagwek1"/>
        <w:numPr>
          <w:ilvl w:val="12"/>
          <w:numId w:val="0"/>
        </w:numPr>
        <w:spacing w:line="360" w:lineRule="auto"/>
        <w:jc w:val="both"/>
        <w:rPr>
          <w:color w:val="000000" w:themeColor="text1"/>
          <w:sz w:val="22"/>
          <w:szCs w:val="22"/>
          <w:lang w:val="pl-PL"/>
        </w:rPr>
      </w:pPr>
      <w:r w:rsidRPr="00326BBF">
        <w:rPr>
          <w:color w:val="000000" w:themeColor="text1"/>
          <w:sz w:val="22"/>
          <w:szCs w:val="22"/>
          <w:lang w:val="pl-PL"/>
        </w:rPr>
        <w:t>8. ODBIÓR ROBÓT</w:t>
      </w:r>
    </w:p>
    <w:p w14:paraId="09A6E9A1"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Ogólne zasady odbioru robót </w:t>
      </w:r>
      <w:r w:rsidR="007032D4" w:rsidRPr="001667DB">
        <w:rPr>
          <w:rFonts w:ascii="Times New Roman" w:hAnsi="Times New Roman" w:cs="Times New Roman"/>
          <w:color w:val="000000" w:themeColor="text1"/>
        </w:rPr>
        <w:t xml:space="preserve">podano w </w:t>
      </w:r>
      <w:r w:rsidR="00B36A70">
        <w:rPr>
          <w:rFonts w:ascii="Times New Roman" w:hAnsi="Times New Roman" w:cs="Times New Roman"/>
          <w:color w:val="000000" w:themeColor="text1"/>
        </w:rPr>
        <w:t>ST D</w:t>
      </w:r>
      <w:r w:rsidRPr="001667DB">
        <w:rPr>
          <w:rFonts w:ascii="Times New Roman" w:hAnsi="Times New Roman" w:cs="Times New Roman"/>
          <w:color w:val="000000" w:themeColor="text1"/>
        </w:rPr>
        <w:t>-00.00.00 „Wymagania ogólne”            pkt 8.</w:t>
      </w:r>
    </w:p>
    <w:p w14:paraId="635D79C9" w14:textId="77777777" w:rsidR="00955A27" w:rsidRPr="00326BBF" w:rsidRDefault="00955A27" w:rsidP="00B36A70">
      <w:pPr>
        <w:pStyle w:val="Nagwek1"/>
        <w:numPr>
          <w:ilvl w:val="12"/>
          <w:numId w:val="0"/>
        </w:numPr>
        <w:spacing w:line="360" w:lineRule="auto"/>
        <w:jc w:val="both"/>
        <w:rPr>
          <w:color w:val="000000" w:themeColor="text1"/>
          <w:sz w:val="22"/>
          <w:szCs w:val="22"/>
          <w:lang w:val="pl-PL"/>
        </w:rPr>
      </w:pPr>
      <w:r w:rsidRPr="00326BBF">
        <w:rPr>
          <w:color w:val="000000" w:themeColor="text1"/>
          <w:sz w:val="22"/>
          <w:szCs w:val="22"/>
          <w:lang w:val="pl-PL"/>
        </w:rPr>
        <w:t>9. PODSTAWA PŁATNOŚCI</w:t>
      </w:r>
    </w:p>
    <w:p w14:paraId="14160BFC"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9.1. Ogólne ustalenia dotyczące podstawy płatności</w:t>
      </w:r>
    </w:p>
    <w:p w14:paraId="2CD66E9B"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ustalenia dotyczą</w:t>
      </w:r>
      <w:r w:rsidR="007032D4" w:rsidRPr="001667DB">
        <w:rPr>
          <w:rFonts w:ascii="Times New Roman" w:hAnsi="Times New Roman" w:cs="Times New Roman"/>
          <w:color w:val="000000" w:themeColor="text1"/>
        </w:rPr>
        <w:t xml:space="preserve">ce podstawy płatności podano w </w:t>
      </w:r>
      <w:r w:rsidR="00B36A70">
        <w:rPr>
          <w:rFonts w:ascii="Times New Roman" w:hAnsi="Times New Roman" w:cs="Times New Roman"/>
          <w:color w:val="000000" w:themeColor="text1"/>
        </w:rPr>
        <w:t>ST D-</w:t>
      </w:r>
      <w:r w:rsidRPr="001667DB">
        <w:rPr>
          <w:rFonts w:ascii="Times New Roman" w:hAnsi="Times New Roman" w:cs="Times New Roman"/>
          <w:color w:val="000000" w:themeColor="text1"/>
        </w:rPr>
        <w:t>00.00.00 „Wymagania ogólne” pkt 9.</w:t>
      </w:r>
    </w:p>
    <w:p w14:paraId="395E02A8" w14:textId="77777777" w:rsidR="00955A27" w:rsidRPr="001667DB" w:rsidRDefault="00955A27" w:rsidP="00B36A70">
      <w:pPr>
        <w:pStyle w:val="Nagwek2"/>
        <w:numPr>
          <w:ilvl w:val="12"/>
          <w:numId w:val="0"/>
        </w:numPr>
        <w:spacing w:line="360" w:lineRule="auto"/>
        <w:jc w:val="both"/>
        <w:rPr>
          <w:color w:val="000000" w:themeColor="text1"/>
          <w:sz w:val="22"/>
          <w:szCs w:val="22"/>
        </w:rPr>
      </w:pPr>
      <w:r w:rsidRPr="001667DB">
        <w:rPr>
          <w:color w:val="000000" w:themeColor="text1"/>
          <w:sz w:val="22"/>
          <w:szCs w:val="22"/>
        </w:rPr>
        <w:t>9.2. Cena jednostki obmiarowej</w:t>
      </w:r>
    </w:p>
    <w:p w14:paraId="6698B268"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obejmuje:</w:t>
      </w:r>
    </w:p>
    <w:p w14:paraId="0B0135A6" w14:textId="77777777" w:rsidR="00955A27" w:rsidRPr="001667DB" w:rsidRDefault="00955A27" w:rsidP="00B36A70">
      <w:pPr>
        <w:numPr>
          <w:ilvl w:val="12"/>
          <w:numId w:val="0"/>
        </w:num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 dla rozbiórki warstw nawierzchni:</w:t>
      </w:r>
    </w:p>
    <w:p w14:paraId="4873CA1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wyznaczenie powierzchni przeznaczonej do rozbiórki,</w:t>
      </w:r>
    </w:p>
    <w:p w14:paraId="1D1BC0D3"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rozkucie i zerwanie nawierzchni,</w:t>
      </w:r>
    </w:p>
    <w:p w14:paraId="4CC11F8A"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przesortowanie materiału uzyskanego z rozbiórki, w celu ponownego jej użycia, z ułożeniem na poboczu,</w:t>
      </w:r>
    </w:p>
    <w:p w14:paraId="27E3D683"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materiałów z rozbiórki,</w:t>
      </w:r>
    </w:p>
    <w:p w14:paraId="6AA93036"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wyrównanie podłoża i uporządkowanie terenu rozbiórki;</w:t>
      </w:r>
    </w:p>
    <w:p w14:paraId="77AB7289"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 dla rozbiórki krawężników, obrzeży i oporników:</w:t>
      </w:r>
    </w:p>
    <w:p w14:paraId="0755F9B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odkopanie krawężników, obrzeży i oporników wraz z wyjęciem i oczyszczeniem,</w:t>
      </w:r>
    </w:p>
    <w:p w14:paraId="0858C1F6"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zerwanie podsypki cementowo-piaskowej i ew. ław,</w:t>
      </w:r>
    </w:p>
    <w:p w14:paraId="5015B8DB"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materiału z rozbiórki,</w:t>
      </w:r>
    </w:p>
    <w:p w14:paraId="6C61962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wyrównanie podłoża i uporządkowanie terenu rozbiórki;</w:t>
      </w:r>
    </w:p>
    <w:p w14:paraId="76C95164"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 dla rozbiórki ścieku:</w:t>
      </w:r>
    </w:p>
    <w:p w14:paraId="24446EA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odsłonięcie ścieku,</w:t>
      </w:r>
    </w:p>
    <w:p w14:paraId="7054CF5B"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ręczne wyjęcie elementów ściekowych wraz z oczyszczeniem,</w:t>
      </w:r>
    </w:p>
    <w:p w14:paraId="00A3D118"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przesortowanie materiału uzyskanego z rozbiórki, w celu ponownego jego użycia, z ułożeniem na poboczu,</w:t>
      </w:r>
    </w:p>
    <w:p w14:paraId="27994316"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zerwanie podsypki cementowo-piaskowej,</w:t>
      </w:r>
    </w:p>
    <w:p w14:paraId="3DAF73C4"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uzupełnienie i wyrównanie podłoża,</w:t>
      </w:r>
    </w:p>
    <w:p w14:paraId="0EF90434"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wywóz materiałów z rozbiórki,</w:t>
      </w:r>
    </w:p>
    <w:p w14:paraId="02230088"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 rozbiórki;</w:t>
      </w:r>
    </w:p>
    <w:p w14:paraId="13D81961"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 dla rozbiórki chodników:</w:t>
      </w:r>
    </w:p>
    <w:p w14:paraId="64526C04"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ręczne wyjęcie płyt chodnikowych, lub rozkucie i zerwanie innych materiałów chodnikowych,</w:t>
      </w:r>
    </w:p>
    <w:p w14:paraId="4906B4C3"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przesortowanie materiału uzyskanego z rozbiórki w celu ponownego jego użycia, z ułożeniem na poboczu,</w:t>
      </w:r>
    </w:p>
    <w:p w14:paraId="2151787B"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zerwanie podsypki cementowo-piaskowej,</w:t>
      </w:r>
    </w:p>
    <w:p w14:paraId="4D87BFC7"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materiałów z rozbiórki,</w:t>
      </w:r>
    </w:p>
    <w:p w14:paraId="6BD51EDD"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wyrównanie podłoża i uporządkowanie terenu rozbiórki;</w:t>
      </w:r>
    </w:p>
    <w:p w14:paraId="6A0E01DD"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 dla rozbiórki ogrodzeń:</w:t>
      </w:r>
    </w:p>
    <w:p w14:paraId="366A659C"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demontaż elementów ogrodzenia,</w:t>
      </w:r>
    </w:p>
    <w:p w14:paraId="2AC8E1D9"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odkopanie i wydobycie słupków wraz z fundamentem,</w:t>
      </w:r>
    </w:p>
    <w:p w14:paraId="778D02F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zasypanie dołów po słupkach z zagęszczeniem do uzyskania Is </w:t>
      </w:r>
      <w:r w:rsidRPr="001667DB">
        <w:rPr>
          <w:rFonts w:ascii="Times New Roman" w:hAnsi="Times New Roman" w:cs="Times New Roman"/>
          <w:color w:val="000000" w:themeColor="text1"/>
        </w:rPr>
        <w:sym w:font="Symbol" w:char="F0B3"/>
      </w:r>
      <w:r w:rsidRPr="001667DB">
        <w:rPr>
          <w:rFonts w:ascii="Times New Roman" w:hAnsi="Times New Roman" w:cs="Times New Roman"/>
          <w:color w:val="000000" w:themeColor="text1"/>
        </w:rPr>
        <w:t xml:space="preserve"> 1,00 wg BN-77/8931-12 [9],</w:t>
      </w:r>
    </w:p>
    <w:p w14:paraId="77B6D1D5"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przesortowanie materiału uzyskanego z rozbiórki, w celu ponownego jego użycia, z ułożeniem w stosy na poboczu,</w:t>
      </w:r>
    </w:p>
    <w:p w14:paraId="3B9CC30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materiałów z rozbiórki,</w:t>
      </w:r>
    </w:p>
    <w:p w14:paraId="07F1C320"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 rozbiórki;</w:t>
      </w:r>
    </w:p>
    <w:p w14:paraId="60D75A38" w14:textId="77777777" w:rsidR="00955A27" w:rsidRPr="001667DB" w:rsidRDefault="00955A27" w:rsidP="00B36A70">
      <w:pPr>
        <w:tabs>
          <w:tab w:val="right" w:leader="dot" w:pos="-1985"/>
          <w:tab w:val="left" w:pos="426"/>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 dla rozbiórki barier i poręczy:</w:t>
      </w:r>
    </w:p>
    <w:p w14:paraId="40AD0E01"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demontaż elementów bariery lub poręczy,</w:t>
      </w:r>
    </w:p>
    <w:p w14:paraId="49FF1946"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odkopanie i wydobycie słupków wraz z fundamentem,</w:t>
      </w:r>
    </w:p>
    <w:p w14:paraId="5A797542"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zasypanie dołów po słupkach wraz z zagęszczeniem do uzyskania Is </w:t>
      </w:r>
      <w:r w:rsidRPr="001667DB">
        <w:rPr>
          <w:rFonts w:ascii="Times New Roman" w:hAnsi="Times New Roman" w:cs="Times New Roman"/>
          <w:color w:val="000000" w:themeColor="text1"/>
        </w:rPr>
        <w:sym w:font="Symbol" w:char="F0B3"/>
      </w:r>
      <w:r w:rsidRPr="001667DB">
        <w:rPr>
          <w:rFonts w:ascii="Times New Roman" w:hAnsi="Times New Roman" w:cs="Times New Roman"/>
          <w:color w:val="000000" w:themeColor="text1"/>
        </w:rPr>
        <w:t xml:space="preserve"> 1,00 wg BN-77/8931-12 [9],</w:t>
      </w:r>
    </w:p>
    <w:p w14:paraId="00945539" w14:textId="77777777" w:rsidR="00955A27" w:rsidRPr="001667DB" w:rsidRDefault="00955A27" w:rsidP="00B36A70">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materiałów z rozbiórki,</w:t>
      </w:r>
    </w:p>
    <w:p w14:paraId="559622EE"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uporządkowanie terenu rozbiórki;</w:t>
      </w:r>
    </w:p>
    <w:p w14:paraId="7BC6D947"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 dla rozbiórki znaków drogowych:</w:t>
      </w:r>
    </w:p>
    <w:p w14:paraId="168A75C7"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demontaż tablic znaków drogowych ze słupków,</w:t>
      </w:r>
    </w:p>
    <w:p w14:paraId="58D505DE"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odkopanie i wydobycie słupków,</w:t>
      </w:r>
    </w:p>
    <w:p w14:paraId="7F4F06C9"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zasypanie dołów po słupkach wraz z zagęszczeniem do uzyskania Is </w:t>
      </w:r>
      <w:r w:rsidRPr="001667DB">
        <w:rPr>
          <w:rFonts w:ascii="Times New Roman" w:hAnsi="Times New Roman" w:cs="Times New Roman"/>
          <w:color w:val="000000" w:themeColor="text1"/>
        </w:rPr>
        <w:sym w:font="Symbol" w:char="F0B3"/>
      </w:r>
      <w:r w:rsidRPr="001667DB">
        <w:rPr>
          <w:rFonts w:ascii="Times New Roman" w:hAnsi="Times New Roman" w:cs="Times New Roman"/>
          <w:color w:val="000000" w:themeColor="text1"/>
        </w:rPr>
        <w:t xml:space="preserve"> 1,00 wg BN-77/8931-12 [9],</w:t>
      </w:r>
    </w:p>
    <w:p w14:paraId="15C457DD"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załadunek i wywiezienie materiałów z rozbiórki,</w:t>
      </w:r>
    </w:p>
    <w:p w14:paraId="286B8317" w14:textId="77777777" w:rsidR="00955A27" w:rsidRPr="001667DB" w:rsidRDefault="00955A27" w:rsidP="00F55914">
      <w:pPr>
        <w:numPr>
          <w:ilvl w:val="0"/>
          <w:numId w:val="23"/>
        </w:numPr>
        <w:tabs>
          <w:tab w:val="right" w:leader="dot" w:pos="-1985"/>
          <w:tab w:val="left" w:pos="426"/>
          <w:tab w:val="right" w:leader="dot" w:pos="8505"/>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 rozbiórki;</w:t>
      </w:r>
    </w:p>
    <w:p w14:paraId="3F90DFF9" w14:textId="77777777" w:rsidR="00955A27" w:rsidRPr="001667DB" w:rsidRDefault="00955A27" w:rsidP="00955A27">
      <w:pPr>
        <w:pStyle w:val="Nagwek1"/>
        <w:spacing w:line="360" w:lineRule="auto"/>
        <w:rPr>
          <w:color w:val="000000" w:themeColor="text1"/>
          <w:sz w:val="22"/>
          <w:szCs w:val="22"/>
        </w:rPr>
      </w:pPr>
      <w:r w:rsidRPr="001667DB">
        <w:rPr>
          <w:color w:val="000000" w:themeColor="text1"/>
          <w:sz w:val="22"/>
          <w:szCs w:val="22"/>
        </w:rPr>
        <w:t>10. PRZEPISY ZWIĄZANE</w:t>
      </w:r>
    </w:p>
    <w:p w14:paraId="33ED2C66" w14:textId="77777777" w:rsidR="00955A27" w:rsidRPr="001667DB" w:rsidRDefault="00955A27" w:rsidP="00955A27">
      <w:pPr>
        <w:pStyle w:val="Nagwek2"/>
        <w:spacing w:before="0" w:line="360" w:lineRule="auto"/>
        <w:rPr>
          <w:color w:val="000000" w:themeColor="text1"/>
          <w:sz w:val="22"/>
          <w:szCs w:val="22"/>
        </w:rPr>
      </w:pPr>
      <w:r w:rsidRPr="001667DB">
        <w:rPr>
          <w:color w:val="000000" w:themeColor="text1"/>
          <w:sz w:val="22"/>
          <w:szCs w:val="22"/>
        </w:rPr>
        <w:t>Normy</w:t>
      </w:r>
    </w:p>
    <w:tbl>
      <w:tblPr>
        <w:tblW w:w="0" w:type="auto"/>
        <w:tblLayout w:type="fixed"/>
        <w:tblCellMar>
          <w:left w:w="70" w:type="dxa"/>
          <w:right w:w="70" w:type="dxa"/>
        </w:tblCellMar>
        <w:tblLook w:val="04A0" w:firstRow="1" w:lastRow="0" w:firstColumn="1" w:lastColumn="0" w:noHBand="0" w:noVBand="1"/>
      </w:tblPr>
      <w:tblGrid>
        <w:gridCol w:w="496"/>
        <w:gridCol w:w="2551"/>
        <w:gridCol w:w="4394"/>
      </w:tblGrid>
      <w:tr w:rsidR="00955A27" w:rsidRPr="001667DB" w14:paraId="1225C552" w14:textId="77777777" w:rsidTr="001B4B8F">
        <w:tc>
          <w:tcPr>
            <w:tcW w:w="496" w:type="dxa"/>
            <w:hideMark/>
          </w:tcPr>
          <w:p w14:paraId="2CCD0FD6"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551" w:type="dxa"/>
            <w:hideMark/>
          </w:tcPr>
          <w:p w14:paraId="51E542DB"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PN-D-95017</w:t>
            </w:r>
          </w:p>
        </w:tc>
        <w:tc>
          <w:tcPr>
            <w:tcW w:w="4394" w:type="dxa"/>
            <w:hideMark/>
          </w:tcPr>
          <w:p w14:paraId="6342BBA6"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Surowiec drzewny. Drewno tartaczne iglaste.</w:t>
            </w:r>
          </w:p>
        </w:tc>
      </w:tr>
      <w:tr w:rsidR="00955A27" w:rsidRPr="001667DB" w14:paraId="037D9BA7" w14:textId="77777777" w:rsidTr="001B4B8F">
        <w:tc>
          <w:tcPr>
            <w:tcW w:w="496" w:type="dxa"/>
            <w:hideMark/>
          </w:tcPr>
          <w:p w14:paraId="4E0F917C"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551" w:type="dxa"/>
            <w:hideMark/>
          </w:tcPr>
          <w:p w14:paraId="464D32D0"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PN-D-96000</w:t>
            </w:r>
          </w:p>
        </w:tc>
        <w:tc>
          <w:tcPr>
            <w:tcW w:w="4394" w:type="dxa"/>
            <w:hideMark/>
          </w:tcPr>
          <w:p w14:paraId="1AA33D91"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Tarcica iglasta ogólnego przeznaczenia</w:t>
            </w:r>
          </w:p>
        </w:tc>
      </w:tr>
      <w:tr w:rsidR="00955A27" w:rsidRPr="001667DB" w14:paraId="2FBFE0AE" w14:textId="77777777" w:rsidTr="001B4B8F">
        <w:tc>
          <w:tcPr>
            <w:tcW w:w="496" w:type="dxa"/>
            <w:hideMark/>
          </w:tcPr>
          <w:p w14:paraId="04C8FD16"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2551" w:type="dxa"/>
            <w:hideMark/>
          </w:tcPr>
          <w:p w14:paraId="2DA1D6F0"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PN-D-96002</w:t>
            </w:r>
          </w:p>
        </w:tc>
        <w:tc>
          <w:tcPr>
            <w:tcW w:w="4394" w:type="dxa"/>
            <w:hideMark/>
          </w:tcPr>
          <w:p w14:paraId="34BF7387"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Tarcica liściasta ogólnego przeznaczenia</w:t>
            </w:r>
          </w:p>
        </w:tc>
      </w:tr>
      <w:tr w:rsidR="00955A27" w:rsidRPr="001667DB" w14:paraId="12E777B3" w14:textId="77777777" w:rsidTr="001B4B8F">
        <w:tc>
          <w:tcPr>
            <w:tcW w:w="496" w:type="dxa"/>
            <w:hideMark/>
          </w:tcPr>
          <w:p w14:paraId="6F1B367E"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551" w:type="dxa"/>
            <w:hideMark/>
          </w:tcPr>
          <w:p w14:paraId="02068453"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PN-H-74219</w:t>
            </w:r>
          </w:p>
        </w:tc>
        <w:tc>
          <w:tcPr>
            <w:tcW w:w="4394" w:type="dxa"/>
            <w:hideMark/>
          </w:tcPr>
          <w:p w14:paraId="4F0F2411"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Rury stalowe bez szwu walcowane na gorąco ogólnego stosowania</w:t>
            </w:r>
          </w:p>
        </w:tc>
      </w:tr>
      <w:tr w:rsidR="00955A27" w:rsidRPr="001667DB" w14:paraId="7AF0A1C5" w14:textId="77777777" w:rsidTr="001B4B8F">
        <w:tc>
          <w:tcPr>
            <w:tcW w:w="496" w:type="dxa"/>
            <w:hideMark/>
          </w:tcPr>
          <w:p w14:paraId="54E7B823"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551" w:type="dxa"/>
            <w:hideMark/>
          </w:tcPr>
          <w:p w14:paraId="588FF3B3"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PN-H-74220</w:t>
            </w:r>
          </w:p>
        </w:tc>
        <w:tc>
          <w:tcPr>
            <w:tcW w:w="4394" w:type="dxa"/>
            <w:hideMark/>
          </w:tcPr>
          <w:p w14:paraId="258503D4"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Rury stalowe bez szwu ciągnione i walcowane na zimno ogólnego przeznaczenia</w:t>
            </w:r>
          </w:p>
        </w:tc>
      </w:tr>
      <w:tr w:rsidR="00955A27" w:rsidRPr="001667DB" w14:paraId="75122040" w14:textId="77777777" w:rsidTr="001B4B8F">
        <w:tc>
          <w:tcPr>
            <w:tcW w:w="496" w:type="dxa"/>
            <w:hideMark/>
          </w:tcPr>
          <w:p w14:paraId="7C7B06E3"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551" w:type="dxa"/>
            <w:hideMark/>
          </w:tcPr>
          <w:p w14:paraId="16C42A47"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PN-H-93401</w:t>
            </w:r>
          </w:p>
        </w:tc>
        <w:tc>
          <w:tcPr>
            <w:tcW w:w="4394" w:type="dxa"/>
            <w:hideMark/>
          </w:tcPr>
          <w:p w14:paraId="7E96AA59"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Stal walcowana. Kątowniki równoramienne</w:t>
            </w:r>
          </w:p>
        </w:tc>
      </w:tr>
      <w:tr w:rsidR="00955A27" w:rsidRPr="001667DB" w14:paraId="492F26FF" w14:textId="77777777" w:rsidTr="001B4B8F">
        <w:tc>
          <w:tcPr>
            <w:tcW w:w="496" w:type="dxa"/>
            <w:hideMark/>
          </w:tcPr>
          <w:p w14:paraId="536C2445"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551" w:type="dxa"/>
            <w:hideMark/>
          </w:tcPr>
          <w:p w14:paraId="76B84FFE"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PN-H-93402</w:t>
            </w:r>
          </w:p>
        </w:tc>
        <w:tc>
          <w:tcPr>
            <w:tcW w:w="4394" w:type="dxa"/>
            <w:hideMark/>
          </w:tcPr>
          <w:p w14:paraId="17E1B6D1"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Kątowniki nierównoramienne stalowe walcowane na gorąco</w:t>
            </w:r>
          </w:p>
        </w:tc>
      </w:tr>
      <w:tr w:rsidR="00955A27" w:rsidRPr="001667DB" w14:paraId="5D97087F" w14:textId="77777777" w:rsidTr="001B4B8F">
        <w:tc>
          <w:tcPr>
            <w:tcW w:w="496" w:type="dxa"/>
            <w:hideMark/>
          </w:tcPr>
          <w:p w14:paraId="30F7F1E2"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551" w:type="dxa"/>
            <w:hideMark/>
          </w:tcPr>
          <w:p w14:paraId="33073E7F"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BN-87/5028-12</w:t>
            </w:r>
          </w:p>
        </w:tc>
        <w:tc>
          <w:tcPr>
            <w:tcW w:w="4394" w:type="dxa"/>
            <w:hideMark/>
          </w:tcPr>
          <w:p w14:paraId="37F56E58"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Gwoździe budowlane. Gwoździe z trzpieniem gładkim, okrągłym i kwadratowym</w:t>
            </w:r>
          </w:p>
        </w:tc>
      </w:tr>
      <w:tr w:rsidR="00955A27" w:rsidRPr="001667DB" w14:paraId="13C90680" w14:textId="77777777" w:rsidTr="001B4B8F">
        <w:tc>
          <w:tcPr>
            <w:tcW w:w="496" w:type="dxa"/>
            <w:hideMark/>
          </w:tcPr>
          <w:p w14:paraId="062DEAE0" w14:textId="77777777" w:rsidR="00955A27" w:rsidRPr="001667DB" w:rsidRDefault="00955A27" w:rsidP="00955A27">
            <w:pPr>
              <w:tabs>
                <w:tab w:val="right" w:leader="dot" w:pos="-1985"/>
                <w:tab w:val="left" w:pos="426"/>
                <w:tab w:val="right" w:leader="dot" w:pos="850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551" w:type="dxa"/>
            <w:hideMark/>
          </w:tcPr>
          <w:p w14:paraId="2A9834B8"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BN-77/8931-12</w:t>
            </w:r>
          </w:p>
        </w:tc>
        <w:tc>
          <w:tcPr>
            <w:tcW w:w="4394" w:type="dxa"/>
            <w:hideMark/>
          </w:tcPr>
          <w:p w14:paraId="2C2B4A2A" w14:textId="77777777" w:rsidR="00955A27" w:rsidRPr="001667DB" w:rsidRDefault="00955A27" w:rsidP="00955A27">
            <w:pPr>
              <w:tabs>
                <w:tab w:val="right" w:leader="dot" w:pos="-1985"/>
                <w:tab w:val="left" w:pos="426"/>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Oznaczenie wskaźnika zagęszczenia gruntu.</w:t>
            </w:r>
          </w:p>
        </w:tc>
      </w:tr>
    </w:tbl>
    <w:p w14:paraId="220B1CCA" w14:textId="77777777" w:rsidR="00955A27" w:rsidRPr="001667DB" w:rsidRDefault="00955A27" w:rsidP="00955A27">
      <w:pPr>
        <w:pStyle w:val="tekstost"/>
        <w:spacing w:after="120" w:line="360" w:lineRule="auto"/>
        <w:rPr>
          <w:color w:val="000000" w:themeColor="text1"/>
          <w:sz w:val="22"/>
          <w:szCs w:val="22"/>
        </w:rPr>
      </w:pPr>
    </w:p>
    <w:p w14:paraId="1F5C4561" w14:textId="77777777" w:rsidR="00052469" w:rsidRPr="001667DB" w:rsidRDefault="00052469" w:rsidP="00955A27">
      <w:pPr>
        <w:pStyle w:val="tekstost"/>
        <w:spacing w:after="120" w:line="360" w:lineRule="auto"/>
        <w:rPr>
          <w:color w:val="000000" w:themeColor="text1"/>
          <w:sz w:val="22"/>
          <w:szCs w:val="22"/>
        </w:rPr>
      </w:pPr>
    </w:p>
    <w:p w14:paraId="31DE6578" w14:textId="77777777" w:rsidR="00052469" w:rsidRPr="001667DB" w:rsidRDefault="00052469" w:rsidP="00955A27">
      <w:pPr>
        <w:pStyle w:val="tekstost"/>
        <w:spacing w:after="120" w:line="360" w:lineRule="auto"/>
        <w:rPr>
          <w:color w:val="000000" w:themeColor="text1"/>
          <w:sz w:val="22"/>
          <w:szCs w:val="22"/>
        </w:rPr>
      </w:pPr>
    </w:p>
    <w:p w14:paraId="3BE76E28" w14:textId="77777777" w:rsidR="00052469" w:rsidRPr="001667DB" w:rsidRDefault="00052469" w:rsidP="00955A27">
      <w:pPr>
        <w:pStyle w:val="tekstost"/>
        <w:spacing w:after="120" w:line="360" w:lineRule="auto"/>
        <w:rPr>
          <w:color w:val="000000" w:themeColor="text1"/>
          <w:sz w:val="22"/>
          <w:szCs w:val="22"/>
        </w:rPr>
      </w:pPr>
    </w:p>
    <w:p w14:paraId="3879CBE6" w14:textId="77777777" w:rsidR="00052469" w:rsidRPr="001667DB" w:rsidRDefault="00052469" w:rsidP="00955A27">
      <w:pPr>
        <w:pStyle w:val="tekstost"/>
        <w:spacing w:after="120" w:line="360" w:lineRule="auto"/>
        <w:rPr>
          <w:color w:val="000000" w:themeColor="text1"/>
          <w:sz w:val="22"/>
          <w:szCs w:val="22"/>
        </w:rPr>
      </w:pPr>
    </w:p>
    <w:p w14:paraId="33900874" w14:textId="77777777" w:rsidR="00052469" w:rsidRPr="001667DB" w:rsidRDefault="00052469" w:rsidP="00955A27">
      <w:pPr>
        <w:pStyle w:val="tekstost"/>
        <w:spacing w:after="120" w:line="360" w:lineRule="auto"/>
        <w:rPr>
          <w:color w:val="000000" w:themeColor="text1"/>
          <w:sz w:val="22"/>
          <w:szCs w:val="22"/>
        </w:rPr>
      </w:pPr>
    </w:p>
    <w:p w14:paraId="37A11213" w14:textId="77777777" w:rsidR="00052469" w:rsidRPr="001667DB" w:rsidRDefault="00052469" w:rsidP="00955A27">
      <w:pPr>
        <w:pStyle w:val="tekstost"/>
        <w:spacing w:after="120" w:line="360" w:lineRule="auto"/>
        <w:rPr>
          <w:color w:val="000000" w:themeColor="text1"/>
          <w:sz w:val="22"/>
          <w:szCs w:val="22"/>
        </w:rPr>
      </w:pPr>
    </w:p>
    <w:p w14:paraId="393F24C4" w14:textId="77777777" w:rsidR="009A2019" w:rsidRPr="001667DB" w:rsidRDefault="009A2019">
      <w:pPr>
        <w:rPr>
          <w:rFonts w:ascii="Times New Roman" w:eastAsia="Times New Roman" w:hAnsi="Times New Roman" w:cs="Times New Roman"/>
          <w:color w:val="000000" w:themeColor="text1"/>
          <w:lang w:eastAsia="pl-PL"/>
        </w:rPr>
      </w:pPr>
      <w:r w:rsidRPr="001667DB">
        <w:rPr>
          <w:rFonts w:ascii="Times New Roman" w:hAnsi="Times New Roman" w:cs="Times New Roman"/>
          <w:color w:val="000000" w:themeColor="text1"/>
        </w:rPr>
        <w:lastRenderedPageBreak/>
        <w:br w:type="page"/>
      </w:r>
    </w:p>
    <w:p w14:paraId="46724014" w14:textId="77777777" w:rsidR="00955A27" w:rsidRPr="001667DB" w:rsidRDefault="00955A27" w:rsidP="00B36A70">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D.02.00.01. </w:t>
      </w:r>
      <w:r w:rsidRPr="001667DB">
        <w:rPr>
          <w:rFonts w:ascii="Times New Roman" w:hAnsi="Times New Roman" w:cs="Times New Roman"/>
          <w:b/>
          <w:color w:val="000000" w:themeColor="text1"/>
        </w:rPr>
        <w:tab/>
        <w:t>ROBOTY ZIEMNE WYMAGANIA OGÓLNE</w:t>
      </w:r>
    </w:p>
    <w:p w14:paraId="2811270B"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w:t>
      </w:r>
    </w:p>
    <w:p w14:paraId="35139A6D" w14:textId="77777777" w:rsidR="00955A27" w:rsidRPr="001667DB" w:rsidRDefault="00955A27" w:rsidP="00B36A70">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2" w:name="_Toc61812"/>
      <w:r w:rsidRPr="001667DB">
        <w:rPr>
          <w:color w:val="000000" w:themeColor="text1"/>
          <w:sz w:val="22"/>
          <w:szCs w:val="22"/>
        </w:rPr>
        <w:t xml:space="preserve">WSTĘP </w:t>
      </w:r>
      <w:bookmarkEnd w:id="142"/>
    </w:p>
    <w:p w14:paraId="4C1821BC" w14:textId="77777777" w:rsidR="00955A27" w:rsidRPr="001667DB" w:rsidRDefault="00955A27" w:rsidP="00B36A7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3" w:name="_Toc61814"/>
      <w:r w:rsidRPr="001667DB">
        <w:rPr>
          <w:color w:val="000000" w:themeColor="text1"/>
          <w:sz w:val="22"/>
          <w:szCs w:val="22"/>
        </w:rPr>
        <w:t>Przedmiot ST</w:t>
      </w:r>
      <w:bookmarkEnd w:id="143"/>
    </w:p>
    <w:p w14:paraId="54D316D7" w14:textId="77777777" w:rsidR="00955A27" w:rsidRPr="001667DB" w:rsidRDefault="00955A27" w:rsidP="00B36A70">
      <w:pPr>
        <w:spacing w:after="120" w:line="360" w:lineRule="auto"/>
        <w:ind w:left="-5" w:right="69" w:firstLine="71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Przedmiotem niniejszej Specyfikacji Technicznej są </w:t>
      </w:r>
      <w:r w:rsidR="00B36A70">
        <w:rPr>
          <w:rFonts w:ascii="Times New Roman" w:hAnsi="Times New Roman" w:cs="Times New Roman"/>
          <w:color w:val="000000" w:themeColor="text1"/>
        </w:rPr>
        <w:t>wymagania dotyczące wykonania i </w:t>
      </w:r>
      <w:r w:rsidRPr="001667DB">
        <w:rPr>
          <w:rFonts w:ascii="Times New Roman" w:hAnsi="Times New Roman" w:cs="Times New Roman"/>
          <w:color w:val="000000" w:themeColor="text1"/>
        </w:rPr>
        <w:t>odbioru robót związanych z wykonaniem wykopów w związku z</w:t>
      </w:r>
      <w:r w:rsidR="00FD3B41">
        <w:rPr>
          <w:rFonts w:ascii="Times New Roman" w:hAnsi="Times New Roman" w:cs="Times New Roman"/>
          <w:color w:val="000000" w:themeColor="text1"/>
        </w:rPr>
        <w:t xml:space="preserve"> </w:t>
      </w:r>
      <w:r w:rsidR="00FD3B41" w:rsidRPr="00FD3B41">
        <w:rPr>
          <w:rFonts w:ascii="Times New Roman" w:hAnsi="Times New Roman" w:cs="Times New Roman"/>
          <w:b/>
          <w:color w:val="000000" w:themeColor="text1"/>
        </w:rPr>
        <w:t>„Rozbudowa drogi wojewódzkiej nr 461 w m. Dąbrówka Łubniańska i Łubniany” – Etap I ( km od 9+741,88 do 10+371,13)</w:t>
      </w:r>
      <w:r w:rsidR="00FD3B41">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 xml:space="preserve">ST jest stosowane jako dokument przetargowy i kontraktowy przy zlecaniu i realizacji robót wymienionych w pkt.1.1. </w:t>
      </w:r>
    </w:p>
    <w:p w14:paraId="41202560" w14:textId="77777777" w:rsidR="00955A27" w:rsidRPr="001667DB" w:rsidRDefault="00955A27" w:rsidP="00B36A7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4" w:name="_Toc61817"/>
      <w:r w:rsidRPr="001667DB">
        <w:rPr>
          <w:color w:val="000000" w:themeColor="text1"/>
          <w:sz w:val="22"/>
          <w:szCs w:val="22"/>
        </w:rPr>
        <w:t xml:space="preserve">Nazwy i kody </w:t>
      </w:r>
      <w:bookmarkEnd w:id="144"/>
    </w:p>
    <w:p w14:paraId="0946A39A" w14:textId="77777777" w:rsidR="00955A27" w:rsidRPr="001667DB" w:rsidRDefault="00955A27" w:rsidP="00B36A7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Nazwy i kody robót objętych wspólnym słownikiem zamówień CPV są następujące: </w:t>
      </w:r>
    </w:p>
    <w:tbl>
      <w:tblPr>
        <w:tblStyle w:val="TableGrid"/>
        <w:tblW w:w="8568" w:type="dxa"/>
        <w:tblInd w:w="0" w:type="dxa"/>
        <w:tblLook w:val="04A0" w:firstRow="1" w:lastRow="0" w:firstColumn="1" w:lastColumn="0" w:noHBand="0" w:noVBand="1"/>
      </w:tblPr>
      <w:tblGrid>
        <w:gridCol w:w="2124"/>
        <w:gridCol w:w="6444"/>
      </w:tblGrid>
      <w:tr w:rsidR="00955A27" w:rsidRPr="001667DB" w14:paraId="40DC4CF3" w14:textId="77777777">
        <w:trPr>
          <w:trHeight w:val="297"/>
        </w:trPr>
        <w:tc>
          <w:tcPr>
            <w:tcW w:w="2124" w:type="dxa"/>
            <w:tcBorders>
              <w:top w:val="nil"/>
              <w:left w:val="nil"/>
              <w:bottom w:val="nil"/>
              <w:right w:val="nil"/>
            </w:tcBorders>
          </w:tcPr>
          <w:p w14:paraId="75FF089C"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Grupa robót:  </w:t>
            </w:r>
          </w:p>
        </w:tc>
        <w:tc>
          <w:tcPr>
            <w:tcW w:w="6444" w:type="dxa"/>
            <w:tcBorders>
              <w:top w:val="nil"/>
              <w:left w:val="nil"/>
              <w:bottom w:val="nil"/>
              <w:right w:val="nil"/>
            </w:tcBorders>
          </w:tcPr>
          <w:p w14:paraId="53FA3551"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45100000-8 Przygotowanie terenu pod budowę. </w:t>
            </w:r>
          </w:p>
        </w:tc>
      </w:tr>
      <w:tr w:rsidR="00955A27" w:rsidRPr="001667DB" w14:paraId="3398FAAC" w14:textId="77777777">
        <w:trPr>
          <w:trHeight w:val="340"/>
        </w:trPr>
        <w:tc>
          <w:tcPr>
            <w:tcW w:w="2124" w:type="dxa"/>
            <w:tcBorders>
              <w:top w:val="nil"/>
              <w:left w:val="nil"/>
              <w:bottom w:val="nil"/>
              <w:right w:val="nil"/>
            </w:tcBorders>
          </w:tcPr>
          <w:p w14:paraId="5E80EF07"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robót:  </w:t>
            </w:r>
          </w:p>
        </w:tc>
        <w:tc>
          <w:tcPr>
            <w:tcW w:w="6444" w:type="dxa"/>
            <w:tcBorders>
              <w:top w:val="nil"/>
              <w:left w:val="nil"/>
              <w:bottom w:val="nil"/>
              <w:right w:val="nil"/>
            </w:tcBorders>
          </w:tcPr>
          <w:p w14:paraId="135EB6D6"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45110000-1 Roboty w zakresie burzenia i rozbiórki obiektów   </w:t>
            </w:r>
          </w:p>
        </w:tc>
      </w:tr>
      <w:tr w:rsidR="00955A27" w:rsidRPr="001667DB" w14:paraId="39237B29" w14:textId="77777777">
        <w:trPr>
          <w:trHeight w:val="340"/>
        </w:trPr>
        <w:tc>
          <w:tcPr>
            <w:tcW w:w="2124" w:type="dxa"/>
            <w:tcBorders>
              <w:top w:val="nil"/>
              <w:left w:val="nil"/>
              <w:bottom w:val="nil"/>
              <w:right w:val="nil"/>
            </w:tcBorders>
          </w:tcPr>
          <w:p w14:paraId="0ED5648A"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 </w:t>
            </w:r>
          </w:p>
        </w:tc>
        <w:tc>
          <w:tcPr>
            <w:tcW w:w="6444" w:type="dxa"/>
            <w:tcBorders>
              <w:top w:val="nil"/>
              <w:left w:val="nil"/>
              <w:bottom w:val="nil"/>
              <w:right w:val="nil"/>
            </w:tcBorders>
          </w:tcPr>
          <w:p w14:paraId="2B7EC39F"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budowlanych, roboty ziemne. </w:t>
            </w:r>
          </w:p>
        </w:tc>
      </w:tr>
      <w:tr w:rsidR="00955A27" w:rsidRPr="001667DB" w14:paraId="16D5A910" w14:textId="77777777">
        <w:trPr>
          <w:trHeight w:val="297"/>
        </w:trPr>
        <w:tc>
          <w:tcPr>
            <w:tcW w:w="2124" w:type="dxa"/>
            <w:tcBorders>
              <w:top w:val="nil"/>
              <w:left w:val="nil"/>
              <w:bottom w:val="nil"/>
              <w:right w:val="nil"/>
            </w:tcBorders>
            <w:vAlign w:val="bottom"/>
          </w:tcPr>
          <w:p w14:paraId="2138A9EA"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robót: </w:t>
            </w:r>
          </w:p>
        </w:tc>
        <w:tc>
          <w:tcPr>
            <w:tcW w:w="6444" w:type="dxa"/>
            <w:tcBorders>
              <w:top w:val="nil"/>
              <w:left w:val="nil"/>
              <w:bottom w:val="nil"/>
              <w:right w:val="nil"/>
            </w:tcBorders>
            <w:vAlign w:val="bottom"/>
          </w:tcPr>
          <w:p w14:paraId="15DB3D91"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45111000-8 Roboty w zakresie burzenia, roboty ziemne. </w:t>
            </w:r>
          </w:p>
        </w:tc>
      </w:tr>
      <w:tr w:rsidR="00955A27" w:rsidRPr="001667DB" w14:paraId="23D387D3" w14:textId="77777777">
        <w:trPr>
          <w:trHeight w:val="297"/>
        </w:trPr>
        <w:tc>
          <w:tcPr>
            <w:tcW w:w="2124" w:type="dxa"/>
            <w:tcBorders>
              <w:top w:val="nil"/>
              <w:left w:val="nil"/>
              <w:bottom w:val="nil"/>
              <w:right w:val="nil"/>
            </w:tcBorders>
            <w:vAlign w:val="bottom"/>
          </w:tcPr>
          <w:p w14:paraId="1DC385EF" w14:textId="77777777" w:rsidR="00955A27" w:rsidRPr="001667DB" w:rsidRDefault="00955A27" w:rsidP="00B36A70">
            <w:pPr>
              <w:spacing w:after="120" w:line="360" w:lineRule="auto"/>
              <w:jc w:val="both"/>
              <w:rPr>
                <w:rFonts w:ascii="Times New Roman" w:hAnsi="Times New Roman" w:cs="Times New Roman"/>
                <w:color w:val="000000" w:themeColor="text1"/>
              </w:rPr>
            </w:pPr>
          </w:p>
        </w:tc>
        <w:tc>
          <w:tcPr>
            <w:tcW w:w="6444" w:type="dxa"/>
            <w:tcBorders>
              <w:top w:val="nil"/>
              <w:left w:val="nil"/>
              <w:bottom w:val="nil"/>
              <w:right w:val="nil"/>
            </w:tcBorders>
            <w:vAlign w:val="bottom"/>
          </w:tcPr>
          <w:p w14:paraId="70F5E15C" w14:textId="77777777" w:rsidR="00955A27" w:rsidRPr="001667DB" w:rsidRDefault="00955A27" w:rsidP="00B36A70">
            <w:pPr>
              <w:spacing w:after="120" w:line="360" w:lineRule="auto"/>
              <w:jc w:val="both"/>
              <w:rPr>
                <w:rFonts w:ascii="Times New Roman" w:hAnsi="Times New Roman" w:cs="Times New Roman"/>
                <w:color w:val="000000" w:themeColor="text1"/>
              </w:rPr>
            </w:pPr>
          </w:p>
        </w:tc>
      </w:tr>
    </w:tbl>
    <w:p w14:paraId="050E77CE" w14:textId="77777777" w:rsidR="00955A27" w:rsidRPr="001667DB" w:rsidRDefault="00955A27" w:rsidP="00B36A7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5" w:name="_Toc61818"/>
      <w:r w:rsidRPr="001667DB">
        <w:rPr>
          <w:color w:val="000000" w:themeColor="text1"/>
          <w:sz w:val="22"/>
          <w:szCs w:val="22"/>
        </w:rPr>
        <w:t xml:space="preserve">Określenia podstawowe </w:t>
      </w:r>
      <w:bookmarkEnd w:id="145"/>
    </w:p>
    <w:p w14:paraId="1716DE9F"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Budowla ziemna – budowla wykonana w gruncie lub materiale antropogenicznym  albo z gruntu lub z materiału antropogenicznego, powstała w następstwie przeprowadzenia robót ziemnych, spełniająca warunki stateczności i odwodnienia, zapewniająca przejęcie obciążenia od środków transportowych i urządzeń inżynierskich obciążających korpus drogowy.  </w:t>
      </w:r>
    </w:p>
    <w:p w14:paraId="636749DC"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Ciągły pomiar zagęszczenia – (ang. Continuous Compaction Control – CCC) wykorzystanie do kontroli stanu zagęszczenia warstwy walców wibracyjnych wyposażonych w system umożliwiający pomiar i dokumentowanie, dynamicznego parametru, charakteryzującego zagęszczenie warstwy ze wskazaniem lokalizacji miejsca. </w:t>
      </w:r>
    </w:p>
    <w:p w14:paraId="0C895D6F"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Deklaracja Właściwości Użytkowych (DWU) – dokument wyrażający właściwości  użytkowe wyrobów budowlanych w odniesieniu do zasadniczych charakterystyk tych  wyrobów zgodnie z odpowiednimi zharmonizowanymi specyfikacjami technicznymi. </w:t>
      </w:r>
    </w:p>
    <w:p w14:paraId="0CD21D01"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Dokop - miejsce pozyskania gruntu do wykonania nasypów, położone poza pasem robót drogowych. </w:t>
      </w:r>
    </w:p>
    <w:p w14:paraId="73AF733F"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r w:rsidR="00955A27" w:rsidRPr="001667DB">
        <w:rPr>
          <w:rFonts w:ascii="Times New Roman" w:hAnsi="Times New Roman" w:cs="Times New Roman"/>
          <w:color w:val="000000" w:themeColor="text1"/>
        </w:rPr>
        <w:t>.5.</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Geosyntetyk – wyrób, którego przynajmniej jeden składnik wytworzony został z polimeru (poliestru, polipropylenu, polietylenu lub poliamidu), mający postać arkusza, paska lub formy przestrzennej, stosowany w kontakcie z gruntem (lub innym materiałem) w geotechnice, fundamentowaniu i budownictwie lądowym i wodnym. </w:t>
      </w:r>
    </w:p>
    <w:p w14:paraId="2CE52775"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6.</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Gęstość objętościowa szkieletu – stosunek masy suchego szkieletu gruntu lub materiału antropogenicznego do objętości próbki. </w:t>
      </w:r>
    </w:p>
    <w:p w14:paraId="6E2778CF"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.7.</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Górna warstwa nasypu – nasyp znajdujący się w obrębie obliczeniowej głębokości  przemarzania, na którym wykonano warstwy konstrukcji nawierzchni. Wykonany z gruntów niewysadzinowych lub stabilizowanych hydraulicznie.  </w:t>
      </w:r>
    </w:p>
    <w:p w14:paraId="7B529E13"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.8.</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Grunt – materiał powstały w wyniku procesów geologicznych (naturalnych) lub antropogenicznych, składający się z 3 faz: stałej, ciekłej i gazowej. </w:t>
      </w:r>
    </w:p>
    <w:p w14:paraId="2B8728ED" w14:textId="77777777" w:rsidR="00955A27" w:rsidRPr="001667DB" w:rsidRDefault="001E22F9" w:rsidP="00B36A7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.9.</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Grunt organiczny – grunt z zawartością  substancji organicznej większą od 2,0 %. </w:t>
      </w:r>
    </w:p>
    <w:p w14:paraId="7B39E6D5"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.10.</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Grupa nośności podłoża gruntowego nawierzchni – klasyfikuje nośność podłoża  gruntowego nawierzchni w zależności od rodzaju i stanu gruntu podłoża, warunków  wodnych w podłożu, wysadzinowości gruntu oraz od charakterystyki korpusu drogowego. Występują cztery grupy nośności podłoża gruntowego oznaczone symbolami: G1, G2, G3, G4. Mogą wystąpić warunki nieodpowiadające żadnej grupie nośności podłoża.  </w:t>
      </w:r>
    </w:p>
    <w:p w14:paraId="7759784E"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.11.</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Humus (gleba) – przypowierzchniowa strefa gruntu (zwietrzałej skały) przeobrażona działalnością roślin, drobnoustrojów, zwierząt</w:t>
      </w:r>
      <w:r w:rsidR="00B36A70">
        <w:rPr>
          <w:rFonts w:ascii="Times New Roman" w:hAnsi="Times New Roman" w:cs="Times New Roman"/>
          <w:color w:val="000000" w:themeColor="text1"/>
        </w:rPr>
        <w:t>, stanowiąca grunt organiczny o </w:t>
      </w:r>
      <w:r w:rsidR="00955A27" w:rsidRPr="001667DB">
        <w:rPr>
          <w:rFonts w:ascii="Times New Roman" w:hAnsi="Times New Roman" w:cs="Times New Roman"/>
          <w:color w:val="000000" w:themeColor="text1"/>
        </w:rPr>
        <w:t xml:space="preserve">właściwościach zapewniających prawidłowy rozwój roślinom. </w:t>
      </w:r>
    </w:p>
    <w:p w14:paraId="3E693D26"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.12.</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Konstrukcja nawierzchni – zespół odpowiednio dobranych warstw, którego celem jest  rozłożenie naprężeń od kół pojazdów na podłoże gruntowe nawierzchni oraz zapewnienie bezpieczeństwa i komfortu jazdy pojazdów. Konstrukcja nawierzchni spoczywa na podłożu gruntowym lub warstwie ulepszonego podłoża. </w:t>
      </w:r>
    </w:p>
    <w:p w14:paraId="665BBB89"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.13.</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Korona drogi – część przekroju poprzecznego drogi, obejmująca jezdnie z poboczami  i pasem dzielącym, pasy awaryjnego postoju, chodniki,  zatoki oraz ewentualne inne  elementy, położona pomiędzy górnymi krawędziami skarp. </w:t>
      </w:r>
    </w:p>
    <w:p w14:paraId="683663B7"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.14.</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Korpus drogowy – cały nasyp oraz ta część wykopu, która </w:t>
      </w:r>
      <w:r w:rsidR="00B21953">
        <w:rPr>
          <w:rFonts w:ascii="Times New Roman" w:hAnsi="Times New Roman" w:cs="Times New Roman"/>
          <w:color w:val="000000" w:themeColor="text1"/>
        </w:rPr>
        <w:t>jest ograniczona koroną drogi i </w:t>
      </w:r>
      <w:r w:rsidR="00955A27" w:rsidRPr="001667DB">
        <w:rPr>
          <w:rFonts w:ascii="Times New Roman" w:hAnsi="Times New Roman" w:cs="Times New Roman"/>
          <w:color w:val="000000" w:themeColor="text1"/>
        </w:rPr>
        <w:t xml:space="preserve">wewnętrznymi skarpami rowów. </w:t>
      </w:r>
    </w:p>
    <w:p w14:paraId="099C415F"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.15.</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Materiał antropogeniczny – materiał powstały w wyniku bezpośredniej lub pośredniej  działalności człowieka (na przykład grunt ulepszony</w:t>
      </w:r>
      <w:r w:rsidR="00B36A70">
        <w:rPr>
          <w:rFonts w:ascii="Times New Roman" w:hAnsi="Times New Roman" w:cs="Times New Roman"/>
          <w:color w:val="000000" w:themeColor="text1"/>
        </w:rPr>
        <w:t>, odpad przemysłowy, materiał z </w:t>
      </w:r>
      <w:r w:rsidR="00955A27" w:rsidRPr="001667DB">
        <w:rPr>
          <w:rFonts w:ascii="Times New Roman" w:hAnsi="Times New Roman" w:cs="Times New Roman"/>
          <w:color w:val="000000" w:themeColor="text1"/>
        </w:rPr>
        <w:t xml:space="preserve">recyklingu). </w:t>
      </w:r>
    </w:p>
    <w:p w14:paraId="4A847D7A" w14:textId="77777777" w:rsidR="00955A27" w:rsidRPr="001667DB" w:rsidRDefault="001E22F9" w:rsidP="00B36A7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.16.</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Materiał nasypowy – grunt lub materiał antropogeniczny użyty do budowy nasypu. </w:t>
      </w:r>
    </w:p>
    <w:p w14:paraId="57CE925A"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r w:rsidR="00955A27" w:rsidRPr="001667DB">
        <w:rPr>
          <w:rFonts w:ascii="Times New Roman" w:hAnsi="Times New Roman" w:cs="Times New Roman"/>
          <w:color w:val="000000" w:themeColor="text1"/>
        </w:rPr>
        <w:t>.17.</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Materiał nieprzydatny – grunt lub materiał antropogeniczny, którego właściwości  uniemożliwiają wykorzystanie go jako materiał nasypowy. Nieprzydatność może być trwała, związana z niezmiennymi cechami materiału lub czasowa, związana ze stanem materiału lub innymi właściwościami, które wymagają poprawienia. </w:t>
      </w:r>
    </w:p>
    <w:p w14:paraId="2AD16927"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.18.</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Materiał przydatny – grunt lub materiał antropogeniczny, którego właściwości umożliwiają wykorzystanie go jako materiał nasypowy bez stosowania dodatkowych zabiegów. </w:t>
      </w:r>
    </w:p>
    <w:p w14:paraId="3EBBCA92"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.19.</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Materiał ulepszony – grunt lub materiał antropogeniczny, którego właściwości zostały  zmienione, w efekcie czego spełnia on wymagania wynikające z przewidzianego  zastosowania. </w:t>
      </w:r>
    </w:p>
    <w:p w14:paraId="45570EDE"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.20.</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Miejsce zerowe robót ziemnych (przekrój zerowy robót ziemnych) - granica pomiędzy nasypem i wykopem. Przekrój przejściowy, w którym powierzchnie nasypu i wykopu  w przekroju poprzecznym są równe (charakter robót ziemnych zmienia się z wykopu  na nasyp lub odwrotnie). </w:t>
      </w:r>
    </w:p>
    <w:p w14:paraId="37E22D98"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 xml:space="preserve">.21. Moduł odkształcenia gruntu – wielkość charakteryzująca nośność na powierzchni warstwy gruntu lub materiału antropogenicznego, badana zgodnie z Załącznikiem 2 (procedura według PN-S-02205, załącznik B), określana według wzoru: </w:t>
      </w:r>
    </w:p>
    <w:p w14:paraId="7AFBFCFA" w14:textId="77777777" w:rsidR="00955A27" w:rsidRPr="001667DB" w:rsidRDefault="00AB678D" w:rsidP="00B36A70">
      <w:pPr>
        <w:spacing w:after="120" w:line="360" w:lineRule="auto"/>
        <w:ind w:left="837" w:right="69" w:hanging="852"/>
        <w:jc w:val="both"/>
        <w:rPr>
          <w:rFonts w:ascii="Times New Roman" w:hAnsi="Times New Roman" w:cs="Times New Roman"/>
          <w:color w:val="000000" w:themeColor="text1"/>
        </w:rPr>
      </w:pPr>
      <m:oMathPara>
        <m:oMath>
          <m:sSub>
            <m:sSubPr>
              <m:ctrlPr>
                <w:rPr>
                  <w:rFonts w:ascii="Cambria Math" w:hAnsi="Cambria Math" w:cs="Times New Roman"/>
                  <w:i/>
                  <w:color w:val="000000" w:themeColor="text1"/>
                </w:rPr>
              </m:ctrlPr>
            </m:sSubPr>
            <m:e>
              <m:r>
                <w:rPr>
                  <w:rFonts w:ascii="Cambria Math" w:hAnsi="Cambria Math" w:cs="Times New Roman"/>
                  <w:color w:val="000000" w:themeColor="text1"/>
                </w:rPr>
                <m:t>E</m:t>
              </m:r>
            </m:e>
            <m:sub>
              <m:r>
                <w:rPr>
                  <w:rFonts w:ascii="Cambria Math" w:hAnsi="Cambria Math" w:cs="Times New Roman"/>
                  <w:color w:val="000000" w:themeColor="text1"/>
                </w:rPr>
                <m:t>i</m:t>
              </m:r>
            </m:sub>
          </m:sSub>
          <m:r>
            <w:rPr>
              <w:rFonts w:ascii="Cambria Math" w:hAnsi="Cambria Math" w:cs="Times New Roman"/>
              <w:color w:val="000000" w:themeColor="text1"/>
            </w:rPr>
            <m:t>=0.75</m:t>
          </m:r>
          <m:f>
            <m:fPr>
              <m:ctrlPr>
                <w:rPr>
                  <w:rFonts w:ascii="Cambria Math" w:hAnsi="Cambria Math" w:cs="Times New Roman"/>
                  <w:i/>
                  <w:color w:val="000000" w:themeColor="text1"/>
                </w:rPr>
              </m:ctrlPr>
            </m:fPr>
            <m:num>
              <m:r>
                <w:rPr>
                  <w:rFonts w:ascii="Cambria Math" w:hAnsi="Cambria Math" w:cs="Times New Roman"/>
                  <w:color w:val="000000" w:themeColor="text1"/>
                </w:rPr>
                <m:t>∆p</m:t>
              </m:r>
            </m:num>
            <m:den>
              <m:r>
                <w:rPr>
                  <w:rFonts w:ascii="Cambria Math" w:hAnsi="Cambria Math" w:cs="Times New Roman"/>
                  <w:color w:val="000000" w:themeColor="text1"/>
                </w:rPr>
                <m:t>∆s</m:t>
              </m:r>
            </m:den>
          </m:f>
          <m:r>
            <w:rPr>
              <w:rFonts w:ascii="Cambria Math" w:hAnsi="Cambria Math" w:cs="Times New Roman"/>
              <w:color w:val="000000" w:themeColor="text1"/>
            </w:rPr>
            <m:t>D</m:t>
          </m:r>
        </m:oMath>
      </m:oMathPara>
    </w:p>
    <w:p w14:paraId="3024FE14"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gdzie: </w:t>
      </w:r>
    </w:p>
    <w:p w14:paraId="16341777" w14:textId="77777777" w:rsidR="00955A27" w:rsidRPr="001667DB" w:rsidRDefault="00955A27" w:rsidP="00B36A70">
      <w:pPr>
        <w:tabs>
          <w:tab w:val="center" w:pos="932"/>
          <w:tab w:val="center" w:pos="3137"/>
        </w:tabs>
        <w:spacing w:after="120" w:line="36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i</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moduł odkształcenia gruntu [MPa] </w:t>
      </w:r>
    </w:p>
    <w:p w14:paraId="6774EDAB"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Δp   przyrost obciążenia jednostkowego [MPa], </w:t>
      </w:r>
    </w:p>
    <w:p w14:paraId="0BCEB73B"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Δs   przyrost osiadania odpowiadający przyrostowi obciążenia jednostkowego [mm] </w:t>
      </w:r>
    </w:p>
    <w:p w14:paraId="1457FA73"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   średnica płyty [mm] </w:t>
      </w:r>
    </w:p>
    <w:p w14:paraId="0E2FC11B"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.22.</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Nasyp – budowla ziemna wykonana w obrębie pasa drogowego poprzez wbudowanie  materiału nasypowego w kontrolowany sposób polegający na układaniu i zagęszczaniu kolejnych warstw powyżej powierzchni terenu.  </w:t>
      </w:r>
    </w:p>
    <w:p w14:paraId="590FEC8B"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.23.</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Niweleta robót ziemnych (spód konstrukcji nawierzchn</w:t>
      </w:r>
      <w:r w:rsidR="00B36A70">
        <w:rPr>
          <w:rFonts w:ascii="Times New Roman" w:hAnsi="Times New Roman" w:cs="Times New Roman"/>
          <w:color w:val="000000" w:themeColor="text1"/>
        </w:rPr>
        <w:t xml:space="preserve">i) - poziom górnej powierzchni </w:t>
      </w:r>
      <w:r w:rsidR="00955A27" w:rsidRPr="001667DB">
        <w:rPr>
          <w:rFonts w:ascii="Times New Roman" w:hAnsi="Times New Roman" w:cs="Times New Roman"/>
          <w:color w:val="000000" w:themeColor="text1"/>
        </w:rPr>
        <w:t>materiału nasypowego w nasypie lub poziom górn</w:t>
      </w:r>
      <w:r w:rsidR="00B36A70">
        <w:rPr>
          <w:rFonts w:ascii="Times New Roman" w:hAnsi="Times New Roman" w:cs="Times New Roman"/>
          <w:color w:val="000000" w:themeColor="text1"/>
        </w:rPr>
        <w:t>ej powierzchni gruntu rodzimego</w:t>
      </w:r>
      <w:r w:rsidR="00955A27" w:rsidRPr="001667DB">
        <w:rPr>
          <w:rFonts w:ascii="Times New Roman" w:hAnsi="Times New Roman" w:cs="Times New Roman"/>
          <w:color w:val="000000" w:themeColor="text1"/>
        </w:rPr>
        <w:t xml:space="preserve"> w wykopie lub poziom górnej powierzchni warstwy u</w:t>
      </w:r>
      <w:r w:rsidR="00B36A70">
        <w:rPr>
          <w:rFonts w:ascii="Times New Roman" w:hAnsi="Times New Roman" w:cs="Times New Roman"/>
          <w:color w:val="000000" w:themeColor="text1"/>
        </w:rPr>
        <w:t>lepszonego podłoża nawierzchni,</w:t>
      </w:r>
      <w:r w:rsidR="00955A27" w:rsidRPr="001667DB">
        <w:rPr>
          <w:rFonts w:ascii="Times New Roman" w:hAnsi="Times New Roman" w:cs="Times New Roman"/>
          <w:color w:val="000000" w:themeColor="text1"/>
        </w:rPr>
        <w:t xml:space="preserve"> o ile taka warstwa występuje. Lokalizację powierzchni robót zimnych pokazano na rysunku 1.1. </w:t>
      </w:r>
    </w:p>
    <w:p w14:paraId="52F27220"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719713E5" wp14:editId="4BE323B7">
            <wp:extent cx="5583556" cy="634974"/>
            <wp:effectExtent l="0" t="0" r="0" b="0"/>
            <wp:docPr id="1660" name="Picture 1660"/>
            <wp:cNvGraphicFramePr/>
            <a:graphic xmlns:a="http://schemas.openxmlformats.org/drawingml/2006/main">
              <a:graphicData uri="http://schemas.openxmlformats.org/drawingml/2006/picture">
                <pic:pic xmlns:pic="http://schemas.openxmlformats.org/drawingml/2006/picture">
                  <pic:nvPicPr>
                    <pic:cNvPr id="1660" name="Picture 1660"/>
                    <pic:cNvPicPr/>
                  </pic:nvPicPr>
                  <pic:blipFill>
                    <a:blip r:embed="rId8"/>
                    <a:stretch>
                      <a:fillRect/>
                    </a:stretch>
                  </pic:blipFill>
                  <pic:spPr>
                    <a:xfrm>
                      <a:off x="0" y="0"/>
                      <a:ext cx="5583556" cy="634974"/>
                    </a:xfrm>
                    <a:prstGeom prst="rect">
                      <a:avLst/>
                    </a:prstGeom>
                  </pic:spPr>
                </pic:pic>
              </a:graphicData>
            </a:graphic>
          </wp:inline>
        </w:drawing>
      </w:r>
      <w:r w:rsidRPr="001667DB">
        <w:rPr>
          <w:rFonts w:ascii="Times New Roman" w:hAnsi="Times New Roman" w:cs="Times New Roman"/>
          <w:color w:val="000000" w:themeColor="text1"/>
        </w:rPr>
        <w:t xml:space="preserve"> </w:t>
      </w:r>
    </w:p>
    <w:p w14:paraId="3A112977" w14:textId="77777777" w:rsidR="00955A27" w:rsidRPr="001667DB" w:rsidRDefault="00955A27" w:rsidP="00B36A70">
      <w:pPr>
        <w:spacing w:after="120" w:line="360" w:lineRule="auto"/>
        <w:ind w:left="661" w:right="1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Wykop </w:t>
      </w:r>
    </w:p>
    <w:p w14:paraId="3F708D07" w14:textId="77777777" w:rsidR="00955A27" w:rsidRPr="001667DB" w:rsidRDefault="00955A27" w:rsidP="00B36A70">
      <w:pPr>
        <w:spacing w:after="120" w:line="360" w:lineRule="auto"/>
        <w:ind w:righ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BDF145E" w14:textId="77777777" w:rsidR="00955A27" w:rsidRPr="001667DB" w:rsidRDefault="00955A27" w:rsidP="00B36A7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63DDF021" wp14:editId="54521B39">
            <wp:extent cx="5582920" cy="805815"/>
            <wp:effectExtent l="0" t="0" r="0" b="0"/>
            <wp:docPr id="1662" name="Picture 1662"/>
            <wp:cNvGraphicFramePr/>
            <a:graphic xmlns:a="http://schemas.openxmlformats.org/drawingml/2006/main">
              <a:graphicData uri="http://schemas.openxmlformats.org/drawingml/2006/picture">
                <pic:pic xmlns:pic="http://schemas.openxmlformats.org/drawingml/2006/picture">
                  <pic:nvPicPr>
                    <pic:cNvPr id="1662" name="Picture 1662"/>
                    <pic:cNvPicPr/>
                  </pic:nvPicPr>
                  <pic:blipFill>
                    <a:blip r:embed="rId9"/>
                    <a:stretch>
                      <a:fillRect/>
                    </a:stretch>
                  </pic:blipFill>
                  <pic:spPr>
                    <a:xfrm>
                      <a:off x="0" y="0"/>
                      <a:ext cx="5582920" cy="805815"/>
                    </a:xfrm>
                    <a:prstGeom prst="rect">
                      <a:avLst/>
                    </a:prstGeom>
                  </pic:spPr>
                </pic:pic>
              </a:graphicData>
            </a:graphic>
          </wp:inline>
        </w:drawing>
      </w:r>
      <w:r w:rsidRPr="001667DB">
        <w:rPr>
          <w:rFonts w:ascii="Times New Roman" w:hAnsi="Times New Roman" w:cs="Times New Roman"/>
          <w:color w:val="000000" w:themeColor="text1"/>
        </w:rPr>
        <w:t xml:space="preserve"> </w:t>
      </w:r>
    </w:p>
    <w:p w14:paraId="181D3749" w14:textId="77777777" w:rsidR="00955A27" w:rsidRPr="001667DB" w:rsidRDefault="00955A27" w:rsidP="00B36A70">
      <w:pPr>
        <w:spacing w:after="120" w:line="360" w:lineRule="auto"/>
        <w:ind w:left="661" w:right="2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Nasyp </w:t>
      </w:r>
    </w:p>
    <w:p w14:paraId="33DEBCE5" w14:textId="77777777" w:rsidR="00955A27" w:rsidRPr="001667DB" w:rsidRDefault="00955A27" w:rsidP="00B36A70">
      <w:pPr>
        <w:spacing w:after="120" w:line="360" w:lineRule="auto"/>
        <w:ind w:left="718"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Rysunek 1.1. Lokalizacja niwelety robót ziemnych </w:t>
      </w:r>
    </w:p>
    <w:p w14:paraId="03015AB6" w14:textId="77777777" w:rsidR="00955A27" w:rsidRPr="001667DB" w:rsidRDefault="00955A27" w:rsidP="00B36A70">
      <w:pPr>
        <w:spacing w:after="120" w:line="360" w:lineRule="auto"/>
        <w:ind w:righ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601B076"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.24.</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Obliczeniowa głębokość przemarzania - umowna głębokość przemarzania w danym rejonie, będąca głębokością przemarzania zredukowaną w zależności od obciążenia ruchem samochodowym i warunków gruntowo-wodnych.  </w:t>
      </w:r>
    </w:p>
    <w:p w14:paraId="69DB8F7C"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.25.</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Odkład – miejsce wbudowania lub składowania gruntów pozyskanych w czasie  wykonywania wykopów, a nie wykorzystywanych do budowy nasypów lub innych robót. </w:t>
      </w:r>
    </w:p>
    <w:p w14:paraId="271C791E"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.26.</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Pas drogowy - wydzielony teren, przeznaczony pod</w:t>
      </w:r>
      <w:r w:rsidR="00B36A70">
        <w:rPr>
          <w:rFonts w:ascii="Times New Roman" w:hAnsi="Times New Roman" w:cs="Times New Roman"/>
          <w:color w:val="000000" w:themeColor="text1"/>
        </w:rPr>
        <w:t xml:space="preserve"> drogę oraz urządzenia związane</w:t>
      </w:r>
      <w:r w:rsidR="00955A27" w:rsidRPr="001667DB">
        <w:rPr>
          <w:rFonts w:ascii="Times New Roman" w:hAnsi="Times New Roman" w:cs="Times New Roman"/>
          <w:color w:val="000000" w:themeColor="text1"/>
        </w:rPr>
        <w:t xml:space="preserve"> z obsługą i ochroną drogi, obsługą ruchu i ochroną środowiska, a także zawierający rezerwę pod przyszłą rozbudowę drogi. </w:t>
      </w:r>
    </w:p>
    <w:p w14:paraId="0A5F2B0D"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.27.</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Pochylenie skarpy lub zbocza - kąt nachylenia</w:t>
      </w:r>
      <w:r w:rsidR="00B36A70">
        <w:rPr>
          <w:rFonts w:ascii="Times New Roman" w:hAnsi="Times New Roman" w:cs="Times New Roman"/>
          <w:color w:val="000000" w:themeColor="text1"/>
        </w:rPr>
        <w:t xml:space="preserve"> powierzchni skarpy lub zbocza </w:t>
      </w:r>
      <w:r w:rsidR="00955A27" w:rsidRPr="001667DB">
        <w:rPr>
          <w:rFonts w:ascii="Times New Roman" w:hAnsi="Times New Roman" w:cs="Times New Roman"/>
          <w:color w:val="000000" w:themeColor="text1"/>
        </w:rPr>
        <w:t xml:space="preserve">do rzutu poziomego skarpy lub zbocza. </w:t>
      </w:r>
    </w:p>
    <w:p w14:paraId="00033937" w14:textId="77777777" w:rsidR="00955A27" w:rsidRPr="001667DB" w:rsidRDefault="001E22F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.28. Podłoże gruntowe budowli ziemnej (nasypu lub wykopu) – strefa gruntu rodzimego poniżej spodu budowli ziemnej, której właściwości mają wpływ na pr</w:t>
      </w:r>
      <w:r w:rsidR="00B36A70">
        <w:rPr>
          <w:rFonts w:ascii="Times New Roman" w:hAnsi="Times New Roman" w:cs="Times New Roman"/>
          <w:color w:val="000000" w:themeColor="text1"/>
        </w:rPr>
        <w:t>ojektowanie, wykonanie i </w:t>
      </w:r>
      <w:r w:rsidR="00955A27" w:rsidRPr="001667DB">
        <w:rPr>
          <w:rFonts w:ascii="Times New Roman" w:hAnsi="Times New Roman" w:cs="Times New Roman"/>
          <w:color w:val="000000" w:themeColor="text1"/>
        </w:rPr>
        <w:t xml:space="preserve">eksploatację budowli ziemnej.  </w:t>
      </w:r>
    </w:p>
    <w:p w14:paraId="16B69BE5"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.29.</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Podłoże gruntowe nawierzchni - strefa gruntu rodzimego lub nasypowego poniżej spodu konstrukcji nawierzchni, której właściwośc</w:t>
      </w:r>
      <w:r w:rsidR="00B36A70">
        <w:rPr>
          <w:rFonts w:ascii="Times New Roman" w:hAnsi="Times New Roman" w:cs="Times New Roman"/>
          <w:color w:val="000000" w:themeColor="text1"/>
        </w:rPr>
        <w:t>i mają wpływ na projektowanie, wykonanie i </w:t>
      </w:r>
      <w:r w:rsidR="00955A27" w:rsidRPr="001667DB">
        <w:rPr>
          <w:rFonts w:ascii="Times New Roman" w:hAnsi="Times New Roman" w:cs="Times New Roman"/>
          <w:color w:val="000000" w:themeColor="text1"/>
        </w:rPr>
        <w:t xml:space="preserve">eksploatację nawierzchni. </w:t>
      </w:r>
    </w:p>
    <w:p w14:paraId="76875A69"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.30.</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Projekt Geotechniczny – projekt wykonany zgodnie z zasadami określonymi w Rozporządzeniu Ministra Transportu, Budownictwa i Gospodarki Morski</w:t>
      </w:r>
      <w:r w:rsidR="00B36A70">
        <w:rPr>
          <w:rFonts w:ascii="Times New Roman" w:hAnsi="Times New Roman" w:cs="Times New Roman"/>
          <w:color w:val="000000" w:themeColor="text1"/>
        </w:rPr>
        <w:t>ej z dnia 25 kwietnia 2012 r. w </w:t>
      </w:r>
      <w:r w:rsidR="00955A27" w:rsidRPr="001667DB">
        <w:rPr>
          <w:rFonts w:ascii="Times New Roman" w:hAnsi="Times New Roman" w:cs="Times New Roman"/>
          <w:color w:val="000000" w:themeColor="text1"/>
        </w:rPr>
        <w:t xml:space="preserve">sprawie ustalania geotechnicznych warunków posadawiania obiektów budowlanych, zapewniający spełnienie wymagań funkcjonalnych, wynikających z przeznaczenia budowli ziemnej. </w:t>
      </w:r>
    </w:p>
    <w:p w14:paraId="41A45AFA"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.31.</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Projekt robót ziemnych – projekt określający proces technologiczny wykonania budowli ziemnej, spełniającej wymagania wynikające z projektu geotechnicznego (jeżeli  był opracowany) i ustaleń Kontraktu.  </w:t>
      </w:r>
    </w:p>
    <w:p w14:paraId="59430F8C" w14:textId="77777777" w:rsidR="00955A27" w:rsidRPr="001667DB" w:rsidRDefault="00E273B9" w:rsidP="00B36A70">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r w:rsidR="00955A27" w:rsidRPr="001667DB">
        <w:rPr>
          <w:rFonts w:ascii="Times New Roman" w:hAnsi="Times New Roman" w:cs="Times New Roman"/>
          <w:color w:val="000000" w:themeColor="text1"/>
        </w:rPr>
        <w:t>.32.</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Roboty ziemne – termin oznaczający wszystkie czy</w:t>
      </w:r>
      <w:r w:rsidR="00B36A70">
        <w:rPr>
          <w:rFonts w:ascii="Times New Roman" w:hAnsi="Times New Roman" w:cs="Times New Roman"/>
          <w:color w:val="000000" w:themeColor="text1"/>
        </w:rPr>
        <w:t xml:space="preserve">nności związane z odspajaniem, </w:t>
      </w:r>
      <w:r w:rsidR="00955A27" w:rsidRPr="001667DB">
        <w:rPr>
          <w:rFonts w:ascii="Times New Roman" w:hAnsi="Times New Roman" w:cs="Times New Roman"/>
          <w:color w:val="000000" w:themeColor="text1"/>
        </w:rPr>
        <w:t xml:space="preserve">selekcjonowaniem, </w:t>
      </w:r>
      <w:r w:rsidR="00955A27" w:rsidRPr="001667DB">
        <w:rPr>
          <w:rFonts w:ascii="Times New Roman" w:hAnsi="Times New Roman" w:cs="Times New Roman"/>
          <w:color w:val="000000" w:themeColor="text1"/>
        </w:rPr>
        <w:tab/>
        <w:t xml:space="preserve">przemieszczaniem, </w:t>
      </w:r>
      <w:r w:rsidR="00955A27" w:rsidRPr="001667DB">
        <w:rPr>
          <w:rFonts w:ascii="Times New Roman" w:hAnsi="Times New Roman" w:cs="Times New Roman"/>
          <w:color w:val="000000" w:themeColor="text1"/>
        </w:rPr>
        <w:tab/>
        <w:t xml:space="preserve">profilowaniem, </w:t>
      </w:r>
      <w:r w:rsidR="00955A27" w:rsidRPr="001667DB">
        <w:rPr>
          <w:rFonts w:ascii="Times New Roman" w:hAnsi="Times New Roman" w:cs="Times New Roman"/>
          <w:color w:val="000000" w:themeColor="text1"/>
        </w:rPr>
        <w:tab/>
        <w:t xml:space="preserve">ulepszaniem </w:t>
      </w:r>
      <w:r w:rsidR="00955A27" w:rsidRPr="001667DB">
        <w:rPr>
          <w:rFonts w:ascii="Times New Roman" w:hAnsi="Times New Roman" w:cs="Times New Roman"/>
          <w:color w:val="000000" w:themeColor="text1"/>
        </w:rPr>
        <w:tab/>
        <w:t xml:space="preserve">oraz zagęszczaniem gruntów lub materiałów antropogenicznych. </w:t>
      </w:r>
    </w:p>
    <w:p w14:paraId="7CB848D2"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.33.</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Rów przydrożny (boczny) – rów biegnący wzdłuż drogi, </w:t>
      </w:r>
      <w:r w:rsidR="00B21953">
        <w:rPr>
          <w:rFonts w:ascii="Times New Roman" w:hAnsi="Times New Roman" w:cs="Times New Roman"/>
          <w:color w:val="000000" w:themeColor="text1"/>
        </w:rPr>
        <w:t>służący do odprowadzenia wody z </w:t>
      </w:r>
      <w:r w:rsidR="00955A27" w:rsidRPr="001667DB">
        <w:rPr>
          <w:rFonts w:ascii="Times New Roman" w:hAnsi="Times New Roman" w:cs="Times New Roman"/>
          <w:color w:val="000000" w:themeColor="text1"/>
        </w:rPr>
        <w:t xml:space="preserve">korony drogi, skarp lub przyległego terenu. </w:t>
      </w:r>
    </w:p>
    <w:p w14:paraId="44CE8DC2"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.34.</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Rów stokowy – rów służący do zbierania i odprowadzania wody spływającej ze zbocza, wykonany ponad skarpą wykopu. </w:t>
      </w:r>
    </w:p>
    <w:p w14:paraId="432133DA"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.35.</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Skała – występujący w warunkach naturalnych zespó</w:t>
      </w:r>
      <w:r w:rsidR="00B21953">
        <w:rPr>
          <w:rFonts w:ascii="Times New Roman" w:hAnsi="Times New Roman" w:cs="Times New Roman"/>
          <w:color w:val="000000" w:themeColor="text1"/>
        </w:rPr>
        <w:t xml:space="preserve">ł minerałów, skonsolidowanych, </w:t>
      </w:r>
      <w:r w:rsidR="00955A27" w:rsidRPr="001667DB">
        <w:rPr>
          <w:rFonts w:ascii="Times New Roman" w:hAnsi="Times New Roman" w:cs="Times New Roman"/>
          <w:color w:val="000000" w:themeColor="text1"/>
        </w:rPr>
        <w:t xml:space="preserve">scementowanych  lub w inny sposób powiązanych ze sobą, nie dających się rozdrobnić ręcznie po namoczeniu w wodzie.  </w:t>
      </w:r>
    </w:p>
    <w:p w14:paraId="6BCF0D02" w14:textId="77777777" w:rsidR="00955A27" w:rsidRPr="001667DB" w:rsidRDefault="00955A27" w:rsidP="00B36A70">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r w:rsidR="00E273B9" w:rsidRPr="001667DB">
        <w:rPr>
          <w:rFonts w:ascii="Times New Roman" w:hAnsi="Times New Roman" w:cs="Times New Roman"/>
          <w:color w:val="000000" w:themeColor="text1"/>
        </w:rPr>
        <w:t>3</w:t>
      </w:r>
      <w:r w:rsidRPr="001667DB">
        <w:rPr>
          <w:rFonts w:ascii="Times New Roman" w:hAnsi="Times New Roman" w:cs="Times New Roman"/>
          <w:color w:val="000000" w:themeColor="text1"/>
        </w:rPr>
        <w:t>.36.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Skarpa – zewnętrzna boczna powierzchnia nasypu lub wykopu o kształcie i nachyleniu określonym w Dokumentacji Projektowej, spełniająca warunki stateczności i odwodnienia, zabezpieczona przed erozją. </w:t>
      </w:r>
    </w:p>
    <w:p w14:paraId="0132E544"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.37.</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Warunki Wykonania i Odbioru Robót Budowlanych (ST) – dokument opisujący zasady doboru materiałów, wykonania, odbioru, obmiaru oraz zasady</w:t>
      </w:r>
      <w:r w:rsidR="00B21953">
        <w:rPr>
          <w:rFonts w:ascii="Times New Roman" w:hAnsi="Times New Roman" w:cs="Times New Roman"/>
          <w:color w:val="000000" w:themeColor="text1"/>
        </w:rPr>
        <w:t xml:space="preserve"> płatności za wykonane roboty. </w:t>
      </w:r>
    </w:p>
    <w:p w14:paraId="18920599"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.38.</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Spoiwo – pojedynczy materiał wiążący lub połączone materiały wiążące, których wymieszanie z gruntem lub materiałem antropogenicznym zapewnia kró</w:t>
      </w:r>
      <w:r w:rsidR="00B21953">
        <w:rPr>
          <w:rFonts w:ascii="Times New Roman" w:hAnsi="Times New Roman" w:cs="Times New Roman"/>
          <w:color w:val="000000" w:themeColor="text1"/>
        </w:rPr>
        <w:t>tkoterminową</w:t>
      </w:r>
      <w:r w:rsidR="00955A27" w:rsidRPr="001667DB">
        <w:rPr>
          <w:rFonts w:ascii="Times New Roman" w:hAnsi="Times New Roman" w:cs="Times New Roman"/>
          <w:color w:val="000000" w:themeColor="text1"/>
        </w:rPr>
        <w:t xml:space="preserve"> lub długoterminową poprawę właściwości.  </w:t>
      </w:r>
    </w:p>
    <w:p w14:paraId="34ED7249"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.39.</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Strefa nasypu – wydzielona część nasypu, na przykład podstawa lub górna część korpusu ziemnego, w odniesieniu do której zostały określone indywidualne wymagania. </w:t>
      </w:r>
    </w:p>
    <w:p w14:paraId="1446263D"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.40.</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Tymczasowa powierzchnia robót ziemnych - powierzchni</w:t>
      </w:r>
      <w:r w:rsidR="00B21953">
        <w:rPr>
          <w:rFonts w:ascii="Times New Roman" w:hAnsi="Times New Roman" w:cs="Times New Roman"/>
          <w:color w:val="000000" w:themeColor="text1"/>
        </w:rPr>
        <w:t>a korony drogi, skarp i rowów w </w:t>
      </w:r>
      <w:r w:rsidR="00955A27" w:rsidRPr="001667DB">
        <w:rPr>
          <w:rFonts w:ascii="Times New Roman" w:hAnsi="Times New Roman" w:cs="Times New Roman"/>
          <w:color w:val="000000" w:themeColor="text1"/>
        </w:rPr>
        <w:t xml:space="preserve">czasie wykonywania robót ziemnych. </w:t>
      </w:r>
    </w:p>
    <w:p w14:paraId="6235A778"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.41.</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Ukop – miejsce pozyskania gruntu do wykonania nasypów, położone w obrębie pasa robót drogowych </w:t>
      </w:r>
    </w:p>
    <w:p w14:paraId="3F669CB8"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.42.</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Ulepszone podłoże nawierzchni - wierzchnia warstwa podłoża gruntowego nawierzchni ulepszona w celu zwiększenia nośności gruntu rod</w:t>
      </w:r>
      <w:r w:rsidR="00B21953">
        <w:rPr>
          <w:rFonts w:ascii="Times New Roman" w:hAnsi="Times New Roman" w:cs="Times New Roman"/>
          <w:color w:val="000000" w:themeColor="text1"/>
        </w:rPr>
        <w:t xml:space="preserve">zimego w wykopie lub materiału </w:t>
      </w:r>
      <w:r w:rsidR="00955A27" w:rsidRPr="001667DB">
        <w:rPr>
          <w:rFonts w:ascii="Times New Roman" w:hAnsi="Times New Roman" w:cs="Times New Roman"/>
          <w:color w:val="000000" w:themeColor="text1"/>
        </w:rPr>
        <w:t xml:space="preserve">nasypowego albo zwiększenia odporności nawierzchni na powstawanie wysadzin. </w:t>
      </w:r>
    </w:p>
    <w:p w14:paraId="5E971336"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.43. Urządzenia odwadniające - urządzenia i konstrukcje umo</w:t>
      </w:r>
      <w:r w:rsidR="00B21953">
        <w:rPr>
          <w:rFonts w:ascii="Times New Roman" w:hAnsi="Times New Roman" w:cs="Times New Roman"/>
          <w:color w:val="000000" w:themeColor="text1"/>
        </w:rPr>
        <w:t xml:space="preserve">żliwiające odprowadzenie </w:t>
      </w:r>
      <w:r w:rsidR="00955A27" w:rsidRPr="001667DB">
        <w:rPr>
          <w:rFonts w:ascii="Times New Roman" w:hAnsi="Times New Roman" w:cs="Times New Roman"/>
          <w:color w:val="000000" w:themeColor="text1"/>
        </w:rPr>
        <w:t xml:space="preserve">wód powierzchniowych i gruntowych z pasa drogowego. </w:t>
      </w:r>
    </w:p>
    <w:p w14:paraId="64C8ECAF"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.44.</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Wilgotność – stosunek masy wody zawartej w </w:t>
      </w:r>
      <w:r w:rsidR="00B21953">
        <w:rPr>
          <w:rFonts w:ascii="Times New Roman" w:hAnsi="Times New Roman" w:cs="Times New Roman"/>
          <w:color w:val="000000" w:themeColor="text1"/>
        </w:rPr>
        <w:t>próbce do masy szkieletu gruntu</w:t>
      </w:r>
      <w:r w:rsidR="00955A27" w:rsidRPr="001667DB">
        <w:rPr>
          <w:rFonts w:ascii="Times New Roman" w:hAnsi="Times New Roman" w:cs="Times New Roman"/>
          <w:color w:val="000000" w:themeColor="text1"/>
        </w:rPr>
        <w:t xml:space="preserve"> lub materiału antropogenicznego. </w:t>
      </w:r>
    </w:p>
    <w:p w14:paraId="0B2CEF43"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r w:rsidR="00955A27" w:rsidRPr="001667DB">
        <w:rPr>
          <w:rFonts w:ascii="Times New Roman" w:hAnsi="Times New Roman" w:cs="Times New Roman"/>
          <w:color w:val="000000" w:themeColor="text1"/>
        </w:rPr>
        <w:t>.45.</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Wilgotność optymalna – wilgotność gruntu lub materiału antropogenicznego, w której użycie konkretnej energii zagęszczania powoduje uzyskanie maksymalnej gęstości objętościowej szkieletu. </w:t>
      </w:r>
    </w:p>
    <w:p w14:paraId="55E39037"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.46.</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Wskaźnik jednorodności uziarnienia – wielkość charakteryzująca zagęszczalność gruntów niespoistych, określona według wzoru: </w:t>
      </w:r>
    </w:p>
    <w:p w14:paraId="162074A3" w14:textId="77777777" w:rsidR="00955A27" w:rsidRPr="001667DB" w:rsidRDefault="00955A27" w:rsidP="00B21953">
      <w:pPr>
        <w:spacing w:after="0" w:line="240" w:lineRule="auto"/>
        <w:ind w:left="822"/>
        <w:jc w:val="center"/>
        <w:rPr>
          <w:rFonts w:ascii="Times New Roman" w:hAnsi="Times New Roman" w:cs="Times New Roman"/>
          <w:color w:val="000000" w:themeColor="text1"/>
        </w:rPr>
      </w:pPr>
      <w:r w:rsidRPr="001667DB">
        <w:rPr>
          <w:rFonts w:ascii="Cambria Math" w:eastAsia="Cambria Math" w:hAnsi="Cambria Math" w:cs="Cambria Math"/>
          <w:color w:val="000000" w:themeColor="text1"/>
        </w:rPr>
        <w:t>𝑑</w:t>
      </w:r>
      <w:r w:rsidRPr="001667DB">
        <w:rPr>
          <w:rFonts w:ascii="Times New Roman" w:eastAsia="Cambria Math" w:hAnsi="Times New Roman" w:cs="Times New Roman"/>
          <w:color w:val="000000" w:themeColor="text1"/>
        </w:rPr>
        <w:t>60</w:t>
      </w:r>
    </w:p>
    <w:p w14:paraId="76273ED8" w14:textId="77777777" w:rsidR="00955A27" w:rsidRPr="001667DB" w:rsidRDefault="00955A27" w:rsidP="00B21953">
      <w:pPr>
        <w:spacing w:after="0" w:line="240" w:lineRule="auto"/>
        <w:ind w:left="4395"/>
        <w:jc w:val="both"/>
        <w:rPr>
          <w:rFonts w:ascii="Times New Roman" w:hAnsi="Times New Roman" w:cs="Times New Roman"/>
          <w:color w:val="000000" w:themeColor="text1"/>
        </w:rPr>
      </w:pPr>
      <w:r w:rsidRPr="001667DB">
        <w:rPr>
          <w:rFonts w:ascii="Cambria Math" w:eastAsia="Cambria Math" w:hAnsi="Cambria Math" w:cs="Cambria Math"/>
          <w:color w:val="000000" w:themeColor="text1"/>
        </w:rPr>
        <w:t>𝐶</w:t>
      </w:r>
      <w:r w:rsidRPr="001667DB">
        <w:rPr>
          <w:rFonts w:ascii="Cambria Math" w:eastAsia="Cambria Math" w:hAnsi="Cambria Math" w:cs="Cambria Math"/>
          <w:color w:val="000000" w:themeColor="text1"/>
          <w:vertAlign w:val="subscript"/>
        </w:rPr>
        <w:t>𝑢</w:t>
      </w:r>
      <w:r w:rsidRPr="001667DB">
        <w:rPr>
          <w:rFonts w:ascii="Times New Roman" w:eastAsia="Cambria Math" w:hAnsi="Times New Roman" w:cs="Times New Roman"/>
          <w:color w:val="000000" w:themeColor="text1"/>
          <w:vertAlign w:val="subscript"/>
        </w:rPr>
        <w:t xml:space="preserve"> </w:t>
      </w:r>
      <w:r w:rsidRPr="001667DB">
        <w:rPr>
          <w:rFonts w:ascii="Times New Roman" w:eastAsia="Cambria Math" w:hAnsi="Times New Roman" w:cs="Times New Roman"/>
          <w:color w:val="000000" w:themeColor="text1"/>
        </w:rPr>
        <w:t xml:space="preserve">= </w:t>
      </w: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6CEB2F7F" wp14:editId="158A1A85">
                <wp:extent cx="181356" cy="7620"/>
                <wp:effectExtent l="0" t="0" r="0" b="0"/>
                <wp:docPr id="53138" name="Group 53138"/>
                <wp:cNvGraphicFramePr/>
                <a:graphic xmlns:a="http://schemas.openxmlformats.org/drawingml/2006/main">
                  <a:graphicData uri="http://schemas.microsoft.com/office/word/2010/wordprocessingGroup">
                    <wpg:wgp>
                      <wpg:cNvGrpSpPr/>
                      <wpg:grpSpPr>
                        <a:xfrm>
                          <a:off x="0" y="0"/>
                          <a:ext cx="181356" cy="7620"/>
                          <a:chOff x="0" y="0"/>
                          <a:chExt cx="181356" cy="7620"/>
                        </a:xfrm>
                      </wpg:grpSpPr>
                      <wps:wsp>
                        <wps:cNvPr id="63135" name="Shape 63135"/>
                        <wps:cNvSpPr/>
                        <wps:spPr>
                          <a:xfrm>
                            <a:off x="0" y="0"/>
                            <a:ext cx="181356" cy="9144"/>
                          </a:xfrm>
                          <a:custGeom>
                            <a:avLst/>
                            <a:gdLst/>
                            <a:ahLst/>
                            <a:cxnLst/>
                            <a:rect l="0" t="0" r="0" b="0"/>
                            <a:pathLst>
                              <a:path w="181356" h="9144">
                                <a:moveTo>
                                  <a:pt x="0" y="0"/>
                                </a:moveTo>
                                <a:lnTo>
                                  <a:pt x="181356" y="0"/>
                                </a:lnTo>
                                <a:lnTo>
                                  <a:pt x="1813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464FD7C" id="Group 53138" o:spid="_x0000_s1026" style="width:14.3pt;height:.6pt;mso-position-horizontal-relative:char;mso-position-vertical-relative:line" coordsize="181356,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">
                <v:shape id="Shape 63135" o:spid="_x0000_s1027" style="position:absolute;width:181356;height:9144;visibility:visible;mso-wrap-style:square;v-text-anchor:top" coordsize="1813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k5MgA&#10;AADeAAAADwAAAGRycy9kb3ducmV2LnhtbESPQWsCMRSE70L/Q3iF3jRrrSKrUUq10ENbUdf7Y/Pc&#10;LG5etkm6bvvrm0Khx2FmvmGW6942oiMfascKxqMMBHHpdM2VguL4PJyDCBFZY+OYFHxRgPXqZrDE&#10;XLsr76k7xEokCIccFZgY21zKUBqyGEauJU7e2XmLMUlfSe3xmuC2kfdZNpMWa04LBlt6MlReDp9W&#10;wVa+Tueb767o+O3j4fTuz0Vmdkrd3faPCxCR+vgf/mu/aAWzyXgyhd876Qr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KmTkyAAAAN4AAAAPAAAAAAAAAAAAAAAAAJgCAABk&#10;cnMvZG93bnJldi54bWxQSwUGAAAAAAQABAD1AAAAjQMAAAAA&#10;" path="m,l181356,r,9144l,9144,,e" fillcolor="black" stroked="f" strokeweight="0">
                  <v:stroke miterlimit="83231f" joinstyle="miter"/>
                  <v:path arrowok="t" textboxrect="0,0,181356,9144"/>
                </v:shape>
                <w10:anchorlock/>
              </v:group>
            </w:pict>
          </mc:Fallback>
        </mc:AlternateContent>
      </w:r>
      <w:r w:rsidRPr="001667DB">
        <w:rPr>
          <w:rFonts w:ascii="Times New Roman" w:eastAsia="Cambria Math" w:hAnsi="Times New Roman" w:cs="Times New Roman"/>
          <w:color w:val="000000" w:themeColor="text1"/>
        </w:rPr>
        <w:t xml:space="preserve"> </w:t>
      </w:r>
    </w:p>
    <w:p w14:paraId="5AA2D60F" w14:textId="77777777" w:rsidR="00955A27" w:rsidRPr="001667DB" w:rsidRDefault="00955A27" w:rsidP="00B21953">
      <w:pPr>
        <w:spacing w:after="120" w:line="360" w:lineRule="auto"/>
        <w:ind w:left="822"/>
        <w:jc w:val="center"/>
        <w:rPr>
          <w:rFonts w:ascii="Times New Roman" w:hAnsi="Times New Roman" w:cs="Times New Roman"/>
          <w:color w:val="000000" w:themeColor="text1"/>
        </w:rPr>
      </w:pPr>
      <w:r w:rsidRPr="001667DB">
        <w:rPr>
          <w:rFonts w:ascii="Cambria Math" w:eastAsia="Cambria Math" w:hAnsi="Cambria Math" w:cs="Cambria Math"/>
          <w:color w:val="000000" w:themeColor="text1"/>
        </w:rPr>
        <w:t>𝑑</w:t>
      </w:r>
      <w:r w:rsidRPr="001667DB">
        <w:rPr>
          <w:rFonts w:ascii="Times New Roman" w:eastAsia="Cambria Math" w:hAnsi="Times New Roman" w:cs="Times New Roman"/>
          <w:color w:val="000000" w:themeColor="text1"/>
        </w:rPr>
        <w:t>10</w:t>
      </w:r>
    </w:p>
    <w:p w14:paraId="33FAE560"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którym: </w:t>
      </w:r>
    </w:p>
    <w:p w14:paraId="3B3E6B3E" w14:textId="77777777" w:rsidR="00955A27" w:rsidRPr="001667DB" w:rsidRDefault="00955A27" w:rsidP="00B36A70">
      <w:pPr>
        <w:spacing w:after="120" w:line="360" w:lineRule="auto"/>
        <w:ind w:left="1555" w:right="69" w:hanging="703"/>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60</w:t>
      </w:r>
      <w:r w:rsidRPr="001667DB">
        <w:rPr>
          <w:rFonts w:ascii="Times New Roman" w:hAnsi="Times New Roman" w:cs="Times New Roman"/>
          <w:color w:val="000000" w:themeColor="text1"/>
        </w:rPr>
        <w:t xml:space="preserve">   wymiar cząstek, których masa wraz z mniejszymi stanowi 60% masy próbki wysuszonej [mm], </w:t>
      </w:r>
    </w:p>
    <w:p w14:paraId="64A4FB6B" w14:textId="77777777" w:rsidR="00955A27" w:rsidRPr="001667DB" w:rsidRDefault="00955A27" w:rsidP="00B36A70">
      <w:pPr>
        <w:spacing w:after="120" w:line="360" w:lineRule="auto"/>
        <w:ind w:left="1555" w:right="69" w:hanging="703"/>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 xml:space="preserve">   wymiar cząstek, których masa wraz z mniejszymi stanowi 10% masy próbki wysuszonej [mm]. </w:t>
      </w:r>
    </w:p>
    <w:p w14:paraId="284E262B"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.47.</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Wskaźnik odkształcenia gruntu - wielkość charakteryzująca stan zagęszczenia gruntu, określona według wzoru: </w:t>
      </w:r>
    </w:p>
    <w:p w14:paraId="591B017B" w14:textId="77777777" w:rsidR="00955A27" w:rsidRPr="001667DB" w:rsidRDefault="00955A27" w:rsidP="00B21953">
      <w:pPr>
        <w:spacing w:after="0" w:line="240" w:lineRule="auto"/>
        <w:ind w:left="639"/>
        <w:jc w:val="center"/>
        <w:rPr>
          <w:rFonts w:ascii="Times New Roman" w:hAnsi="Times New Roman" w:cs="Times New Roman"/>
          <w:color w:val="000000" w:themeColor="text1"/>
        </w:rPr>
      </w:pPr>
      <w:r w:rsidRPr="001667DB">
        <w:rPr>
          <w:rFonts w:ascii="Times New Roman" w:eastAsia="Arial" w:hAnsi="Times New Roman" w:cs="Times New Roman"/>
          <w:i/>
          <w:color w:val="000000" w:themeColor="text1"/>
        </w:rPr>
        <w:t>E</w:t>
      </w:r>
      <w:r w:rsidRPr="001667DB">
        <w:rPr>
          <w:rFonts w:ascii="Times New Roman" w:eastAsia="Arial" w:hAnsi="Times New Roman" w:cs="Times New Roman"/>
          <w:color w:val="000000" w:themeColor="text1"/>
        </w:rPr>
        <w:t>2</w:t>
      </w:r>
    </w:p>
    <w:p w14:paraId="7C14BEEC" w14:textId="77777777" w:rsidR="00955A27" w:rsidRPr="001667DB" w:rsidRDefault="00955A27" w:rsidP="00B21953">
      <w:pPr>
        <w:tabs>
          <w:tab w:val="center" w:pos="4253"/>
          <w:tab w:val="center" w:pos="4820"/>
        </w:tabs>
        <w:spacing w:after="0" w:line="24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eastAsia="Arial" w:hAnsi="Times New Roman" w:cs="Times New Roman"/>
          <w:i/>
          <w:color w:val="000000" w:themeColor="text1"/>
        </w:rPr>
        <w:t>I</w:t>
      </w:r>
      <w:r w:rsidRPr="001667DB">
        <w:rPr>
          <w:rFonts w:ascii="Times New Roman" w:eastAsia="Arial" w:hAnsi="Times New Roman" w:cs="Times New Roman"/>
          <w:color w:val="000000" w:themeColor="text1"/>
          <w:vertAlign w:val="subscript"/>
        </w:rPr>
        <w:t xml:space="preserve">0 </w:t>
      </w:r>
      <w:r w:rsidRPr="001667DB">
        <w:rPr>
          <w:rFonts w:ascii="Times New Roman" w:eastAsia="Segoe UI Symbol" w:hAnsi="Times New Roman" w:cs="Times New Roman"/>
          <w:color w:val="000000" w:themeColor="text1"/>
        </w:rPr>
        <w:t>=</w:t>
      </w:r>
      <w:r w:rsidRPr="001667DB">
        <w:rPr>
          <w:rFonts w:ascii="Times New Roman" w:eastAsia="Segoe UI Symbol" w:hAnsi="Times New Roman" w:cs="Times New Roman"/>
          <w:color w:val="000000" w:themeColor="text1"/>
        </w:rPr>
        <w:tab/>
      </w: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6E280BB3" wp14:editId="1155B263">
                <wp:extent cx="171821" cy="6292"/>
                <wp:effectExtent l="0" t="0" r="0" b="0"/>
                <wp:docPr id="53139" name="Group 53139"/>
                <wp:cNvGraphicFramePr/>
                <a:graphic xmlns:a="http://schemas.openxmlformats.org/drawingml/2006/main">
                  <a:graphicData uri="http://schemas.microsoft.com/office/word/2010/wordprocessingGroup">
                    <wpg:wgp>
                      <wpg:cNvGrpSpPr/>
                      <wpg:grpSpPr>
                        <a:xfrm>
                          <a:off x="0" y="0"/>
                          <a:ext cx="171821" cy="6292"/>
                          <a:chOff x="0" y="0"/>
                          <a:chExt cx="171821" cy="6292"/>
                        </a:xfrm>
                      </wpg:grpSpPr>
                      <wps:wsp>
                        <wps:cNvPr id="2028" name="Shape 2028"/>
                        <wps:cNvSpPr/>
                        <wps:spPr>
                          <a:xfrm>
                            <a:off x="0" y="0"/>
                            <a:ext cx="171821" cy="0"/>
                          </a:xfrm>
                          <a:custGeom>
                            <a:avLst/>
                            <a:gdLst/>
                            <a:ahLst/>
                            <a:cxnLst/>
                            <a:rect l="0" t="0" r="0" b="0"/>
                            <a:pathLst>
                              <a:path w="171821">
                                <a:moveTo>
                                  <a:pt x="0" y="0"/>
                                </a:moveTo>
                                <a:lnTo>
                                  <a:pt x="171821" y="0"/>
                                </a:lnTo>
                              </a:path>
                            </a:pathLst>
                          </a:custGeom>
                          <a:ln w="629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95C0B5" id="Group 53139" o:spid="_x0000_s1026" style="width:13.55pt;height:.5pt;mso-position-horizontal-relative:char;mso-position-vertical-relative:line" coordsize="171821,6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">
                <v:shape id="Shape 2028" o:spid="_x0000_s1027" style="position:absolute;width:171821;height:0;visibility:visible;mso-wrap-style:square;v-text-anchor:top" coordsize="171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FFAsMA&#10;AADdAAAADwAAAGRycy9kb3ducmV2LnhtbERPy2rCQBTdF/oPwxW6ayaGViR1IlYp2FUxKdTlJXPz&#10;qJk7YWbU+PedRcHl4bxX68kM4kLO95YVzJMUBHFtdc+tgu/q43kJwgdkjYNlUnAjD+vi8WGFubZX&#10;PtClDK2IIexzVNCFMOZS+rojgz6xI3HkGusMhghdK7XDaww3g8zSdCEN9hwbOhxp21F9Ks9GQfVK&#10;P1/Zrqzef3eLwX2+HG/75qjU02zavIEINIW7+N+91wqyNItz45v4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FFAsMAAADdAAAADwAAAAAAAAAAAAAAAACYAgAAZHJzL2Rv&#10;d25yZXYueG1sUEsFBgAAAAAEAAQA9QAAAIgDAAAAAA==&#10;" path="m,l171821,e" filled="f" strokeweight=".17478mm">
                  <v:path arrowok="t" textboxrect="0,0,171821,0"/>
                </v:shape>
                <w10:anchorlock/>
              </v:group>
            </w:pict>
          </mc:Fallback>
        </mc:AlternateContent>
      </w:r>
      <w:r w:rsidRPr="001667DB">
        <w:rPr>
          <w:rFonts w:ascii="Times New Roman" w:hAnsi="Times New Roman" w:cs="Times New Roman"/>
          <w:color w:val="000000" w:themeColor="text1"/>
        </w:rPr>
        <w:t xml:space="preserve"> </w:t>
      </w:r>
    </w:p>
    <w:p w14:paraId="42ED4B83" w14:textId="77777777" w:rsidR="00955A27" w:rsidRPr="001667DB" w:rsidRDefault="00955A27" w:rsidP="00B21953">
      <w:pPr>
        <w:spacing w:after="120" w:line="360" w:lineRule="auto"/>
        <w:ind w:left="663"/>
        <w:jc w:val="center"/>
        <w:rPr>
          <w:rFonts w:ascii="Times New Roman" w:hAnsi="Times New Roman" w:cs="Times New Roman"/>
          <w:color w:val="000000" w:themeColor="text1"/>
        </w:rPr>
      </w:pPr>
      <w:r w:rsidRPr="001667DB">
        <w:rPr>
          <w:rFonts w:ascii="Times New Roman" w:eastAsia="Arial" w:hAnsi="Times New Roman" w:cs="Times New Roman"/>
          <w:i/>
          <w:color w:val="000000" w:themeColor="text1"/>
        </w:rPr>
        <w:t>E</w:t>
      </w:r>
      <w:r w:rsidRPr="001667DB">
        <w:rPr>
          <w:rFonts w:ascii="Times New Roman" w:eastAsia="Arial" w:hAnsi="Times New Roman" w:cs="Times New Roman"/>
          <w:color w:val="000000" w:themeColor="text1"/>
          <w:vertAlign w:val="subscript"/>
        </w:rPr>
        <w:t>1</w:t>
      </w:r>
    </w:p>
    <w:p w14:paraId="2476AA19"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gdzie: </w:t>
      </w:r>
    </w:p>
    <w:p w14:paraId="77683BD3" w14:textId="77777777" w:rsidR="00955A27" w:rsidRPr="001667DB" w:rsidRDefault="00955A27" w:rsidP="00B36A70">
      <w:pPr>
        <w:tabs>
          <w:tab w:val="center" w:pos="956"/>
          <w:tab w:val="center" w:pos="3336"/>
        </w:tabs>
        <w:spacing w:after="120" w:line="36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1</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pierwotny moduł odkształcenia [MPa], </w:t>
      </w:r>
    </w:p>
    <w:p w14:paraId="74CBF713" w14:textId="77777777" w:rsidR="00955A27" w:rsidRPr="001667DB" w:rsidRDefault="00955A27" w:rsidP="00B36A70">
      <w:pPr>
        <w:tabs>
          <w:tab w:val="center" w:pos="956"/>
          <w:tab w:val="center" w:pos="3187"/>
        </w:tabs>
        <w:spacing w:after="120" w:line="36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wtórny moduł odkształcenia [MPa]. </w:t>
      </w:r>
    </w:p>
    <w:p w14:paraId="4FD2839F" w14:textId="77777777" w:rsidR="00955A27" w:rsidRPr="001667DB" w:rsidRDefault="00E273B9" w:rsidP="00B36A7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.48.</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Wskaźnik zagęszczenia gruntu – wielkość charakteryz</w:t>
      </w:r>
      <w:r w:rsidR="00B21953">
        <w:rPr>
          <w:rFonts w:ascii="Times New Roman" w:hAnsi="Times New Roman" w:cs="Times New Roman"/>
          <w:color w:val="000000" w:themeColor="text1"/>
        </w:rPr>
        <w:t xml:space="preserve">ująca stan zagęszczenia gruntu </w:t>
      </w:r>
      <w:r w:rsidR="00955A27" w:rsidRPr="001667DB">
        <w:rPr>
          <w:rFonts w:ascii="Times New Roman" w:hAnsi="Times New Roman" w:cs="Times New Roman"/>
          <w:color w:val="000000" w:themeColor="text1"/>
        </w:rPr>
        <w:t xml:space="preserve">lub materiału antropogenicznego, badana zgodnie z Załącznikiem 2 (procedura według normy BN-77/8931-12), określona według wzoru: </w:t>
      </w:r>
    </w:p>
    <w:p w14:paraId="5A103E01" w14:textId="77777777" w:rsidR="00955A27" w:rsidRPr="001667DB" w:rsidRDefault="00955A27" w:rsidP="00B21953">
      <w:pPr>
        <w:spacing w:after="0" w:line="240" w:lineRule="auto"/>
        <w:ind w:left="1395"/>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72"/>
      </w:r>
      <w:r w:rsidRPr="001667DB">
        <w:rPr>
          <w:rFonts w:ascii="Times New Roman" w:eastAsia="Times New Roman" w:hAnsi="Times New Roman" w:cs="Times New Roman"/>
          <w:i/>
          <w:color w:val="000000" w:themeColor="text1"/>
        </w:rPr>
        <w:t>d</w:t>
      </w:r>
    </w:p>
    <w:p w14:paraId="3C27A500" w14:textId="77777777" w:rsidR="00955A27" w:rsidRPr="001667DB" w:rsidRDefault="00955A27" w:rsidP="00B21953">
      <w:pPr>
        <w:spacing w:after="0" w:line="240" w:lineRule="auto"/>
        <w:ind w:left="4820" w:right="433"/>
        <w:jc w:val="both"/>
        <w:rPr>
          <w:rFonts w:ascii="Times New Roman" w:hAnsi="Times New Roman" w:cs="Times New Roman"/>
          <w:color w:val="000000" w:themeColor="text1"/>
        </w:rPr>
      </w:pPr>
      <w:r w:rsidRPr="001667DB">
        <w:rPr>
          <w:rFonts w:ascii="Times New Roman" w:eastAsia="Times New Roman" w:hAnsi="Times New Roman" w:cs="Times New Roman"/>
          <w:i/>
          <w:color w:val="000000" w:themeColor="text1"/>
        </w:rPr>
        <w:t>I</w:t>
      </w:r>
      <w:r w:rsidRPr="001667DB">
        <w:rPr>
          <w:rFonts w:ascii="Times New Roman" w:eastAsia="Times New Roman" w:hAnsi="Times New Roman" w:cs="Times New Roman"/>
          <w:i/>
          <w:color w:val="000000" w:themeColor="text1"/>
          <w:vertAlign w:val="subscript"/>
        </w:rPr>
        <w:t xml:space="preserve">S </w:t>
      </w:r>
      <w:r w:rsidRPr="001667DB">
        <w:rPr>
          <w:rFonts w:ascii="Times New Roman" w:eastAsia="Segoe UI Symbol" w:hAnsi="Times New Roman" w:cs="Times New Roman"/>
          <w:color w:val="000000" w:themeColor="text1"/>
        </w:rPr>
        <w:t>=</w:t>
      </w: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1FA94A39" wp14:editId="3C912068">
                <wp:extent cx="223576" cy="6322"/>
                <wp:effectExtent l="0" t="0" r="0" b="0"/>
                <wp:docPr id="53141" name="Group 53141"/>
                <wp:cNvGraphicFramePr/>
                <a:graphic xmlns:a="http://schemas.openxmlformats.org/drawingml/2006/main">
                  <a:graphicData uri="http://schemas.microsoft.com/office/word/2010/wordprocessingGroup">
                    <wpg:wgp>
                      <wpg:cNvGrpSpPr/>
                      <wpg:grpSpPr>
                        <a:xfrm>
                          <a:off x="0" y="0"/>
                          <a:ext cx="223576" cy="6322"/>
                          <a:chOff x="0" y="0"/>
                          <a:chExt cx="223576" cy="6322"/>
                        </a:xfrm>
                      </wpg:grpSpPr>
                      <wps:wsp>
                        <wps:cNvPr id="2076" name="Shape 2076"/>
                        <wps:cNvSpPr/>
                        <wps:spPr>
                          <a:xfrm>
                            <a:off x="0" y="0"/>
                            <a:ext cx="223576" cy="0"/>
                          </a:xfrm>
                          <a:custGeom>
                            <a:avLst/>
                            <a:gdLst/>
                            <a:ahLst/>
                            <a:cxnLst/>
                            <a:rect l="0" t="0" r="0" b="0"/>
                            <a:pathLst>
                              <a:path w="223576">
                                <a:moveTo>
                                  <a:pt x="0" y="0"/>
                                </a:moveTo>
                                <a:lnTo>
                                  <a:pt x="223576" y="0"/>
                                </a:lnTo>
                              </a:path>
                            </a:pathLst>
                          </a:custGeom>
                          <a:ln w="632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04EE63E" id="Group 53141" o:spid="_x0000_s1026" style="width:17.6pt;height:.5pt;mso-position-horizontal-relative:char;mso-position-vertical-relative:line" coordsize="223576,6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">
                <v:shape id="Shape 2076" o:spid="_x0000_s1027" style="position:absolute;width:223576;height:0;visibility:visible;mso-wrap-style:square;v-text-anchor:top" coordsize="223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vTQsUA&#10;AADdAAAADwAAAGRycy9kb3ducmV2LnhtbESPQWvCQBSE74L/YXlCb7rR0ijRVcSSYsGLtnh+ZJ9J&#10;MPs27G6T+O+7hYLHYWa+YTa7wTSiI+drywrmswQEcWF1zaWC7698ugLhA7LGxjIpeJCH3XY82mCm&#10;bc9n6i6hFBHCPkMFVQhtJqUvKjLoZ7Yljt7NOoMhSldK7bCPcNPIRZKk0mDNcaHClg4VFffLj1Hw&#10;eXzTaX591R+39+56zh/9qXOlUi+TYb8GEWgIz/B/+6gVLJJlCn9v4hO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9NCxQAAAN0AAAAPAAAAAAAAAAAAAAAAAJgCAABkcnMv&#10;ZG93bnJldi54bWxQSwUGAAAAAAQABAD1AAAAigMAAAAA&#10;" path="m,l223576,e" filled="f" strokeweight=".17561mm">
                  <v:path arrowok="t" textboxrect="0,0,223576,0"/>
                </v:shape>
                <w10:anchorlock/>
              </v:group>
            </w:pict>
          </mc:Fallback>
        </mc:AlternateContent>
      </w:r>
    </w:p>
    <w:p w14:paraId="57F1B569" w14:textId="77777777" w:rsidR="00955A27" w:rsidRPr="001667DB" w:rsidRDefault="00955A27" w:rsidP="00B21953">
      <w:pPr>
        <w:spacing w:after="120" w:line="360" w:lineRule="auto"/>
        <w:ind w:left="1421"/>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72"/>
      </w:r>
      <w:r w:rsidRPr="001667DB">
        <w:rPr>
          <w:rFonts w:ascii="Times New Roman" w:eastAsia="Times New Roman" w:hAnsi="Times New Roman" w:cs="Times New Roman"/>
          <w:i/>
          <w:color w:val="000000" w:themeColor="text1"/>
          <w:vertAlign w:val="subscript"/>
        </w:rPr>
        <w:t>ds</w:t>
      </w:r>
    </w:p>
    <w:p w14:paraId="6EC950C3" w14:textId="77777777" w:rsidR="00955A27" w:rsidRPr="001667DB" w:rsidRDefault="00955A27" w:rsidP="00B36A7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którym:  </w:t>
      </w:r>
    </w:p>
    <w:p w14:paraId="3C2C3DF4" w14:textId="77777777" w:rsidR="00955A27" w:rsidRPr="001667DB" w:rsidRDefault="00955A27" w:rsidP="00B21953">
      <w:pPr>
        <w:tabs>
          <w:tab w:val="center" w:pos="947"/>
          <w:tab w:val="center" w:pos="4320"/>
        </w:tabs>
        <w:spacing w:after="120" w:line="36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sym w:font="Symbol" w:char="F072"/>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gęstość objętościowa szkieletu gruntu w nasypie [kg/m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08518FE3" w14:textId="77777777" w:rsidR="00955A27" w:rsidRPr="001667DB" w:rsidRDefault="00955A27" w:rsidP="00B21953">
      <w:pPr>
        <w:spacing w:after="120" w:line="360" w:lineRule="auto"/>
        <w:ind w:left="1406" w:right="69" w:hanging="554"/>
        <w:jc w:val="both"/>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72"/>
      </w:r>
      <w:r w:rsidRPr="001667DB">
        <w:rPr>
          <w:rFonts w:ascii="Times New Roman" w:hAnsi="Times New Roman" w:cs="Times New Roman"/>
          <w:color w:val="000000" w:themeColor="text1"/>
          <w:vertAlign w:val="subscript"/>
        </w:rPr>
        <w:t>ds</w:t>
      </w:r>
      <w:r w:rsidRPr="001667DB">
        <w:rPr>
          <w:rFonts w:ascii="Times New Roman" w:hAnsi="Times New Roman" w:cs="Times New Roman"/>
          <w:color w:val="000000" w:themeColor="text1"/>
        </w:rPr>
        <w:t xml:space="preserve">  maksymalna gęstość objętościowa szkieletu gruntu zagęszczonego wg normalnej próby Proctora [kg/m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3C09AD90" w14:textId="77777777" w:rsidR="00955A27" w:rsidRPr="001667DB" w:rsidRDefault="00AD373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.49.</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Wykop - budowla ziemna  wykonana w obrębie pasa drogowego, w postaci odpowiednio ukształtowanej przestrzeni powstałej w wyniku usunięcia z niej gruntu. </w:t>
      </w:r>
    </w:p>
    <w:p w14:paraId="5A544CB2" w14:textId="77777777" w:rsidR="00955A27" w:rsidRPr="001667DB" w:rsidRDefault="00AD373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r w:rsidR="00955A27" w:rsidRPr="001667DB">
        <w:rPr>
          <w:rFonts w:ascii="Times New Roman" w:hAnsi="Times New Roman" w:cs="Times New Roman"/>
          <w:color w:val="000000" w:themeColor="text1"/>
        </w:rPr>
        <w:t>.50.</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Wysokość nasypu lub głębokość wykopu – różnica rzędnej terenu i rzędnej niwelety robót ziemnych wyznaczona w osi drogi. </w:t>
      </w:r>
    </w:p>
    <w:p w14:paraId="6F0F2B44" w14:textId="77777777" w:rsidR="00955A27" w:rsidRPr="001667DB" w:rsidRDefault="00AD373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.51.</w:t>
      </w:r>
      <w:r w:rsidR="00955A27" w:rsidRPr="001667DB">
        <w:rPr>
          <w:rFonts w:ascii="Times New Roman" w:eastAsia="Arial" w:hAnsi="Times New Roman" w:cs="Times New Roman"/>
          <w:color w:val="000000" w:themeColor="text1"/>
        </w:rPr>
        <w:t xml:space="preserve"> </w:t>
      </w:r>
      <w:r w:rsidR="00955A27" w:rsidRPr="001667DB">
        <w:rPr>
          <w:rFonts w:ascii="Times New Roman" w:hAnsi="Times New Roman" w:cs="Times New Roman"/>
          <w:color w:val="000000" w:themeColor="text1"/>
        </w:rPr>
        <w:t xml:space="preserve">Wzmocnione podłoże nasypu - warstwa gruntu rodzimego, lub materiału antropogenicznego, ulepszonego przez działanie mechaniczne, chemiczne lub wykonanie elementów wzmacniających, w celu poprawienia jego stateczności, zmniejszenia osiadań lub ujednolicenia podłoża gruntowego. </w:t>
      </w:r>
    </w:p>
    <w:p w14:paraId="33FBD168" w14:textId="77777777" w:rsidR="00955A27" w:rsidRPr="001667DB" w:rsidRDefault="00AD373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r w:rsidR="00955A27" w:rsidRPr="001667DB">
        <w:rPr>
          <w:rFonts w:ascii="Times New Roman" w:hAnsi="Times New Roman" w:cs="Times New Roman"/>
          <w:color w:val="000000" w:themeColor="text1"/>
        </w:rPr>
        <w:t>.52. Zagęszczanie – zwiększanie gęstości objętościowej szkieletu gruntu lub materiału antropogenicznego z zastosowaniem procesu m</w:t>
      </w:r>
      <w:r w:rsidR="00B21953">
        <w:rPr>
          <w:rFonts w:ascii="Times New Roman" w:hAnsi="Times New Roman" w:cs="Times New Roman"/>
          <w:color w:val="000000" w:themeColor="text1"/>
        </w:rPr>
        <w:t xml:space="preserve">echanicznego, w celu uzyskania </w:t>
      </w:r>
      <w:r w:rsidR="00955A27" w:rsidRPr="001667DB">
        <w:rPr>
          <w:rFonts w:ascii="Times New Roman" w:hAnsi="Times New Roman" w:cs="Times New Roman"/>
          <w:color w:val="000000" w:themeColor="text1"/>
        </w:rPr>
        <w:t xml:space="preserve">wymaganych właściwości korpusu ziemnego lub pojedynczej warstwy. </w:t>
      </w:r>
    </w:p>
    <w:p w14:paraId="5E9D4671"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1.6.53.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Zbocze (stok) - naturalna pochyła powierzchnia terenu</w:t>
      </w:r>
      <w:r w:rsidR="00B21953">
        <w:rPr>
          <w:rFonts w:ascii="Times New Roman" w:hAnsi="Times New Roman" w:cs="Times New Roman"/>
          <w:color w:val="000000" w:themeColor="text1"/>
        </w:rPr>
        <w:t xml:space="preserve"> w obrębie pasa drogowego lub </w:t>
      </w:r>
      <w:r w:rsidRPr="001667DB">
        <w:rPr>
          <w:rFonts w:ascii="Times New Roman" w:hAnsi="Times New Roman" w:cs="Times New Roman"/>
          <w:color w:val="000000" w:themeColor="text1"/>
        </w:rPr>
        <w:t xml:space="preserve">przyległego do drogi. </w:t>
      </w:r>
    </w:p>
    <w:p w14:paraId="52A437B7" w14:textId="77777777" w:rsidR="00955A27" w:rsidRPr="001667DB" w:rsidRDefault="00955A27" w:rsidP="00B21953">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Pozostałe określenia podstawowe podane w niniejszych ST są zgodne z odpowiednimi polskimi normami i z definicjami podanymi w STD-M 00.00.00 "Wymagania Ogólne" oraz w przepisach związanych wyszczególnionych w pkt. 10 niniejszej ST. </w:t>
      </w:r>
    </w:p>
    <w:p w14:paraId="00FA3915" w14:textId="77777777" w:rsidR="00955A27" w:rsidRPr="001667DB" w:rsidRDefault="00955A27" w:rsidP="00B21953">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6" w:name="_Toc61819"/>
      <w:r w:rsidRPr="001667DB">
        <w:rPr>
          <w:color w:val="000000" w:themeColor="text1"/>
          <w:sz w:val="22"/>
          <w:szCs w:val="22"/>
        </w:rPr>
        <w:t xml:space="preserve">Ogólne wymagania dotyczące robót </w:t>
      </w:r>
      <w:bookmarkEnd w:id="146"/>
    </w:p>
    <w:p w14:paraId="1A6C86B0" w14:textId="77777777" w:rsidR="00955A27" w:rsidRPr="001667DB" w:rsidRDefault="00955A27" w:rsidP="00B21953">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w:t>
      </w:r>
      <w:r w:rsidR="00B21953">
        <w:rPr>
          <w:rFonts w:ascii="Times New Roman" w:hAnsi="Times New Roman" w:cs="Times New Roman"/>
          <w:color w:val="000000" w:themeColor="text1"/>
        </w:rPr>
        <w:t xml:space="preserve"> dotyczące robót podano w STD-</w:t>
      </w:r>
      <w:r w:rsidRPr="001667DB">
        <w:rPr>
          <w:rFonts w:ascii="Times New Roman" w:hAnsi="Times New Roman" w:cs="Times New Roman"/>
          <w:color w:val="000000" w:themeColor="text1"/>
        </w:rPr>
        <w:t xml:space="preserve">00.00.00 "Wymagania Ogólne". </w:t>
      </w:r>
    </w:p>
    <w:p w14:paraId="5077E049" w14:textId="77777777" w:rsidR="00955A27" w:rsidRPr="001667DB" w:rsidRDefault="00955A27" w:rsidP="00B21953">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7" w:name="_Toc61820"/>
      <w:r w:rsidRPr="001667DB">
        <w:rPr>
          <w:color w:val="000000" w:themeColor="text1"/>
          <w:sz w:val="22"/>
          <w:szCs w:val="22"/>
        </w:rPr>
        <w:t xml:space="preserve">MATERIAŁY </w:t>
      </w:r>
      <w:bookmarkEnd w:id="147"/>
    </w:p>
    <w:p w14:paraId="21E42767" w14:textId="77777777" w:rsidR="00955A27" w:rsidRPr="001667DB" w:rsidRDefault="00955A27" w:rsidP="00B21953">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8" w:name="_Toc61821"/>
      <w:r w:rsidRPr="001667DB">
        <w:rPr>
          <w:color w:val="000000" w:themeColor="text1"/>
          <w:sz w:val="22"/>
          <w:szCs w:val="22"/>
        </w:rPr>
        <w:t xml:space="preserve">Ogólne wymagania dotyczące materiałów </w:t>
      </w:r>
      <w:bookmarkEnd w:id="148"/>
    </w:p>
    <w:p w14:paraId="48C8522A"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Ogólne wymagania dot</w:t>
      </w:r>
      <w:r w:rsidR="00B21953">
        <w:rPr>
          <w:rFonts w:ascii="Times New Roman" w:hAnsi="Times New Roman" w:cs="Times New Roman"/>
          <w:color w:val="000000" w:themeColor="text1"/>
        </w:rPr>
        <w:t>yczące materiałów podano w STD-</w:t>
      </w:r>
      <w:r w:rsidRPr="001667DB">
        <w:rPr>
          <w:rFonts w:ascii="Times New Roman" w:hAnsi="Times New Roman" w:cs="Times New Roman"/>
          <w:color w:val="000000" w:themeColor="text1"/>
        </w:rPr>
        <w:t xml:space="preserve">00.00.00, Wymagania ogólne" punkt 2. </w:t>
      </w:r>
    </w:p>
    <w:p w14:paraId="4804F47E" w14:textId="77777777" w:rsidR="00955A27" w:rsidRPr="001667DB" w:rsidRDefault="00955A27" w:rsidP="00B21953">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49" w:name="_Toc61822"/>
      <w:r w:rsidRPr="001667DB">
        <w:rPr>
          <w:color w:val="000000" w:themeColor="text1"/>
          <w:sz w:val="22"/>
          <w:szCs w:val="22"/>
        </w:rPr>
        <w:t xml:space="preserve">Podział gruntów i materiałów nasypowych </w:t>
      </w:r>
      <w:bookmarkEnd w:id="149"/>
    </w:p>
    <w:p w14:paraId="01245A72"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robotach ziemnych wykorzystuje się grunty i materiały antropogeniczne. Grunty  i materiały antropogeniczne wymagają oceny ze względu na wymagania wynikające  z Dokumentacji Projektowej. </w:t>
      </w:r>
    </w:p>
    <w:p w14:paraId="6AAE84A1"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Stosuje się klasyfikacje gruntów i materiałów antropogenicznych, uwzględniające podstawowe kryteria istotne w robotach ziemnych. W robotach ziemnych podstawowe klasyfikacje dotyczą: uziarnienia, wysadzinowości oraz przydatności do budowy nasypów lub poszczególnych stref nasypów. </w:t>
      </w:r>
    </w:p>
    <w:p w14:paraId="4422FDB0"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Podziału gruntów ze względu na uziarnienie dokonuje się zgodnie z normą PN-86/B02480 </w:t>
      </w:r>
      <w:r w:rsidRPr="001667DB">
        <w:rPr>
          <w:rFonts w:ascii="Times New Roman" w:hAnsi="Times New Roman" w:cs="Times New Roman"/>
          <w:i/>
          <w:color w:val="000000" w:themeColor="text1"/>
        </w:rPr>
        <w:t>„Grunty budowlane. Określenia, symbole, podział i opis gruntów.</w:t>
      </w:r>
      <w:r w:rsidRPr="001667DB">
        <w:rPr>
          <w:rFonts w:ascii="Times New Roman" w:hAnsi="Times New Roman" w:cs="Times New Roman"/>
          <w:color w:val="000000" w:themeColor="text1"/>
        </w:rPr>
        <w:t xml:space="preserve"> </w:t>
      </w:r>
    </w:p>
    <w:p w14:paraId="0D6B2F25"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Tablicy 2.1. określono podział gruntów ze względu na ich wysadzinowość. Podstawowym kryterium oceny wysadzinowości gruntów jest zawartość drobnych cząstek, a dodatkowym, </w:t>
      </w:r>
      <w:r w:rsidRPr="001667DB">
        <w:rPr>
          <w:rFonts w:ascii="Times New Roman" w:hAnsi="Times New Roman" w:cs="Times New Roman"/>
          <w:color w:val="000000" w:themeColor="text1"/>
        </w:rPr>
        <w:lastRenderedPageBreak/>
        <w:t xml:space="preserve">stosowanym w przypadkach wątpliwych, wskaźnik piaskowy. Wskaźnik piaskowy stanowi kryterium oceny gruntów o zawartości ziaren ≤ 0,063 mm powyżej 6 %, zbliżonych do mało spoistych.  Jako informację uzupełniającą w Tablicy 2.1. podano nazwy typowych gruntów niewysadzinowych, wątpliwych i wysadzinowych według normy PN-88/B-04481. </w:t>
      </w:r>
    </w:p>
    <w:p w14:paraId="63FC48A0" w14:textId="77777777" w:rsidR="00955A27" w:rsidRPr="001667DB" w:rsidRDefault="00955A27" w:rsidP="00B21953">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Wysadzinowość materiałów antropogenicznych należy oceniać na podstawie  indywidualnych badań, z uwzględnieniem pochodzenia materiału i jego właściwości. </w:t>
      </w:r>
    </w:p>
    <w:p w14:paraId="607B0614"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Tablicy 2.2. określono podział gruntów i materiałów antropogenicznych ze względu  na ich przydatność do budowy nasypów.  </w:t>
      </w:r>
    </w:p>
    <w:p w14:paraId="6AA512F1" w14:textId="77777777" w:rsidR="00955A27" w:rsidRPr="001667DB" w:rsidRDefault="00955A27" w:rsidP="00B21953">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2.2.6.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budowy nasypów nieprzydatne są materiały nie spełniające wymagań podanych  </w:t>
      </w:r>
    </w:p>
    <w:p w14:paraId="59D4940C" w14:textId="77777777" w:rsidR="00955A27" w:rsidRPr="001667DB" w:rsidRDefault="00955A27" w:rsidP="00B21953">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Tablicy 2.2, z uwzględnieniem zapisów punktu 2.2.8. W szczególności nieprzydatne są następujące grunty i materiały antropogeniczne, przy czym nieprzydatność może mieć charakter trwały lub czasowy: </w:t>
      </w:r>
    </w:p>
    <w:p w14:paraId="4B406ACC"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organiczne (tj. o zawartości substancji organicznych ponad 2 %) </w:t>
      </w:r>
    </w:p>
    <w:p w14:paraId="014DF72B"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równoziarniste (o wskaźniku jednorodności uziarnienia 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&lt;2,5), </w:t>
      </w:r>
    </w:p>
    <w:p w14:paraId="270FE50B"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spoiste granicy płynności w</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większej od 60 %, </w:t>
      </w:r>
    </w:p>
    <w:p w14:paraId="27D2A839"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zasolone (o zawartość soli powyżej 2 %), </w:t>
      </w:r>
    </w:p>
    <w:p w14:paraId="578C4DC9"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zawierające substancje szkodliwe dla środowiska naturalnego w ilościach większych niż dopuszczono w obowiązujących przepisach,  </w:t>
      </w:r>
    </w:p>
    <w:p w14:paraId="3C910D9F"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stanie zamarzniętym, </w:t>
      </w:r>
    </w:p>
    <w:p w14:paraId="23C456A5"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przewilgocone i nawodnione, </w:t>
      </w:r>
    </w:p>
    <w:p w14:paraId="3E3CAF2A"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podatne na samozapalenie (tj. nieodwęglone – zawierające powyżej 20% części palnych), z wyjątkiem przepalonych odpadów z węgla kamiennego, </w:t>
      </w:r>
    </w:p>
    <w:p w14:paraId="3918B314" w14:textId="77777777" w:rsidR="00955A27" w:rsidRPr="001667DB" w:rsidRDefault="00955A27" w:rsidP="00B21953">
      <w:pPr>
        <w:numPr>
          <w:ilvl w:val="0"/>
          <w:numId w:val="24"/>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antropogeniczne podatne na przeobrażenia fizyko-chemiczne, w wyniku których  dochodzi do zmian objętościowych. </w:t>
      </w:r>
    </w:p>
    <w:p w14:paraId="039AD16C"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Można rozważyć czy zastosowanie gruntów i materiałów antropogenicznych, ocenionych jako nieprzydatne, byłoby możliwe po ich ulepszeniu, o ile jest to uzasadnione względami ekonomicznymi lub środowiskowymi. Ulepszenie, zależnie od przyczyny powodującej nieprzydatność gruntu lub materiału antropogenicznego, może obejmować doziarnienie, mieszanie z innym gruntem lub materiałem, ulepszenie spoiwem albo oczyszczenie. Wykonawca dokona wyboru technologii ulepszenia uwzględniającej warunki wykonania robót, posiadane materiały oraz sprzęt jakim dysponuje Wykonawca. Do wybranej </w:t>
      </w:r>
      <w:r w:rsidRPr="001667DB">
        <w:rPr>
          <w:rFonts w:ascii="Times New Roman" w:hAnsi="Times New Roman" w:cs="Times New Roman"/>
          <w:color w:val="000000" w:themeColor="text1"/>
        </w:rPr>
        <w:lastRenderedPageBreak/>
        <w:t>technologii Wykonawca opracuje wy</w:t>
      </w:r>
      <w:r w:rsidR="00B21953">
        <w:rPr>
          <w:rFonts w:ascii="Times New Roman" w:hAnsi="Times New Roman" w:cs="Times New Roman"/>
          <w:color w:val="000000" w:themeColor="text1"/>
        </w:rPr>
        <w:t>magane dokumenty i uzgodni je z </w:t>
      </w:r>
      <w:r w:rsidRPr="001667DB">
        <w:rPr>
          <w:rFonts w:ascii="Times New Roman" w:hAnsi="Times New Roman" w:cs="Times New Roman"/>
          <w:color w:val="000000" w:themeColor="text1"/>
        </w:rPr>
        <w:t xml:space="preserve">Inżynierem/Inspektorem nadzoru. </w:t>
      </w:r>
      <w:r w:rsidRPr="001667DB">
        <w:rPr>
          <w:rFonts w:ascii="Times New Roman" w:eastAsia="Calibri" w:hAnsi="Times New Roman" w:cs="Times New Roman"/>
          <w:color w:val="000000" w:themeColor="text1"/>
        </w:rPr>
        <w:t xml:space="preserve"> </w:t>
      </w:r>
    </w:p>
    <w:p w14:paraId="6560D6D4"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 Grunty o wskaźniku jednorodności uziarnienia 2,5≤C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&lt;3,0 można stosować pod warunkiem wykazania możliwości uzyskania wymaganego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Metodę doprowadzenia gruntów o wskaźniku jednorodności uziarnienia 2,5≤C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&lt;3,0 do wymaganego wskaźnika zagęszczenia opracuje Wykonawca i przedstawi </w:t>
      </w:r>
    </w:p>
    <w:p w14:paraId="4F1E5E81" w14:textId="77777777" w:rsidR="00955A27" w:rsidRPr="001667DB" w:rsidRDefault="00955A27" w:rsidP="00B21953">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Inżynierowi/Inspektorowi nadzoru do akceptacji wraz z</w:t>
      </w:r>
      <w:r w:rsidR="00B21953">
        <w:rPr>
          <w:rFonts w:ascii="Times New Roman" w:hAnsi="Times New Roman" w:cs="Times New Roman"/>
          <w:color w:val="000000" w:themeColor="text1"/>
        </w:rPr>
        <w:t xml:space="preserve"> wynikami odpowiednich badań. W </w:t>
      </w:r>
      <w:r w:rsidRPr="001667DB">
        <w:rPr>
          <w:rFonts w:ascii="Times New Roman" w:hAnsi="Times New Roman" w:cs="Times New Roman"/>
          <w:color w:val="000000" w:themeColor="text1"/>
        </w:rPr>
        <w:t>przypadku zastosowania gruntów o wskaźniku jednorodności uziarnienia 2,5≤C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&lt;3,0 należy wykonać dodatkowe przeciwerozyjne wzmocnienie skarp (w miejscach występowania humusowania) oraz obliczeniowo sprawdzić czy jest spełniony warunek stateczności skarp. W wyjątkowych sytuacjach za zgodą Inżyniera/Inspektora nadzoru mogą być stosowane materiały o 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&lt;2,5 (np. keramzyt). Zasady zastosowania takich materiałów należy określić indywidualnie. </w:t>
      </w:r>
    </w:p>
    <w:p w14:paraId="5B1C4C62" w14:textId="77777777" w:rsidR="00955A27" w:rsidRPr="001667DB" w:rsidRDefault="00955A27" w:rsidP="00B21953">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Materiały niebezpieczne, o właściwościach chemicznych lub fizycznych wymagających specjalnych środków w celu odspojenia, składowania, transportu i usunięcia stanowią  szczególną kategorie i są klasyfikowane oddzielnie. </w:t>
      </w:r>
    </w:p>
    <w:p w14:paraId="67AB3D6A" w14:textId="77777777" w:rsidR="00955A27" w:rsidRPr="001667DB" w:rsidRDefault="00955A27" w:rsidP="00B21953">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p>
    <w:p w14:paraId="2F600857" w14:textId="77777777" w:rsidR="00955A27" w:rsidRPr="001667DB" w:rsidRDefault="00955A27" w:rsidP="00955A27">
      <w:pPr>
        <w:spacing w:after="120" w:line="360" w:lineRule="auto"/>
        <w:ind w:left="-5" w:right="69"/>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2.1 Podział gruntów pod względem wysadzinowości </w:t>
      </w:r>
    </w:p>
    <w:tbl>
      <w:tblPr>
        <w:tblStyle w:val="TableGrid"/>
        <w:tblW w:w="9782" w:type="dxa"/>
        <w:tblInd w:w="0" w:type="dxa"/>
        <w:tblCellMar>
          <w:top w:w="54" w:type="dxa"/>
          <w:left w:w="67" w:type="dxa"/>
          <w:right w:w="8" w:type="dxa"/>
        </w:tblCellMar>
        <w:tblLook w:val="04A0" w:firstRow="1" w:lastRow="0" w:firstColumn="1" w:lastColumn="0" w:noHBand="0" w:noVBand="1"/>
      </w:tblPr>
      <w:tblGrid>
        <w:gridCol w:w="708"/>
        <w:gridCol w:w="2127"/>
        <w:gridCol w:w="994"/>
        <w:gridCol w:w="1844"/>
        <w:gridCol w:w="1699"/>
        <w:gridCol w:w="2410"/>
      </w:tblGrid>
      <w:tr w:rsidR="00955A27" w:rsidRPr="001667DB" w14:paraId="50A04611" w14:textId="77777777" w:rsidTr="001B4B8F">
        <w:trPr>
          <w:trHeight w:val="252"/>
        </w:trPr>
        <w:tc>
          <w:tcPr>
            <w:tcW w:w="708" w:type="dxa"/>
            <w:vMerge w:val="restart"/>
            <w:tcBorders>
              <w:top w:val="double" w:sz="4" w:space="0" w:color="000000"/>
              <w:left w:val="double" w:sz="4" w:space="0" w:color="000000"/>
              <w:bottom w:val="single" w:sz="6" w:space="0" w:color="000000"/>
              <w:right w:val="single" w:sz="6" w:space="0" w:color="000000"/>
            </w:tcBorders>
            <w:vAlign w:val="center"/>
          </w:tcPr>
          <w:p w14:paraId="122CBC9D" w14:textId="77777777" w:rsidR="00955A27" w:rsidRPr="001667DB" w:rsidRDefault="00955A27" w:rsidP="00955A27">
            <w:pPr>
              <w:spacing w:after="120" w:line="360" w:lineRule="auto"/>
              <w:ind w:left="1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2127" w:type="dxa"/>
            <w:vMerge w:val="restart"/>
            <w:tcBorders>
              <w:top w:val="double" w:sz="4" w:space="0" w:color="000000"/>
              <w:left w:val="single" w:sz="6" w:space="0" w:color="000000"/>
              <w:bottom w:val="single" w:sz="6" w:space="0" w:color="000000"/>
              <w:right w:val="single" w:sz="6" w:space="0" w:color="000000"/>
            </w:tcBorders>
          </w:tcPr>
          <w:p w14:paraId="594C7FB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Wyszczególnienie właściwości/norma badania </w:t>
            </w:r>
          </w:p>
        </w:tc>
        <w:tc>
          <w:tcPr>
            <w:tcW w:w="994" w:type="dxa"/>
            <w:vMerge w:val="restart"/>
            <w:tcBorders>
              <w:top w:val="double" w:sz="4" w:space="0" w:color="000000"/>
              <w:left w:val="single" w:sz="6" w:space="0" w:color="000000"/>
              <w:bottom w:val="single" w:sz="6" w:space="0" w:color="000000"/>
              <w:right w:val="single" w:sz="6" w:space="0" w:color="000000"/>
            </w:tcBorders>
            <w:vAlign w:val="center"/>
          </w:tcPr>
          <w:p w14:paraId="66CB8D07"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Jednostki </w:t>
            </w:r>
          </w:p>
        </w:tc>
        <w:tc>
          <w:tcPr>
            <w:tcW w:w="1844" w:type="dxa"/>
            <w:tcBorders>
              <w:top w:val="double" w:sz="4" w:space="0" w:color="000000"/>
              <w:left w:val="single" w:sz="6" w:space="0" w:color="000000"/>
              <w:bottom w:val="single" w:sz="6" w:space="0" w:color="000000"/>
              <w:right w:val="nil"/>
            </w:tcBorders>
          </w:tcPr>
          <w:p w14:paraId="29EE3CA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109" w:type="dxa"/>
            <w:gridSpan w:val="2"/>
            <w:tcBorders>
              <w:top w:val="double" w:sz="4" w:space="0" w:color="000000"/>
              <w:left w:val="nil"/>
              <w:bottom w:val="single" w:sz="6" w:space="0" w:color="000000"/>
              <w:right w:val="double" w:sz="4" w:space="0" w:color="000000"/>
            </w:tcBorders>
          </w:tcPr>
          <w:p w14:paraId="339AB1B5" w14:textId="77777777" w:rsidR="00955A27" w:rsidRPr="001667DB" w:rsidRDefault="00955A27" w:rsidP="00955A27">
            <w:pPr>
              <w:spacing w:after="120" w:line="360" w:lineRule="auto"/>
              <w:ind w:left="386"/>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Grupy gruntów </w:t>
            </w:r>
          </w:p>
        </w:tc>
      </w:tr>
      <w:tr w:rsidR="00955A27" w:rsidRPr="001667DB" w14:paraId="0371256B" w14:textId="77777777" w:rsidTr="001B4B8F">
        <w:trPr>
          <w:trHeight w:val="203"/>
        </w:trPr>
        <w:tc>
          <w:tcPr>
            <w:tcW w:w="0" w:type="auto"/>
            <w:vMerge/>
            <w:tcBorders>
              <w:top w:val="nil"/>
              <w:left w:val="double" w:sz="4" w:space="0" w:color="000000"/>
              <w:bottom w:val="single" w:sz="6" w:space="0" w:color="000000"/>
              <w:right w:val="single" w:sz="6" w:space="0" w:color="000000"/>
            </w:tcBorders>
          </w:tcPr>
          <w:p w14:paraId="2FACE7C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single" w:sz="6" w:space="0" w:color="000000"/>
              <w:right w:val="single" w:sz="6" w:space="0" w:color="000000"/>
            </w:tcBorders>
          </w:tcPr>
          <w:p w14:paraId="17454CF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single" w:sz="6" w:space="0" w:color="000000"/>
              <w:right w:val="single" w:sz="6" w:space="0" w:color="000000"/>
            </w:tcBorders>
          </w:tcPr>
          <w:p w14:paraId="58A72B2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4" w:type="dxa"/>
            <w:tcBorders>
              <w:top w:val="single" w:sz="6" w:space="0" w:color="000000"/>
              <w:left w:val="single" w:sz="6" w:space="0" w:color="000000"/>
              <w:bottom w:val="single" w:sz="6" w:space="0" w:color="000000"/>
              <w:right w:val="single" w:sz="6" w:space="0" w:color="000000"/>
            </w:tcBorders>
            <w:vAlign w:val="center"/>
          </w:tcPr>
          <w:p w14:paraId="202F3536" w14:textId="77777777" w:rsidR="00955A27" w:rsidRPr="001667DB" w:rsidRDefault="00955A27" w:rsidP="00955A27">
            <w:pPr>
              <w:spacing w:after="120" w:line="360" w:lineRule="auto"/>
              <w:ind w:left="122"/>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niewysadzinowe </w:t>
            </w:r>
          </w:p>
        </w:tc>
        <w:tc>
          <w:tcPr>
            <w:tcW w:w="1699" w:type="dxa"/>
            <w:tcBorders>
              <w:top w:val="single" w:sz="6" w:space="0" w:color="000000"/>
              <w:left w:val="single" w:sz="6" w:space="0" w:color="000000"/>
              <w:bottom w:val="single" w:sz="6" w:space="0" w:color="000000"/>
              <w:right w:val="single" w:sz="6" w:space="0" w:color="000000"/>
            </w:tcBorders>
            <w:vAlign w:val="center"/>
          </w:tcPr>
          <w:p w14:paraId="4E191B61"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wątpliwe </w:t>
            </w:r>
          </w:p>
        </w:tc>
        <w:tc>
          <w:tcPr>
            <w:tcW w:w="2410" w:type="dxa"/>
            <w:tcBorders>
              <w:top w:val="single" w:sz="6" w:space="0" w:color="000000"/>
              <w:left w:val="single" w:sz="6" w:space="0" w:color="000000"/>
              <w:bottom w:val="single" w:sz="6" w:space="0" w:color="000000"/>
              <w:right w:val="double" w:sz="4" w:space="0" w:color="000000"/>
            </w:tcBorders>
            <w:vAlign w:val="center"/>
          </w:tcPr>
          <w:p w14:paraId="343C2C02"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wysadzinowe </w:t>
            </w:r>
          </w:p>
        </w:tc>
      </w:tr>
      <w:tr w:rsidR="00955A27" w:rsidRPr="001667DB" w14:paraId="31B66D61" w14:textId="77777777">
        <w:trPr>
          <w:trHeight w:val="242"/>
        </w:trPr>
        <w:tc>
          <w:tcPr>
            <w:tcW w:w="708" w:type="dxa"/>
            <w:tcBorders>
              <w:top w:val="single" w:sz="6" w:space="0" w:color="000000"/>
              <w:left w:val="double" w:sz="4" w:space="0" w:color="000000"/>
              <w:bottom w:val="double" w:sz="4" w:space="0" w:color="000000"/>
              <w:right w:val="single" w:sz="6" w:space="0" w:color="000000"/>
            </w:tcBorders>
          </w:tcPr>
          <w:p w14:paraId="26B5216F" w14:textId="77777777" w:rsidR="00955A27" w:rsidRPr="001667DB" w:rsidRDefault="00955A27" w:rsidP="00955A27">
            <w:pPr>
              <w:spacing w:after="120" w:line="360" w:lineRule="auto"/>
              <w:ind w:lef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2127" w:type="dxa"/>
            <w:tcBorders>
              <w:top w:val="single" w:sz="6" w:space="0" w:color="000000"/>
              <w:left w:val="single" w:sz="6" w:space="0" w:color="000000"/>
              <w:bottom w:val="double" w:sz="4" w:space="0" w:color="000000"/>
              <w:right w:val="single" w:sz="6" w:space="0" w:color="000000"/>
            </w:tcBorders>
          </w:tcPr>
          <w:p w14:paraId="0DD07592"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994" w:type="dxa"/>
            <w:tcBorders>
              <w:top w:val="single" w:sz="6" w:space="0" w:color="000000"/>
              <w:left w:val="single" w:sz="6" w:space="0" w:color="000000"/>
              <w:bottom w:val="double" w:sz="4" w:space="0" w:color="000000"/>
              <w:right w:val="single" w:sz="6" w:space="0" w:color="000000"/>
            </w:tcBorders>
          </w:tcPr>
          <w:p w14:paraId="113B1824"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1844" w:type="dxa"/>
            <w:tcBorders>
              <w:top w:val="single" w:sz="6" w:space="0" w:color="000000"/>
              <w:left w:val="single" w:sz="6" w:space="0" w:color="000000"/>
              <w:bottom w:val="double" w:sz="4" w:space="0" w:color="000000"/>
              <w:right w:val="single" w:sz="6" w:space="0" w:color="000000"/>
            </w:tcBorders>
          </w:tcPr>
          <w:p w14:paraId="2319D61A"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1699" w:type="dxa"/>
            <w:tcBorders>
              <w:top w:val="single" w:sz="6" w:space="0" w:color="000000"/>
              <w:left w:val="single" w:sz="6" w:space="0" w:color="000000"/>
              <w:bottom w:val="double" w:sz="4" w:space="0" w:color="000000"/>
              <w:right w:val="single" w:sz="6" w:space="0" w:color="000000"/>
            </w:tcBorders>
          </w:tcPr>
          <w:p w14:paraId="31375FB0"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410" w:type="dxa"/>
            <w:tcBorders>
              <w:top w:val="single" w:sz="6" w:space="0" w:color="000000"/>
              <w:left w:val="single" w:sz="6" w:space="0" w:color="000000"/>
              <w:bottom w:val="double" w:sz="4" w:space="0" w:color="000000"/>
              <w:right w:val="double" w:sz="4" w:space="0" w:color="000000"/>
            </w:tcBorders>
          </w:tcPr>
          <w:p w14:paraId="345EBE47"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r>
      <w:tr w:rsidR="00955A27" w:rsidRPr="001667DB" w14:paraId="41A09EDC" w14:textId="77777777" w:rsidTr="001B4B8F">
        <w:trPr>
          <w:trHeight w:val="780"/>
        </w:trPr>
        <w:tc>
          <w:tcPr>
            <w:tcW w:w="708" w:type="dxa"/>
            <w:tcBorders>
              <w:top w:val="double" w:sz="4" w:space="0" w:color="000000"/>
              <w:left w:val="double" w:sz="4" w:space="0" w:color="000000"/>
              <w:bottom w:val="single" w:sz="6" w:space="0" w:color="000000"/>
              <w:right w:val="single" w:sz="6" w:space="0" w:color="000000"/>
            </w:tcBorders>
          </w:tcPr>
          <w:p w14:paraId="3E8EF5EF"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127" w:type="dxa"/>
            <w:tcBorders>
              <w:top w:val="double" w:sz="4" w:space="0" w:color="000000"/>
              <w:left w:val="single" w:sz="6" w:space="0" w:color="000000"/>
              <w:bottom w:val="single" w:sz="6" w:space="0" w:color="000000"/>
              <w:right w:val="single" w:sz="6" w:space="0" w:color="000000"/>
            </w:tcBorders>
          </w:tcPr>
          <w:p w14:paraId="0D7DA78C"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cząstek </w:t>
            </w:r>
          </w:p>
          <w:p w14:paraId="2891518B" w14:textId="77777777" w:rsidR="00955A27" w:rsidRPr="001667DB" w:rsidRDefault="001E718C" w:rsidP="00955A27">
            <w:pPr>
              <w:spacing w:after="120" w:line="360" w:lineRule="auto"/>
              <w:ind w:left="2" w:right="556"/>
              <w:rPr>
                <w:rFonts w:ascii="Times New Roman" w:hAnsi="Times New Roman" w:cs="Times New Roman"/>
                <w:color w:val="000000" w:themeColor="text1"/>
              </w:rPr>
            </w:pPr>
            <w:r w:rsidRPr="001667DB">
              <w:rPr>
                <w:rFonts w:ascii="Symbol" w:hAnsi="Symbol"/>
                <w:color w:val="000000" w:themeColor="text1"/>
                <w:sz w:val="24"/>
                <w:szCs w:val="24"/>
              </w:rPr>
              <w:t></w:t>
            </w:r>
            <w:r w:rsidR="00955A27" w:rsidRPr="001667DB">
              <w:rPr>
                <w:rFonts w:ascii="Times New Roman" w:hAnsi="Times New Roman" w:cs="Times New Roman"/>
                <w:color w:val="000000" w:themeColor="text1"/>
              </w:rPr>
              <w:t xml:space="preserve"> 0,075 mm</w:t>
            </w:r>
            <w:r w:rsidR="00955A27" w:rsidRPr="001667DB">
              <w:rPr>
                <w:rFonts w:ascii="Times New Roman" w:hAnsi="Times New Roman" w:cs="Times New Roman"/>
                <w:color w:val="000000" w:themeColor="text1"/>
                <w:vertAlign w:val="superscript"/>
              </w:rPr>
              <w:t>1)</w:t>
            </w:r>
            <w:r w:rsidR="00955A27" w:rsidRPr="001667DB">
              <w:rPr>
                <w:rFonts w:ascii="Times New Roman" w:hAnsi="Times New Roman" w:cs="Times New Roman"/>
                <w:color w:val="000000" w:themeColor="text1"/>
              </w:rPr>
              <w:t xml:space="preserve"> </w:t>
            </w:r>
            <w:r w:rsidR="00E9001F" w:rsidRPr="001667DB">
              <w:rPr>
                <w:rFonts w:ascii="Symbol" w:hAnsi="Symbol"/>
                <w:color w:val="000000" w:themeColor="text1"/>
                <w:sz w:val="24"/>
                <w:szCs w:val="24"/>
              </w:rPr>
              <w:t></w:t>
            </w:r>
            <w:r w:rsidR="00E9001F" w:rsidRPr="001667DB">
              <w:rPr>
                <w:rFonts w:ascii="Symbol" w:hAnsi="Symbol"/>
                <w:color w:val="000000" w:themeColor="text1"/>
                <w:sz w:val="24"/>
                <w:szCs w:val="24"/>
              </w:rPr>
              <w:t></w:t>
            </w:r>
            <w:r w:rsidR="00955A27" w:rsidRPr="001667DB">
              <w:rPr>
                <w:rFonts w:ascii="Times New Roman" w:hAnsi="Times New Roman" w:cs="Times New Roman"/>
                <w:color w:val="000000" w:themeColor="text1"/>
              </w:rPr>
              <w:t xml:space="preserve">0,02   mm badanie wg załącznika Z.2.H </w:t>
            </w:r>
          </w:p>
        </w:tc>
        <w:tc>
          <w:tcPr>
            <w:tcW w:w="994" w:type="dxa"/>
            <w:tcBorders>
              <w:top w:val="double" w:sz="4" w:space="0" w:color="000000"/>
              <w:left w:val="single" w:sz="6" w:space="0" w:color="000000"/>
              <w:bottom w:val="single" w:sz="6" w:space="0" w:color="000000"/>
              <w:right w:val="single" w:sz="6" w:space="0" w:color="000000"/>
            </w:tcBorders>
          </w:tcPr>
          <w:p w14:paraId="69F2175D" w14:textId="77777777" w:rsidR="00955A27" w:rsidRPr="001667DB" w:rsidRDefault="00955A27" w:rsidP="00955A27">
            <w:pPr>
              <w:spacing w:after="120" w:line="360" w:lineRule="auto"/>
              <w:ind w:right="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7772AC6"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1844" w:type="dxa"/>
            <w:tcBorders>
              <w:top w:val="double" w:sz="4" w:space="0" w:color="000000"/>
              <w:left w:val="single" w:sz="6" w:space="0" w:color="000000"/>
              <w:bottom w:val="single" w:sz="6" w:space="0" w:color="000000"/>
              <w:right w:val="single" w:sz="6" w:space="0" w:color="000000"/>
            </w:tcBorders>
          </w:tcPr>
          <w:p w14:paraId="01B09532" w14:textId="77777777" w:rsidR="00955A27" w:rsidRPr="001667DB" w:rsidRDefault="00955A27" w:rsidP="00955A27">
            <w:pPr>
              <w:spacing w:after="120" w:line="360" w:lineRule="auto"/>
              <w:ind w:right="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E585988"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&lt;</w:t>
            </w:r>
            <w:r w:rsidRPr="001667DB">
              <w:rPr>
                <w:rFonts w:ascii="Times New Roman" w:hAnsi="Times New Roman" w:cs="Times New Roman"/>
                <w:color w:val="000000" w:themeColor="text1"/>
              </w:rPr>
              <w:t xml:space="preserve"> 15 </w:t>
            </w:r>
          </w:p>
          <w:p w14:paraId="4E6FA35B"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&lt;</w:t>
            </w:r>
            <w:r w:rsidRPr="001667DB">
              <w:rPr>
                <w:rFonts w:ascii="Times New Roman" w:hAnsi="Times New Roman" w:cs="Times New Roman"/>
                <w:color w:val="000000" w:themeColor="text1"/>
              </w:rPr>
              <w:t xml:space="preserve"> 3 </w:t>
            </w:r>
          </w:p>
        </w:tc>
        <w:tc>
          <w:tcPr>
            <w:tcW w:w="1699" w:type="dxa"/>
            <w:tcBorders>
              <w:top w:val="double" w:sz="4" w:space="0" w:color="000000"/>
              <w:left w:val="single" w:sz="6" w:space="0" w:color="000000"/>
              <w:bottom w:val="single" w:sz="6" w:space="0" w:color="000000"/>
              <w:right w:val="single" w:sz="6" w:space="0" w:color="000000"/>
            </w:tcBorders>
          </w:tcPr>
          <w:p w14:paraId="2BDAA8A9" w14:textId="77777777" w:rsidR="00955A27" w:rsidRPr="001667DB" w:rsidRDefault="00955A27" w:rsidP="00955A27">
            <w:pPr>
              <w:spacing w:after="120" w:line="360" w:lineRule="auto"/>
              <w:ind w:right="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E85239F" w14:textId="77777777" w:rsidR="00955A27" w:rsidRPr="001667DB" w:rsidRDefault="00955A27" w:rsidP="00955A27">
            <w:pPr>
              <w:spacing w:after="120" w:line="360" w:lineRule="auto"/>
              <w:ind w:left="124" w:right="12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15 do 30 od 3 do 10 </w:t>
            </w:r>
          </w:p>
        </w:tc>
        <w:tc>
          <w:tcPr>
            <w:tcW w:w="2410" w:type="dxa"/>
            <w:tcBorders>
              <w:top w:val="double" w:sz="4" w:space="0" w:color="000000"/>
              <w:left w:val="single" w:sz="6" w:space="0" w:color="000000"/>
              <w:bottom w:val="single" w:sz="6" w:space="0" w:color="000000"/>
              <w:right w:val="double" w:sz="4" w:space="0" w:color="000000"/>
            </w:tcBorders>
          </w:tcPr>
          <w:p w14:paraId="54B48EDC" w14:textId="77777777" w:rsidR="00955A27" w:rsidRPr="001667DB" w:rsidRDefault="00955A27" w:rsidP="00955A27">
            <w:pPr>
              <w:spacing w:after="120" w:line="360" w:lineRule="auto"/>
              <w:ind w:left="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2DD970C1"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&gt;</w:t>
            </w:r>
            <w:r w:rsidRPr="001667DB">
              <w:rPr>
                <w:rFonts w:ascii="Times New Roman" w:hAnsi="Times New Roman" w:cs="Times New Roman"/>
                <w:color w:val="000000" w:themeColor="text1"/>
              </w:rPr>
              <w:t xml:space="preserve"> 30 </w:t>
            </w:r>
          </w:p>
          <w:p w14:paraId="09C765FF"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&gt;</w:t>
            </w:r>
            <w:r w:rsidRPr="001667DB">
              <w:rPr>
                <w:rFonts w:ascii="Times New Roman" w:hAnsi="Times New Roman" w:cs="Times New Roman"/>
                <w:color w:val="000000" w:themeColor="text1"/>
              </w:rPr>
              <w:t xml:space="preserve"> 10 </w:t>
            </w:r>
          </w:p>
        </w:tc>
      </w:tr>
      <w:tr w:rsidR="00955A27" w:rsidRPr="001667DB" w14:paraId="6C72FBC1" w14:textId="77777777" w:rsidTr="001B4B8F">
        <w:trPr>
          <w:trHeight w:val="585"/>
        </w:trPr>
        <w:tc>
          <w:tcPr>
            <w:tcW w:w="708" w:type="dxa"/>
            <w:tcBorders>
              <w:top w:val="single" w:sz="6" w:space="0" w:color="000000"/>
              <w:left w:val="double" w:sz="4" w:space="0" w:color="000000"/>
              <w:bottom w:val="double" w:sz="4" w:space="0" w:color="000000"/>
              <w:right w:val="single" w:sz="6" w:space="0" w:color="000000"/>
            </w:tcBorders>
          </w:tcPr>
          <w:p w14:paraId="49FB32BE"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127" w:type="dxa"/>
            <w:tcBorders>
              <w:top w:val="single" w:sz="6" w:space="0" w:color="000000"/>
              <w:left w:val="single" w:sz="6" w:space="0" w:color="000000"/>
              <w:bottom w:val="double" w:sz="4" w:space="0" w:color="000000"/>
              <w:right w:val="single" w:sz="6" w:space="0" w:color="000000"/>
            </w:tcBorders>
          </w:tcPr>
          <w:p w14:paraId="44D66E2D" w14:textId="77777777" w:rsidR="00955A27" w:rsidRPr="001667DB" w:rsidRDefault="00955A27" w:rsidP="00955A27">
            <w:pPr>
              <w:tabs>
                <w:tab w:val="right" w:pos="2052"/>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w:t>
            </w:r>
            <w:r w:rsidRPr="001667DB">
              <w:rPr>
                <w:rFonts w:ascii="Times New Roman" w:hAnsi="Times New Roman" w:cs="Times New Roman"/>
                <w:color w:val="000000" w:themeColor="text1"/>
              </w:rPr>
              <w:tab/>
              <w:t xml:space="preserve">piaskowy </w:t>
            </w:r>
          </w:p>
          <w:p w14:paraId="714D954D" w14:textId="77777777" w:rsidR="00955A27" w:rsidRPr="001667DB" w:rsidRDefault="00955A27" w:rsidP="00955A27">
            <w:pPr>
              <w:spacing w:after="120" w:line="360" w:lineRule="auto"/>
              <w:ind w:left="2" w:right="588"/>
              <w:rPr>
                <w:rFonts w:ascii="Times New Roman" w:hAnsi="Times New Roman" w:cs="Times New Roman"/>
                <w:color w:val="000000" w:themeColor="text1"/>
              </w:rPr>
            </w:pPr>
            <w:r w:rsidRPr="001667DB">
              <w:rPr>
                <w:rFonts w:ascii="Times New Roman" w:hAnsi="Times New Roman" w:cs="Times New Roman"/>
                <w:color w:val="000000" w:themeColor="text1"/>
              </w:rPr>
              <w:t xml:space="preserve">WP badanie wg załącznika Z.2.F </w:t>
            </w:r>
          </w:p>
        </w:tc>
        <w:tc>
          <w:tcPr>
            <w:tcW w:w="994" w:type="dxa"/>
            <w:tcBorders>
              <w:top w:val="single" w:sz="6" w:space="0" w:color="000000"/>
              <w:left w:val="single" w:sz="6" w:space="0" w:color="000000"/>
              <w:bottom w:val="double" w:sz="4" w:space="0" w:color="000000"/>
              <w:right w:val="single" w:sz="6" w:space="0" w:color="000000"/>
            </w:tcBorders>
          </w:tcPr>
          <w:p w14:paraId="4865ACD3" w14:textId="77777777" w:rsidR="00955A27" w:rsidRPr="001667DB" w:rsidRDefault="00955A27" w:rsidP="00955A27">
            <w:pPr>
              <w:spacing w:after="120" w:line="360" w:lineRule="auto"/>
              <w:ind w:right="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1844" w:type="dxa"/>
            <w:tcBorders>
              <w:top w:val="single" w:sz="6" w:space="0" w:color="000000"/>
              <w:left w:val="single" w:sz="6" w:space="0" w:color="000000"/>
              <w:bottom w:val="double" w:sz="4" w:space="0" w:color="000000"/>
              <w:right w:val="single" w:sz="6" w:space="0" w:color="000000"/>
            </w:tcBorders>
          </w:tcPr>
          <w:p w14:paraId="7FA3EC3F"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&gt;</w:t>
            </w:r>
            <w:r w:rsidRPr="001667DB">
              <w:rPr>
                <w:rFonts w:ascii="Times New Roman" w:hAnsi="Times New Roman" w:cs="Times New Roman"/>
                <w:color w:val="000000" w:themeColor="text1"/>
              </w:rPr>
              <w:t xml:space="preserve"> 35 </w:t>
            </w:r>
          </w:p>
        </w:tc>
        <w:tc>
          <w:tcPr>
            <w:tcW w:w="1699" w:type="dxa"/>
            <w:tcBorders>
              <w:top w:val="single" w:sz="6" w:space="0" w:color="000000"/>
              <w:left w:val="single" w:sz="6" w:space="0" w:color="000000"/>
              <w:bottom w:val="double" w:sz="4" w:space="0" w:color="000000"/>
              <w:right w:val="single" w:sz="6" w:space="0" w:color="000000"/>
            </w:tcBorders>
          </w:tcPr>
          <w:p w14:paraId="4EAB25AC"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25 do 35 </w:t>
            </w:r>
          </w:p>
        </w:tc>
        <w:tc>
          <w:tcPr>
            <w:tcW w:w="2410" w:type="dxa"/>
            <w:tcBorders>
              <w:top w:val="single" w:sz="6" w:space="0" w:color="000000"/>
              <w:left w:val="single" w:sz="6" w:space="0" w:color="000000"/>
              <w:bottom w:val="double" w:sz="4" w:space="0" w:color="000000"/>
              <w:right w:val="double" w:sz="4" w:space="0" w:color="000000"/>
            </w:tcBorders>
          </w:tcPr>
          <w:p w14:paraId="16D109D5"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eastAsia="Segoe UI Symbol" w:hAnsi="Times New Roman" w:cs="Times New Roman"/>
                <w:color w:val="000000" w:themeColor="text1"/>
              </w:rPr>
              <w:t>&lt;</w:t>
            </w:r>
            <w:r w:rsidRPr="001667DB">
              <w:rPr>
                <w:rFonts w:ascii="Times New Roman" w:hAnsi="Times New Roman" w:cs="Times New Roman"/>
                <w:color w:val="000000" w:themeColor="text1"/>
              </w:rPr>
              <w:t xml:space="preserve"> 25 </w:t>
            </w:r>
          </w:p>
        </w:tc>
      </w:tr>
      <w:tr w:rsidR="00955A27" w:rsidRPr="001667DB" w14:paraId="610102AE" w14:textId="77777777" w:rsidTr="001B4B8F">
        <w:trPr>
          <w:trHeight w:val="2299"/>
        </w:trPr>
        <w:tc>
          <w:tcPr>
            <w:tcW w:w="2835" w:type="dxa"/>
            <w:gridSpan w:val="2"/>
            <w:tcBorders>
              <w:top w:val="double" w:sz="4" w:space="0" w:color="000000"/>
              <w:left w:val="double" w:sz="4" w:space="0" w:color="000000"/>
              <w:bottom w:val="double" w:sz="4" w:space="0" w:color="000000"/>
              <w:right w:val="single" w:sz="6" w:space="0" w:color="000000"/>
            </w:tcBorders>
          </w:tcPr>
          <w:p w14:paraId="123110FB"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i/>
                <w:color w:val="000000" w:themeColor="text1"/>
              </w:rPr>
              <w:lastRenderedPageBreak/>
              <w:t xml:space="preserve">Informacja uzupełniająca </w:t>
            </w:r>
          </w:p>
          <w:p w14:paraId="7F651604"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(rodzaj gruntu wg PN-88/B04481) </w:t>
            </w:r>
          </w:p>
        </w:tc>
        <w:tc>
          <w:tcPr>
            <w:tcW w:w="994" w:type="dxa"/>
            <w:tcBorders>
              <w:top w:val="double" w:sz="4" w:space="0" w:color="000000"/>
              <w:left w:val="single" w:sz="6" w:space="0" w:color="000000"/>
              <w:bottom w:val="double" w:sz="4" w:space="0" w:color="000000"/>
              <w:right w:val="single" w:sz="6" w:space="0" w:color="000000"/>
            </w:tcBorders>
          </w:tcPr>
          <w:p w14:paraId="640A976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t>
            </w:r>
          </w:p>
        </w:tc>
        <w:tc>
          <w:tcPr>
            <w:tcW w:w="1844" w:type="dxa"/>
            <w:tcBorders>
              <w:top w:val="double" w:sz="4" w:space="0" w:color="000000"/>
              <w:left w:val="single" w:sz="6" w:space="0" w:color="000000"/>
              <w:bottom w:val="double" w:sz="4" w:space="0" w:color="000000"/>
              <w:right w:val="single" w:sz="6" w:space="0" w:color="000000"/>
            </w:tcBorders>
          </w:tcPr>
          <w:p w14:paraId="05603A18"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rumosz </w:t>
            </w:r>
          </w:p>
          <w:p w14:paraId="57A16A1B" w14:textId="77777777" w:rsidR="00955A27" w:rsidRPr="001667DB" w:rsidRDefault="00955A27" w:rsidP="00955A27">
            <w:pPr>
              <w:spacing w:after="120" w:line="360" w:lineRule="auto"/>
              <w:ind w:left="2" w:right="534"/>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niegliniasty żwir pospółka piasek gruby piasek średni </w:t>
            </w:r>
          </w:p>
          <w:p w14:paraId="66708145"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piasek drobny </w:t>
            </w:r>
          </w:p>
          <w:p w14:paraId="051C30C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t>
            </w:r>
          </w:p>
        </w:tc>
        <w:tc>
          <w:tcPr>
            <w:tcW w:w="1699" w:type="dxa"/>
            <w:tcBorders>
              <w:top w:val="double" w:sz="4" w:space="0" w:color="000000"/>
              <w:left w:val="single" w:sz="6" w:space="0" w:color="000000"/>
              <w:bottom w:val="double" w:sz="4" w:space="0" w:color="000000"/>
              <w:right w:val="single" w:sz="6" w:space="0" w:color="000000"/>
            </w:tcBorders>
          </w:tcPr>
          <w:p w14:paraId="2586F2D2" w14:textId="77777777" w:rsidR="00955A27" w:rsidRPr="001667DB" w:rsidRDefault="00955A27" w:rsidP="00955A27">
            <w:pPr>
              <w:spacing w:after="120" w:line="360" w:lineRule="auto"/>
              <w:ind w:right="141"/>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piasek pylasty zwietrzelina gliniasta rumosz gliniasty żwir gliniasty pospółka gliniasta </w:t>
            </w:r>
          </w:p>
        </w:tc>
        <w:tc>
          <w:tcPr>
            <w:tcW w:w="2410" w:type="dxa"/>
            <w:tcBorders>
              <w:top w:val="double" w:sz="4" w:space="0" w:color="000000"/>
              <w:left w:val="single" w:sz="6" w:space="0" w:color="000000"/>
              <w:bottom w:val="double" w:sz="4" w:space="0" w:color="000000"/>
              <w:right w:val="double" w:sz="4" w:space="0" w:color="000000"/>
            </w:tcBorders>
          </w:tcPr>
          <w:p w14:paraId="451E1730" w14:textId="77777777" w:rsidR="00955A27" w:rsidRPr="001667DB" w:rsidRDefault="00955A27" w:rsidP="00955A27">
            <w:pPr>
              <w:spacing w:after="120" w:line="360" w:lineRule="auto"/>
              <w:ind w:left="2" w:right="140"/>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mało wysadzinowe glina piaszczysta zwięzła, glina zwięzła, glina pylasta zwięzła </w:t>
            </w:r>
          </w:p>
          <w:p w14:paraId="2E6C6F6B"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ił, ił piaszczysty, ił </w:t>
            </w:r>
          </w:p>
          <w:p w14:paraId="10FB33B1"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pylasty </w:t>
            </w:r>
          </w:p>
          <w:p w14:paraId="0FFABC49"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t>
            </w:r>
          </w:p>
          <w:p w14:paraId="2115EBBA" w14:textId="77777777" w:rsidR="00955A27" w:rsidRPr="001667DB" w:rsidRDefault="00955A27" w:rsidP="00955A27">
            <w:pPr>
              <w:spacing w:after="120" w:line="360" w:lineRule="auto"/>
              <w:ind w:left="2" w:right="185"/>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bardzo wysadzinowe piasek gliniasty pył, pył piaszczysty glina piaszczysta, glina, glina pylasta ił warwowy </w:t>
            </w:r>
          </w:p>
        </w:tc>
      </w:tr>
    </w:tbl>
    <w:p w14:paraId="7ED0AB51" w14:textId="77777777" w:rsidR="00955A27" w:rsidRPr="001667DB" w:rsidRDefault="00955A27" w:rsidP="00955A27">
      <w:pPr>
        <w:spacing w:after="120" w:line="360" w:lineRule="auto"/>
        <w:ind w:left="294"/>
        <w:rPr>
          <w:rFonts w:ascii="Times New Roman" w:hAnsi="Times New Roman" w:cs="Times New Roman"/>
          <w:color w:val="000000" w:themeColor="text1"/>
        </w:rPr>
      </w:pPr>
      <w:r w:rsidRPr="001667DB">
        <w:rPr>
          <w:rFonts w:ascii="Times New Roman" w:hAnsi="Times New Roman" w:cs="Times New Roman"/>
          <w:i/>
          <w:color w:val="000000" w:themeColor="text1"/>
        </w:rPr>
        <w:t>1)</w:t>
      </w:r>
      <w:r w:rsidRPr="001667DB">
        <w:rPr>
          <w:rFonts w:ascii="Times New Roman" w:eastAsia="Arial" w:hAnsi="Times New Roman" w:cs="Times New Roman"/>
          <w:i/>
          <w:color w:val="000000" w:themeColor="text1"/>
        </w:rPr>
        <w:t xml:space="preserve"> </w:t>
      </w:r>
      <w:r w:rsidRPr="001667DB">
        <w:rPr>
          <w:rFonts w:ascii="Times New Roman" w:hAnsi="Times New Roman" w:cs="Times New Roman"/>
          <w:i/>
          <w:color w:val="000000" w:themeColor="text1"/>
        </w:rPr>
        <w:t xml:space="preserve">należy odczytać z krzywej uziarnienia </w:t>
      </w:r>
    </w:p>
    <w:p w14:paraId="26494806" w14:textId="77777777" w:rsidR="00955A27" w:rsidRPr="001667DB" w:rsidRDefault="00955A27" w:rsidP="00955A27">
      <w:pPr>
        <w:spacing w:after="120" w:line="360" w:lineRule="auto"/>
        <w:ind w:left="-5" w:right="69"/>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2.2. Przydatność gruntów i materiałów antropogenicznych do budowy nasypów </w:t>
      </w:r>
    </w:p>
    <w:tbl>
      <w:tblPr>
        <w:tblStyle w:val="TableGrid"/>
        <w:tblW w:w="9996" w:type="dxa"/>
        <w:tblInd w:w="14" w:type="dxa"/>
        <w:tblCellMar>
          <w:top w:w="50" w:type="dxa"/>
          <w:left w:w="70" w:type="dxa"/>
          <w:right w:w="15" w:type="dxa"/>
        </w:tblCellMar>
        <w:tblLook w:val="04A0" w:firstRow="1" w:lastRow="0" w:firstColumn="1" w:lastColumn="0" w:noHBand="0" w:noVBand="1"/>
      </w:tblPr>
      <w:tblGrid>
        <w:gridCol w:w="1416"/>
        <w:gridCol w:w="2339"/>
        <w:gridCol w:w="3127"/>
        <w:gridCol w:w="3114"/>
      </w:tblGrid>
      <w:tr w:rsidR="00955A27" w:rsidRPr="001667DB" w14:paraId="29EE88B1" w14:textId="77777777">
        <w:trPr>
          <w:trHeight w:val="269"/>
        </w:trPr>
        <w:tc>
          <w:tcPr>
            <w:tcW w:w="1404" w:type="dxa"/>
            <w:tcBorders>
              <w:top w:val="double" w:sz="4" w:space="0" w:color="000000"/>
              <w:left w:val="double" w:sz="4" w:space="0" w:color="000000"/>
              <w:bottom w:val="single" w:sz="6" w:space="0" w:color="000000"/>
              <w:right w:val="single" w:sz="6" w:space="0" w:color="000000"/>
            </w:tcBorders>
          </w:tcPr>
          <w:p w14:paraId="645CE2EC" w14:textId="77777777" w:rsidR="00955A27" w:rsidRPr="001667DB" w:rsidRDefault="00955A27" w:rsidP="00955A27">
            <w:pPr>
              <w:spacing w:after="120" w:line="360" w:lineRule="auto"/>
              <w:ind w:left="68"/>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Przeznaczenie </w:t>
            </w:r>
          </w:p>
        </w:tc>
        <w:tc>
          <w:tcPr>
            <w:tcW w:w="2341" w:type="dxa"/>
            <w:tcBorders>
              <w:top w:val="double" w:sz="4" w:space="0" w:color="000000"/>
              <w:left w:val="single" w:sz="6" w:space="0" w:color="000000"/>
              <w:bottom w:val="single" w:sz="6" w:space="0" w:color="000000"/>
              <w:right w:val="single" w:sz="6" w:space="0" w:color="000000"/>
            </w:tcBorders>
          </w:tcPr>
          <w:p w14:paraId="5A7A6248"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Przydatne </w:t>
            </w:r>
          </w:p>
        </w:tc>
        <w:tc>
          <w:tcPr>
            <w:tcW w:w="3130" w:type="dxa"/>
            <w:tcBorders>
              <w:top w:val="double" w:sz="4" w:space="0" w:color="000000"/>
              <w:left w:val="single" w:sz="6" w:space="0" w:color="000000"/>
              <w:bottom w:val="single" w:sz="6" w:space="0" w:color="000000"/>
              <w:right w:val="single" w:sz="6" w:space="0" w:color="000000"/>
            </w:tcBorders>
          </w:tcPr>
          <w:p w14:paraId="2419493D"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Przydatne z zastrzeżeniami </w:t>
            </w:r>
          </w:p>
        </w:tc>
        <w:tc>
          <w:tcPr>
            <w:tcW w:w="3121" w:type="dxa"/>
            <w:tcBorders>
              <w:top w:val="double" w:sz="4" w:space="0" w:color="000000"/>
              <w:left w:val="single" w:sz="6" w:space="0" w:color="000000"/>
              <w:bottom w:val="single" w:sz="6" w:space="0" w:color="000000"/>
              <w:right w:val="double" w:sz="4" w:space="0" w:color="000000"/>
            </w:tcBorders>
          </w:tcPr>
          <w:p w14:paraId="791B5DE8"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Treść zastrzeżenia </w:t>
            </w:r>
          </w:p>
        </w:tc>
      </w:tr>
      <w:tr w:rsidR="00955A27" w:rsidRPr="001667DB" w14:paraId="72741E28" w14:textId="77777777" w:rsidTr="001B4B8F">
        <w:trPr>
          <w:trHeight w:val="187"/>
        </w:trPr>
        <w:tc>
          <w:tcPr>
            <w:tcW w:w="1404" w:type="dxa"/>
            <w:tcBorders>
              <w:top w:val="single" w:sz="6" w:space="0" w:color="000000"/>
              <w:left w:val="double" w:sz="4" w:space="0" w:color="000000"/>
              <w:bottom w:val="double" w:sz="4" w:space="0" w:color="000000"/>
              <w:right w:val="single" w:sz="6" w:space="0" w:color="000000"/>
            </w:tcBorders>
          </w:tcPr>
          <w:p w14:paraId="3EFEA812"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341" w:type="dxa"/>
            <w:tcBorders>
              <w:top w:val="single" w:sz="6" w:space="0" w:color="000000"/>
              <w:left w:val="single" w:sz="6" w:space="0" w:color="000000"/>
              <w:bottom w:val="double" w:sz="4" w:space="0" w:color="000000"/>
              <w:right w:val="single" w:sz="6" w:space="0" w:color="000000"/>
            </w:tcBorders>
          </w:tcPr>
          <w:p w14:paraId="4A82961A"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3130" w:type="dxa"/>
            <w:tcBorders>
              <w:top w:val="single" w:sz="6" w:space="0" w:color="000000"/>
              <w:left w:val="single" w:sz="6" w:space="0" w:color="000000"/>
              <w:bottom w:val="double" w:sz="4" w:space="0" w:color="000000"/>
              <w:right w:val="single" w:sz="6" w:space="0" w:color="000000"/>
            </w:tcBorders>
          </w:tcPr>
          <w:p w14:paraId="0EC53BF0" w14:textId="77777777" w:rsidR="00955A27" w:rsidRPr="001667DB" w:rsidRDefault="00955A27" w:rsidP="00955A27">
            <w:pPr>
              <w:spacing w:after="120" w:line="360" w:lineRule="auto"/>
              <w:ind w:right="5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3121" w:type="dxa"/>
            <w:tcBorders>
              <w:top w:val="single" w:sz="6" w:space="0" w:color="000000"/>
              <w:left w:val="single" w:sz="6" w:space="0" w:color="000000"/>
              <w:bottom w:val="double" w:sz="4" w:space="0" w:color="000000"/>
              <w:right w:val="double" w:sz="4" w:space="0" w:color="000000"/>
            </w:tcBorders>
          </w:tcPr>
          <w:p w14:paraId="3F992D8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r>
      <w:tr w:rsidR="00955A27" w:rsidRPr="001667DB" w14:paraId="7FBF09CE" w14:textId="77777777" w:rsidTr="001B4B8F">
        <w:trPr>
          <w:trHeight w:val="459"/>
        </w:trPr>
        <w:tc>
          <w:tcPr>
            <w:tcW w:w="1404" w:type="dxa"/>
            <w:vMerge w:val="restart"/>
            <w:tcBorders>
              <w:top w:val="double" w:sz="4" w:space="0" w:color="000000"/>
              <w:left w:val="double" w:sz="4" w:space="0" w:color="000000"/>
              <w:bottom w:val="single" w:sz="6" w:space="0" w:color="000000"/>
              <w:right w:val="single" w:sz="6" w:space="0" w:color="000000"/>
            </w:tcBorders>
            <w:vAlign w:val="center"/>
          </w:tcPr>
          <w:p w14:paraId="6BB5D26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dolne warstwy </w:t>
            </w:r>
          </w:p>
          <w:p w14:paraId="395491CE"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nasypów </w:t>
            </w:r>
          </w:p>
          <w:p w14:paraId="7C6A59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poniżej strefy przemarzania </w:t>
            </w:r>
          </w:p>
        </w:tc>
        <w:tc>
          <w:tcPr>
            <w:tcW w:w="2341" w:type="dxa"/>
            <w:vMerge w:val="restart"/>
            <w:tcBorders>
              <w:top w:val="double" w:sz="4" w:space="0" w:color="000000"/>
              <w:left w:val="single" w:sz="6" w:space="0" w:color="000000"/>
              <w:bottom w:val="single" w:sz="6" w:space="0" w:color="000000"/>
              <w:right w:val="single" w:sz="6" w:space="0" w:color="000000"/>
            </w:tcBorders>
            <w:vAlign w:val="center"/>
          </w:tcPr>
          <w:p w14:paraId="16E88540"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Rozdrobnione grunty skaliste twarde oraz grunty kamieniste, </w:t>
            </w:r>
          </w:p>
          <w:p w14:paraId="714C9D3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zwietrzelinowe, rumosze i otoczaki </w:t>
            </w:r>
          </w:p>
          <w:p w14:paraId="23387DA8"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Żwiry i pospółki, również gliniaste </w:t>
            </w:r>
          </w:p>
          <w:p w14:paraId="493969E0"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Piaski grubo, średnio i drobnoziarniste, naturalne i łamane </w:t>
            </w:r>
          </w:p>
          <w:p w14:paraId="3A9F9A08"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Piaski gliniaste z domieszką frakcji żwirowokamienistej </w:t>
            </w:r>
            <w:r w:rsidRPr="001667DB">
              <w:rPr>
                <w:rFonts w:ascii="Times New Roman" w:hAnsi="Times New Roman" w:cs="Times New Roman"/>
                <w:color w:val="000000" w:themeColor="text1"/>
              </w:rPr>
              <w:lastRenderedPageBreak/>
              <w:t>(morenowe) o wskaźniku jednorodności uziarnienia C</w:t>
            </w:r>
            <w:r w:rsidRPr="001667DB">
              <w:rPr>
                <w:rFonts w:ascii="Times New Roman" w:hAnsi="Times New Roman" w:cs="Times New Roman"/>
                <w:color w:val="000000" w:themeColor="text1"/>
                <w:vertAlign w:val="subscript"/>
              </w:rPr>
              <w:t>u</w:t>
            </w:r>
            <w:r w:rsidR="00DD7B64">
              <w:rPr>
                <w:rFonts w:ascii="Times New Roman" w:eastAsia="Segoe UI Symbol" w:hAnsi="Times New Roman" w:cs="Times New Roman"/>
                <w:color w:val="000000" w:themeColor="text1"/>
              </w:rPr>
              <w:t>≥</w:t>
            </w:r>
            <w:r w:rsidRPr="001667DB">
              <w:rPr>
                <w:rFonts w:ascii="Times New Roman" w:hAnsi="Times New Roman" w:cs="Times New Roman"/>
                <w:color w:val="000000" w:themeColor="text1"/>
              </w:rPr>
              <w:t xml:space="preserve">15,0 </w:t>
            </w:r>
          </w:p>
          <w:p w14:paraId="17E4EEB7"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Żużle wielkopiecowe i inne metalurgiczne ze </w:t>
            </w:r>
          </w:p>
          <w:p w14:paraId="44A692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starych zwałów (powyżej 5 lat) </w:t>
            </w:r>
          </w:p>
          <w:p w14:paraId="45580F3D"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Łupki przywęgłowe przepalone </w:t>
            </w:r>
          </w:p>
          <w:p w14:paraId="5E4D61F0" w14:textId="77777777" w:rsidR="00955A27" w:rsidRPr="001667DB" w:rsidRDefault="00955A27" w:rsidP="00F55914">
            <w:pPr>
              <w:numPr>
                <w:ilvl w:val="0"/>
                <w:numId w:val="37"/>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Wysiewki kamienne o zawartości frakcji iłowej poniżej 2% </w:t>
            </w:r>
          </w:p>
        </w:tc>
        <w:tc>
          <w:tcPr>
            <w:tcW w:w="3130" w:type="dxa"/>
            <w:tcBorders>
              <w:top w:val="double" w:sz="4" w:space="0" w:color="000000"/>
              <w:left w:val="single" w:sz="6" w:space="0" w:color="000000"/>
              <w:bottom w:val="single" w:sz="6" w:space="0" w:color="000000"/>
              <w:right w:val="single" w:sz="6" w:space="0" w:color="000000"/>
            </w:tcBorders>
            <w:vAlign w:val="center"/>
          </w:tcPr>
          <w:p w14:paraId="59B318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1. Rozdrobnione grunty skaliste miękkie </w:t>
            </w:r>
          </w:p>
        </w:tc>
        <w:tc>
          <w:tcPr>
            <w:tcW w:w="3121" w:type="dxa"/>
            <w:tcBorders>
              <w:top w:val="double" w:sz="4" w:space="0" w:color="000000"/>
              <w:left w:val="single" w:sz="6" w:space="0" w:color="000000"/>
              <w:bottom w:val="single" w:sz="6" w:space="0" w:color="000000"/>
              <w:right w:val="double" w:sz="4" w:space="0" w:color="000000"/>
            </w:tcBorders>
          </w:tcPr>
          <w:p w14:paraId="46C621DA" w14:textId="77777777" w:rsidR="00955A27" w:rsidRPr="001667DB" w:rsidRDefault="00955A27" w:rsidP="00955A27">
            <w:pPr>
              <w:spacing w:after="120" w:line="360" w:lineRule="auto"/>
              <w:ind w:left="84"/>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pory w gruncie skalistym będą </w:t>
            </w:r>
          </w:p>
          <w:p w14:paraId="3A0D77D8" w14:textId="77777777" w:rsidR="00955A27" w:rsidRPr="001667DB" w:rsidRDefault="00955A27" w:rsidP="00955A27">
            <w:pPr>
              <w:spacing w:after="120" w:line="360" w:lineRule="auto"/>
              <w:ind w:left="29"/>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wypełnione gruntem lub materiałem </w:t>
            </w:r>
          </w:p>
          <w:p w14:paraId="31BB7688"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drobnoziarnistym </w:t>
            </w:r>
          </w:p>
        </w:tc>
      </w:tr>
      <w:tr w:rsidR="00955A27" w:rsidRPr="001667DB" w14:paraId="1D4A8A6B" w14:textId="77777777" w:rsidTr="001B4B8F">
        <w:trPr>
          <w:trHeight w:val="653"/>
        </w:trPr>
        <w:tc>
          <w:tcPr>
            <w:tcW w:w="0" w:type="auto"/>
            <w:vMerge/>
            <w:tcBorders>
              <w:top w:val="nil"/>
              <w:left w:val="double" w:sz="4" w:space="0" w:color="000000"/>
              <w:bottom w:val="nil"/>
              <w:right w:val="single" w:sz="6" w:space="0" w:color="000000"/>
            </w:tcBorders>
          </w:tcPr>
          <w:p w14:paraId="5EE8323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0CDAACD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vAlign w:val="center"/>
          </w:tcPr>
          <w:p w14:paraId="3C266810" w14:textId="77777777" w:rsidR="00955A27" w:rsidRPr="001667DB" w:rsidRDefault="00955A27" w:rsidP="00955A27">
            <w:pPr>
              <w:spacing w:after="120" w:line="360" w:lineRule="auto"/>
              <w:ind w:right="74"/>
              <w:rPr>
                <w:rFonts w:ascii="Times New Roman" w:hAnsi="Times New Roman" w:cs="Times New Roman"/>
                <w:color w:val="000000" w:themeColor="text1"/>
              </w:rPr>
            </w:pPr>
            <w:r w:rsidRPr="001667DB">
              <w:rPr>
                <w:rFonts w:ascii="Times New Roman" w:hAnsi="Times New Roman" w:cs="Times New Roman"/>
                <w:color w:val="000000" w:themeColor="text1"/>
              </w:rPr>
              <w:t xml:space="preserve">2. Zwietrzeliny i rumosze gliniaste 3. Piaski pylaste, piaski gliniaste, </w:t>
            </w:r>
          </w:p>
          <w:p w14:paraId="2872F61F" w14:textId="77777777" w:rsidR="00955A27" w:rsidRPr="001667DB" w:rsidRDefault="00955A27" w:rsidP="00955A27">
            <w:pPr>
              <w:spacing w:after="120" w:line="360" w:lineRule="auto"/>
              <w:ind w:right="1589"/>
              <w:rPr>
                <w:rFonts w:ascii="Times New Roman" w:hAnsi="Times New Roman" w:cs="Times New Roman"/>
                <w:color w:val="000000" w:themeColor="text1"/>
              </w:rPr>
            </w:pPr>
            <w:r w:rsidRPr="001667DB">
              <w:rPr>
                <w:rFonts w:ascii="Times New Roman" w:hAnsi="Times New Roman" w:cs="Times New Roman"/>
                <w:color w:val="000000" w:themeColor="text1"/>
              </w:rPr>
              <w:t xml:space="preserve">pyły piaszczyste  i pyły </w:t>
            </w:r>
          </w:p>
        </w:tc>
        <w:tc>
          <w:tcPr>
            <w:tcW w:w="3121" w:type="dxa"/>
            <w:tcBorders>
              <w:top w:val="single" w:sz="6" w:space="0" w:color="000000"/>
              <w:left w:val="single" w:sz="6" w:space="0" w:color="000000"/>
              <w:bottom w:val="single" w:sz="6" w:space="0" w:color="000000"/>
              <w:right w:val="double" w:sz="4" w:space="0" w:color="000000"/>
            </w:tcBorders>
            <w:vAlign w:val="center"/>
          </w:tcPr>
          <w:p w14:paraId="5D58C19A"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będą wbudowane w miejsca </w:t>
            </w:r>
          </w:p>
          <w:p w14:paraId="31080F9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suche lub zabezpieczone od wód gruntowych i powierzchniowych </w:t>
            </w:r>
          </w:p>
        </w:tc>
      </w:tr>
      <w:tr w:rsidR="00955A27" w:rsidRPr="001667DB" w14:paraId="09FC6FC3" w14:textId="77777777" w:rsidTr="001B4B8F">
        <w:trPr>
          <w:trHeight w:val="396"/>
        </w:trPr>
        <w:tc>
          <w:tcPr>
            <w:tcW w:w="0" w:type="auto"/>
            <w:vMerge/>
            <w:tcBorders>
              <w:top w:val="nil"/>
              <w:left w:val="double" w:sz="4" w:space="0" w:color="000000"/>
              <w:bottom w:val="nil"/>
              <w:right w:val="single" w:sz="6" w:space="0" w:color="000000"/>
            </w:tcBorders>
          </w:tcPr>
          <w:p w14:paraId="4FACE2B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3681868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vAlign w:val="center"/>
          </w:tcPr>
          <w:p w14:paraId="2211D3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 Piaski próchniczne, z wyjątkiem pylastych piasków próchnicznych </w:t>
            </w:r>
          </w:p>
        </w:tc>
        <w:tc>
          <w:tcPr>
            <w:tcW w:w="3121" w:type="dxa"/>
            <w:tcBorders>
              <w:top w:val="single" w:sz="6" w:space="0" w:color="000000"/>
              <w:left w:val="single" w:sz="6" w:space="0" w:color="000000"/>
              <w:bottom w:val="single" w:sz="6" w:space="0" w:color="000000"/>
              <w:right w:val="double" w:sz="4" w:space="0" w:color="000000"/>
            </w:tcBorders>
          </w:tcPr>
          <w:p w14:paraId="20E8471A" w14:textId="77777777" w:rsidR="00955A27" w:rsidRPr="001667DB" w:rsidRDefault="00955A27" w:rsidP="00955A27">
            <w:pPr>
              <w:spacing w:after="120" w:line="360" w:lineRule="auto"/>
              <w:ind w:left="20" w:hanging="2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nasypów nie wyższych niż 3 m, zabezpieczonych przed zawilgoceniem </w:t>
            </w:r>
          </w:p>
        </w:tc>
      </w:tr>
      <w:tr w:rsidR="00955A27" w:rsidRPr="001667DB" w14:paraId="271322B3" w14:textId="77777777">
        <w:trPr>
          <w:trHeight w:val="601"/>
        </w:trPr>
        <w:tc>
          <w:tcPr>
            <w:tcW w:w="0" w:type="auto"/>
            <w:vMerge/>
            <w:tcBorders>
              <w:top w:val="nil"/>
              <w:left w:val="double" w:sz="4" w:space="0" w:color="000000"/>
              <w:bottom w:val="nil"/>
              <w:right w:val="single" w:sz="6" w:space="0" w:color="000000"/>
            </w:tcBorders>
          </w:tcPr>
          <w:p w14:paraId="345851F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3B4D97E5"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tcPr>
          <w:p w14:paraId="2AC90F4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5. Gliny piaszczyste, gliny i gliny pylaste oraz inne o  </w:t>
            </w:r>
          </w:p>
          <w:p w14:paraId="7E5AC2A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L</w:t>
            </w:r>
            <w:r w:rsidRPr="001667DB">
              <w:rPr>
                <w:rFonts w:ascii="Times New Roman" w:eastAsia="Segoe UI Symbol" w:hAnsi="Times New Roman" w:cs="Times New Roman"/>
                <w:color w:val="000000" w:themeColor="text1"/>
              </w:rPr>
              <w:t>&lt;</w:t>
            </w:r>
            <w:r w:rsidRPr="001667DB">
              <w:rPr>
                <w:rFonts w:ascii="Times New Roman" w:hAnsi="Times New Roman" w:cs="Times New Roman"/>
                <w:color w:val="000000" w:themeColor="text1"/>
              </w:rPr>
              <w:t xml:space="preserve"> 35% </w:t>
            </w:r>
          </w:p>
        </w:tc>
        <w:tc>
          <w:tcPr>
            <w:tcW w:w="3121" w:type="dxa"/>
            <w:tcBorders>
              <w:top w:val="single" w:sz="6" w:space="0" w:color="000000"/>
              <w:left w:val="single" w:sz="6" w:space="0" w:color="000000"/>
              <w:bottom w:val="single" w:sz="6" w:space="0" w:color="000000"/>
              <w:right w:val="double" w:sz="4" w:space="0" w:color="000000"/>
            </w:tcBorders>
            <w:vAlign w:val="center"/>
          </w:tcPr>
          <w:p w14:paraId="7AEB11B4" w14:textId="77777777" w:rsidR="00955A27" w:rsidRPr="001667DB" w:rsidRDefault="00955A27" w:rsidP="00955A27">
            <w:pPr>
              <w:spacing w:after="120" w:line="360" w:lineRule="auto"/>
              <w:ind w:left="262" w:right="32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 miejscach suchych  lub przejściowo zawilgoconych </w:t>
            </w:r>
          </w:p>
        </w:tc>
      </w:tr>
      <w:tr w:rsidR="00955A27" w:rsidRPr="001667DB" w14:paraId="5750E007" w14:textId="77777777" w:rsidTr="001B4B8F">
        <w:trPr>
          <w:trHeight w:val="791"/>
        </w:trPr>
        <w:tc>
          <w:tcPr>
            <w:tcW w:w="0" w:type="auto"/>
            <w:vMerge/>
            <w:tcBorders>
              <w:top w:val="nil"/>
              <w:left w:val="double" w:sz="4" w:space="0" w:color="000000"/>
              <w:bottom w:val="nil"/>
              <w:right w:val="single" w:sz="6" w:space="0" w:color="000000"/>
            </w:tcBorders>
          </w:tcPr>
          <w:p w14:paraId="2426EDB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04796FC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vAlign w:val="center"/>
          </w:tcPr>
          <w:p w14:paraId="41C1DBEA" w14:textId="77777777" w:rsidR="00955A27" w:rsidRPr="001667DB" w:rsidRDefault="00955A27" w:rsidP="00955A27">
            <w:pPr>
              <w:spacing w:after="120" w:line="360" w:lineRule="auto"/>
              <w:ind w:right="20"/>
              <w:rPr>
                <w:rFonts w:ascii="Times New Roman" w:hAnsi="Times New Roman" w:cs="Times New Roman"/>
                <w:color w:val="000000" w:themeColor="text1"/>
              </w:rPr>
            </w:pPr>
            <w:r w:rsidRPr="001667DB">
              <w:rPr>
                <w:rFonts w:ascii="Times New Roman" w:hAnsi="Times New Roman" w:cs="Times New Roman"/>
                <w:color w:val="000000" w:themeColor="text1"/>
              </w:rPr>
              <w:t>6. Gliny piaszczyste zwięzłe, gliny zwięzłe i gliny pylaste zwięzłe oraz inne grunty o granicy płynności w</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od 35 do 60% </w:t>
            </w:r>
          </w:p>
        </w:tc>
        <w:tc>
          <w:tcPr>
            <w:tcW w:w="3121" w:type="dxa"/>
            <w:tcBorders>
              <w:top w:val="single" w:sz="6" w:space="0" w:color="000000"/>
              <w:left w:val="single" w:sz="6" w:space="0" w:color="000000"/>
              <w:bottom w:val="single" w:sz="6" w:space="0" w:color="000000"/>
              <w:right w:val="double" w:sz="4" w:space="0" w:color="000000"/>
            </w:tcBorders>
            <w:vAlign w:val="center"/>
          </w:tcPr>
          <w:p w14:paraId="451E89C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nasypów nie wyższych niż 3 m: zabezpieczonych przed </w:t>
            </w:r>
          </w:p>
          <w:p w14:paraId="3F998FF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zawilgoceniem lub po ulepszeniu </w:t>
            </w:r>
          </w:p>
          <w:p w14:paraId="013487F8"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spoiwami </w:t>
            </w:r>
          </w:p>
        </w:tc>
      </w:tr>
      <w:tr w:rsidR="00955A27" w:rsidRPr="001667DB" w14:paraId="7E7E2AC7" w14:textId="77777777" w:rsidTr="001B4B8F">
        <w:trPr>
          <w:trHeight w:val="584"/>
        </w:trPr>
        <w:tc>
          <w:tcPr>
            <w:tcW w:w="0" w:type="auto"/>
            <w:vMerge/>
            <w:tcBorders>
              <w:top w:val="nil"/>
              <w:left w:val="double" w:sz="4" w:space="0" w:color="000000"/>
              <w:bottom w:val="nil"/>
              <w:right w:val="single" w:sz="6" w:space="0" w:color="000000"/>
            </w:tcBorders>
          </w:tcPr>
          <w:p w14:paraId="54AF4974"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63A1D56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vAlign w:val="center"/>
          </w:tcPr>
          <w:p w14:paraId="5285EB8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Wysiewki kamienne gliniaste o zawartości frakcji iłowej ponad 2% </w:t>
            </w:r>
          </w:p>
        </w:tc>
        <w:tc>
          <w:tcPr>
            <w:tcW w:w="3121" w:type="dxa"/>
            <w:tcBorders>
              <w:top w:val="single" w:sz="6" w:space="0" w:color="000000"/>
              <w:left w:val="single" w:sz="6" w:space="0" w:color="000000"/>
              <w:bottom w:val="single" w:sz="6" w:space="0" w:color="000000"/>
              <w:right w:val="double" w:sz="4" w:space="0" w:color="000000"/>
            </w:tcBorders>
            <w:vAlign w:val="center"/>
          </w:tcPr>
          <w:p w14:paraId="76AA4D19"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zwierciadło wody gruntowej </w:t>
            </w:r>
          </w:p>
          <w:p w14:paraId="7E5C9F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znajduje się na głębokości większej od kapilarności biernej gruntu </w:t>
            </w:r>
          </w:p>
          <w:p w14:paraId="426D846D"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podłoża </w:t>
            </w:r>
          </w:p>
        </w:tc>
      </w:tr>
      <w:tr w:rsidR="00955A27" w:rsidRPr="001667DB" w14:paraId="576EA086" w14:textId="77777777" w:rsidTr="001B4B8F">
        <w:trPr>
          <w:trHeight w:val="458"/>
        </w:trPr>
        <w:tc>
          <w:tcPr>
            <w:tcW w:w="0" w:type="auto"/>
            <w:vMerge/>
            <w:tcBorders>
              <w:top w:val="nil"/>
              <w:left w:val="double" w:sz="4" w:space="0" w:color="000000"/>
              <w:bottom w:val="nil"/>
              <w:right w:val="single" w:sz="6" w:space="0" w:color="000000"/>
            </w:tcBorders>
          </w:tcPr>
          <w:p w14:paraId="493C04A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1E8C991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tcPr>
          <w:p w14:paraId="12DA20A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8. Żużle wielkopiecowe i inne metalurgiczne z nowego studzenia (do 5 lat) </w:t>
            </w:r>
          </w:p>
        </w:tc>
        <w:tc>
          <w:tcPr>
            <w:tcW w:w="3121" w:type="dxa"/>
            <w:tcBorders>
              <w:top w:val="single" w:sz="6" w:space="0" w:color="000000"/>
              <w:left w:val="single" w:sz="6" w:space="0" w:color="000000"/>
              <w:bottom w:val="single" w:sz="6" w:space="0" w:color="000000"/>
              <w:right w:val="double" w:sz="4" w:space="0" w:color="000000"/>
            </w:tcBorders>
            <w:vAlign w:val="center"/>
          </w:tcPr>
          <w:p w14:paraId="5523BF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 ograniczonej podatności na rozpad - łączne straty masy do 5% </w:t>
            </w:r>
          </w:p>
        </w:tc>
      </w:tr>
      <w:tr w:rsidR="00955A27" w:rsidRPr="001667DB" w14:paraId="162B3661" w14:textId="77777777" w:rsidTr="001B4B8F">
        <w:trPr>
          <w:trHeight w:val="313"/>
        </w:trPr>
        <w:tc>
          <w:tcPr>
            <w:tcW w:w="0" w:type="auto"/>
            <w:vMerge/>
            <w:tcBorders>
              <w:top w:val="nil"/>
              <w:left w:val="double" w:sz="4" w:space="0" w:color="000000"/>
              <w:bottom w:val="nil"/>
              <w:right w:val="single" w:sz="6" w:space="0" w:color="000000"/>
            </w:tcBorders>
          </w:tcPr>
          <w:p w14:paraId="4A110D5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0B38D81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tcPr>
          <w:p w14:paraId="1EC586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9. Iłołupki przywęglowe  nieprzepalone o zawartości substancji organicznej ≤20% </w:t>
            </w:r>
          </w:p>
        </w:tc>
        <w:tc>
          <w:tcPr>
            <w:tcW w:w="3121" w:type="dxa"/>
            <w:tcBorders>
              <w:top w:val="single" w:sz="6" w:space="0" w:color="000000"/>
              <w:left w:val="single" w:sz="6" w:space="0" w:color="000000"/>
              <w:bottom w:val="single" w:sz="6" w:space="0" w:color="000000"/>
              <w:right w:val="double" w:sz="4" w:space="0" w:color="000000"/>
            </w:tcBorders>
          </w:tcPr>
          <w:p w14:paraId="1AB468F5" w14:textId="77777777" w:rsidR="00955A27" w:rsidRPr="001667DB" w:rsidRDefault="00955A27" w:rsidP="00955A27">
            <w:pPr>
              <w:spacing w:after="120" w:line="360" w:lineRule="auto"/>
              <w:ind w:left="13" w:hanging="1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wolne przestrzenie zostaną wypełnione materiałem drobnoziarnistym </w:t>
            </w:r>
          </w:p>
        </w:tc>
      </w:tr>
      <w:tr w:rsidR="00955A27" w:rsidRPr="001667DB" w14:paraId="5BCB9C02" w14:textId="77777777" w:rsidTr="001B4B8F">
        <w:trPr>
          <w:trHeight w:val="184"/>
        </w:trPr>
        <w:tc>
          <w:tcPr>
            <w:tcW w:w="0" w:type="auto"/>
            <w:vMerge/>
            <w:tcBorders>
              <w:top w:val="nil"/>
              <w:left w:val="double" w:sz="4" w:space="0" w:color="000000"/>
              <w:bottom w:val="single" w:sz="6" w:space="0" w:color="000000"/>
              <w:right w:val="single" w:sz="6" w:space="0" w:color="000000"/>
            </w:tcBorders>
          </w:tcPr>
          <w:p w14:paraId="12D1E3A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single" w:sz="6" w:space="0" w:color="000000"/>
              <w:right w:val="single" w:sz="6" w:space="0" w:color="000000"/>
            </w:tcBorders>
          </w:tcPr>
          <w:p w14:paraId="191680C4"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tcPr>
          <w:p w14:paraId="0F569A8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Popioły lotne i mieszaniny popiołowo-żużlowe </w:t>
            </w:r>
          </w:p>
        </w:tc>
        <w:tc>
          <w:tcPr>
            <w:tcW w:w="3121" w:type="dxa"/>
            <w:tcBorders>
              <w:top w:val="single" w:sz="6" w:space="0" w:color="000000"/>
              <w:left w:val="single" w:sz="6" w:space="0" w:color="000000"/>
              <w:bottom w:val="single" w:sz="6" w:space="0" w:color="000000"/>
              <w:right w:val="double" w:sz="4" w:space="0" w:color="000000"/>
            </w:tcBorders>
          </w:tcPr>
          <w:p w14:paraId="0873C1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zalegają w miejscach suchych lub są izolowane od wody </w:t>
            </w:r>
          </w:p>
        </w:tc>
      </w:tr>
      <w:tr w:rsidR="00955A27" w:rsidRPr="001667DB" w14:paraId="0BC03DDE" w14:textId="77777777" w:rsidTr="001B4B8F">
        <w:trPr>
          <w:trHeight w:val="1723"/>
        </w:trPr>
        <w:tc>
          <w:tcPr>
            <w:tcW w:w="1404" w:type="dxa"/>
            <w:vMerge w:val="restart"/>
            <w:tcBorders>
              <w:top w:val="single" w:sz="6" w:space="0" w:color="000000"/>
              <w:left w:val="double" w:sz="4" w:space="0" w:color="000000"/>
              <w:bottom w:val="single" w:sz="6" w:space="0" w:color="000000"/>
              <w:right w:val="single" w:sz="6" w:space="0" w:color="000000"/>
            </w:tcBorders>
            <w:vAlign w:val="center"/>
          </w:tcPr>
          <w:p w14:paraId="2D2CEE4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górne warstwy </w:t>
            </w:r>
          </w:p>
          <w:p w14:paraId="2FBE668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nasypów w strefie </w:t>
            </w:r>
          </w:p>
          <w:p w14:paraId="366EF945" w14:textId="77777777" w:rsidR="00955A27" w:rsidRPr="001667DB" w:rsidRDefault="00955A27" w:rsidP="00955A27">
            <w:pPr>
              <w:spacing w:after="120" w:line="360" w:lineRule="auto"/>
              <w:ind w:left="36"/>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przemarzania* </w:t>
            </w:r>
          </w:p>
        </w:tc>
        <w:tc>
          <w:tcPr>
            <w:tcW w:w="2341" w:type="dxa"/>
            <w:vMerge w:val="restart"/>
            <w:tcBorders>
              <w:top w:val="single" w:sz="6" w:space="0" w:color="000000"/>
              <w:left w:val="single" w:sz="6" w:space="0" w:color="000000"/>
              <w:bottom w:val="single" w:sz="6" w:space="0" w:color="000000"/>
              <w:right w:val="single" w:sz="6" w:space="0" w:color="000000"/>
            </w:tcBorders>
            <w:vAlign w:val="center"/>
          </w:tcPr>
          <w:p w14:paraId="5A5D8B74" w14:textId="77777777" w:rsidR="00955A27" w:rsidRPr="001667DB" w:rsidRDefault="00955A27" w:rsidP="00F55914">
            <w:pPr>
              <w:numPr>
                <w:ilvl w:val="0"/>
                <w:numId w:val="38"/>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Żwiry i pospółki </w:t>
            </w:r>
          </w:p>
          <w:p w14:paraId="51BBD49B" w14:textId="77777777" w:rsidR="00955A27" w:rsidRPr="001667DB" w:rsidRDefault="00955A27" w:rsidP="00F55914">
            <w:pPr>
              <w:numPr>
                <w:ilvl w:val="0"/>
                <w:numId w:val="38"/>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Piaski grubo i średnio- ziarniste </w:t>
            </w:r>
          </w:p>
          <w:p w14:paraId="2DD814A1" w14:textId="77777777" w:rsidR="00955A27" w:rsidRPr="001667DB" w:rsidRDefault="00955A27" w:rsidP="00F55914">
            <w:pPr>
              <w:numPr>
                <w:ilvl w:val="0"/>
                <w:numId w:val="38"/>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Iłołupki przywęglowe przepalone zawierające mniej niż 15% ziaren mniejszych </w:t>
            </w:r>
            <w:r w:rsidRPr="001667DB">
              <w:rPr>
                <w:rFonts w:ascii="Times New Roman" w:hAnsi="Times New Roman" w:cs="Times New Roman"/>
                <w:color w:val="000000" w:themeColor="text1"/>
              </w:rPr>
              <w:lastRenderedPageBreak/>
              <w:t xml:space="preserve">od 0,075 mm 4. Wysiewki kamienne o </w:t>
            </w:r>
          </w:p>
          <w:p w14:paraId="559C218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uziarnieniu odpowiadającym pospółkom lub żwirom </w:t>
            </w:r>
          </w:p>
        </w:tc>
        <w:tc>
          <w:tcPr>
            <w:tcW w:w="3130" w:type="dxa"/>
            <w:tcBorders>
              <w:top w:val="single" w:sz="6" w:space="0" w:color="000000"/>
              <w:left w:val="single" w:sz="6" w:space="0" w:color="000000"/>
              <w:bottom w:val="single" w:sz="6" w:space="0" w:color="000000"/>
              <w:right w:val="single" w:sz="6" w:space="0" w:color="000000"/>
            </w:tcBorders>
            <w:vAlign w:val="center"/>
          </w:tcPr>
          <w:p w14:paraId="61C01FD9" w14:textId="77777777" w:rsidR="00955A27" w:rsidRPr="001667DB" w:rsidRDefault="00955A27" w:rsidP="00F55914">
            <w:pPr>
              <w:numPr>
                <w:ilvl w:val="0"/>
                <w:numId w:val="39"/>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Żwiry i pospółki gliniaste </w:t>
            </w:r>
          </w:p>
          <w:p w14:paraId="2292AAD0" w14:textId="77777777" w:rsidR="00955A27" w:rsidRPr="001667DB" w:rsidRDefault="00955A27" w:rsidP="00F55914">
            <w:pPr>
              <w:numPr>
                <w:ilvl w:val="0"/>
                <w:numId w:val="39"/>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Piaski pylaste i gliniaste </w:t>
            </w:r>
          </w:p>
          <w:p w14:paraId="6FAFC560" w14:textId="77777777" w:rsidR="00955A27" w:rsidRPr="001667DB" w:rsidRDefault="00955A27" w:rsidP="00F55914">
            <w:pPr>
              <w:numPr>
                <w:ilvl w:val="0"/>
                <w:numId w:val="39"/>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Pyły piaszczyste i pyły 4. Gliny o granicy płynności mniejszej niż 35% </w:t>
            </w:r>
          </w:p>
          <w:p w14:paraId="4533EF95" w14:textId="77777777" w:rsidR="00955A27" w:rsidRPr="001667DB" w:rsidRDefault="00955A27" w:rsidP="00F55914">
            <w:pPr>
              <w:numPr>
                <w:ilvl w:val="0"/>
                <w:numId w:val="4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Mieszaniny popiołowo-żużlowe z węgla kamiennego </w:t>
            </w:r>
          </w:p>
          <w:p w14:paraId="747AFCC5" w14:textId="77777777" w:rsidR="00955A27" w:rsidRPr="001667DB" w:rsidRDefault="00955A27" w:rsidP="00F55914">
            <w:pPr>
              <w:numPr>
                <w:ilvl w:val="0"/>
                <w:numId w:val="4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Wysiewki kamienne gliniaste o zawartości frakcji iłowej &gt;2% </w:t>
            </w:r>
          </w:p>
        </w:tc>
        <w:tc>
          <w:tcPr>
            <w:tcW w:w="3121" w:type="dxa"/>
            <w:tcBorders>
              <w:top w:val="single" w:sz="6" w:space="0" w:color="000000"/>
              <w:left w:val="single" w:sz="6" w:space="0" w:color="000000"/>
              <w:bottom w:val="single" w:sz="6" w:space="0" w:color="000000"/>
              <w:right w:val="double" w:sz="4" w:space="0" w:color="000000"/>
            </w:tcBorders>
            <w:vAlign w:val="center"/>
          </w:tcPr>
          <w:p w14:paraId="2D4003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pod warunkiem ulepszenia tych gruntów spoiwami, takimi jak: cement, wapno, aktywne popioły, spoiwa drogowe itp. </w:t>
            </w:r>
          </w:p>
        </w:tc>
      </w:tr>
      <w:tr w:rsidR="00955A27" w:rsidRPr="001667DB" w14:paraId="7846DC05" w14:textId="77777777" w:rsidTr="001B4B8F">
        <w:trPr>
          <w:trHeight w:val="226"/>
        </w:trPr>
        <w:tc>
          <w:tcPr>
            <w:tcW w:w="0" w:type="auto"/>
            <w:vMerge/>
            <w:tcBorders>
              <w:top w:val="nil"/>
              <w:left w:val="double" w:sz="4" w:space="0" w:color="000000"/>
              <w:bottom w:val="nil"/>
              <w:right w:val="single" w:sz="6" w:space="0" w:color="000000"/>
            </w:tcBorders>
          </w:tcPr>
          <w:p w14:paraId="691234D4"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nil"/>
              <w:right w:val="single" w:sz="6" w:space="0" w:color="000000"/>
            </w:tcBorders>
          </w:tcPr>
          <w:p w14:paraId="7A819848"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tcPr>
          <w:p w14:paraId="58BBF83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7.Żużle wielkopiecowe i inne metalurgiczne </w:t>
            </w:r>
          </w:p>
        </w:tc>
        <w:tc>
          <w:tcPr>
            <w:tcW w:w="3121" w:type="dxa"/>
            <w:tcBorders>
              <w:top w:val="single" w:sz="6" w:space="0" w:color="000000"/>
              <w:left w:val="single" w:sz="6" w:space="0" w:color="000000"/>
              <w:bottom w:val="single" w:sz="6" w:space="0" w:color="000000"/>
              <w:right w:val="double" w:sz="4" w:space="0" w:color="000000"/>
            </w:tcBorders>
          </w:tcPr>
          <w:p w14:paraId="3E2F468E"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drobnoziarniste i nie rozpadowe: </w:t>
            </w:r>
          </w:p>
          <w:p w14:paraId="36B27BDF"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straty masy do 1% </w:t>
            </w:r>
          </w:p>
        </w:tc>
      </w:tr>
      <w:tr w:rsidR="00955A27" w:rsidRPr="001667DB" w14:paraId="7B44B193" w14:textId="77777777" w:rsidTr="001B4B8F">
        <w:trPr>
          <w:trHeight w:val="192"/>
        </w:trPr>
        <w:tc>
          <w:tcPr>
            <w:tcW w:w="0" w:type="auto"/>
            <w:vMerge/>
            <w:tcBorders>
              <w:top w:val="nil"/>
              <w:left w:val="double" w:sz="4" w:space="0" w:color="000000"/>
              <w:bottom w:val="single" w:sz="6" w:space="0" w:color="000000"/>
              <w:right w:val="single" w:sz="6" w:space="0" w:color="000000"/>
            </w:tcBorders>
          </w:tcPr>
          <w:p w14:paraId="5173ACF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single" w:sz="6" w:space="0" w:color="000000"/>
              <w:right w:val="single" w:sz="6" w:space="0" w:color="000000"/>
            </w:tcBorders>
          </w:tcPr>
          <w:p w14:paraId="5DC06BC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30" w:type="dxa"/>
            <w:tcBorders>
              <w:top w:val="single" w:sz="6" w:space="0" w:color="000000"/>
              <w:left w:val="single" w:sz="6" w:space="0" w:color="000000"/>
              <w:bottom w:val="single" w:sz="6" w:space="0" w:color="000000"/>
              <w:right w:val="single" w:sz="6" w:space="0" w:color="000000"/>
            </w:tcBorders>
            <w:vAlign w:val="center"/>
          </w:tcPr>
          <w:p w14:paraId="39F4AE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8.Piaski drobnoziarniste </w:t>
            </w:r>
          </w:p>
        </w:tc>
        <w:tc>
          <w:tcPr>
            <w:tcW w:w="3121" w:type="dxa"/>
            <w:tcBorders>
              <w:top w:val="single" w:sz="6" w:space="0" w:color="000000"/>
              <w:left w:val="single" w:sz="6" w:space="0" w:color="000000"/>
              <w:bottom w:val="single" w:sz="6" w:space="0" w:color="000000"/>
              <w:right w:val="double" w:sz="4" w:space="0" w:color="000000"/>
            </w:tcBorders>
            <w:vAlign w:val="center"/>
          </w:tcPr>
          <w:p w14:paraId="7AD29255"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o wskaźniku nośności w</w:t>
            </w:r>
            <w:r w:rsidRPr="001667DB">
              <w:rPr>
                <w:rFonts w:ascii="Times New Roman" w:hAnsi="Times New Roman" w:cs="Times New Roman"/>
                <w:color w:val="000000" w:themeColor="text1"/>
                <w:vertAlign w:val="subscript"/>
              </w:rPr>
              <w:t xml:space="preserve">noś </w:t>
            </w:r>
            <w:r w:rsidRPr="001667DB">
              <w:rPr>
                <w:rFonts w:ascii="Times New Roman" w:hAnsi="Times New Roman" w:cs="Times New Roman"/>
                <w:color w:val="000000" w:themeColor="text1"/>
              </w:rPr>
              <w:t xml:space="preserve">≥ 10 </w:t>
            </w:r>
          </w:p>
        </w:tc>
      </w:tr>
      <w:tr w:rsidR="00955A27" w:rsidRPr="001667DB" w14:paraId="3957632E" w14:textId="77777777" w:rsidTr="001B4B8F">
        <w:trPr>
          <w:trHeight w:val="1071"/>
        </w:trPr>
        <w:tc>
          <w:tcPr>
            <w:tcW w:w="1404" w:type="dxa"/>
            <w:tcBorders>
              <w:top w:val="single" w:sz="6" w:space="0" w:color="000000"/>
              <w:left w:val="double" w:sz="4" w:space="0" w:color="000000"/>
              <w:bottom w:val="double" w:sz="4" w:space="0" w:color="000000"/>
              <w:right w:val="single" w:sz="6" w:space="0" w:color="000000"/>
            </w:tcBorders>
            <w:vAlign w:val="center"/>
          </w:tcPr>
          <w:p w14:paraId="155D476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wykopach i miejscach </w:t>
            </w:r>
          </w:p>
          <w:p w14:paraId="3689A6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zerowych do głębokości przemarzania </w:t>
            </w:r>
          </w:p>
        </w:tc>
        <w:tc>
          <w:tcPr>
            <w:tcW w:w="2341" w:type="dxa"/>
            <w:tcBorders>
              <w:top w:val="single" w:sz="6" w:space="0" w:color="000000"/>
              <w:left w:val="single" w:sz="6" w:space="0" w:color="000000"/>
              <w:bottom w:val="double" w:sz="4" w:space="0" w:color="000000"/>
              <w:right w:val="single" w:sz="6" w:space="0" w:color="000000"/>
            </w:tcBorders>
            <w:vAlign w:val="center"/>
          </w:tcPr>
          <w:p w14:paraId="59D17CB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niewysadzinowe </w:t>
            </w:r>
          </w:p>
        </w:tc>
        <w:tc>
          <w:tcPr>
            <w:tcW w:w="3130" w:type="dxa"/>
            <w:tcBorders>
              <w:top w:val="single" w:sz="6" w:space="0" w:color="000000"/>
              <w:left w:val="single" w:sz="6" w:space="0" w:color="000000"/>
              <w:bottom w:val="double" w:sz="4" w:space="0" w:color="000000"/>
              <w:right w:val="single" w:sz="6" w:space="0" w:color="000000"/>
            </w:tcBorders>
            <w:vAlign w:val="center"/>
          </w:tcPr>
          <w:p w14:paraId="54A940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wątpliwe i wysadzinowe </w:t>
            </w:r>
          </w:p>
        </w:tc>
        <w:tc>
          <w:tcPr>
            <w:tcW w:w="3121" w:type="dxa"/>
            <w:tcBorders>
              <w:top w:val="single" w:sz="6" w:space="0" w:color="000000"/>
              <w:left w:val="single" w:sz="6" w:space="0" w:color="000000"/>
              <w:bottom w:val="double" w:sz="4" w:space="0" w:color="000000"/>
              <w:right w:val="double" w:sz="4" w:space="0" w:color="000000"/>
            </w:tcBorders>
            <w:vAlign w:val="center"/>
          </w:tcPr>
          <w:p w14:paraId="7C28FD7F"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gdy są ulepszane spoiwami </w:t>
            </w:r>
          </w:p>
          <w:p w14:paraId="4B91F4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(cementem, wapnem, aktywnymi popiołami, spoiwami drogowymi itp.) </w:t>
            </w:r>
          </w:p>
        </w:tc>
      </w:tr>
    </w:tbl>
    <w:p w14:paraId="6884B0AD"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i/>
          <w:color w:val="000000" w:themeColor="text1"/>
        </w:rPr>
        <w:t>*W przypadku zaprojektowania warstwy ulepszonego podłoża jest ona włączona do górnej warstwy nasypu.</w:t>
      </w:r>
      <w:r w:rsidRPr="001667DB">
        <w:rPr>
          <w:rFonts w:ascii="Times New Roman" w:eastAsia="Bookman Old Style" w:hAnsi="Times New Roman" w:cs="Times New Roman"/>
          <w:b/>
          <w:color w:val="000000" w:themeColor="text1"/>
        </w:rPr>
        <w:t xml:space="preserve"> </w:t>
      </w:r>
    </w:p>
    <w:p w14:paraId="457ADC4D" w14:textId="77777777" w:rsidR="00955A27" w:rsidRPr="001667DB" w:rsidRDefault="00955A27" w:rsidP="00F5591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50" w:name="_Toc61823"/>
      <w:r w:rsidRPr="001667DB">
        <w:rPr>
          <w:color w:val="000000" w:themeColor="text1"/>
          <w:sz w:val="22"/>
          <w:szCs w:val="22"/>
        </w:rPr>
        <w:t xml:space="preserve">Zasady wykorzystania gruntów oraz materiałów antropogenicznych </w:t>
      </w:r>
      <w:bookmarkEnd w:id="150"/>
    </w:p>
    <w:p w14:paraId="15624EB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budowy nasypów można stosować grunty pochodzące z wykopu, ukopu lub dokopu  albo materiały antropogeniczne. Zasady wykorzystania pozyskiwanych gruntów oraz materiałów antropogenicznych do budowy nasypów podano w punkcie 5.4. </w:t>
      </w:r>
    </w:p>
    <w:p w14:paraId="7771922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Wyboru materiału nasypowego należy dokonać z uwz</w:t>
      </w:r>
      <w:r w:rsidR="00DD7B64">
        <w:rPr>
          <w:rFonts w:ascii="Times New Roman" w:hAnsi="Times New Roman" w:cs="Times New Roman"/>
          <w:color w:val="000000" w:themeColor="text1"/>
        </w:rPr>
        <w:t>ględnieniem wymagań podanych  w </w:t>
      </w:r>
      <w:r w:rsidRPr="001667DB">
        <w:rPr>
          <w:rFonts w:ascii="Times New Roman" w:hAnsi="Times New Roman" w:cs="Times New Roman"/>
          <w:color w:val="000000" w:themeColor="text1"/>
        </w:rPr>
        <w:t xml:space="preserve">punkcie 2.2. Właściwości materiału nasypowego nie powinny być gorsze od parametrów podanych w Projekcie Geotechnicznym, o ile występuje, lub w Dokumentacji Projektowej. </w:t>
      </w:r>
    </w:p>
    <w:p w14:paraId="5B0192D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budowy nasypów należy stosować grunty lub materiały antropogeniczne o potwierdzonej przydatności. Przydatność gruntów lub materiałów antropogenicznych do budowy nasypów należy określać z uwzględnieniem : </w:t>
      </w:r>
    </w:p>
    <w:p w14:paraId="666A97C5" w14:textId="77777777" w:rsidR="00955A27" w:rsidRPr="001667DB" w:rsidRDefault="00955A27" w:rsidP="00DD7B64">
      <w:pPr>
        <w:numPr>
          <w:ilvl w:val="0"/>
          <w:numId w:val="25"/>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stałych (wewnętrznych) związanych z pochodzeniem (np. uziarnienie,  stopień plastyczności, zawartość części organicznych), </w:t>
      </w:r>
    </w:p>
    <w:p w14:paraId="224D48B8" w14:textId="77777777" w:rsidR="00955A27" w:rsidRPr="001667DB" w:rsidRDefault="00955A27" w:rsidP="00DD7B64">
      <w:pPr>
        <w:numPr>
          <w:ilvl w:val="0"/>
          <w:numId w:val="25"/>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zmiennych, związanych ze stanem  (np. wilgotność, gęstość). Wykonawca musi uwzględniać w ocenie gruntu lub materiału, czy stwierdzone właściwości (stałe lub zmienne) umożliwiają wbudowanie go w strefę nasypu, do których został przewidziane. </w:t>
      </w:r>
    </w:p>
    <w:p w14:paraId="09EB80C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Przydatność gruntów z wykopów do budowy nasypów we wstępnej fazie powinna zostać oceniona makroskopowo, natomiast przeznaczenie ich do dedykowanej warstwy powinno odbyć się na podstawie parametrów zbadanych metodami laboratoryjnymi. </w:t>
      </w:r>
    </w:p>
    <w:p w14:paraId="2AB731A6"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2.3.5.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 górnej warstwie nasypu, do głębokości przemarzania, należy stosować materiały  nasypowe odporne na działanie mrozu - grunty niewysadzinowe lub odporne materiały  antropogeniczne (na przykład inne grunty po ulepszeniu, żużle nierozpadowe). Ocenę  wysadzinowości należy przeprowadzić na podstawie ustaleń punktu 2.2.4. Jako głębokość przemarzania należy przyjąć obliczeniową głębokość przemarzania, określon</w:t>
      </w:r>
      <w:r w:rsidR="00DD7B64">
        <w:rPr>
          <w:rFonts w:ascii="Times New Roman" w:hAnsi="Times New Roman" w:cs="Times New Roman"/>
          <w:color w:val="000000" w:themeColor="text1"/>
        </w:rPr>
        <w:t>ą zgodnie z zasadami podanymi w </w:t>
      </w:r>
      <w:r w:rsidRPr="001667DB">
        <w:rPr>
          <w:rFonts w:ascii="Times New Roman" w:hAnsi="Times New Roman" w:cs="Times New Roman"/>
          <w:color w:val="000000" w:themeColor="text1"/>
        </w:rPr>
        <w:t xml:space="preserve">punkcie 2.3.6. </w:t>
      </w:r>
    </w:p>
    <w:p w14:paraId="50F8765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Obliczeniową głębokość przemarzania podłoża nawierzchni należy określić jako głębokość przemarzania h</w:t>
      </w:r>
      <w:r w:rsidRPr="001667DB">
        <w:rPr>
          <w:rFonts w:ascii="Times New Roman" w:hAnsi="Times New Roman" w:cs="Times New Roman"/>
          <w:color w:val="000000" w:themeColor="text1"/>
          <w:vertAlign w:val="subscript"/>
        </w:rPr>
        <w:t>z</w:t>
      </w:r>
      <w:r w:rsidRPr="001667DB">
        <w:rPr>
          <w:rFonts w:ascii="Times New Roman" w:hAnsi="Times New Roman" w:cs="Times New Roman"/>
          <w:color w:val="000000" w:themeColor="text1"/>
        </w:rPr>
        <w:t xml:space="preserve"> na danym terenie, podaną w KTKNPiP oraz KTNS, zredukowaną odpowiednio do występujących warunków gruntowo-wodnych (grupy nośności podłoża) oraz projektowej kategorii ruchu. W przypadku stosowania w</w:t>
      </w:r>
      <w:r w:rsidR="00DD7B64">
        <w:rPr>
          <w:rFonts w:ascii="Times New Roman" w:hAnsi="Times New Roman" w:cs="Times New Roman"/>
          <w:color w:val="000000" w:themeColor="text1"/>
        </w:rPr>
        <w:t>arstw ochronnych z materiałów o </w:t>
      </w:r>
      <w:r w:rsidRPr="001667DB">
        <w:rPr>
          <w:rFonts w:ascii="Times New Roman" w:hAnsi="Times New Roman" w:cs="Times New Roman"/>
          <w:color w:val="000000" w:themeColor="text1"/>
        </w:rPr>
        <w:t>małym współczynniku przewodności cieplnej uwzględnia się zmniejszenie głębokości przemarzania h</w:t>
      </w:r>
      <w:r w:rsidRPr="001667DB">
        <w:rPr>
          <w:rFonts w:ascii="Times New Roman" w:hAnsi="Times New Roman" w:cs="Times New Roman"/>
          <w:color w:val="000000" w:themeColor="text1"/>
          <w:vertAlign w:val="subscript"/>
        </w:rPr>
        <w:t>z</w:t>
      </w:r>
      <w:r w:rsidRPr="001667DB">
        <w:rPr>
          <w:rFonts w:ascii="Times New Roman" w:hAnsi="Times New Roman" w:cs="Times New Roman"/>
          <w:color w:val="000000" w:themeColor="text1"/>
        </w:rPr>
        <w:t xml:space="preserve"> na podstawie obliczeń, przy czym zm</w:t>
      </w:r>
      <w:r w:rsidR="00DD7B64">
        <w:rPr>
          <w:rFonts w:ascii="Times New Roman" w:hAnsi="Times New Roman" w:cs="Times New Roman"/>
          <w:color w:val="000000" w:themeColor="text1"/>
        </w:rPr>
        <w:t>niejszona wartość, wynikająca z </w:t>
      </w:r>
      <w:r w:rsidRPr="001667DB">
        <w:rPr>
          <w:rFonts w:ascii="Times New Roman" w:hAnsi="Times New Roman" w:cs="Times New Roman"/>
          <w:color w:val="000000" w:themeColor="text1"/>
        </w:rPr>
        <w:t>zastosowania warstw ochronnych, powinna być równoważna głębokości przemarzania h</w:t>
      </w:r>
      <w:r w:rsidRPr="001667DB">
        <w:rPr>
          <w:rFonts w:ascii="Times New Roman" w:hAnsi="Times New Roman" w:cs="Times New Roman"/>
          <w:color w:val="000000" w:themeColor="text1"/>
          <w:vertAlign w:val="subscript"/>
        </w:rPr>
        <w:t>z</w:t>
      </w:r>
      <w:r w:rsidR="00DD7B64">
        <w:rPr>
          <w:rFonts w:ascii="Times New Roman" w:hAnsi="Times New Roman" w:cs="Times New Roman"/>
          <w:color w:val="000000" w:themeColor="text1"/>
        </w:rPr>
        <w:t> </w:t>
      </w:r>
      <w:r w:rsidRPr="001667DB">
        <w:rPr>
          <w:rFonts w:ascii="Times New Roman" w:hAnsi="Times New Roman" w:cs="Times New Roman"/>
          <w:color w:val="000000" w:themeColor="text1"/>
        </w:rPr>
        <w:t xml:space="preserve">podanej w KTKNPiP oraz KTNS.  </w:t>
      </w:r>
    </w:p>
    <w:p w14:paraId="66E18515"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Wielkość ziaren materiału nasypowego stosowanego do budowy korpusu ziemnego  nie powinna przekraczać 200 mm. Dopuszcza się stosowanie materiału zawierającego  kamienie (kawałki) o wymiarach do 500 mm pod warunkiem wypełnienia prz</w:t>
      </w:r>
      <w:r w:rsidR="00DD7B64">
        <w:rPr>
          <w:rFonts w:ascii="Times New Roman" w:hAnsi="Times New Roman" w:cs="Times New Roman"/>
          <w:color w:val="000000" w:themeColor="text1"/>
        </w:rPr>
        <w:t>estrzeni  między nimi gruntem o </w:t>
      </w:r>
      <w:r w:rsidRPr="001667DB">
        <w:rPr>
          <w:rFonts w:ascii="Times New Roman" w:hAnsi="Times New Roman" w:cs="Times New Roman"/>
          <w:color w:val="000000" w:themeColor="text1"/>
        </w:rPr>
        <w:t xml:space="preserve">drobniejszym uziarnieniu według zasad określonych w punkcie </w:t>
      </w:r>
    </w:p>
    <w:p w14:paraId="74BB526A"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5.12.3. STD-02.03.01. „Roboty ziemne. Wykonywanie nasypów”. </w:t>
      </w:r>
    </w:p>
    <w:p w14:paraId="515599E7"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2.3.8.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Zastosowanie materiałów antropogenicznych wymaga jednoznacznego ustalenia  dopuszczalności ich użycia w świetle obowiązujących przepisów prawa. W szczególności konieczne jest spełnienie warunku ograniczonej wymy</w:t>
      </w:r>
      <w:r w:rsidR="00DD7B64">
        <w:rPr>
          <w:rFonts w:ascii="Times New Roman" w:hAnsi="Times New Roman" w:cs="Times New Roman"/>
          <w:color w:val="000000" w:themeColor="text1"/>
        </w:rPr>
        <w:t>walności związków chemicznych i </w:t>
      </w:r>
      <w:r w:rsidRPr="001667DB">
        <w:rPr>
          <w:rFonts w:ascii="Times New Roman" w:hAnsi="Times New Roman" w:cs="Times New Roman"/>
          <w:color w:val="000000" w:themeColor="text1"/>
        </w:rPr>
        <w:t xml:space="preserve">metali ciężkich do wód gruntowych. Wymagania oraz zasady stosowania materiałów antropogenicznych powinny być określone w Projekcie Geotechnicznym, o ile występuje, lub w Dokumentacji Projektowej.  </w:t>
      </w:r>
    </w:p>
    <w:p w14:paraId="5BFE1440"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1" w:name="_Toc61824"/>
      <w:r w:rsidRPr="001667DB">
        <w:rPr>
          <w:color w:val="000000" w:themeColor="text1"/>
          <w:sz w:val="22"/>
          <w:szCs w:val="22"/>
        </w:rPr>
        <w:t xml:space="preserve">Materiały do wykonania warstwy ulepszonego podłoża  </w:t>
      </w:r>
      <w:bookmarkEnd w:id="151"/>
    </w:p>
    <w:p w14:paraId="3D5BB337"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Warstwa ulepszonego podłoża może być wykonana z następujących materiałów: mieszanek niezwiązanych, gruntów lub materiałów antropogenicznych stabilizowanych spoiwem, gruntów niewysadzinowych. </w:t>
      </w:r>
    </w:p>
    <w:p w14:paraId="01F72844"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wykonania warstwy ulepszonego podłoża z mieszanek niezwiązanych należy stosować lokalne materiały. Mieszanki niezwiązane do warstwy ulepszonego podłoża powinny spełniać Wymagania Krajowe przenoszące zapisy normy PN-EN-13285 „Mieszanki niezwiązane. Wymagania” oraz wymagania określone w STdedykowanych mieszankom do ulepszenia podłoża gruntowego. </w:t>
      </w:r>
    </w:p>
    <w:p w14:paraId="01D05FA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wykonania warstwy ulepszonego podłoża z gruntu stabilizowanego spoiwem można  stosować wapno lub/i spoiwa hydrauliczne. Grunty stabilizowane spoiwami do warstwy ulepszonego podłoża powinny spełniać Wymagania Krajowe przenoszące zapisy  z zakresu normy PN-EN 14227-15 oraz wymagania opisane w ST, dedykowanych gruntom stabilizowanym spoiwem hydraulicznym lub wapnem. W STWiORB należy dostosować wymagania do specyfiki procesu wiązania poszczególnych spoiw, co jest szczególnie istotne w przypadku spoiw drogowych. </w:t>
      </w:r>
    </w:p>
    <w:p w14:paraId="31F2E7F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Mieszanki niezwiązane oraz grunty stabilizowane spoiwem mogą zawierać w swoim składzie materiały antropogeniczne. Zawartość materiałów antropogenicznych nie upoważnia do zmniejszenia wymagań w odniesieniu do wykonanej warstwy, wymaga jednak uwzględnienia specyfiki stosowanych materiałów w ustaleniu zakresu badań i ocenie. </w:t>
      </w:r>
    </w:p>
    <w:p w14:paraId="4EBA763F" w14:textId="77777777" w:rsidR="00955A27" w:rsidRPr="001667DB" w:rsidRDefault="00955A27" w:rsidP="00DD7B64">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2.4.5.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Gruntami niewysadzinowymi do warstwy ulepszonego podłoża mogą być grunty  lub materiały antropogeniczne spełniające wymagania opisane w ST, dedykowanych gruntom lub materiałom przeznaczonym do ulepszenia podłoża. </w:t>
      </w:r>
    </w:p>
    <w:p w14:paraId="625740ED"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2" w:name="_Toc61825"/>
      <w:r w:rsidRPr="001667DB">
        <w:rPr>
          <w:color w:val="000000" w:themeColor="text1"/>
          <w:sz w:val="22"/>
          <w:szCs w:val="22"/>
        </w:rPr>
        <w:t xml:space="preserve">Geosyntetyki </w:t>
      </w:r>
      <w:bookmarkEnd w:id="152"/>
    </w:p>
    <w:p w14:paraId="4862AF78"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Właściwości geosyntetyków stosowanych w robotach</w:t>
      </w:r>
      <w:r w:rsidR="00DD7B64">
        <w:rPr>
          <w:rFonts w:ascii="Times New Roman" w:hAnsi="Times New Roman" w:cs="Times New Roman"/>
          <w:color w:val="000000" w:themeColor="text1"/>
        </w:rPr>
        <w:t xml:space="preserve"> ziemnych powinny być zgodne  z </w:t>
      </w:r>
      <w:r w:rsidRPr="001667DB">
        <w:rPr>
          <w:rFonts w:ascii="Times New Roman" w:hAnsi="Times New Roman" w:cs="Times New Roman"/>
          <w:color w:val="000000" w:themeColor="text1"/>
        </w:rPr>
        <w:t xml:space="preserve">wymaganiami normy PN-EN ISO 13251 oraz szczegółowymi wymaganiami określonymi w Dokumentacji Projektowej. </w:t>
      </w:r>
    </w:p>
    <w:p w14:paraId="0CF2739A" w14:textId="77777777" w:rsidR="00955A27" w:rsidRPr="001667DB" w:rsidRDefault="00955A27" w:rsidP="00DD7B64">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3" w:name="_Toc61826"/>
      <w:r w:rsidRPr="001667DB">
        <w:rPr>
          <w:color w:val="000000" w:themeColor="text1"/>
          <w:sz w:val="22"/>
          <w:szCs w:val="22"/>
        </w:rPr>
        <w:t xml:space="preserve">SPRZĘT </w:t>
      </w:r>
      <w:bookmarkEnd w:id="153"/>
    </w:p>
    <w:p w14:paraId="4C4988BA"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4" w:name="_Toc61827"/>
      <w:r w:rsidRPr="001667DB">
        <w:rPr>
          <w:color w:val="000000" w:themeColor="text1"/>
          <w:sz w:val="22"/>
          <w:szCs w:val="22"/>
        </w:rPr>
        <w:t xml:space="preserve">Ogólne wymagania dotyczące sprzętu </w:t>
      </w:r>
      <w:bookmarkEnd w:id="154"/>
    </w:p>
    <w:p w14:paraId="3C0F20B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w:t>
      </w:r>
      <w:r w:rsidR="00DD7B64">
        <w:rPr>
          <w:rFonts w:ascii="Times New Roman" w:hAnsi="Times New Roman" w:cs="Times New Roman"/>
          <w:color w:val="000000" w:themeColor="text1"/>
        </w:rPr>
        <w:t>dotyczące sprzętu podano w STD-</w:t>
      </w:r>
      <w:r w:rsidRPr="001667DB">
        <w:rPr>
          <w:rFonts w:ascii="Times New Roman" w:hAnsi="Times New Roman" w:cs="Times New Roman"/>
          <w:color w:val="000000" w:themeColor="text1"/>
        </w:rPr>
        <w:t xml:space="preserve"> 00.00.00, Wymagania ogólne" punkt 3. </w:t>
      </w:r>
    </w:p>
    <w:p w14:paraId="2B67ABFB"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5" w:name="_Toc61828"/>
      <w:r w:rsidRPr="001667DB">
        <w:rPr>
          <w:color w:val="000000" w:themeColor="text1"/>
          <w:sz w:val="22"/>
          <w:szCs w:val="22"/>
        </w:rPr>
        <w:t xml:space="preserve">Sprzęt do robót ziemnych </w:t>
      </w:r>
      <w:bookmarkEnd w:id="155"/>
    </w:p>
    <w:p w14:paraId="433D944D"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przystępujący do wykonania robót ziemnych powinien wykazać  się możliwością korzystania ze sprzętu zapewniającego wykonanie robót ziemnych zgodnie z Dokumentacją Projektową w ilości i rodzaju gwarantującym wykonanie </w:t>
      </w:r>
      <w:r w:rsidR="00DD7B64">
        <w:rPr>
          <w:rFonts w:ascii="Times New Roman" w:hAnsi="Times New Roman" w:cs="Times New Roman"/>
          <w:color w:val="000000" w:themeColor="text1"/>
        </w:rPr>
        <w:t>robót zgodnie z harmonogramem i </w:t>
      </w:r>
      <w:r w:rsidRPr="001667DB">
        <w:rPr>
          <w:rFonts w:ascii="Times New Roman" w:hAnsi="Times New Roman" w:cs="Times New Roman"/>
          <w:color w:val="000000" w:themeColor="text1"/>
        </w:rPr>
        <w:t xml:space="preserve">terminem zakończenia inwestycji. </w:t>
      </w:r>
    </w:p>
    <w:p w14:paraId="2C6F18D4"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przystępujący do wykonania robót ziemnych powinien wykazać  się możliwością korzystania z następującego sprzętu: </w:t>
      </w:r>
    </w:p>
    <w:p w14:paraId="3D18421A"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odspajania i wydobywania gruntów (narzędzia mechaniczne, młoty pneumatyczne, zrywarki, koparki, koparki do gruntów nawodnionych, ładowarki, wiertarki mechaniczne itp.), </w:t>
      </w:r>
    </w:p>
    <w:p w14:paraId="66ACA50D" w14:textId="77777777" w:rsidR="00955A27" w:rsidRPr="001667DB" w:rsidRDefault="00955A27" w:rsidP="00F5591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jednoczesnego wydobywania i przemieszczania gruntów (spycharki, zgarniarki, równiarki, urządzenia do hydromechanizacji itp.), </w:t>
      </w:r>
    </w:p>
    <w:p w14:paraId="0844DA1D"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do transportu mas ziemnych (samochody wywrotki, samochody skrzyniowe, wozidła, taśmociągi itp.), </w:t>
      </w:r>
    </w:p>
    <w:p w14:paraId="54703DB6"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zagęszczającego (walce, ubijaki, płyty wibracyjne itp.), </w:t>
      </w:r>
    </w:p>
    <w:p w14:paraId="70FC4B47"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ręcznego odspajania gruntów, </w:t>
      </w:r>
    </w:p>
    <w:p w14:paraId="19E0CCAB"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układania geosyntetyków, o ile jest wymagany. </w:t>
      </w:r>
    </w:p>
    <w:p w14:paraId="601888E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przystępujący do wykonania robót w gruntach skalistych powinien wykazać się dodatkowo, możliwością korzystania z następującego sprzętu: </w:t>
      </w:r>
    </w:p>
    <w:p w14:paraId="2849A68B"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sprężarek spalinowych, </w:t>
      </w:r>
    </w:p>
    <w:p w14:paraId="2C86F00C"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młotów mechanicznych, </w:t>
      </w:r>
    </w:p>
    <w:p w14:paraId="4FB3D61F"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zrywarek mechanicznych, </w:t>
      </w:r>
    </w:p>
    <w:p w14:paraId="412A5454"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wiertarek mechanicznych i wiertnic, </w:t>
      </w:r>
    </w:p>
    <w:p w14:paraId="0FF1F808" w14:textId="77777777" w:rsidR="00955A27" w:rsidRPr="001667DB" w:rsidRDefault="00955A27" w:rsidP="00DD7B64">
      <w:pPr>
        <w:numPr>
          <w:ilvl w:val="0"/>
          <w:numId w:val="26"/>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środków do załadunku i transportu gruntu skalistego. </w:t>
      </w:r>
    </w:p>
    <w:p w14:paraId="50C4F265"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dokona wyboru sprzętu do odspajania i transportu materiałów przeznaczonych do wbudowania w nasyp z uwzględnieniem: odległości transportowych, rodzaju i stanu odspajanego gruntu lub materiału antropogenicznego, objętości materiału do przemieszczenia oraz charakterystyki  dróg transportowych (pochylenia, podatność na zmianę stanu). </w:t>
      </w:r>
    </w:p>
    <w:p w14:paraId="2E93DBF8"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Dobór sprzętu zagęszczającego powinien być uzależniony od rodzaju zagęszczanego gruntu oraz zakresu prac. W tablicy 3.1 podano, dla różnych rodzajów gruntów, orientacyjne dane przy doborze podstawowego sprzętu zagęszczającego.  </w:t>
      </w:r>
    </w:p>
    <w:p w14:paraId="796A734F"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zagęszczania gruntów można stosować również inny sprzęt, który pozwoli  na uzyskanie wymaganego zagęszczenia korpusu ziemnego lub podłoża pod nasypami.  Do bieżącej kontroli stanu zagęszczenia dopuszcza się stosowanie walców wibracyjnych wyposażonych w system umożliwiający ciągłą kontrolę stanu zagęszczenia. Wykonawca przedstawi do akceptacji Inżyniera/Inspektora nadzoru sprzęt i metodę, która ma być wykorzystana i wykaże jej przydatność w istniejących warunkach. </w:t>
      </w:r>
    </w:p>
    <w:p w14:paraId="03D6A31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Sprzęt wykorzystywany przez Wykonawcę do prowadzenia robót ziemnych powinien  być sprawny, posiadać aktualne wszelkie przeglądy oraz dokumenty wymagane  do dopuszczenia do użytkowania.  </w:t>
      </w:r>
    </w:p>
    <w:p w14:paraId="5C3ACFAA"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wykonania warstwy ulepszonego podłoża Wykonawca powinien stosować sprzęt  odpowiedni do technologii wykonania ulepszenia, spełniający wymagania, określone w STdotyczącej tych robót. </w:t>
      </w:r>
    </w:p>
    <w:p w14:paraId="573D9CB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3.2.9.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transportu, składowania, przenoszenia i układania geosyntetyków Wykonawca powinien stosować sprzęt i środki nie powodujące uszkodzeń geosyntetyków. </w:t>
      </w:r>
    </w:p>
    <w:p w14:paraId="71B1671A"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3.2.10.</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Sprzęt wykorzystywany do prowadzenia robót ziemnych musi być zatwierdzony  przez Inżyniera/Inspektora nadzoru. </w:t>
      </w:r>
    </w:p>
    <w:p w14:paraId="3DCD35C0" w14:textId="77777777" w:rsidR="00955A27" w:rsidRPr="001667DB" w:rsidRDefault="00955A27" w:rsidP="00DD7B64">
      <w:pPr>
        <w:spacing w:after="120" w:line="360" w:lineRule="auto"/>
        <w:jc w:val="both"/>
        <w:rPr>
          <w:rFonts w:ascii="Times New Roman" w:hAnsi="Times New Roman" w:cs="Times New Roman"/>
          <w:color w:val="000000" w:themeColor="text1"/>
        </w:rPr>
      </w:pPr>
    </w:p>
    <w:p w14:paraId="0493D069" w14:textId="77777777" w:rsidR="00955A27" w:rsidRPr="001667DB" w:rsidRDefault="00955A27" w:rsidP="00DD7B64">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3.1. Orientacyjne dane przy doborze sprzętu zagęszczającego </w:t>
      </w:r>
    </w:p>
    <w:tbl>
      <w:tblPr>
        <w:tblStyle w:val="TableGrid"/>
        <w:tblW w:w="9626" w:type="dxa"/>
        <w:tblInd w:w="14" w:type="dxa"/>
        <w:tblCellMar>
          <w:left w:w="67" w:type="dxa"/>
          <w:right w:w="15" w:type="dxa"/>
        </w:tblCellMar>
        <w:tblLook w:val="04A0" w:firstRow="1" w:lastRow="0" w:firstColumn="1" w:lastColumn="0" w:noHBand="0" w:noVBand="1"/>
      </w:tblPr>
      <w:tblGrid>
        <w:gridCol w:w="2482"/>
        <w:gridCol w:w="1133"/>
        <w:gridCol w:w="766"/>
        <w:gridCol w:w="994"/>
        <w:gridCol w:w="1219"/>
        <w:gridCol w:w="3032"/>
      </w:tblGrid>
      <w:tr w:rsidR="00955A27" w:rsidRPr="001667DB" w14:paraId="4B15B346" w14:textId="77777777" w:rsidTr="001B4B8F">
        <w:trPr>
          <w:trHeight w:val="185"/>
        </w:trPr>
        <w:tc>
          <w:tcPr>
            <w:tcW w:w="2482" w:type="dxa"/>
            <w:vMerge w:val="restart"/>
            <w:tcBorders>
              <w:top w:val="double" w:sz="4" w:space="0" w:color="000000"/>
              <w:left w:val="double" w:sz="4" w:space="0" w:color="000000"/>
              <w:bottom w:val="double" w:sz="4" w:space="0" w:color="000000"/>
              <w:right w:val="single" w:sz="6" w:space="0" w:color="000000"/>
            </w:tcBorders>
            <w:vAlign w:val="center"/>
          </w:tcPr>
          <w:p w14:paraId="35AEEE7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Rodzaje urządzeń zagęszczających </w:t>
            </w:r>
          </w:p>
        </w:tc>
        <w:tc>
          <w:tcPr>
            <w:tcW w:w="4112" w:type="dxa"/>
            <w:gridSpan w:val="4"/>
            <w:tcBorders>
              <w:top w:val="double" w:sz="4" w:space="0" w:color="000000"/>
              <w:left w:val="single" w:sz="6" w:space="0" w:color="000000"/>
              <w:bottom w:val="single" w:sz="6" w:space="0" w:color="000000"/>
              <w:right w:val="single" w:sz="6" w:space="0" w:color="000000"/>
            </w:tcBorders>
            <w:vAlign w:val="center"/>
          </w:tcPr>
          <w:p w14:paraId="12FF060D"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Rodzaje gruntu: </w:t>
            </w:r>
          </w:p>
        </w:tc>
        <w:tc>
          <w:tcPr>
            <w:tcW w:w="3032" w:type="dxa"/>
            <w:vMerge w:val="restart"/>
            <w:tcBorders>
              <w:top w:val="double" w:sz="4" w:space="0" w:color="000000"/>
              <w:left w:val="single" w:sz="6" w:space="0" w:color="000000"/>
              <w:bottom w:val="double" w:sz="4" w:space="0" w:color="000000"/>
              <w:right w:val="double" w:sz="4" w:space="0" w:color="000000"/>
            </w:tcBorders>
            <w:vAlign w:val="center"/>
          </w:tcPr>
          <w:p w14:paraId="5C97EAC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Uwagi o przydatności maszyn </w:t>
            </w:r>
          </w:p>
        </w:tc>
      </w:tr>
      <w:tr w:rsidR="00955A27" w:rsidRPr="001667DB" w14:paraId="2CF51FB8" w14:textId="77777777">
        <w:trPr>
          <w:trHeight w:val="478"/>
        </w:trPr>
        <w:tc>
          <w:tcPr>
            <w:tcW w:w="0" w:type="auto"/>
            <w:vMerge/>
            <w:tcBorders>
              <w:top w:val="nil"/>
              <w:left w:val="double" w:sz="4" w:space="0" w:color="000000"/>
              <w:bottom w:val="nil"/>
              <w:right w:val="single" w:sz="6" w:space="0" w:color="000000"/>
            </w:tcBorders>
          </w:tcPr>
          <w:p w14:paraId="1A8B510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99" w:type="dxa"/>
            <w:gridSpan w:val="2"/>
            <w:tcBorders>
              <w:top w:val="single" w:sz="6" w:space="0" w:color="000000"/>
              <w:left w:val="single" w:sz="6" w:space="0" w:color="000000"/>
              <w:bottom w:val="single" w:sz="6" w:space="0" w:color="000000"/>
              <w:right w:val="single" w:sz="6" w:space="0" w:color="000000"/>
            </w:tcBorders>
            <w:vAlign w:val="center"/>
          </w:tcPr>
          <w:p w14:paraId="6DAF85A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piaski, żwiry, pospółki </w:t>
            </w:r>
          </w:p>
        </w:tc>
        <w:tc>
          <w:tcPr>
            <w:tcW w:w="2213" w:type="dxa"/>
            <w:gridSpan w:val="2"/>
            <w:tcBorders>
              <w:top w:val="single" w:sz="6" w:space="0" w:color="000000"/>
              <w:left w:val="single" w:sz="6" w:space="0" w:color="000000"/>
              <w:bottom w:val="single" w:sz="6" w:space="0" w:color="000000"/>
              <w:right w:val="single" w:sz="6" w:space="0" w:color="000000"/>
            </w:tcBorders>
            <w:vAlign w:val="center"/>
          </w:tcPr>
          <w:p w14:paraId="01A64B68"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pyły gliny, iły </w:t>
            </w:r>
          </w:p>
        </w:tc>
        <w:tc>
          <w:tcPr>
            <w:tcW w:w="0" w:type="auto"/>
            <w:vMerge/>
            <w:tcBorders>
              <w:top w:val="nil"/>
              <w:left w:val="single" w:sz="6" w:space="0" w:color="000000"/>
              <w:bottom w:val="nil"/>
              <w:right w:val="double" w:sz="4" w:space="0" w:color="000000"/>
            </w:tcBorders>
          </w:tcPr>
          <w:p w14:paraId="63A7870E"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4A7567ED" w14:textId="77777777">
        <w:trPr>
          <w:trHeight w:val="1054"/>
        </w:trPr>
        <w:tc>
          <w:tcPr>
            <w:tcW w:w="0" w:type="auto"/>
            <w:vMerge/>
            <w:tcBorders>
              <w:top w:val="nil"/>
              <w:left w:val="double" w:sz="4" w:space="0" w:color="000000"/>
              <w:bottom w:val="double" w:sz="4" w:space="0" w:color="000000"/>
              <w:right w:val="single" w:sz="6" w:space="0" w:color="000000"/>
            </w:tcBorders>
          </w:tcPr>
          <w:p w14:paraId="52CEAFE8"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133" w:type="dxa"/>
            <w:tcBorders>
              <w:top w:val="single" w:sz="6" w:space="0" w:color="000000"/>
              <w:left w:val="single" w:sz="6" w:space="0" w:color="000000"/>
              <w:bottom w:val="double" w:sz="4" w:space="0" w:color="000000"/>
              <w:right w:val="single" w:sz="6" w:space="0" w:color="000000"/>
            </w:tcBorders>
            <w:vAlign w:val="center"/>
          </w:tcPr>
          <w:p w14:paraId="5E3F3DDB" w14:textId="77777777" w:rsidR="00955A27" w:rsidRPr="001667DB" w:rsidRDefault="00955A27" w:rsidP="00955A27">
            <w:pPr>
              <w:spacing w:after="120" w:line="360" w:lineRule="auto"/>
              <w:ind w:right="5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w:t>
            </w:r>
          </w:p>
          <w:p w14:paraId="3B34EDF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warstwy </w:t>
            </w:r>
          </w:p>
          <w:p w14:paraId="789952A0" w14:textId="77777777" w:rsidR="00955A27" w:rsidRPr="001667DB" w:rsidRDefault="00955A27" w:rsidP="00955A27">
            <w:pPr>
              <w:spacing w:after="120" w:line="360" w:lineRule="auto"/>
              <w:ind w:right="5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m ] </w:t>
            </w:r>
          </w:p>
        </w:tc>
        <w:tc>
          <w:tcPr>
            <w:tcW w:w="766" w:type="dxa"/>
            <w:tcBorders>
              <w:top w:val="single" w:sz="6" w:space="0" w:color="000000"/>
              <w:left w:val="single" w:sz="6" w:space="0" w:color="000000"/>
              <w:bottom w:val="double" w:sz="4" w:space="0" w:color="000000"/>
              <w:right w:val="single" w:sz="6" w:space="0" w:color="000000"/>
            </w:tcBorders>
            <w:vAlign w:val="center"/>
          </w:tcPr>
          <w:p w14:paraId="2D03ABAD" w14:textId="77777777" w:rsidR="00955A27" w:rsidRPr="001667DB" w:rsidRDefault="00955A27" w:rsidP="00955A27">
            <w:pPr>
              <w:spacing w:after="120" w:line="360" w:lineRule="auto"/>
              <w:ind w:right="5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liczba </w:t>
            </w:r>
          </w:p>
          <w:p w14:paraId="00DDE6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przejść n ***</w:t>
            </w:r>
            <w:r w:rsidRPr="001667DB">
              <w:rPr>
                <w:rFonts w:ascii="Times New Roman" w:hAnsi="Times New Roman" w:cs="Times New Roman"/>
                <w:color w:val="000000" w:themeColor="text1"/>
                <w:vertAlign w:val="superscript"/>
              </w:rPr>
              <w:t xml:space="preserve"> </w:t>
            </w:r>
          </w:p>
        </w:tc>
        <w:tc>
          <w:tcPr>
            <w:tcW w:w="994" w:type="dxa"/>
            <w:tcBorders>
              <w:top w:val="single" w:sz="6" w:space="0" w:color="000000"/>
              <w:left w:val="single" w:sz="6" w:space="0" w:color="000000"/>
              <w:bottom w:val="double" w:sz="4" w:space="0" w:color="000000"/>
              <w:right w:val="single" w:sz="6" w:space="0" w:color="000000"/>
            </w:tcBorders>
            <w:vAlign w:val="center"/>
          </w:tcPr>
          <w:p w14:paraId="5BEF608A"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w:t>
            </w:r>
          </w:p>
          <w:p w14:paraId="09577251" w14:textId="77777777" w:rsidR="00955A27" w:rsidRPr="001667DB" w:rsidRDefault="00955A27" w:rsidP="00955A27">
            <w:pPr>
              <w:spacing w:after="120" w:line="360" w:lineRule="auto"/>
              <w:ind w:left="96"/>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warstwy </w:t>
            </w:r>
          </w:p>
          <w:p w14:paraId="7AC946BE" w14:textId="77777777" w:rsidR="00955A27" w:rsidRPr="001667DB" w:rsidRDefault="00955A27" w:rsidP="00955A27">
            <w:pPr>
              <w:spacing w:after="120" w:line="360" w:lineRule="auto"/>
              <w:ind w:left="41"/>
              <w:rPr>
                <w:rFonts w:ascii="Times New Roman" w:hAnsi="Times New Roman" w:cs="Times New Roman"/>
                <w:color w:val="000000" w:themeColor="text1"/>
              </w:rPr>
            </w:pPr>
            <w:r w:rsidRPr="001667DB">
              <w:rPr>
                <w:rFonts w:ascii="Times New Roman" w:hAnsi="Times New Roman" w:cs="Times New Roman"/>
                <w:color w:val="000000" w:themeColor="text1"/>
              </w:rPr>
              <w:t xml:space="preserve">[ m ] *** </w:t>
            </w:r>
          </w:p>
        </w:tc>
        <w:tc>
          <w:tcPr>
            <w:tcW w:w="1219" w:type="dxa"/>
            <w:tcBorders>
              <w:top w:val="single" w:sz="6" w:space="0" w:color="000000"/>
              <w:left w:val="single" w:sz="6" w:space="0" w:color="000000"/>
              <w:bottom w:val="double" w:sz="4" w:space="0" w:color="000000"/>
              <w:right w:val="single" w:sz="6" w:space="0" w:color="000000"/>
            </w:tcBorders>
            <w:vAlign w:val="center"/>
          </w:tcPr>
          <w:p w14:paraId="16ABE5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liczba przejść n *** </w:t>
            </w:r>
          </w:p>
        </w:tc>
        <w:tc>
          <w:tcPr>
            <w:tcW w:w="0" w:type="auto"/>
            <w:vMerge/>
            <w:tcBorders>
              <w:top w:val="nil"/>
              <w:left w:val="single" w:sz="6" w:space="0" w:color="000000"/>
              <w:bottom w:val="double" w:sz="4" w:space="0" w:color="000000"/>
              <w:right w:val="double" w:sz="4" w:space="0" w:color="000000"/>
            </w:tcBorders>
          </w:tcPr>
          <w:p w14:paraId="5B9050B7"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171290B5" w14:textId="77777777" w:rsidTr="001B4B8F">
        <w:trPr>
          <w:trHeight w:val="1178"/>
        </w:trPr>
        <w:tc>
          <w:tcPr>
            <w:tcW w:w="2482" w:type="dxa"/>
            <w:tcBorders>
              <w:top w:val="double" w:sz="4" w:space="0" w:color="000000"/>
              <w:left w:val="double" w:sz="4" w:space="0" w:color="000000"/>
              <w:bottom w:val="single" w:sz="6" w:space="0" w:color="000000"/>
              <w:right w:val="single" w:sz="6" w:space="0" w:color="000000"/>
            </w:tcBorders>
            <w:vAlign w:val="center"/>
          </w:tcPr>
          <w:p w14:paraId="1520DB12"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statyczne gładkie * </w:t>
            </w:r>
          </w:p>
        </w:tc>
        <w:tc>
          <w:tcPr>
            <w:tcW w:w="1133" w:type="dxa"/>
            <w:tcBorders>
              <w:top w:val="double" w:sz="4" w:space="0" w:color="000000"/>
              <w:left w:val="single" w:sz="6" w:space="0" w:color="000000"/>
              <w:bottom w:val="single" w:sz="6" w:space="0" w:color="000000"/>
              <w:right w:val="single" w:sz="6" w:space="0" w:color="000000"/>
            </w:tcBorders>
            <w:vAlign w:val="center"/>
          </w:tcPr>
          <w:p w14:paraId="28811190"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0,1 do 0,2 </w:t>
            </w:r>
          </w:p>
        </w:tc>
        <w:tc>
          <w:tcPr>
            <w:tcW w:w="766" w:type="dxa"/>
            <w:tcBorders>
              <w:top w:val="double" w:sz="4" w:space="0" w:color="000000"/>
              <w:left w:val="single" w:sz="6" w:space="0" w:color="000000"/>
              <w:bottom w:val="single" w:sz="6" w:space="0" w:color="000000"/>
              <w:right w:val="single" w:sz="6" w:space="0" w:color="000000"/>
            </w:tcBorders>
            <w:vAlign w:val="center"/>
          </w:tcPr>
          <w:p w14:paraId="7A8B9AD9" w14:textId="77777777" w:rsidR="00955A27" w:rsidRPr="001667DB" w:rsidRDefault="00955A27" w:rsidP="00955A27">
            <w:pPr>
              <w:spacing w:after="120" w:line="360" w:lineRule="auto"/>
              <w:ind w:left="58"/>
              <w:rPr>
                <w:rFonts w:ascii="Times New Roman" w:hAnsi="Times New Roman" w:cs="Times New Roman"/>
                <w:color w:val="000000" w:themeColor="text1"/>
              </w:rPr>
            </w:pPr>
            <w:r w:rsidRPr="001667DB">
              <w:rPr>
                <w:rFonts w:ascii="Times New Roman" w:hAnsi="Times New Roman" w:cs="Times New Roman"/>
                <w:color w:val="000000" w:themeColor="text1"/>
              </w:rPr>
              <w:t xml:space="preserve">4 do 8 </w:t>
            </w:r>
          </w:p>
        </w:tc>
        <w:tc>
          <w:tcPr>
            <w:tcW w:w="994" w:type="dxa"/>
            <w:tcBorders>
              <w:top w:val="double" w:sz="4" w:space="0" w:color="000000"/>
              <w:left w:val="single" w:sz="6" w:space="0" w:color="000000"/>
              <w:bottom w:val="single" w:sz="6" w:space="0" w:color="000000"/>
              <w:right w:val="single" w:sz="6" w:space="0" w:color="000000"/>
            </w:tcBorders>
            <w:vAlign w:val="center"/>
          </w:tcPr>
          <w:p w14:paraId="58C0795B"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0,1 do 0,2 </w:t>
            </w:r>
          </w:p>
        </w:tc>
        <w:tc>
          <w:tcPr>
            <w:tcW w:w="1219" w:type="dxa"/>
            <w:tcBorders>
              <w:top w:val="double" w:sz="4" w:space="0" w:color="000000"/>
              <w:left w:val="single" w:sz="6" w:space="0" w:color="000000"/>
              <w:bottom w:val="single" w:sz="6" w:space="0" w:color="000000"/>
              <w:right w:val="single" w:sz="6" w:space="0" w:color="000000"/>
            </w:tcBorders>
            <w:vAlign w:val="center"/>
          </w:tcPr>
          <w:p w14:paraId="6AFC8214"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do 8 </w:t>
            </w:r>
          </w:p>
        </w:tc>
        <w:tc>
          <w:tcPr>
            <w:tcW w:w="3032" w:type="dxa"/>
            <w:tcBorders>
              <w:top w:val="double" w:sz="4" w:space="0" w:color="000000"/>
              <w:left w:val="single" w:sz="6" w:space="0" w:color="000000"/>
              <w:bottom w:val="single" w:sz="6" w:space="0" w:color="000000"/>
              <w:right w:val="double" w:sz="4" w:space="0" w:color="000000"/>
            </w:tcBorders>
            <w:vAlign w:val="center"/>
          </w:tcPr>
          <w:p w14:paraId="74173A4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zagęszczania górnych warstw podłoża. Zalecane do codziennego wygładzania (przywałowania) </w:t>
            </w:r>
          </w:p>
          <w:p w14:paraId="3A2420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gruntów spoistych w miejscu pobrania i w nasypie </w:t>
            </w:r>
          </w:p>
        </w:tc>
      </w:tr>
      <w:tr w:rsidR="00955A27" w:rsidRPr="001667DB" w14:paraId="7C42F6BD" w14:textId="77777777">
        <w:trPr>
          <w:trHeight w:val="701"/>
        </w:trPr>
        <w:tc>
          <w:tcPr>
            <w:tcW w:w="2482" w:type="dxa"/>
            <w:tcBorders>
              <w:top w:val="single" w:sz="6" w:space="0" w:color="000000"/>
              <w:left w:val="double" w:sz="4" w:space="0" w:color="000000"/>
              <w:bottom w:val="single" w:sz="6" w:space="0" w:color="000000"/>
              <w:right w:val="single" w:sz="6" w:space="0" w:color="000000"/>
            </w:tcBorders>
            <w:vAlign w:val="center"/>
          </w:tcPr>
          <w:p w14:paraId="3E4640D4"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statyczne okołkowane </w:t>
            </w:r>
          </w:p>
          <w:p w14:paraId="2831CD06"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1133" w:type="dxa"/>
            <w:tcBorders>
              <w:top w:val="single" w:sz="6" w:space="0" w:color="000000"/>
              <w:left w:val="single" w:sz="6" w:space="0" w:color="000000"/>
              <w:bottom w:val="single" w:sz="6" w:space="0" w:color="000000"/>
              <w:right w:val="single" w:sz="6" w:space="0" w:color="000000"/>
            </w:tcBorders>
            <w:vAlign w:val="center"/>
          </w:tcPr>
          <w:p w14:paraId="19932803"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766" w:type="dxa"/>
            <w:tcBorders>
              <w:top w:val="single" w:sz="6" w:space="0" w:color="000000"/>
              <w:left w:val="single" w:sz="6" w:space="0" w:color="000000"/>
              <w:bottom w:val="single" w:sz="6" w:space="0" w:color="000000"/>
              <w:right w:val="single" w:sz="6" w:space="0" w:color="000000"/>
            </w:tcBorders>
            <w:vAlign w:val="center"/>
          </w:tcPr>
          <w:p w14:paraId="3D72C3D8" w14:textId="77777777" w:rsidR="00955A27" w:rsidRPr="001667DB" w:rsidRDefault="00955A27" w:rsidP="00955A27">
            <w:pPr>
              <w:spacing w:after="120" w:line="360" w:lineRule="auto"/>
              <w:ind w:right="5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994" w:type="dxa"/>
            <w:tcBorders>
              <w:top w:val="single" w:sz="6" w:space="0" w:color="000000"/>
              <w:left w:val="single" w:sz="6" w:space="0" w:color="000000"/>
              <w:bottom w:val="single" w:sz="6" w:space="0" w:color="000000"/>
              <w:right w:val="single" w:sz="6" w:space="0" w:color="000000"/>
            </w:tcBorders>
            <w:vAlign w:val="center"/>
          </w:tcPr>
          <w:p w14:paraId="76D01D9E"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0,3 </w:t>
            </w:r>
          </w:p>
        </w:tc>
        <w:tc>
          <w:tcPr>
            <w:tcW w:w="1219" w:type="dxa"/>
            <w:tcBorders>
              <w:top w:val="single" w:sz="6" w:space="0" w:color="000000"/>
              <w:left w:val="single" w:sz="6" w:space="0" w:color="000000"/>
              <w:bottom w:val="single" w:sz="6" w:space="0" w:color="000000"/>
              <w:right w:val="single" w:sz="6" w:space="0" w:color="000000"/>
            </w:tcBorders>
            <w:vAlign w:val="center"/>
          </w:tcPr>
          <w:p w14:paraId="290D22AC"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 do 12 </w:t>
            </w:r>
          </w:p>
        </w:tc>
        <w:tc>
          <w:tcPr>
            <w:tcW w:w="3032" w:type="dxa"/>
            <w:tcBorders>
              <w:top w:val="single" w:sz="6" w:space="0" w:color="000000"/>
              <w:left w:val="single" w:sz="6" w:space="0" w:color="000000"/>
              <w:bottom w:val="single" w:sz="6" w:space="0" w:color="000000"/>
              <w:right w:val="double" w:sz="4" w:space="0" w:color="000000"/>
            </w:tcBorders>
            <w:vAlign w:val="center"/>
          </w:tcPr>
          <w:p w14:paraId="77F7E6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nadają się do gruntów nawodnionych </w:t>
            </w:r>
          </w:p>
        </w:tc>
      </w:tr>
      <w:tr w:rsidR="00955A27" w:rsidRPr="001667DB" w14:paraId="467C201E" w14:textId="77777777">
        <w:trPr>
          <w:trHeight w:val="703"/>
        </w:trPr>
        <w:tc>
          <w:tcPr>
            <w:tcW w:w="2482" w:type="dxa"/>
            <w:tcBorders>
              <w:top w:val="single" w:sz="6" w:space="0" w:color="000000"/>
              <w:left w:val="double" w:sz="4" w:space="0" w:color="000000"/>
              <w:bottom w:val="single" w:sz="6" w:space="0" w:color="000000"/>
              <w:right w:val="single" w:sz="6" w:space="0" w:color="000000"/>
            </w:tcBorders>
            <w:vAlign w:val="center"/>
          </w:tcPr>
          <w:p w14:paraId="3000B090"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statyczne ogumione * </w:t>
            </w:r>
          </w:p>
        </w:tc>
        <w:tc>
          <w:tcPr>
            <w:tcW w:w="1133" w:type="dxa"/>
            <w:tcBorders>
              <w:top w:val="single" w:sz="6" w:space="0" w:color="000000"/>
              <w:left w:val="single" w:sz="6" w:space="0" w:color="000000"/>
              <w:bottom w:val="single" w:sz="6" w:space="0" w:color="000000"/>
              <w:right w:val="single" w:sz="6" w:space="0" w:color="000000"/>
            </w:tcBorders>
            <w:vAlign w:val="center"/>
          </w:tcPr>
          <w:p w14:paraId="2582608D"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0,5 </w:t>
            </w:r>
          </w:p>
        </w:tc>
        <w:tc>
          <w:tcPr>
            <w:tcW w:w="766" w:type="dxa"/>
            <w:tcBorders>
              <w:top w:val="single" w:sz="6" w:space="0" w:color="000000"/>
              <w:left w:val="single" w:sz="6" w:space="0" w:color="000000"/>
              <w:bottom w:val="single" w:sz="6" w:space="0" w:color="000000"/>
              <w:right w:val="single" w:sz="6" w:space="0" w:color="000000"/>
            </w:tcBorders>
            <w:vAlign w:val="center"/>
          </w:tcPr>
          <w:p w14:paraId="15BECBB4" w14:textId="77777777" w:rsidR="00955A27" w:rsidRPr="001667DB" w:rsidRDefault="00955A27" w:rsidP="00955A27">
            <w:pPr>
              <w:spacing w:after="120" w:line="360" w:lineRule="auto"/>
              <w:ind w:left="58"/>
              <w:rPr>
                <w:rFonts w:ascii="Times New Roman" w:hAnsi="Times New Roman" w:cs="Times New Roman"/>
                <w:color w:val="000000" w:themeColor="text1"/>
              </w:rPr>
            </w:pPr>
            <w:r w:rsidRPr="001667DB">
              <w:rPr>
                <w:rFonts w:ascii="Times New Roman" w:hAnsi="Times New Roman" w:cs="Times New Roman"/>
                <w:color w:val="000000" w:themeColor="text1"/>
              </w:rPr>
              <w:t xml:space="preserve">6 do 8 </w:t>
            </w:r>
          </w:p>
        </w:tc>
        <w:tc>
          <w:tcPr>
            <w:tcW w:w="994" w:type="dxa"/>
            <w:tcBorders>
              <w:top w:val="single" w:sz="6" w:space="0" w:color="000000"/>
              <w:left w:val="single" w:sz="6" w:space="0" w:color="000000"/>
              <w:bottom w:val="single" w:sz="6" w:space="0" w:color="000000"/>
              <w:right w:val="single" w:sz="6" w:space="0" w:color="000000"/>
            </w:tcBorders>
            <w:vAlign w:val="center"/>
          </w:tcPr>
          <w:p w14:paraId="539980FF"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0,4 </w:t>
            </w:r>
          </w:p>
        </w:tc>
        <w:tc>
          <w:tcPr>
            <w:tcW w:w="1219" w:type="dxa"/>
            <w:tcBorders>
              <w:top w:val="single" w:sz="6" w:space="0" w:color="000000"/>
              <w:left w:val="single" w:sz="6" w:space="0" w:color="000000"/>
              <w:bottom w:val="single" w:sz="6" w:space="0" w:color="000000"/>
              <w:right w:val="single" w:sz="6" w:space="0" w:color="000000"/>
            </w:tcBorders>
            <w:vAlign w:val="center"/>
          </w:tcPr>
          <w:p w14:paraId="42F690DA"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do 10 </w:t>
            </w:r>
          </w:p>
        </w:tc>
        <w:tc>
          <w:tcPr>
            <w:tcW w:w="3032" w:type="dxa"/>
            <w:tcBorders>
              <w:top w:val="single" w:sz="6" w:space="0" w:color="000000"/>
              <w:left w:val="single" w:sz="6" w:space="0" w:color="000000"/>
              <w:bottom w:val="single" w:sz="6" w:space="0" w:color="000000"/>
              <w:right w:val="double" w:sz="4" w:space="0" w:color="000000"/>
            </w:tcBorders>
            <w:vAlign w:val="center"/>
          </w:tcPr>
          <w:p w14:paraId="081FC95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Mało przydatne w gruntach spoistych. </w:t>
            </w:r>
          </w:p>
        </w:tc>
      </w:tr>
      <w:tr w:rsidR="00955A27" w:rsidRPr="001667DB" w14:paraId="34544EA0" w14:textId="77777777">
        <w:trPr>
          <w:trHeight w:val="701"/>
        </w:trPr>
        <w:tc>
          <w:tcPr>
            <w:tcW w:w="2482" w:type="dxa"/>
            <w:tcBorders>
              <w:top w:val="single" w:sz="6" w:space="0" w:color="000000"/>
              <w:left w:val="double" w:sz="4" w:space="0" w:color="000000"/>
              <w:bottom w:val="single" w:sz="6" w:space="0" w:color="000000"/>
              <w:right w:val="single" w:sz="6" w:space="0" w:color="000000"/>
            </w:tcBorders>
            <w:vAlign w:val="center"/>
          </w:tcPr>
          <w:p w14:paraId="22E8EF00"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wibracyjne gładkie ** </w:t>
            </w:r>
          </w:p>
        </w:tc>
        <w:tc>
          <w:tcPr>
            <w:tcW w:w="1133" w:type="dxa"/>
            <w:tcBorders>
              <w:top w:val="single" w:sz="6" w:space="0" w:color="000000"/>
              <w:left w:val="single" w:sz="6" w:space="0" w:color="000000"/>
              <w:bottom w:val="single" w:sz="6" w:space="0" w:color="000000"/>
              <w:right w:val="single" w:sz="6" w:space="0" w:color="000000"/>
            </w:tcBorders>
            <w:vAlign w:val="center"/>
          </w:tcPr>
          <w:p w14:paraId="5D258D25"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0,4 do 0,7 </w:t>
            </w:r>
          </w:p>
        </w:tc>
        <w:tc>
          <w:tcPr>
            <w:tcW w:w="766" w:type="dxa"/>
            <w:tcBorders>
              <w:top w:val="single" w:sz="6" w:space="0" w:color="000000"/>
              <w:left w:val="single" w:sz="6" w:space="0" w:color="000000"/>
              <w:bottom w:val="single" w:sz="6" w:space="0" w:color="000000"/>
              <w:right w:val="single" w:sz="6" w:space="0" w:color="000000"/>
            </w:tcBorders>
            <w:vAlign w:val="center"/>
          </w:tcPr>
          <w:p w14:paraId="04A49C7C" w14:textId="77777777" w:rsidR="00955A27" w:rsidRPr="001667DB" w:rsidRDefault="00955A27" w:rsidP="00955A27">
            <w:pPr>
              <w:spacing w:after="120" w:line="360" w:lineRule="auto"/>
              <w:ind w:left="58"/>
              <w:rPr>
                <w:rFonts w:ascii="Times New Roman" w:hAnsi="Times New Roman" w:cs="Times New Roman"/>
                <w:color w:val="000000" w:themeColor="text1"/>
              </w:rPr>
            </w:pPr>
            <w:r w:rsidRPr="001667DB">
              <w:rPr>
                <w:rFonts w:ascii="Times New Roman" w:hAnsi="Times New Roman" w:cs="Times New Roman"/>
                <w:color w:val="000000" w:themeColor="text1"/>
              </w:rPr>
              <w:t xml:space="preserve">4 do 8 </w:t>
            </w:r>
          </w:p>
        </w:tc>
        <w:tc>
          <w:tcPr>
            <w:tcW w:w="994" w:type="dxa"/>
            <w:tcBorders>
              <w:top w:val="single" w:sz="6" w:space="0" w:color="000000"/>
              <w:left w:val="single" w:sz="6" w:space="0" w:color="000000"/>
              <w:bottom w:val="single" w:sz="6" w:space="0" w:color="000000"/>
              <w:right w:val="single" w:sz="6" w:space="0" w:color="000000"/>
            </w:tcBorders>
            <w:vAlign w:val="center"/>
          </w:tcPr>
          <w:p w14:paraId="3A1404EF"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0,4 </w:t>
            </w:r>
          </w:p>
        </w:tc>
        <w:tc>
          <w:tcPr>
            <w:tcW w:w="1219" w:type="dxa"/>
            <w:tcBorders>
              <w:top w:val="single" w:sz="6" w:space="0" w:color="000000"/>
              <w:left w:val="single" w:sz="6" w:space="0" w:color="000000"/>
              <w:bottom w:val="single" w:sz="6" w:space="0" w:color="000000"/>
              <w:right w:val="single" w:sz="6" w:space="0" w:color="000000"/>
            </w:tcBorders>
            <w:vAlign w:val="center"/>
          </w:tcPr>
          <w:p w14:paraId="2D0E0E08"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do 4 </w:t>
            </w:r>
          </w:p>
        </w:tc>
        <w:tc>
          <w:tcPr>
            <w:tcW w:w="3032" w:type="dxa"/>
            <w:tcBorders>
              <w:top w:val="single" w:sz="6" w:space="0" w:color="000000"/>
              <w:left w:val="single" w:sz="6" w:space="0" w:color="000000"/>
              <w:bottom w:val="single" w:sz="6" w:space="0" w:color="000000"/>
              <w:right w:val="double" w:sz="4" w:space="0" w:color="000000"/>
            </w:tcBorders>
            <w:vAlign w:val="center"/>
          </w:tcPr>
          <w:p w14:paraId="0F3D0E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gruntów spoistych przydatne są walce średnie i ciężkie. </w:t>
            </w:r>
          </w:p>
        </w:tc>
      </w:tr>
      <w:tr w:rsidR="00955A27" w:rsidRPr="001667DB" w14:paraId="226AEC25" w14:textId="77777777">
        <w:trPr>
          <w:trHeight w:val="926"/>
        </w:trPr>
        <w:tc>
          <w:tcPr>
            <w:tcW w:w="2482" w:type="dxa"/>
            <w:tcBorders>
              <w:top w:val="single" w:sz="6" w:space="0" w:color="000000"/>
              <w:left w:val="double" w:sz="4" w:space="0" w:color="000000"/>
              <w:bottom w:val="single" w:sz="6" w:space="0" w:color="000000"/>
              <w:right w:val="single" w:sz="6" w:space="0" w:color="000000"/>
            </w:tcBorders>
            <w:vAlign w:val="center"/>
          </w:tcPr>
          <w:p w14:paraId="215917E9" w14:textId="77777777" w:rsidR="00955A27" w:rsidRPr="001667DB" w:rsidRDefault="00955A27" w:rsidP="00955A27">
            <w:pPr>
              <w:spacing w:after="120" w:line="360" w:lineRule="auto"/>
              <w:ind w:left="3"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wibracyjne okołkowane ** </w:t>
            </w:r>
          </w:p>
        </w:tc>
        <w:tc>
          <w:tcPr>
            <w:tcW w:w="1133" w:type="dxa"/>
            <w:tcBorders>
              <w:top w:val="single" w:sz="6" w:space="0" w:color="000000"/>
              <w:left w:val="single" w:sz="6" w:space="0" w:color="000000"/>
              <w:bottom w:val="single" w:sz="6" w:space="0" w:color="000000"/>
              <w:right w:val="single" w:sz="6" w:space="0" w:color="000000"/>
            </w:tcBorders>
            <w:vAlign w:val="center"/>
          </w:tcPr>
          <w:p w14:paraId="71F6F991"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do 0,6 </w:t>
            </w:r>
          </w:p>
        </w:tc>
        <w:tc>
          <w:tcPr>
            <w:tcW w:w="766" w:type="dxa"/>
            <w:tcBorders>
              <w:top w:val="single" w:sz="6" w:space="0" w:color="000000"/>
              <w:left w:val="single" w:sz="6" w:space="0" w:color="000000"/>
              <w:bottom w:val="single" w:sz="6" w:space="0" w:color="000000"/>
              <w:right w:val="single" w:sz="6" w:space="0" w:color="000000"/>
            </w:tcBorders>
            <w:vAlign w:val="center"/>
          </w:tcPr>
          <w:p w14:paraId="2AD12B29" w14:textId="77777777" w:rsidR="00955A27" w:rsidRPr="001667DB" w:rsidRDefault="00955A27" w:rsidP="00955A27">
            <w:pPr>
              <w:spacing w:after="120" w:line="360" w:lineRule="auto"/>
              <w:ind w:left="58"/>
              <w:rPr>
                <w:rFonts w:ascii="Times New Roman" w:hAnsi="Times New Roman" w:cs="Times New Roman"/>
                <w:color w:val="000000" w:themeColor="text1"/>
              </w:rPr>
            </w:pPr>
            <w:r w:rsidRPr="001667DB">
              <w:rPr>
                <w:rFonts w:ascii="Times New Roman" w:hAnsi="Times New Roman" w:cs="Times New Roman"/>
                <w:color w:val="000000" w:themeColor="text1"/>
              </w:rPr>
              <w:t xml:space="preserve">3 do 6 </w:t>
            </w:r>
          </w:p>
        </w:tc>
        <w:tc>
          <w:tcPr>
            <w:tcW w:w="994" w:type="dxa"/>
            <w:tcBorders>
              <w:top w:val="single" w:sz="6" w:space="0" w:color="000000"/>
              <w:left w:val="single" w:sz="6" w:space="0" w:color="000000"/>
              <w:bottom w:val="single" w:sz="6" w:space="0" w:color="000000"/>
              <w:right w:val="single" w:sz="6" w:space="0" w:color="000000"/>
            </w:tcBorders>
            <w:vAlign w:val="center"/>
          </w:tcPr>
          <w:p w14:paraId="3571848F"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0,4 </w:t>
            </w:r>
          </w:p>
        </w:tc>
        <w:tc>
          <w:tcPr>
            <w:tcW w:w="1219" w:type="dxa"/>
            <w:tcBorders>
              <w:top w:val="single" w:sz="6" w:space="0" w:color="000000"/>
              <w:left w:val="single" w:sz="6" w:space="0" w:color="000000"/>
              <w:bottom w:val="single" w:sz="6" w:space="0" w:color="000000"/>
              <w:right w:val="single" w:sz="6" w:space="0" w:color="000000"/>
            </w:tcBorders>
            <w:vAlign w:val="center"/>
          </w:tcPr>
          <w:p w14:paraId="5EF7326C"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do 10 </w:t>
            </w:r>
          </w:p>
        </w:tc>
        <w:tc>
          <w:tcPr>
            <w:tcW w:w="3032" w:type="dxa"/>
            <w:tcBorders>
              <w:top w:val="single" w:sz="6" w:space="0" w:color="000000"/>
              <w:left w:val="single" w:sz="6" w:space="0" w:color="000000"/>
              <w:bottom w:val="single" w:sz="6" w:space="0" w:color="000000"/>
              <w:right w:val="double" w:sz="4" w:space="0" w:color="000000"/>
            </w:tcBorders>
            <w:vAlign w:val="center"/>
          </w:tcPr>
          <w:p w14:paraId="4C56363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Zalecane do piasków pylastych i gliniastych, pospółek gliniastych i glin piaszczystych. </w:t>
            </w:r>
          </w:p>
        </w:tc>
      </w:tr>
      <w:tr w:rsidR="00955A27" w:rsidRPr="001667DB" w14:paraId="23002167" w14:textId="77777777">
        <w:trPr>
          <w:trHeight w:val="704"/>
        </w:trPr>
        <w:tc>
          <w:tcPr>
            <w:tcW w:w="2482" w:type="dxa"/>
            <w:tcBorders>
              <w:top w:val="single" w:sz="6" w:space="0" w:color="000000"/>
              <w:left w:val="double" w:sz="4" w:space="0" w:color="000000"/>
              <w:bottom w:val="single" w:sz="6" w:space="0" w:color="000000"/>
              <w:right w:val="single" w:sz="6" w:space="0" w:color="000000"/>
            </w:tcBorders>
            <w:vAlign w:val="center"/>
          </w:tcPr>
          <w:p w14:paraId="7AF20D32"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Zagęszczarki wibracyjne ** </w:t>
            </w:r>
          </w:p>
        </w:tc>
        <w:tc>
          <w:tcPr>
            <w:tcW w:w="1133" w:type="dxa"/>
            <w:tcBorders>
              <w:top w:val="single" w:sz="6" w:space="0" w:color="000000"/>
              <w:left w:val="single" w:sz="6" w:space="0" w:color="000000"/>
              <w:bottom w:val="single" w:sz="6" w:space="0" w:color="000000"/>
              <w:right w:val="single" w:sz="6" w:space="0" w:color="000000"/>
            </w:tcBorders>
            <w:vAlign w:val="center"/>
          </w:tcPr>
          <w:p w14:paraId="32F13B7D"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do 0,5 </w:t>
            </w:r>
          </w:p>
        </w:tc>
        <w:tc>
          <w:tcPr>
            <w:tcW w:w="766" w:type="dxa"/>
            <w:tcBorders>
              <w:top w:val="single" w:sz="6" w:space="0" w:color="000000"/>
              <w:left w:val="single" w:sz="6" w:space="0" w:color="000000"/>
              <w:bottom w:val="single" w:sz="6" w:space="0" w:color="000000"/>
              <w:right w:val="single" w:sz="6" w:space="0" w:color="000000"/>
            </w:tcBorders>
            <w:vAlign w:val="center"/>
          </w:tcPr>
          <w:p w14:paraId="6B83FBDB" w14:textId="77777777" w:rsidR="00955A27" w:rsidRPr="001667DB" w:rsidRDefault="00955A27" w:rsidP="00955A27">
            <w:pPr>
              <w:spacing w:after="120" w:line="360" w:lineRule="auto"/>
              <w:ind w:left="58"/>
              <w:rPr>
                <w:rFonts w:ascii="Times New Roman" w:hAnsi="Times New Roman" w:cs="Times New Roman"/>
                <w:color w:val="000000" w:themeColor="text1"/>
              </w:rPr>
            </w:pPr>
            <w:r w:rsidRPr="001667DB">
              <w:rPr>
                <w:rFonts w:ascii="Times New Roman" w:hAnsi="Times New Roman" w:cs="Times New Roman"/>
                <w:color w:val="000000" w:themeColor="text1"/>
              </w:rPr>
              <w:t xml:space="preserve">4 do 8 </w:t>
            </w:r>
          </w:p>
        </w:tc>
        <w:tc>
          <w:tcPr>
            <w:tcW w:w="994" w:type="dxa"/>
            <w:tcBorders>
              <w:top w:val="single" w:sz="6" w:space="0" w:color="000000"/>
              <w:left w:val="single" w:sz="6" w:space="0" w:color="000000"/>
              <w:bottom w:val="single" w:sz="6" w:space="0" w:color="000000"/>
              <w:right w:val="single" w:sz="6" w:space="0" w:color="000000"/>
            </w:tcBorders>
            <w:vAlign w:val="center"/>
          </w:tcPr>
          <w:p w14:paraId="4161EB68"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1219" w:type="dxa"/>
            <w:tcBorders>
              <w:top w:val="single" w:sz="6" w:space="0" w:color="000000"/>
              <w:left w:val="single" w:sz="6" w:space="0" w:color="000000"/>
              <w:bottom w:val="single" w:sz="6" w:space="0" w:color="000000"/>
              <w:right w:val="single" w:sz="6" w:space="0" w:color="000000"/>
            </w:tcBorders>
            <w:vAlign w:val="center"/>
          </w:tcPr>
          <w:p w14:paraId="6490CF84"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3032" w:type="dxa"/>
            <w:tcBorders>
              <w:top w:val="single" w:sz="6" w:space="0" w:color="000000"/>
              <w:left w:val="single" w:sz="6" w:space="0" w:color="000000"/>
              <w:bottom w:val="single" w:sz="6" w:space="0" w:color="000000"/>
              <w:right w:val="double" w:sz="4" w:space="0" w:color="000000"/>
            </w:tcBorders>
            <w:vAlign w:val="center"/>
          </w:tcPr>
          <w:p w14:paraId="2275F9E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Zalecane do zasypek wąskich przekopów </w:t>
            </w:r>
          </w:p>
        </w:tc>
      </w:tr>
      <w:tr w:rsidR="00955A27" w:rsidRPr="001667DB" w14:paraId="34598E30" w14:textId="77777777">
        <w:trPr>
          <w:trHeight w:val="912"/>
        </w:trPr>
        <w:tc>
          <w:tcPr>
            <w:tcW w:w="2482" w:type="dxa"/>
            <w:tcBorders>
              <w:top w:val="single" w:sz="6" w:space="0" w:color="000000"/>
              <w:left w:val="double" w:sz="4" w:space="0" w:color="000000"/>
              <w:bottom w:val="double" w:sz="4" w:space="0" w:color="000000"/>
              <w:right w:val="single" w:sz="6" w:space="0" w:color="000000"/>
            </w:tcBorders>
            <w:vAlign w:val="center"/>
          </w:tcPr>
          <w:p w14:paraId="570E3F23" w14:textId="77777777" w:rsidR="00955A27" w:rsidRPr="001667DB" w:rsidRDefault="00955A27" w:rsidP="00955A27">
            <w:pPr>
              <w:spacing w:after="120" w:line="360" w:lineRule="auto"/>
              <w:ind w:left="3"/>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Ubijaki szybkouderzające </w:t>
            </w:r>
          </w:p>
        </w:tc>
        <w:tc>
          <w:tcPr>
            <w:tcW w:w="1133" w:type="dxa"/>
            <w:tcBorders>
              <w:top w:val="single" w:sz="6" w:space="0" w:color="000000"/>
              <w:left w:val="single" w:sz="6" w:space="0" w:color="000000"/>
              <w:bottom w:val="double" w:sz="4" w:space="0" w:color="000000"/>
              <w:right w:val="single" w:sz="6" w:space="0" w:color="000000"/>
            </w:tcBorders>
            <w:vAlign w:val="center"/>
          </w:tcPr>
          <w:p w14:paraId="58990FEF"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0,2 do 0,4 </w:t>
            </w:r>
          </w:p>
        </w:tc>
        <w:tc>
          <w:tcPr>
            <w:tcW w:w="766" w:type="dxa"/>
            <w:tcBorders>
              <w:top w:val="single" w:sz="6" w:space="0" w:color="000000"/>
              <w:left w:val="single" w:sz="6" w:space="0" w:color="000000"/>
              <w:bottom w:val="double" w:sz="4" w:space="0" w:color="000000"/>
              <w:right w:val="single" w:sz="6" w:space="0" w:color="000000"/>
            </w:tcBorders>
            <w:vAlign w:val="center"/>
          </w:tcPr>
          <w:p w14:paraId="03052516" w14:textId="77777777" w:rsidR="00955A27" w:rsidRPr="001667DB" w:rsidRDefault="00955A27" w:rsidP="00955A27">
            <w:pPr>
              <w:spacing w:after="120" w:line="360" w:lineRule="auto"/>
              <w:ind w:left="86"/>
              <w:rPr>
                <w:rFonts w:ascii="Times New Roman" w:hAnsi="Times New Roman" w:cs="Times New Roman"/>
                <w:color w:val="000000" w:themeColor="text1"/>
              </w:rPr>
            </w:pPr>
            <w:r w:rsidRPr="001667DB">
              <w:rPr>
                <w:rFonts w:ascii="Times New Roman" w:hAnsi="Times New Roman" w:cs="Times New Roman"/>
                <w:color w:val="000000" w:themeColor="text1"/>
              </w:rPr>
              <w:t xml:space="preserve">2 do4 </w:t>
            </w:r>
          </w:p>
        </w:tc>
        <w:tc>
          <w:tcPr>
            <w:tcW w:w="994" w:type="dxa"/>
            <w:tcBorders>
              <w:top w:val="single" w:sz="6" w:space="0" w:color="000000"/>
              <w:left w:val="single" w:sz="6" w:space="0" w:color="000000"/>
              <w:bottom w:val="double" w:sz="4" w:space="0" w:color="000000"/>
              <w:right w:val="single" w:sz="6" w:space="0" w:color="000000"/>
            </w:tcBorders>
            <w:vAlign w:val="center"/>
          </w:tcPr>
          <w:p w14:paraId="776C67A0"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0,1 do 0,3 </w:t>
            </w:r>
          </w:p>
        </w:tc>
        <w:tc>
          <w:tcPr>
            <w:tcW w:w="1219" w:type="dxa"/>
            <w:tcBorders>
              <w:top w:val="single" w:sz="6" w:space="0" w:color="000000"/>
              <w:left w:val="single" w:sz="6" w:space="0" w:color="000000"/>
              <w:bottom w:val="double" w:sz="4" w:space="0" w:color="000000"/>
              <w:right w:val="single" w:sz="6" w:space="0" w:color="000000"/>
            </w:tcBorders>
            <w:vAlign w:val="center"/>
          </w:tcPr>
          <w:p w14:paraId="14D04C88"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do 5 </w:t>
            </w:r>
          </w:p>
        </w:tc>
        <w:tc>
          <w:tcPr>
            <w:tcW w:w="3032" w:type="dxa"/>
            <w:tcBorders>
              <w:top w:val="single" w:sz="6" w:space="0" w:color="000000"/>
              <w:left w:val="single" w:sz="6" w:space="0" w:color="000000"/>
              <w:bottom w:val="double" w:sz="4" w:space="0" w:color="000000"/>
              <w:right w:val="double" w:sz="4" w:space="0" w:color="000000"/>
            </w:tcBorders>
            <w:vAlign w:val="center"/>
          </w:tcPr>
          <w:p w14:paraId="1614BB1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Zalecane do zasypek wąskich przekopów </w:t>
            </w:r>
          </w:p>
        </w:tc>
      </w:tr>
    </w:tbl>
    <w:p w14:paraId="6AB08972"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Walce statyczne są mało przydatne w gruntach kamienistych. </w:t>
      </w:r>
    </w:p>
    <w:p w14:paraId="1195DB98"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Wibracyjnie należy zagęszczać warstwy grubości </w:t>
      </w:r>
      <w:r w:rsidRPr="001667DB">
        <w:rPr>
          <w:rFonts w:ascii="Times New Roman" w:eastAsia="Segoe UI Symbol" w:hAnsi="Times New Roman" w:cs="Times New Roman"/>
          <w:color w:val="000000" w:themeColor="text1"/>
        </w:rPr>
        <w:t></w:t>
      </w:r>
      <w:r w:rsidRPr="001667DB">
        <w:rPr>
          <w:rFonts w:ascii="Times New Roman" w:hAnsi="Times New Roman" w:cs="Times New Roman"/>
          <w:i/>
          <w:color w:val="000000" w:themeColor="text1"/>
        </w:rPr>
        <w:t xml:space="preserve"> 15 cm, cieńsze warstwy należy zagęszczać statycznie. </w:t>
      </w:r>
    </w:p>
    <w:p w14:paraId="3D160F64"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Wartości orientacyjne, właściwe należy ustalić na odcinku próbnym. </w:t>
      </w:r>
    </w:p>
    <w:p w14:paraId="1259398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 xml:space="preserve"> </w:t>
      </w:r>
    </w:p>
    <w:p w14:paraId="04000353" w14:textId="77777777" w:rsidR="00955A27" w:rsidRPr="001667DB" w:rsidRDefault="00955A27" w:rsidP="00F55914">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56" w:name="_Toc61829"/>
      <w:r w:rsidRPr="001667DB">
        <w:rPr>
          <w:color w:val="000000" w:themeColor="text1"/>
          <w:sz w:val="22"/>
          <w:szCs w:val="22"/>
        </w:rPr>
        <w:t xml:space="preserve">TRANSPORT </w:t>
      </w:r>
      <w:bookmarkEnd w:id="156"/>
    </w:p>
    <w:p w14:paraId="0F8C4B7D"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7" w:name="_Toc61830"/>
      <w:r w:rsidRPr="001667DB">
        <w:rPr>
          <w:color w:val="000000" w:themeColor="text1"/>
          <w:sz w:val="22"/>
          <w:szCs w:val="22"/>
        </w:rPr>
        <w:t xml:space="preserve">Ogólne wymagania dotyczące transportu </w:t>
      </w:r>
      <w:bookmarkEnd w:id="157"/>
    </w:p>
    <w:p w14:paraId="1438C71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transportu podano w STD-M 00.00.00, Wymagania ogólne" punkt 4. </w:t>
      </w:r>
    </w:p>
    <w:p w14:paraId="613983AE"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8" w:name="_Toc61831"/>
      <w:r w:rsidRPr="001667DB">
        <w:rPr>
          <w:color w:val="000000" w:themeColor="text1"/>
          <w:sz w:val="22"/>
          <w:szCs w:val="22"/>
        </w:rPr>
        <w:t xml:space="preserve">Transport gruntów </w:t>
      </w:r>
      <w:bookmarkEnd w:id="158"/>
    </w:p>
    <w:p w14:paraId="767DA65D" w14:textId="77777777" w:rsidR="00955A27" w:rsidRPr="001667DB" w:rsidRDefault="00955A27" w:rsidP="00DD7B64">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4.2.1.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Wybór środków transportowych oraz metod transportu powinien być dostosowany  </w:t>
      </w:r>
    </w:p>
    <w:p w14:paraId="4D643D2A"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rodzaju gruntu lub materiału, jego objętości, technologii odspajania i załadunku  oraz do odległości transportu. Wydajność środków transportowych powinna być ponadto dostosowana do wydajności sprzętu stosowanego do wbudowania gruntu (materiału). </w:t>
      </w:r>
    </w:p>
    <w:p w14:paraId="198B460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powinien zapewnić minimalizację odległości transportowych przy zachowaniu wymagań projektowych. Organizację transportu mas </w:t>
      </w:r>
      <w:r w:rsidR="00DD7B64">
        <w:rPr>
          <w:rFonts w:ascii="Times New Roman" w:hAnsi="Times New Roman" w:cs="Times New Roman"/>
          <w:color w:val="000000" w:themeColor="text1"/>
        </w:rPr>
        <w:t>ziemnych należy przeprowadzić z </w:t>
      </w:r>
      <w:r w:rsidRPr="001667DB">
        <w:rPr>
          <w:rFonts w:ascii="Times New Roman" w:hAnsi="Times New Roman" w:cs="Times New Roman"/>
          <w:color w:val="000000" w:themeColor="text1"/>
        </w:rPr>
        <w:t xml:space="preserve">uwzględnieniem zmienności w dostępności dróg i powierzchni do prowadzenia transportu (przemieszczania materiałów do wykonania nasypu). </w:t>
      </w:r>
    </w:p>
    <w:p w14:paraId="0F0974B9"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 organizacji transportu mas ziemnych Wykonawca uwzględni</w:t>
      </w:r>
      <w:r w:rsidR="00DD7B64">
        <w:rPr>
          <w:rFonts w:ascii="Times New Roman" w:hAnsi="Times New Roman" w:cs="Times New Roman"/>
          <w:color w:val="000000" w:themeColor="text1"/>
        </w:rPr>
        <w:t>: typowe warunki  klimatyczne i </w:t>
      </w:r>
      <w:r w:rsidRPr="001667DB">
        <w:rPr>
          <w:rFonts w:ascii="Times New Roman" w:hAnsi="Times New Roman" w:cs="Times New Roman"/>
          <w:color w:val="000000" w:themeColor="text1"/>
        </w:rPr>
        <w:t xml:space="preserve">pogodowe, wymagania wynikające z harmonogramu prac, ograniczenia  dotyczące ładunku przez czynniki zewnętrzne (instalacje, konstrukcje, dopuszczalne  obciążenia), wymagania ochrony środowiska oraz rodzaj maszyn stosowanych  do załadunku, w przypadku samochodów.  </w:t>
      </w:r>
    </w:p>
    <w:p w14:paraId="78CFA74F"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Należy przestrzegać ograniczeń dotyczących ruchu budowlanego, podanych w punkcie 5.7. STD-02.01.01. „Roboty ziemne. Wykonanie wykopów” i w punkcie 5.16 STD-02.03.01. „Roboty ziemne. Wykonywanie nasypów”. </w:t>
      </w:r>
    </w:p>
    <w:p w14:paraId="5152743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Zwiększenie odległości transportu ponad odległości zatwierdzone nie może być podstawą roszczeń Wykonawcy, dotyczących dodatkowej zapłaty za transport. </w:t>
      </w:r>
    </w:p>
    <w:p w14:paraId="6340444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Materiały sypkie należy przewozić w sposób eliminujący możliwość wysypywania,  pylenia  oraz innego zanieczyszczenia środowiska. </w:t>
      </w:r>
    </w:p>
    <w:p w14:paraId="33876441"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59" w:name="_Toc61832"/>
      <w:r w:rsidRPr="001667DB">
        <w:rPr>
          <w:color w:val="000000" w:themeColor="text1"/>
          <w:sz w:val="22"/>
          <w:szCs w:val="22"/>
        </w:rPr>
        <w:lastRenderedPageBreak/>
        <w:t xml:space="preserve">Transport i składowanie geosyntetyków </w:t>
      </w:r>
      <w:bookmarkEnd w:id="159"/>
    </w:p>
    <w:p w14:paraId="6C1DE80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powinien zadbać, aby transport, przenoszenie i przechowywanie  geosyntetyków były wykonywane w sposób oraz w warunkach nie powodujących  mechanicznych lub chemicznych uszkodzeń.  </w:t>
      </w:r>
    </w:p>
    <w:p w14:paraId="525A58C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4.3.2.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 STlub w dokumentach Producenta określono wymaganie, dotyczące  maksymalnego okresu czasu, w którym geosyntetyk może być poddany oddziaływaniu  promieniowania ultrafioletowego i powinien być zakryty poprzez wbudowanie,  to geosyntetyki nie zakryte poprzez wbudowanie we wskazanym czasie powinny  być usunięte z placu budowy.</w:t>
      </w:r>
      <w:r w:rsidRPr="001667DB">
        <w:rPr>
          <w:rFonts w:ascii="Times New Roman" w:eastAsia="Calibri" w:hAnsi="Times New Roman" w:cs="Times New Roman"/>
          <w:color w:val="000000" w:themeColor="text1"/>
        </w:rPr>
        <w:t xml:space="preserve"> </w:t>
      </w:r>
    </w:p>
    <w:p w14:paraId="6F0C07FB" w14:textId="77777777" w:rsidR="00955A27" w:rsidRPr="001667DB" w:rsidRDefault="00955A27" w:rsidP="00DD7B64">
      <w:pPr>
        <w:spacing w:after="120" w:line="360" w:lineRule="auto"/>
        <w:ind w:left="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B9B0B8A" w14:textId="77777777" w:rsidR="00955A27" w:rsidRPr="001667DB" w:rsidRDefault="00955A27" w:rsidP="00DD7B64">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0" w:name="_Toc61833"/>
      <w:r w:rsidRPr="001667DB">
        <w:rPr>
          <w:color w:val="000000" w:themeColor="text1"/>
          <w:sz w:val="22"/>
          <w:szCs w:val="22"/>
        </w:rPr>
        <w:t xml:space="preserve">WYKONANIE ROBÓT </w:t>
      </w:r>
      <w:bookmarkEnd w:id="160"/>
    </w:p>
    <w:p w14:paraId="46168194"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1" w:name="_Toc61834"/>
      <w:r w:rsidRPr="001667DB">
        <w:rPr>
          <w:color w:val="000000" w:themeColor="text1"/>
          <w:sz w:val="22"/>
          <w:szCs w:val="22"/>
        </w:rPr>
        <w:t xml:space="preserve">Ogólne zasady dotyczące wykonania robót </w:t>
      </w:r>
      <w:bookmarkEnd w:id="161"/>
    </w:p>
    <w:p w14:paraId="6875D97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Ogólne zasady prowadzenia robót podano w STD-M 00.00.00 "Wymagania Ogólne", punkt 5. Do robót ziemnych odnoszą się w szczególności zapisy</w:t>
      </w:r>
      <w:r w:rsidR="00DD7B64">
        <w:rPr>
          <w:rFonts w:ascii="Times New Roman" w:hAnsi="Times New Roman" w:cs="Times New Roman"/>
          <w:color w:val="000000" w:themeColor="text1"/>
        </w:rPr>
        <w:t xml:space="preserve"> dotyczące ochrony środowiska w </w:t>
      </w:r>
      <w:r w:rsidRPr="001667DB">
        <w:rPr>
          <w:rFonts w:ascii="Times New Roman" w:hAnsi="Times New Roman" w:cs="Times New Roman"/>
          <w:color w:val="000000" w:themeColor="text1"/>
        </w:rPr>
        <w:t xml:space="preserve">czasie wykonywania robót oraz zasad postępowania w przypadku odkrycia materiałów niebezpiecznych i stanowisk geologicznych lub archeologicznych. </w:t>
      </w:r>
    </w:p>
    <w:p w14:paraId="0C23934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Przed przystąpieniem do wykonywania robót ziemnych należy zakończyć wszelkie roboty przygotowawcze. Zakres robót przygotowawczych i z</w:t>
      </w:r>
      <w:r w:rsidR="00DD7B64">
        <w:rPr>
          <w:rFonts w:ascii="Times New Roman" w:hAnsi="Times New Roman" w:cs="Times New Roman"/>
          <w:color w:val="000000" w:themeColor="text1"/>
        </w:rPr>
        <w:t>asady ich wykonania określono w </w:t>
      </w:r>
      <w:r w:rsidRPr="001667DB">
        <w:rPr>
          <w:rFonts w:ascii="Times New Roman" w:hAnsi="Times New Roman" w:cs="Times New Roman"/>
          <w:color w:val="000000" w:themeColor="text1"/>
        </w:rPr>
        <w:t xml:space="preserve">ST„Roboty Przygotowawcze”. Przed rozpoczęciem robót ziemnych Wykonawca dokona obmiaru terenu po zdjęciu warstwy humusu. </w:t>
      </w:r>
    </w:p>
    <w:p w14:paraId="4BD4D7DD"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ziemne powinny być wykonane zgodnie z Dokumentacją Projektową, zapisami Kontraktu, zapisami STD-02.01.01. ”Roboty ziemne. Wykonanie wykopów”  i STD-02.03.01 ”Roboty ziemne. Wykonanie nasypów” oraz poleceniami  Inżyniera/Inspektora nadzoru. </w:t>
      </w:r>
    </w:p>
    <w:p w14:paraId="3F6A1C6A"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rozpoczęciem robót ziemnych należy ocenić wpływ warunków atmosferycznych na roboty. Podczas opadów, zależnie od ich intensywności, należy rozważyć wstrzymanie robót ziemnych, prowadzonych w gruntach lub materiałach wrażliwych na działanie wody. </w:t>
      </w:r>
    </w:p>
    <w:p w14:paraId="64D0F44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Wykonawcy spoczywa obowiązek wykonania robót ziemnych z zastosowaniem metod odpowiednich do występujących gruntów oraz do materiałów stosowanych do budowy nasypów. Zachowanie przydatności przez grunty i materiały stosowane do budowy nasypów spoczywa na Wykonawcy. </w:t>
      </w:r>
    </w:p>
    <w:p w14:paraId="3F377B7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Obciążanie nasypów oraz skarp wykopów obciążen</w:t>
      </w:r>
      <w:r w:rsidR="00DD7B64">
        <w:rPr>
          <w:rFonts w:ascii="Times New Roman" w:hAnsi="Times New Roman" w:cs="Times New Roman"/>
          <w:color w:val="000000" w:themeColor="text1"/>
        </w:rPr>
        <w:t>iami większymi niż określone  w </w:t>
      </w:r>
      <w:r w:rsidRPr="001667DB">
        <w:rPr>
          <w:rFonts w:ascii="Times New Roman" w:hAnsi="Times New Roman" w:cs="Times New Roman"/>
          <w:color w:val="000000" w:themeColor="text1"/>
        </w:rPr>
        <w:t xml:space="preserve">Dokumentacji Projektowej jest niedopuszczalne. </w:t>
      </w:r>
    </w:p>
    <w:p w14:paraId="4E87745E"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Wykonawca musi prowadzić roboty ziemne z uwzględnieniem</w:t>
      </w:r>
      <w:r w:rsidR="00DD7B64">
        <w:rPr>
          <w:rFonts w:ascii="Times New Roman" w:hAnsi="Times New Roman" w:cs="Times New Roman"/>
          <w:color w:val="000000" w:themeColor="text1"/>
        </w:rPr>
        <w:t xml:space="preserve"> wymagań, wynikających  z </w:t>
      </w:r>
      <w:r w:rsidRPr="001667DB">
        <w:rPr>
          <w:rFonts w:ascii="Times New Roman" w:hAnsi="Times New Roman" w:cs="Times New Roman"/>
          <w:color w:val="000000" w:themeColor="text1"/>
        </w:rPr>
        <w:t xml:space="preserve">przepisów obowiązujących w zakresie ochrony środowiska. Podstawowe czynniki,  które </w:t>
      </w:r>
      <w:r w:rsidRPr="001667DB">
        <w:rPr>
          <w:rFonts w:ascii="Times New Roman" w:hAnsi="Times New Roman" w:cs="Times New Roman"/>
          <w:color w:val="000000" w:themeColor="text1"/>
        </w:rPr>
        <w:lastRenderedPageBreak/>
        <w:t xml:space="preserve">należy uwzględnić to: hałas, sposób prowadzenia robót w gruntach lub materiałach stwarzających zagrożenie zanieczyszczeniem środowiska, lub z zastosowaniem takich gruntów lub materiałów, pylenie, ochrona wód gruntowych oraz wpływ wibracji i użycia materiałów wybuchowych na otoczenie, w tym na istniejące obiekty budowlane. </w:t>
      </w:r>
    </w:p>
    <w:p w14:paraId="3D881D94"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 czasie prowadzenia robót ziemnych zostanie stwierdzone występowanie  zanieczyszczonych gruntów, materiałów lub wody to Wykonawca przedstawi do akceptacji Inżyniera/Inspektora nadzoru sposób postępowania, obejmujący ich zbadanie, odspojenie, usunięcie, transport i utylizację lub składowanie albo ich remediację na miejscu. Wykonawca uzyska zgodę właściwych organów Ochrony Środowiska, d</w:t>
      </w:r>
      <w:r w:rsidR="00DD7B64">
        <w:rPr>
          <w:rFonts w:ascii="Times New Roman" w:hAnsi="Times New Roman" w:cs="Times New Roman"/>
          <w:color w:val="000000" w:themeColor="text1"/>
        </w:rPr>
        <w:t>otyczącą sposobu postępowania z </w:t>
      </w:r>
      <w:r w:rsidRPr="001667DB">
        <w:rPr>
          <w:rFonts w:ascii="Times New Roman" w:hAnsi="Times New Roman" w:cs="Times New Roman"/>
          <w:color w:val="000000" w:themeColor="text1"/>
        </w:rPr>
        <w:t xml:space="preserve">zanieczyszczonymi gruntami, materiałami lub wodą. </w:t>
      </w:r>
    </w:p>
    <w:p w14:paraId="29E39208"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2" w:name="_Toc61835"/>
      <w:r w:rsidRPr="001667DB">
        <w:rPr>
          <w:color w:val="000000" w:themeColor="text1"/>
          <w:sz w:val="22"/>
          <w:szCs w:val="22"/>
        </w:rPr>
        <w:t xml:space="preserve">Projekt geotechniczny </w:t>
      </w:r>
      <w:bookmarkEnd w:id="162"/>
    </w:p>
    <w:p w14:paraId="1A65F987"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 ile jest wymagane wykonanie Projektu Geotechnicznego budowli ziemnej, to do robót ziemnych związanych z jej wykonaniem można przystąpić po opracowaniu takiego projektu, zgodnie z zasadami określonymi w normie PN-EN 1997-1. Powinny zostać rozwiązane wszystkie elementy projektowe, włączając w to określenie stateczności (z uwzględnieniem wyparcia gruntu spod nasypu), osiadań i zabezpieczenia przeciwerozyjnego budowli ziemnej. </w:t>
      </w:r>
    </w:p>
    <w:p w14:paraId="5522617F" w14:textId="77777777" w:rsidR="00955A27" w:rsidRPr="001667DB" w:rsidRDefault="00955A27" w:rsidP="00DD7B64">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5.2.2.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Wszystkie wątpliwe lub nierozwiązane kwestie związane z projektowaniem  geotechnicznym powinny być jednoznacznie określone przed rozpoczęciem robót  </w:t>
      </w:r>
      <w:r w:rsidR="00DD7B64">
        <w:rPr>
          <w:rFonts w:ascii="Times New Roman" w:hAnsi="Times New Roman" w:cs="Times New Roman"/>
          <w:color w:val="000000" w:themeColor="text1"/>
        </w:rPr>
        <w:t>ziemnych, a </w:t>
      </w:r>
      <w:r w:rsidRPr="001667DB">
        <w:rPr>
          <w:rFonts w:ascii="Times New Roman" w:hAnsi="Times New Roman" w:cs="Times New Roman"/>
          <w:color w:val="000000" w:themeColor="text1"/>
        </w:rPr>
        <w:t xml:space="preserve">odpowiedzialność za ich rozwiązanie ponosi Wykonawca. </w:t>
      </w:r>
    </w:p>
    <w:p w14:paraId="23031A7B"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3" w:name="_Toc61836"/>
      <w:r w:rsidRPr="001667DB">
        <w:rPr>
          <w:color w:val="000000" w:themeColor="text1"/>
          <w:sz w:val="22"/>
          <w:szCs w:val="22"/>
        </w:rPr>
        <w:t xml:space="preserve">Projekt robót ziemnych </w:t>
      </w:r>
      <w:bookmarkEnd w:id="163"/>
    </w:p>
    <w:p w14:paraId="491BB64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Roboty ziemne należy wykonać w planowy sposób, w oparciu o projekt robót ziemnych, który zapewni spełnienie wymagań, wynikających z projektu geotechnicznego. Projekt  robót ziemnych musi być ukończony przed ich rozpoczęciem lub przed rozpoczęciem  ich wydzielonego etapu, o ile zachodzi taka sytuacja, włącz</w:t>
      </w:r>
      <w:r w:rsidR="00DD7B64">
        <w:rPr>
          <w:rFonts w:ascii="Times New Roman" w:hAnsi="Times New Roman" w:cs="Times New Roman"/>
          <w:color w:val="000000" w:themeColor="text1"/>
        </w:rPr>
        <w:t>ając ocenę dostępnych gruntów i </w:t>
      </w:r>
      <w:r w:rsidRPr="001667DB">
        <w:rPr>
          <w:rFonts w:ascii="Times New Roman" w:hAnsi="Times New Roman" w:cs="Times New Roman"/>
          <w:color w:val="000000" w:themeColor="text1"/>
        </w:rPr>
        <w:t xml:space="preserve">materiałów oraz ich przydatności.  </w:t>
      </w:r>
    </w:p>
    <w:p w14:paraId="472B9FB9"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Przez projekt robót ziemnych rozumie się określenie procesu wykonania budowli ziemnych, będących przedmiotem Kontraktu, w oparciu o następujące główne elementy: STWiORB, wymagania dla materiału nasypowego, rysunki, bilans mas ziemnych, plan organizacji robót ziemnych, harmonogram robót i ocenę wpływu robót ziemnych  na środowisko. Projekt robót ziemnych może zawierać dodatkowo inne elementy, </w:t>
      </w:r>
      <w:r w:rsidR="00DD7B64">
        <w:rPr>
          <w:rFonts w:ascii="Times New Roman" w:hAnsi="Times New Roman" w:cs="Times New Roman"/>
          <w:color w:val="000000" w:themeColor="text1"/>
        </w:rPr>
        <w:t>w tym ocenę ryzyka związanego z </w:t>
      </w:r>
      <w:r w:rsidRPr="001667DB">
        <w:rPr>
          <w:rFonts w:ascii="Times New Roman" w:hAnsi="Times New Roman" w:cs="Times New Roman"/>
          <w:color w:val="000000" w:themeColor="text1"/>
        </w:rPr>
        <w:t xml:space="preserve">robotami ziemnymi. </w:t>
      </w:r>
    </w:p>
    <w:p w14:paraId="6F9B5A5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5.3.3.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Projekt robót ziemnych przedstawi Wykonawca. Forma i zakres projektu robót ziemnych  zostaną ustalone miedzy Wykonawcą i Inżynierem/Inspektorem nadzoru. Projekt robót ziemnych podlega zatwierdzeniu przez Inżyniera/Inspektora nadzoru. </w:t>
      </w:r>
    </w:p>
    <w:p w14:paraId="35E4B4A9"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4" w:name="_Toc61837"/>
      <w:r w:rsidRPr="001667DB">
        <w:rPr>
          <w:color w:val="000000" w:themeColor="text1"/>
          <w:sz w:val="22"/>
          <w:szCs w:val="22"/>
        </w:rPr>
        <w:lastRenderedPageBreak/>
        <w:t xml:space="preserve">Zasady wykorzystania gruntów i materiałów do budowy nasypów </w:t>
      </w:r>
      <w:bookmarkEnd w:id="164"/>
    </w:p>
    <w:p w14:paraId="21F38C24"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uzyskane podczas wykonania wykopów powinny być przez Wykonawcę  wykorzystane w maksymalnym stopniu do budowy nasypów. Zakres wykorzystania  gruntów z wykopów Wykonawca przedstawi w Projekcie robót ziemnych. </w:t>
      </w:r>
    </w:p>
    <w:p w14:paraId="17540544" w14:textId="77777777" w:rsidR="00955A27" w:rsidRPr="001667DB" w:rsidRDefault="00955A27" w:rsidP="00DD7B64">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5.4.2.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przydatne do budowy nasypów mogą być wywiezione poza teren budowy,  </w:t>
      </w:r>
    </w:p>
    <w:p w14:paraId="0D5AC06C"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zezwoleniem lub na polecenie Inżyniera/Inspektora nadzoru, tylko wówczas, gdy stanowią nadmiar objętości robót ziemnych i nie zostaną zagospodarowane na placu budowy. </w:t>
      </w:r>
    </w:p>
    <w:p w14:paraId="6D94A3FB"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grunty przydatne, uzyskane podczas wykonania wykopów, nie będąc nadmiarem  objętości robót ziemnych, zostały za zgodą Inżyniera/Inspektora nadzoru wywiezione  przez Wykonawcę poza teren budowy z przeznaczeniem innym niż budowa nasypów  lub wykonanie prac objętych Kontraktem, Wykonawca jest zobowiązany do dostarczenia na własny koszt równoważnej objętości gruntów przydatnych ze źródeł własnych, zaakceptowanych przez Inżyniera/Inspektora nadzoru.  </w:t>
      </w:r>
    </w:p>
    <w:p w14:paraId="7A63CF96"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i materiały nieprzydatne do budowy nasypów, określone w punkcie 2 oraz materiały przydatne po ulepszeniu, które jednak nie są przewidziane do ulepszenia, powinny być wywiezione przez Wykonawcę na odkład. Zapewnienie terenów na odkład należy do obowiązków Wykonawcy, o ile nie określono tego inaczej w Kontrakcie, Wykonawca proponuje i przedstawia do akceptacji Inżyniera/Inspektora nadzoru sposób zagospodarowania gruntów przeznaczonych na odkład wraz z miejscem odkładu. Inżynier/Inspektora nadzoru może nakazać pozostawienie na terenie budowy gruntów, których czasowa nieprzydatność wynika jedynie z powodu zamarznięcia lub nadmiernej wilgotności. Zasady wykonania odkładu określono w punkcie 5.17. STD-02.03.01. „Roboty ziemne. Wykonanie nasypów.” </w:t>
      </w:r>
    </w:p>
    <w:p w14:paraId="621FB3FD"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 ile jest to uzasadnione bilansem robót ziemnych albo innymi względami, do budowy  nasypów mogą być wykorzystane materiały odpadowe oraz materiały pochodzące  z recyklingu. Zastosowanie takich materiałów wymaga jednoznacznego ustalenia  dopuszczalności ich użycia w świetle obowiązujących przepisów prawa oraz wiarygodnego określenia parametrów geotechnicznych, z uwzględnieniem ewentualnej ich zmiany w okresie eksploatacji budowli ziemnej. </w:t>
      </w:r>
    </w:p>
    <w:p w14:paraId="7548CC8B" w14:textId="77777777" w:rsidR="00955A27" w:rsidRPr="001667DB" w:rsidRDefault="00955A27" w:rsidP="00F5591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65" w:name="_Toc61838"/>
      <w:r w:rsidRPr="001667DB">
        <w:rPr>
          <w:color w:val="000000" w:themeColor="text1"/>
          <w:sz w:val="22"/>
          <w:szCs w:val="22"/>
        </w:rPr>
        <w:t xml:space="preserve">Zasady składowania gruntów i materiałów do budowy nasypów </w:t>
      </w:r>
      <w:bookmarkEnd w:id="165"/>
    </w:p>
    <w:p w14:paraId="04DBF652" w14:textId="77777777" w:rsidR="00955A27" w:rsidRPr="001667DB" w:rsidRDefault="00955A27" w:rsidP="00955A27">
      <w:pPr>
        <w:spacing w:after="120" w:line="360" w:lineRule="auto"/>
        <w:ind w:left="837" w:right="69" w:hanging="852"/>
        <w:rPr>
          <w:rFonts w:ascii="Times New Roman" w:hAnsi="Times New Roman" w:cs="Times New Roman"/>
          <w:color w:val="000000" w:themeColor="text1"/>
        </w:rPr>
      </w:pPr>
      <w:r w:rsidRPr="001667DB">
        <w:rPr>
          <w:rFonts w:ascii="Times New Roman" w:hAnsi="Times New Roman" w:cs="Times New Roman"/>
          <w:color w:val="000000" w:themeColor="text1"/>
        </w:rPr>
        <w:t>5.5.1.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powinien we własnym zakresie przygotować i zapewnić oddzielne składowanie gruntów i materiałów przydatnych oraz gruntów i materiałów przydatnych  po ulepszeniu przewidzianych do wykorzystania.  </w:t>
      </w:r>
    </w:p>
    <w:p w14:paraId="05856B27"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Składowanie gruntów i materiałów przez Wykonawcę nie może powodować zagrożenia  stateczności wykopów i nasypów.  </w:t>
      </w:r>
    </w:p>
    <w:p w14:paraId="6A6C75F5" w14:textId="77777777" w:rsidR="00955A27" w:rsidRPr="001667DB" w:rsidRDefault="00955A27" w:rsidP="00DD7B64">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5.5.3.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Wykonawca tymczasowo składuje grunt lub materiał przydatny, jest zobowiązany chronić je przed negatywnym wpływem czynników atmosferycznych w celu uniknięcia ich degradacji. </w:t>
      </w:r>
      <w:r w:rsidRPr="001667DB">
        <w:rPr>
          <w:rFonts w:ascii="Times New Roman" w:eastAsia="Calibri" w:hAnsi="Times New Roman" w:cs="Times New Roman"/>
          <w:color w:val="000000" w:themeColor="text1"/>
        </w:rPr>
        <w:t xml:space="preserve"> </w:t>
      </w:r>
    </w:p>
    <w:p w14:paraId="5DF61A15"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6" w:name="_Toc61839"/>
      <w:r w:rsidRPr="001667DB">
        <w:rPr>
          <w:color w:val="000000" w:themeColor="text1"/>
          <w:sz w:val="22"/>
          <w:szCs w:val="22"/>
        </w:rPr>
        <w:t xml:space="preserve">Dokładność wykonania wykopów i nasypów </w:t>
      </w:r>
      <w:bookmarkEnd w:id="166"/>
    </w:p>
    <w:p w14:paraId="45538EEA"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Odchylenie osi korpusu ziemnego, w wykopie lub nasypie, od osi projektowanej ora</w:t>
      </w:r>
      <w:r w:rsidR="00DD7B64">
        <w:rPr>
          <w:rFonts w:ascii="Times New Roman" w:hAnsi="Times New Roman" w:cs="Times New Roman"/>
          <w:color w:val="000000" w:themeColor="text1"/>
        </w:rPr>
        <w:t>z różnica w </w:t>
      </w:r>
      <w:r w:rsidRPr="001667DB">
        <w:rPr>
          <w:rFonts w:ascii="Times New Roman" w:hAnsi="Times New Roman" w:cs="Times New Roman"/>
          <w:color w:val="000000" w:themeColor="text1"/>
        </w:rPr>
        <w:t xml:space="preserve">stosunku do projektowanych rzędnych robót ziemnych nie może przekraczać wymagań określonych w tablicy 6.1 </w:t>
      </w:r>
    </w:p>
    <w:p w14:paraId="319E877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Szerokość górnej powierzchni korpusu nie może różnić się od szerokości projektowanej  o więcej niż określono to w tablicy 6.1, a krawędzie korony drogi nie powinny mieć  wyraźnych załamań w planie. </w:t>
      </w:r>
    </w:p>
    <w:p w14:paraId="29BECB2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Maksymalne nierówności na powierzchn</w:t>
      </w:r>
      <w:r w:rsidR="00273CBA" w:rsidRPr="001667DB">
        <w:rPr>
          <w:rFonts w:ascii="Times New Roman" w:hAnsi="Times New Roman" w:cs="Times New Roman"/>
          <w:color w:val="000000" w:themeColor="text1"/>
        </w:rPr>
        <w:t>i skarp nie powinny przekraczać</w:t>
      </w:r>
      <w:r w:rsidRPr="001667DB">
        <w:rPr>
          <w:rFonts w:ascii="Times New Roman" w:hAnsi="Times New Roman" w:cs="Times New Roman"/>
          <w:color w:val="000000" w:themeColor="text1"/>
        </w:rPr>
        <w:t xml:space="preserve"> 10 cm  przy pomiarze łatą 3-metrową, albo powinny być spełnione inne wymagania dotyczące  nierówności, wynikające ze sposobu umocnienia powierzchni skarpy. </w:t>
      </w:r>
    </w:p>
    <w:p w14:paraId="178352A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gruntach skalistych wymagania, dotyczące </w:t>
      </w:r>
      <w:r w:rsidR="00DD7B64">
        <w:rPr>
          <w:rFonts w:ascii="Times New Roman" w:hAnsi="Times New Roman" w:cs="Times New Roman"/>
          <w:color w:val="000000" w:themeColor="text1"/>
        </w:rPr>
        <w:t>równości powierzchni dna wykopu</w:t>
      </w:r>
      <w:r w:rsidRPr="001667DB">
        <w:rPr>
          <w:rFonts w:ascii="Times New Roman" w:hAnsi="Times New Roman" w:cs="Times New Roman"/>
          <w:color w:val="000000" w:themeColor="text1"/>
        </w:rPr>
        <w:t xml:space="preserve"> oraz pochylenia i równości skarp, mogą różnić się od podanych w punktach 5.6.1., </w:t>
      </w:r>
      <w:r w:rsidR="00DD7B64">
        <w:rPr>
          <w:rFonts w:ascii="Times New Roman" w:hAnsi="Times New Roman" w:cs="Times New Roman"/>
          <w:color w:val="000000" w:themeColor="text1"/>
        </w:rPr>
        <w:t>5.6.2. i 5.6.3. i </w:t>
      </w:r>
      <w:r w:rsidRPr="001667DB">
        <w:rPr>
          <w:rFonts w:ascii="Times New Roman" w:hAnsi="Times New Roman" w:cs="Times New Roman"/>
          <w:color w:val="000000" w:themeColor="text1"/>
        </w:rPr>
        <w:t xml:space="preserve">mogą być określone indywidualnie. </w:t>
      </w:r>
    </w:p>
    <w:p w14:paraId="2405D9AF"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7" w:name="_Toc61840"/>
      <w:r w:rsidRPr="001667DB">
        <w:rPr>
          <w:color w:val="000000" w:themeColor="text1"/>
          <w:sz w:val="22"/>
          <w:szCs w:val="22"/>
        </w:rPr>
        <w:t xml:space="preserve">Odwodnienie pasa robót ziemnych </w:t>
      </w:r>
      <w:bookmarkEnd w:id="167"/>
    </w:p>
    <w:p w14:paraId="0F7CD755"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Niezależnie od budowy urządzeń, stanowiących elementy systemów odwadniających,  ujętych w Dokumentacji Projektowej, Wykonawca jest zobowiązany, o ile wymagają tego warunki terenowe, do wykonania urządzeń, które zapewnią skuteczne odprowadzenie wód gruntowych i opadowych poza obszar robót ziemnych tak, aby zabezpieczyć grunty przed przewilgoceniem i nawodnieniem. W tym celu Wykonawca przedstawi projekt odwodnienia placu budowy. Forma i zakres projektu odwodnienia placu budowy zostaną ustalone miedzy Wykonawcą i Inżynierem/Inspektorem nadzoru. Projekt odwodnienia placu budowy podlega zatwierdzeniu przez Inżyniera/Inspektora nadzoru.  </w:t>
      </w:r>
    </w:p>
    <w:p w14:paraId="435D99AB"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ma obowiązek takiego wykonywania wykopów i nasypów, aby powierzchni gruntu, skały oraz innych materiałów nadawać w całym okresie trwania robót spadki,  zapewniające prawidłowe odwodnienie. </w:t>
      </w:r>
    </w:p>
    <w:p w14:paraId="78DCFB07"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wskutek zaniedbania Wykonawcy lub niewłaściwego zaplanowania robót, grunty lub materiały do budowy nasypu ulegną nawodnieniu, które spowoduje ich długotrwałą nieprzydatność, Wykonawca ma obowiązek usunięci</w:t>
      </w:r>
      <w:r w:rsidR="00DD7B64">
        <w:rPr>
          <w:rFonts w:ascii="Times New Roman" w:hAnsi="Times New Roman" w:cs="Times New Roman"/>
          <w:color w:val="000000" w:themeColor="text1"/>
        </w:rPr>
        <w:t>a tych gruntów lub materiałów i </w:t>
      </w:r>
      <w:r w:rsidRPr="001667DB">
        <w:rPr>
          <w:rFonts w:ascii="Times New Roman" w:hAnsi="Times New Roman" w:cs="Times New Roman"/>
          <w:color w:val="000000" w:themeColor="text1"/>
        </w:rPr>
        <w:t xml:space="preserve">zastąpienia ich gruntami lub materiałami przydatnymi, na własny koszt bez jakichkolwiek dodatkowych opłat ze strony Zamawiającego za te czynności, jak również za dowieziony </w:t>
      </w:r>
      <w:r w:rsidRPr="001667DB">
        <w:rPr>
          <w:rFonts w:ascii="Times New Roman" w:hAnsi="Times New Roman" w:cs="Times New Roman"/>
          <w:color w:val="000000" w:themeColor="text1"/>
        </w:rPr>
        <w:lastRenderedPageBreak/>
        <w:t xml:space="preserve">grunt lub materiały. Dopuszcza się uzdatnienie przewilgoconych gruntów lub materiałów za zgodą Inżyniera/Inspektora nadzoru, jeżeli zaproponowany przez Wykonawcę sposób jest poprawny technicznie i zapewni przywrócenie właściwości umożliwiających wbudowanie gruntów lub materiałów. </w:t>
      </w:r>
    </w:p>
    <w:p w14:paraId="5097277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Odprowadzenie wód do istniejących zbiorników naturalnych i urządzeń odwadniających musi być poprzedzone uzgodnieniem z odpowiednimi instytucjami i uwzględnione  w projekcie odwodnienia placu budowy. </w:t>
      </w:r>
    </w:p>
    <w:p w14:paraId="51D0E31B"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Szczegółowe wymagania w zakresie odwodnienia robót ziemnych podczas wykonywania wykopów i nasypów określono w STD-02.01.01. „Roboty ziemne. Wykonanie wykopów”, punkt 5.5 i w STD-02.03.01 „Roboty ziemne. Wykonanie nasypów”, punkt 5. </w:t>
      </w:r>
    </w:p>
    <w:p w14:paraId="55A56078"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8" w:name="_Toc61841"/>
      <w:r w:rsidRPr="001667DB">
        <w:rPr>
          <w:color w:val="000000" w:themeColor="text1"/>
          <w:sz w:val="22"/>
          <w:szCs w:val="22"/>
        </w:rPr>
        <w:t xml:space="preserve">Rowy </w:t>
      </w:r>
      <w:bookmarkEnd w:id="168"/>
    </w:p>
    <w:p w14:paraId="4472B76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5.8.1.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Rowy boczne i rowy stokowe powinny być wykonane zgodnie z Dokumentacją Projektową i ST.  </w:t>
      </w:r>
    </w:p>
    <w:p w14:paraId="7FF1F1A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5.8.2.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Szerokość dna i głębokość rowu nie mogą różnić się od wymiarów projektowanych o więcej niż  5 cm. </w:t>
      </w:r>
    </w:p>
    <w:p w14:paraId="7FCFB52E"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5.8.3.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Pochylenie podłużne dna rowu nie powinno różnić się od projektowanego o więcej  niż 0,05%. </w:t>
      </w:r>
    </w:p>
    <w:p w14:paraId="5E66A41D" w14:textId="77777777" w:rsidR="00955A27" w:rsidRPr="001667DB" w:rsidRDefault="00955A27" w:rsidP="00DD7B64">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5.8.4.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Dokładność wykonania skarp rowów powinna być zgodna z określoną w punkcie 5.6. </w:t>
      </w:r>
    </w:p>
    <w:p w14:paraId="22B2D6D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5.8.5.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Wykonawca jest zobowiązany utrzymywać drożność rowów w</w:t>
      </w:r>
      <w:r w:rsidR="00DD7B64">
        <w:rPr>
          <w:rFonts w:ascii="Times New Roman" w:hAnsi="Times New Roman" w:cs="Times New Roman"/>
          <w:color w:val="000000" w:themeColor="text1"/>
        </w:rPr>
        <w:t xml:space="preserve"> czasie realizacji inwestycji w </w:t>
      </w:r>
      <w:r w:rsidRPr="001667DB">
        <w:rPr>
          <w:rFonts w:ascii="Times New Roman" w:hAnsi="Times New Roman" w:cs="Times New Roman"/>
          <w:color w:val="000000" w:themeColor="text1"/>
        </w:rPr>
        <w:t xml:space="preserve">zakresie wynikającym z wpływu robót na funkcjonowanie istniejącego układu odwodnienia. </w:t>
      </w:r>
    </w:p>
    <w:p w14:paraId="41E98618"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69" w:name="_Toc61842"/>
      <w:r w:rsidRPr="001667DB">
        <w:rPr>
          <w:color w:val="000000" w:themeColor="text1"/>
          <w:sz w:val="22"/>
          <w:szCs w:val="22"/>
        </w:rPr>
        <w:t xml:space="preserve">Układanie geosyntetyków </w:t>
      </w:r>
      <w:bookmarkEnd w:id="169"/>
    </w:p>
    <w:p w14:paraId="36CA2E3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Geosyntetyki należy układać zgodnie z zasadami określonymi w Dokumentacji Projektowej i ST. Jakość użytych geosyntetyków musi być potwierdzona Deklaracją Właściwości Użytkowych oraz innymi dokumentami, określającymi dodatkowe właściwości geosyntetyku, o ile jest to wymagane. </w:t>
      </w:r>
    </w:p>
    <w:p w14:paraId="055B0816"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Warstwa, na której przewiduje się ułożenie geosyntetyku powinna być równa i pozbawiona ostrych elementów, mogących spowodować uszkodzenie geosyntetyku w czasie układania lub pracy. Metoda układania powinna zapewnić przyleganie geosyntetyku do warstwy, na której jest układany, na całej jej powierzchni. Geosyntetyków nie należy naciągać lub powodować ich zawieszenia na wzgórkach (garbach) lub nad wklęsłościami terenu. Warstwa geosyntetyków po ułożeniu powinna być pozbawiona fałd, załamań oraz rozdarć. </w:t>
      </w:r>
    </w:p>
    <w:p w14:paraId="1051F84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Pasma geosyntetyków, pełniących funkcję warstwy odcinającej albo zbrojenia w podstawie nasypu należy układać łącząc je na zakład, z ewentualnym kotwieniem do podłoża, zgodnie z zasadami określonymi w ST. Jeżeli brak takiej informacji, wówczas Wykonawca </w:t>
      </w:r>
      <w:r w:rsidRPr="001667DB">
        <w:rPr>
          <w:rFonts w:ascii="Times New Roman" w:hAnsi="Times New Roman" w:cs="Times New Roman"/>
          <w:color w:val="000000" w:themeColor="text1"/>
        </w:rPr>
        <w:lastRenderedPageBreak/>
        <w:t xml:space="preserve">zaproponuje do akceptacji przez Inżyniera/Inspektora nadzoru sposób połączenia pasm geosyntetyku. Wielkość zakładu pasm geosyntetyku, układanych na stabilnym podłożu nie powinna być mniejsza niż 30 cm. W przypadku obniżonej nośności warstwy, na której jest układany geosyntetyk, wielkość zakładu powinna być odpowiednio zwiększona, aby w całym okresie wykonania i eksploatacji budowli ziemnej została zachowana ciągłość warstwy geosyntetyku. </w:t>
      </w:r>
    </w:p>
    <w:p w14:paraId="33AD9B4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Pasma geosyntetyków, pełniących funkcję zbrojenia skarp, należy układać zgodnie  z zasadami określonymi w Dokumentacji Projektowej i ST. Konieczna jest jednoznaczna informacja, dotycząca kierunku ułożenia pasm geosyntetyku, z uwzględnieniem kierunku jego produkcji, długości pasm oraz sposobu ich łączenia (na styk, z zakładem lub z odstępem). Jeżeli brak takiej pełnej informacji, zostanie ona uzupełniona przez Projektanta. </w:t>
      </w:r>
    </w:p>
    <w:p w14:paraId="262B899A"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 przypadku uszkodzenia geosyntetyku, pełniącego funkcj</w:t>
      </w:r>
      <w:r w:rsidR="00DD7B64">
        <w:rPr>
          <w:rFonts w:ascii="Times New Roman" w:hAnsi="Times New Roman" w:cs="Times New Roman"/>
          <w:color w:val="000000" w:themeColor="text1"/>
        </w:rPr>
        <w:t>ę warstwy odcinającej należy, w </w:t>
      </w:r>
      <w:r w:rsidRPr="001667DB">
        <w:rPr>
          <w:rFonts w:ascii="Times New Roman" w:hAnsi="Times New Roman" w:cs="Times New Roman"/>
          <w:color w:val="000000" w:themeColor="text1"/>
        </w:rPr>
        <w:t xml:space="preserve">uzgodnieniu z Inżynierem/ Inspektorem nadzoru , przykryć uszkodzone miejsce pasem geosyntetyku na długości i szerokości większej o co najmniej 1 metr od obszaru uszkodzonego. </w:t>
      </w:r>
    </w:p>
    <w:p w14:paraId="6F4AAE5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uszkodzenia geosyntetyku pełniącego funkcję zbrojenia sposób postępowania należy ustalić w porozumieniu z Projektantem. </w:t>
      </w:r>
    </w:p>
    <w:p w14:paraId="1F10025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5.9.7.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dopuszcza się ruchu pojazdów bezpośrednio po ułożonych geosyntetykach. Warstwę geosyntetyków należy, niezwłocznie po ułożeniu, przykryć gruntem lub materiałem stosowanym do budowy nasypu. W przeciętnych warunkach minimalna grubość warstwy, ułożonej na warstwie geosyntetyków, umożliwiająca dopuszczenie ruchu pojazdów wynosi 15 cm. </w:t>
      </w:r>
    </w:p>
    <w:p w14:paraId="4435EA37"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0" w:name="_Toc61843"/>
      <w:r w:rsidRPr="001667DB">
        <w:rPr>
          <w:color w:val="000000" w:themeColor="text1"/>
          <w:sz w:val="22"/>
          <w:szCs w:val="22"/>
        </w:rPr>
        <w:t xml:space="preserve">Powierzchnia podłoża gruntowego nawierzchni  </w:t>
      </w:r>
      <w:bookmarkEnd w:id="170"/>
    </w:p>
    <w:p w14:paraId="6367256E"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5.10.1.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Szczegółowe wymagania dotyczące robót związanych z ostatecznym ukształtowaniem  powierzchni podłoża gruntowego nawierzchni w wykopach i nasypach podano w </w:t>
      </w:r>
    </w:p>
    <w:p w14:paraId="0713EAEB"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STD-02.01.01. „Roboty ziemne. Wykonanie wykopów”, punkt 5 i w STD-</w:t>
      </w:r>
    </w:p>
    <w:p w14:paraId="2227F9D0"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02.03.01 „Roboty ziemne. Wykonanie nasypów”, punkt 5.  </w:t>
      </w:r>
    </w:p>
    <w:p w14:paraId="72A75C2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5.10.2.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Ostatecznie ukształtowana powierzchnia podłoża gruntowego nawierzchni nie może być narażona na działanie wody i mrozu. Jeżeli warunek ten nie zostanie spełniony, powierzchnia wymaga sprawdzenia i oceny i ewentualnych napraw (powtórne profilowanie i zagęszczenie, stabilizacja, wymiana). </w:t>
      </w:r>
    </w:p>
    <w:p w14:paraId="19864757" w14:textId="77777777" w:rsidR="00955A27" w:rsidRPr="001667DB" w:rsidRDefault="00955A27" w:rsidP="00DD7B64">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5.10.3.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występuje warstwa ulepszonego podłoża z gruntu lub materiału antropogenicznego stabilizowanego spoiwem to należy ją wykonać zg</w:t>
      </w:r>
      <w:r w:rsidR="00DD7B64">
        <w:rPr>
          <w:rFonts w:ascii="Times New Roman" w:hAnsi="Times New Roman" w:cs="Times New Roman"/>
          <w:color w:val="000000" w:themeColor="text1"/>
        </w:rPr>
        <w:t>odnie z zasadami, określonymi w </w:t>
      </w:r>
      <w:r w:rsidRPr="001667DB">
        <w:rPr>
          <w:rFonts w:ascii="Times New Roman" w:hAnsi="Times New Roman" w:cs="Times New Roman"/>
          <w:color w:val="000000" w:themeColor="text1"/>
        </w:rPr>
        <w:t xml:space="preserve">odpowiednich ST. </w:t>
      </w:r>
    </w:p>
    <w:p w14:paraId="4F6B9711"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5.10.4.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występuje warstwa ulepszonego podłoża z gruntu niewysadzinowego, materiału  antropogenicznego lub mieszanki niezwiązanej to należy ją wykonać zgodnie z zasadami, określonymi w odpowiednich ST. </w:t>
      </w:r>
    </w:p>
    <w:p w14:paraId="6D8F456F"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1" w:name="_Toc61844"/>
      <w:r w:rsidRPr="001667DB">
        <w:rPr>
          <w:color w:val="000000" w:themeColor="text1"/>
          <w:sz w:val="22"/>
          <w:szCs w:val="22"/>
        </w:rPr>
        <w:t xml:space="preserve">Wymagania dotyczące zagęszczenia  </w:t>
      </w:r>
      <w:bookmarkEnd w:id="171"/>
    </w:p>
    <w:p w14:paraId="2C67A07F"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Roboty ziemne należy wykonać w sposób zapewniający uzyskanie wymaganych wskaźników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korpusu ziemnego, określonych w ST. Wskaźnik zagęszczenia należy badać zgodnie z zasadami podanymi w Załączniku 2 i obliczać według wzoru określonego w p. 1.6.48. </w:t>
      </w:r>
    </w:p>
    <w:p w14:paraId="1E84F4A4"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Wskaźnik zagęszczenia Is należy określić w odniesieniu do całej objętości nasypu i do głębokości 0,5 metra w podłożu nasypu oraz w wykopach i miejscach zerowych robót ziemnych do głębokości 0,5 metra (gdy brak warstwy ulepszonego podłoża) lub do głębokości równej warstwie ulepszonego podłoża od spodu konstrukcji nawierzchni. Szczegółowe wymagania dotyczące wartości wskaźników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w wykopach podano w STD-02.01.01. ”Roboty ziemne. Wykonanie wykopów”. Szczegółowe wymagania dotyczące wartości wskaźników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w nasypach podano w STD-02.01.03. ”Roboty ziemne. Wykonanie nasypów” oraz na rysunkach Z1.1 oraz Z.1.2. w załączniku 1. </w:t>
      </w:r>
    </w:p>
    <w:p w14:paraId="6DA9FC82"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Dopuszcza się kontrolę i ocenę stanu zagęszczenia warstw gruntów lub materiałów na podstawie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Dopuszczenie tej metody wymaga potwierdzenia na odcinku próbnym i akceptacji przez Inżyniera/ Inspektora nadzoru wartości wskaźnika odkształcenia, stanowiących kryterium akceptacji stanu zagęszczenia, w odniesieniu do </w:t>
      </w:r>
      <w:r w:rsidR="00DD7B64">
        <w:rPr>
          <w:rFonts w:ascii="Times New Roman" w:hAnsi="Times New Roman" w:cs="Times New Roman"/>
          <w:color w:val="000000" w:themeColor="text1"/>
        </w:rPr>
        <w:t>gruntów i </w:t>
      </w:r>
      <w:r w:rsidRPr="001667DB">
        <w:rPr>
          <w:rFonts w:ascii="Times New Roman" w:hAnsi="Times New Roman" w:cs="Times New Roman"/>
          <w:color w:val="000000" w:themeColor="text1"/>
        </w:rPr>
        <w:t xml:space="preserve">materiałów stosowanych w konkretnym przypadku przy czym wartości te nie mogą być wyższe niż maksymalne podane  w tabeli 5.1..  </w:t>
      </w:r>
    </w:p>
    <w:p w14:paraId="2D490BA0"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Wskaźnik odkształcenia należy obliczać według wzoru określonego w p. 1.6.47  na podstawie wartości modułów odkształcenia określonych według zasad podanych  w Załączniku 2. Wartości modułów można uznać za miarodajne,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wartości modułów. Zagęszczenie uznaje się za wystarczające, jeżeli jednocześnie jest spełnione wymaganie dotyczące maksymalnej wartości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oraz minimalnej wartości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w:t>
      </w:r>
    </w:p>
    <w:p w14:paraId="664FD177" w14:textId="77777777" w:rsidR="00955A27" w:rsidRPr="001667DB" w:rsidRDefault="00955A27" w:rsidP="00DD7B64">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5.11.5.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Maksymalne wartości wskaźnika odkształcenia, w zależności od rodzaju gruntu lub </w:t>
      </w:r>
    </w:p>
    <w:p w14:paraId="1F23A1FE" w14:textId="77777777" w:rsidR="00955A27" w:rsidRPr="001667DB" w:rsidRDefault="00955A27" w:rsidP="00DD7B64">
      <w:pPr>
        <w:tabs>
          <w:tab w:val="center" w:pos="1189"/>
          <w:tab w:val="center" w:pos="2360"/>
          <w:tab w:val="center" w:pos="3279"/>
          <w:tab w:val="center" w:pos="4119"/>
          <w:tab w:val="center" w:pos="5361"/>
          <w:tab w:val="center" w:pos="6686"/>
          <w:tab w:val="center" w:pos="7612"/>
          <w:tab w:val="center" w:pos="8394"/>
          <w:tab w:val="right" w:pos="9571"/>
        </w:tabs>
        <w:spacing w:after="120" w:line="360" w:lineRule="auto"/>
        <w:jc w:val="both"/>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innego </w:t>
      </w:r>
      <w:r w:rsidRPr="001667DB">
        <w:rPr>
          <w:rFonts w:ascii="Times New Roman" w:hAnsi="Times New Roman" w:cs="Times New Roman"/>
          <w:color w:val="000000" w:themeColor="text1"/>
        </w:rPr>
        <w:tab/>
        <w:t xml:space="preserve">materiału </w:t>
      </w:r>
      <w:r w:rsidRPr="001667DB">
        <w:rPr>
          <w:rFonts w:ascii="Times New Roman" w:hAnsi="Times New Roman" w:cs="Times New Roman"/>
          <w:color w:val="000000" w:themeColor="text1"/>
        </w:rPr>
        <w:tab/>
        <w:t xml:space="preserve">w </w:t>
      </w:r>
      <w:r w:rsidRPr="001667DB">
        <w:rPr>
          <w:rFonts w:ascii="Times New Roman" w:hAnsi="Times New Roman" w:cs="Times New Roman"/>
          <w:color w:val="000000" w:themeColor="text1"/>
        </w:rPr>
        <w:tab/>
        <w:t xml:space="preserve">badanej </w:t>
      </w:r>
      <w:r w:rsidRPr="001667DB">
        <w:rPr>
          <w:rFonts w:ascii="Times New Roman" w:hAnsi="Times New Roman" w:cs="Times New Roman"/>
          <w:color w:val="000000" w:themeColor="text1"/>
        </w:rPr>
        <w:tab/>
        <w:t xml:space="preserve">warstwie, </w:t>
      </w:r>
      <w:r w:rsidRPr="001667DB">
        <w:rPr>
          <w:rFonts w:ascii="Times New Roman" w:hAnsi="Times New Roman" w:cs="Times New Roman"/>
          <w:color w:val="000000" w:themeColor="text1"/>
        </w:rPr>
        <w:tab/>
        <w:t xml:space="preserve">określono </w:t>
      </w:r>
      <w:r w:rsidRPr="001667DB">
        <w:rPr>
          <w:rFonts w:ascii="Times New Roman" w:hAnsi="Times New Roman" w:cs="Times New Roman"/>
          <w:color w:val="000000" w:themeColor="text1"/>
        </w:rPr>
        <w:tab/>
        <w:t xml:space="preserve">w </w:t>
      </w:r>
      <w:r w:rsidRPr="001667DB">
        <w:rPr>
          <w:rFonts w:ascii="Times New Roman" w:hAnsi="Times New Roman" w:cs="Times New Roman"/>
          <w:color w:val="000000" w:themeColor="text1"/>
        </w:rPr>
        <w:tab/>
        <w:t xml:space="preserve">Tablicy </w:t>
      </w:r>
      <w:r w:rsidRPr="001667DB">
        <w:rPr>
          <w:rFonts w:ascii="Times New Roman" w:hAnsi="Times New Roman" w:cs="Times New Roman"/>
          <w:color w:val="000000" w:themeColor="text1"/>
        </w:rPr>
        <w:tab/>
        <w:t xml:space="preserve">5.1.   </w:t>
      </w:r>
    </w:p>
    <w:p w14:paraId="350A45FF" w14:textId="77777777" w:rsidR="00955A27" w:rsidRPr="001667DB" w:rsidRDefault="00955A27" w:rsidP="00DD7B64">
      <w:pPr>
        <w:spacing w:after="120" w:line="360" w:lineRule="auto"/>
        <w:ind w:left="10"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Inżynier/ Inspektor nadzoru  może dopuścić stosowanie wartości określonych w Tablicy </w:t>
      </w:r>
    </w:p>
    <w:p w14:paraId="662C0E5E"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5.1 w przypadku niewielkiego zakresu robót i dużej j</w:t>
      </w:r>
      <w:r w:rsidR="00DD7B64">
        <w:rPr>
          <w:rFonts w:ascii="Times New Roman" w:hAnsi="Times New Roman" w:cs="Times New Roman"/>
          <w:color w:val="000000" w:themeColor="text1"/>
        </w:rPr>
        <w:t>ednorodności gruntu/materiału w </w:t>
      </w:r>
      <w:r w:rsidRPr="001667DB">
        <w:rPr>
          <w:rFonts w:ascii="Times New Roman" w:hAnsi="Times New Roman" w:cs="Times New Roman"/>
          <w:color w:val="000000" w:themeColor="text1"/>
        </w:rPr>
        <w:t xml:space="preserve">ocenianej warstwie, z zastrzeżeniem treści punktu 6.1.3. niniejszych ST. </w:t>
      </w:r>
    </w:p>
    <w:p w14:paraId="433017F8"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5.1.Maksymalne wartości wskaźnika odkształcenia w drogowych robotach ziemnych </w:t>
      </w:r>
    </w:p>
    <w:tbl>
      <w:tblPr>
        <w:tblStyle w:val="TableGrid"/>
        <w:tblW w:w="8644" w:type="dxa"/>
        <w:tblInd w:w="838" w:type="dxa"/>
        <w:tblCellMar>
          <w:top w:w="50" w:type="dxa"/>
          <w:left w:w="5" w:type="dxa"/>
          <w:right w:w="15" w:type="dxa"/>
        </w:tblCellMar>
        <w:tblLook w:val="04A0" w:firstRow="1" w:lastRow="0" w:firstColumn="1" w:lastColumn="0" w:noHBand="0" w:noVBand="1"/>
      </w:tblPr>
      <w:tblGrid>
        <w:gridCol w:w="5797"/>
        <w:gridCol w:w="2847"/>
      </w:tblGrid>
      <w:tr w:rsidR="00955A27" w:rsidRPr="001667DB" w14:paraId="79DBE5CE" w14:textId="77777777">
        <w:trPr>
          <w:trHeight w:val="785"/>
        </w:trPr>
        <w:tc>
          <w:tcPr>
            <w:tcW w:w="5809" w:type="dxa"/>
            <w:tcBorders>
              <w:top w:val="double" w:sz="4" w:space="0" w:color="000000"/>
              <w:left w:val="double" w:sz="4" w:space="0" w:color="000000"/>
              <w:bottom w:val="double" w:sz="4" w:space="0" w:color="000000"/>
              <w:right w:val="single" w:sz="4" w:space="0" w:color="000000"/>
            </w:tcBorders>
            <w:vAlign w:val="center"/>
          </w:tcPr>
          <w:p w14:paraId="27146D8C"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Grunt lub materiał</w:t>
            </w:r>
            <w:r w:rsidRPr="001667DB">
              <w:rPr>
                <w:rFonts w:ascii="Times New Roman" w:hAnsi="Times New Roman" w:cs="Times New Roman"/>
                <w:b/>
                <w:color w:val="000000" w:themeColor="text1"/>
              </w:rPr>
              <w:t xml:space="preserve"> </w:t>
            </w:r>
          </w:p>
        </w:tc>
        <w:tc>
          <w:tcPr>
            <w:tcW w:w="2835" w:type="dxa"/>
            <w:tcBorders>
              <w:top w:val="double" w:sz="4" w:space="0" w:color="000000"/>
              <w:left w:val="single" w:sz="4" w:space="0" w:color="000000"/>
              <w:bottom w:val="double" w:sz="4" w:space="0" w:color="000000"/>
              <w:right w:val="double" w:sz="4" w:space="0" w:color="000000"/>
            </w:tcBorders>
          </w:tcPr>
          <w:p w14:paraId="55BB4F4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Maksymalna wartość wskaźnika odkształcenia </w:t>
            </w:r>
          </w:p>
          <w:p w14:paraId="0DDD3235" w14:textId="77777777" w:rsidR="00955A27" w:rsidRPr="001667DB" w:rsidRDefault="00955A27" w:rsidP="00955A27">
            <w:pPr>
              <w:spacing w:after="120" w:line="360" w:lineRule="auto"/>
              <w:ind w:left="11"/>
              <w:jc w:val="center"/>
              <w:rPr>
                <w:rFonts w:ascii="Times New Roman" w:hAnsi="Times New Roman" w:cs="Times New Roman"/>
                <w:color w:val="000000" w:themeColor="text1"/>
              </w:rPr>
            </w:pPr>
            <w:r w:rsidRPr="001667DB">
              <w:rPr>
                <w:rFonts w:ascii="Times New Roman" w:hAnsi="Times New Roman" w:cs="Times New Roman"/>
                <w:b/>
                <w:color w:val="000000" w:themeColor="text1"/>
              </w:rPr>
              <w:t>I</w:t>
            </w:r>
            <w:r w:rsidRPr="001667DB">
              <w:rPr>
                <w:rFonts w:ascii="Times New Roman" w:hAnsi="Times New Roman" w:cs="Times New Roman"/>
                <w:b/>
                <w:color w:val="000000" w:themeColor="text1"/>
                <w:vertAlign w:val="subscript"/>
              </w:rPr>
              <w:t>o</w:t>
            </w:r>
            <w:r w:rsidRPr="001667DB">
              <w:rPr>
                <w:rFonts w:ascii="Times New Roman" w:hAnsi="Times New Roman" w:cs="Times New Roman"/>
                <w:b/>
                <w:color w:val="000000" w:themeColor="text1"/>
              </w:rPr>
              <w:t xml:space="preserve"> </w:t>
            </w:r>
          </w:p>
        </w:tc>
      </w:tr>
      <w:tr w:rsidR="00955A27" w:rsidRPr="001667DB" w14:paraId="10F19B73" w14:textId="77777777">
        <w:trPr>
          <w:trHeight w:val="271"/>
        </w:trPr>
        <w:tc>
          <w:tcPr>
            <w:tcW w:w="5809" w:type="dxa"/>
            <w:tcBorders>
              <w:top w:val="double" w:sz="4" w:space="0" w:color="000000"/>
              <w:left w:val="double" w:sz="4" w:space="0" w:color="000000"/>
              <w:bottom w:val="single" w:sz="4" w:space="0" w:color="000000"/>
              <w:right w:val="single" w:sz="4" w:space="0" w:color="000000"/>
            </w:tcBorders>
          </w:tcPr>
          <w:p w14:paraId="040C05C7"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Grunty niespoiste oraz wymagane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 1.0  </w:t>
            </w:r>
          </w:p>
        </w:tc>
        <w:tc>
          <w:tcPr>
            <w:tcW w:w="2835" w:type="dxa"/>
            <w:vMerge w:val="restart"/>
            <w:tcBorders>
              <w:top w:val="double" w:sz="4" w:space="0" w:color="000000"/>
              <w:left w:val="single" w:sz="4" w:space="0" w:color="000000"/>
              <w:bottom w:val="single" w:sz="4" w:space="0" w:color="000000"/>
              <w:right w:val="double" w:sz="4" w:space="0" w:color="000000"/>
            </w:tcBorders>
          </w:tcPr>
          <w:p w14:paraId="5C46532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noProof/>
                <w:color w:val="000000" w:themeColor="text1"/>
              </w:rPr>
              <w:drawing>
                <wp:inline distT="0" distB="0" distL="0" distR="0" wp14:anchorId="26951C5C" wp14:editId="416DC273">
                  <wp:extent cx="1795272" cy="280416"/>
                  <wp:effectExtent l="0" t="0" r="0" b="0"/>
                  <wp:docPr id="60219" name="Picture 60219"/>
                  <wp:cNvGraphicFramePr/>
                  <a:graphic xmlns:a="http://schemas.openxmlformats.org/drawingml/2006/main">
                    <a:graphicData uri="http://schemas.openxmlformats.org/drawingml/2006/picture">
                      <pic:pic xmlns:pic="http://schemas.openxmlformats.org/drawingml/2006/picture">
                        <pic:nvPicPr>
                          <pic:cNvPr id="60219" name="Picture 60219"/>
                          <pic:cNvPicPr/>
                        </pic:nvPicPr>
                        <pic:blipFill>
                          <a:blip r:embed="rId10"/>
                          <a:stretch>
                            <a:fillRect/>
                          </a:stretch>
                        </pic:blipFill>
                        <pic:spPr>
                          <a:xfrm>
                            <a:off x="0" y="0"/>
                            <a:ext cx="1795272" cy="280416"/>
                          </a:xfrm>
                          <a:prstGeom prst="rect">
                            <a:avLst/>
                          </a:prstGeom>
                        </pic:spPr>
                      </pic:pic>
                    </a:graphicData>
                  </a:graphic>
                </wp:inline>
              </w:drawing>
            </w:r>
          </w:p>
        </w:tc>
      </w:tr>
      <w:tr w:rsidR="00955A27" w:rsidRPr="001667DB" w14:paraId="37A206D2" w14:textId="77777777">
        <w:trPr>
          <w:trHeight w:val="262"/>
        </w:trPr>
        <w:tc>
          <w:tcPr>
            <w:tcW w:w="5809" w:type="dxa"/>
            <w:tcBorders>
              <w:top w:val="single" w:sz="4" w:space="0" w:color="000000"/>
              <w:left w:val="double" w:sz="4" w:space="0" w:color="000000"/>
              <w:bottom w:val="single" w:sz="4" w:space="0" w:color="000000"/>
              <w:right w:val="single" w:sz="4" w:space="0" w:color="000000"/>
            </w:tcBorders>
          </w:tcPr>
          <w:p w14:paraId="1FE543CD"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Grunty niespoiste oraz wymagane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&lt; 1.0 </w:t>
            </w:r>
          </w:p>
        </w:tc>
        <w:tc>
          <w:tcPr>
            <w:tcW w:w="0" w:type="auto"/>
            <w:vMerge/>
            <w:tcBorders>
              <w:top w:val="nil"/>
              <w:left w:val="single" w:sz="4" w:space="0" w:color="000000"/>
              <w:bottom w:val="single" w:sz="4" w:space="0" w:color="000000"/>
              <w:right w:val="double" w:sz="4" w:space="0" w:color="000000"/>
            </w:tcBorders>
          </w:tcPr>
          <w:p w14:paraId="3966CBB7"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7D0BAA41" w14:textId="77777777">
        <w:trPr>
          <w:trHeight w:val="514"/>
        </w:trPr>
        <w:tc>
          <w:tcPr>
            <w:tcW w:w="5809" w:type="dxa"/>
            <w:tcBorders>
              <w:top w:val="single" w:sz="4" w:space="0" w:color="000000"/>
              <w:left w:val="double" w:sz="4" w:space="0" w:color="000000"/>
              <w:bottom w:val="single" w:sz="4" w:space="0" w:color="000000"/>
              <w:right w:val="single" w:sz="4" w:space="0" w:color="000000"/>
            </w:tcBorders>
          </w:tcPr>
          <w:p w14:paraId="5DEC69DF"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spoiwami do 12h od zakończenia zagęszczania </w:t>
            </w:r>
          </w:p>
        </w:tc>
        <w:tc>
          <w:tcPr>
            <w:tcW w:w="2835" w:type="dxa"/>
            <w:tcBorders>
              <w:top w:val="single" w:sz="4" w:space="0" w:color="000000"/>
              <w:left w:val="single" w:sz="4" w:space="0" w:color="000000"/>
              <w:bottom w:val="single" w:sz="4" w:space="0" w:color="000000"/>
              <w:right w:val="double" w:sz="4" w:space="0" w:color="000000"/>
            </w:tcBorders>
            <w:vAlign w:val="center"/>
          </w:tcPr>
          <w:p w14:paraId="51A68A12"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2,2 </w:t>
            </w:r>
          </w:p>
        </w:tc>
      </w:tr>
      <w:tr w:rsidR="00955A27" w:rsidRPr="001667DB" w14:paraId="78341036" w14:textId="77777777">
        <w:trPr>
          <w:trHeight w:val="262"/>
        </w:trPr>
        <w:tc>
          <w:tcPr>
            <w:tcW w:w="5809" w:type="dxa"/>
            <w:tcBorders>
              <w:top w:val="single" w:sz="4" w:space="0" w:color="000000"/>
              <w:left w:val="double" w:sz="4" w:space="0" w:color="000000"/>
              <w:bottom w:val="single" w:sz="4" w:space="0" w:color="000000"/>
              <w:right w:val="single" w:sz="4" w:space="0" w:color="000000"/>
            </w:tcBorders>
          </w:tcPr>
          <w:p w14:paraId="438F7806"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drobnoziarniste o równomiernym uziarnieniu  </w:t>
            </w:r>
          </w:p>
        </w:tc>
        <w:tc>
          <w:tcPr>
            <w:tcW w:w="2835" w:type="dxa"/>
            <w:tcBorders>
              <w:top w:val="single" w:sz="4" w:space="0" w:color="000000"/>
              <w:left w:val="single" w:sz="4" w:space="0" w:color="000000"/>
              <w:bottom w:val="single" w:sz="4" w:space="0" w:color="000000"/>
              <w:right w:val="double" w:sz="4" w:space="0" w:color="000000"/>
            </w:tcBorders>
          </w:tcPr>
          <w:p w14:paraId="71FC541F"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2,0 </w:t>
            </w:r>
          </w:p>
        </w:tc>
      </w:tr>
      <w:tr w:rsidR="00955A27" w:rsidRPr="001667DB" w14:paraId="35C6223F" w14:textId="77777777">
        <w:trPr>
          <w:trHeight w:val="262"/>
        </w:trPr>
        <w:tc>
          <w:tcPr>
            <w:tcW w:w="5809" w:type="dxa"/>
            <w:tcBorders>
              <w:top w:val="single" w:sz="4" w:space="0" w:color="000000"/>
              <w:left w:val="double" w:sz="4" w:space="0" w:color="000000"/>
              <w:bottom w:val="single" w:sz="4" w:space="0" w:color="000000"/>
              <w:right w:val="single" w:sz="4" w:space="0" w:color="000000"/>
            </w:tcBorders>
          </w:tcPr>
          <w:p w14:paraId="005ED7A4"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o zróżnicowanym uziarnieniu. </w:t>
            </w:r>
          </w:p>
        </w:tc>
        <w:tc>
          <w:tcPr>
            <w:tcW w:w="2835" w:type="dxa"/>
            <w:tcBorders>
              <w:top w:val="single" w:sz="4" w:space="0" w:color="000000"/>
              <w:left w:val="single" w:sz="4" w:space="0" w:color="000000"/>
              <w:bottom w:val="single" w:sz="4" w:space="0" w:color="000000"/>
              <w:right w:val="double" w:sz="4" w:space="0" w:color="000000"/>
            </w:tcBorders>
          </w:tcPr>
          <w:p w14:paraId="518350F8"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3,0 </w:t>
            </w:r>
          </w:p>
        </w:tc>
      </w:tr>
      <w:tr w:rsidR="00955A27" w:rsidRPr="001667DB" w14:paraId="6F5A9900" w14:textId="77777777">
        <w:trPr>
          <w:trHeight w:val="262"/>
        </w:trPr>
        <w:tc>
          <w:tcPr>
            <w:tcW w:w="5809" w:type="dxa"/>
            <w:tcBorders>
              <w:top w:val="single" w:sz="4" w:space="0" w:color="000000"/>
              <w:left w:val="double" w:sz="4" w:space="0" w:color="000000"/>
              <w:bottom w:val="single" w:sz="4" w:space="0" w:color="000000"/>
              <w:right w:val="single" w:sz="4" w:space="0" w:color="000000"/>
            </w:tcBorders>
          </w:tcPr>
          <w:p w14:paraId="0D1C9F2F"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kamieniste  </w:t>
            </w:r>
          </w:p>
        </w:tc>
        <w:tc>
          <w:tcPr>
            <w:tcW w:w="2835" w:type="dxa"/>
            <w:tcBorders>
              <w:top w:val="single" w:sz="4" w:space="0" w:color="000000"/>
              <w:left w:val="single" w:sz="4" w:space="0" w:color="000000"/>
              <w:bottom w:val="single" w:sz="4" w:space="0" w:color="000000"/>
              <w:right w:val="double" w:sz="4" w:space="0" w:color="000000"/>
            </w:tcBorders>
          </w:tcPr>
          <w:p w14:paraId="1E138ED1"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4,0 </w:t>
            </w:r>
          </w:p>
        </w:tc>
      </w:tr>
      <w:tr w:rsidR="00955A27" w:rsidRPr="001667DB" w14:paraId="4EA59DC3" w14:textId="77777777">
        <w:trPr>
          <w:trHeight w:val="799"/>
        </w:trPr>
        <w:tc>
          <w:tcPr>
            <w:tcW w:w="5809" w:type="dxa"/>
            <w:tcBorders>
              <w:top w:val="single" w:sz="4" w:space="0" w:color="000000"/>
              <w:left w:val="double" w:sz="4" w:space="0" w:color="000000"/>
              <w:bottom w:val="double" w:sz="4" w:space="0" w:color="000000"/>
              <w:right w:val="single" w:sz="4" w:space="0" w:color="000000"/>
            </w:tcBorders>
            <w:vAlign w:val="center"/>
          </w:tcPr>
          <w:p w14:paraId="01AC943B" w14:textId="77777777" w:rsidR="00955A27" w:rsidRPr="001667DB" w:rsidRDefault="00955A27" w:rsidP="00955A27">
            <w:pPr>
              <w:spacing w:after="120" w:line="360" w:lineRule="auto"/>
              <w:ind w:left="103"/>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i materiały antropogeniczne  </w:t>
            </w:r>
          </w:p>
        </w:tc>
        <w:tc>
          <w:tcPr>
            <w:tcW w:w="2835" w:type="dxa"/>
            <w:tcBorders>
              <w:top w:val="single" w:sz="4" w:space="0" w:color="000000"/>
              <w:left w:val="single" w:sz="4" w:space="0" w:color="000000"/>
              <w:bottom w:val="double" w:sz="4" w:space="0" w:color="000000"/>
              <w:right w:val="double" w:sz="4" w:space="0" w:color="000000"/>
            </w:tcBorders>
            <w:vAlign w:val="center"/>
          </w:tcPr>
          <w:p w14:paraId="54BF5F65"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wartość należy określić  </w:t>
            </w:r>
          </w:p>
          <w:p w14:paraId="4CBB75DE" w14:textId="77777777" w:rsidR="00955A27" w:rsidRPr="001667DB" w:rsidRDefault="00955A27" w:rsidP="00955A27">
            <w:pPr>
              <w:spacing w:after="120" w:line="360" w:lineRule="auto"/>
              <w:ind w:left="1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podstawie badań </w:t>
            </w:r>
          </w:p>
        </w:tc>
      </w:tr>
    </w:tbl>
    <w:p w14:paraId="42A2330F"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Dopuszcza się ocenę stanu zagęszczenia gruntów i materiałów z zastosowaniem urządzeń do ciągłego pomiaru zagęszczenia na zasadach podanych w STD 02.03.01 „Wykonywanie nasypów” w p. 5.14.5 i w p.5.14.6, z zastrzeżeniem treści punktu 6.1.3. niniejszych ST.  </w:t>
      </w:r>
    </w:p>
    <w:p w14:paraId="638D8B88"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Inżynier/Inspektor nadzoru może dopuścić zastosowanie w kontroli stanu zagęszczenia gruntów i materiałów lekkiej płyty dynamicznej LPD. Konieczne jest potwierdzenie na odcinku próbnym i akceptacja przez Inżyniera/ Inspektora nadzoru korelacji wartości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z wartościami modułu dynamicznego E</w:t>
      </w:r>
      <w:r w:rsidRPr="001667DB">
        <w:rPr>
          <w:rFonts w:ascii="Times New Roman" w:hAnsi="Times New Roman" w:cs="Times New Roman"/>
          <w:color w:val="000000" w:themeColor="text1"/>
          <w:vertAlign w:val="subscript"/>
        </w:rPr>
        <w:t>vd</w:t>
      </w:r>
      <w:r w:rsidR="00DD7B64">
        <w:rPr>
          <w:rFonts w:ascii="Times New Roman" w:hAnsi="Times New Roman" w:cs="Times New Roman"/>
          <w:color w:val="000000" w:themeColor="text1"/>
        </w:rPr>
        <w:t xml:space="preserve"> w odniesieniu do gruntów i </w:t>
      </w:r>
      <w:r w:rsidRPr="001667DB">
        <w:rPr>
          <w:rFonts w:ascii="Times New Roman" w:hAnsi="Times New Roman" w:cs="Times New Roman"/>
          <w:color w:val="000000" w:themeColor="text1"/>
        </w:rPr>
        <w:t xml:space="preserve">materiałów stosowanych w konkretnym przypadku oraz spełnienie zapisów </w:t>
      </w:r>
    </w:p>
    <w:p w14:paraId="482ECC61"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 5.12.5. i p. 6.1.3. niniejszych ST. W przypadku stosowania płyt LPD o różnych konstrukcjach korelację należy ustalić dla każdego typu urządzenia. </w:t>
      </w:r>
    </w:p>
    <w:p w14:paraId="4663754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Inżynier/Inspektor nadzoru może dopuścić zastosowanie wyłącznie do dodatkowej kontroli zagęszczenia nasypów z gruntów niespoistych sond dynamicznych. Procedurę badania oraz interpretacji wyników wskazano w załączniku Z.2.L.  </w:t>
      </w:r>
    </w:p>
    <w:p w14:paraId="709664E0" w14:textId="77777777" w:rsidR="00955A27" w:rsidRPr="001667DB" w:rsidRDefault="00955A27" w:rsidP="00DD7B6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2" w:name="_Toc61845"/>
      <w:r w:rsidRPr="001667DB">
        <w:rPr>
          <w:color w:val="000000" w:themeColor="text1"/>
          <w:sz w:val="22"/>
          <w:szCs w:val="22"/>
        </w:rPr>
        <w:lastRenderedPageBreak/>
        <w:t xml:space="preserve">Wymagania dotyczące nośności  </w:t>
      </w:r>
      <w:bookmarkEnd w:id="172"/>
    </w:p>
    <w:p w14:paraId="54A8E7E6"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Wartość wtórnego modułu odkształcenia należy kontro</w:t>
      </w:r>
      <w:r w:rsidR="00DD7B64">
        <w:rPr>
          <w:rFonts w:ascii="Times New Roman" w:hAnsi="Times New Roman" w:cs="Times New Roman"/>
          <w:color w:val="000000" w:themeColor="text1"/>
        </w:rPr>
        <w:t>lować na powierzchni warstw, w </w:t>
      </w:r>
      <w:r w:rsidRPr="001667DB">
        <w:rPr>
          <w:rFonts w:ascii="Times New Roman" w:hAnsi="Times New Roman" w:cs="Times New Roman"/>
          <w:color w:val="000000" w:themeColor="text1"/>
        </w:rPr>
        <w:t>odniesieniu do których określono wymóg dotyczący minimalne</w:t>
      </w:r>
      <w:r w:rsidR="00DD7B64">
        <w:rPr>
          <w:rFonts w:ascii="Times New Roman" w:hAnsi="Times New Roman" w:cs="Times New Roman"/>
          <w:color w:val="000000" w:themeColor="text1"/>
        </w:rPr>
        <w:t xml:space="preserve">j wartości wtórnego </w:t>
      </w:r>
      <w:r w:rsidRPr="001667DB">
        <w:rPr>
          <w:rFonts w:ascii="Times New Roman" w:hAnsi="Times New Roman" w:cs="Times New Roman"/>
          <w:color w:val="000000" w:themeColor="text1"/>
        </w:rPr>
        <w:t>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Szczegółowe wymagania dotyczące wartości wtórnego modułu odkształcenia E</w:t>
      </w:r>
      <w:r w:rsidRPr="001667DB">
        <w:rPr>
          <w:rFonts w:ascii="Times New Roman" w:hAnsi="Times New Roman" w:cs="Times New Roman"/>
          <w:color w:val="000000" w:themeColor="text1"/>
          <w:vertAlign w:val="subscript"/>
        </w:rPr>
        <w:t xml:space="preserve">2 </w:t>
      </w:r>
      <w:r w:rsidRPr="001667DB">
        <w:rPr>
          <w:rFonts w:ascii="Times New Roman" w:hAnsi="Times New Roman" w:cs="Times New Roman"/>
          <w:color w:val="000000" w:themeColor="text1"/>
        </w:rPr>
        <w:t>w wykopach podano w STD-02.01.01. ”Roboty ziemne. Wykonanie wykopów”. Szczegółowe wymagania dotyczące wartości modułu odkształcenia E</w:t>
      </w:r>
      <w:r w:rsidRPr="001667DB">
        <w:rPr>
          <w:rFonts w:ascii="Times New Roman" w:hAnsi="Times New Roman" w:cs="Times New Roman"/>
          <w:color w:val="000000" w:themeColor="text1"/>
          <w:vertAlign w:val="subscript"/>
        </w:rPr>
        <w:t>2</w:t>
      </w:r>
      <w:r w:rsidR="00DD7B64">
        <w:rPr>
          <w:rFonts w:ascii="Times New Roman" w:hAnsi="Times New Roman" w:cs="Times New Roman"/>
          <w:color w:val="000000" w:themeColor="text1"/>
        </w:rPr>
        <w:t> </w:t>
      </w:r>
      <w:r w:rsidRPr="001667DB">
        <w:rPr>
          <w:rFonts w:ascii="Times New Roman" w:hAnsi="Times New Roman" w:cs="Times New Roman"/>
          <w:color w:val="000000" w:themeColor="text1"/>
        </w:rPr>
        <w:t>w</w:t>
      </w:r>
      <w:r w:rsidR="00DD7B64">
        <w:rPr>
          <w:rFonts w:ascii="Times New Roman" w:hAnsi="Times New Roman" w:cs="Times New Roman"/>
          <w:color w:val="000000" w:themeColor="text1"/>
        </w:rPr>
        <w:t> </w:t>
      </w:r>
      <w:r w:rsidRPr="001667DB">
        <w:rPr>
          <w:rFonts w:ascii="Times New Roman" w:hAnsi="Times New Roman" w:cs="Times New Roman"/>
          <w:color w:val="000000" w:themeColor="text1"/>
        </w:rPr>
        <w:t xml:space="preserve">nasypach podano w STD-02.03.01. ”Roboty ziemne. Wykonanie nasypów”. Schematy z podanymi wartościami w wykopach i w nasypach podano w załączniku 1. </w:t>
      </w:r>
    </w:p>
    <w:p w14:paraId="6ED54C93"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Roboty ziemne należy wykonać w sposób zapewniający uzyskanie nośności podłoża  gruntowego nawierzchni, określonej wartością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nie gorszej niż przyjęta w projekcie konstrukcji nawierzchni. Nie dopuszcza się redukcji grubości warstw konstrukcji nawierzchni w przypadku stwierdzenia większej wartości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niż przyjęta w projekcie konstrukcji nawierzchni. </w:t>
      </w:r>
    </w:p>
    <w:p w14:paraId="07E7A46F"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Moduł odkształcenia należy obliczać według wzoru określonego w p. 1.6.20 na podstawie badania według zasad podanych w Załączniku 2. Wartości modułów można </w:t>
      </w:r>
    </w:p>
    <w:p w14:paraId="5C9BE1B5" w14:textId="77777777" w:rsidR="00955A27" w:rsidRPr="001667DB" w:rsidRDefault="00955A27" w:rsidP="00DD7B64">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uznać za miarodajne,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wartości modułów. </w:t>
      </w:r>
    </w:p>
    <w:p w14:paraId="632EBD1C" w14:textId="77777777" w:rsidR="00955A27" w:rsidRPr="001667DB" w:rsidRDefault="00955A27" w:rsidP="00DD7B64">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Alternatywnie dopuszcza się kontrolę i ocenę nośności na powierzchni warstwy  gruntu/materiału na podstawie oznaczenia wart</w:t>
      </w:r>
      <w:r w:rsidR="00DD7B64">
        <w:rPr>
          <w:rFonts w:ascii="Times New Roman" w:hAnsi="Times New Roman" w:cs="Times New Roman"/>
          <w:color w:val="000000" w:themeColor="text1"/>
        </w:rPr>
        <w:t>ości modułu dynamicznego Evd  z </w:t>
      </w:r>
      <w:r w:rsidRPr="001667DB">
        <w:rPr>
          <w:rFonts w:ascii="Times New Roman" w:hAnsi="Times New Roman" w:cs="Times New Roman"/>
          <w:color w:val="000000" w:themeColor="text1"/>
        </w:rPr>
        <w:t>zastosowaniem lekkiej płyty dynamicznej LPD. Dopuszczenie tej metody wymaga  potwierdzenia na odcinku próbnym i akceptacji przez Inżyniera/Inspektora nadzoru  korelacji wartości wtórnego modułu odkształcenia E2, stanowiących k</w:t>
      </w:r>
      <w:r w:rsidR="00DD7B64">
        <w:rPr>
          <w:rFonts w:ascii="Times New Roman" w:hAnsi="Times New Roman" w:cs="Times New Roman"/>
          <w:color w:val="000000" w:themeColor="text1"/>
        </w:rPr>
        <w:t>ryterium akceptacji nośności, z </w:t>
      </w:r>
      <w:r w:rsidRPr="001667DB">
        <w:rPr>
          <w:rFonts w:ascii="Times New Roman" w:hAnsi="Times New Roman" w:cs="Times New Roman"/>
          <w:color w:val="000000" w:themeColor="text1"/>
        </w:rPr>
        <w:t xml:space="preserve">wartościami modułu dynamicznego Evd w odniesieniu do gruntów i materiałów stosowanych w konkretnym przypadku i określonych z zastosowaniem wybranego typu (konstrukcji) LPD.W przypadku stosowania płyt LPD o różnych konstrukcjach korelację należy ustalić dla każdego typu urządzenia. Metodami badawczymi referencyjnymi dla wskaźnika zagęszczenia oraz wtórnego modułu odkształcenia w każdym przypadku są metody opisane w załącznikach Z2B oraz Z2C.  </w:t>
      </w:r>
    </w:p>
    <w:p w14:paraId="1319CBA4"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stosowania płyty LPD należy uwzględnić właściwe dla tej metody  ograniczenia w zakresie jej stosowalności. Płytę dynamiczną można stosować wyłącznie dla gruntów niespoistych o uziarnieniu do 63 mm. Wartość modułu Evd można uznać za miarodajną, jeżeli wilgotność gruntu/materiału warstwy w czasie badania nie jest niższa o więcej niż 2% </w:t>
      </w:r>
      <w:r w:rsidRPr="001667DB">
        <w:rPr>
          <w:rFonts w:ascii="Times New Roman" w:hAnsi="Times New Roman" w:cs="Times New Roman"/>
          <w:color w:val="000000" w:themeColor="text1"/>
        </w:rPr>
        <w:lastRenderedPageBreak/>
        <w:t>w</w:t>
      </w:r>
      <w:r w:rsidR="00DD7B64">
        <w:rPr>
          <w:rFonts w:ascii="Times New Roman" w:hAnsi="Times New Roman" w:cs="Times New Roman"/>
          <w:color w:val="000000" w:themeColor="text1"/>
        </w:rPr>
        <w:t> </w:t>
      </w:r>
      <w:r w:rsidRPr="001667DB">
        <w:rPr>
          <w:rFonts w:ascii="Times New Roman" w:hAnsi="Times New Roman" w:cs="Times New Roman"/>
          <w:color w:val="000000" w:themeColor="text1"/>
        </w:rPr>
        <w:t>stosunku do wilgotności jaką miał on w czasie zagęs</w:t>
      </w:r>
      <w:r w:rsidR="00DD7B64">
        <w:rPr>
          <w:rFonts w:ascii="Times New Roman" w:hAnsi="Times New Roman" w:cs="Times New Roman"/>
          <w:color w:val="000000" w:themeColor="text1"/>
        </w:rPr>
        <w:t>zczania. Dopuszczenie badania z </w:t>
      </w:r>
      <w:r w:rsidRPr="001667DB">
        <w:rPr>
          <w:rFonts w:ascii="Times New Roman" w:hAnsi="Times New Roman" w:cs="Times New Roman"/>
          <w:color w:val="000000" w:themeColor="text1"/>
        </w:rPr>
        <w:t xml:space="preserve">zastosowaniem LPD nie może kolidować z zapisami p. 6.1.3. niniejszych ST.  </w:t>
      </w:r>
    </w:p>
    <w:p w14:paraId="5FA61EB4" w14:textId="77777777" w:rsidR="00955A27" w:rsidRPr="001667DB" w:rsidRDefault="00955A27" w:rsidP="0059447F">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3" w:name="_Toc61846"/>
      <w:r w:rsidRPr="001667DB">
        <w:rPr>
          <w:color w:val="000000" w:themeColor="text1"/>
          <w:sz w:val="22"/>
          <w:szCs w:val="22"/>
        </w:rPr>
        <w:t xml:space="preserve">KONTROLA JAKOŚCI ROBÓT </w:t>
      </w:r>
      <w:bookmarkEnd w:id="173"/>
    </w:p>
    <w:p w14:paraId="02F4CE37" w14:textId="77777777" w:rsidR="00955A27" w:rsidRPr="001667DB" w:rsidRDefault="00955A27" w:rsidP="0059447F">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4" w:name="_Toc61847"/>
      <w:r w:rsidRPr="001667DB">
        <w:rPr>
          <w:color w:val="000000" w:themeColor="text1"/>
          <w:sz w:val="22"/>
          <w:szCs w:val="22"/>
        </w:rPr>
        <w:t xml:space="preserve">Ogólne wymagania dotyczące kontroli jakości robót </w:t>
      </w:r>
      <w:bookmarkEnd w:id="174"/>
    </w:p>
    <w:p w14:paraId="0497B9E6"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kontroli jakości robót podano w STD-M 00.00.00, Wymagania ogólne". </w:t>
      </w:r>
    </w:p>
    <w:p w14:paraId="4BC35C96"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dzielą się na: </w:t>
      </w:r>
    </w:p>
    <w:p w14:paraId="20C3C186" w14:textId="77777777" w:rsidR="00955A27" w:rsidRPr="001667DB" w:rsidRDefault="00955A27" w:rsidP="0059447F">
      <w:pPr>
        <w:numPr>
          <w:ilvl w:val="0"/>
          <w:numId w:val="27"/>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Wykonawcy – w ramach własnego nadzoru </w:t>
      </w:r>
    </w:p>
    <w:p w14:paraId="10E3F079" w14:textId="77777777" w:rsidR="00955A27" w:rsidRPr="001667DB" w:rsidRDefault="00955A27" w:rsidP="0059447F">
      <w:pPr>
        <w:numPr>
          <w:ilvl w:val="0"/>
          <w:numId w:val="27"/>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kontrolne – w ramach nadzoru Zamawiającego. </w:t>
      </w:r>
    </w:p>
    <w:p w14:paraId="138D0DAE"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uzasadnionych przypadkach w ramach badań i pomiarów kontrolnych dopuszcza się wykonanie badań i pomiarów kontrolnych dodatkowych lub badań i pomiarów arbitrażowych. </w:t>
      </w:r>
    </w:p>
    <w:p w14:paraId="255276C6"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obejmują: </w:t>
      </w:r>
    </w:p>
    <w:p w14:paraId="67A343FF" w14:textId="77777777" w:rsidR="00955A27" w:rsidRPr="001667DB" w:rsidRDefault="00955A27" w:rsidP="0059447F">
      <w:pPr>
        <w:numPr>
          <w:ilvl w:val="0"/>
          <w:numId w:val="28"/>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pobranie próbek, </w:t>
      </w:r>
    </w:p>
    <w:p w14:paraId="7D748512" w14:textId="77777777" w:rsidR="00955A27" w:rsidRPr="001667DB" w:rsidRDefault="00955A27" w:rsidP="0059447F">
      <w:pPr>
        <w:numPr>
          <w:ilvl w:val="0"/>
          <w:numId w:val="28"/>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zapakowanie próbek do wysyłki, </w:t>
      </w:r>
    </w:p>
    <w:p w14:paraId="7A21F1E8" w14:textId="77777777" w:rsidR="00955A27" w:rsidRPr="001667DB" w:rsidRDefault="00955A27" w:rsidP="0059447F">
      <w:pPr>
        <w:numPr>
          <w:ilvl w:val="0"/>
          <w:numId w:val="28"/>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próbek z miejsca pobrania do placówki wykonującej badania, </w:t>
      </w:r>
    </w:p>
    <w:p w14:paraId="034A408E" w14:textId="77777777" w:rsidR="00955A27" w:rsidRPr="001667DB" w:rsidRDefault="00955A27" w:rsidP="0059447F">
      <w:pPr>
        <w:numPr>
          <w:ilvl w:val="0"/>
          <w:numId w:val="28"/>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badania, </w:t>
      </w:r>
    </w:p>
    <w:p w14:paraId="529B3105" w14:textId="77777777" w:rsidR="00955A27" w:rsidRPr="001667DB" w:rsidRDefault="00955A27" w:rsidP="0059447F">
      <w:pPr>
        <w:numPr>
          <w:ilvl w:val="0"/>
          <w:numId w:val="28"/>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sprawozdanie z badań.  </w:t>
      </w:r>
    </w:p>
    <w:p w14:paraId="26B477D1"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Pomiary obejmują terenową weryfikację zrealizowanych robót. </w:t>
      </w:r>
    </w:p>
    <w:p w14:paraId="74656616" w14:textId="77777777" w:rsidR="00955A27" w:rsidRPr="001667DB" w:rsidRDefault="00955A27" w:rsidP="0059447F">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6.1.2.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i pomiary Wykonawcy – zgodnie z D-M-00.00.00 „Wymagania ogólne”.  </w:t>
      </w:r>
    </w:p>
    <w:p w14:paraId="710A6009"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badań i pomiarów Wykonawcy powinien być: </w:t>
      </w:r>
    </w:p>
    <w:p w14:paraId="361337D3" w14:textId="77777777" w:rsidR="00955A27" w:rsidRPr="001667DB" w:rsidRDefault="00955A27" w:rsidP="0059447F">
      <w:pPr>
        <w:numPr>
          <w:ilvl w:val="0"/>
          <w:numId w:val="29"/>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mniejszy niż określony w Zakładowej Kontroli Produkcji dla dostarczanych na budowę materiałów i wyrobów budowlanych, </w:t>
      </w:r>
    </w:p>
    <w:p w14:paraId="1A516B8D" w14:textId="77777777" w:rsidR="00955A27" w:rsidRPr="001667DB" w:rsidRDefault="00955A27" w:rsidP="0059447F">
      <w:pPr>
        <w:numPr>
          <w:ilvl w:val="0"/>
          <w:numId w:val="29"/>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mniejszy niż wskazano w niniejszym ST.  </w:t>
      </w:r>
    </w:p>
    <w:p w14:paraId="4097C827"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Podczas kontroli jakości robót badania należy prowadzić zgodnie z metodami  i wymaganiami wskazanymi w niniejszych ST. Na wniosek Wykonawcy Inżynier/  Inspektor nadzoru – o ile niniejsze STnie stanowi inaczej – może dopuścić zastosowanie alternatywnych metod, norm, procedur lub reguł określających sposób wykonania badań terenowych i laboratoryjnych i ocenę ich wyników, o ile alternatywne normy, procedury oraz reguły są zgodne z odpowiednimi zasadami określonymi w niniejszych SToraz są co najmniej równoważne w odniesieniu do przyszłego bezpieczeństwa konstrukcji, oraz jej użytkowalności i trwałości, </w:t>
      </w:r>
      <w:r w:rsidRPr="001667DB">
        <w:rPr>
          <w:rFonts w:ascii="Times New Roman" w:hAnsi="Times New Roman" w:cs="Times New Roman"/>
          <w:color w:val="000000" w:themeColor="text1"/>
        </w:rPr>
        <w:lastRenderedPageBreak/>
        <w:t xml:space="preserve">jakich można byłoby oczekiwać w przypadku zastosowania wymagań wskazanych w niniejszych ST. Każde odstępstwo od wymagań zawartych w niniejszych SToraz od wymagań określonych w przywołanych normach i procedurach należy szczegółowo uzasadnić i opisać, w szczególności należy poddać ocenie wpływ odstępstwa od wymagań określonych w niniejszych ST, na wyniki poszczególnych badań. </w:t>
      </w:r>
    </w:p>
    <w:p w14:paraId="19E66865"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i pomiary kontrolne oraz badania i pomiary kontrolne dodatkowe – zgodnie z D-M-00.00.00 „Wymagania ogólne”.   </w:t>
      </w:r>
    </w:p>
    <w:p w14:paraId="373FB792" w14:textId="77777777" w:rsidR="00955A27" w:rsidRPr="001667DB" w:rsidRDefault="00955A27" w:rsidP="0059447F">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6.1.5.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i pomiary arbitrażowe – zgodnie z D-M-00.00.00 „Wymagania ogólne”.  </w:t>
      </w:r>
    </w:p>
    <w:p w14:paraId="22721D74" w14:textId="77777777" w:rsidR="00955A27" w:rsidRPr="001667DB" w:rsidRDefault="00955A27" w:rsidP="0059447F">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EE0B493" w14:textId="77777777" w:rsidR="00955A27" w:rsidRPr="001667DB" w:rsidRDefault="00955A27" w:rsidP="0059447F">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5" w:name="_Toc61848"/>
      <w:r w:rsidRPr="001667DB">
        <w:rPr>
          <w:color w:val="000000" w:themeColor="text1"/>
          <w:sz w:val="22"/>
          <w:szCs w:val="22"/>
        </w:rPr>
        <w:t>Badania i pomiary przed przystąpieniem do robót ziemnych – zgodnie z D-M-</w:t>
      </w:r>
      <w:bookmarkEnd w:id="175"/>
    </w:p>
    <w:p w14:paraId="5D7C1F2D" w14:textId="77777777" w:rsidR="00955A27" w:rsidRPr="001667DB" w:rsidRDefault="00955A27" w:rsidP="0059447F">
      <w:pPr>
        <w:pStyle w:val="Nagwek2"/>
        <w:spacing w:line="360" w:lineRule="auto"/>
        <w:ind w:left="862"/>
        <w:jc w:val="both"/>
        <w:rPr>
          <w:color w:val="000000" w:themeColor="text1"/>
          <w:sz w:val="22"/>
          <w:szCs w:val="22"/>
        </w:rPr>
      </w:pPr>
      <w:bookmarkStart w:id="176" w:name="_Toc61849"/>
      <w:r w:rsidRPr="001667DB">
        <w:rPr>
          <w:color w:val="000000" w:themeColor="text1"/>
          <w:sz w:val="22"/>
          <w:szCs w:val="22"/>
        </w:rPr>
        <w:t xml:space="preserve">00.00.00 „Wymagania ogólne” </w:t>
      </w:r>
      <w:bookmarkEnd w:id="176"/>
    </w:p>
    <w:p w14:paraId="7DC4EEE4"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przystąpieniem do robót ziemnych lub wydzielonego ich etapu należy zweryfikować założenia dotyczące przydatności gruntów i materiałów antropogenicznych do zastosowania jako materiał nasypowy, uwzględniając wymagania określone w punkcie 2 oraz w Dokumentacji Projektowej. Ocenę taką należy przeprowadzać w przypadku każdej zmiany rodzaju lub źródła materiału do wykorzystania jako materiał nasypowy. </w:t>
      </w:r>
    </w:p>
    <w:p w14:paraId="070D901A" w14:textId="77777777" w:rsidR="00955A27" w:rsidRPr="001667DB" w:rsidRDefault="00955A27" w:rsidP="0059447F">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6.2.2.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przystąpieniem do robót Wykonawca powinien: </w:t>
      </w:r>
    </w:p>
    <w:p w14:paraId="2E5DDEE2" w14:textId="77777777" w:rsidR="00955A27" w:rsidRPr="001667DB" w:rsidRDefault="00955A27" w:rsidP="0059447F">
      <w:pPr>
        <w:numPr>
          <w:ilvl w:val="0"/>
          <w:numId w:val="30"/>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przedstawić Inżynierowi/Inspektorowi Nadzoru do akceptacji źródła poboru materiałów; </w:t>
      </w:r>
    </w:p>
    <w:p w14:paraId="623C48BC" w14:textId="77777777" w:rsidR="00955A27" w:rsidRPr="001667DB" w:rsidRDefault="00955A27" w:rsidP="0059447F">
      <w:pPr>
        <w:numPr>
          <w:ilvl w:val="0"/>
          <w:numId w:val="30"/>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uzyskać wymagane dokumenty, dopuszczające wyroby budowlane do obrotu i powszechnego stosowania (np. stwierdzenie o oznakowaniu materiału znakiem CE lub znakiem budowlanym B, Certyfikat Zgodności ZKP/Stałości Właściwości Użytkowych, deklarację właściwości użytkowych, KOT/EOT, aprobatę techniczną, ew. badania materiałów wykonane przez dostawców itp.), </w:t>
      </w:r>
    </w:p>
    <w:p w14:paraId="3DBF3CD3" w14:textId="77777777" w:rsidR="00955A27" w:rsidRPr="001667DB" w:rsidRDefault="00955A27" w:rsidP="0059447F">
      <w:pPr>
        <w:numPr>
          <w:ilvl w:val="0"/>
          <w:numId w:val="30"/>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ew. wykonać własne badania właściwości materiałów przeznaczonych do wykonania robót, określone przez Inżyniera/Inspektora Nadzoru. </w:t>
      </w:r>
    </w:p>
    <w:p w14:paraId="6C8D2D09" w14:textId="77777777" w:rsidR="00955A27" w:rsidRPr="001667DB" w:rsidRDefault="00955A27" w:rsidP="0059447F">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dokumenty oraz wyniki badań Wykonawca przedstawi Inżynierowi/ Inspektorowi Nadzoru do akceptacji. </w:t>
      </w:r>
    </w:p>
    <w:p w14:paraId="7F05AFEC"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zastosowaniem geosyntetyków w robotach ziemnych, Wykonawca powinien  przedstawić Inżynierowi/Inspektorowi nadzoru  dokumenty wskazane w ppkt 6.2.2 oraz inne dokumenty, jeżeli konieczność ich przedłożenia wynika z Dokumentacji Projektowej, potwierdzające spełnienie wymagań w zakresie istotnych właściwości, nie ujętych w dokumentach wskazanych w ppkt 6.2.2 (na przykład wytrzymałość długoterminowa geosyntetyku stosowanego jako zbrojenie). </w:t>
      </w:r>
    </w:p>
    <w:p w14:paraId="183AE21B"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jeżeli grunty lub materiały antropogeniczne, przewidziane do wykorzystania jako materiał nasypowy będą ulepszane to Wykonawca przed przystąpieniem do robót powinien wykazać, że przewidziana do zastosowana metoda ulepszania materiałów, pozwala na uzyskanie wymaganych właściwości oraz spełnienie wymagań dotyczących materiału po wbudowaniu. </w:t>
      </w:r>
    </w:p>
    <w:p w14:paraId="2600D28B"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 przypadku warstwy ulepszonego podłoża Wykonawca przed przystąpieniem  do jej wykonania przedstawi wszystkie niezbędne dokumenty wynikające z wymagań  określonych w ST, dotyczące technologii stosowanej do wykonania tej warstwy,  a w razie potrzeby wykona odcinek próbny na polecenie Inżyniera/Inspektora nadzoru</w:t>
      </w:r>
      <w:r w:rsidRPr="001667DB">
        <w:rPr>
          <w:rFonts w:ascii="Times New Roman" w:eastAsia="Times New Roman" w:hAnsi="Times New Roman" w:cs="Times New Roman"/>
          <w:color w:val="000000" w:themeColor="text1"/>
        </w:rPr>
        <w:t xml:space="preserve">. </w:t>
      </w:r>
    </w:p>
    <w:p w14:paraId="0899E2D6" w14:textId="77777777" w:rsidR="00955A27" w:rsidRPr="001667DB" w:rsidRDefault="00955A27" w:rsidP="0059447F">
      <w:pPr>
        <w:spacing w:after="120" w:line="360" w:lineRule="auto"/>
        <w:ind w:left="852"/>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 xml:space="preserve"> </w:t>
      </w:r>
    </w:p>
    <w:p w14:paraId="129FD209" w14:textId="77777777" w:rsidR="00955A27" w:rsidRPr="001667DB" w:rsidRDefault="00955A27" w:rsidP="0059447F">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7" w:name="_Toc61850"/>
      <w:r w:rsidRPr="001667DB">
        <w:rPr>
          <w:color w:val="000000" w:themeColor="text1"/>
          <w:sz w:val="22"/>
          <w:szCs w:val="22"/>
        </w:rPr>
        <w:t xml:space="preserve">Badania i pomiary w czasie realizacji robót ziemnych </w:t>
      </w:r>
      <w:bookmarkEnd w:id="177"/>
    </w:p>
    <w:p w14:paraId="18494FC8"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jest zobowiązany do przeprowadzania na bieżąco badań i pomiarów w celu sprawdzania czy jakość wykonanych Robót jest zgodna z postawionymi wymaganiami.  Badania powinny być wykonywane z niezbędną starannością, zgodnie z obowiązującymi przepisami i w wymaganym zakresie. Badania Wykonawca powinien wykonywać z częstotliwością gwarantującą zachowanie wymagań dotyczących jakości robót, lecz nie rzadziej niż wskazano to w ST. Wyniki badań będą dokumentowane i archiwizowane przez Wykonawcę. Wyniki badań Wykonawca jest zobowiązany przekazywać Inżynierowi/Inspektorowi nadzoru. </w:t>
      </w:r>
    </w:p>
    <w:p w14:paraId="4F865B16"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trakcie prowadzenia robót należy sprawdzać na bieżąco odwodnienie korpusu  drogowego. Sprawdzanie polega na kontroli zgodności z wymaganiami określonymi  w punkcie 5 oraz  z Dokumentacją Projektową. Szczególną uwagę należy zwrócić na: </w:t>
      </w:r>
    </w:p>
    <w:p w14:paraId="70613401" w14:textId="77777777" w:rsidR="00955A27" w:rsidRPr="001667DB" w:rsidRDefault="00955A27" w:rsidP="0059447F">
      <w:pPr>
        <w:numPr>
          <w:ilvl w:val="0"/>
          <w:numId w:val="31"/>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właściwe ujęcie i odprowadzenie wód opadowych, </w:t>
      </w:r>
    </w:p>
    <w:p w14:paraId="5C150279" w14:textId="77777777" w:rsidR="00955A27" w:rsidRPr="001667DB" w:rsidRDefault="00955A27" w:rsidP="0059447F">
      <w:pPr>
        <w:numPr>
          <w:ilvl w:val="0"/>
          <w:numId w:val="31"/>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właściwe ujęcie i odprowadzenie wysięków wodnych, </w:t>
      </w:r>
    </w:p>
    <w:p w14:paraId="2D0CBC64" w14:textId="77777777" w:rsidR="00955A27" w:rsidRPr="001667DB" w:rsidRDefault="00955A27" w:rsidP="0059447F">
      <w:pPr>
        <w:numPr>
          <w:ilvl w:val="0"/>
          <w:numId w:val="31"/>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właściwe prowadzenie prac aby nie powodować nawadniania gruntów w wykopie  lub w nasypie. </w:t>
      </w:r>
    </w:p>
    <w:p w14:paraId="5CA41966"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6.3.3.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Sprawdzenie wykonania skarp polega na sprawdzeniu zgodności robót z wymaganiami  dotyczącymi: </w:t>
      </w:r>
    </w:p>
    <w:p w14:paraId="1E6F4C6D" w14:textId="77777777" w:rsidR="00955A27" w:rsidRPr="001667DB" w:rsidRDefault="00955A27" w:rsidP="0059447F">
      <w:pPr>
        <w:numPr>
          <w:ilvl w:val="0"/>
          <w:numId w:val="31"/>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pochyleń i dokładności wykonania skarp określonych w tablicy 6.1.,  </w:t>
      </w:r>
    </w:p>
    <w:p w14:paraId="2ED3BA6E" w14:textId="77777777" w:rsidR="00955A27" w:rsidRPr="001667DB" w:rsidRDefault="00955A27" w:rsidP="0059447F">
      <w:pPr>
        <w:numPr>
          <w:ilvl w:val="0"/>
          <w:numId w:val="31"/>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wykonania umocnień powierzchni skarp, sformułowanymi w Dokumentacji Projektowej lub w Projekcie Geotechnicznym. </w:t>
      </w:r>
    </w:p>
    <w:p w14:paraId="0BA3D6B8" w14:textId="77777777" w:rsidR="00955A27" w:rsidRPr="001667DB" w:rsidRDefault="00955A27" w:rsidP="0059447F">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6.3.4.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Zakres czynności wchodzących w zakres sprawdzenia jakości robót w czasie wykonywania wykopów określono w STD-02.01.01 „Roboty ziemne. Wykonywanie wykopów”. </w:t>
      </w:r>
    </w:p>
    <w:p w14:paraId="277112A2"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6.3.5.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Szczegółowy zakres czynności wchodzących w zakres sprawdzenia jakości robót w czasie wykonywania nasypów oraz ukopów, dokopów i odkładów, określono w STD-02.03.01. „Roboty ziemne. Wykonywanie nasypów”. </w:t>
      </w:r>
    </w:p>
    <w:p w14:paraId="37E496C3" w14:textId="77777777" w:rsidR="00955A27" w:rsidRPr="001667DB" w:rsidRDefault="00955A27" w:rsidP="0059447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7787C5F" w14:textId="77777777" w:rsidR="00955A27" w:rsidRPr="001667DB" w:rsidRDefault="00955A27" w:rsidP="0059447F">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8" w:name="_Toc61851"/>
      <w:r w:rsidRPr="001667DB">
        <w:rPr>
          <w:color w:val="000000" w:themeColor="text1"/>
          <w:sz w:val="22"/>
          <w:szCs w:val="22"/>
        </w:rPr>
        <w:t xml:space="preserve">Badania do odbioru korpusu ziemnego </w:t>
      </w:r>
      <w:bookmarkEnd w:id="178"/>
    </w:p>
    <w:p w14:paraId="444837EE"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Odbioru korpusu ziemnego dokonuje się na podstawie technicznych dokumentów  kontrolnych, zgromadzonych przed przystąpieniem do robót oraz prowadzonych w czasie wykonywania robót ziemnych oraz na podstawie badań i pomiarów wykonanych  po zakończeniu wykonania budowli ziemnej,  w zakresie wymaganym przez ST. </w:t>
      </w:r>
    </w:p>
    <w:p w14:paraId="21968320"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zakres badań w czasie odbioru budowli ziemnej wchodzi sprawdzenie: technicznych  dokumentów kontrolnych, cech geometrycznych budowli ziemnej, zagęszczenia, nośności oraz odwodnienia. Ponadto należy sprawdzić wykonanie i umocnienie skarp, na podstawie wymagań odrębnej ST. </w:t>
      </w:r>
    </w:p>
    <w:p w14:paraId="2631180D" w14:textId="77777777" w:rsidR="00955A27" w:rsidRPr="001667DB" w:rsidRDefault="00955A27" w:rsidP="0059447F">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Częstotliwość oraz zakres badań i pomiarów cech geometrycznych budowli ziemnej  do odbioru robót ziemnych podano w tablicy 6.1. </w:t>
      </w:r>
    </w:p>
    <w:p w14:paraId="447471C1" w14:textId="77777777" w:rsidR="00955A27" w:rsidRPr="001667DB" w:rsidRDefault="00955A27" w:rsidP="0059447F">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6.1. Częstotliwość oraz zakres badań i pomiarów geometrycznych wykonanych robót ziemnych </w:t>
      </w:r>
    </w:p>
    <w:tbl>
      <w:tblPr>
        <w:tblStyle w:val="TableGrid"/>
        <w:tblW w:w="9475" w:type="dxa"/>
        <w:tblInd w:w="14" w:type="dxa"/>
        <w:tblCellMar>
          <w:top w:w="52" w:type="dxa"/>
          <w:left w:w="67" w:type="dxa"/>
          <w:right w:w="11" w:type="dxa"/>
        </w:tblCellMar>
        <w:tblLook w:val="04A0" w:firstRow="1" w:lastRow="0" w:firstColumn="1" w:lastColumn="0" w:noHBand="0" w:noVBand="1"/>
      </w:tblPr>
      <w:tblGrid>
        <w:gridCol w:w="498"/>
        <w:gridCol w:w="2993"/>
        <w:gridCol w:w="3989"/>
        <w:gridCol w:w="1995"/>
      </w:tblGrid>
      <w:tr w:rsidR="00955A27" w:rsidRPr="001667DB" w14:paraId="7C30D4CC" w14:textId="77777777">
        <w:trPr>
          <w:trHeight w:val="518"/>
        </w:trPr>
        <w:tc>
          <w:tcPr>
            <w:tcW w:w="497" w:type="dxa"/>
            <w:tcBorders>
              <w:top w:val="single" w:sz="6" w:space="0" w:color="000000"/>
              <w:left w:val="double" w:sz="4" w:space="0" w:color="000000"/>
              <w:bottom w:val="single" w:sz="6" w:space="0" w:color="000000"/>
              <w:right w:val="single" w:sz="6" w:space="0" w:color="000000"/>
            </w:tcBorders>
            <w:vAlign w:val="center"/>
          </w:tcPr>
          <w:p w14:paraId="423CDA72" w14:textId="77777777" w:rsidR="00955A27" w:rsidRPr="001667DB" w:rsidRDefault="00955A27" w:rsidP="00955A27">
            <w:pPr>
              <w:spacing w:after="120" w:line="360" w:lineRule="auto"/>
              <w:ind w:left="44"/>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2993" w:type="dxa"/>
            <w:tcBorders>
              <w:top w:val="single" w:sz="6" w:space="0" w:color="000000"/>
              <w:left w:val="single" w:sz="6" w:space="0" w:color="000000"/>
              <w:bottom w:val="single" w:sz="6" w:space="0" w:color="000000"/>
              <w:right w:val="single" w:sz="6" w:space="0" w:color="000000"/>
            </w:tcBorders>
            <w:vAlign w:val="center"/>
          </w:tcPr>
          <w:p w14:paraId="33951F62"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Badana cecha </w:t>
            </w:r>
          </w:p>
        </w:tc>
        <w:tc>
          <w:tcPr>
            <w:tcW w:w="3989" w:type="dxa"/>
            <w:tcBorders>
              <w:top w:val="single" w:sz="6" w:space="0" w:color="000000"/>
              <w:left w:val="single" w:sz="6" w:space="0" w:color="000000"/>
              <w:bottom w:val="single" w:sz="6" w:space="0" w:color="000000"/>
              <w:right w:val="single" w:sz="6" w:space="0" w:color="000000"/>
            </w:tcBorders>
            <w:vAlign w:val="center"/>
          </w:tcPr>
          <w:p w14:paraId="7AE1AF8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Minimalna częstotliwość badań i pomiarów </w:t>
            </w:r>
          </w:p>
        </w:tc>
        <w:tc>
          <w:tcPr>
            <w:tcW w:w="1995" w:type="dxa"/>
            <w:tcBorders>
              <w:top w:val="single" w:sz="6" w:space="0" w:color="000000"/>
              <w:left w:val="single" w:sz="6" w:space="0" w:color="000000"/>
              <w:bottom w:val="single" w:sz="6" w:space="0" w:color="000000"/>
              <w:right w:val="double" w:sz="4" w:space="0" w:color="000000"/>
            </w:tcBorders>
          </w:tcPr>
          <w:p w14:paraId="3F174EA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Tolerancje wykonania robót </w:t>
            </w:r>
          </w:p>
        </w:tc>
      </w:tr>
      <w:tr w:rsidR="00955A27" w:rsidRPr="001667DB" w14:paraId="6C23976F" w14:textId="77777777">
        <w:trPr>
          <w:trHeight w:val="403"/>
        </w:trPr>
        <w:tc>
          <w:tcPr>
            <w:tcW w:w="497" w:type="dxa"/>
            <w:tcBorders>
              <w:top w:val="single" w:sz="6" w:space="0" w:color="000000"/>
              <w:left w:val="double" w:sz="4" w:space="0" w:color="000000"/>
              <w:bottom w:val="single" w:sz="6" w:space="0" w:color="000000"/>
              <w:right w:val="single" w:sz="6" w:space="0" w:color="000000"/>
            </w:tcBorders>
            <w:vAlign w:val="center"/>
          </w:tcPr>
          <w:p w14:paraId="78609389"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993" w:type="dxa"/>
            <w:tcBorders>
              <w:top w:val="single" w:sz="6" w:space="0" w:color="000000"/>
              <w:left w:val="single" w:sz="6" w:space="0" w:color="000000"/>
              <w:bottom w:val="single" w:sz="6" w:space="0" w:color="000000"/>
              <w:right w:val="single" w:sz="6" w:space="0" w:color="000000"/>
            </w:tcBorders>
            <w:vAlign w:val="center"/>
          </w:tcPr>
          <w:p w14:paraId="2C08F1AC" w14:textId="77777777" w:rsidR="00955A27" w:rsidRPr="001667DB" w:rsidRDefault="00955A27" w:rsidP="00955A27">
            <w:pPr>
              <w:spacing w:after="120" w:line="360" w:lineRule="auto"/>
              <w:ind w:left="24"/>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Szerokości korpusu drogowego </w:t>
            </w:r>
          </w:p>
        </w:tc>
        <w:tc>
          <w:tcPr>
            <w:tcW w:w="3989" w:type="dxa"/>
            <w:vMerge w:val="restart"/>
            <w:tcBorders>
              <w:top w:val="single" w:sz="6" w:space="0" w:color="000000"/>
              <w:left w:val="single" w:sz="6" w:space="0" w:color="000000"/>
              <w:bottom w:val="single" w:sz="6" w:space="0" w:color="000000"/>
              <w:right w:val="single" w:sz="6" w:space="0" w:color="000000"/>
            </w:tcBorders>
            <w:vAlign w:val="center"/>
          </w:tcPr>
          <w:p w14:paraId="6E2C138C" w14:textId="77777777" w:rsidR="00955A27" w:rsidRPr="001667DB" w:rsidRDefault="00955A27" w:rsidP="00955A27">
            <w:pPr>
              <w:spacing w:after="120" w:line="360" w:lineRule="auto"/>
              <w:ind w:left="24" w:hanging="2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taśmą, szablonem, łatą o długości 3 m i poziomicą lub niwelatorem, w odstępach co 200 m na prostych, w </w:t>
            </w:r>
          </w:p>
          <w:p w14:paraId="2BF6C750"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punktach głównych łuku, co 100 m na </w:t>
            </w:r>
          </w:p>
          <w:p w14:paraId="35491FCE" w14:textId="77777777" w:rsidR="00955A27" w:rsidRPr="001667DB" w:rsidRDefault="00955A27" w:rsidP="00955A27">
            <w:pPr>
              <w:spacing w:after="120" w:line="360" w:lineRule="auto"/>
              <w:ind w:left="94"/>
              <w:rPr>
                <w:rFonts w:ascii="Times New Roman" w:hAnsi="Times New Roman" w:cs="Times New Roman"/>
                <w:color w:val="000000" w:themeColor="text1"/>
              </w:rPr>
            </w:pPr>
            <w:r w:rsidRPr="001667DB">
              <w:rPr>
                <w:rFonts w:ascii="Times New Roman" w:hAnsi="Times New Roman" w:cs="Times New Roman"/>
                <w:color w:val="000000" w:themeColor="text1"/>
              </w:rPr>
              <w:t xml:space="preserve">łukach o R </w:t>
            </w:r>
            <w:r w:rsidRPr="001667DB">
              <w:rPr>
                <w:rFonts w:ascii="Times New Roman" w:eastAsia="Segoe UI Symbol" w:hAnsi="Times New Roman" w:cs="Times New Roman"/>
                <w:color w:val="000000" w:themeColor="text1"/>
              </w:rPr>
              <w:t>≥</w:t>
            </w:r>
            <w:r w:rsidRPr="001667DB">
              <w:rPr>
                <w:rFonts w:ascii="Times New Roman" w:hAnsi="Times New Roman" w:cs="Times New Roman"/>
                <w:color w:val="000000" w:themeColor="text1"/>
              </w:rPr>
              <w:t xml:space="preserve"> 100 m co 50 m na łukach o </w:t>
            </w:r>
          </w:p>
          <w:p w14:paraId="5155F03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 </w:t>
            </w:r>
            <w:r w:rsidRPr="001667DB">
              <w:rPr>
                <w:rFonts w:ascii="Times New Roman" w:eastAsia="Segoe UI Symbol" w:hAnsi="Times New Roman" w:cs="Times New Roman"/>
                <w:color w:val="000000" w:themeColor="text1"/>
              </w:rPr>
              <w:t>&lt;</w:t>
            </w:r>
            <w:r w:rsidRPr="001667DB">
              <w:rPr>
                <w:rFonts w:ascii="Times New Roman" w:hAnsi="Times New Roman" w:cs="Times New Roman"/>
                <w:color w:val="000000" w:themeColor="text1"/>
              </w:rPr>
              <w:t xml:space="preserve"> 100 m oraz w miejscach, które budzą wątpliwości </w:t>
            </w:r>
          </w:p>
        </w:tc>
        <w:tc>
          <w:tcPr>
            <w:tcW w:w="1995" w:type="dxa"/>
            <w:tcBorders>
              <w:top w:val="single" w:sz="6" w:space="0" w:color="000000"/>
              <w:left w:val="single" w:sz="6" w:space="0" w:color="000000"/>
              <w:bottom w:val="single" w:sz="6" w:space="0" w:color="000000"/>
              <w:right w:val="double" w:sz="4" w:space="0" w:color="000000"/>
            </w:tcBorders>
            <w:vAlign w:val="center"/>
          </w:tcPr>
          <w:p w14:paraId="68ED214E"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+5 cm  </w:t>
            </w:r>
          </w:p>
        </w:tc>
      </w:tr>
      <w:tr w:rsidR="00955A27" w:rsidRPr="001667DB" w14:paraId="41162C91" w14:textId="77777777">
        <w:trPr>
          <w:trHeight w:val="518"/>
        </w:trPr>
        <w:tc>
          <w:tcPr>
            <w:tcW w:w="497" w:type="dxa"/>
            <w:tcBorders>
              <w:top w:val="single" w:sz="6" w:space="0" w:color="000000"/>
              <w:left w:val="double" w:sz="4" w:space="0" w:color="000000"/>
              <w:bottom w:val="single" w:sz="6" w:space="0" w:color="000000"/>
              <w:right w:val="single" w:sz="6" w:space="0" w:color="000000"/>
            </w:tcBorders>
            <w:vAlign w:val="center"/>
          </w:tcPr>
          <w:p w14:paraId="2C755EF5"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993" w:type="dxa"/>
            <w:tcBorders>
              <w:top w:val="single" w:sz="6" w:space="0" w:color="000000"/>
              <w:left w:val="single" w:sz="6" w:space="0" w:color="000000"/>
              <w:bottom w:val="single" w:sz="6" w:space="0" w:color="000000"/>
              <w:right w:val="single" w:sz="6" w:space="0" w:color="000000"/>
            </w:tcBorders>
          </w:tcPr>
          <w:p w14:paraId="2DC8AA8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Odchylenie osi korpusu ziemnego </w:t>
            </w:r>
          </w:p>
        </w:tc>
        <w:tc>
          <w:tcPr>
            <w:tcW w:w="0" w:type="auto"/>
            <w:vMerge/>
            <w:tcBorders>
              <w:top w:val="nil"/>
              <w:left w:val="single" w:sz="6" w:space="0" w:color="000000"/>
              <w:bottom w:val="nil"/>
              <w:right w:val="single" w:sz="6" w:space="0" w:color="000000"/>
            </w:tcBorders>
          </w:tcPr>
          <w:p w14:paraId="0643E35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vAlign w:val="center"/>
          </w:tcPr>
          <w:p w14:paraId="7575BE65"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5 cm </w:t>
            </w:r>
          </w:p>
        </w:tc>
      </w:tr>
      <w:tr w:rsidR="00955A27" w:rsidRPr="001667DB" w14:paraId="3120CB6D" w14:textId="77777777">
        <w:trPr>
          <w:trHeight w:val="403"/>
        </w:trPr>
        <w:tc>
          <w:tcPr>
            <w:tcW w:w="497" w:type="dxa"/>
            <w:tcBorders>
              <w:top w:val="single" w:sz="6" w:space="0" w:color="000000"/>
              <w:left w:val="double" w:sz="4" w:space="0" w:color="000000"/>
              <w:bottom w:val="single" w:sz="6" w:space="0" w:color="000000"/>
              <w:right w:val="single" w:sz="6" w:space="0" w:color="000000"/>
            </w:tcBorders>
            <w:vAlign w:val="center"/>
          </w:tcPr>
          <w:p w14:paraId="0AB88488"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2993" w:type="dxa"/>
            <w:tcBorders>
              <w:top w:val="single" w:sz="6" w:space="0" w:color="000000"/>
              <w:left w:val="single" w:sz="6" w:space="0" w:color="000000"/>
              <w:bottom w:val="single" w:sz="6" w:space="0" w:color="000000"/>
              <w:right w:val="single" w:sz="6" w:space="0" w:color="000000"/>
            </w:tcBorders>
            <w:vAlign w:val="center"/>
          </w:tcPr>
          <w:p w14:paraId="63C0FE51"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Szerokości dna rowów </w:t>
            </w:r>
          </w:p>
        </w:tc>
        <w:tc>
          <w:tcPr>
            <w:tcW w:w="0" w:type="auto"/>
            <w:vMerge/>
            <w:tcBorders>
              <w:top w:val="nil"/>
              <w:left w:val="single" w:sz="6" w:space="0" w:color="000000"/>
              <w:bottom w:val="nil"/>
              <w:right w:val="single" w:sz="6" w:space="0" w:color="000000"/>
            </w:tcBorders>
          </w:tcPr>
          <w:p w14:paraId="7DE94A0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vAlign w:val="center"/>
          </w:tcPr>
          <w:p w14:paraId="79C90DBC"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5 cm </w:t>
            </w:r>
          </w:p>
        </w:tc>
      </w:tr>
      <w:tr w:rsidR="00955A27" w:rsidRPr="001667DB" w14:paraId="19F8506F" w14:textId="77777777">
        <w:trPr>
          <w:trHeight w:val="518"/>
        </w:trPr>
        <w:tc>
          <w:tcPr>
            <w:tcW w:w="497" w:type="dxa"/>
            <w:tcBorders>
              <w:top w:val="single" w:sz="6" w:space="0" w:color="000000"/>
              <w:left w:val="double" w:sz="4" w:space="0" w:color="000000"/>
              <w:bottom w:val="single" w:sz="6" w:space="0" w:color="000000"/>
              <w:right w:val="single" w:sz="6" w:space="0" w:color="000000"/>
            </w:tcBorders>
            <w:vAlign w:val="center"/>
          </w:tcPr>
          <w:p w14:paraId="5228DE40"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993" w:type="dxa"/>
            <w:tcBorders>
              <w:top w:val="single" w:sz="6" w:space="0" w:color="000000"/>
              <w:left w:val="single" w:sz="6" w:space="0" w:color="000000"/>
              <w:bottom w:val="single" w:sz="6" w:space="0" w:color="000000"/>
              <w:right w:val="single" w:sz="6" w:space="0" w:color="000000"/>
            </w:tcBorders>
          </w:tcPr>
          <w:p w14:paraId="04E32C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powierzchni korpusu drogowego </w:t>
            </w:r>
          </w:p>
        </w:tc>
        <w:tc>
          <w:tcPr>
            <w:tcW w:w="0" w:type="auto"/>
            <w:vMerge/>
            <w:tcBorders>
              <w:top w:val="nil"/>
              <w:left w:val="single" w:sz="6" w:space="0" w:color="000000"/>
              <w:bottom w:val="nil"/>
              <w:right w:val="single" w:sz="6" w:space="0" w:color="000000"/>
            </w:tcBorders>
          </w:tcPr>
          <w:p w14:paraId="1A271A6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tcPr>
          <w:p w14:paraId="692DB7FD" w14:textId="77777777" w:rsidR="00955A27" w:rsidRPr="001667DB" w:rsidRDefault="00955A27" w:rsidP="00955A27">
            <w:pPr>
              <w:spacing w:after="120" w:line="360" w:lineRule="auto"/>
              <w:ind w:left="166" w:right="20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więcej niż -3 cm lub +1 cm </w:t>
            </w:r>
          </w:p>
        </w:tc>
      </w:tr>
      <w:tr w:rsidR="00955A27" w:rsidRPr="001667DB" w14:paraId="5B08BAAC" w14:textId="77777777">
        <w:trPr>
          <w:trHeight w:val="518"/>
        </w:trPr>
        <w:tc>
          <w:tcPr>
            <w:tcW w:w="497" w:type="dxa"/>
            <w:tcBorders>
              <w:top w:val="single" w:sz="6" w:space="0" w:color="000000"/>
              <w:left w:val="double" w:sz="4" w:space="0" w:color="000000"/>
              <w:bottom w:val="single" w:sz="6" w:space="0" w:color="000000"/>
              <w:right w:val="single" w:sz="6" w:space="0" w:color="000000"/>
            </w:tcBorders>
            <w:vAlign w:val="center"/>
          </w:tcPr>
          <w:p w14:paraId="66327EE6"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2993" w:type="dxa"/>
            <w:tcBorders>
              <w:top w:val="single" w:sz="6" w:space="0" w:color="000000"/>
              <w:left w:val="single" w:sz="6" w:space="0" w:color="000000"/>
              <w:bottom w:val="single" w:sz="6" w:space="0" w:color="000000"/>
              <w:right w:val="single" w:sz="6" w:space="0" w:color="000000"/>
            </w:tcBorders>
            <w:vAlign w:val="center"/>
          </w:tcPr>
          <w:p w14:paraId="3A3B2FD2"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Pochylenie skarp </w:t>
            </w:r>
          </w:p>
        </w:tc>
        <w:tc>
          <w:tcPr>
            <w:tcW w:w="0" w:type="auto"/>
            <w:vMerge/>
            <w:tcBorders>
              <w:top w:val="nil"/>
              <w:left w:val="single" w:sz="6" w:space="0" w:color="000000"/>
              <w:bottom w:val="nil"/>
              <w:right w:val="single" w:sz="6" w:space="0" w:color="000000"/>
            </w:tcBorders>
          </w:tcPr>
          <w:p w14:paraId="0BA66535"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tcPr>
          <w:p w14:paraId="098554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10% wartości pochylenia </w:t>
            </w:r>
          </w:p>
        </w:tc>
      </w:tr>
      <w:tr w:rsidR="00955A27" w:rsidRPr="001667DB" w14:paraId="4C5B5509" w14:textId="77777777">
        <w:trPr>
          <w:trHeight w:val="519"/>
        </w:trPr>
        <w:tc>
          <w:tcPr>
            <w:tcW w:w="497" w:type="dxa"/>
            <w:tcBorders>
              <w:top w:val="single" w:sz="6" w:space="0" w:color="000000"/>
              <w:left w:val="double" w:sz="4" w:space="0" w:color="000000"/>
              <w:bottom w:val="single" w:sz="6" w:space="0" w:color="000000"/>
              <w:right w:val="single" w:sz="6" w:space="0" w:color="000000"/>
            </w:tcBorders>
            <w:vAlign w:val="center"/>
          </w:tcPr>
          <w:p w14:paraId="78EE4D72"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993" w:type="dxa"/>
            <w:tcBorders>
              <w:top w:val="single" w:sz="6" w:space="0" w:color="000000"/>
              <w:left w:val="single" w:sz="6" w:space="0" w:color="000000"/>
              <w:bottom w:val="single" w:sz="6" w:space="0" w:color="000000"/>
              <w:right w:val="single" w:sz="6" w:space="0" w:color="000000"/>
            </w:tcBorders>
          </w:tcPr>
          <w:p w14:paraId="691DFD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Równość górnej powierzchni korpusu drogowego </w:t>
            </w:r>
          </w:p>
        </w:tc>
        <w:tc>
          <w:tcPr>
            <w:tcW w:w="0" w:type="auto"/>
            <w:vMerge/>
            <w:tcBorders>
              <w:top w:val="nil"/>
              <w:left w:val="single" w:sz="6" w:space="0" w:color="000000"/>
              <w:bottom w:val="nil"/>
              <w:right w:val="single" w:sz="6" w:space="0" w:color="000000"/>
            </w:tcBorders>
          </w:tcPr>
          <w:p w14:paraId="3E80137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vAlign w:val="center"/>
          </w:tcPr>
          <w:p w14:paraId="5277789F"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3 cm </w:t>
            </w:r>
          </w:p>
        </w:tc>
      </w:tr>
      <w:tr w:rsidR="00955A27" w:rsidRPr="001667DB" w14:paraId="3FEE534D" w14:textId="77777777">
        <w:trPr>
          <w:trHeight w:val="403"/>
        </w:trPr>
        <w:tc>
          <w:tcPr>
            <w:tcW w:w="497" w:type="dxa"/>
            <w:tcBorders>
              <w:top w:val="single" w:sz="6" w:space="0" w:color="000000"/>
              <w:left w:val="double" w:sz="4" w:space="0" w:color="000000"/>
              <w:bottom w:val="single" w:sz="6" w:space="0" w:color="000000"/>
              <w:right w:val="single" w:sz="6" w:space="0" w:color="000000"/>
            </w:tcBorders>
            <w:vAlign w:val="center"/>
          </w:tcPr>
          <w:p w14:paraId="66DA1BF9"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t>
            </w:r>
          </w:p>
        </w:tc>
        <w:tc>
          <w:tcPr>
            <w:tcW w:w="2993" w:type="dxa"/>
            <w:tcBorders>
              <w:top w:val="single" w:sz="6" w:space="0" w:color="000000"/>
              <w:left w:val="single" w:sz="6" w:space="0" w:color="000000"/>
              <w:bottom w:val="single" w:sz="6" w:space="0" w:color="000000"/>
              <w:right w:val="single" w:sz="6" w:space="0" w:color="000000"/>
            </w:tcBorders>
            <w:vAlign w:val="center"/>
          </w:tcPr>
          <w:p w14:paraId="58701A43"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Równość skarp </w:t>
            </w:r>
          </w:p>
        </w:tc>
        <w:tc>
          <w:tcPr>
            <w:tcW w:w="0" w:type="auto"/>
            <w:vMerge/>
            <w:tcBorders>
              <w:top w:val="nil"/>
              <w:left w:val="single" w:sz="6" w:space="0" w:color="000000"/>
              <w:bottom w:val="single" w:sz="6" w:space="0" w:color="000000"/>
              <w:right w:val="single" w:sz="6" w:space="0" w:color="000000"/>
            </w:tcBorders>
          </w:tcPr>
          <w:p w14:paraId="5FAC716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95" w:type="dxa"/>
            <w:tcBorders>
              <w:top w:val="single" w:sz="6" w:space="0" w:color="000000"/>
              <w:left w:val="single" w:sz="6" w:space="0" w:color="000000"/>
              <w:bottom w:val="single" w:sz="6" w:space="0" w:color="000000"/>
              <w:right w:val="double" w:sz="4" w:space="0" w:color="000000"/>
            </w:tcBorders>
            <w:vAlign w:val="center"/>
          </w:tcPr>
          <w:p w14:paraId="7586656F"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 10 cm </w:t>
            </w:r>
          </w:p>
        </w:tc>
      </w:tr>
      <w:tr w:rsidR="00955A27" w:rsidRPr="001667DB" w14:paraId="25978995" w14:textId="77777777">
        <w:trPr>
          <w:trHeight w:val="770"/>
        </w:trPr>
        <w:tc>
          <w:tcPr>
            <w:tcW w:w="497" w:type="dxa"/>
            <w:tcBorders>
              <w:top w:val="single" w:sz="6" w:space="0" w:color="000000"/>
              <w:left w:val="double" w:sz="4" w:space="0" w:color="000000"/>
              <w:bottom w:val="single" w:sz="6" w:space="0" w:color="000000"/>
              <w:right w:val="single" w:sz="6" w:space="0" w:color="000000"/>
            </w:tcBorders>
            <w:vAlign w:val="center"/>
          </w:tcPr>
          <w:p w14:paraId="34FE941B"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8 </w:t>
            </w:r>
          </w:p>
        </w:tc>
        <w:tc>
          <w:tcPr>
            <w:tcW w:w="2993" w:type="dxa"/>
            <w:tcBorders>
              <w:top w:val="single" w:sz="6" w:space="0" w:color="000000"/>
              <w:left w:val="single" w:sz="6" w:space="0" w:color="000000"/>
              <w:bottom w:val="single" w:sz="6" w:space="0" w:color="000000"/>
              <w:right w:val="single" w:sz="6" w:space="0" w:color="000000"/>
            </w:tcBorders>
          </w:tcPr>
          <w:p w14:paraId="25848F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Spadek podłużny powierzchni korpusu drogowego lub dna </w:t>
            </w:r>
          </w:p>
          <w:p w14:paraId="697664A0"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rowu </w:t>
            </w:r>
          </w:p>
        </w:tc>
        <w:tc>
          <w:tcPr>
            <w:tcW w:w="3989" w:type="dxa"/>
            <w:tcBorders>
              <w:top w:val="single" w:sz="6" w:space="0" w:color="000000"/>
              <w:left w:val="single" w:sz="6" w:space="0" w:color="000000"/>
              <w:bottom w:val="single" w:sz="6" w:space="0" w:color="000000"/>
              <w:right w:val="single" w:sz="6" w:space="0" w:color="000000"/>
            </w:tcBorders>
          </w:tcPr>
          <w:p w14:paraId="7DFF4ACD" w14:textId="77777777" w:rsidR="00955A27" w:rsidRPr="001667DB" w:rsidRDefault="00955A27" w:rsidP="00955A27">
            <w:pPr>
              <w:spacing w:after="120" w:line="360" w:lineRule="auto"/>
              <w:ind w:left="19" w:right="2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niwelatorem rzędnych w odstępach co 100 m oraz w punktach </w:t>
            </w:r>
          </w:p>
          <w:p w14:paraId="45E5A444"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wątpliwych </w:t>
            </w:r>
          </w:p>
        </w:tc>
        <w:tc>
          <w:tcPr>
            <w:tcW w:w="1995" w:type="dxa"/>
            <w:tcBorders>
              <w:top w:val="single" w:sz="6" w:space="0" w:color="000000"/>
              <w:left w:val="single" w:sz="6" w:space="0" w:color="000000"/>
              <w:bottom w:val="single" w:sz="6" w:space="0" w:color="000000"/>
              <w:right w:val="double" w:sz="4" w:space="0" w:color="000000"/>
            </w:tcBorders>
            <w:vAlign w:val="center"/>
          </w:tcPr>
          <w:p w14:paraId="15DBA00B" w14:textId="77777777" w:rsidR="00955A27" w:rsidRPr="001667DB" w:rsidRDefault="00955A27" w:rsidP="00955A27">
            <w:pPr>
              <w:spacing w:after="120" w:line="360" w:lineRule="auto"/>
              <w:ind w:left="134" w:right="106" w:firstLine="173"/>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więcej niż  -3 cm lub +1 cm </w:t>
            </w:r>
          </w:p>
        </w:tc>
      </w:tr>
      <w:tr w:rsidR="00955A27" w:rsidRPr="001667DB" w14:paraId="50A05603" w14:textId="77777777">
        <w:trPr>
          <w:trHeight w:val="778"/>
        </w:trPr>
        <w:tc>
          <w:tcPr>
            <w:tcW w:w="497" w:type="dxa"/>
            <w:tcBorders>
              <w:top w:val="single" w:sz="6" w:space="0" w:color="000000"/>
              <w:left w:val="double" w:sz="4" w:space="0" w:color="000000"/>
              <w:bottom w:val="double" w:sz="4" w:space="0" w:color="000000"/>
              <w:right w:val="single" w:sz="6" w:space="0" w:color="000000"/>
            </w:tcBorders>
            <w:vAlign w:val="center"/>
          </w:tcPr>
          <w:p w14:paraId="4185ECD3"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9 </w:t>
            </w:r>
          </w:p>
        </w:tc>
        <w:tc>
          <w:tcPr>
            <w:tcW w:w="2993" w:type="dxa"/>
            <w:tcBorders>
              <w:top w:val="single" w:sz="6" w:space="0" w:color="000000"/>
              <w:left w:val="single" w:sz="6" w:space="0" w:color="000000"/>
              <w:bottom w:val="double" w:sz="4" w:space="0" w:color="000000"/>
              <w:right w:val="single" w:sz="6" w:space="0" w:color="000000"/>
            </w:tcBorders>
          </w:tcPr>
          <w:p w14:paraId="49DB305F" w14:textId="77777777" w:rsidR="00955A27" w:rsidRPr="001667DB" w:rsidRDefault="00955A27" w:rsidP="00955A27">
            <w:pPr>
              <w:spacing w:after="120" w:line="360" w:lineRule="auto"/>
              <w:ind w:lef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Pochylenie poprzeczne górnej powierzchni korpusu drogowego </w:t>
            </w:r>
          </w:p>
        </w:tc>
        <w:tc>
          <w:tcPr>
            <w:tcW w:w="3989" w:type="dxa"/>
            <w:tcBorders>
              <w:top w:val="single" w:sz="6" w:space="0" w:color="000000"/>
              <w:left w:val="single" w:sz="6" w:space="0" w:color="000000"/>
              <w:bottom w:val="double" w:sz="4" w:space="0" w:color="000000"/>
              <w:right w:val="single" w:sz="6" w:space="0" w:color="000000"/>
            </w:tcBorders>
          </w:tcPr>
          <w:p w14:paraId="78DB7E8E" w14:textId="77777777" w:rsidR="00955A27" w:rsidRPr="001667DB" w:rsidRDefault="00955A27" w:rsidP="00955A27">
            <w:pPr>
              <w:spacing w:after="120" w:line="360" w:lineRule="auto"/>
              <w:ind w:left="19" w:right="2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niwelatorem rzędnych w odstępach co 100 m oraz w punktach </w:t>
            </w:r>
          </w:p>
          <w:p w14:paraId="179309D2"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wątpliwych </w:t>
            </w:r>
          </w:p>
        </w:tc>
        <w:tc>
          <w:tcPr>
            <w:tcW w:w="1995" w:type="dxa"/>
            <w:tcBorders>
              <w:top w:val="single" w:sz="6" w:space="0" w:color="000000"/>
              <w:left w:val="single" w:sz="6" w:space="0" w:color="000000"/>
              <w:bottom w:val="double" w:sz="4" w:space="0" w:color="000000"/>
              <w:right w:val="double" w:sz="4" w:space="0" w:color="000000"/>
            </w:tcBorders>
            <w:vAlign w:val="center"/>
          </w:tcPr>
          <w:p w14:paraId="7EEC770E"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±0,5% </w:t>
            </w:r>
          </w:p>
        </w:tc>
      </w:tr>
    </w:tbl>
    <w:p w14:paraId="321089BB"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Jeżeli długość elementu  podlegającego odbiorowi jest mniejsza niż 1 km, to określając wartość średnią należy uwzględnić wyniki wszystkich pomiarów </w:t>
      </w:r>
    </w:p>
    <w:p w14:paraId="3F80A034"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 </w:t>
      </w:r>
    </w:p>
    <w:p w14:paraId="448EB97E"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Zagęszczenie materiału nasypowego, gruntu podłoża pod nasypem oraz podłoża gruntowego nawierzchni w wykopie określa się na podstawie wskaźnika zagęszczenia Is. Badanie wskaźnika zagęszczenia należy przeprowadzić zgodnie z zasadami określonymi w p. 5.11.1 i 5.11.2 niniejszych ST. W raporcie z badań należy podać wskaźnik zagęszczenia oraz wilgotność badanego gruntu. Wykonawca do odbioru budowli ziemnej przedstawi wyniki badań wskaźnika zagęszczenia każdej warstwy. Częstotliwość badań wskaźnika zagęszczenia powinna być następująca: </w:t>
      </w:r>
    </w:p>
    <w:p w14:paraId="326EDF01" w14:textId="77777777" w:rsidR="00955A27" w:rsidRPr="001667DB" w:rsidRDefault="00955A27" w:rsidP="00996530">
      <w:pPr>
        <w:numPr>
          <w:ilvl w:val="0"/>
          <w:numId w:val="32"/>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W wykopach i dla górnej warstwy nasypu – nie mniej niż 1 badanie na każde 1000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powierzchni zagęszczonej warstwy, jednak co najmniej 2 badania  na dziennej działce roboczej. </w:t>
      </w:r>
    </w:p>
    <w:p w14:paraId="626E0719" w14:textId="77777777" w:rsidR="00955A27" w:rsidRPr="001667DB" w:rsidRDefault="00955A27" w:rsidP="00996530">
      <w:pPr>
        <w:numPr>
          <w:ilvl w:val="0"/>
          <w:numId w:val="32"/>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Dla pozostałych partii nasypu  – nie mniej niż 1 badanie na każde 2000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powierzchni zagęszczonej warstwy, jednak co najmniej 2 badania  na dziennej działce roboczej. </w:t>
      </w:r>
    </w:p>
    <w:p w14:paraId="32132CD7" w14:textId="77777777" w:rsidR="00955A27" w:rsidRPr="001667DB" w:rsidRDefault="00955A27" w:rsidP="0099653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Ponadto badanie wskaźnika zagęszczenia należy wykonać w miejscach wątpliwych wskazanych przez Inżyniera/Inspektora nadzoru. Należy ocenić zgodność wyników badania z wymaganiami STWiORB opracowanych na podstawie niniejszych ST. Kryterium akceptacji zbioru wyników badań wskaźnika zagęszczenia musi być określone w STWiORB. </w:t>
      </w:r>
    </w:p>
    <w:p w14:paraId="24ABF705"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dopuszczono kontrolę zagęszczenia na podstawie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to wymaga się aby częstotliwość badań była nie mniejsza niż określono w punkcie </w:t>
      </w:r>
    </w:p>
    <w:p w14:paraId="74303628" w14:textId="77777777" w:rsidR="00955A27" w:rsidRPr="001667DB" w:rsidRDefault="00955A27" w:rsidP="0099653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6.4.4. w odniesieniu do badania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w:t>
      </w:r>
    </w:p>
    <w:p w14:paraId="789A9756"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Nośność należy badać na powierzchni warstw, określonych w Dokumentacji Projektowej. Nośność określa się na podstawie wartości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Badanie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należy przeprowadzić zgodnie z zasadami określonymi w p. 5.12.3 niniejszych ST. Wykonawca do odbioru budowli ziemnej przedstawi wyniki badań nośności podłoża pod nasypem oraz na powierzchni tych warstw, które zostały zakryte wyżej leżącymi </w:t>
      </w:r>
      <w:r w:rsidRPr="001667DB">
        <w:rPr>
          <w:rFonts w:ascii="Times New Roman" w:hAnsi="Times New Roman" w:cs="Times New Roman"/>
          <w:color w:val="000000" w:themeColor="text1"/>
        </w:rPr>
        <w:lastRenderedPageBreak/>
        <w:t xml:space="preserve">warstwami do czasu przeprowadzenia odbioru budowli ziemnej. Nośność na powierzchni podłoża gruntowego nawierzchni może być określona przed lub podczas odbioru budowli ziemnej. Częstotliwość badań nośności powinna być następująca: </w:t>
      </w:r>
    </w:p>
    <w:p w14:paraId="5DACB35B" w14:textId="77777777" w:rsidR="00955A27" w:rsidRPr="001667DB" w:rsidRDefault="00955A27" w:rsidP="00996530">
      <w:pPr>
        <w:numPr>
          <w:ilvl w:val="0"/>
          <w:numId w:val="32"/>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Nie mniej niż jeden raz na 1000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powierzchni w przypadku badania na powierzchni podłoża gruntowego nawierzchni, </w:t>
      </w:r>
    </w:p>
    <w:p w14:paraId="4569804D" w14:textId="77777777" w:rsidR="00955A27" w:rsidRPr="001667DB" w:rsidRDefault="00955A27" w:rsidP="00996530">
      <w:pPr>
        <w:numPr>
          <w:ilvl w:val="0"/>
          <w:numId w:val="32"/>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Nie mniej niż jeden raz na 2000 m</w:t>
      </w: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 xml:space="preserve">powierzchni w pozostałych przypadkach,  </w:t>
      </w:r>
    </w:p>
    <w:p w14:paraId="7B6BE66E" w14:textId="77777777" w:rsidR="00955A27" w:rsidRPr="001667DB" w:rsidRDefault="00955A27" w:rsidP="00996530">
      <w:pPr>
        <w:numPr>
          <w:ilvl w:val="0"/>
          <w:numId w:val="32"/>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miejscach wskazanych przez Inżyniera/Inspektora nadzoru. </w:t>
      </w:r>
    </w:p>
    <w:p w14:paraId="75740FB4"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6.4.7.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Za zgodą Inżyniera/Inspektora nadzoru dopuszcza się stosowanie innych metody do oceny stanu zagęszczenia i nośności wykonanych warstw, po skorelowaniu tych metod z metodami określonymi w niniejszych ST, dla warunków wynikających ze stosowanych w robotach ziemnych gruntów i materiałów  antropogenicznych. Zasady stosowania innych metod określono w niniejszych STw punktach 5.11., 5.12. oraz 6.1.3. Zasady wykonania odcinka próbnego określono w STD-02.03.01. </w:t>
      </w:r>
    </w:p>
    <w:p w14:paraId="008B7570" w14:textId="77777777" w:rsidR="00955A27" w:rsidRPr="001667DB" w:rsidRDefault="00955A27" w:rsidP="00996530">
      <w:pPr>
        <w:spacing w:after="120" w:line="360" w:lineRule="auto"/>
        <w:ind w:left="862"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ziemne. Wykonanie nasypów”, w punkcie 5.15. </w:t>
      </w:r>
    </w:p>
    <w:p w14:paraId="012505B6"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458B731"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79" w:name="_Toc61852"/>
      <w:r w:rsidRPr="001667DB">
        <w:rPr>
          <w:color w:val="000000" w:themeColor="text1"/>
          <w:sz w:val="22"/>
          <w:szCs w:val="22"/>
        </w:rPr>
        <w:t xml:space="preserve">Sprawdzenie wykonania ukopu, dokopu i odkładu </w:t>
      </w:r>
      <w:bookmarkEnd w:id="179"/>
    </w:p>
    <w:p w14:paraId="5A7887E2"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Sprawdzenie wykonania ukopu lub dokopu polega na </w:t>
      </w:r>
      <w:r w:rsidR="00996530">
        <w:rPr>
          <w:rFonts w:ascii="Times New Roman" w:hAnsi="Times New Roman" w:cs="Times New Roman"/>
          <w:color w:val="000000" w:themeColor="text1"/>
        </w:rPr>
        <w:t xml:space="preserve">skontrolowaniu zgodności robót </w:t>
      </w:r>
      <w:r w:rsidRPr="001667DB">
        <w:rPr>
          <w:rFonts w:ascii="Times New Roman" w:hAnsi="Times New Roman" w:cs="Times New Roman"/>
          <w:color w:val="000000" w:themeColor="text1"/>
        </w:rPr>
        <w:t>i wykonanego ukopu lub dokopu z wymaganiami s</w:t>
      </w:r>
      <w:r w:rsidR="00996530">
        <w:rPr>
          <w:rFonts w:ascii="Times New Roman" w:hAnsi="Times New Roman" w:cs="Times New Roman"/>
          <w:color w:val="000000" w:themeColor="text1"/>
        </w:rPr>
        <w:t xml:space="preserve">formułowanymi w Dokumentacji </w:t>
      </w:r>
      <w:r w:rsidRPr="001667DB">
        <w:rPr>
          <w:rFonts w:ascii="Times New Roman" w:hAnsi="Times New Roman" w:cs="Times New Roman"/>
          <w:color w:val="000000" w:themeColor="text1"/>
        </w:rPr>
        <w:t xml:space="preserve">Projektowej i STWiORB opracowanych na podstawie niniejszych ST. W trakcie kontroli należy zwrócić szczególną uwagę na sprawdzenie: </w:t>
      </w:r>
    </w:p>
    <w:p w14:paraId="5D01D9B0"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zgodności i rodzaju gruntu z Dokumentacją Projektową, </w:t>
      </w:r>
    </w:p>
    <w:p w14:paraId="2B092DF3"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zachowania kształtu zboczy, zapewniającego ich stateczność, </w:t>
      </w:r>
    </w:p>
    <w:p w14:paraId="1A34842B"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odwodnienia, </w:t>
      </w:r>
    </w:p>
    <w:p w14:paraId="6BBF24A2"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zagospodarowania terenu po zakończeniu eksploatacji ukopu. </w:t>
      </w:r>
    </w:p>
    <w:p w14:paraId="1EED51D7"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Sprawdzenie wykonania odkładu polega na sprawdzeniu zgodności robót i wykonanego  odkładu z wymaganiami sformułowanymi w Dokumentacji Projektowej i ST. W trakcie kontroli należy zwrócić szczególną uwagę na sprawdzenie: </w:t>
      </w:r>
    </w:p>
    <w:p w14:paraId="116969AB"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prawidłowe usytuowanie i kształt geometryczny odkładu, </w:t>
      </w:r>
    </w:p>
    <w:p w14:paraId="14078051"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odpowiednie wbudowanie gruntu, </w:t>
      </w:r>
    </w:p>
    <w:p w14:paraId="7ED269EE" w14:textId="77777777" w:rsidR="00955A27" w:rsidRPr="001667DB" w:rsidRDefault="00955A27" w:rsidP="00996530">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w:t>
      </w:r>
    </w:p>
    <w:p w14:paraId="6936CCBD" w14:textId="77777777" w:rsidR="00955A27" w:rsidRPr="001667DB" w:rsidRDefault="00955A27" w:rsidP="00F55914">
      <w:pPr>
        <w:numPr>
          <w:ilvl w:val="0"/>
          <w:numId w:val="33"/>
        </w:numPr>
        <w:spacing w:after="120" w:line="360" w:lineRule="auto"/>
        <w:ind w:right="69"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właściwe zagospodarowanie odkładu. </w:t>
      </w:r>
    </w:p>
    <w:p w14:paraId="76596378" w14:textId="77777777" w:rsidR="00955A27" w:rsidRPr="001667DB" w:rsidRDefault="00955A27" w:rsidP="00955A27">
      <w:pPr>
        <w:spacing w:after="120" w:line="360" w:lineRule="auto"/>
        <w:rPr>
          <w:rFonts w:ascii="Times New Roman" w:hAnsi="Times New Roman" w:cs="Times New Roman"/>
          <w:color w:val="000000" w:themeColor="text1"/>
        </w:rPr>
      </w:pPr>
    </w:p>
    <w:p w14:paraId="5E49F99D" w14:textId="77777777" w:rsidR="00955A27" w:rsidRPr="001667DB" w:rsidRDefault="00955A27" w:rsidP="00996530">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0" w:name="_Toc61853"/>
      <w:r w:rsidRPr="001667DB">
        <w:rPr>
          <w:color w:val="000000" w:themeColor="text1"/>
          <w:sz w:val="22"/>
          <w:szCs w:val="22"/>
        </w:rPr>
        <w:t xml:space="preserve">OBMIAR ROBÓT </w:t>
      </w:r>
      <w:bookmarkEnd w:id="180"/>
    </w:p>
    <w:p w14:paraId="56F9E229"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1" w:name="_Toc61854"/>
      <w:r w:rsidRPr="001667DB">
        <w:rPr>
          <w:color w:val="000000" w:themeColor="text1"/>
          <w:sz w:val="22"/>
          <w:szCs w:val="22"/>
        </w:rPr>
        <w:t xml:space="preserve">Ogólne zasady obmiaru robót </w:t>
      </w:r>
      <w:bookmarkEnd w:id="181"/>
    </w:p>
    <w:p w14:paraId="4B662ED6"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7.1.1.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obmiaru robót podano w STD-M 00.00.00 "Wymagania Ogólne" punkt. 7 </w:t>
      </w:r>
    </w:p>
    <w:p w14:paraId="2A1FAFD2"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2" w:name="_Toc61855"/>
      <w:r w:rsidRPr="001667DB">
        <w:rPr>
          <w:color w:val="000000" w:themeColor="text1"/>
          <w:sz w:val="22"/>
          <w:szCs w:val="22"/>
        </w:rPr>
        <w:t xml:space="preserve">Jednostka obmiarowa </w:t>
      </w:r>
      <w:bookmarkEnd w:id="182"/>
    </w:p>
    <w:p w14:paraId="1CA8CA3B"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7.3.1.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Jednostką obmiarową jest metr sześcienny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wykonanych robót ziemnych. </w:t>
      </w:r>
    </w:p>
    <w:p w14:paraId="12630317"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 xml:space="preserve"> </w:t>
      </w:r>
    </w:p>
    <w:p w14:paraId="7B7A5208" w14:textId="77777777" w:rsidR="00955A27" w:rsidRPr="001667DB" w:rsidRDefault="00955A27" w:rsidP="00996530">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3" w:name="_Toc61856"/>
      <w:r w:rsidRPr="001667DB">
        <w:rPr>
          <w:color w:val="000000" w:themeColor="text1"/>
          <w:sz w:val="22"/>
          <w:szCs w:val="22"/>
        </w:rPr>
        <w:t xml:space="preserve">ODBIÓR ROBÓT </w:t>
      </w:r>
      <w:bookmarkEnd w:id="183"/>
    </w:p>
    <w:p w14:paraId="1EAA0474"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4" w:name="_Toc61857"/>
      <w:r w:rsidRPr="001667DB">
        <w:rPr>
          <w:color w:val="000000" w:themeColor="text1"/>
          <w:sz w:val="22"/>
          <w:szCs w:val="22"/>
        </w:rPr>
        <w:t xml:space="preserve">Ogólne zasady odbioru robót </w:t>
      </w:r>
      <w:bookmarkEnd w:id="184"/>
    </w:p>
    <w:p w14:paraId="7B79A03E"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odbioru robót podano w STD-M 00.00.00 „Wymagania Ogólne” punkt 8.  </w:t>
      </w:r>
    </w:p>
    <w:p w14:paraId="04055D05"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ziemne uznaje się za wykonane zgodnie z Dokumentacją Projektową, STi wymaganiami Inżyniera/Inspektora Nadzoru, jeżeli wszystkie pomiary i badania  wg pkt. 5 i 6 niniejszych ST dały wyniki pozytywne. </w:t>
      </w:r>
    </w:p>
    <w:p w14:paraId="5CCE2AE8"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6C50F8EB"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5" w:name="_Toc61858"/>
      <w:r w:rsidRPr="001667DB">
        <w:rPr>
          <w:color w:val="000000" w:themeColor="text1"/>
          <w:sz w:val="22"/>
          <w:szCs w:val="22"/>
        </w:rPr>
        <w:t xml:space="preserve">Odbiór robót zanikających lub ulegających zakryciu </w:t>
      </w:r>
      <w:bookmarkEnd w:id="185"/>
    </w:p>
    <w:p w14:paraId="796A4C20"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tych robót powinien być zgodny z wymaganiami punktu 8.2 STDM- 00.00.00 "Wymagania Ogólne" oraz niniejszych ST. </w:t>
      </w:r>
    </w:p>
    <w:p w14:paraId="7DF75218"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 </w:t>
      </w:r>
    </w:p>
    <w:p w14:paraId="14156745"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Jakość i ilość robót ulegających zakryciu ocenia Inżynier/Inspektor Nadzoru na podstawie dokumentów zawierających komplet wyników badań laboratoryjnych i w oparciu o przeprowadzone pomiary. </w:t>
      </w:r>
    </w:p>
    <w:p w14:paraId="142781FC"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6" w:name="_Toc61859"/>
      <w:r w:rsidRPr="001667DB">
        <w:rPr>
          <w:color w:val="000000" w:themeColor="text1"/>
          <w:sz w:val="22"/>
          <w:szCs w:val="22"/>
        </w:rPr>
        <w:t xml:space="preserve">Odbiór częściowy </w:t>
      </w:r>
      <w:bookmarkEnd w:id="186"/>
    </w:p>
    <w:p w14:paraId="4AB251B3"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częściowy polega na ocenie ilości i jakości wykonanych części robót. Odbioru częściowego robót dokonuje się wg zasad jak przy odbiorze ostatecznym robót. Odbioru robót dokonuje Inżynier/Inspektor Nadzoru. </w:t>
      </w:r>
    </w:p>
    <w:p w14:paraId="35F51FDD"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7D420FA"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7" w:name="_Toc61860"/>
      <w:r w:rsidRPr="001667DB">
        <w:rPr>
          <w:color w:val="000000" w:themeColor="text1"/>
          <w:sz w:val="22"/>
          <w:szCs w:val="22"/>
        </w:rPr>
        <w:lastRenderedPageBreak/>
        <w:t xml:space="preserve">Odbiór ostateczny </w:t>
      </w:r>
      <w:bookmarkEnd w:id="187"/>
    </w:p>
    <w:p w14:paraId="4001D96F" w14:textId="77777777" w:rsidR="00955A27" w:rsidRPr="001667DB" w:rsidRDefault="00955A27" w:rsidP="00996530">
      <w:pPr>
        <w:spacing w:after="120" w:line="360" w:lineRule="auto"/>
        <w:ind w:left="847"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8.4.1.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objęte niniejszymi STpodlegają odbiorowi na zasadzie robót zanikających i ulegających zakryciu, który jest dokonywany na podstawie wyników pomiarów, badań i oceny wizualnej. </w:t>
      </w:r>
    </w:p>
    <w:p w14:paraId="21FF3D29"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Wykonawca przedstawia wszystkie dokumenty z bieżącej kontroli jakości robót oraz Dokumentację Projektową z naniesionymi zmianami i uzupełnieniami dokonanymi w trakcie robót (dokumentację powykonawczą).  </w:t>
      </w:r>
    </w:p>
    <w:p w14:paraId="57DA0C75"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Podstawą odbioru ostatecznego jest pisemne stwierdzenie przez Inspektora Nadzoru w Dzienniku Budowy zakończenia wszystkich robót związanych z niniejszymi ST, a także spełnienie wymagań określonych w dokumentacji projektowej i niniejszych Warunków Wykonania. </w:t>
      </w:r>
    </w:p>
    <w:p w14:paraId="631CD80B"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right="69" w:hanging="852"/>
        <w:jc w:val="both"/>
        <w:rPr>
          <w:color w:val="000000" w:themeColor="text1"/>
          <w:sz w:val="22"/>
          <w:szCs w:val="22"/>
        </w:rPr>
      </w:pPr>
      <w:bookmarkStart w:id="188" w:name="_Toc61861"/>
      <w:r w:rsidRPr="001667DB">
        <w:rPr>
          <w:b w:val="0"/>
          <w:color w:val="000000" w:themeColor="text1"/>
          <w:sz w:val="22"/>
          <w:szCs w:val="22"/>
        </w:rPr>
        <w:t xml:space="preserve">Zasady postępowania z wadliwie wykonanymi robotami </w:t>
      </w:r>
      <w:bookmarkEnd w:id="188"/>
    </w:p>
    <w:p w14:paraId="6498FB48"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wystąpią wyniki negatywne dla materiałów i robót (nie spełniające wymagań określonych w STi opracowanych na ich podstawie STWiORB), to Inżynier/Inspektor Nadzoru/Zamawiający wydaje Wykonawcy polecenie przedstawienia programu naprawczego, chyba że na wniosek jednej ze stron kontraktu zostaną wykonane badania lub pomiary arbitrażowe (zgodnie z pkt. 6.1.5 niniejszego ST), a ich wyniki będą pozytywne. Wykonawca w programie tym jest zobowiązany dokonać oceny wpływu na trwałość, przedstawić sposób naprawienia wady lub wnioskować o zredukowanie ceny kontraktowej. </w:t>
      </w:r>
    </w:p>
    <w:p w14:paraId="5BECD877"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zastosowanie programu naprawczego wyraża zgodę Inżynier/Inspektor Nadzoru/Zamawiający.  </w:t>
      </w:r>
    </w:p>
    <w:p w14:paraId="283928DF"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braku zgody Inżyniera/Inspektora Nadzoru/Zamawiającego na zastosowanie programu naprawczego wszystkie materiały i roboty nie spełniające wymagań podanych w odpowiednich punktach STzostaną odrzucone. Wykonawca wymieni materiały na właściwe i wykona prawidłowo roboty na własny koszt. </w:t>
      </w:r>
    </w:p>
    <w:p w14:paraId="33E1AC1C"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wymiana materiałów niespełniających wymagań lub wadliwie wykonane roboty spowodowują szkodę w innych, prawidłowo wykonanych robotach, to również te roboty powinny być ponownie wykonane przez Wykonawcę na jego koszt.</w:t>
      </w:r>
      <w:r w:rsidRPr="001667DB">
        <w:rPr>
          <w:rFonts w:ascii="Times New Roman" w:eastAsia="Calibri" w:hAnsi="Times New Roman" w:cs="Times New Roman"/>
          <w:color w:val="000000" w:themeColor="text1"/>
        </w:rPr>
        <w:t xml:space="preserve"> </w:t>
      </w:r>
    </w:p>
    <w:p w14:paraId="73947161"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 xml:space="preserve"> </w:t>
      </w:r>
    </w:p>
    <w:p w14:paraId="20CE93D2" w14:textId="77777777" w:rsidR="00955A27" w:rsidRPr="001667DB" w:rsidRDefault="00955A27" w:rsidP="00996530">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89" w:name="_Toc61862"/>
      <w:r w:rsidRPr="001667DB">
        <w:rPr>
          <w:color w:val="000000" w:themeColor="text1"/>
          <w:sz w:val="22"/>
          <w:szCs w:val="22"/>
        </w:rPr>
        <w:t xml:space="preserve">PODSTAWA PŁATNOŚCI </w:t>
      </w:r>
      <w:bookmarkEnd w:id="189"/>
    </w:p>
    <w:p w14:paraId="3009A340" w14:textId="77777777" w:rsidR="00955A27" w:rsidRPr="001667DB" w:rsidRDefault="00955A27" w:rsidP="00996530">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90" w:name="_Toc61863"/>
      <w:r w:rsidRPr="001667DB">
        <w:rPr>
          <w:color w:val="000000" w:themeColor="text1"/>
          <w:sz w:val="22"/>
          <w:szCs w:val="22"/>
        </w:rPr>
        <w:t xml:space="preserve">Ogólne ustalenia dotyczące podstawy płatności </w:t>
      </w:r>
      <w:bookmarkEnd w:id="190"/>
    </w:p>
    <w:p w14:paraId="7CC89E6B" w14:textId="77777777" w:rsidR="00955A27" w:rsidRPr="001667DB" w:rsidRDefault="00955A27" w:rsidP="00996530">
      <w:pPr>
        <w:spacing w:after="120" w:line="360" w:lineRule="auto"/>
        <w:ind w:left="837" w:right="69"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9.1.1.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ustalenia dotyczące podstawy płatności podano w STD-M 00.00.00  „Wymagania Ogólne” punkt 9. </w:t>
      </w:r>
    </w:p>
    <w:p w14:paraId="37727CB6" w14:textId="77777777" w:rsidR="00955A27" w:rsidRPr="001667DB" w:rsidRDefault="00955A27" w:rsidP="00F5591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91" w:name="_Toc61864"/>
      <w:r w:rsidRPr="001667DB">
        <w:rPr>
          <w:color w:val="000000" w:themeColor="text1"/>
          <w:sz w:val="22"/>
          <w:szCs w:val="22"/>
        </w:rPr>
        <w:lastRenderedPageBreak/>
        <w:t xml:space="preserve">Cena jednostki obmiarowej </w:t>
      </w:r>
      <w:bookmarkEnd w:id="191"/>
    </w:p>
    <w:p w14:paraId="3E27261D" w14:textId="77777777" w:rsidR="00955A27" w:rsidRPr="001667DB" w:rsidRDefault="00955A27" w:rsidP="00955A27">
      <w:pPr>
        <w:spacing w:after="120" w:line="360" w:lineRule="auto"/>
        <w:ind w:left="847" w:hanging="862"/>
        <w:rPr>
          <w:rFonts w:ascii="Times New Roman" w:hAnsi="Times New Roman" w:cs="Times New Roman"/>
          <w:color w:val="000000" w:themeColor="text1"/>
        </w:rPr>
      </w:pPr>
      <w:r w:rsidRPr="001667DB">
        <w:rPr>
          <w:rFonts w:ascii="Times New Roman" w:hAnsi="Times New Roman" w:cs="Times New Roman"/>
          <w:color w:val="000000" w:themeColor="text1"/>
        </w:rPr>
        <w:t>9.2.1.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Zakres </w:t>
      </w:r>
      <w:r w:rsidRPr="001667DB">
        <w:rPr>
          <w:rFonts w:ascii="Times New Roman" w:hAnsi="Times New Roman" w:cs="Times New Roman"/>
          <w:color w:val="000000" w:themeColor="text1"/>
        </w:rPr>
        <w:tab/>
        <w:t xml:space="preserve">czynności </w:t>
      </w:r>
      <w:r w:rsidRPr="001667DB">
        <w:rPr>
          <w:rFonts w:ascii="Times New Roman" w:hAnsi="Times New Roman" w:cs="Times New Roman"/>
          <w:color w:val="000000" w:themeColor="text1"/>
        </w:rPr>
        <w:tab/>
        <w:t xml:space="preserve">objętych </w:t>
      </w:r>
      <w:r w:rsidRPr="001667DB">
        <w:rPr>
          <w:rFonts w:ascii="Times New Roman" w:hAnsi="Times New Roman" w:cs="Times New Roman"/>
          <w:color w:val="000000" w:themeColor="text1"/>
        </w:rPr>
        <w:tab/>
        <w:t xml:space="preserve">ceną </w:t>
      </w:r>
      <w:r w:rsidRPr="001667DB">
        <w:rPr>
          <w:rFonts w:ascii="Times New Roman" w:hAnsi="Times New Roman" w:cs="Times New Roman"/>
          <w:color w:val="000000" w:themeColor="text1"/>
        </w:rPr>
        <w:tab/>
        <w:t xml:space="preserve">jednostkową </w:t>
      </w:r>
      <w:r w:rsidRPr="001667DB">
        <w:rPr>
          <w:rFonts w:ascii="Times New Roman" w:hAnsi="Times New Roman" w:cs="Times New Roman"/>
          <w:color w:val="000000" w:themeColor="text1"/>
        </w:rPr>
        <w:tab/>
        <w:t xml:space="preserve">podano </w:t>
      </w:r>
      <w:r w:rsidRPr="001667DB">
        <w:rPr>
          <w:rFonts w:ascii="Times New Roman" w:hAnsi="Times New Roman" w:cs="Times New Roman"/>
          <w:color w:val="000000" w:themeColor="text1"/>
        </w:rPr>
        <w:tab/>
        <w:t xml:space="preserve">w </w:t>
      </w:r>
      <w:r w:rsidRPr="001667DB">
        <w:rPr>
          <w:rFonts w:ascii="Times New Roman" w:hAnsi="Times New Roman" w:cs="Times New Roman"/>
          <w:color w:val="000000" w:themeColor="text1"/>
        </w:rPr>
        <w:tab/>
        <w:t>ST</w:t>
      </w:r>
      <w:r w:rsidRPr="001667DB">
        <w:rPr>
          <w:rFonts w:ascii="Times New Roman" w:hAnsi="Times New Roman" w:cs="Times New Roman"/>
          <w:color w:val="000000" w:themeColor="text1"/>
        </w:rPr>
        <w:tab/>
        <w:t>D02.01.01”Wykonanie wykopów” oraz STD-02.03</w:t>
      </w:r>
      <w:r w:rsidR="001B4B8F" w:rsidRPr="001667DB">
        <w:rPr>
          <w:rFonts w:ascii="Times New Roman" w:hAnsi="Times New Roman" w:cs="Times New Roman"/>
          <w:color w:val="000000" w:themeColor="text1"/>
        </w:rPr>
        <w:t>.01 „Wykonanie nasypów” punkt 9</w:t>
      </w:r>
    </w:p>
    <w:p w14:paraId="7EEDF1C2" w14:textId="77777777" w:rsidR="00955A27" w:rsidRPr="001667DB" w:rsidRDefault="00955A27" w:rsidP="00955A27">
      <w:pPr>
        <w:spacing w:after="120" w:line="360" w:lineRule="auto"/>
        <w:ind w:left="85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960ADC5" w14:textId="77777777" w:rsidR="00955A27" w:rsidRPr="001667DB" w:rsidRDefault="00955A27" w:rsidP="00F55914">
      <w:pPr>
        <w:pStyle w:val="Nagwek1"/>
        <w:keepLines/>
        <w:numPr>
          <w:ilvl w:val="0"/>
          <w:numId w:val="41"/>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92" w:name="_Toc61865"/>
      <w:r w:rsidRPr="001667DB">
        <w:rPr>
          <w:color w:val="000000" w:themeColor="text1"/>
          <w:sz w:val="22"/>
          <w:szCs w:val="22"/>
        </w:rPr>
        <w:t xml:space="preserve">PRZEPISY ZWIĄZANE </w:t>
      </w:r>
      <w:bookmarkEnd w:id="192"/>
    </w:p>
    <w:p w14:paraId="5CF70FA5" w14:textId="77777777" w:rsidR="00955A27" w:rsidRPr="001667DB" w:rsidRDefault="00955A27" w:rsidP="00F5591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93" w:name="_Toc61866"/>
      <w:r w:rsidRPr="001667DB">
        <w:rPr>
          <w:color w:val="000000" w:themeColor="text1"/>
          <w:sz w:val="22"/>
          <w:szCs w:val="22"/>
        </w:rPr>
        <w:t xml:space="preserve">Normy </w:t>
      </w:r>
      <w:bookmarkEnd w:id="193"/>
    </w:p>
    <w:p w14:paraId="0D2005CF" w14:textId="77777777" w:rsidR="00955A27" w:rsidRPr="001667DB" w:rsidRDefault="00955A27" w:rsidP="00955A27">
      <w:pPr>
        <w:tabs>
          <w:tab w:val="center" w:pos="1834"/>
          <w:tab w:val="center" w:pos="6306"/>
        </w:tabs>
        <w:spacing w:after="120" w:line="360" w:lineRule="auto"/>
        <w:ind w:left="-1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L.p. </w:t>
      </w:r>
      <w:r w:rsidRPr="001667DB">
        <w:rPr>
          <w:rFonts w:ascii="Times New Roman" w:hAnsi="Times New Roman" w:cs="Times New Roman"/>
          <w:b/>
          <w:color w:val="000000" w:themeColor="text1"/>
        </w:rPr>
        <w:tab/>
        <w:t xml:space="preserve">Nr normy </w:t>
      </w:r>
      <w:r w:rsidRPr="001667DB">
        <w:rPr>
          <w:rFonts w:ascii="Times New Roman" w:hAnsi="Times New Roman" w:cs="Times New Roman"/>
          <w:b/>
          <w:color w:val="000000" w:themeColor="text1"/>
        </w:rPr>
        <w:tab/>
        <w:t xml:space="preserve">Tytuł normy </w:t>
      </w:r>
    </w:p>
    <w:p w14:paraId="208B9A03"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14688-1 </w:t>
      </w:r>
      <w:r w:rsidRPr="001667DB">
        <w:rPr>
          <w:rFonts w:ascii="Times New Roman" w:hAnsi="Times New Roman" w:cs="Times New Roman"/>
          <w:color w:val="000000" w:themeColor="text1"/>
        </w:rPr>
        <w:tab/>
        <w:t xml:space="preserve">Badania geotechniczne. Oznaczanie i klasyfikowanie gruntów. Część 1: Oznaczanie i opis. </w:t>
      </w:r>
    </w:p>
    <w:p w14:paraId="26A02754"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14688-2 </w:t>
      </w:r>
      <w:r w:rsidRPr="001667DB">
        <w:rPr>
          <w:rFonts w:ascii="Times New Roman" w:hAnsi="Times New Roman" w:cs="Times New Roman"/>
          <w:color w:val="000000" w:themeColor="text1"/>
        </w:rPr>
        <w:tab/>
        <w:t xml:space="preserve">Badania geotechniczne. Oznaczanie i klasyfikowanie gruntów. Część 2: Zasady klasyfikowania. </w:t>
      </w:r>
    </w:p>
    <w:p w14:paraId="69118ADE"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14689-2 </w:t>
      </w:r>
      <w:r w:rsidRPr="001667DB">
        <w:rPr>
          <w:rFonts w:ascii="Times New Roman" w:hAnsi="Times New Roman" w:cs="Times New Roman"/>
          <w:color w:val="000000" w:themeColor="text1"/>
        </w:rPr>
        <w:tab/>
        <w:t xml:space="preserve">Rozpoznanie i badania geotechniczne. Oznaczenie opis i klasyfikacja skał. </w:t>
      </w:r>
    </w:p>
    <w:p w14:paraId="6109602E"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17892-1 </w:t>
      </w:r>
      <w:r w:rsidRPr="001667DB">
        <w:rPr>
          <w:rFonts w:ascii="Times New Roman" w:hAnsi="Times New Roman" w:cs="Times New Roman"/>
          <w:color w:val="000000" w:themeColor="text1"/>
        </w:rPr>
        <w:tab/>
        <w:t xml:space="preserve">Rozpoznanie i badania geotechniczne. Badania laboratoryjne gruntów. Część 1: Oznaczanie wilgotności naturalnej. </w:t>
      </w:r>
    </w:p>
    <w:p w14:paraId="3FBBB661"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17892-4 </w:t>
      </w:r>
      <w:r w:rsidRPr="001667DB">
        <w:rPr>
          <w:rFonts w:ascii="Times New Roman" w:hAnsi="Times New Roman" w:cs="Times New Roman"/>
          <w:color w:val="000000" w:themeColor="text1"/>
        </w:rPr>
        <w:tab/>
        <w:t xml:space="preserve">Rozpoznanie i badania geotechniczne. Badania laboratoryjne gruntów. Część 4: Badanie uziarnienia gruntów. </w:t>
      </w:r>
    </w:p>
    <w:p w14:paraId="1F506FC5"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17892-1 </w:t>
      </w:r>
      <w:r w:rsidRPr="001667DB">
        <w:rPr>
          <w:rFonts w:ascii="Times New Roman" w:hAnsi="Times New Roman" w:cs="Times New Roman"/>
          <w:color w:val="000000" w:themeColor="text1"/>
        </w:rPr>
        <w:tab/>
        <w:t xml:space="preserve">Rozpoznanie i badania geotechniczne. Badania laboratoryjne gruntów. Część 11: Badanie filtracji przy stałym i zmiennym gradiencie hydraulicznym. </w:t>
      </w:r>
    </w:p>
    <w:p w14:paraId="6BDCABCF"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17892-12 Rozpoznanie i badania geotechniczne. Badania laboratoryjne gruntów. Część 12: Oznaczanie granic Atterberga. </w:t>
      </w:r>
    </w:p>
    <w:p w14:paraId="0BB81CD6"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PN-B-04481:1988 </w:t>
      </w:r>
      <w:r w:rsidRPr="001667DB">
        <w:rPr>
          <w:rFonts w:ascii="Times New Roman" w:hAnsi="Times New Roman" w:cs="Times New Roman"/>
          <w:color w:val="000000" w:themeColor="text1"/>
        </w:rPr>
        <w:tab/>
        <w:t xml:space="preserve">Grunty budowlane. Badania próbek gruntów </w:t>
      </w:r>
    </w:p>
    <w:p w14:paraId="3137024E"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BN-77/8931-12 </w:t>
      </w:r>
      <w:r w:rsidRPr="001667DB">
        <w:rPr>
          <w:rFonts w:ascii="Times New Roman" w:hAnsi="Times New Roman" w:cs="Times New Roman"/>
          <w:color w:val="000000" w:themeColor="text1"/>
        </w:rPr>
        <w:tab/>
        <w:t xml:space="preserve">Oznaczenie wskaźnika zagęszczenia gruntu </w:t>
      </w:r>
    </w:p>
    <w:p w14:paraId="26602588"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PN-S-02205:1998 </w:t>
      </w:r>
      <w:r w:rsidRPr="001667DB">
        <w:rPr>
          <w:rFonts w:ascii="Times New Roman" w:hAnsi="Times New Roman" w:cs="Times New Roman"/>
          <w:color w:val="000000" w:themeColor="text1"/>
        </w:rPr>
        <w:tab/>
        <w:t xml:space="preserve">Drogi samochodowe. Roboty ziemne. Wymagania i badania. </w:t>
      </w:r>
    </w:p>
    <w:p w14:paraId="518C98EA"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BN-64/8931-01 </w:t>
      </w:r>
      <w:r w:rsidRPr="001667DB">
        <w:rPr>
          <w:rFonts w:ascii="Times New Roman" w:hAnsi="Times New Roman" w:cs="Times New Roman"/>
          <w:color w:val="000000" w:themeColor="text1"/>
        </w:rPr>
        <w:tab/>
        <w:t xml:space="preserve">Drogi samochodowe. Oznaczenie wskaźnika piaskowego </w:t>
      </w:r>
    </w:p>
    <w:p w14:paraId="19D31FED"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PN-60/B-04493 </w:t>
      </w:r>
      <w:r w:rsidRPr="001667DB">
        <w:rPr>
          <w:rFonts w:ascii="Times New Roman" w:hAnsi="Times New Roman" w:cs="Times New Roman"/>
          <w:color w:val="000000" w:themeColor="text1"/>
        </w:rPr>
        <w:tab/>
        <w:t xml:space="preserve">Oznaczenie kapilarności biernej. </w:t>
      </w:r>
    </w:p>
    <w:p w14:paraId="537C958C"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PN-55/B04492 </w:t>
      </w:r>
      <w:r w:rsidRPr="001667DB">
        <w:rPr>
          <w:rFonts w:ascii="Times New Roman" w:hAnsi="Times New Roman" w:cs="Times New Roman"/>
          <w:color w:val="000000" w:themeColor="text1"/>
        </w:rPr>
        <w:tab/>
        <w:t xml:space="preserve">Grunty budowlane. Badania właściwości fizycznych. Oznaczenie wskaźnika wodoprzepuszczalności. </w:t>
      </w:r>
    </w:p>
    <w:p w14:paraId="6D81FC84"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PN-EN-13285 </w:t>
      </w:r>
      <w:r w:rsidRPr="001667DB">
        <w:rPr>
          <w:rFonts w:ascii="Times New Roman" w:hAnsi="Times New Roman" w:cs="Times New Roman"/>
          <w:color w:val="000000" w:themeColor="text1"/>
        </w:rPr>
        <w:tab/>
        <w:t xml:space="preserve">Mieszanki niezwiązane. Wymagania. </w:t>
      </w:r>
    </w:p>
    <w:p w14:paraId="2EC139EF"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933-1 </w:t>
      </w:r>
      <w:r w:rsidRPr="001667DB">
        <w:rPr>
          <w:rFonts w:ascii="Times New Roman" w:hAnsi="Times New Roman" w:cs="Times New Roman"/>
          <w:color w:val="000000" w:themeColor="text1"/>
        </w:rPr>
        <w:tab/>
        <w:t xml:space="preserve">Badania geometrycznych właściwości kruszyw. Część 1: Oznaczanie składu ziarnowego. Metoda przesiewania. </w:t>
      </w:r>
    </w:p>
    <w:p w14:paraId="45D8418B"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933-8 Badania geometrycznych właściwości kruszyw. Część 8: Ocena zawartości drobnych cząstek. Badanie wskaźnika piaskowego. </w:t>
      </w:r>
    </w:p>
    <w:p w14:paraId="1457426C"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1097-5 </w:t>
      </w:r>
      <w:r w:rsidRPr="001667DB">
        <w:rPr>
          <w:rFonts w:ascii="Times New Roman" w:hAnsi="Times New Roman" w:cs="Times New Roman"/>
          <w:color w:val="000000" w:themeColor="text1"/>
        </w:rPr>
        <w:tab/>
        <w:t xml:space="preserve">Badanie mechanicznych i fizycznych właściwości kruszyw. Część 5: Oznaczenie zawartości wody przez suszenie w suszarce z wentylacją. </w:t>
      </w:r>
    </w:p>
    <w:p w14:paraId="729BE34D"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13286-2 </w:t>
      </w:r>
      <w:r w:rsidRPr="001667DB">
        <w:rPr>
          <w:rFonts w:ascii="Times New Roman" w:hAnsi="Times New Roman" w:cs="Times New Roman"/>
          <w:color w:val="000000" w:themeColor="text1"/>
        </w:rPr>
        <w:tab/>
        <w:t xml:space="preserve">Mieszanki niezwiązane i związane hydraulicznie. Część 2: </w:t>
      </w:r>
    </w:p>
    <w:p w14:paraId="616BF868" w14:textId="77777777" w:rsidR="00955A27" w:rsidRPr="001667DB" w:rsidRDefault="00955A27" w:rsidP="00955A27">
      <w:pPr>
        <w:spacing w:after="120" w:line="360" w:lineRule="auto"/>
        <w:ind w:left="3152" w:right="417"/>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Metody  badań laboratoryjnych gęstości na sucho i zawartości wody. Zagęszczanie metodą Proctora. </w:t>
      </w:r>
    </w:p>
    <w:p w14:paraId="06259C4E"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13286-47 </w:t>
      </w:r>
      <w:r w:rsidRPr="001667DB">
        <w:rPr>
          <w:rFonts w:ascii="Times New Roman" w:hAnsi="Times New Roman" w:cs="Times New Roman"/>
          <w:color w:val="000000" w:themeColor="text1"/>
        </w:rPr>
        <w:tab/>
        <w:t xml:space="preserve">Mieszanki niezwiązane i związane hydraulicznie. Część 47: Metoda badania do określenia kalifornijskiego wskaźnika nośności, natychmiastowego wskaźnika nośności i pęcznienia liniowego </w:t>
      </w:r>
    </w:p>
    <w:p w14:paraId="6BEA0CBD"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PN-EN-14227-10 </w:t>
      </w:r>
      <w:r w:rsidRPr="001667DB">
        <w:rPr>
          <w:rFonts w:ascii="Times New Roman" w:hAnsi="Times New Roman" w:cs="Times New Roman"/>
          <w:color w:val="000000" w:themeColor="text1"/>
        </w:rPr>
        <w:tab/>
        <w:t xml:space="preserve">Mieszanki związane spoiwem hydraulicznym. Specyfikacja.  Cześć 10. Grunty stabilizowane cementem. </w:t>
      </w:r>
    </w:p>
    <w:p w14:paraId="0CF7958A"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PN-EN-14227-11 </w:t>
      </w:r>
      <w:r w:rsidRPr="001667DB">
        <w:rPr>
          <w:rFonts w:ascii="Times New Roman" w:hAnsi="Times New Roman" w:cs="Times New Roman"/>
          <w:color w:val="000000" w:themeColor="text1"/>
        </w:rPr>
        <w:tab/>
        <w:t xml:space="preserve">Mieszanki związane spoiwem hydraulicznym. Specyfikacja.  Cześć 11. Grunty stabilizowane wapnem </w:t>
      </w:r>
    </w:p>
    <w:p w14:paraId="113091BF"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PN-EN-14227-12 </w:t>
      </w:r>
      <w:r w:rsidRPr="001667DB">
        <w:rPr>
          <w:rFonts w:ascii="Times New Roman" w:hAnsi="Times New Roman" w:cs="Times New Roman"/>
          <w:color w:val="000000" w:themeColor="text1"/>
        </w:rPr>
        <w:tab/>
        <w:t xml:space="preserve">Mieszanki związane spoiwem hydraulicznym. Specyfikacja.  </w:t>
      </w:r>
    </w:p>
    <w:p w14:paraId="0F541239" w14:textId="77777777" w:rsidR="00955A27" w:rsidRPr="001667DB" w:rsidRDefault="00955A27" w:rsidP="00955A27">
      <w:pPr>
        <w:spacing w:after="120" w:line="360" w:lineRule="auto"/>
        <w:ind w:left="6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Cześć 12. Grunty stabilizowane żużlem </w:t>
      </w:r>
    </w:p>
    <w:p w14:paraId="274BD346"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PN-EN-14227-13 Mieszanki związane spoiwem hydraulicznym. Specyfikacja. Cześć 13. Grunty stabilizowane hydraulicznym spoiwem drogowym. </w:t>
      </w:r>
    </w:p>
    <w:p w14:paraId="22F4F19C"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PN-EN-14227-14 </w:t>
      </w:r>
      <w:r w:rsidRPr="001667DB">
        <w:rPr>
          <w:rFonts w:ascii="Times New Roman" w:hAnsi="Times New Roman" w:cs="Times New Roman"/>
          <w:color w:val="000000" w:themeColor="text1"/>
        </w:rPr>
        <w:tab/>
        <w:t xml:space="preserve">Mieszanki związane spoiwem hydraulicznym. Specyfikacja. Cześć 14. Grunty stabilizowane popiołami lotnymi </w:t>
      </w:r>
    </w:p>
    <w:p w14:paraId="29E5A499"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10318-1 </w:t>
      </w:r>
      <w:r w:rsidRPr="001667DB">
        <w:rPr>
          <w:rFonts w:ascii="Times New Roman" w:hAnsi="Times New Roman" w:cs="Times New Roman"/>
          <w:color w:val="000000" w:themeColor="text1"/>
        </w:rPr>
        <w:tab/>
        <w:t xml:space="preserve">Geosyntetyki. Część 1: Terminy i definicje. </w:t>
      </w:r>
    </w:p>
    <w:p w14:paraId="69E83A86"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ISO 13251 </w:t>
      </w:r>
      <w:r w:rsidRPr="001667DB">
        <w:rPr>
          <w:rFonts w:ascii="Times New Roman" w:hAnsi="Times New Roman" w:cs="Times New Roman"/>
          <w:color w:val="000000" w:themeColor="text1"/>
        </w:rPr>
        <w:tab/>
        <w:t xml:space="preserve">Geotekstylia i wyroby pokrewne. Właściwości wymagane w odniesieniu do wyrobów stosowanych w robotach ziemnych, fundamentowaniu i konstrukcjach oporowych. </w:t>
      </w:r>
    </w:p>
    <w:p w14:paraId="0D1A28AF"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1997-1 </w:t>
      </w:r>
      <w:r w:rsidRPr="001667DB">
        <w:rPr>
          <w:rFonts w:ascii="Times New Roman" w:hAnsi="Times New Roman" w:cs="Times New Roman"/>
          <w:color w:val="000000" w:themeColor="text1"/>
        </w:rPr>
        <w:tab/>
        <w:t xml:space="preserve">Eurokod 7. Projektowanie geotechniczne . Część 1: Zasady ogólne. </w:t>
      </w:r>
    </w:p>
    <w:p w14:paraId="3F977AAC"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1997-2 </w:t>
      </w:r>
      <w:r w:rsidRPr="001667DB">
        <w:rPr>
          <w:rFonts w:ascii="Times New Roman" w:hAnsi="Times New Roman" w:cs="Times New Roman"/>
          <w:color w:val="000000" w:themeColor="text1"/>
        </w:rPr>
        <w:tab/>
        <w:t xml:space="preserve">Eurokod 7. Projektowanie geotechniczne . Część 2: Rozpoznanie i badanie podłoża gruntowego. </w:t>
      </w:r>
    </w:p>
    <w:p w14:paraId="3149DBB2" w14:textId="77777777" w:rsidR="00955A27" w:rsidRPr="001667DB" w:rsidRDefault="00955A27" w:rsidP="00F55914">
      <w:pPr>
        <w:numPr>
          <w:ilvl w:val="0"/>
          <w:numId w:val="34"/>
        </w:numPr>
        <w:spacing w:after="120" w:line="360" w:lineRule="auto"/>
        <w:ind w:right="69" w:hanging="5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1744-1 </w:t>
      </w:r>
      <w:r w:rsidRPr="001667DB">
        <w:rPr>
          <w:rFonts w:ascii="Times New Roman" w:hAnsi="Times New Roman" w:cs="Times New Roman"/>
          <w:color w:val="000000" w:themeColor="text1"/>
        </w:rPr>
        <w:tab/>
        <w:t xml:space="preserve">Badania chemicznych właściwości kruszyw .Analiza chemiczna </w:t>
      </w:r>
    </w:p>
    <w:p w14:paraId="797E12E1" w14:textId="77777777" w:rsidR="00955A27" w:rsidRPr="001667DB" w:rsidRDefault="00955A27" w:rsidP="00955A27">
      <w:pPr>
        <w:spacing w:after="120" w:line="360" w:lineRule="auto"/>
        <w:ind w:left="852"/>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74A72C0F" w14:textId="77777777" w:rsidR="00955A27" w:rsidRPr="001667DB" w:rsidRDefault="00955A27" w:rsidP="00F55914">
      <w:pPr>
        <w:pStyle w:val="Nagwek2"/>
        <w:keepLines/>
        <w:numPr>
          <w:ilvl w:val="1"/>
          <w:numId w:val="41"/>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194" w:name="_Toc61867"/>
      <w:r w:rsidRPr="001667DB">
        <w:rPr>
          <w:color w:val="000000" w:themeColor="text1"/>
          <w:sz w:val="22"/>
          <w:szCs w:val="22"/>
        </w:rPr>
        <w:lastRenderedPageBreak/>
        <w:t xml:space="preserve">Inne dokumenty </w:t>
      </w:r>
      <w:bookmarkEnd w:id="194"/>
    </w:p>
    <w:p w14:paraId="4C52320F" w14:textId="77777777" w:rsidR="00955A27" w:rsidRPr="001667DB" w:rsidRDefault="00955A27" w:rsidP="00955A27">
      <w:pPr>
        <w:tabs>
          <w:tab w:val="center" w:pos="5098"/>
        </w:tabs>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L.p. </w:t>
      </w:r>
      <w:r w:rsidRPr="001667DB">
        <w:rPr>
          <w:rFonts w:ascii="Times New Roman" w:hAnsi="Times New Roman" w:cs="Times New Roman"/>
          <w:b/>
          <w:color w:val="000000" w:themeColor="text1"/>
        </w:rPr>
        <w:tab/>
        <w:t xml:space="preserve">Tytuł  </w:t>
      </w:r>
    </w:p>
    <w:p w14:paraId="085757F9"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326BBF">
        <w:rPr>
          <w:rFonts w:ascii="Times New Roman" w:hAnsi="Times New Roman" w:cs="Times New Roman"/>
          <w:color w:val="000000" w:themeColor="text1"/>
          <w:lang w:val="en-US"/>
        </w:rPr>
        <w:t xml:space="preserve">ZTV E-StB Zusätzliche Technische Vertragsbedingungen und Richtlinien für Erdarbeiten im Straßenbau. </w:t>
      </w:r>
      <w:r w:rsidRPr="001667DB">
        <w:rPr>
          <w:rFonts w:ascii="Times New Roman" w:hAnsi="Times New Roman" w:cs="Times New Roman"/>
          <w:color w:val="000000" w:themeColor="text1"/>
        </w:rPr>
        <w:t xml:space="preserve">Wydanie 2017. </w:t>
      </w:r>
    </w:p>
    <w:p w14:paraId="19D69BDD"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Wytyczne wykonywania badań podłoża gruntowego na potrzeby budownictwa drogowego. Załącznik do zarządzenia nr 22 Generalnego Dyrektora Dróg Krajowych i Autostrad z dnia 27.06.2019 r., </w:t>
      </w:r>
    </w:p>
    <w:p w14:paraId="59262DCC"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Instrukcja badań podłoża gruntowego budowli drogowych i mostowych, IBDiM, Warszawa, 1998. </w:t>
      </w:r>
    </w:p>
    <w:p w14:paraId="28B7D403"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Wytyczne wzmacniania podłoża gruntowego w budownictwie drogowym, IBDiM, Warszawa 2002. </w:t>
      </w:r>
    </w:p>
    <w:p w14:paraId="2F4D35F5"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Katalog typowych konstrukcji nawierzchni sztywnych. Załącznik do zarządzenia Nr 30 Generalnego Dyrektora Dróg Krajowych i Autostrad z dnia 16.06.2014 r. </w:t>
      </w:r>
    </w:p>
    <w:p w14:paraId="401BBAB1"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Katalog typowych konstrukcji nawierzchni podatnych i półsztywnych. Załącznik do zarządzenia Nr 31 Generalnego Dyrektora Dróg Krajowych i Autostrad z dnia </w:t>
      </w:r>
    </w:p>
    <w:p w14:paraId="02D5E51B" w14:textId="77777777" w:rsidR="00955A27" w:rsidRPr="001667DB" w:rsidRDefault="00955A27" w:rsidP="00955A27">
      <w:pPr>
        <w:spacing w:after="120" w:line="360" w:lineRule="auto"/>
        <w:ind w:left="764" w:right="69"/>
        <w:rPr>
          <w:rFonts w:ascii="Times New Roman" w:hAnsi="Times New Roman" w:cs="Times New Roman"/>
          <w:color w:val="000000" w:themeColor="text1"/>
        </w:rPr>
      </w:pPr>
      <w:r w:rsidRPr="001667DB">
        <w:rPr>
          <w:rFonts w:ascii="Times New Roman" w:hAnsi="Times New Roman" w:cs="Times New Roman"/>
          <w:color w:val="000000" w:themeColor="text1"/>
        </w:rPr>
        <w:t xml:space="preserve">16.06.2014 r. </w:t>
      </w:r>
    </w:p>
    <w:p w14:paraId="62C2F740" w14:textId="77777777" w:rsidR="00955A27" w:rsidRPr="001667DB" w:rsidRDefault="00955A27" w:rsidP="00F55914">
      <w:pPr>
        <w:numPr>
          <w:ilvl w:val="0"/>
          <w:numId w:val="35"/>
        </w:numPr>
        <w:spacing w:after="120" w:line="360" w:lineRule="auto"/>
        <w:ind w:left="931" w:right="69" w:hanging="69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Rozporządzenie Ministra Transportu, Budownictwa i Gospodarki Morskiej z dnia 25 kwietnia 2012 r. w sprawie ustalania geotechnicznych warunków posadawiania obiektów budowlanych. </w:t>
      </w:r>
    </w:p>
    <w:p w14:paraId="6C9446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 xml:space="preserve"> </w:t>
      </w:r>
      <w:r w:rsidRPr="001667DB">
        <w:rPr>
          <w:rFonts w:ascii="Times New Roman" w:eastAsia="Times New Roman" w:hAnsi="Times New Roman" w:cs="Times New Roman"/>
          <w:color w:val="000000" w:themeColor="text1"/>
        </w:rPr>
        <w:tab/>
        <w:t xml:space="preserve"> </w:t>
      </w:r>
      <w:r w:rsidRPr="001667DB">
        <w:rPr>
          <w:rFonts w:ascii="Times New Roman" w:hAnsi="Times New Roman" w:cs="Times New Roman"/>
          <w:color w:val="000000" w:themeColor="text1"/>
        </w:rPr>
        <w:br w:type="page"/>
      </w:r>
    </w:p>
    <w:p w14:paraId="0F54AA07" w14:textId="77777777" w:rsidR="00955A27" w:rsidRPr="001667DB" w:rsidRDefault="00955A27" w:rsidP="00955A27">
      <w:pPr>
        <w:spacing w:after="120" w:line="360" w:lineRule="auto"/>
        <w:ind w:left="10" w:right="119"/>
        <w:jc w:val="center"/>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ZAŁĄCZNIK 1 </w:t>
      </w:r>
    </w:p>
    <w:p w14:paraId="3E0B9041" w14:textId="77777777" w:rsidR="00955A27" w:rsidRPr="001667DB" w:rsidRDefault="00955A27" w:rsidP="00955A27">
      <w:pPr>
        <w:spacing w:after="120" w:line="360" w:lineRule="auto"/>
        <w:ind w:right="7"/>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5CA9F2EA"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Z1.A. Wymagany wskaźnik zagęszczania w nasypach i w wykopach. </w:t>
      </w:r>
    </w:p>
    <w:p w14:paraId="7ED8EB0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62BD3439" w14:textId="77777777" w:rsidR="00955A27" w:rsidRPr="001667DB" w:rsidRDefault="00955A27" w:rsidP="00955A27">
      <w:pPr>
        <w:spacing w:after="120" w:line="360" w:lineRule="auto"/>
        <w:ind w:left="211"/>
        <w:rPr>
          <w:rFonts w:ascii="Times New Roman" w:hAnsi="Times New Roman" w:cs="Times New Roman"/>
          <w:color w:val="000000" w:themeColor="text1"/>
        </w:rPr>
      </w:pP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2AC98521" wp14:editId="1005042E">
                <wp:extent cx="5805568" cy="2063714"/>
                <wp:effectExtent l="0" t="0" r="0" b="0"/>
                <wp:docPr id="47458" name="Group 47458"/>
                <wp:cNvGraphicFramePr/>
                <a:graphic xmlns:a="http://schemas.openxmlformats.org/drawingml/2006/main">
                  <a:graphicData uri="http://schemas.microsoft.com/office/word/2010/wordprocessingGroup">
                    <wpg:wgp>
                      <wpg:cNvGrpSpPr/>
                      <wpg:grpSpPr>
                        <a:xfrm>
                          <a:off x="0" y="0"/>
                          <a:ext cx="5805568" cy="2063714"/>
                          <a:chOff x="0" y="0"/>
                          <a:chExt cx="5805568" cy="2063714"/>
                        </a:xfrm>
                      </wpg:grpSpPr>
                      <wps:wsp>
                        <wps:cNvPr id="9085" name="Rectangle 9085"/>
                        <wps:cNvSpPr/>
                        <wps:spPr>
                          <a:xfrm>
                            <a:off x="2881313" y="0"/>
                            <a:ext cx="57536" cy="163963"/>
                          </a:xfrm>
                          <a:prstGeom prst="rect">
                            <a:avLst/>
                          </a:prstGeom>
                          <a:ln>
                            <a:noFill/>
                          </a:ln>
                        </wps:spPr>
                        <wps:txbx>
                          <w:txbxContent>
                            <w:p w14:paraId="2FBB8190" w14:textId="77777777" w:rsidR="004A6EFA" w:rsidRDefault="004A6EFA">
                              <w:r>
                                <w:rPr>
                                  <w:b/>
                                </w:rPr>
                                <w:t xml:space="preserve"> </w:t>
                              </w:r>
                            </w:p>
                          </w:txbxContent>
                        </wps:txbx>
                        <wps:bodyPr horzOverflow="overflow" vert="horz" lIns="0" tIns="0" rIns="0" bIns="0" rtlCol="0">
                          <a:noAutofit/>
                        </wps:bodyPr>
                      </wps:wsp>
                      <wps:wsp>
                        <wps:cNvPr id="63151" name="Shape 63151"/>
                        <wps:cNvSpPr/>
                        <wps:spPr>
                          <a:xfrm>
                            <a:off x="622" y="221817"/>
                            <a:ext cx="5761609" cy="1588262"/>
                          </a:xfrm>
                          <a:custGeom>
                            <a:avLst/>
                            <a:gdLst/>
                            <a:ahLst/>
                            <a:cxnLst/>
                            <a:rect l="0" t="0" r="0" b="0"/>
                            <a:pathLst>
                              <a:path w="5761609" h="1588262">
                                <a:moveTo>
                                  <a:pt x="0" y="0"/>
                                </a:moveTo>
                                <a:lnTo>
                                  <a:pt x="5761609" y="0"/>
                                </a:lnTo>
                                <a:lnTo>
                                  <a:pt x="5761609" y="1588262"/>
                                </a:lnTo>
                                <a:lnTo>
                                  <a:pt x="0" y="1588262"/>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9087" name="Rectangle 9087"/>
                        <wps:cNvSpPr/>
                        <wps:spPr>
                          <a:xfrm>
                            <a:off x="5762307" y="1713357"/>
                            <a:ext cx="57536" cy="163963"/>
                          </a:xfrm>
                          <a:prstGeom prst="rect">
                            <a:avLst/>
                          </a:prstGeom>
                          <a:ln>
                            <a:noFill/>
                          </a:ln>
                        </wps:spPr>
                        <wps:txbx>
                          <w:txbxContent>
                            <w:p w14:paraId="399A71A2" w14:textId="77777777" w:rsidR="004A6EFA" w:rsidRDefault="004A6EFA">
                              <w:r>
                                <w:rPr>
                                  <w:b/>
                                </w:rPr>
                                <w:t xml:space="preserve"> </w:t>
                              </w:r>
                            </w:p>
                          </w:txbxContent>
                        </wps:txbx>
                        <wps:bodyPr horzOverflow="overflow" vert="horz" lIns="0" tIns="0" rIns="0" bIns="0" rtlCol="0">
                          <a:noAutofit/>
                        </wps:bodyPr>
                      </wps:wsp>
                      <wps:wsp>
                        <wps:cNvPr id="9088" name="Rectangle 9088"/>
                        <wps:cNvSpPr/>
                        <wps:spPr>
                          <a:xfrm>
                            <a:off x="2134553" y="1940434"/>
                            <a:ext cx="1983652" cy="163963"/>
                          </a:xfrm>
                          <a:prstGeom prst="rect">
                            <a:avLst/>
                          </a:prstGeom>
                          <a:ln>
                            <a:noFill/>
                          </a:ln>
                        </wps:spPr>
                        <wps:txbx>
                          <w:txbxContent>
                            <w:p w14:paraId="0AC2DD94" w14:textId="77777777" w:rsidR="004A6EFA" w:rsidRDefault="004A6EFA">
                              <w:r>
                                <w:rPr>
                                  <w:b/>
                                </w:rPr>
                                <w:t>Rysunek Z1.1. Nasyp</w:t>
                              </w:r>
                            </w:p>
                          </w:txbxContent>
                        </wps:txbx>
                        <wps:bodyPr horzOverflow="overflow" vert="horz" lIns="0" tIns="0" rIns="0" bIns="0" rtlCol="0">
                          <a:noAutofit/>
                        </wps:bodyPr>
                      </wps:wsp>
                      <wps:wsp>
                        <wps:cNvPr id="9089" name="Rectangle 9089"/>
                        <wps:cNvSpPr/>
                        <wps:spPr>
                          <a:xfrm>
                            <a:off x="3628327" y="1940434"/>
                            <a:ext cx="57536" cy="163963"/>
                          </a:xfrm>
                          <a:prstGeom prst="rect">
                            <a:avLst/>
                          </a:prstGeom>
                          <a:ln>
                            <a:noFill/>
                          </a:ln>
                        </wps:spPr>
                        <wps:txbx>
                          <w:txbxContent>
                            <w:p w14:paraId="56986679" w14:textId="77777777" w:rsidR="004A6EFA" w:rsidRDefault="004A6EFA">
                              <w:r>
                                <w:rPr>
                                  <w:b/>
                                </w:rPr>
                                <w:t xml:space="preserve"> </w:t>
                              </w:r>
                            </w:p>
                          </w:txbxContent>
                        </wps:txbx>
                        <wps:bodyPr horzOverflow="overflow" vert="horz" lIns="0" tIns="0" rIns="0" bIns="0" rtlCol="0">
                          <a:noAutofit/>
                        </wps:bodyPr>
                      </wps:wsp>
                      <pic:pic xmlns:pic="http://schemas.openxmlformats.org/drawingml/2006/picture">
                        <pic:nvPicPr>
                          <pic:cNvPr id="9099" name="Picture 9099"/>
                          <pic:cNvPicPr/>
                        </pic:nvPicPr>
                        <pic:blipFill>
                          <a:blip r:embed="rId11"/>
                          <a:stretch>
                            <a:fillRect/>
                          </a:stretch>
                        </pic:blipFill>
                        <pic:spPr>
                          <a:xfrm>
                            <a:off x="0" y="221310"/>
                            <a:ext cx="5761356" cy="1587500"/>
                          </a:xfrm>
                          <a:prstGeom prst="rect">
                            <a:avLst/>
                          </a:prstGeom>
                        </pic:spPr>
                      </pic:pic>
                    </wpg:wgp>
                  </a:graphicData>
                </a:graphic>
              </wp:inline>
            </w:drawing>
          </mc:Choice>
          <mc:Fallback>
            <w:pict>
              <v:group w14:anchorId="2AC98521" id="Group 47458" o:spid="_x0000_s1026" style="width:457.15pt;height:162.5pt;mso-position-horizontal-relative:char;mso-position-vertical-relative:line" coordsize="58055,2063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">
                <v:rect id="Rectangle 9085" o:spid="_x0000_s1027" style="position:absolute;left:28813;width:575;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" filled="f" stroked="f">
                  <v:textbox inset="0,0,0,0">
                    <w:txbxContent>
                      <w:p w14:paraId="2FBB8190" w14:textId="77777777" w:rsidR="004A6EFA" w:rsidRDefault="004A6EFA">
                        <w:r>
                          <w:rPr>
                            <w:b/>
                          </w:rPr>
                          <w:t xml:space="preserve"> </w:t>
                        </w:r>
                      </w:p>
                    </w:txbxContent>
                  </v:textbox>
                </v:rect>
                <v:shape id="Shape 63151" o:spid="_x0000_s1028" style="position:absolute;left:6;top:2218;width:57616;height:15882;visibility:visible;mso-wrap-style:square;v-text-anchor:top" coordsize="5761609,1588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" path="m,l5761609,r,1588262l,1588262,,e" fillcolor="yellow" stroked="f" strokeweight="0">
                  <v:stroke miterlimit="83231f" joinstyle="miter"/>
                  <v:path arrowok="t" textboxrect="0,0,5761609,1588262"/>
                </v:shape>
                <v:rect id="Rectangle 9087" o:spid="_x0000_s1029" style="position:absolute;left:57623;top:17133;width:575;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ho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pBE8RSub8ITkPk/AAAA//8DAFBLAQItABQABgAIAAAAIQDb4fbL7gAAAIUBAAATAAAAAAAA&#10;AAAAAAAAAAAAAABbQ29udGVudF9UeXBlc10ueG1sUEsBAi0AFAAGAAgAAAAhAFr0LFu/AAAAFQEA&#10;AAsAAAAAAAAAAAAAAAAAHwEAAF9yZWxzLy5yZWxzUEsBAi0AFAAGAAgAAAAhAMxduGjHAAAA3QAA&#10;AA8AAAAAAAAAAAAAAAAABwIAAGRycy9kb3ducmV2LnhtbFBLBQYAAAAAAwADALcAAAD7AgAAAAA=&#10;" filled="f" stroked="f">
                  <v:textbox inset="0,0,0,0">
                    <w:txbxContent>
                      <w:p w14:paraId="399A71A2" w14:textId="77777777" w:rsidR="004A6EFA" w:rsidRDefault="004A6EFA">
                        <w:r>
                          <w:rPr>
                            <w:b/>
                          </w:rPr>
                          <w:t xml:space="preserve"> </w:t>
                        </w:r>
                      </w:p>
                    </w:txbxContent>
                  </v:textbox>
                </v:rect>
                <v:rect id="Rectangle 9088" o:spid="_x0000_s1030" style="position:absolute;left:21345;top:19404;width:19837;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" filled="f" stroked="f">
                  <v:textbox inset="0,0,0,0">
                    <w:txbxContent>
                      <w:p w14:paraId="0AC2DD94" w14:textId="77777777" w:rsidR="004A6EFA" w:rsidRDefault="004A6EFA">
                        <w:r>
                          <w:rPr>
                            <w:b/>
                          </w:rPr>
                          <w:t>Rysunek Z1.1. Nasyp</w:t>
                        </w:r>
                      </w:p>
                    </w:txbxContent>
                  </v:textbox>
                </v:rect>
                <v:rect id="Rectangle 9089" o:spid="_x0000_s1031" style="position:absolute;left:36283;top:19404;width:575;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" filled="f" stroked="f">
                  <v:textbox inset="0,0,0,0">
                    <w:txbxContent>
                      <w:p w14:paraId="56986679" w14:textId="77777777" w:rsidR="004A6EFA" w:rsidRDefault="004A6EFA">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99" o:spid="_x0000_s1032" type="#_x0000_t75" style="position:absolute;top:2213;width:57613;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">
                  <v:imagedata r:id="rId12" o:title=""/>
                </v:shape>
                <w10:anchorlock/>
              </v:group>
            </w:pict>
          </mc:Fallback>
        </mc:AlternateContent>
      </w:r>
    </w:p>
    <w:p w14:paraId="0F89500B" w14:textId="77777777" w:rsidR="00955A27" w:rsidRPr="001667DB" w:rsidRDefault="00955A27" w:rsidP="00955A27">
      <w:pPr>
        <w:spacing w:after="120" w:line="360" w:lineRule="auto"/>
        <w:ind w:right="7"/>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21D0679A" w14:textId="77777777" w:rsidR="00955A27" w:rsidRPr="001667DB" w:rsidRDefault="00955A27" w:rsidP="00955A27">
      <w:pPr>
        <w:spacing w:after="120" w:line="360" w:lineRule="auto"/>
        <w:ind w:right="218"/>
        <w:jc w:val="right"/>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2B7E0D3D" wp14:editId="1DCE9D4D">
            <wp:extent cx="5758434" cy="869950"/>
            <wp:effectExtent l="0" t="0" r="0" b="0"/>
            <wp:docPr id="9101" name="Picture 9101"/>
            <wp:cNvGraphicFramePr/>
            <a:graphic xmlns:a="http://schemas.openxmlformats.org/drawingml/2006/main">
              <a:graphicData uri="http://schemas.openxmlformats.org/drawingml/2006/picture">
                <pic:pic xmlns:pic="http://schemas.openxmlformats.org/drawingml/2006/picture">
                  <pic:nvPicPr>
                    <pic:cNvPr id="9101" name="Picture 9101"/>
                    <pic:cNvPicPr/>
                  </pic:nvPicPr>
                  <pic:blipFill>
                    <a:blip r:embed="rId13"/>
                    <a:stretch>
                      <a:fillRect/>
                    </a:stretch>
                  </pic:blipFill>
                  <pic:spPr>
                    <a:xfrm>
                      <a:off x="0" y="0"/>
                      <a:ext cx="5758434" cy="869950"/>
                    </a:xfrm>
                    <a:prstGeom prst="rect">
                      <a:avLst/>
                    </a:prstGeom>
                  </pic:spPr>
                </pic:pic>
              </a:graphicData>
            </a:graphic>
          </wp:inline>
        </w:drawing>
      </w:r>
      <w:r w:rsidRPr="001667DB">
        <w:rPr>
          <w:rFonts w:ascii="Times New Roman" w:hAnsi="Times New Roman" w:cs="Times New Roman"/>
          <w:b/>
          <w:color w:val="000000" w:themeColor="text1"/>
        </w:rPr>
        <w:t xml:space="preserve"> </w:t>
      </w:r>
    </w:p>
    <w:p w14:paraId="53233BDC" w14:textId="77777777" w:rsidR="00955A27" w:rsidRPr="001667DB" w:rsidRDefault="00955A27" w:rsidP="00955A27">
      <w:pPr>
        <w:spacing w:after="120" w:line="360" w:lineRule="auto"/>
        <w:ind w:left="10" w:right="78"/>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Rysunek Z1.2. Wykop i miejsca zerowe robót ziemnych </w:t>
      </w:r>
    </w:p>
    <w:p w14:paraId="09BC5A9D" w14:textId="77777777" w:rsidR="00955A27" w:rsidRPr="001667DB" w:rsidRDefault="00955A27" w:rsidP="00955A27">
      <w:pPr>
        <w:spacing w:after="120" w:line="360" w:lineRule="auto"/>
        <w:ind w:right="257"/>
        <w:jc w:val="right"/>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rPr>
        <w:t xml:space="preserve"> </w:t>
      </w:r>
      <w:r w:rsidRPr="001667DB">
        <w:rPr>
          <w:rFonts w:ascii="Times New Roman" w:eastAsia="Times New Roman" w:hAnsi="Times New Roman" w:cs="Times New Roman"/>
          <w:b/>
          <w:color w:val="000000" w:themeColor="text1"/>
        </w:rPr>
        <w:tab/>
        <w:t xml:space="preserve"> </w:t>
      </w:r>
    </w:p>
    <w:p w14:paraId="19ECFDE6"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Z1.B. Nośność  </w:t>
      </w:r>
    </w:p>
    <w:p w14:paraId="33D51142" w14:textId="77777777" w:rsidR="00955A27" w:rsidRPr="001667DB" w:rsidRDefault="00955A27" w:rsidP="00F55914">
      <w:pPr>
        <w:numPr>
          <w:ilvl w:val="0"/>
          <w:numId w:val="36"/>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Podane schematy uwzględniają typowe rozwiązania występujące w KTKNPiP oraz w KTKNS. </w:t>
      </w:r>
    </w:p>
    <w:p w14:paraId="1003ED5E" w14:textId="77777777" w:rsidR="00955A27" w:rsidRPr="001667DB" w:rsidRDefault="00955A27" w:rsidP="00F55914">
      <w:pPr>
        <w:numPr>
          <w:ilvl w:val="0"/>
          <w:numId w:val="36"/>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rozwiązań indywidualnych wymagania dla nośności należy określić  w Dokumentacji Technicznej. </w:t>
      </w:r>
    </w:p>
    <w:p w14:paraId="01B5E134" w14:textId="77777777" w:rsidR="00955A27" w:rsidRPr="001667DB" w:rsidRDefault="00955A27" w:rsidP="00F55914">
      <w:pPr>
        <w:numPr>
          <w:ilvl w:val="0"/>
          <w:numId w:val="36"/>
        </w:numPr>
        <w:spacing w:after="120" w:line="360" w:lineRule="auto"/>
        <w:ind w:right="69"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Oznaczenia: </w:t>
      </w:r>
    </w:p>
    <w:p w14:paraId="398D4841" w14:textId="77777777" w:rsidR="00955A27" w:rsidRPr="001667DB" w:rsidRDefault="00955A27" w:rsidP="00955A27">
      <w:pPr>
        <w:tabs>
          <w:tab w:val="center" w:pos="970"/>
          <w:tab w:val="center" w:pos="3295"/>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GWN   </w:t>
      </w:r>
      <w:r w:rsidRPr="001667DB">
        <w:rPr>
          <w:rFonts w:ascii="Times New Roman" w:hAnsi="Times New Roman" w:cs="Times New Roman"/>
          <w:color w:val="000000" w:themeColor="text1"/>
        </w:rPr>
        <w:tab/>
        <w:t xml:space="preserve">górna warstwa nasypu, </w:t>
      </w:r>
    </w:p>
    <w:p w14:paraId="7C19C093" w14:textId="77777777" w:rsidR="00955A27" w:rsidRPr="001667DB" w:rsidRDefault="00955A27" w:rsidP="00955A27">
      <w:pPr>
        <w:tabs>
          <w:tab w:val="center" w:pos="931"/>
          <w:tab w:val="center" w:pos="1560"/>
          <w:tab w:val="center" w:pos="3589"/>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UPG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ulepszone podłoże gruntowe, </w:t>
      </w:r>
    </w:p>
    <w:p w14:paraId="02FDCBE1" w14:textId="77777777" w:rsidR="00955A27" w:rsidRPr="001667DB" w:rsidRDefault="00955A27" w:rsidP="00955A27">
      <w:pPr>
        <w:tabs>
          <w:tab w:val="center" w:pos="1136"/>
          <w:tab w:val="center" w:pos="3759"/>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H(GWN)  </w:t>
      </w:r>
      <w:r w:rsidRPr="001667DB">
        <w:rPr>
          <w:rFonts w:ascii="Times New Roman" w:hAnsi="Times New Roman" w:cs="Times New Roman"/>
          <w:color w:val="000000" w:themeColor="text1"/>
        </w:rPr>
        <w:tab/>
        <w:t xml:space="preserve">grubość górnej warstwy nasypu, </w:t>
      </w:r>
    </w:p>
    <w:p w14:paraId="5D832F9B" w14:textId="77777777" w:rsidR="00955A27" w:rsidRPr="001667DB" w:rsidRDefault="00955A27" w:rsidP="00955A27">
      <w:pPr>
        <w:tabs>
          <w:tab w:val="center" w:pos="1096"/>
          <w:tab w:val="center" w:pos="4716"/>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H(UPG)   </w:t>
      </w:r>
      <w:r w:rsidRPr="001667DB">
        <w:rPr>
          <w:rFonts w:ascii="Times New Roman" w:hAnsi="Times New Roman" w:cs="Times New Roman"/>
          <w:color w:val="000000" w:themeColor="text1"/>
        </w:rPr>
        <w:tab/>
        <w:t xml:space="preserve">grubość warstwy ulepszonego podłoża gruntowego. </w:t>
      </w:r>
    </w:p>
    <w:p w14:paraId="0CC6485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2DD22C31" w14:textId="77777777" w:rsidR="00955A27" w:rsidRPr="001667DB" w:rsidRDefault="00955A27" w:rsidP="00955A27">
      <w:pPr>
        <w:spacing w:after="120" w:line="360" w:lineRule="auto"/>
        <w:ind w:left="22"/>
        <w:jc w:val="center"/>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lastRenderedPageBreak/>
        <w:drawing>
          <wp:inline distT="0" distB="0" distL="0" distR="0" wp14:anchorId="1A755909" wp14:editId="22E55B61">
            <wp:extent cx="3264535" cy="1658493"/>
            <wp:effectExtent l="0" t="0" r="0" b="0"/>
            <wp:docPr id="9214" name="Picture 9214"/>
            <wp:cNvGraphicFramePr/>
            <a:graphic xmlns:a="http://schemas.openxmlformats.org/drawingml/2006/main">
              <a:graphicData uri="http://schemas.openxmlformats.org/drawingml/2006/picture">
                <pic:pic xmlns:pic="http://schemas.openxmlformats.org/drawingml/2006/picture">
                  <pic:nvPicPr>
                    <pic:cNvPr id="9214" name="Picture 9214"/>
                    <pic:cNvPicPr/>
                  </pic:nvPicPr>
                  <pic:blipFill>
                    <a:blip r:embed="rId14"/>
                    <a:stretch>
                      <a:fillRect/>
                    </a:stretch>
                  </pic:blipFill>
                  <pic:spPr>
                    <a:xfrm>
                      <a:off x="0" y="0"/>
                      <a:ext cx="3264535" cy="1658493"/>
                    </a:xfrm>
                    <a:prstGeom prst="rect">
                      <a:avLst/>
                    </a:prstGeom>
                  </pic:spPr>
                </pic:pic>
              </a:graphicData>
            </a:graphic>
          </wp:inline>
        </w:drawing>
      </w:r>
      <w:r w:rsidRPr="001667DB">
        <w:rPr>
          <w:rFonts w:ascii="Times New Roman" w:hAnsi="Times New Roman" w:cs="Times New Roman"/>
          <w:b/>
          <w:color w:val="000000" w:themeColor="text1"/>
        </w:rPr>
        <w:t xml:space="preserve"> </w:t>
      </w:r>
    </w:p>
    <w:p w14:paraId="72F60D91" w14:textId="77777777" w:rsidR="00955A27" w:rsidRPr="001667DB" w:rsidRDefault="00955A27" w:rsidP="00955A27">
      <w:pPr>
        <w:spacing w:after="120" w:line="360" w:lineRule="auto"/>
        <w:ind w:left="10" w:right="76"/>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Rysunek Z1.3. Nośność dla wykopów dla kategorii ruchu KR1-KR2 </w:t>
      </w:r>
    </w:p>
    <w:p w14:paraId="64737599" w14:textId="77777777" w:rsidR="00955A27" w:rsidRPr="001667DB" w:rsidRDefault="00955A27" w:rsidP="00955A27">
      <w:pPr>
        <w:spacing w:after="120" w:line="360" w:lineRule="auto"/>
        <w:ind w:right="1380"/>
        <w:jc w:val="right"/>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53EF590D" wp14:editId="20382622">
            <wp:extent cx="4258691" cy="1816735"/>
            <wp:effectExtent l="0" t="0" r="0" b="0"/>
            <wp:docPr id="9216" name="Picture 9216"/>
            <wp:cNvGraphicFramePr/>
            <a:graphic xmlns:a="http://schemas.openxmlformats.org/drawingml/2006/main">
              <a:graphicData uri="http://schemas.openxmlformats.org/drawingml/2006/picture">
                <pic:pic xmlns:pic="http://schemas.openxmlformats.org/drawingml/2006/picture">
                  <pic:nvPicPr>
                    <pic:cNvPr id="9216" name="Picture 9216"/>
                    <pic:cNvPicPr/>
                  </pic:nvPicPr>
                  <pic:blipFill>
                    <a:blip r:embed="rId15"/>
                    <a:stretch>
                      <a:fillRect/>
                    </a:stretch>
                  </pic:blipFill>
                  <pic:spPr>
                    <a:xfrm>
                      <a:off x="0" y="0"/>
                      <a:ext cx="4258691" cy="1816735"/>
                    </a:xfrm>
                    <a:prstGeom prst="rect">
                      <a:avLst/>
                    </a:prstGeom>
                  </pic:spPr>
                </pic:pic>
              </a:graphicData>
            </a:graphic>
          </wp:inline>
        </w:drawing>
      </w:r>
      <w:r w:rsidRPr="001667DB">
        <w:rPr>
          <w:rFonts w:ascii="Times New Roman" w:hAnsi="Times New Roman" w:cs="Times New Roman"/>
          <w:b/>
          <w:color w:val="000000" w:themeColor="text1"/>
        </w:rPr>
        <w:t xml:space="preserve"> </w:t>
      </w:r>
    </w:p>
    <w:p w14:paraId="3C736D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333FE8C3" w14:textId="77777777" w:rsidR="00955A27" w:rsidRPr="001667DB" w:rsidRDefault="00955A27" w:rsidP="00955A27">
      <w:pPr>
        <w:spacing w:after="120" w:line="360" w:lineRule="auto"/>
        <w:ind w:left="10" w:right="76"/>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Rysunek Z1.4. Nośność dla nasypów dla kategorii ruchu KR1-KR2 </w:t>
      </w:r>
    </w:p>
    <w:p w14:paraId="35D14F71" w14:textId="77777777" w:rsidR="00955A27" w:rsidRPr="001667DB" w:rsidRDefault="00955A27" w:rsidP="00955A27">
      <w:pPr>
        <w:spacing w:after="120" w:line="360" w:lineRule="auto"/>
        <w:ind w:left="22"/>
        <w:jc w:val="center"/>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251BBB19" wp14:editId="33E57245">
            <wp:extent cx="2906776" cy="1942465"/>
            <wp:effectExtent l="0" t="0" r="0" b="0"/>
            <wp:docPr id="9218" name="Picture 9218"/>
            <wp:cNvGraphicFramePr/>
            <a:graphic xmlns:a="http://schemas.openxmlformats.org/drawingml/2006/main">
              <a:graphicData uri="http://schemas.openxmlformats.org/drawingml/2006/picture">
                <pic:pic xmlns:pic="http://schemas.openxmlformats.org/drawingml/2006/picture">
                  <pic:nvPicPr>
                    <pic:cNvPr id="9218" name="Picture 9218"/>
                    <pic:cNvPicPr/>
                  </pic:nvPicPr>
                  <pic:blipFill>
                    <a:blip r:embed="rId16"/>
                    <a:stretch>
                      <a:fillRect/>
                    </a:stretch>
                  </pic:blipFill>
                  <pic:spPr>
                    <a:xfrm>
                      <a:off x="0" y="0"/>
                      <a:ext cx="2906776" cy="1942465"/>
                    </a:xfrm>
                    <a:prstGeom prst="rect">
                      <a:avLst/>
                    </a:prstGeom>
                  </pic:spPr>
                </pic:pic>
              </a:graphicData>
            </a:graphic>
          </wp:inline>
        </w:drawing>
      </w:r>
      <w:r w:rsidRPr="001667DB">
        <w:rPr>
          <w:rFonts w:ascii="Times New Roman" w:hAnsi="Times New Roman" w:cs="Times New Roman"/>
          <w:b/>
          <w:color w:val="000000" w:themeColor="text1"/>
        </w:rPr>
        <w:t xml:space="preserve"> </w:t>
      </w:r>
    </w:p>
    <w:p w14:paraId="39E16A48" w14:textId="77777777" w:rsidR="00955A27" w:rsidRPr="001667DB" w:rsidRDefault="00955A27" w:rsidP="00955A27">
      <w:pPr>
        <w:spacing w:after="120" w:line="360" w:lineRule="auto"/>
        <w:ind w:right="512"/>
        <w:jc w:val="center"/>
        <w:rPr>
          <w:rFonts w:ascii="Times New Roman" w:hAnsi="Times New Roman" w:cs="Times New Roman"/>
          <w:color w:val="000000" w:themeColor="text1"/>
        </w:rPr>
      </w:pPr>
      <w:r w:rsidRPr="001667DB">
        <w:rPr>
          <w:rFonts w:ascii="Times New Roman" w:hAnsi="Times New Roman" w:cs="Times New Roman"/>
          <w:b/>
          <w:color w:val="000000" w:themeColor="text1"/>
        </w:rPr>
        <w:t>Rysunek Z1.5. Nośność dla wykopów i nasypów dla kategorii ruchu KR3-KR4</w:t>
      </w:r>
    </w:p>
    <w:p w14:paraId="17B729E5" w14:textId="77777777" w:rsidR="00955A27" w:rsidRPr="001667DB" w:rsidRDefault="00955A27" w:rsidP="00955A27">
      <w:pPr>
        <w:spacing w:after="120" w:line="360" w:lineRule="auto"/>
        <w:ind w:right="7"/>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68CEF295" w14:textId="77777777" w:rsidR="00955A27" w:rsidRPr="001667DB" w:rsidRDefault="00955A27" w:rsidP="00955A27">
      <w:pPr>
        <w:spacing w:after="120" w:line="360" w:lineRule="auto"/>
        <w:ind w:left="22"/>
        <w:jc w:val="center"/>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lastRenderedPageBreak/>
        <w:drawing>
          <wp:inline distT="0" distB="0" distL="0" distR="0" wp14:anchorId="045D7FC9" wp14:editId="11FBF6C6">
            <wp:extent cx="2572512" cy="1714500"/>
            <wp:effectExtent l="0" t="0" r="0" b="0"/>
            <wp:docPr id="9301" name="Picture 9301"/>
            <wp:cNvGraphicFramePr/>
            <a:graphic xmlns:a="http://schemas.openxmlformats.org/drawingml/2006/main">
              <a:graphicData uri="http://schemas.openxmlformats.org/drawingml/2006/picture">
                <pic:pic xmlns:pic="http://schemas.openxmlformats.org/drawingml/2006/picture">
                  <pic:nvPicPr>
                    <pic:cNvPr id="9301" name="Picture 9301"/>
                    <pic:cNvPicPr/>
                  </pic:nvPicPr>
                  <pic:blipFill>
                    <a:blip r:embed="rId17"/>
                    <a:stretch>
                      <a:fillRect/>
                    </a:stretch>
                  </pic:blipFill>
                  <pic:spPr>
                    <a:xfrm>
                      <a:off x="0" y="0"/>
                      <a:ext cx="2572512" cy="1714500"/>
                    </a:xfrm>
                    <a:prstGeom prst="rect">
                      <a:avLst/>
                    </a:prstGeom>
                  </pic:spPr>
                </pic:pic>
              </a:graphicData>
            </a:graphic>
          </wp:inline>
        </w:drawing>
      </w:r>
      <w:r w:rsidRPr="001667DB">
        <w:rPr>
          <w:rFonts w:ascii="Times New Roman" w:hAnsi="Times New Roman" w:cs="Times New Roman"/>
          <w:b/>
          <w:color w:val="000000" w:themeColor="text1"/>
        </w:rPr>
        <w:t xml:space="preserve"> </w:t>
      </w:r>
    </w:p>
    <w:p w14:paraId="663D2767" w14:textId="77777777" w:rsidR="00955A27" w:rsidRPr="001667DB" w:rsidRDefault="00955A27" w:rsidP="00955A27">
      <w:pPr>
        <w:spacing w:after="120" w:line="360" w:lineRule="auto"/>
        <w:ind w:left="1050"/>
        <w:jc w:val="center"/>
        <w:rPr>
          <w:rFonts w:ascii="Times New Roman" w:hAnsi="Times New Roman" w:cs="Times New Roman"/>
          <w:color w:val="000000" w:themeColor="text1"/>
        </w:rPr>
      </w:pPr>
      <w:r w:rsidRPr="001667DB">
        <w:rPr>
          <w:rFonts w:ascii="Times New Roman" w:hAnsi="Times New Roman" w:cs="Times New Roman"/>
          <w:b/>
          <w:color w:val="000000" w:themeColor="text1"/>
        </w:rPr>
        <w:t>Rysunek Z1.6. Nośność dla wykopów dla kategorii ruchu KR5-KR7</w:t>
      </w:r>
    </w:p>
    <w:p w14:paraId="531D7C20" w14:textId="77777777" w:rsidR="00955A27" w:rsidRPr="001667DB" w:rsidRDefault="00955A27" w:rsidP="00955A27">
      <w:pPr>
        <w:spacing w:after="120" w:line="360" w:lineRule="auto"/>
        <w:ind w:right="7"/>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2D2FAC12" w14:textId="77777777" w:rsidR="00955A27" w:rsidRPr="001667DB" w:rsidRDefault="00955A27" w:rsidP="00955A27">
      <w:pPr>
        <w:spacing w:after="120" w:line="360" w:lineRule="auto"/>
        <w:ind w:left="2194"/>
        <w:rPr>
          <w:rFonts w:ascii="Times New Roman" w:hAnsi="Times New Roman" w:cs="Times New Roman"/>
          <w:color w:val="000000" w:themeColor="text1"/>
        </w:rPr>
      </w:pP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0A36B89D" wp14:editId="705518BA">
                <wp:extent cx="3261995" cy="1752473"/>
                <wp:effectExtent l="0" t="0" r="0" b="0"/>
                <wp:docPr id="56506" name="Group 56506"/>
                <wp:cNvGraphicFramePr/>
                <a:graphic xmlns:a="http://schemas.openxmlformats.org/drawingml/2006/main">
                  <a:graphicData uri="http://schemas.microsoft.com/office/word/2010/wordprocessingGroup">
                    <wpg:wgp>
                      <wpg:cNvGrpSpPr/>
                      <wpg:grpSpPr>
                        <a:xfrm>
                          <a:off x="0" y="0"/>
                          <a:ext cx="3261995" cy="1752473"/>
                          <a:chOff x="0" y="0"/>
                          <a:chExt cx="3261995" cy="1752473"/>
                        </a:xfrm>
                      </wpg:grpSpPr>
                      <pic:pic xmlns:pic="http://schemas.openxmlformats.org/drawingml/2006/picture">
                        <pic:nvPicPr>
                          <pic:cNvPr id="9303" name="Picture 9303"/>
                          <pic:cNvPicPr/>
                        </pic:nvPicPr>
                        <pic:blipFill>
                          <a:blip r:embed="rId18"/>
                          <a:stretch>
                            <a:fillRect/>
                          </a:stretch>
                        </pic:blipFill>
                        <pic:spPr>
                          <a:xfrm>
                            <a:off x="0" y="0"/>
                            <a:ext cx="3261995" cy="1752473"/>
                          </a:xfrm>
                          <a:prstGeom prst="rect">
                            <a:avLst/>
                          </a:prstGeom>
                        </pic:spPr>
                      </pic:pic>
                      <wps:wsp>
                        <wps:cNvPr id="56430" name="Rectangle 56430"/>
                        <wps:cNvSpPr/>
                        <wps:spPr>
                          <a:xfrm>
                            <a:off x="515620" y="1308000"/>
                            <a:ext cx="46011" cy="98773"/>
                          </a:xfrm>
                          <a:prstGeom prst="rect">
                            <a:avLst/>
                          </a:prstGeom>
                          <a:ln>
                            <a:noFill/>
                          </a:ln>
                        </wps:spPr>
                        <wps:txbx>
                          <w:txbxContent>
                            <w:p w14:paraId="28E13194" w14:textId="77777777" w:rsidR="004A6EFA" w:rsidRDefault="004A6EFA">
                              <w:r>
                                <w:rPr>
                                  <w:sz w:val="12"/>
                                </w:rPr>
                                <w:t>(</w:t>
                              </w:r>
                            </w:p>
                          </w:txbxContent>
                        </wps:txbx>
                        <wps:bodyPr horzOverflow="overflow" vert="horz" lIns="0" tIns="0" rIns="0" bIns="0" rtlCol="0">
                          <a:noAutofit/>
                        </wps:bodyPr>
                      </wps:wsp>
                      <wps:wsp>
                        <wps:cNvPr id="56434" name="Rectangle 56434"/>
                        <wps:cNvSpPr/>
                        <wps:spPr>
                          <a:xfrm>
                            <a:off x="550596" y="1308000"/>
                            <a:ext cx="60909" cy="98773"/>
                          </a:xfrm>
                          <a:prstGeom prst="rect">
                            <a:avLst/>
                          </a:prstGeom>
                          <a:ln>
                            <a:noFill/>
                          </a:ln>
                        </wps:spPr>
                        <wps:txbx>
                          <w:txbxContent>
                            <w:p w14:paraId="0ED37ECD" w14:textId="77777777" w:rsidR="004A6EFA" w:rsidRDefault="004A6EFA">
                              <w:r>
                                <w:rPr>
                                  <w:sz w:val="12"/>
                                </w:rPr>
                                <w:t>a</w:t>
                              </w:r>
                            </w:p>
                          </w:txbxContent>
                        </wps:txbx>
                        <wps:bodyPr horzOverflow="overflow" vert="horz" lIns="0" tIns="0" rIns="0" bIns="0" rtlCol="0">
                          <a:noAutofit/>
                        </wps:bodyPr>
                      </wps:wsp>
                      <wps:wsp>
                        <wps:cNvPr id="56432" name="Rectangle 56432"/>
                        <wps:cNvSpPr/>
                        <wps:spPr>
                          <a:xfrm>
                            <a:off x="596392" y="1308000"/>
                            <a:ext cx="46011" cy="98773"/>
                          </a:xfrm>
                          <a:prstGeom prst="rect">
                            <a:avLst/>
                          </a:prstGeom>
                          <a:ln>
                            <a:noFill/>
                          </a:ln>
                        </wps:spPr>
                        <wps:txbx>
                          <w:txbxContent>
                            <w:p w14:paraId="3535113A" w14:textId="77777777" w:rsidR="004A6EFA" w:rsidRDefault="004A6EFA">
                              <w:r>
                                <w:rPr>
                                  <w:sz w:val="12"/>
                                </w:rPr>
                                <w:t>)</w:t>
                              </w:r>
                            </w:p>
                          </w:txbxContent>
                        </wps:txbx>
                        <wps:bodyPr horzOverflow="overflow" vert="horz" lIns="0" tIns="0" rIns="0" bIns="0" rtlCol="0">
                          <a:noAutofit/>
                        </wps:bodyPr>
                      </wps:wsp>
                      <wps:wsp>
                        <wps:cNvPr id="9306" name="Rectangle 9306"/>
                        <wps:cNvSpPr/>
                        <wps:spPr>
                          <a:xfrm>
                            <a:off x="629920" y="1297305"/>
                            <a:ext cx="28157" cy="113001"/>
                          </a:xfrm>
                          <a:prstGeom prst="rect">
                            <a:avLst/>
                          </a:prstGeom>
                          <a:ln>
                            <a:noFill/>
                          </a:ln>
                        </wps:spPr>
                        <wps:txbx>
                          <w:txbxContent>
                            <w:p w14:paraId="46ED005E" w14:textId="77777777" w:rsidR="004A6EFA" w:rsidRDefault="004A6EFA">
                              <w:r>
                                <w:rPr>
                                  <w:rFonts w:ascii="Arial" w:eastAsia="Arial" w:hAnsi="Arial" w:cs="Arial"/>
                                  <w:sz w:val="12"/>
                                </w:rPr>
                                <w:t xml:space="preserve"> </w:t>
                              </w:r>
                            </w:p>
                          </w:txbxContent>
                        </wps:txbx>
                        <wps:bodyPr horzOverflow="overflow" vert="horz" lIns="0" tIns="0" rIns="0" bIns="0" rtlCol="0">
                          <a:noAutofit/>
                        </wps:bodyPr>
                      </wps:wsp>
                      <wps:wsp>
                        <wps:cNvPr id="9307" name="Rectangle 9307"/>
                        <wps:cNvSpPr/>
                        <wps:spPr>
                          <a:xfrm>
                            <a:off x="742696" y="1308000"/>
                            <a:ext cx="996839" cy="98773"/>
                          </a:xfrm>
                          <a:prstGeom prst="rect">
                            <a:avLst/>
                          </a:prstGeom>
                          <a:ln>
                            <a:noFill/>
                          </a:ln>
                        </wps:spPr>
                        <wps:txbx>
                          <w:txbxContent>
                            <w:p w14:paraId="1F75ECF6" w14:textId="77777777" w:rsidR="004A6EFA" w:rsidRDefault="004A6EFA">
                              <w:r>
                                <w:rPr>
                                  <w:sz w:val="12"/>
                                </w:rPr>
                                <w:t xml:space="preserve">                            </w:t>
                              </w:r>
                            </w:p>
                          </w:txbxContent>
                        </wps:txbx>
                        <wps:bodyPr horzOverflow="overflow" vert="horz" lIns="0" tIns="0" rIns="0" bIns="0" rtlCol="0">
                          <a:noAutofit/>
                        </wps:bodyPr>
                      </wps:wsp>
                      <wps:wsp>
                        <wps:cNvPr id="56454" name="Rectangle 56454"/>
                        <wps:cNvSpPr/>
                        <wps:spPr>
                          <a:xfrm>
                            <a:off x="1494028" y="1308000"/>
                            <a:ext cx="46011" cy="98773"/>
                          </a:xfrm>
                          <a:prstGeom prst="rect">
                            <a:avLst/>
                          </a:prstGeom>
                          <a:ln>
                            <a:noFill/>
                          </a:ln>
                        </wps:spPr>
                        <wps:txbx>
                          <w:txbxContent>
                            <w:p w14:paraId="2EB70843" w14:textId="77777777" w:rsidR="004A6EFA" w:rsidRDefault="004A6EFA">
                              <w:r>
                                <w:rPr>
                                  <w:sz w:val="12"/>
                                </w:rPr>
                                <w:t>(</w:t>
                              </w:r>
                            </w:p>
                          </w:txbxContent>
                        </wps:txbx>
                        <wps:bodyPr horzOverflow="overflow" vert="horz" lIns="0" tIns="0" rIns="0" bIns="0" rtlCol="0">
                          <a:noAutofit/>
                        </wps:bodyPr>
                      </wps:wsp>
                      <wps:wsp>
                        <wps:cNvPr id="56460" name="Rectangle 56460"/>
                        <wps:cNvSpPr/>
                        <wps:spPr>
                          <a:xfrm>
                            <a:off x="1529004" y="1308000"/>
                            <a:ext cx="215867" cy="98773"/>
                          </a:xfrm>
                          <a:prstGeom prst="rect">
                            <a:avLst/>
                          </a:prstGeom>
                          <a:ln>
                            <a:noFill/>
                          </a:ln>
                        </wps:spPr>
                        <wps:txbx>
                          <w:txbxContent>
                            <w:p w14:paraId="1D80E1E8" w14:textId="77777777" w:rsidR="004A6EFA" w:rsidRDefault="004A6EFA">
                              <w:r>
                                <w:rPr>
                                  <w:sz w:val="12"/>
                                </w:rPr>
                                <w:t xml:space="preserve">b)   </w:t>
                              </w:r>
                            </w:p>
                          </w:txbxContent>
                        </wps:txbx>
                        <wps:bodyPr horzOverflow="overflow" vert="horz" lIns="0" tIns="0" rIns="0" bIns="0" rtlCol="0">
                          <a:noAutofit/>
                        </wps:bodyPr>
                      </wps:wsp>
                      <wps:wsp>
                        <wps:cNvPr id="9309" name="Rectangle 9309"/>
                        <wps:cNvSpPr/>
                        <wps:spPr>
                          <a:xfrm>
                            <a:off x="1690624" y="1308000"/>
                            <a:ext cx="35674" cy="98773"/>
                          </a:xfrm>
                          <a:prstGeom prst="rect">
                            <a:avLst/>
                          </a:prstGeom>
                          <a:ln>
                            <a:noFill/>
                          </a:ln>
                        </wps:spPr>
                        <wps:txbx>
                          <w:txbxContent>
                            <w:p w14:paraId="35AD902B" w14:textId="77777777" w:rsidR="004A6EFA" w:rsidRDefault="004A6EFA">
                              <w:r>
                                <w:rPr>
                                  <w:sz w:val="12"/>
                                </w:rPr>
                                <w:t xml:space="preserve"> </w:t>
                              </w:r>
                            </w:p>
                          </w:txbxContent>
                        </wps:txbx>
                        <wps:bodyPr horzOverflow="overflow" vert="horz" lIns="0" tIns="0" rIns="0" bIns="0" rtlCol="0">
                          <a:noAutofit/>
                        </wps:bodyPr>
                      </wps:wsp>
                      <wps:wsp>
                        <wps:cNvPr id="9310" name="Rectangle 9310"/>
                        <wps:cNvSpPr/>
                        <wps:spPr>
                          <a:xfrm>
                            <a:off x="1864360" y="1308000"/>
                            <a:ext cx="35674" cy="98773"/>
                          </a:xfrm>
                          <a:prstGeom prst="rect">
                            <a:avLst/>
                          </a:prstGeom>
                          <a:ln>
                            <a:noFill/>
                          </a:ln>
                        </wps:spPr>
                        <wps:txbx>
                          <w:txbxContent>
                            <w:p w14:paraId="04D366D2" w14:textId="77777777" w:rsidR="004A6EFA" w:rsidRDefault="004A6EFA">
                              <w:r>
                                <w:rPr>
                                  <w:sz w:val="12"/>
                                </w:rPr>
                                <w:t xml:space="preserve"> </w:t>
                              </w:r>
                            </w:p>
                          </w:txbxContent>
                        </wps:txbx>
                        <wps:bodyPr horzOverflow="overflow" vert="horz" lIns="0" tIns="0" rIns="0" bIns="0" rtlCol="0">
                          <a:noAutofit/>
                        </wps:bodyPr>
                      </wps:wsp>
                      <wps:wsp>
                        <wps:cNvPr id="9311" name="Rectangle 9311"/>
                        <wps:cNvSpPr/>
                        <wps:spPr>
                          <a:xfrm>
                            <a:off x="2314194" y="1308000"/>
                            <a:ext cx="72158" cy="98773"/>
                          </a:xfrm>
                          <a:prstGeom prst="rect">
                            <a:avLst/>
                          </a:prstGeom>
                          <a:ln>
                            <a:noFill/>
                          </a:ln>
                        </wps:spPr>
                        <wps:txbx>
                          <w:txbxContent>
                            <w:p w14:paraId="00BE1069" w14:textId="77777777" w:rsidR="004A6EFA" w:rsidRDefault="004A6EFA">
                              <w:r>
                                <w:rPr>
                                  <w:sz w:val="12"/>
                                </w:rPr>
                                <w:t xml:space="preserve">  </w:t>
                              </w:r>
                            </w:p>
                          </w:txbxContent>
                        </wps:txbx>
                        <wps:bodyPr horzOverflow="overflow" vert="horz" lIns="0" tIns="0" rIns="0" bIns="0" rtlCol="0">
                          <a:noAutofit/>
                        </wps:bodyPr>
                      </wps:wsp>
                      <wps:wsp>
                        <wps:cNvPr id="56440" name="Rectangle 56440"/>
                        <wps:cNvSpPr/>
                        <wps:spPr>
                          <a:xfrm>
                            <a:off x="2369058" y="1308000"/>
                            <a:ext cx="46011" cy="98773"/>
                          </a:xfrm>
                          <a:prstGeom prst="rect">
                            <a:avLst/>
                          </a:prstGeom>
                          <a:ln>
                            <a:noFill/>
                          </a:ln>
                        </wps:spPr>
                        <wps:txbx>
                          <w:txbxContent>
                            <w:p w14:paraId="04E37E18" w14:textId="77777777" w:rsidR="004A6EFA" w:rsidRDefault="004A6EFA">
                              <w:r>
                                <w:rPr>
                                  <w:sz w:val="12"/>
                                </w:rPr>
                                <w:t>(</w:t>
                              </w:r>
                            </w:p>
                          </w:txbxContent>
                        </wps:txbx>
                        <wps:bodyPr horzOverflow="overflow" vert="horz" lIns="0" tIns="0" rIns="0" bIns="0" rtlCol="0">
                          <a:noAutofit/>
                        </wps:bodyPr>
                      </wps:wsp>
                      <wps:wsp>
                        <wps:cNvPr id="56446" name="Rectangle 56446"/>
                        <wps:cNvSpPr/>
                        <wps:spPr>
                          <a:xfrm>
                            <a:off x="2404034" y="1308000"/>
                            <a:ext cx="52801" cy="98773"/>
                          </a:xfrm>
                          <a:prstGeom prst="rect">
                            <a:avLst/>
                          </a:prstGeom>
                          <a:ln>
                            <a:noFill/>
                          </a:ln>
                        </wps:spPr>
                        <wps:txbx>
                          <w:txbxContent>
                            <w:p w14:paraId="2629FE14" w14:textId="77777777" w:rsidR="004A6EFA" w:rsidRDefault="004A6EFA">
                              <w:r>
                                <w:rPr>
                                  <w:sz w:val="12"/>
                                </w:rPr>
                                <w:t>c</w:t>
                              </w:r>
                            </w:p>
                          </w:txbxContent>
                        </wps:txbx>
                        <wps:bodyPr horzOverflow="overflow" vert="horz" lIns="0" tIns="0" rIns="0" bIns="0" rtlCol="0">
                          <a:noAutofit/>
                        </wps:bodyPr>
                      </wps:wsp>
                      <wps:wsp>
                        <wps:cNvPr id="56443" name="Rectangle 56443"/>
                        <wps:cNvSpPr/>
                        <wps:spPr>
                          <a:xfrm>
                            <a:off x="2443734" y="1308000"/>
                            <a:ext cx="46011" cy="98773"/>
                          </a:xfrm>
                          <a:prstGeom prst="rect">
                            <a:avLst/>
                          </a:prstGeom>
                          <a:ln>
                            <a:noFill/>
                          </a:ln>
                        </wps:spPr>
                        <wps:txbx>
                          <w:txbxContent>
                            <w:p w14:paraId="3F809ED8" w14:textId="77777777" w:rsidR="004A6EFA" w:rsidRDefault="004A6EFA">
                              <w:r>
                                <w:rPr>
                                  <w:sz w:val="12"/>
                                </w:rPr>
                                <w:t>)</w:t>
                              </w:r>
                            </w:p>
                          </w:txbxContent>
                        </wps:txbx>
                        <wps:bodyPr horzOverflow="overflow" vert="horz" lIns="0" tIns="0" rIns="0" bIns="0" rtlCol="0">
                          <a:noAutofit/>
                        </wps:bodyPr>
                      </wps:wsp>
                      <wps:wsp>
                        <wps:cNvPr id="9313" name="Rectangle 9313"/>
                        <wps:cNvSpPr/>
                        <wps:spPr>
                          <a:xfrm>
                            <a:off x="2477262" y="1308000"/>
                            <a:ext cx="35674" cy="98773"/>
                          </a:xfrm>
                          <a:prstGeom prst="rect">
                            <a:avLst/>
                          </a:prstGeom>
                          <a:ln>
                            <a:noFill/>
                          </a:ln>
                        </wps:spPr>
                        <wps:txbx>
                          <w:txbxContent>
                            <w:p w14:paraId="63769E79" w14:textId="77777777" w:rsidR="004A6EFA" w:rsidRDefault="004A6EFA">
                              <w:r>
                                <w:rPr>
                                  <w:sz w:val="12"/>
                                </w:rPr>
                                <w:t xml:space="preserve"> </w:t>
                              </w:r>
                            </w:p>
                          </w:txbxContent>
                        </wps:txbx>
                        <wps:bodyPr horzOverflow="overflow" vert="horz" lIns="0" tIns="0" rIns="0" bIns="0" rtlCol="0">
                          <a:noAutofit/>
                        </wps:bodyPr>
                      </wps:wsp>
                    </wpg:wgp>
                  </a:graphicData>
                </a:graphic>
              </wp:inline>
            </w:drawing>
          </mc:Choice>
          <mc:Fallback>
            <w:pict>
              <v:group w14:anchorId="0A36B89D" id="Group 56506" o:spid="_x0000_s1033" style="width:256.85pt;height:138pt;mso-position-horizontal-relative:char;mso-position-vertical-relative:line" coordsize="32619,175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">
                <v:shape id="Picture 9303" o:spid="_x0000_s1034" type="#_x0000_t75" style="position:absolute;width:32619;height:17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">
                  <v:imagedata r:id="rId19" o:title=""/>
                </v:shape>
                <v:rect id="Rectangle 56430" o:spid="_x0000_s1035" style="position:absolute;left:5156;top:13080;width:460;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" filled="f" stroked="f">
                  <v:textbox inset="0,0,0,0">
                    <w:txbxContent>
                      <w:p w14:paraId="28E13194" w14:textId="77777777" w:rsidR="004A6EFA" w:rsidRDefault="004A6EFA">
                        <w:r>
                          <w:rPr>
                            <w:sz w:val="12"/>
                          </w:rPr>
                          <w:t>(</w:t>
                        </w:r>
                      </w:p>
                    </w:txbxContent>
                  </v:textbox>
                </v:rect>
                <v:rect id="Rectangle 56434" o:spid="_x0000_s1036" style="position:absolute;left:5505;top:13080;width:610;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" filled="f" stroked="f">
                  <v:textbox inset="0,0,0,0">
                    <w:txbxContent>
                      <w:p w14:paraId="0ED37ECD" w14:textId="77777777" w:rsidR="004A6EFA" w:rsidRDefault="004A6EFA">
                        <w:r>
                          <w:rPr>
                            <w:sz w:val="12"/>
                          </w:rPr>
                          <w:t>a</w:t>
                        </w:r>
                      </w:p>
                    </w:txbxContent>
                  </v:textbox>
                </v:rect>
                <v:rect id="Rectangle 56432" o:spid="_x0000_s1037" style="position:absolute;left:5963;top:13080;width:461;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" filled="f" stroked="f">
                  <v:textbox inset="0,0,0,0">
                    <w:txbxContent>
                      <w:p w14:paraId="3535113A" w14:textId="77777777" w:rsidR="004A6EFA" w:rsidRDefault="004A6EFA">
                        <w:r>
                          <w:rPr>
                            <w:sz w:val="12"/>
                          </w:rPr>
                          <w:t>)</w:t>
                        </w:r>
                      </w:p>
                    </w:txbxContent>
                  </v:textbox>
                </v:rect>
                <v:rect id="Rectangle 9306" o:spid="_x0000_s1038" style="position:absolute;left:6299;top:12973;width:281;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" filled="f" stroked="f">
                  <v:textbox inset="0,0,0,0">
                    <w:txbxContent>
                      <w:p w14:paraId="46ED005E" w14:textId="77777777" w:rsidR="004A6EFA" w:rsidRDefault="004A6EFA">
                        <w:r>
                          <w:rPr>
                            <w:rFonts w:ascii="Arial" w:eastAsia="Arial" w:hAnsi="Arial" w:cs="Arial"/>
                            <w:sz w:val="12"/>
                          </w:rPr>
                          <w:t xml:space="preserve"> </w:t>
                        </w:r>
                      </w:p>
                    </w:txbxContent>
                  </v:textbox>
                </v:rect>
                <v:rect id="Rectangle 9307" o:spid="_x0000_s1039" style="position:absolute;left:7426;top:13080;width:9969;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" filled="f" stroked="f">
                  <v:textbox inset="0,0,0,0">
                    <w:txbxContent>
                      <w:p w14:paraId="1F75ECF6" w14:textId="77777777" w:rsidR="004A6EFA" w:rsidRDefault="004A6EFA">
                        <w:r>
                          <w:rPr>
                            <w:sz w:val="12"/>
                          </w:rPr>
                          <w:t xml:space="preserve">                            </w:t>
                        </w:r>
                      </w:p>
                    </w:txbxContent>
                  </v:textbox>
                </v:rect>
                <v:rect id="Rectangle 56454" o:spid="_x0000_s1040" style="position:absolute;left:14940;top:13080;width:460;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" filled="f" stroked="f">
                  <v:textbox inset="0,0,0,0">
                    <w:txbxContent>
                      <w:p w14:paraId="2EB70843" w14:textId="77777777" w:rsidR="004A6EFA" w:rsidRDefault="004A6EFA">
                        <w:r>
                          <w:rPr>
                            <w:sz w:val="12"/>
                          </w:rPr>
                          <w:t>(</w:t>
                        </w:r>
                      </w:p>
                    </w:txbxContent>
                  </v:textbox>
                </v:rect>
                <v:rect id="Rectangle 56460" o:spid="_x0000_s1041" style="position:absolute;left:15290;top:13080;width:2158;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" filled="f" stroked="f">
                  <v:textbox inset="0,0,0,0">
                    <w:txbxContent>
                      <w:p w14:paraId="1D80E1E8" w14:textId="77777777" w:rsidR="004A6EFA" w:rsidRDefault="004A6EFA">
                        <w:r>
                          <w:rPr>
                            <w:sz w:val="12"/>
                          </w:rPr>
                          <w:t xml:space="preserve">b)   </w:t>
                        </w:r>
                      </w:p>
                    </w:txbxContent>
                  </v:textbox>
                </v:rect>
                <v:rect id="Rectangle 9309" o:spid="_x0000_s1042" style="position:absolute;left:16906;top:13080;width:356;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" filled="f" stroked="f">
                  <v:textbox inset="0,0,0,0">
                    <w:txbxContent>
                      <w:p w14:paraId="35AD902B" w14:textId="77777777" w:rsidR="004A6EFA" w:rsidRDefault="004A6EFA">
                        <w:r>
                          <w:rPr>
                            <w:sz w:val="12"/>
                          </w:rPr>
                          <w:t xml:space="preserve"> </w:t>
                        </w:r>
                      </w:p>
                    </w:txbxContent>
                  </v:textbox>
                </v:rect>
                <v:rect id="Rectangle 9310" o:spid="_x0000_s1043" style="position:absolute;left:18643;top:13080;width:357;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" filled="f" stroked="f">
                  <v:textbox inset="0,0,0,0">
                    <w:txbxContent>
                      <w:p w14:paraId="04D366D2" w14:textId="77777777" w:rsidR="004A6EFA" w:rsidRDefault="004A6EFA">
                        <w:r>
                          <w:rPr>
                            <w:sz w:val="12"/>
                          </w:rPr>
                          <w:t xml:space="preserve"> </w:t>
                        </w:r>
                      </w:p>
                    </w:txbxContent>
                  </v:textbox>
                </v:rect>
                <v:rect id="Rectangle 9311" o:spid="_x0000_s1044" style="position:absolute;left:23141;top:13080;width:722;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" filled="f" stroked="f">
                  <v:textbox inset="0,0,0,0">
                    <w:txbxContent>
                      <w:p w14:paraId="00BE1069" w14:textId="77777777" w:rsidR="004A6EFA" w:rsidRDefault="004A6EFA">
                        <w:r>
                          <w:rPr>
                            <w:sz w:val="12"/>
                          </w:rPr>
                          <w:t xml:space="preserve">  </w:t>
                        </w:r>
                      </w:p>
                    </w:txbxContent>
                  </v:textbox>
                </v:rect>
                <v:rect id="Rectangle 56440" o:spid="_x0000_s1045" style="position:absolute;left:23690;top:13080;width:460;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" filled="f" stroked="f">
                  <v:textbox inset="0,0,0,0">
                    <w:txbxContent>
                      <w:p w14:paraId="04E37E18" w14:textId="77777777" w:rsidR="004A6EFA" w:rsidRDefault="004A6EFA">
                        <w:r>
                          <w:rPr>
                            <w:sz w:val="12"/>
                          </w:rPr>
                          <w:t>(</w:t>
                        </w:r>
                      </w:p>
                    </w:txbxContent>
                  </v:textbox>
                </v:rect>
                <v:rect id="Rectangle 56446" o:spid="_x0000_s1046" style="position:absolute;left:24040;top:13080;width:528;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" filled="f" stroked="f">
                  <v:textbox inset="0,0,0,0">
                    <w:txbxContent>
                      <w:p w14:paraId="2629FE14" w14:textId="77777777" w:rsidR="004A6EFA" w:rsidRDefault="004A6EFA">
                        <w:r>
                          <w:rPr>
                            <w:sz w:val="12"/>
                          </w:rPr>
                          <w:t>c</w:t>
                        </w:r>
                      </w:p>
                    </w:txbxContent>
                  </v:textbox>
                </v:rect>
                <v:rect id="Rectangle 56443" o:spid="_x0000_s1047" style="position:absolute;left:24437;top:13080;width:460;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" filled="f" stroked="f">
                  <v:textbox inset="0,0,0,0">
                    <w:txbxContent>
                      <w:p w14:paraId="3F809ED8" w14:textId="77777777" w:rsidR="004A6EFA" w:rsidRDefault="004A6EFA">
                        <w:r>
                          <w:rPr>
                            <w:sz w:val="12"/>
                          </w:rPr>
                          <w:t>)</w:t>
                        </w:r>
                      </w:p>
                    </w:txbxContent>
                  </v:textbox>
                </v:rect>
                <v:rect id="Rectangle 9313" o:spid="_x0000_s1048" style="position:absolute;left:24772;top:13080;width:357;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" filled="f" stroked="f">
                  <v:textbox inset="0,0,0,0">
                    <w:txbxContent>
                      <w:p w14:paraId="63769E79" w14:textId="77777777" w:rsidR="004A6EFA" w:rsidRDefault="004A6EFA">
                        <w:r>
                          <w:rPr>
                            <w:sz w:val="12"/>
                          </w:rPr>
                          <w:t xml:space="preserve"> </w:t>
                        </w:r>
                      </w:p>
                    </w:txbxContent>
                  </v:textbox>
                </v:rect>
                <w10:anchorlock/>
              </v:group>
            </w:pict>
          </mc:Fallback>
        </mc:AlternateContent>
      </w:r>
      <w:r w:rsidRPr="001667DB">
        <w:rPr>
          <w:rFonts w:ascii="Times New Roman" w:hAnsi="Times New Roman" w:cs="Times New Roman"/>
          <w:b/>
          <w:color w:val="000000" w:themeColor="text1"/>
        </w:rPr>
        <w:t xml:space="preserve"> </w:t>
      </w:r>
    </w:p>
    <w:p w14:paraId="18E8FD37" w14:textId="77777777" w:rsidR="00955A27" w:rsidRPr="001667DB" w:rsidRDefault="00955A27" w:rsidP="00955A27">
      <w:pPr>
        <w:spacing w:after="120" w:line="360" w:lineRule="auto"/>
        <w:ind w:right="7"/>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3D46F62E" w14:textId="77777777" w:rsidR="00955A27" w:rsidRPr="001667DB" w:rsidRDefault="00955A27" w:rsidP="00955A27">
      <w:pPr>
        <w:spacing w:after="120" w:line="360" w:lineRule="auto"/>
        <w:ind w:left="1086"/>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Rysunek Z1.7. Nośność dla nasypów dla kategorii ruchu KR5-KR7 </w:t>
      </w:r>
    </w:p>
    <w:p w14:paraId="665F1C5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r w:rsidRPr="001667DB">
        <w:rPr>
          <w:rFonts w:ascii="Times New Roman" w:hAnsi="Times New Roman" w:cs="Times New Roman"/>
          <w:b/>
          <w:color w:val="000000" w:themeColor="text1"/>
        </w:rPr>
        <w:tab/>
        <w:t xml:space="preserve"> </w:t>
      </w:r>
    </w:p>
    <w:p w14:paraId="69CE7F48" w14:textId="77777777" w:rsidR="00955A27" w:rsidRPr="001667DB" w:rsidRDefault="00955A27" w:rsidP="00955A27">
      <w:pPr>
        <w:spacing w:after="120" w:line="360" w:lineRule="auto"/>
        <w:ind w:left="10" w:right="119"/>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ZAŁĄCZNIK 2 </w:t>
      </w:r>
    </w:p>
    <w:p w14:paraId="31F5D2E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3EA901BF" w14:textId="77777777" w:rsidR="00955A27" w:rsidRPr="001667DB" w:rsidRDefault="00955A27" w:rsidP="00955A27">
      <w:pPr>
        <w:spacing w:after="120" w:line="360" w:lineRule="auto"/>
        <w:ind w:left="10" w:right="83"/>
        <w:jc w:val="cente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METODY WYKONANIA BADAŃ KONTROLNYCH W ROBOTACH ZIEMNYCH </w:t>
      </w:r>
    </w:p>
    <w:p w14:paraId="74B4D2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580426D2"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Z2.A OZNACZANIE WILGOTNOŚCI OPTYMALNEJ I MAKSYMALNEJ GĘSTOSCI OBJĘTOŚCIOWEJ SZKIELETU (BADANIE PROCTORA) </w:t>
      </w:r>
    </w:p>
    <w:p w14:paraId="325221A1"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Z2.B OZNACZANIE WSKAŹNIKA ZAGĘSZCZENIA </w:t>
      </w:r>
    </w:p>
    <w:p w14:paraId="13E0E114" w14:textId="77777777" w:rsidR="00955A27" w:rsidRPr="001667DB" w:rsidRDefault="00955A27" w:rsidP="00955A27">
      <w:pPr>
        <w:spacing w:after="120" w:line="360" w:lineRule="auto"/>
        <w:ind w:left="691" w:hanging="706"/>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Z2.C OZNACZANIE MODUŁU ODKSZTAŁCENIA PODŁOŻA PRZEZ OBCIĄŻENIE PŁYTĄ (POD OBCIĄŻENIEM STATYCZNYM) </w:t>
      </w:r>
    </w:p>
    <w:p w14:paraId="35276999" w14:textId="77777777" w:rsidR="00955A27" w:rsidRPr="001667DB" w:rsidRDefault="00955A27" w:rsidP="00955A27">
      <w:pPr>
        <w:spacing w:after="120" w:line="360" w:lineRule="auto"/>
        <w:ind w:left="691" w:hanging="706"/>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Z2.D OZNACZANIE MODUŁU ODKSZTAŁCENIA PODŁOŻA POD OBCIĄŻENIEM DYNAMICZNYM LEKKĄ PŁYTĄ LPD </w:t>
      </w:r>
    </w:p>
    <w:p w14:paraId="440AE84D"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Z2.E OZNACZANIE WSKAŹNIKA NOŚNOŚCI CBR I PĘCZNIENIA LINIOWEGO </w:t>
      </w:r>
    </w:p>
    <w:p w14:paraId="717EA404"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Z2.F  OZNACZANIE WSKAŹNIKA PIASKOWEGO </w:t>
      </w:r>
    </w:p>
    <w:p w14:paraId="226729B0"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Z2.G  OZNACZANIE WILGOTNOŚCI </w:t>
      </w:r>
    </w:p>
    <w:p w14:paraId="6AB6FEB4"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Z2.H OZNACZANIE UZIARNIENIA </w:t>
      </w:r>
    </w:p>
    <w:p w14:paraId="09564152"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Z2.I OZNACZANIE GRANICY PLASTYCZNOŚCI W</w:t>
      </w:r>
      <w:r w:rsidRPr="001667DB">
        <w:rPr>
          <w:rFonts w:ascii="Times New Roman" w:hAnsi="Times New Roman" w:cs="Times New Roman"/>
          <w:b/>
          <w:color w:val="000000" w:themeColor="text1"/>
          <w:vertAlign w:val="subscript"/>
        </w:rPr>
        <w:t>P</w:t>
      </w:r>
      <w:r w:rsidRPr="001667DB">
        <w:rPr>
          <w:rFonts w:ascii="Times New Roman" w:hAnsi="Times New Roman" w:cs="Times New Roman"/>
          <w:b/>
          <w:color w:val="000000" w:themeColor="text1"/>
        </w:rPr>
        <w:t xml:space="preserve"> I GRANICY PŁYNNOSCI W</w:t>
      </w:r>
      <w:r w:rsidRPr="001667DB">
        <w:rPr>
          <w:rFonts w:ascii="Times New Roman" w:hAnsi="Times New Roman" w:cs="Times New Roman"/>
          <w:b/>
          <w:color w:val="000000" w:themeColor="text1"/>
          <w:vertAlign w:val="subscript"/>
        </w:rPr>
        <w:t>L</w:t>
      </w:r>
      <w:r w:rsidRPr="001667DB">
        <w:rPr>
          <w:rFonts w:ascii="Times New Roman" w:hAnsi="Times New Roman" w:cs="Times New Roman"/>
          <w:b/>
          <w:color w:val="000000" w:themeColor="text1"/>
        </w:rPr>
        <w:t xml:space="preserve"> </w:t>
      </w:r>
    </w:p>
    <w:p w14:paraId="4D1498EA"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Z2.J  OZNACZANIE WSPÓŁCZYNNIKA WODOPRZEPUSZCZALNOŚCI k </w:t>
      </w:r>
    </w:p>
    <w:p w14:paraId="2A3B36B4"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Z2.K  OZNACZANIE ZAWARTOŚCI SUBSATNCJI ORGANICZNYCH </w:t>
      </w:r>
    </w:p>
    <w:p w14:paraId="3CAE6E3C" w14:textId="77777777" w:rsidR="00955A27" w:rsidRPr="001667DB" w:rsidRDefault="00955A27" w:rsidP="00955A27">
      <w:pPr>
        <w:spacing w:after="120" w:line="360" w:lineRule="auto"/>
        <w:ind w:left="691" w:hanging="706"/>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Z2.L POŚREDNIE OZNACZANIE WSKAŹNIKA ZAGĘSZCZENIA NA PODSTAWIE STOPNIA ZAGĘSZCZENIA OKREŚLONEGO W BADANIU SONDĄ DYNAMICZNĄ </w:t>
      </w:r>
    </w:p>
    <w:p w14:paraId="0AC7BB48" w14:textId="77777777" w:rsidR="00955A27" w:rsidRPr="001667DB" w:rsidRDefault="00955A27" w:rsidP="00955A27">
      <w:pPr>
        <w:spacing w:after="120" w:line="360" w:lineRule="auto"/>
        <w:rPr>
          <w:rFonts w:ascii="Times New Roman" w:hAnsi="Times New Roman" w:cs="Times New Roman"/>
          <w:color w:val="000000" w:themeColor="text1"/>
        </w:rPr>
      </w:pPr>
    </w:p>
    <w:p w14:paraId="2B687793" w14:textId="77777777" w:rsidR="00955A27" w:rsidRPr="001667DB" w:rsidRDefault="00955A27" w:rsidP="00955A27">
      <w:pPr>
        <w:pBdr>
          <w:top w:val="single" w:sz="12" w:space="0" w:color="000000"/>
          <w:left w:val="single" w:sz="12" w:space="0" w:color="000000"/>
          <w:bottom w:val="single" w:sz="12" w:space="0" w:color="000000"/>
          <w:right w:val="single" w:sz="12" w:space="0" w:color="000000"/>
        </w:pBdr>
        <w:spacing w:after="120" w:line="360" w:lineRule="auto"/>
        <w:ind w:left="118" w:right="18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UWAGA: </w:t>
      </w:r>
    </w:p>
    <w:p w14:paraId="61C001A4" w14:textId="77777777" w:rsidR="00955A27" w:rsidRPr="001667DB" w:rsidRDefault="00955A27" w:rsidP="00955A27">
      <w:pPr>
        <w:pBdr>
          <w:top w:val="single" w:sz="12" w:space="0" w:color="000000"/>
          <w:left w:val="single" w:sz="12" w:space="0" w:color="000000"/>
          <w:bottom w:val="single" w:sz="12" w:space="0" w:color="000000"/>
          <w:right w:val="single" w:sz="12" w:space="0" w:color="000000"/>
        </w:pBdr>
        <w:spacing w:after="120" w:line="360" w:lineRule="auto"/>
        <w:ind w:left="118" w:right="18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Uwzględniając zróżnicowanie gruntów i materiałów, które mogą być zastosowane w robotach ziemnych kontrola właściwości może być oparta o zastosowanie metod badań określonych w odniesieniu do gruntów, kruszyw lub do mieszanek. Metoda badania określonej właściwości konkretnego gruntu/materiału zostanie wybrana na podstawie Załącznika 2 i przedstawiona przez Wykonawcę do akceptacji Inżyniera/Inspektora nadzoru.  </w:t>
      </w:r>
    </w:p>
    <w:p w14:paraId="1E0BD61C" w14:textId="77777777" w:rsidR="00955A27" w:rsidRPr="001667DB" w:rsidRDefault="00955A27" w:rsidP="00955A27">
      <w:pPr>
        <w:pBdr>
          <w:top w:val="single" w:sz="12" w:space="0" w:color="000000"/>
          <w:left w:val="single" w:sz="12" w:space="0" w:color="000000"/>
          <w:bottom w:val="single" w:sz="12" w:space="0" w:color="000000"/>
          <w:right w:val="single" w:sz="12" w:space="0" w:color="000000"/>
        </w:pBdr>
        <w:spacing w:after="120" w:line="360" w:lineRule="auto"/>
        <w:ind w:left="108" w:right="18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4721A85E" w14:textId="77777777" w:rsidR="00955A27" w:rsidRPr="001667DB" w:rsidRDefault="00955A27" w:rsidP="00955A27">
      <w:pPr>
        <w:pBdr>
          <w:top w:val="single" w:sz="12" w:space="0" w:color="000000"/>
          <w:left w:val="single" w:sz="12" w:space="0" w:color="000000"/>
          <w:bottom w:val="single" w:sz="12" w:space="0" w:color="000000"/>
          <w:right w:val="single" w:sz="12" w:space="0" w:color="000000"/>
        </w:pBdr>
        <w:spacing w:after="120" w:line="360" w:lineRule="auto"/>
        <w:ind w:left="118" w:right="18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Dopuszcza się stosowanie innych metod kontroli niż wskazane w niniejszych STpod warunkiem spełnienia warunków określonych w punkcie 6.1.3. </w:t>
      </w:r>
    </w:p>
    <w:p w14:paraId="714500D4" w14:textId="77777777" w:rsidR="00955A27" w:rsidRPr="001667DB" w:rsidRDefault="00955A27" w:rsidP="00955A27">
      <w:pPr>
        <w:pBdr>
          <w:top w:val="single" w:sz="12" w:space="0" w:color="000000"/>
          <w:left w:val="single" w:sz="12" w:space="0" w:color="000000"/>
          <w:bottom w:val="single" w:sz="12" w:space="0" w:color="000000"/>
          <w:right w:val="single" w:sz="12" w:space="0" w:color="000000"/>
        </w:pBdr>
        <w:spacing w:after="120" w:line="360" w:lineRule="auto"/>
        <w:ind w:left="118" w:right="18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niniejszych ST. </w:t>
      </w:r>
    </w:p>
    <w:p w14:paraId="7F3DA75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7B48DA9D"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Z2.A OZNACZANIE WILGOTNOŚCI OPTYMALNEJ I MAKSYMALNEJ GĘSTOSCI OBJĘTOŚCIOWEJ SZKIELETU (BADANIE PROCTORA) </w:t>
      </w:r>
    </w:p>
    <w:p w14:paraId="34F7B38B"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badania wilgotności optymalnej i maksymalnej gęstości objętościowej szkieletu gruntów zawarta jest w normie PN-B-04481:1988 w punkcie 8. </w:t>
      </w:r>
    </w:p>
    <w:p w14:paraId="1DAFB4BD"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badania wilgotności optymalnej i maksymalnej gęstości objętości szkieletu mieszanek kruszyw zawarta jest w normie PN-EN 13286-2.  </w:t>
      </w:r>
    </w:p>
    <w:p w14:paraId="78B576F2"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W oznaczeniu wilgotności optymalnej i maksymalnej gęstości objętościowej szkieletu gruntów  i mieszanek kruszyw oraz wartości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należy stosować badanie Proctora  i energię zagęszczania dobraną odpowiednio do stosowanej metody badawczej.  </w:t>
      </w:r>
    </w:p>
    <w:p w14:paraId="64A11C45"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3C674BC"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Z2.B  OZNACZANIE WSKAŹNIKA ZAGĘSZCZENIA </w:t>
      </w:r>
    </w:p>
    <w:p w14:paraId="3F7918D4"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Procedura oznaczania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zawarta jest w normie BN-77/8931-12. Maksymalną gęstość objętościową szkieletu należy określić według procedury wskazanej  w załączniku Z2.A. </w:t>
      </w:r>
    </w:p>
    <w:p w14:paraId="23BA5043"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3DA5EC9D"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Z2.C  OZNACZANIE MODUŁU ODKSZTAŁCENIA PODŁOŻA PRZEZ OBCIĄŻENIE PŁYTĄ (POD OBCIĄŻENIEM STATYCZNYM) </w:t>
      </w:r>
    </w:p>
    <w:p w14:paraId="21730772"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oznaczania modułu odkształcenia podłoża z zastosowaniem płyty obciążonej statycznie zawarta jest w załączniku B do normy PN-S-02205:1988. </w:t>
      </w:r>
    </w:p>
    <w:p w14:paraId="54F17408"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Oznaczenie modułu odkształcenia odnosi się do nośności warstwy w chwili przeprowadzenia badania. Wartość modułu można uznać za miarodajną w odniesieniu do kryteriów określonych  w ST,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wartość modułu. </w:t>
      </w:r>
    </w:p>
    <w:p w14:paraId="4DFD4C05"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95A31FD"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Z2.D  OZNACZANIE MODUŁU ODKSZTAŁCENIA PODŁOŻA POD OBCIĄŻENIEM DYNAMICZNYM LEKKĄ PŁYTĄ (LPD). </w:t>
      </w:r>
    </w:p>
    <w:p w14:paraId="643C660A"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Lekką Płytą Dynamiczną (LPD) można stosować wyłącznie w kontroli warstw wykonanych z gruntów i materiałów niespoistych. Należy stosować płytę  </w:t>
      </w:r>
    </w:p>
    <w:p w14:paraId="7C237122"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 średnicy 30 cm. Stosowanie płyty o innej średnicy jest możliwe pod warunkiem spełnienia warunków określonych w punkcie 6.1.3. niniejszych ST. </w:t>
      </w:r>
    </w:p>
    <w:p w14:paraId="76B82DF1"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Głębokość oddziaływania LPD jest równa średnicy płyty. Oznacza to, że w przypadku stosowania płyty o średnicy 30 cm nie należy poddawać badaniu warstw grubszych niż 30 cm. W przypadku badania warstw cieńszych niż średnica płyty należy wykluczyć możliwość wpływu warstwy leżącej niżej na wynik oznaczenia. </w:t>
      </w:r>
    </w:p>
    <w:p w14:paraId="12C77BDA"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Oznaczenie modułu odkształcenia odnosi się do nośności warstwy w chwili przeprowadzenia badania. Wartość modułu można uznać za miarodajną w odniesieniu do kryteriów określonych  w ST,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wartość modułu. </w:t>
      </w:r>
    </w:p>
    <w:p w14:paraId="09E71312"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Stosowane urządzenie musi mieć ważny dokument certyfikacji. Uwzględniając zróżnicowanie konstrukcyjne urządzeń pomiarowych, określanych jako Lekka Płyta Dynamiczna (LPD) w kontroli </w:t>
      </w:r>
      <w:r w:rsidRPr="001667DB">
        <w:rPr>
          <w:rFonts w:ascii="Times New Roman" w:hAnsi="Times New Roman" w:cs="Times New Roman"/>
          <w:color w:val="000000" w:themeColor="text1"/>
        </w:rPr>
        <w:lastRenderedPageBreak/>
        <w:t xml:space="preserve">warstwy należy stosować jeden typ urządzenia. Należy ściśle przestrzegać procedury oznaczania modułu odkształcenia podłoża pod obciążeniem dynamicznym, określonej przez producenta w instrukcji stosowania urządzenia.  </w:t>
      </w:r>
    </w:p>
    <w:p w14:paraId="00D347D9"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Badanie LPD może być wykorzystane jako pośrednia metoda oceny zagęszczenia i/lub nośności warstwy na podstawie zaakceptowanych przez Inżyniera/Inspektora nadzoru  korelacji wartości dynamicznego modułu odkształcenia E</w:t>
      </w:r>
      <w:r w:rsidRPr="001667DB">
        <w:rPr>
          <w:rFonts w:ascii="Times New Roman" w:hAnsi="Times New Roman" w:cs="Times New Roman"/>
          <w:color w:val="000000" w:themeColor="text1"/>
          <w:vertAlign w:val="subscript"/>
        </w:rPr>
        <w:t>vd</w:t>
      </w:r>
      <w:r w:rsidRPr="001667DB">
        <w:rPr>
          <w:rFonts w:ascii="Times New Roman" w:hAnsi="Times New Roman" w:cs="Times New Roman"/>
          <w:color w:val="000000" w:themeColor="text1"/>
        </w:rPr>
        <w:t xml:space="preserve"> z wartościami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i/lub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w:t>
      </w:r>
    </w:p>
    <w:p w14:paraId="44780D0C"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C996E8F"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Z2.E  OZNACZANIE WSKAŹNIKA NOŚNOŚCI CBR I PĘCZNIENIA LINIOWEGO </w:t>
      </w:r>
    </w:p>
    <w:p w14:paraId="35334A27"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badania wskaźnika nośności CBR i pęcznienia liniowego gruntów zawarta jest  w załączniku A do normy PN-S-02205:1988. </w:t>
      </w:r>
    </w:p>
    <w:p w14:paraId="0BB08AB8"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badania wskaźnika nośności CBR i pęcznienia liniowego mieszanek kruszyw zawarta jest w normie PN-EN 13286-47. Wilgotność materiału do uformowania próbek należy określić według zasady podanej w załączniku A do normy PN-S-02205:1988. W czasie pomiaru pęcznienia próbkę należy nasycać wodą przez 4 doby. Projektant określi jakie obciążenie zastosować na czas pęcznienia próbki. </w:t>
      </w:r>
    </w:p>
    <w:p w14:paraId="0EC67270"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E20F200"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Z2.F  OZNACZANIE WSKAŹNIKA PIASKOWEGO </w:t>
      </w:r>
    </w:p>
    <w:p w14:paraId="00F0D680"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oznaczenia oznaczania wskaźnika piaskowego gruntów WP zawarta jest w normie  BN-64/8931-01. </w:t>
      </w:r>
    </w:p>
    <w:p w14:paraId="3261A094"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Możliwe jest zastosowanie do gruntów badania wskaźnika piaskowego SE</w:t>
      </w:r>
      <w:r w:rsidRPr="001667DB">
        <w:rPr>
          <w:rFonts w:ascii="Times New Roman" w:hAnsi="Times New Roman" w:cs="Times New Roman"/>
          <w:color w:val="000000" w:themeColor="text1"/>
          <w:vertAlign w:val="subscript"/>
        </w:rPr>
        <w:t>4</w:t>
      </w:r>
      <w:r w:rsidRPr="001667DB">
        <w:rPr>
          <w:rFonts w:ascii="Times New Roman" w:hAnsi="Times New Roman" w:cs="Times New Roman"/>
          <w:color w:val="000000" w:themeColor="text1"/>
        </w:rPr>
        <w:t xml:space="preserve"> według normy PNEN 933-8, odnoszącej się do kruszyw, pod warunkiem określenia kryterium oceny wyniku oznaczenia dla nowej normy. </w:t>
      </w:r>
    </w:p>
    <w:p w14:paraId="665A0A75"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Procedura oznaczenia wskaźnika piaskowego kruszyw (mieszanek kruszyw) zawarta jest  w normie PN-EN 933-8. Należy stosować badanie wskaźnika piaskowego SE</w:t>
      </w:r>
      <w:r w:rsidRPr="001667DB">
        <w:rPr>
          <w:rFonts w:ascii="Times New Roman" w:hAnsi="Times New Roman" w:cs="Times New Roman"/>
          <w:color w:val="000000" w:themeColor="text1"/>
          <w:vertAlign w:val="subscript"/>
        </w:rPr>
        <w:t>4</w:t>
      </w:r>
      <w:r w:rsidRPr="001667DB">
        <w:rPr>
          <w:rFonts w:ascii="Times New Roman" w:hAnsi="Times New Roman" w:cs="Times New Roman"/>
          <w:color w:val="000000" w:themeColor="text1"/>
        </w:rPr>
        <w:t xml:space="preserve">.  </w:t>
      </w:r>
    </w:p>
    <w:p w14:paraId="275014CB"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63A694A"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Z2.G  OZNACZANIE WILGOTNOŚCI </w:t>
      </w:r>
    </w:p>
    <w:p w14:paraId="49E628E7"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oznaczenia wilgotności gruntów zawarta jest w normie PN-B-04481:1988 lub w PNEN ISO 17892-1. Procedura oznaczenia wilgotności mieszanek kruszyw zawarta jest w normie PN-EN 1097-5. </w:t>
      </w:r>
    </w:p>
    <w:p w14:paraId="1DBC0AC6"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1F61423"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Z2.H  OZNACZANIE UZIARNIENIA </w:t>
      </w:r>
    </w:p>
    <w:p w14:paraId="686F641F"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oznaczenia uziarnienia gruntów zawarta jest w normie PN-88/B-04481 lub w PN-EN ISO 17892-4. Procedura oznaczenia uziarnienia mieszanek kruszyw zawarta jest w normie PNEN 933-1. </w:t>
      </w:r>
    </w:p>
    <w:p w14:paraId="1460D833"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 </w:t>
      </w:r>
    </w:p>
    <w:p w14:paraId="6252D552"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Z2.I OZNACZANIE GRANICY PLASTYCZNOŚCI W</w:t>
      </w:r>
      <w:r w:rsidRPr="001667DB">
        <w:rPr>
          <w:rFonts w:ascii="Times New Roman" w:hAnsi="Times New Roman" w:cs="Times New Roman"/>
          <w:b/>
          <w:color w:val="000000" w:themeColor="text1"/>
          <w:vertAlign w:val="subscript"/>
        </w:rPr>
        <w:t>P</w:t>
      </w:r>
      <w:r w:rsidRPr="001667DB">
        <w:rPr>
          <w:rFonts w:ascii="Times New Roman" w:hAnsi="Times New Roman" w:cs="Times New Roman"/>
          <w:b/>
          <w:color w:val="000000" w:themeColor="text1"/>
        </w:rPr>
        <w:t xml:space="preserve"> I GRANICY PŁYNNOSCI W</w:t>
      </w:r>
      <w:r w:rsidRPr="001667DB">
        <w:rPr>
          <w:rFonts w:ascii="Times New Roman" w:hAnsi="Times New Roman" w:cs="Times New Roman"/>
          <w:b/>
          <w:color w:val="000000" w:themeColor="text1"/>
          <w:vertAlign w:val="subscript"/>
        </w:rPr>
        <w:t>L</w:t>
      </w:r>
      <w:r w:rsidRPr="001667DB">
        <w:rPr>
          <w:rFonts w:ascii="Times New Roman" w:hAnsi="Times New Roman" w:cs="Times New Roman"/>
          <w:b/>
          <w:color w:val="000000" w:themeColor="text1"/>
        </w:rPr>
        <w:t xml:space="preserve">.  </w:t>
      </w:r>
    </w:p>
    <w:p w14:paraId="1ECE9EDB"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Procedura oznaczenia granicy plastyczności W</w:t>
      </w:r>
      <w:r w:rsidRPr="001667DB">
        <w:rPr>
          <w:rFonts w:ascii="Times New Roman" w:hAnsi="Times New Roman" w:cs="Times New Roman"/>
          <w:color w:val="000000" w:themeColor="text1"/>
          <w:vertAlign w:val="subscript"/>
        </w:rPr>
        <w:t>P</w:t>
      </w:r>
      <w:r w:rsidRPr="001667DB">
        <w:rPr>
          <w:rFonts w:ascii="Times New Roman" w:hAnsi="Times New Roman" w:cs="Times New Roman"/>
          <w:color w:val="000000" w:themeColor="text1"/>
        </w:rPr>
        <w:t xml:space="preserve"> i granicy płynności W</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(granice Atterberga) gruntów drobnoziarnistych (spoistych) jest określona w normie PN-B-04481:1988 lub w PN-EN ISO 17892-12.  </w:t>
      </w:r>
    </w:p>
    <w:p w14:paraId="77B0F8E5"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Na podstawie wartości granicy plastyczności W</w:t>
      </w:r>
      <w:r w:rsidRPr="001667DB">
        <w:rPr>
          <w:rFonts w:ascii="Times New Roman" w:hAnsi="Times New Roman" w:cs="Times New Roman"/>
          <w:color w:val="000000" w:themeColor="text1"/>
          <w:vertAlign w:val="subscript"/>
        </w:rPr>
        <w:t>P</w:t>
      </w:r>
      <w:r w:rsidRPr="001667DB">
        <w:rPr>
          <w:rFonts w:ascii="Times New Roman" w:hAnsi="Times New Roman" w:cs="Times New Roman"/>
          <w:color w:val="000000" w:themeColor="text1"/>
        </w:rPr>
        <w:t xml:space="preserve"> i granicy płynności W</w:t>
      </w:r>
      <w:r w:rsidRPr="001667DB">
        <w:rPr>
          <w:rFonts w:ascii="Times New Roman" w:hAnsi="Times New Roman" w:cs="Times New Roman"/>
          <w:color w:val="000000" w:themeColor="text1"/>
          <w:vertAlign w:val="subscript"/>
        </w:rPr>
        <w:t xml:space="preserve">L </w:t>
      </w:r>
      <w:r w:rsidRPr="001667DB">
        <w:rPr>
          <w:rFonts w:ascii="Times New Roman" w:hAnsi="Times New Roman" w:cs="Times New Roman"/>
          <w:color w:val="000000" w:themeColor="text1"/>
        </w:rPr>
        <w:t>określa się wskaźnik plastyczności I</w:t>
      </w:r>
      <w:r w:rsidRPr="001667DB">
        <w:rPr>
          <w:rFonts w:ascii="Times New Roman" w:hAnsi="Times New Roman" w:cs="Times New Roman"/>
          <w:color w:val="000000" w:themeColor="text1"/>
          <w:vertAlign w:val="subscript"/>
        </w:rPr>
        <w:t>P</w:t>
      </w:r>
      <w:r w:rsidRPr="001667DB">
        <w:rPr>
          <w:rFonts w:ascii="Times New Roman" w:hAnsi="Times New Roman" w:cs="Times New Roman"/>
          <w:color w:val="000000" w:themeColor="text1"/>
        </w:rPr>
        <w:t xml:space="preserve"> = W</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 W</w:t>
      </w:r>
      <w:r w:rsidRPr="001667DB">
        <w:rPr>
          <w:rFonts w:ascii="Times New Roman" w:hAnsi="Times New Roman" w:cs="Times New Roman"/>
          <w:color w:val="000000" w:themeColor="text1"/>
          <w:vertAlign w:val="subscript"/>
        </w:rPr>
        <w:t>P</w:t>
      </w:r>
      <w:r w:rsidRPr="001667DB">
        <w:rPr>
          <w:rFonts w:ascii="Times New Roman" w:hAnsi="Times New Roman" w:cs="Times New Roman"/>
          <w:color w:val="000000" w:themeColor="text1"/>
        </w:rPr>
        <w:t xml:space="preserve">, charakteryzujący plastyczność (spoistość) gruntu.  </w:t>
      </w:r>
    </w:p>
    <w:p w14:paraId="5B495204"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Z2.J  OZNACZANIE WSPÓŁCZYNNIKA FILTRACJI k </w:t>
      </w:r>
    </w:p>
    <w:p w14:paraId="26DC41CA"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stosowania kryteriów odnoszących się do wartości współczynnika filtracji k, określonych według metody zawartej w normie PN-55/B-04492, należy stosować procedurę badania próbek i oznaczenia współczynnika filtracji k, określoną w tej normie.  </w:t>
      </w:r>
    </w:p>
    <w:p w14:paraId="6AD4B028"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pośrednią metodę oceny właściwości filtracyjnych gruntów gruboziarnistych  (wg klasyfikacji PN-EN ISO 14688-2) na podstawie obliczenia współczynnika filtracji k  z zastosowaniem wzoru amerykańskiego USBSC: </w:t>
      </w:r>
    </w:p>
    <w:p w14:paraId="7C76DD32" w14:textId="77777777" w:rsidR="00955A27" w:rsidRPr="001667DB" w:rsidRDefault="00955A27" w:rsidP="00996530">
      <w:pPr>
        <w:spacing w:after="120" w:line="360" w:lineRule="auto"/>
        <w:ind w:left="661" w:right="725"/>
        <w:jc w:val="both"/>
        <w:rPr>
          <w:rFonts w:ascii="Times New Roman" w:hAnsi="Times New Roman" w:cs="Times New Roman"/>
          <w:color w:val="000000" w:themeColor="text1"/>
        </w:rPr>
      </w:pPr>
      <w:r w:rsidRPr="001667DB">
        <w:rPr>
          <w:rFonts w:ascii="Times New Roman" w:hAnsi="Times New Roman" w:cs="Times New Roman"/>
          <w:color w:val="000000" w:themeColor="text1"/>
        </w:rPr>
        <w:t>k = 0,0036 x d</w:t>
      </w:r>
      <w:r w:rsidRPr="001667DB">
        <w:rPr>
          <w:rFonts w:ascii="Times New Roman" w:hAnsi="Times New Roman" w:cs="Times New Roman"/>
          <w:color w:val="000000" w:themeColor="text1"/>
          <w:vertAlign w:val="subscript"/>
        </w:rPr>
        <w:t>20</w:t>
      </w:r>
      <w:r w:rsidRPr="001667DB">
        <w:rPr>
          <w:rFonts w:ascii="Times New Roman" w:hAnsi="Times New Roman" w:cs="Times New Roman"/>
          <w:color w:val="000000" w:themeColor="text1"/>
          <w:vertAlign w:val="superscript"/>
        </w:rPr>
        <w:t>2,3</w:t>
      </w:r>
      <w:r w:rsidRPr="001667DB">
        <w:rPr>
          <w:rFonts w:ascii="Times New Roman" w:hAnsi="Times New Roman" w:cs="Times New Roman"/>
          <w:color w:val="000000" w:themeColor="text1"/>
        </w:rPr>
        <w:t xml:space="preserve"> </w:t>
      </w:r>
    </w:p>
    <w:p w14:paraId="7710D24E"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gdzie:  </w:t>
      </w:r>
    </w:p>
    <w:p w14:paraId="5B60E003" w14:textId="77777777" w:rsidR="00955A27" w:rsidRPr="001667DB" w:rsidRDefault="00955A27" w:rsidP="00996530">
      <w:pPr>
        <w:tabs>
          <w:tab w:val="center" w:pos="2071"/>
        </w:tabs>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  </w:t>
      </w:r>
      <w:r w:rsidRPr="001667DB">
        <w:rPr>
          <w:rFonts w:ascii="Times New Roman" w:hAnsi="Times New Roman" w:cs="Times New Roman"/>
          <w:color w:val="000000" w:themeColor="text1"/>
        </w:rPr>
        <w:tab/>
        <w:t xml:space="preserve">współczynnik filtracji [m/s] </w:t>
      </w:r>
    </w:p>
    <w:p w14:paraId="2E7EBFAA"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20</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średnica zastępcza [mm], odpowiadająca zawartości 20% ziaren na krzywej uziarnienia gruntu.  </w:t>
      </w:r>
    </w:p>
    <w:p w14:paraId="4F8B97CD"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Stosowanie w badaniu próbek gruntów procedury oznaczenia współczynnika filtracji k, zawartej  w normie PN-EN ISO 17892-11 wymaga stosowania wymagań określonych w odniesieniu  do tej metody badania. Możliwe jest zweryfikowanie lub potwierdzenia kryterium oceny określonego na podstawie badania według normy PN-55/B-04492.  </w:t>
      </w:r>
    </w:p>
    <w:p w14:paraId="394B7268"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1E70DEF1" w14:textId="77777777" w:rsidR="00955A27" w:rsidRPr="001667DB" w:rsidRDefault="00955A27" w:rsidP="00996530">
      <w:pPr>
        <w:tabs>
          <w:tab w:val="center" w:pos="7789"/>
        </w:tabs>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Z2.K OZNACZANIE ZAWARTOŚCI SUBSTANCJI ORGANICZNYCH </w:t>
      </w:r>
      <w:r w:rsidRPr="001667DB">
        <w:rPr>
          <w:rFonts w:ascii="Times New Roman" w:hAnsi="Times New Roman" w:cs="Times New Roman"/>
          <w:b/>
          <w:color w:val="000000" w:themeColor="text1"/>
        </w:rPr>
        <w:tab/>
        <w:t xml:space="preserve"> </w:t>
      </w:r>
    </w:p>
    <w:p w14:paraId="6B259140" w14:textId="77777777" w:rsidR="00955A27" w:rsidRPr="001667DB" w:rsidRDefault="00955A27" w:rsidP="00996530">
      <w:pPr>
        <w:spacing w:after="120" w:line="360" w:lineRule="auto"/>
        <w:ind w:left="-5" w:right="6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Procedura oznaczenia zawartości substancji organicznych zawarta jest w normie PN-B04481:1988 lub w normie PN-EN 1744-1. Metodą referencyjną jest procedura zawarta  w normie PN-B-04481:1988 </w:t>
      </w:r>
    </w:p>
    <w:p w14:paraId="1B422BF4"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49CF21A"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Z2.L POŚREDNIE OZNACZANIE WSKAŹNIKA ZAGĘSZCZENIA NA PODSTAWIE STOPNIA ZAGĘSZCZENIA OKREŚLONEGO W BADANIU SONDĄ DYNAMICZNĄ  </w:t>
      </w:r>
    </w:p>
    <w:p w14:paraId="2400ADB5" w14:textId="77777777" w:rsidR="00955A27" w:rsidRPr="001667DB" w:rsidRDefault="00955A27" w:rsidP="00955A27">
      <w:pPr>
        <w:spacing w:after="120" w:line="360" w:lineRule="auto"/>
        <w:ind w:left="-5" w:right="69"/>
        <w:rPr>
          <w:rFonts w:ascii="Times New Roman" w:hAnsi="Times New Roman" w:cs="Times New Roman"/>
          <w:color w:val="000000" w:themeColor="text1"/>
        </w:rPr>
      </w:pPr>
      <w:r w:rsidRPr="001667DB">
        <w:rPr>
          <w:rFonts w:ascii="Times New Roman" w:hAnsi="Times New Roman" w:cs="Times New Roman"/>
          <w:color w:val="000000" w:themeColor="text1"/>
        </w:rPr>
        <w:t>Do dodatkowej kontroli zagęszczenia nasypów wykonanych z gruntów niespoistych można stosować sondy dynamiczne. Procedura wykonywania badania sondą dynamiczną zawarta jest w normie PN-B-</w:t>
      </w:r>
      <w:r w:rsidRPr="001667DB">
        <w:rPr>
          <w:rFonts w:ascii="Times New Roman" w:hAnsi="Times New Roman" w:cs="Times New Roman"/>
          <w:color w:val="000000" w:themeColor="text1"/>
        </w:rPr>
        <w:lastRenderedPageBreak/>
        <w:t>04452. Orientacyjną wartość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można określić na podstawie zależności korelacyjnej: </w:t>
      </w:r>
    </w:p>
    <w:p w14:paraId="4914BF90" w14:textId="77777777" w:rsidR="00955A27" w:rsidRPr="001667DB" w:rsidRDefault="00955A27" w:rsidP="00955A27">
      <w:pPr>
        <w:spacing w:after="120" w:line="360" w:lineRule="auto"/>
        <w:ind w:left="409" w:right="65"/>
        <w:jc w:val="center"/>
        <w:rPr>
          <w:rFonts w:ascii="Times New Roman" w:hAnsi="Times New Roman" w:cs="Times New Roman"/>
          <w:color w:val="000000" w:themeColor="text1"/>
        </w:rPr>
      </w:pPr>
      <w:r w:rsidRPr="001667DB">
        <w:rPr>
          <w:rFonts w:ascii="Times New Roman" w:eastAsia="Cambria Math" w:hAnsi="Times New Roman" w:cs="Times New Roman"/>
          <w:color w:val="000000" w:themeColor="text1"/>
        </w:rPr>
        <w:t>0,818</w:t>
      </w:r>
    </w:p>
    <w:p w14:paraId="3C05C3BD" w14:textId="77777777" w:rsidR="00955A27" w:rsidRPr="001667DB" w:rsidRDefault="00955A27" w:rsidP="00955A27">
      <w:pPr>
        <w:spacing w:after="120" w:line="360" w:lineRule="auto"/>
        <w:ind w:left="409" w:right="403"/>
        <w:jc w:val="center"/>
        <w:rPr>
          <w:rFonts w:ascii="Times New Roman" w:hAnsi="Times New Roman" w:cs="Times New Roman"/>
          <w:color w:val="000000" w:themeColor="text1"/>
        </w:rPr>
      </w:pPr>
      <w:r w:rsidRPr="001667DB">
        <w:rPr>
          <w:rFonts w:ascii="Cambria Math" w:eastAsia="Cambria Math" w:hAnsi="Cambria Math" w:cs="Cambria Math"/>
          <w:color w:val="000000" w:themeColor="text1"/>
        </w:rPr>
        <w:t>𝐼</w:t>
      </w:r>
      <w:r w:rsidRPr="001667DB">
        <w:rPr>
          <w:rFonts w:ascii="Cambria Math" w:eastAsia="Cambria Math" w:hAnsi="Cambria Math" w:cs="Cambria Math"/>
          <w:color w:val="000000" w:themeColor="text1"/>
          <w:vertAlign w:val="subscript"/>
        </w:rPr>
        <w:t>𝑆</w:t>
      </w:r>
      <w:r w:rsidRPr="001667DB">
        <w:rPr>
          <w:rFonts w:ascii="Times New Roman" w:eastAsia="Cambria Math" w:hAnsi="Times New Roman" w:cs="Times New Roman"/>
          <w:color w:val="000000" w:themeColor="text1"/>
          <w:vertAlign w:val="subscript"/>
        </w:rPr>
        <w:t xml:space="preserve"> </w:t>
      </w:r>
      <w:r w:rsidRPr="001667DB">
        <w:rPr>
          <w:rFonts w:ascii="Times New Roman" w:eastAsia="Cambria Math" w:hAnsi="Times New Roman" w:cs="Times New Roman"/>
          <w:color w:val="000000" w:themeColor="text1"/>
        </w:rPr>
        <w:t xml:space="preserve">= </w:t>
      </w: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0BA29288" wp14:editId="76DC21BA">
                <wp:extent cx="905561" cy="7620"/>
                <wp:effectExtent l="0" t="0" r="0" b="0"/>
                <wp:docPr id="55590" name="Group 55590"/>
                <wp:cNvGraphicFramePr/>
                <a:graphic xmlns:a="http://schemas.openxmlformats.org/drawingml/2006/main">
                  <a:graphicData uri="http://schemas.microsoft.com/office/word/2010/wordprocessingGroup">
                    <wpg:wgp>
                      <wpg:cNvGrpSpPr/>
                      <wpg:grpSpPr>
                        <a:xfrm>
                          <a:off x="0" y="0"/>
                          <a:ext cx="905561" cy="7620"/>
                          <a:chOff x="0" y="0"/>
                          <a:chExt cx="905561" cy="7620"/>
                        </a:xfrm>
                      </wpg:grpSpPr>
                      <wps:wsp>
                        <wps:cNvPr id="63152" name="Shape 63152"/>
                        <wps:cNvSpPr/>
                        <wps:spPr>
                          <a:xfrm>
                            <a:off x="0" y="0"/>
                            <a:ext cx="905561" cy="9144"/>
                          </a:xfrm>
                          <a:custGeom>
                            <a:avLst/>
                            <a:gdLst/>
                            <a:ahLst/>
                            <a:cxnLst/>
                            <a:rect l="0" t="0" r="0" b="0"/>
                            <a:pathLst>
                              <a:path w="905561" h="9144">
                                <a:moveTo>
                                  <a:pt x="0" y="0"/>
                                </a:moveTo>
                                <a:lnTo>
                                  <a:pt x="905561" y="0"/>
                                </a:lnTo>
                                <a:lnTo>
                                  <a:pt x="9055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3747DA1" id="Group 55590" o:spid="_x0000_s1026" style="width:71.3pt;height:.6pt;mso-position-horizontal-relative:char;mso-position-vertical-relative:line" coordsize="905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">
                <v:shape id="Shape 63152" o:spid="_x0000_s1027" style="position:absolute;width:9055;height:91;visibility:visible;mso-wrap-style:square;v-text-anchor:top" coordsize="90556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rsMgA&#10;AADeAAAADwAAAGRycy9kb3ducmV2LnhtbESPT2vCQBTE74V+h+UVeqsbU6oSXUUKoaFW8N/B4yP7&#10;TGKzb0N2a6Kf3i0Uehxm5jfMbNGbWlyodZVlBcNBBII4t7riQsFhn75MQDiPrLG2TAqu5GAxf3yY&#10;YaJtx1u67HwhAoRdggpK75tESpeXZNANbEMcvJNtDfog20LqFrsAN7WMo2gkDVYcFkps6L2k/Hv3&#10;YxTYJZ+z29d6FX+kXX4cZylvPmulnp/65RSEp97/h//amVYweh2+xfB7J1wBOb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YWuwyAAAAN4AAAAPAAAAAAAAAAAAAAAAAJgCAABk&#10;cnMvZG93bnJldi54bWxQSwUGAAAAAAQABAD1AAAAjQMAAAAA&#10;" path="m,l905561,r,9144l,9144,,e" fillcolor="black" stroked="f" strokeweight="0">
                  <v:stroke miterlimit="83231f" joinstyle="miter"/>
                  <v:path arrowok="t" textboxrect="0,0,905561,9144"/>
                </v:shape>
                <w10:anchorlock/>
              </v:group>
            </w:pict>
          </mc:Fallback>
        </mc:AlternateContent>
      </w:r>
      <w:r w:rsidRPr="001667DB">
        <w:rPr>
          <w:rFonts w:ascii="Times New Roman" w:hAnsi="Times New Roman" w:cs="Times New Roman"/>
          <w:color w:val="000000" w:themeColor="text1"/>
        </w:rPr>
        <w:t xml:space="preserve"> </w:t>
      </w:r>
    </w:p>
    <w:p w14:paraId="44330DFD" w14:textId="77777777" w:rsidR="00955A27" w:rsidRPr="001667DB" w:rsidRDefault="00955A27" w:rsidP="00955A27">
      <w:pPr>
        <w:spacing w:after="120" w:line="360" w:lineRule="auto"/>
        <w:ind w:left="409" w:right="78"/>
        <w:jc w:val="center"/>
        <w:rPr>
          <w:rFonts w:ascii="Times New Roman" w:hAnsi="Times New Roman" w:cs="Times New Roman"/>
          <w:color w:val="000000" w:themeColor="text1"/>
        </w:rPr>
      </w:pPr>
      <w:r w:rsidRPr="001667DB">
        <w:rPr>
          <w:rFonts w:ascii="Times New Roman" w:eastAsia="Cambria Math" w:hAnsi="Times New Roman" w:cs="Times New Roman"/>
          <w:color w:val="000000" w:themeColor="text1"/>
        </w:rPr>
        <w:t xml:space="preserve">0,958 − 0,174 </w:t>
      </w:r>
      <w:r w:rsidRPr="001667DB">
        <w:rPr>
          <w:rFonts w:ascii="Cambria Math" w:eastAsia="Cambria Math" w:hAnsi="Cambria Math" w:cs="Cambria Math"/>
          <w:color w:val="000000" w:themeColor="text1"/>
        </w:rPr>
        <w:t>𝐼</w:t>
      </w:r>
      <w:r w:rsidRPr="001667DB">
        <w:rPr>
          <w:rFonts w:ascii="Cambria Math" w:eastAsia="Cambria Math" w:hAnsi="Cambria Math" w:cs="Cambria Math"/>
          <w:color w:val="000000" w:themeColor="text1"/>
          <w:vertAlign w:val="subscript"/>
        </w:rPr>
        <w:t>𝐷</w:t>
      </w:r>
    </w:p>
    <w:p w14:paraId="75AC8510" w14:textId="77777777" w:rsidR="00955A27" w:rsidRPr="001667DB" w:rsidRDefault="00955A27" w:rsidP="00955A27">
      <w:pPr>
        <w:spacing w:after="120" w:line="360" w:lineRule="auto"/>
        <w:ind w:left="-5" w:right="69"/>
        <w:rPr>
          <w:rFonts w:ascii="Times New Roman" w:hAnsi="Times New Roman" w:cs="Times New Roman"/>
          <w:color w:val="000000" w:themeColor="text1"/>
        </w:rPr>
      </w:pPr>
      <w:r w:rsidRPr="001667DB">
        <w:rPr>
          <w:rFonts w:ascii="Times New Roman" w:hAnsi="Times New Roman" w:cs="Times New Roman"/>
          <w:color w:val="000000" w:themeColor="text1"/>
        </w:rPr>
        <w:t xml:space="preserve">gdzie: </w:t>
      </w:r>
    </w:p>
    <w:p w14:paraId="7679B510" w14:textId="77777777" w:rsidR="00955A27" w:rsidRPr="001667DB" w:rsidRDefault="00955A27" w:rsidP="00996530">
      <w:pPr>
        <w:spacing w:after="120" w:line="360" w:lineRule="auto"/>
        <w:ind w:left="691" w:right="69" w:hanging="706"/>
        <w:jc w:val="both"/>
        <w:rPr>
          <w:rFonts w:ascii="Times New Roman" w:hAnsi="Times New Roman" w:cs="Times New Roman"/>
          <w:color w:val="000000" w:themeColor="text1"/>
        </w:rPr>
      </w:pPr>
      <w:r w:rsidRPr="001667DB">
        <w:rPr>
          <w:rFonts w:ascii="Times New Roman" w:hAnsi="Times New Roman" w:cs="Times New Roman"/>
          <w:color w:val="000000" w:themeColor="text1"/>
        </w:rPr>
        <w:t>I</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stopień zagęszczenia gruntów niespoistych wyznaczony w oparciu o liczbę uderzeń młota (N</w:t>
      </w:r>
      <w:r w:rsidRPr="001667DB">
        <w:rPr>
          <w:rFonts w:ascii="Times New Roman" w:hAnsi="Times New Roman" w:cs="Times New Roman"/>
          <w:color w:val="000000" w:themeColor="text1"/>
          <w:vertAlign w:val="subscript"/>
        </w:rPr>
        <w:t>K</w:t>
      </w:r>
      <w:r w:rsidRPr="001667DB">
        <w:rPr>
          <w:rFonts w:ascii="Times New Roman" w:hAnsi="Times New Roman" w:cs="Times New Roman"/>
          <w:color w:val="000000" w:themeColor="text1"/>
        </w:rPr>
        <w:t xml:space="preserve">) potrzebną do zagłębienia końcówki o 0,1 m (sondy DPL, DPM), 0,2 m (DPSH)  na podstawie wzorów: </w:t>
      </w:r>
    </w:p>
    <w:tbl>
      <w:tblPr>
        <w:tblStyle w:val="TableGrid"/>
        <w:tblW w:w="4643" w:type="dxa"/>
        <w:tblInd w:w="-2" w:type="dxa"/>
        <w:tblLook w:val="04A0" w:firstRow="1" w:lastRow="0" w:firstColumn="1" w:lastColumn="0" w:noHBand="0" w:noVBand="1"/>
      </w:tblPr>
      <w:tblGrid>
        <w:gridCol w:w="2127"/>
        <w:gridCol w:w="2516"/>
      </w:tblGrid>
      <w:tr w:rsidR="00955A27" w:rsidRPr="001667DB" w14:paraId="5E5E132B" w14:textId="77777777">
        <w:trPr>
          <w:trHeight w:val="237"/>
        </w:trPr>
        <w:tc>
          <w:tcPr>
            <w:tcW w:w="2127" w:type="dxa"/>
            <w:tcBorders>
              <w:top w:val="nil"/>
              <w:left w:val="nil"/>
              <w:bottom w:val="nil"/>
              <w:right w:val="nil"/>
            </w:tcBorders>
          </w:tcPr>
          <w:p w14:paraId="36242990" w14:textId="77777777" w:rsidR="00955A27" w:rsidRPr="001667DB" w:rsidRDefault="00955A27" w:rsidP="00955A27">
            <w:pPr>
              <w:tabs>
                <w:tab w:val="center" w:pos="898"/>
                <w:tab w:val="center" w:pos="1419"/>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DPL </w:t>
            </w:r>
            <w:r w:rsidRPr="001667DB">
              <w:rPr>
                <w:rFonts w:ascii="Times New Roman" w:hAnsi="Times New Roman" w:cs="Times New Roman"/>
                <w:color w:val="000000" w:themeColor="text1"/>
              </w:rPr>
              <w:tab/>
              <w:t xml:space="preserve"> </w:t>
            </w:r>
          </w:p>
        </w:tc>
        <w:tc>
          <w:tcPr>
            <w:tcW w:w="2516" w:type="dxa"/>
            <w:tcBorders>
              <w:top w:val="nil"/>
              <w:left w:val="nil"/>
              <w:bottom w:val="nil"/>
              <w:right w:val="nil"/>
            </w:tcBorders>
          </w:tcPr>
          <w:p w14:paraId="245B51C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 0,071+0,429 lg N</w:t>
            </w:r>
            <w:r w:rsidRPr="001667DB">
              <w:rPr>
                <w:rFonts w:ascii="Times New Roman" w:hAnsi="Times New Roman" w:cs="Times New Roman"/>
                <w:color w:val="000000" w:themeColor="text1"/>
                <w:vertAlign w:val="subscript"/>
              </w:rPr>
              <w:t xml:space="preserve">K </w:t>
            </w:r>
          </w:p>
        </w:tc>
      </w:tr>
      <w:tr w:rsidR="00955A27" w:rsidRPr="001667DB" w14:paraId="3668BDE6" w14:textId="77777777">
        <w:trPr>
          <w:trHeight w:val="280"/>
        </w:trPr>
        <w:tc>
          <w:tcPr>
            <w:tcW w:w="2127" w:type="dxa"/>
            <w:tcBorders>
              <w:top w:val="nil"/>
              <w:left w:val="nil"/>
              <w:bottom w:val="nil"/>
              <w:right w:val="nil"/>
            </w:tcBorders>
          </w:tcPr>
          <w:p w14:paraId="5A122F76" w14:textId="77777777" w:rsidR="00955A27" w:rsidRPr="001667DB" w:rsidRDefault="00955A27" w:rsidP="00955A27">
            <w:pPr>
              <w:spacing w:after="120" w:line="360" w:lineRule="auto"/>
              <w:ind w:right="2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DPM  </w:t>
            </w:r>
          </w:p>
        </w:tc>
        <w:tc>
          <w:tcPr>
            <w:tcW w:w="2516" w:type="dxa"/>
            <w:tcBorders>
              <w:top w:val="nil"/>
              <w:left w:val="nil"/>
              <w:bottom w:val="nil"/>
              <w:right w:val="nil"/>
            </w:tcBorders>
          </w:tcPr>
          <w:p w14:paraId="06B3AFB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 0,176+0,431 lg N</w:t>
            </w:r>
            <w:r w:rsidRPr="001667DB">
              <w:rPr>
                <w:rFonts w:ascii="Times New Roman" w:hAnsi="Times New Roman" w:cs="Times New Roman"/>
                <w:color w:val="000000" w:themeColor="text1"/>
                <w:vertAlign w:val="subscript"/>
              </w:rPr>
              <w:t>K</w:t>
            </w:r>
            <w:r w:rsidRPr="001667DB">
              <w:rPr>
                <w:rFonts w:ascii="Times New Roman" w:hAnsi="Times New Roman" w:cs="Times New Roman"/>
                <w:color w:val="000000" w:themeColor="text1"/>
              </w:rPr>
              <w:t xml:space="preserve">  </w:t>
            </w:r>
          </w:p>
        </w:tc>
      </w:tr>
      <w:tr w:rsidR="00955A27" w:rsidRPr="001667DB" w14:paraId="0F7CE011" w14:textId="77777777">
        <w:trPr>
          <w:trHeight w:val="280"/>
        </w:trPr>
        <w:tc>
          <w:tcPr>
            <w:tcW w:w="2127" w:type="dxa"/>
            <w:tcBorders>
              <w:top w:val="nil"/>
              <w:left w:val="nil"/>
              <w:bottom w:val="nil"/>
              <w:right w:val="nil"/>
            </w:tcBorders>
          </w:tcPr>
          <w:p w14:paraId="6B49DFCB" w14:textId="77777777" w:rsidR="00955A27" w:rsidRPr="001667DB" w:rsidRDefault="00955A27" w:rsidP="00955A27">
            <w:pPr>
              <w:tabs>
                <w:tab w:val="center" w:pos="918"/>
                <w:tab w:val="center" w:pos="1419"/>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DPH </w:t>
            </w:r>
            <w:r w:rsidRPr="001667DB">
              <w:rPr>
                <w:rFonts w:ascii="Times New Roman" w:hAnsi="Times New Roman" w:cs="Times New Roman"/>
                <w:color w:val="000000" w:themeColor="text1"/>
              </w:rPr>
              <w:tab/>
              <w:t xml:space="preserve"> </w:t>
            </w:r>
          </w:p>
        </w:tc>
        <w:tc>
          <w:tcPr>
            <w:tcW w:w="2516" w:type="dxa"/>
            <w:tcBorders>
              <w:top w:val="nil"/>
              <w:left w:val="nil"/>
              <w:bottom w:val="nil"/>
              <w:right w:val="nil"/>
            </w:tcBorders>
          </w:tcPr>
          <w:p w14:paraId="0C1B544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 0,271+0,441 lg N</w:t>
            </w:r>
            <w:r w:rsidRPr="001667DB">
              <w:rPr>
                <w:rFonts w:ascii="Times New Roman" w:hAnsi="Times New Roman" w:cs="Times New Roman"/>
                <w:color w:val="000000" w:themeColor="text1"/>
                <w:vertAlign w:val="subscript"/>
              </w:rPr>
              <w:t>K</w:t>
            </w:r>
            <w:r w:rsidRPr="001667DB">
              <w:rPr>
                <w:rFonts w:ascii="Times New Roman" w:hAnsi="Times New Roman" w:cs="Times New Roman"/>
                <w:color w:val="000000" w:themeColor="text1"/>
              </w:rPr>
              <w:t xml:space="preserve"> </w:t>
            </w:r>
          </w:p>
        </w:tc>
      </w:tr>
      <w:tr w:rsidR="00955A27" w:rsidRPr="001667DB" w14:paraId="77DE78EC" w14:textId="77777777">
        <w:trPr>
          <w:trHeight w:val="237"/>
        </w:trPr>
        <w:tc>
          <w:tcPr>
            <w:tcW w:w="2127" w:type="dxa"/>
            <w:tcBorders>
              <w:top w:val="nil"/>
              <w:left w:val="nil"/>
              <w:bottom w:val="nil"/>
              <w:right w:val="nil"/>
            </w:tcBorders>
          </w:tcPr>
          <w:p w14:paraId="44ACAF76" w14:textId="77777777" w:rsidR="00955A27" w:rsidRPr="001667DB" w:rsidRDefault="00955A27" w:rsidP="00955A27">
            <w:pPr>
              <w:spacing w:after="120" w:line="360" w:lineRule="auto"/>
              <w:ind w:right="1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DPSH  </w:t>
            </w:r>
          </w:p>
        </w:tc>
        <w:tc>
          <w:tcPr>
            <w:tcW w:w="2516" w:type="dxa"/>
            <w:tcBorders>
              <w:top w:val="nil"/>
              <w:left w:val="nil"/>
              <w:bottom w:val="nil"/>
              <w:right w:val="nil"/>
            </w:tcBorders>
          </w:tcPr>
          <w:p w14:paraId="2FD4200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 0,196+0,441 lg N</w:t>
            </w:r>
            <w:r w:rsidRPr="001667DB">
              <w:rPr>
                <w:rFonts w:ascii="Times New Roman" w:hAnsi="Times New Roman" w:cs="Times New Roman"/>
                <w:color w:val="000000" w:themeColor="text1"/>
                <w:vertAlign w:val="subscript"/>
              </w:rPr>
              <w:t xml:space="preserve">K </w:t>
            </w:r>
          </w:p>
        </w:tc>
      </w:tr>
    </w:tbl>
    <w:p w14:paraId="2CD1ECA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C7059F9" w14:textId="77777777" w:rsidR="00955A27" w:rsidRPr="001667DB" w:rsidRDefault="00955A27" w:rsidP="00996530">
      <w:pPr>
        <w:spacing w:after="120" w:line="360" w:lineRule="auto"/>
        <w:ind w:left="-5" w:right="69"/>
        <w:jc w:val="both"/>
        <w:rPr>
          <w:rFonts w:ascii="Times New Roman" w:eastAsia="Times New Roman" w:hAnsi="Times New Roman" w:cs="Times New Roman"/>
          <w:color w:val="000000" w:themeColor="text1"/>
        </w:rPr>
      </w:pPr>
      <w:r w:rsidRPr="001667DB">
        <w:rPr>
          <w:rFonts w:ascii="Times New Roman" w:hAnsi="Times New Roman" w:cs="Times New Roman"/>
          <w:color w:val="000000" w:themeColor="text1"/>
        </w:rPr>
        <w:t>Wyniki sondowania należy interpretować dopiero poniżej głębokości krytycznej (t</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 wynoszącej dla sondy DPL t</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=0,6 m, dla sond DPM oraz DPH t</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=1,0 m, dla sondy DPSH t</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=1,5 m.</w:t>
      </w:r>
      <w:r w:rsidRPr="001667DB">
        <w:rPr>
          <w:rFonts w:ascii="Times New Roman" w:eastAsia="Times New Roman" w:hAnsi="Times New Roman" w:cs="Times New Roman"/>
          <w:color w:val="000000" w:themeColor="text1"/>
        </w:rPr>
        <w:t xml:space="preserve"> </w:t>
      </w:r>
    </w:p>
    <w:p w14:paraId="4D386BBD" w14:textId="77777777" w:rsidR="001B4B8F" w:rsidRPr="001667DB" w:rsidRDefault="001B4B8F" w:rsidP="00955A27">
      <w:pPr>
        <w:spacing w:after="120" w:line="360" w:lineRule="auto"/>
        <w:ind w:left="-5" w:right="69"/>
        <w:rPr>
          <w:rFonts w:ascii="Times New Roman" w:eastAsia="Times New Roman" w:hAnsi="Times New Roman" w:cs="Times New Roman"/>
          <w:color w:val="000000" w:themeColor="text1"/>
        </w:rPr>
      </w:pPr>
    </w:p>
    <w:p w14:paraId="088A1A0A" w14:textId="77777777" w:rsidR="009A2019" w:rsidRPr="001667DB" w:rsidRDefault="009A2019">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3515A615" w14:textId="77777777" w:rsidR="00955A27" w:rsidRPr="00326BBF" w:rsidRDefault="00955A27" w:rsidP="00996530">
      <w:pPr>
        <w:pStyle w:val="Nagwek1"/>
        <w:spacing w:line="360" w:lineRule="auto"/>
        <w:ind w:left="2124" w:hanging="2124"/>
        <w:jc w:val="both"/>
        <w:rPr>
          <w:color w:val="000000" w:themeColor="text1"/>
          <w:sz w:val="22"/>
          <w:szCs w:val="22"/>
          <w:lang w:val="pl-PL"/>
        </w:rPr>
      </w:pPr>
      <w:bookmarkStart w:id="195" w:name="_Toc88030602"/>
      <w:r w:rsidRPr="00326BBF">
        <w:rPr>
          <w:color w:val="000000" w:themeColor="text1"/>
          <w:sz w:val="22"/>
          <w:szCs w:val="22"/>
          <w:lang w:val="pl-PL"/>
        </w:rPr>
        <w:lastRenderedPageBreak/>
        <w:t>D.02.02.01.</w:t>
      </w:r>
      <w:r w:rsidRPr="00326BBF">
        <w:rPr>
          <w:color w:val="000000" w:themeColor="text1"/>
          <w:sz w:val="22"/>
          <w:szCs w:val="22"/>
          <w:lang w:val="pl-PL"/>
        </w:rPr>
        <w:tab/>
        <w:t>WYKONANIE WYKOPÓW W GRUNTACH NIESKALISTYCH</w:t>
      </w:r>
    </w:p>
    <w:p w14:paraId="1A91532A"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r w:rsidRPr="001667DB">
        <w:rPr>
          <w:color w:val="000000" w:themeColor="text1"/>
          <w:sz w:val="22"/>
          <w:szCs w:val="22"/>
        </w:rPr>
        <w:t>WSTĘP</w:t>
      </w:r>
      <w:bookmarkEnd w:id="195"/>
      <w:r w:rsidRPr="001667DB">
        <w:rPr>
          <w:color w:val="000000" w:themeColor="text1"/>
          <w:sz w:val="22"/>
          <w:szCs w:val="22"/>
        </w:rPr>
        <w:t xml:space="preserve"> </w:t>
      </w:r>
    </w:p>
    <w:p w14:paraId="54303C70"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96" w:name="_Toc88030604"/>
      <w:r w:rsidRPr="001667DB">
        <w:rPr>
          <w:color w:val="000000" w:themeColor="text1"/>
          <w:sz w:val="22"/>
          <w:szCs w:val="22"/>
        </w:rPr>
        <w:t>Przedmiot ST</w:t>
      </w:r>
      <w:bookmarkEnd w:id="196"/>
      <w:r w:rsidRPr="001667DB">
        <w:rPr>
          <w:color w:val="000000" w:themeColor="text1"/>
          <w:sz w:val="22"/>
          <w:szCs w:val="22"/>
        </w:rPr>
        <w:t xml:space="preserve"> </w:t>
      </w:r>
    </w:p>
    <w:p w14:paraId="598B67C8"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Przedmiotem niniejszych Warunków Wykonania i Odbioru Robót Budowlanych (ST) są wymagania dotyczące wykonania i odbioru wykopów w ramach realizacji zadania:  </w:t>
      </w:r>
      <w:r w:rsidR="00FD3B41" w:rsidRPr="00FD3B41">
        <w:rPr>
          <w:rFonts w:ascii="Times New Roman" w:hAnsi="Times New Roman" w:cs="Times New Roman"/>
          <w:b/>
          <w:color w:val="000000" w:themeColor="text1"/>
        </w:rPr>
        <w:t>„Rozbudowa drogi wojewódzkiej nr 461 w m. Dąbrówka Łubniańska i Łubniany” – Etap I ( km od 9+741,88 do 10+371,13)</w:t>
      </w:r>
    </w:p>
    <w:p w14:paraId="54194E5A"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97" w:name="_Toc88030605"/>
      <w:r w:rsidRPr="001667DB">
        <w:rPr>
          <w:color w:val="000000" w:themeColor="text1"/>
          <w:sz w:val="22"/>
          <w:szCs w:val="22"/>
        </w:rPr>
        <w:t>Zakres stosowania ST</w:t>
      </w:r>
      <w:bookmarkEnd w:id="197"/>
      <w:r w:rsidRPr="001667DB">
        <w:rPr>
          <w:color w:val="000000" w:themeColor="text1"/>
          <w:sz w:val="22"/>
          <w:szCs w:val="22"/>
        </w:rPr>
        <w:t xml:space="preserve"> </w:t>
      </w:r>
    </w:p>
    <w:p w14:paraId="69DFC5B5"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 są stosowane jako dokument przetargowy i kontraktowy przy zlecaniu i realizacji robót na drogach krajowych. ST stanowią podstawę opracowania Specyfikacji Technicznych Wykonania i Odbioru Robót Budowlanych (STWiORB).  </w:t>
      </w:r>
    </w:p>
    <w:p w14:paraId="48B0A9FD"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98" w:name="_Toc88030607"/>
      <w:r w:rsidRPr="001667DB">
        <w:rPr>
          <w:color w:val="000000" w:themeColor="text1"/>
          <w:sz w:val="22"/>
          <w:szCs w:val="22"/>
        </w:rPr>
        <w:t>Nazwy i kody</w:t>
      </w:r>
      <w:bookmarkEnd w:id="198"/>
      <w:r w:rsidRPr="001667DB">
        <w:rPr>
          <w:color w:val="000000" w:themeColor="text1"/>
          <w:sz w:val="22"/>
          <w:szCs w:val="22"/>
        </w:rPr>
        <w:t xml:space="preserve"> </w:t>
      </w:r>
    </w:p>
    <w:p w14:paraId="3C7624B4"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Nazwy i kody robót objętych wspólnym słownikiem zamówień CPV są następujące: </w:t>
      </w:r>
    </w:p>
    <w:tbl>
      <w:tblPr>
        <w:tblStyle w:val="TableGrid"/>
        <w:tblW w:w="8340" w:type="dxa"/>
        <w:tblInd w:w="852" w:type="dxa"/>
        <w:tblLook w:val="04A0" w:firstRow="1" w:lastRow="0" w:firstColumn="1" w:lastColumn="0" w:noHBand="0" w:noVBand="1"/>
      </w:tblPr>
      <w:tblGrid>
        <w:gridCol w:w="1981"/>
        <w:gridCol w:w="6359"/>
      </w:tblGrid>
      <w:tr w:rsidR="00955A27" w:rsidRPr="001667DB" w14:paraId="38791C67" w14:textId="77777777">
        <w:trPr>
          <w:trHeight w:val="297"/>
        </w:trPr>
        <w:tc>
          <w:tcPr>
            <w:tcW w:w="1981" w:type="dxa"/>
            <w:tcBorders>
              <w:top w:val="nil"/>
              <w:left w:val="nil"/>
              <w:bottom w:val="nil"/>
              <w:right w:val="nil"/>
            </w:tcBorders>
          </w:tcPr>
          <w:p w14:paraId="1B6AE668"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Grupa robót: </w:t>
            </w:r>
          </w:p>
        </w:tc>
        <w:tc>
          <w:tcPr>
            <w:tcW w:w="6359" w:type="dxa"/>
            <w:tcBorders>
              <w:top w:val="nil"/>
              <w:left w:val="nil"/>
              <w:bottom w:val="nil"/>
              <w:right w:val="nil"/>
            </w:tcBorders>
          </w:tcPr>
          <w:p w14:paraId="6F15F587"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45100000-8 Przygotowanie terenu pod budowę. </w:t>
            </w:r>
          </w:p>
        </w:tc>
      </w:tr>
      <w:tr w:rsidR="00955A27" w:rsidRPr="001667DB" w14:paraId="26654E70" w14:textId="77777777">
        <w:trPr>
          <w:trHeight w:val="340"/>
        </w:trPr>
        <w:tc>
          <w:tcPr>
            <w:tcW w:w="1981" w:type="dxa"/>
            <w:tcBorders>
              <w:top w:val="nil"/>
              <w:left w:val="nil"/>
              <w:bottom w:val="nil"/>
              <w:right w:val="nil"/>
            </w:tcBorders>
          </w:tcPr>
          <w:p w14:paraId="194365AD"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robót:  </w:t>
            </w:r>
          </w:p>
        </w:tc>
        <w:tc>
          <w:tcPr>
            <w:tcW w:w="6359" w:type="dxa"/>
            <w:tcBorders>
              <w:top w:val="nil"/>
              <w:left w:val="nil"/>
              <w:bottom w:val="nil"/>
              <w:right w:val="nil"/>
            </w:tcBorders>
          </w:tcPr>
          <w:p w14:paraId="49A0518C"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45110000-1 Roboty w zakresie burzenia i rozbiórki obiektów  </w:t>
            </w:r>
          </w:p>
        </w:tc>
      </w:tr>
      <w:tr w:rsidR="00955A27" w:rsidRPr="001667DB" w14:paraId="6CB19E90" w14:textId="77777777">
        <w:trPr>
          <w:trHeight w:val="340"/>
        </w:trPr>
        <w:tc>
          <w:tcPr>
            <w:tcW w:w="1981" w:type="dxa"/>
            <w:tcBorders>
              <w:top w:val="nil"/>
              <w:left w:val="nil"/>
              <w:bottom w:val="nil"/>
              <w:right w:val="nil"/>
            </w:tcBorders>
          </w:tcPr>
          <w:p w14:paraId="177EEBB7"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 </w:t>
            </w:r>
          </w:p>
        </w:tc>
        <w:tc>
          <w:tcPr>
            <w:tcW w:w="6359" w:type="dxa"/>
            <w:tcBorders>
              <w:top w:val="nil"/>
              <w:left w:val="nil"/>
              <w:bottom w:val="nil"/>
              <w:right w:val="nil"/>
            </w:tcBorders>
          </w:tcPr>
          <w:p w14:paraId="7B259AD4" w14:textId="77777777" w:rsidR="00955A27" w:rsidRPr="001667DB" w:rsidRDefault="00955A27" w:rsidP="00996530">
            <w:pPr>
              <w:tabs>
                <w:tab w:val="center" w:pos="708"/>
                <w:tab w:val="center" w:pos="2896"/>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budowlanych, roboty ziemne. </w:t>
            </w:r>
          </w:p>
        </w:tc>
      </w:tr>
      <w:tr w:rsidR="00955A27" w:rsidRPr="001667DB" w14:paraId="0F6E30B7" w14:textId="77777777">
        <w:trPr>
          <w:trHeight w:val="297"/>
        </w:trPr>
        <w:tc>
          <w:tcPr>
            <w:tcW w:w="1981" w:type="dxa"/>
            <w:tcBorders>
              <w:top w:val="nil"/>
              <w:left w:val="nil"/>
              <w:bottom w:val="nil"/>
              <w:right w:val="nil"/>
            </w:tcBorders>
            <w:vAlign w:val="bottom"/>
          </w:tcPr>
          <w:p w14:paraId="751CFBB6"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robót: </w:t>
            </w:r>
          </w:p>
        </w:tc>
        <w:tc>
          <w:tcPr>
            <w:tcW w:w="6359" w:type="dxa"/>
            <w:tcBorders>
              <w:top w:val="nil"/>
              <w:left w:val="nil"/>
              <w:bottom w:val="nil"/>
              <w:right w:val="nil"/>
            </w:tcBorders>
            <w:vAlign w:val="bottom"/>
          </w:tcPr>
          <w:p w14:paraId="73F169A1"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45111000-8 Roboty w zakresie burzenia, roboty ziemne. </w:t>
            </w:r>
          </w:p>
        </w:tc>
      </w:tr>
      <w:tr w:rsidR="00955A27" w:rsidRPr="001667DB" w14:paraId="5978912C" w14:textId="77777777">
        <w:trPr>
          <w:trHeight w:val="297"/>
        </w:trPr>
        <w:tc>
          <w:tcPr>
            <w:tcW w:w="1981" w:type="dxa"/>
            <w:tcBorders>
              <w:top w:val="nil"/>
              <w:left w:val="nil"/>
              <w:bottom w:val="nil"/>
              <w:right w:val="nil"/>
            </w:tcBorders>
            <w:vAlign w:val="bottom"/>
          </w:tcPr>
          <w:p w14:paraId="114F8D43" w14:textId="77777777" w:rsidR="00955A27" w:rsidRPr="001667DB" w:rsidRDefault="00955A27" w:rsidP="00996530">
            <w:pPr>
              <w:spacing w:after="120" w:line="360" w:lineRule="auto"/>
              <w:jc w:val="both"/>
              <w:rPr>
                <w:rFonts w:ascii="Times New Roman" w:hAnsi="Times New Roman" w:cs="Times New Roman"/>
                <w:color w:val="000000" w:themeColor="text1"/>
              </w:rPr>
            </w:pPr>
          </w:p>
        </w:tc>
        <w:tc>
          <w:tcPr>
            <w:tcW w:w="6359" w:type="dxa"/>
            <w:tcBorders>
              <w:top w:val="nil"/>
              <w:left w:val="nil"/>
              <w:bottom w:val="nil"/>
              <w:right w:val="nil"/>
            </w:tcBorders>
            <w:vAlign w:val="bottom"/>
          </w:tcPr>
          <w:p w14:paraId="33EB0055" w14:textId="77777777" w:rsidR="00955A27" w:rsidRPr="001667DB" w:rsidRDefault="00955A27" w:rsidP="00996530">
            <w:pPr>
              <w:spacing w:after="120" w:line="360" w:lineRule="auto"/>
              <w:jc w:val="both"/>
              <w:rPr>
                <w:rFonts w:ascii="Times New Roman" w:hAnsi="Times New Roman" w:cs="Times New Roman"/>
                <w:color w:val="000000" w:themeColor="text1"/>
              </w:rPr>
            </w:pPr>
          </w:p>
        </w:tc>
      </w:tr>
    </w:tbl>
    <w:p w14:paraId="01662C17"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199" w:name="_Toc88030608"/>
      <w:r w:rsidRPr="001667DB">
        <w:rPr>
          <w:color w:val="000000" w:themeColor="text1"/>
          <w:sz w:val="22"/>
          <w:szCs w:val="22"/>
        </w:rPr>
        <w:t>Określenia podstawowe</w:t>
      </w:r>
      <w:bookmarkEnd w:id="199"/>
      <w:r w:rsidRPr="001667DB">
        <w:rPr>
          <w:color w:val="000000" w:themeColor="text1"/>
          <w:sz w:val="22"/>
          <w:szCs w:val="22"/>
        </w:rPr>
        <w:t xml:space="preserve"> </w:t>
      </w:r>
    </w:p>
    <w:p w14:paraId="47B61F6F"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podstawowe zostały podane w ST D-02.00.01. „Roboty ziemne. Wymagania ogólne”, punkt 1.6. </w:t>
      </w:r>
    </w:p>
    <w:p w14:paraId="30E0BE31"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0" w:name="_Toc88030609"/>
      <w:r w:rsidRPr="001667DB">
        <w:rPr>
          <w:color w:val="000000" w:themeColor="text1"/>
          <w:sz w:val="22"/>
          <w:szCs w:val="22"/>
        </w:rPr>
        <w:t>Ogólne wymagania dotyczące robót</w:t>
      </w:r>
      <w:bookmarkEnd w:id="200"/>
      <w:r w:rsidRPr="001667DB">
        <w:rPr>
          <w:color w:val="000000" w:themeColor="text1"/>
          <w:sz w:val="22"/>
          <w:szCs w:val="22"/>
        </w:rPr>
        <w:t xml:space="preserve"> </w:t>
      </w:r>
    </w:p>
    <w:p w14:paraId="38ED2D13"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robót podano w ST D-M 00.00.00 "Wymagania Ogólne". </w:t>
      </w:r>
    </w:p>
    <w:p w14:paraId="7DE7127B"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1" w:name="_Toc88030610"/>
      <w:r w:rsidRPr="001667DB">
        <w:rPr>
          <w:color w:val="000000" w:themeColor="text1"/>
          <w:sz w:val="22"/>
          <w:szCs w:val="22"/>
        </w:rPr>
        <w:t>MATERIAŁY</w:t>
      </w:r>
      <w:bookmarkEnd w:id="201"/>
      <w:r w:rsidRPr="001667DB">
        <w:rPr>
          <w:color w:val="000000" w:themeColor="text1"/>
          <w:sz w:val="22"/>
          <w:szCs w:val="22"/>
        </w:rPr>
        <w:t xml:space="preserve"> </w:t>
      </w:r>
    </w:p>
    <w:p w14:paraId="24BCFE0F"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2" w:name="_Toc88030611"/>
      <w:r w:rsidRPr="001667DB">
        <w:rPr>
          <w:color w:val="000000" w:themeColor="text1"/>
          <w:sz w:val="22"/>
          <w:szCs w:val="22"/>
        </w:rPr>
        <w:t>Ogólne wymagania dotyczące materiałów</w:t>
      </w:r>
      <w:bookmarkEnd w:id="202"/>
      <w:r w:rsidRPr="001667DB">
        <w:rPr>
          <w:color w:val="000000" w:themeColor="text1"/>
          <w:sz w:val="22"/>
          <w:szCs w:val="22"/>
        </w:rPr>
        <w:t xml:space="preserve"> </w:t>
      </w:r>
    </w:p>
    <w:p w14:paraId="016B453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materiałów podano w ST D-02.00.01 „Roboty ziemne. Wymagania ogólne”, punkt 2". </w:t>
      </w:r>
    </w:p>
    <w:p w14:paraId="0B4B1890"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3" w:name="_Toc88030612"/>
      <w:r w:rsidRPr="001667DB">
        <w:rPr>
          <w:color w:val="000000" w:themeColor="text1"/>
          <w:sz w:val="22"/>
          <w:szCs w:val="22"/>
        </w:rPr>
        <w:t>Materiały wybuchowe</w:t>
      </w:r>
      <w:bookmarkEnd w:id="203"/>
      <w:r w:rsidRPr="001667DB">
        <w:rPr>
          <w:color w:val="000000" w:themeColor="text1"/>
          <w:sz w:val="22"/>
          <w:szCs w:val="22"/>
        </w:rPr>
        <w:t xml:space="preserve"> </w:t>
      </w:r>
    </w:p>
    <w:p w14:paraId="5AFA0E06"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występuje odspajanie gruntów skalistych z zastosowaniem materiałów wybuchowych to wymagania w stosunku do nich powinny być określone w Dokumentacji Projektowej lub przez </w:t>
      </w:r>
      <w:r w:rsidRPr="001667DB">
        <w:rPr>
          <w:rFonts w:ascii="Times New Roman" w:hAnsi="Times New Roman" w:cs="Times New Roman"/>
          <w:color w:val="000000" w:themeColor="text1"/>
        </w:rPr>
        <w:lastRenderedPageBreak/>
        <w:t xml:space="preserve">Inżyniera/Inspektora nadzoru. Materiały wybuchowe stosowane do prac strzałowych powinny spełniać wymagania jakościowe w zakresie niezbędnym do specyfiki prowadzonych robót. </w:t>
      </w:r>
    </w:p>
    <w:p w14:paraId="45F8ECFC"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4" w:name="_Toc88030613"/>
      <w:r w:rsidRPr="001667DB">
        <w:rPr>
          <w:color w:val="000000" w:themeColor="text1"/>
          <w:sz w:val="22"/>
          <w:szCs w:val="22"/>
        </w:rPr>
        <w:t>SPRZĘT</w:t>
      </w:r>
      <w:bookmarkEnd w:id="204"/>
      <w:r w:rsidRPr="001667DB">
        <w:rPr>
          <w:color w:val="000000" w:themeColor="text1"/>
          <w:sz w:val="22"/>
          <w:szCs w:val="22"/>
        </w:rPr>
        <w:t xml:space="preserve"> </w:t>
      </w:r>
    </w:p>
    <w:p w14:paraId="79A857CF"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5" w:name="_Toc88030614"/>
      <w:r w:rsidRPr="001667DB">
        <w:rPr>
          <w:color w:val="000000" w:themeColor="text1"/>
          <w:sz w:val="22"/>
          <w:szCs w:val="22"/>
        </w:rPr>
        <w:t>Ogólne wymagania dotyczące sprzętu</w:t>
      </w:r>
      <w:bookmarkEnd w:id="205"/>
      <w:r w:rsidRPr="001667DB">
        <w:rPr>
          <w:color w:val="000000" w:themeColor="text1"/>
          <w:sz w:val="22"/>
          <w:szCs w:val="22"/>
        </w:rPr>
        <w:t xml:space="preserve"> </w:t>
      </w:r>
    </w:p>
    <w:p w14:paraId="4A3D9F5A"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3.1.1.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sprzętu podano w ST D-02.00.01 „Roboty ziemne.  </w:t>
      </w:r>
    </w:p>
    <w:p w14:paraId="391722FA"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ogólne”, punkt 3". </w:t>
      </w:r>
    </w:p>
    <w:p w14:paraId="47A59E25"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6" w:name="_Toc88030615"/>
      <w:r w:rsidRPr="001667DB">
        <w:rPr>
          <w:color w:val="000000" w:themeColor="text1"/>
          <w:sz w:val="22"/>
          <w:szCs w:val="22"/>
        </w:rPr>
        <w:t>TRANSPORT</w:t>
      </w:r>
      <w:bookmarkEnd w:id="206"/>
      <w:r w:rsidRPr="001667DB">
        <w:rPr>
          <w:color w:val="000000" w:themeColor="text1"/>
          <w:sz w:val="22"/>
          <w:szCs w:val="22"/>
        </w:rPr>
        <w:t xml:space="preserve"> </w:t>
      </w:r>
    </w:p>
    <w:p w14:paraId="37B0DCAA"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7" w:name="_Toc88030616"/>
      <w:r w:rsidRPr="001667DB">
        <w:rPr>
          <w:color w:val="000000" w:themeColor="text1"/>
          <w:sz w:val="22"/>
          <w:szCs w:val="22"/>
        </w:rPr>
        <w:t>Ogólne wymagania dotyczące transportu</w:t>
      </w:r>
      <w:bookmarkEnd w:id="207"/>
      <w:r w:rsidRPr="001667DB">
        <w:rPr>
          <w:color w:val="000000" w:themeColor="text1"/>
          <w:sz w:val="22"/>
          <w:szCs w:val="22"/>
        </w:rPr>
        <w:t xml:space="preserve"> </w:t>
      </w:r>
    </w:p>
    <w:p w14:paraId="170E3CD4" w14:textId="77777777" w:rsidR="00955A27" w:rsidRPr="001667DB" w:rsidRDefault="00955A27" w:rsidP="00996530">
      <w:pPr>
        <w:spacing w:after="120" w:line="360" w:lineRule="auto"/>
        <w:ind w:left="847" w:right="-9"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4.1.1.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transportu podano w ST D-M 00.00.00, Wymagania ogólne" punkt 4 oraz w ST D-02.00.01 „Roboty ziemne. Wymagania ogólne” punkt 4. </w:t>
      </w:r>
    </w:p>
    <w:p w14:paraId="1840470B"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4F2230C"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8" w:name="_Toc88030617"/>
      <w:r w:rsidRPr="001667DB">
        <w:rPr>
          <w:color w:val="000000" w:themeColor="text1"/>
          <w:sz w:val="22"/>
          <w:szCs w:val="22"/>
        </w:rPr>
        <w:t>WYKONANIE ROBÓT</w:t>
      </w:r>
      <w:bookmarkEnd w:id="208"/>
      <w:r w:rsidRPr="001667DB">
        <w:rPr>
          <w:color w:val="000000" w:themeColor="text1"/>
          <w:sz w:val="22"/>
          <w:szCs w:val="22"/>
        </w:rPr>
        <w:t xml:space="preserve"> </w:t>
      </w:r>
    </w:p>
    <w:p w14:paraId="08376A17"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09" w:name="_Toc88030618"/>
      <w:r w:rsidRPr="001667DB">
        <w:rPr>
          <w:color w:val="000000" w:themeColor="text1"/>
          <w:sz w:val="22"/>
          <w:szCs w:val="22"/>
        </w:rPr>
        <w:t>Ogólne zasady wykonania robót</w:t>
      </w:r>
      <w:bookmarkEnd w:id="209"/>
      <w:r w:rsidRPr="001667DB">
        <w:rPr>
          <w:color w:val="000000" w:themeColor="text1"/>
          <w:sz w:val="22"/>
          <w:szCs w:val="22"/>
        </w:rPr>
        <w:t xml:space="preserve"> </w:t>
      </w:r>
    </w:p>
    <w:p w14:paraId="50EDA90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prowadzenia robót ziemnych podano w ST D-02.00.01 „Roboty ziemne. Wymagania ogólne”, punkt 5.  </w:t>
      </w:r>
    </w:p>
    <w:p w14:paraId="487A65FB"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0" w:name="_Toc88030619"/>
      <w:r w:rsidRPr="001667DB">
        <w:rPr>
          <w:color w:val="000000" w:themeColor="text1"/>
          <w:sz w:val="22"/>
          <w:szCs w:val="22"/>
        </w:rPr>
        <w:t>Zasady prowadzenia robót w wykopie</w:t>
      </w:r>
      <w:bookmarkEnd w:id="210"/>
      <w:r w:rsidRPr="001667DB">
        <w:rPr>
          <w:color w:val="000000" w:themeColor="text1"/>
          <w:sz w:val="22"/>
          <w:szCs w:val="22"/>
        </w:rPr>
        <w:t xml:space="preserve"> </w:t>
      </w:r>
    </w:p>
    <w:p w14:paraId="1AA7325E"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rozpoczęciem robót w wykopie należy określić rodzaj i stan gruntu, skały  lub materiału, który będzie poddany odspojeniu. Rozpoznanie jest konieczne do oceny  przydatności gruntu, skały lub materiału do budowy nasypów oraz wyboru właściwej  metody prowadzenia robót oraz sprzętu. Roboty należy prowadzić w planowy  i usystematyzowany sposób, tak aby grunty, skały i materiały przeznaczone do wbudowania w nasyp nie utraciły przydatności.  </w:t>
      </w:r>
    </w:p>
    <w:p w14:paraId="1B43EE02"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powinien wykonywać wykopy w taki sposób, aby grunty, skały i materiały  o różnym stopniu przydatności do budowy nasypów były odspajane oddzielnie, w sposób uniemożliwiający ich wymieszanie. Odstępstwo od powyższego wymagania jest możliwe jedynie za zgodą Inżyniera/Inspektora nadzoru. Łączne odspajanie gruntów, skał lub materiałów o zróżnicowanych właściwościach jest dopuszczalne jeżeli ich wymieszanie nie spowoduje pogorszenia przydatności lub gdy wskutek celowego wymieszania nastąpi poprawa ich właściwości.  </w:t>
      </w:r>
    </w:p>
    <w:p w14:paraId="180E7C80"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Robót w wykopie nie należy rozpoczynać zanim powierzchnia terenu, na której będzie wznoszony nasyp, miejsce odkładu lub miejsce czasowego składowania odspojonego gruntu, skały lub materiału nie zostanie przygotowane i zaakceptowane. Odspojone grunty, skały lub materiały przydatne do wykonania nasypów powinny być bez zbędnej zwłoki wbudowane w nasyp lub </w:t>
      </w:r>
      <w:r w:rsidRPr="001667DB">
        <w:rPr>
          <w:rFonts w:ascii="Times New Roman" w:hAnsi="Times New Roman" w:cs="Times New Roman"/>
          <w:color w:val="000000" w:themeColor="text1"/>
        </w:rPr>
        <w:lastRenderedPageBreak/>
        <w:t xml:space="preserve">przewiezione na odkład. Odspojonego gruntu, skały lub materiału nie można przewozić jeżeli w miejscu wbudowania nie zapewniono odpowiedniego sprzętu do układania i zagęszczania warstw nasypu lub odkładu. O ile Inżynier/Inspektor nadzoru dopuści czasowe składowanie odspojonych gruntów, skał lub materiałów należy je odpowiednio zabezpieczyć przed nadmiernym zawilgoceniem.  </w:t>
      </w:r>
    </w:p>
    <w:p w14:paraId="7ECAEFB2"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Sposób wykonania skarp wykopu powinien gwarantować ich stateczność w całym okresie prowadzenia robót oraz użytkowania, a naprawa uszkodzeń, wynikających  z nieprawidłowego ukształtowania skarp wykopu, ich podcięcia lub innych odstępstw  od Dokumentacji Projektowej obciąża Wykonawcę. Wysokość i pochylenie skarpy wykopu w czasie robót muszą uwzględniać stan gruntu, skały lub materiału i ich rzeczywiste właściwości w czasie prowadzenia robót. </w:t>
      </w:r>
    </w:p>
    <w:p w14:paraId="4A5A7E84"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Założone w Projekcie Geotechnicznym, o ile występuje, lub w Dokumentacji Projektowej zabezpieczenie powierzchni skarp wykopu należy wykonać najszybciej jak jest to możliwe. Naprawa uszkodzeń powierzchni skarp, wynikająca z braku ich prawidłowego zabezpieczenia obciąża Wykonawcę </w:t>
      </w:r>
    </w:p>
    <w:p w14:paraId="0CB47BBA" w14:textId="77777777" w:rsidR="00955A27" w:rsidRPr="001667DB" w:rsidRDefault="00955A27" w:rsidP="00996530">
      <w:pPr>
        <w:spacing w:after="120" w:line="360" w:lineRule="auto"/>
        <w:ind w:left="851" w:right="-10" w:hanging="851"/>
        <w:jc w:val="both"/>
        <w:rPr>
          <w:rFonts w:ascii="Times New Roman" w:hAnsi="Times New Roman" w:cs="Times New Roman"/>
          <w:color w:val="000000" w:themeColor="text1"/>
        </w:rPr>
      </w:pPr>
      <w:r w:rsidRPr="001667DB">
        <w:rPr>
          <w:rFonts w:ascii="Times New Roman" w:hAnsi="Times New Roman" w:cs="Times New Roman"/>
          <w:color w:val="000000" w:themeColor="text1"/>
        </w:rPr>
        <w:t>5.2.6.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Strome skarpy powstałe w czasie odspajania koparką gruntu lub innego materiału  nie powinny być pozostawione na dłuższy okres czasu. Jeżeli proces wykonywania wykopu nie jest ciągły, strome skarpy muszą być doprowadzone do bezpiecznego pochylenia do czasu wznowienia robót. Wysokość stromych skarp ukształtowanych w wyniku pracy koparek nie powinna być większa niż 5 metrów. Skarpy takie muszą być zabezpieczone od góry tymczasowym ogrodzeniem lub pryzmą gruntu.  </w:t>
      </w:r>
    </w:p>
    <w:p w14:paraId="02FB4605"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nie powinien dopuścić do odspojenia gruntu poza pasem wynikającym </w:t>
      </w:r>
      <w:r w:rsidR="00996530">
        <w:rPr>
          <w:rFonts w:ascii="Times New Roman" w:hAnsi="Times New Roman" w:cs="Times New Roman"/>
          <w:color w:val="000000" w:themeColor="text1"/>
        </w:rPr>
        <w:t>z </w:t>
      </w:r>
      <w:r w:rsidRPr="001667DB">
        <w:rPr>
          <w:rFonts w:ascii="Times New Roman" w:hAnsi="Times New Roman" w:cs="Times New Roman"/>
          <w:color w:val="000000" w:themeColor="text1"/>
        </w:rPr>
        <w:t>Dokumentacji Projektowej ani na głębokość większ</w:t>
      </w:r>
      <w:r w:rsidR="00996530">
        <w:rPr>
          <w:rFonts w:ascii="Times New Roman" w:hAnsi="Times New Roman" w:cs="Times New Roman"/>
          <w:color w:val="000000" w:themeColor="text1"/>
        </w:rPr>
        <w:t xml:space="preserve">ą niż określono w Dokumentacji </w:t>
      </w:r>
      <w:r w:rsidRPr="001667DB">
        <w:rPr>
          <w:rFonts w:ascii="Times New Roman" w:hAnsi="Times New Roman" w:cs="Times New Roman"/>
          <w:color w:val="000000" w:themeColor="text1"/>
        </w:rPr>
        <w:t xml:space="preserve">Projektowej. Jeżeli zaistnieje taka sytuacja należy odtworzyć zbędnie usunięte strefy </w:t>
      </w:r>
      <w:r w:rsidR="00996530">
        <w:rPr>
          <w:rFonts w:ascii="Times New Roman" w:hAnsi="Times New Roman" w:cs="Times New Roman"/>
          <w:color w:val="000000" w:themeColor="text1"/>
        </w:rPr>
        <w:t>z </w:t>
      </w:r>
      <w:r w:rsidRPr="001667DB">
        <w:rPr>
          <w:rFonts w:ascii="Times New Roman" w:hAnsi="Times New Roman" w:cs="Times New Roman"/>
          <w:color w:val="000000" w:themeColor="text1"/>
        </w:rPr>
        <w:t>materiału o nie gorszych właściwościach niż materiał rodzimy, który został odspojony.</w:t>
      </w:r>
      <w:r w:rsidR="00996530">
        <w:rPr>
          <w:rFonts w:ascii="Times New Roman" w:hAnsi="Times New Roman" w:cs="Times New Roman"/>
          <w:color w:val="000000" w:themeColor="text1"/>
        </w:rPr>
        <w:t xml:space="preserve"> W </w:t>
      </w:r>
      <w:r w:rsidRPr="001667DB">
        <w:rPr>
          <w:rFonts w:ascii="Times New Roman" w:hAnsi="Times New Roman" w:cs="Times New Roman"/>
          <w:color w:val="000000" w:themeColor="text1"/>
        </w:rPr>
        <w:t xml:space="preserve">razie potrzeby należy ocenić wpływ nadmiernego odspojenia gruntu na stateczność budowli ziemnej.  </w:t>
      </w:r>
    </w:p>
    <w:p w14:paraId="7CB9F12C"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grunt jest zamarznięty można go odspajać tylko do głębokości 0,5 m powyżej  projektowanych rzędnych górnej powierzchni podłoża gruntowego nawierzchni. </w:t>
      </w:r>
    </w:p>
    <w:p w14:paraId="04663082"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Odspojony grunt przydatny do budowy nasypu, którego czasowa nieprzydatność wynika jedynie z zamarznięcia, należy pozostawić do czasu rozmarznięcia i osuszenia, a następnie wbudować w nasyp. </w:t>
      </w:r>
    </w:p>
    <w:p w14:paraId="5F5F97A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5.2.10.</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 ile w Dokumentacji Projektowej nie określono inaczej, wykonywanie wykopów można wstrzymać na dowolnym etapie, pod warunkiem zachowania minimum 0,3 m grubości  warstwy gruntu powyżej rzędnych spodu konstrukcji nawierzchni. </w:t>
      </w:r>
    </w:p>
    <w:p w14:paraId="7149FD3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5.2.11.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Ostateczne ukształtowanie niwelety robót ziemnych w wykopie powinno być wykonane  w takim okresie, aby po zakończeniu prac można było przystąpić bezzwłocznie  do wykonania pierwszej warstwy nawierzchni. </w:t>
      </w:r>
    </w:p>
    <w:p w14:paraId="3E842A7B"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ma obowiązek zachować szczególną ostrożność w czasie odspajania gruntów w sąsiedztwie obiektów takich jak konstrukcje, budynki lub ogrodzenia.  </w:t>
      </w:r>
    </w:p>
    <w:p w14:paraId="6F5E8221"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 trakcie wykonywania robót ziemnych zostaną stwierdzone urządzenia podziemne (kable, rurociągi itp.), nie wykazane w Dokumentacji Projektowej wówczas roboty należy przerwać i powiadomić o tym fakcie Inżyniera/Inspektora nadzoru. </w:t>
      </w:r>
    </w:p>
    <w:p w14:paraId="17B316D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występowania zinwentaryzowanych urządzeń podziemnych oraz na tych  powierzchniach, gdzie zgodnie z Dokumentacją Projektową wymagana jest nienaruszona struktura gruntu podłoża, wykopy należy wykonać lub ostatecznie ukształtować  </w:t>
      </w:r>
    </w:p>
    <w:p w14:paraId="4C7FEA7B"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ich powierzchnię sposobem ręcznym. Urobek z wykopów wykonywanych ręcznie należy odkładać na powierzchni terenu w bezpiecznej odległości od krawędzi wykopu,  nie zagrażającej stateczności wykopu oraz  zapewniającej, że wydobyty grunt nie zsypie się ponownie do wykopu. Wydobyty grunt powinien stanowić zabezpieczenie przed możliwym spływem wody opadowej do wykopu. </w:t>
      </w:r>
    </w:p>
    <w:p w14:paraId="6253493F"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5.2.15.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wykop ma być wykonany w gruncie skalistym wówczas Wykonawca oceni stopień trudności prowadzenia robót i dobierze odpowiedni sposób odspojenia skały. Zasady  mechanicznego odspajania gruntów skalistych określono w punkcie 5.3. a zasady  obowiązujące podczas odspajania gruntów skalistych za pomocą materiałów wybuchowych – w punkcie 5.4. niniejszych ST. </w:t>
      </w:r>
    </w:p>
    <w:p w14:paraId="302DEA8D"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1" w:name="_Toc88030620"/>
      <w:r w:rsidRPr="001667DB">
        <w:rPr>
          <w:color w:val="000000" w:themeColor="text1"/>
          <w:sz w:val="22"/>
          <w:szCs w:val="22"/>
        </w:rPr>
        <w:t>Odspajanie mechaniczne gruntów skalistych</w:t>
      </w:r>
      <w:bookmarkEnd w:id="211"/>
      <w:r w:rsidRPr="001667DB">
        <w:rPr>
          <w:color w:val="000000" w:themeColor="text1"/>
          <w:sz w:val="22"/>
          <w:szCs w:val="22"/>
        </w:rPr>
        <w:t xml:space="preserve"> </w:t>
      </w:r>
    </w:p>
    <w:p w14:paraId="6C8BF5F1"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stan i twardość skały pozwala na jej mechaniczne odspajanie, to można tę czynność przeprowadzić: </w:t>
      </w:r>
    </w:p>
    <w:p w14:paraId="50670CC5" w14:textId="77777777" w:rsidR="00955A27" w:rsidRPr="001667DB" w:rsidRDefault="00955A27" w:rsidP="00996530">
      <w:pPr>
        <w:numPr>
          <w:ilvl w:val="0"/>
          <w:numId w:val="4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młotami mechanicznymi, które zagłębia się w grunt w celu rozsadzenia i rozłupania go,  </w:t>
      </w:r>
    </w:p>
    <w:p w14:paraId="1C61C2E7" w14:textId="77777777" w:rsidR="00955A27" w:rsidRPr="001667DB" w:rsidRDefault="00955A27" w:rsidP="00996530">
      <w:pPr>
        <w:numPr>
          <w:ilvl w:val="0"/>
          <w:numId w:val="4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zrywarkami, które rozluźniają grunt w czasie przejazdu z zagłębionymi w grunt  zębami.  </w:t>
      </w:r>
    </w:p>
    <w:p w14:paraId="6D7EC985"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5.3.2.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odspajania mechanicznego należy przestrzegać, aby:  </w:t>
      </w:r>
    </w:p>
    <w:p w14:paraId="3405D699" w14:textId="77777777" w:rsidR="00955A27" w:rsidRPr="001667DB" w:rsidRDefault="00955A27" w:rsidP="00996530">
      <w:pPr>
        <w:numPr>
          <w:ilvl w:val="0"/>
          <w:numId w:val="43"/>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głębokość naruszenia i rozluźnienia gruntu skalistego nie wykraczała poza poziom  niwelety robót ziemnych,  </w:t>
      </w:r>
    </w:p>
    <w:p w14:paraId="5F0678FB" w14:textId="77777777" w:rsidR="00955A27" w:rsidRPr="001667DB" w:rsidRDefault="00955A27" w:rsidP="00996530">
      <w:pPr>
        <w:numPr>
          <w:ilvl w:val="0"/>
          <w:numId w:val="43"/>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odbywał się ruch maszyn i środków transportowych po rozluźnionym gruncie  skalistym,  </w:t>
      </w:r>
    </w:p>
    <w:p w14:paraId="165C2761" w14:textId="77777777" w:rsidR="00955A27" w:rsidRPr="001667DB" w:rsidRDefault="00955A27" w:rsidP="00996530">
      <w:pPr>
        <w:numPr>
          <w:ilvl w:val="0"/>
          <w:numId w:val="43"/>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rozdrobnienie gruntu skalistego umożliwiało użycie środków do załadowania  lub przemieszczenia gruntu (koparek, ładowarek, spycharek, równiarek). </w:t>
      </w:r>
    </w:p>
    <w:p w14:paraId="685F60D2"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2" w:name="_Toc88030621"/>
      <w:r w:rsidRPr="001667DB">
        <w:rPr>
          <w:color w:val="000000" w:themeColor="text1"/>
          <w:sz w:val="22"/>
          <w:szCs w:val="22"/>
        </w:rPr>
        <w:lastRenderedPageBreak/>
        <w:t>Odspajanie gruntów skalistych za pomocą materiałów wybuchowych</w:t>
      </w:r>
      <w:bookmarkEnd w:id="212"/>
      <w:r w:rsidRPr="001667DB">
        <w:rPr>
          <w:color w:val="000000" w:themeColor="text1"/>
          <w:sz w:val="22"/>
          <w:szCs w:val="22"/>
        </w:rPr>
        <w:t xml:space="preserve"> </w:t>
      </w:r>
    </w:p>
    <w:p w14:paraId="2E12350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prowadzenie robót z użyciem materiałów wybuchowych, Wykonawca uzyska zgodę  właściwych instytucji, wynikającą z obowiązujących przepisów.  </w:t>
      </w:r>
    </w:p>
    <w:p w14:paraId="0B8A089F"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 zamiarze prowadzenia prac strzałowych Wykonawca powinien każdorazowo zawiadomić Inżyniera/Inspektora nadzoru i uzyskać na to jego zgodę.  </w:t>
      </w:r>
    </w:p>
    <w:p w14:paraId="49796785"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będzie prowadził księgę kontroli materiałów wybuchowych, rejestrując  przychody i rozchody tych materiałów. Odspajanie gruntów za pomocą materiałów  wybuchowych może być prowadzone tylko pod bezpośrednim dozorem uprawnionego  pracownika (strzałowego). Na terenie robót materiały wybuchowe mogą być  przetrzymywane w podręcznych składach, nie dłużej niż określono w obowiązujących  przepisach.  </w:t>
      </w:r>
    </w:p>
    <w:p w14:paraId="5185362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przystąpieniem do prac strzałowych Wykonawca ma obowiązek określić  i odpowiednio oznakować strefę zagrożenia. Wykonawca musi zadbać, poprzez podjęcie niezbędnych czynności zabezpieczających o to, aby prace strzałowe nie spowodowały zagrożenia dla zdrowia i życia ludzi, jak również uszkodzeń obiektów, urządzeń oraz środowiska naturalnego.  </w:t>
      </w:r>
    </w:p>
    <w:p w14:paraId="7E7B5207"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5.4.5.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Otwory strzałowe, ich rozmieszczenie, średnice, kierunek i głębokość powinny  </w:t>
      </w:r>
    </w:p>
    <w:p w14:paraId="5C06CAE8"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być dostosowane do przebiegu uwarstwienia skały i jej szczelinowatości, w sposób zgodny z praktyką i zasadami prowadzenia prac strzałowych. W skale spękanej można umieszczać materiał wybuchowy bezpośrednio w szczelinach. Jeśli Wykonawca nie zamierza dokonać odstrzału bezpośrednio po wywierceniu otworu, to powinien otwór zabezpieczyć przed nawilgoceniem przez zamknięcie go korkiem.  </w:t>
      </w:r>
    </w:p>
    <w:p w14:paraId="0BA30392"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Wielkości ładunków powinny być ustalone na podstawie praktyki lub obliczone  z odpowiednich wzorów. Materiał wybuchowy można załadować do otworów  po sprawdzeniu, że zostały należycie wykonane, oczyszczone i osuszone. Postępowanie  w przypadku otworów trudnych do osuszenia zostanie określone indywidualnie i zatwierdzone przez Inżyniera/Inspektora nadzoru. Rozmieszczenie ładunków w otworze strzałowym, sposób założenia naboju udarowego ze spłonką, lontem, zapalnikiem i wykonania przybitki oraz odstrzelenia ładunków, powinny być dostosowane do postulowanego efektu strzelania i wykonane zgodnie z praktyką.  </w:t>
      </w:r>
    </w:p>
    <w:p w14:paraId="07CCB0F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5.4.7.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robotach strzałowych, prowadzonych w sąsiedztwie dna wykopu i powierzchni skarp, rodzaj i miejsca założenia ładunków wybuchowych należy dobrać tak, aby nie osłabić  masywu skały poniżej projektowanej linii skarp i dna wykopu. </w:t>
      </w:r>
    </w:p>
    <w:p w14:paraId="52AE8F2F" w14:textId="77777777" w:rsidR="00955A27" w:rsidRPr="001667DB" w:rsidRDefault="00955A27" w:rsidP="00F55914">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rPr>
          <w:color w:val="000000" w:themeColor="text1"/>
          <w:sz w:val="22"/>
          <w:szCs w:val="22"/>
        </w:rPr>
      </w:pPr>
      <w:bookmarkStart w:id="213" w:name="_Toc88030622"/>
      <w:r w:rsidRPr="001667DB">
        <w:rPr>
          <w:color w:val="000000" w:themeColor="text1"/>
          <w:sz w:val="22"/>
          <w:szCs w:val="22"/>
        </w:rPr>
        <w:t>Odwodnienie wykopów</w:t>
      </w:r>
      <w:bookmarkEnd w:id="213"/>
      <w:r w:rsidRPr="001667DB">
        <w:rPr>
          <w:color w:val="000000" w:themeColor="text1"/>
          <w:sz w:val="22"/>
          <w:szCs w:val="22"/>
        </w:rPr>
        <w:t xml:space="preserve"> </w:t>
      </w:r>
    </w:p>
    <w:p w14:paraId="0DB7DD89" w14:textId="77777777" w:rsidR="00955A27" w:rsidRPr="001667DB" w:rsidRDefault="00955A27" w:rsidP="00955A27">
      <w:pPr>
        <w:spacing w:after="120" w:line="360" w:lineRule="auto"/>
        <w:ind w:left="837" w:hanging="852"/>
        <w:rPr>
          <w:rFonts w:ascii="Times New Roman" w:hAnsi="Times New Roman" w:cs="Times New Roman"/>
          <w:color w:val="000000" w:themeColor="text1"/>
        </w:rPr>
      </w:pPr>
      <w:r w:rsidRPr="001667DB">
        <w:rPr>
          <w:rFonts w:ascii="Times New Roman" w:hAnsi="Times New Roman" w:cs="Times New Roman"/>
          <w:color w:val="000000" w:themeColor="text1"/>
        </w:rPr>
        <w:t>5.5.1.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Podstawowe wymagania w zakresie odwodnienia pasa robót ziemnych podano w ST D-02.00.01. „Roboty ziemne. Wymagania ogólne”, punkt 5.7. </w:t>
      </w:r>
    </w:p>
    <w:p w14:paraId="61BA93FA" w14:textId="77777777" w:rsidR="00955A27" w:rsidRPr="001667DB" w:rsidRDefault="00955A27" w:rsidP="00996530">
      <w:pPr>
        <w:spacing w:after="120" w:line="360" w:lineRule="auto"/>
        <w:ind w:left="847" w:right="-9"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Woda opadowa i gruntowa powinny być zebrane i odprowadzone, bez powodowania  negatywnego wpływu na warunki wykonania wykopu, poprzez zastosowanie odpowiednich pochyleń, spadków, rowów i drenów. </w:t>
      </w:r>
    </w:p>
    <w:p w14:paraId="4DCBDB66"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Technologia wykonania wykopu musi umożliwiać jego prawidłowe odwodnienie w całym okresie trwania robót ziemnych. Wykonanie wykopów powinno postępować w kierunku podnoszenia się niwelety, aby umożliwić odpływ wód z wykopu. </w:t>
      </w:r>
    </w:p>
    <w:p w14:paraId="20ACC261"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 </w:t>
      </w:r>
    </w:p>
    <w:p w14:paraId="1EA9D36A"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Źródła wody, odsłonięte przy wykonywaniu wykopów, należy ująć w rowy i/lub dreny. Wody opadowe i gruntowe należy odprowadzić rowami poza teren robót. </w:t>
      </w:r>
    </w:p>
    <w:p w14:paraId="74204A9E"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nieprawidłowego odwodnienia wykonywanych robót ziemnych i pogorszenia nośności podłoża gruntowego nawierzchni Wykonawca na swój koszt doprowadzi podłoże do nośności określonej przez Projektanta w Dokumentacji Projektowej. </w:t>
      </w:r>
    </w:p>
    <w:p w14:paraId="15DB89AF"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Szczególnej uwagi pod względem odwodnienia robót wymagają odcinki przejściowe między wykopami i nasypami. </w:t>
      </w:r>
    </w:p>
    <w:p w14:paraId="223DC2D6"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jest konieczne wykonanie tymczasowych rowów odwadniających u podstawy skarp wykopu to należy je wykonać tak, aby nie stanowiły zagrożenia stateczności skarpy. Wypełnienie takich rowów powinno nastąpić niezwłocznie, kiedy przestaną być potrzebne. </w:t>
      </w:r>
    </w:p>
    <w:p w14:paraId="3668516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5.5.9.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wykonywania rowów określono w ST D-02.00.01 „Roboty ziemne. Wymagania ogólne”, punkt 5.8. </w:t>
      </w:r>
    </w:p>
    <w:p w14:paraId="5B089997"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4" w:name="_Toc88030623"/>
      <w:r w:rsidRPr="001667DB">
        <w:rPr>
          <w:color w:val="000000" w:themeColor="text1"/>
          <w:sz w:val="22"/>
          <w:szCs w:val="22"/>
        </w:rPr>
        <w:t>Wymagania dotyczące zagęszczenia i nośności podłoża gruntowego nawierzchni w wykopie i miejscach zerowych robót ziemnych</w:t>
      </w:r>
      <w:bookmarkEnd w:id="214"/>
      <w:r w:rsidRPr="001667DB">
        <w:rPr>
          <w:color w:val="000000" w:themeColor="text1"/>
          <w:sz w:val="22"/>
          <w:szCs w:val="22"/>
        </w:rPr>
        <w:t xml:space="preserve"> </w:t>
      </w:r>
    </w:p>
    <w:p w14:paraId="73F90B45"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Zagęszczanie podłoża gruntowego nawierzchni w wykopie i miejscach zerowych robót ziemnych należy przeprowadzić zgodnie z zasadami określonymi w ST D-</w:t>
      </w:r>
    </w:p>
    <w:p w14:paraId="343258F8"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02.03.01. „Roboty ziemne. Wykonanie nasypów”.  </w:t>
      </w:r>
    </w:p>
    <w:p w14:paraId="0A8BE229"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Wartości wskaźnika zagęszczenia podłoża gruntowego nawierzchni w wykopie  i w miejscach zerowych robót ziemnych powinny być nie mniejsze niż określono w Tablicy 5.1. Wskaźnik </w:t>
      </w:r>
      <w:r w:rsidRPr="001667DB">
        <w:rPr>
          <w:rFonts w:ascii="Times New Roman" w:hAnsi="Times New Roman" w:cs="Times New Roman"/>
          <w:color w:val="000000" w:themeColor="text1"/>
        </w:rPr>
        <w:lastRenderedPageBreak/>
        <w:t xml:space="preserve">zagęszczenia należy określić zgodnie z zasadami podanymi w ST D-02.00.01. „Roboty ziemne. Wymagania ogólne”, p. 5.11.1. </w:t>
      </w:r>
    </w:p>
    <w:p w14:paraId="336FFDFC" w14:textId="77777777" w:rsidR="00955A27" w:rsidRPr="001667DB" w:rsidRDefault="00955A27" w:rsidP="00996530">
      <w:pPr>
        <w:spacing w:after="120" w:line="360" w:lineRule="auto"/>
        <w:ind w:left="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A6F8423"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5.1. Minimalne wartości wskaźnika zagęszczenia w podłożu gruntowym nawierzchni w wykopach i miejscach zerowych robót ziemnych </w:t>
      </w:r>
    </w:p>
    <w:tbl>
      <w:tblPr>
        <w:tblStyle w:val="TableGrid"/>
        <w:tblW w:w="8649" w:type="dxa"/>
        <w:tblInd w:w="852" w:type="dxa"/>
        <w:tblCellMar>
          <w:top w:w="60" w:type="dxa"/>
          <w:left w:w="106" w:type="dxa"/>
          <w:right w:w="115" w:type="dxa"/>
        </w:tblCellMar>
        <w:tblLook w:val="04A0" w:firstRow="1" w:lastRow="0" w:firstColumn="1" w:lastColumn="0" w:noHBand="0" w:noVBand="1"/>
      </w:tblPr>
      <w:tblGrid>
        <w:gridCol w:w="3118"/>
        <w:gridCol w:w="2835"/>
        <w:gridCol w:w="2696"/>
      </w:tblGrid>
      <w:tr w:rsidR="00955A27" w:rsidRPr="001667DB" w14:paraId="63799D73" w14:textId="77777777">
        <w:trPr>
          <w:trHeight w:val="293"/>
        </w:trPr>
        <w:tc>
          <w:tcPr>
            <w:tcW w:w="3118" w:type="dxa"/>
            <w:vMerge w:val="restart"/>
            <w:tcBorders>
              <w:top w:val="double" w:sz="4" w:space="0" w:color="000000"/>
              <w:left w:val="double" w:sz="4" w:space="0" w:color="000000"/>
              <w:bottom w:val="double" w:sz="4" w:space="0" w:color="000000"/>
              <w:right w:val="single" w:sz="4" w:space="0" w:color="000000"/>
            </w:tcBorders>
            <w:vAlign w:val="center"/>
          </w:tcPr>
          <w:p w14:paraId="532D198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Strefa podłoża gruntowego poniżej spodu konstrukcji </w:t>
            </w:r>
          </w:p>
          <w:p w14:paraId="0438BE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nawierzchni</w:t>
            </w:r>
            <w:r w:rsidRPr="001667DB">
              <w:rPr>
                <w:rFonts w:ascii="Times New Roman" w:hAnsi="Times New Roman" w:cs="Times New Roman"/>
                <w:b/>
                <w:color w:val="000000" w:themeColor="text1"/>
              </w:rPr>
              <w:t xml:space="preserve"> </w:t>
            </w:r>
          </w:p>
        </w:tc>
        <w:tc>
          <w:tcPr>
            <w:tcW w:w="5531" w:type="dxa"/>
            <w:gridSpan w:val="2"/>
            <w:tcBorders>
              <w:top w:val="double" w:sz="4" w:space="0" w:color="000000"/>
              <w:left w:val="single" w:sz="4" w:space="0" w:color="000000"/>
              <w:bottom w:val="single" w:sz="4" w:space="0" w:color="000000"/>
              <w:right w:val="double" w:sz="4" w:space="0" w:color="000000"/>
            </w:tcBorders>
          </w:tcPr>
          <w:p w14:paraId="0FFFCD7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wartość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w:t>
            </w:r>
          </w:p>
        </w:tc>
      </w:tr>
      <w:tr w:rsidR="00955A27" w:rsidRPr="001667DB" w14:paraId="40387CD6" w14:textId="77777777">
        <w:trPr>
          <w:trHeight w:val="302"/>
        </w:trPr>
        <w:tc>
          <w:tcPr>
            <w:tcW w:w="0" w:type="auto"/>
            <w:vMerge/>
            <w:tcBorders>
              <w:top w:val="nil"/>
              <w:left w:val="double" w:sz="4" w:space="0" w:color="000000"/>
              <w:bottom w:val="nil"/>
              <w:right w:val="single" w:sz="4" w:space="0" w:color="000000"/>
            </w:tcBorders>
          </w:tcPr>
          <w:p w14:paraId="4B9A3B7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531" w:type="dxa"/>
            <w:gridSpan w:val="2"/>
            <w:tcBorders>
              <w:top w:val="single" w:sz="4" w:space="0" w:color="000000"/>
              <w:left w:val="single" w:sz="4" w:space="0" w:color="000000"/>
              <w:bottom w:val="single" w:sz="4" w:space="0" w:color="000000"/>
              <w:right w:val="double" w:sz="4" w:space="0" w:color="000000"/>
            </w:tcBorders>
          </w:tcPr>
          <w:p w14:paraId="76E81347" w14:textId="77777777" w:rsidR="00955A27" w:rsidRPr="001667DB" w:rsidRDefault="00955A27" w:rsidP="00955A27">
            <w:pPr>
              <w:spacing w:after="120" w:line="360" w:lineRule="auto"/>
              <w:ind w:left="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ruchu </w:t>
            </w:r>
          </w:p>
        </w:tc>
      </w:tr>
      <w:tr w:rsidR="00955A27" w:rsidRPr="001667DB" w14:paraId="37A4018C" w14:textId="77777777">
        <w:trPr>
          <w:trHeight w:val="876"/>
        </w:trPr>
        <w:tc>
          <w:tcPr>
            <w:tcW w:w="0" w:type="auto"/>
            <w:vMerge/>
            <w:tcBorders>
              <w:top w:val="nil"/>
              <w:left w:val="double" w:sz="4" w:space="0" w:color="000000"/>
              <w:bottom w:val="double" w:sz="4" w:space="0" w:color="000000"/>
              <w:right w:val="single" w:sz="4" w:space="0" w:color="000000"/>
            </w:tcBorders>
          </w:tcPr>
          <w:p w14:paraId="5219E2E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835" w:type="dxa"/>
            <w:tcBorders>
              <w:top w:val="single" w:sz="4" w:space="0" w:color="000000"/>
              <w:left w:val="single" w:sz="4" w:space="0" w:color="000000"/>
              <w:bottom w:val="double" w:sz="4" w:space="0" w:color="000000"/>
              <w:right w:val="single" w:sz="4" w:space="0" w:color="000000"/>
            </w:tcBorders>
            <w:vAlign w:val="center"/>
          </w:tcPr>
          <w:p w14:paraId="4622847F" w14:textId="77777777" w:rsidR="00955A27" w:rsidRPr="001667DB" w:rsidRDefault="00955A27" w:rsidP="00955A27">
            <w:pPr>
              <w:spacing w:after="120" w:line="360" w:lineRule="auto"/>
              <w:ind w:left="32" w:hanging="3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zjazdy, chodniki, ścieżki rowerowe, ciągi pieszojezdne, </w:t>
            </w:r>
          </w:p>
        </w:tc>
        <w:tc>
          <w:tcPr>
            <w:tcW w:w="2696" w:type="dxa"/>
            <w:tcBorders>
              <w:top w:val="single" w:sz="4" w:space="0" w:color="000000"/>
              <w:left w:val="single" w:sz="4" w:space="0" w:color="000000"/>
              <w:bottom w:val="double" w:sz="4" w:space="0" w:color="000000"/>
              <w:right w:val="double" w:sz="4" w:space="0" w:color="000000"/>
            </w:tcBorders>
            <w:vAlign w:val="center"/>
          </w:tcPr>
          <w:p w14:paraId="3541C80A" w14:textId="77777777" w:rsidR="00955A27" w:rsidRPr="001667DB" w:rsidRDefault="00955A27" w:rsidP="00955A27">
            <w:pPr>
              <w:spacing w:after="120" w:line="360" w:lineRule="auto"/>
              <w:ind w:left="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KR1-KR7 </w:t>
            </w:r>
          </w:p>
        </w:tc>
      </w:tr>
      <w:tr w:rsidR="00955A27" w:rsidRPr="001667DB" w14:paraId="19C8D6F8" w14:textId="77777777">
        <w:trPr>
          <w:trHeight w:val="1613"/>
        </w:trPr>
        <w:tc>
          <w:tcPr>
            <w:tcW w:w="3118" w:type="dxa"/>
            <w:tcBorders>
              <w:top w:val="double" w:sz="4" w:space="0" w:color="000000"/>
              <w:left w:val="double" w:sz="4" w:space="0" w:color="000000"/>
              <w:bottom w:val="double" w:sz="4" w:space="0" w:color="000000"/>
              <w:right w:val="single" w:sz="4" w:space="0" w:color="000000"/>
            </w:tcBorders>
            <w:vAlign w:val="center"/>
          </w:tcPr>
          <w:p w14:paraId="29DC308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głębokości  0,5 m lub do głębokości równej grubości warstwy ulepszonego podłoża, o ile występuje </w:t>
            </w:r>
          </w:p>
        </w:tc>
        <w:tc>
          <w:tcPr>
            <w:tcW w:w="2835" w:type="dxa"/>
            <w:tcBorders>
              <w:top w:val="double" w:sz="4" w:space="0" w:color="000000"/>
              <w:left w:val="single" w:sz="4" w:space="0" w:color="000000"/>
              <w:bottom w:val="double" w:sz="4" w:space="0" w:color="000000"/>
              <w:right w:val="single" w:sz="4" w:space="0" w:color="000000"/>
            </w:tcBorders>
            <w:vAlign w:val="center"/>
          </w:tcPr>
          <w:p w14:paraId="7F3D73C4" w14:textId="77777777" w:rsidR="00955A27" w:rsidRPr="001667DB" w:rsidRDefault="00955A27" w:rsidP="00955A27">
            <w:pPr>
              <w:spacing w:after="120" w:line="360" w:lineRule="auto"/>
              <w:ind w:lef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38F1B2A" w14:textId="77777777" w:rsidR="00955A27" w:rsidRPr="001667DB" w:rsidRDefault="00955A27" w:rsidP="00955A27">
            <w:pPr>
              <w:spacing w:after="120" w:line="360" w:lineRule="auto"/>
              <w:ind w:lef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41208ED" w14:textId="77777777" w:rsidR="00955A27" w:rsidRPr="001667DB" w:rsidRDefault="00955A27" w:rsidP="00955A27">
            <w:pPr>
              <w:spacing w:after="120" w:line="360" w:lineRule="auto"/>
              <w:ind w:lef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p w14:paraId="52ED50E0" w14:textId="77777777" w:rsidR="00955A27" w:rsidRPr="001667DB" w:rsidRDefault="00955A27" w:rsidP="00955A27">
            <w:pPr>
              <w:spacing w:after="120" w:line="360" w:lineRule="auto"/>
              <w:ind w:lef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2696" w:type="dxa"/>
            <w:tcBorders>
              <w:top w:val="double" w:sz="4" w:space="0" w:color="000000"/>
              <w:left w:val="single" w:sz="4" w:space="0" w:color="000000"/>
              <w:bottom w:val="double" w:sz="4" w:space="0" w:color="000000"/>
              <w:right w:val="double" w:sz="4" w:space="0" w:color="000000"/>
            </w:tcBorders>
            <w:vAlign w:val="center"/>
          </w:tcPr>
          <w:p w14:paraId="754486FA" w14:textId="77777777" w:rsidR="00955A27" w:rsidRPr="001667DB" w:rsidRDefault="00955A27" w:rsidP="00955A27">
            <w:pPr>
              <w:spacing w:after="120" w:line="360" w:lineRule="auto"/>
              <w:ind w:lef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0FB0A59" w14:textId="77777777" w:rsidR="00955A27" w:rsidRPr="001667DB" w:rsidRDefault="00955A27" w:rsidP="00955A27">
            <w:pPr>
              <w:spacing w:after="120" w:line="360" w:lineRule="auto"/>
              <w:ind w:left="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r>
    </w:tbl>
    <w:p w14:paraId="48EBAB61"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p>
    <w:p w14:paraId="141A866D"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5.6.3.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podłoże gruntowe nawierzchni (grunt rodzimy lub warstwa ulepszonego podłoża)  </w:t>
      </w:r>
    </w:p>
    <w:p w14:paraId="58A3C36F"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w wykopach i miejscach zerowych nie spełnia wymagań w zakresie minimalnej wartości wskaźnika zagęszczenia, to przed ułożeniem pierwszej warstwy konstrukcji nawierzchni należy je dogęścić do wartości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podanych w Tablicy 5.1. </w:t>
      </w:r>
    </w:p>
    <w:p w14:paraId="1D8D703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wartości wskaźnika zagęszczenia określone w tablicy 5.1 nie mogą być osiągnięte, to należy określić przyczynę i podjąć środki w celu ulepszenia gruntu podłoża nawierzchni, umożliwiające uzyskanie wymaganych wartości wskaźnika zagęszczenia. Możliwe do zastosowania środki, o ile nie są określone w ST, proponuje Wykonawca i przedstawia do akceptacji Inżyniera/Inspektora nadzoru. </w:t>
      </w:r>
    </w:p>
    <w:p w14:paraId="561791C0"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Inżynier/Inspektor nadzoru może dopuścić kontrolę zagęszczenia po ułożeniu i zagęszczeniu wyżej leżącej warstwy. W takiej sytuacji wyżej leżąca warstwa zostanie w niezbędnym zakresie usunięta w celu określenia osiągniętego wskaźnika zagęszczenia IS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 na koszt Wykonawcy. </w:t>
      </w:r>
    </w:p>
    <w:p w14:paraId="613F586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5.6.6.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Dopuszcza się ocenę stanu zagęszczenia gruntu na podstawie wartości wskaźnika  odkształcenia Io według zasad i kryteriów określonych w ST D-02.00.01 „Roboty ziemne. Wymagania ogólne” w punktach 5.11.3., 5.11.4. i 5.11.5.  </w:t>
      </w:r>
    </w:p>
    <w:p w14:paraId="56303A1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Nośność podłoża gruntowego nawierzchni należy określić na podstawie oceny wartości wtórnego modułu odkształcenia E2 oznaczonego według zasad określonych w ST  D-02.00.01 „Roboty ziemne. Wymagania ogólne” w p. 5.12.3. Wymagana wartość E2: </w:t>
      </w:r>
    </w:p>
    <w:p w14:paraId="13318529" w14:textId="77777777" w:rsidR="00955A27" w:rsidRPr="001667DB" w:rsidRDefault="00955A27" w:rsidP="00996530">
      <w:pPr>
        <w:numPr>
          <w:ilvl w:val="0"/>
          <w:numId w:val="44"/>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Dla ruchu KR3-KR7, musi być określona przez Projektanta w Dokumentacji  Projektowej, przy czym minimalna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górnej powierzchni podłoża  gruntowego nawierzchni w wykopie wynosi 50 MPa. W Dokumentacji Projektowej może zostać określona wyższa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jeżeli została ona przyjęta w projekcie  konstrukcji nawierzchni.  </w:t>
      </w:r>
    </w:p>
    <w:p w14:paraId="6DCE3295" w14:textId="77777777" w:rsidR="00955A27" w:rsidRPr="001667DB" w:rsidRDefault="00955A27" w:rsidP="00996530">
      <w:pPr>
        <w:numPr>
          <w:ilvl w:val="0"/>
          <w:numId w:val="44"/>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Dla ruchu KR1 – KR2 minimalna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górnej powierzchni podłoża gruntowego nawierzchni musi być określona przez Projektanta w Dokumentacji Projektowej. </w:t>
      </w:r>
    </w:p>
    <w:p w14:paraId="1A77834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5.6.8.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zaprojektowano wykonanie warstwy ulepszonego podłoża to przed wykonaniem ulepszenia należy określić nośność gruntu rodzimego. Wymagana wartość E2 gruntu rodzimego musi być określona przez Projektanta w Dokumentacji Projektowej. </w:t>
      </w:r>
    </w:p>
    <w:p w14:paraId="75F40C16"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Stwierdzona wartość E2 nie może być mniejsza niż przyjęta w Dokumentacji </w:t>
      </w:r>
    </w:p>
    <w:p w14:paraId="2E80AB45"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Projektowej. Jeżeli stwierdzona wartość E2 będzie mniejsza od wymaganej, to Wykonawca zaproponuje do akceptacji Inżyniera/Inspektora nadzoru sposób uzyskania wymaganej nośności. </w:t>
      </w:r>
    </w:p>
    <w:p w14:paraId="19373289"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5.6.9.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 Dokumentacji Projektowej użyto pojęcia „grupa nośności podłoża” w celu  </w:t>
      </w:r>
    </w:p>
    <w:p w14:paraId="759A7BA5"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określenia nośności gruntu rodzimego, to wartości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powierzchni gruntu rodzimego nie mogą być mniejsze niż podano w tablicy 5.2 </w:t>
      </w:r>
    </w:p>
    <w:p w14:paraId="42866CE4"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5.2 .Minimalne wartości wtórnego modułu odkształcenia E</w:t>
      </w:r>
      <w:r w:rsidRPr="001667DB">
        <w:rPr>
          <w:rFonts w:ascii="Times New Roman" w:hAnsi="Times New Roman" w:cs="Times New Roman"/>
          <w:color w:val="000000" w:themeColor="text1"/>
          <w:vertAlign w:val="subscript"/>
        </w:rPr>
        <w:t xml:space="preserve">2 </w:t>
      </w:r>
      <w:r w:rsidRPr="001667DB">
        <w:rPr>
          <w:rFonts w:ascii="Times New Roman" w:hAnsi="Times New Roman" w:cs="Times New Roman"/>
          <w:color w:val="000000" w:themeColor="text1"/>
        </w:rPr>
        <w:t xml:space="preserve">na powierzchni gruntu rodzimego w zależności od grupy nośności podłoża G </w:t>
      </w:r>
    </w:p>
    <w:tbl>
      <w:tblPr>
        <w:tblStyle w:val="TableGrid"/>
        <w:tblW w:w="8649" w:type="dxa"/>
        <w:tblInd w:w="833" w:type="dxa"/>
        <w:tblCellMar>
          <w:top w:w="54" w:type="dxa"/>
          <w:left w:w="115" w:type="dxa"/>
          <w:right w:w="115" w:type="dxa"/>
        </w:tblCellMar>
        <w:tblLook w:val="04A0" w:firstRow="1" w:lastRow="0" w:firstColumn="1" w:lastColumn="0" w:noHBand="0" w:noVBand="1"/>
      </w:tblPr>
      <w:tblGrid>
        <w:gridCol w:w="2327"/>
        <w:gridCol w:w="3161"/>
        <w:gridCol w:w="3161"/>
      </w:tblGrid>
      <w:tr w:rsidR="00955A27" w:rsidRPr="001667DB" w14:paraId="02346990" w14:textId="77777777">
        <w:trPr>
          <w:trHeight w:val="319"/>
        </w:trPr>
        <w:tc>
          <w:tcPr>
            <w:tcW w:w="2326" w:type="dxa"/>
            <w:tcBorders>
              <w:top w:val="double" w:sz="4" w:space="0" w:color="000000"/>
              <w:left w:val="double" w:sz="4" w:space="0" w:color="000000"/>
              <w:bottom w:val="single" w:sz="4" w:space="0" w:color="000000"/>
              <w:right w:val="single" w:sz="4" w:space="0" w:color="000000"/>
            </w:tcBorders>
          </w:tcPr>
          <w:p w14:paraId="3A0C3BB9" w14:textId="77777777" w:rsidR="00955A27" w:rsidRPr="001667DB" w:rsidRDefault="00955A27" w:rsidP="00996530">
            <w:pPr>
              <w:spacing w:after="120" w:line="360" w:lineRule="auto"/>
              <w:ind w:right="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3161" w:type="dxa"/>
            <w:tcBorders>
              <w:top w:val="double" w:sz="4" w:space="0" w:color="000000"/>
              <w:left w:val="single" w:sz="4" w:space="0" w:color="000000"/>
              <w:bottom w:val="single" w:sz="4" w:space="0" w:color="000000"/>
              <w:right w:val="single" w:sz="4" w:space="0" w:color="000000"/>
            </w:tcBorders>
          </w:tcPr>
          <w:p w14:paraId="025BFA55" w14:textId="77777777" w:rsidR="00955A27" w:rsidRPr="001667DB" w:rsidRDefault="00955A27" w:rsidP="00996530">
            <w:pPr>
              <w:spacing w:after="120" w:line="360" w:lineRule="auto"/>
              <w:ind w:righ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Grupa nośności podłoża </w:t>
            </w:r>
          </w:p>
        </w:tc>
        <w:tc>
          <w:tcPr>
            <w:tcW w:w="3161" w:type="dxa"/>
            <w:tcBorders>
              <w:top w:val="double" w:sz="4" w:space="0" w:color="000000"/>
              <w:left w:val="single" w:sz="4" w:space="0" w:color="000000"/>
              <w:bottom w:val="single" w:sz="4" w:space="0" w:color="000000"/>
              <w:right w:val="double" w:sz="4" w:space="0" w:color="000000"/>
            </w:tcBorders>
          </w:tcPr>
          <w:p w14:paraId="1D9F455B" w14:textId="77777777" w:rsidR="00955A27" w:rsidRPr="001667DB" w:rsidRDefault="00955A27" w:rsidP="00996530">
            <w:pPr>
              <w:spacing w:after="120" w:line="360" w:lineRule="auto"/>
              <w:ind w:right="6"/>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[MPa] </w:t>
            </w:r>
          </w:p>
        </w:tc>
      </w:tr>
      <w:tr w:rsidR="00955A27" w:rsidRPr="001667DB" w14:paraId="3B52520E" w14:textId="77777777">
        <w:trPr>
          <w:trHeight w:val="307"/>
        </w:trPr>
        <w:tc>
          <w:tcPr>
            <w:tcW w:w="2326" w:type="dxa"/>
            <w:tcBorders>
              <w:top w:val="single" w:sz="4" w:space="0" w:color="000000"/>
              <w:left w:val="double" w:sz="4" w:space="0" w:color="000000"/>
              <w:bottom w:val="single" w:sz="4" w:space="0" w:color="000000"/>
              <w:right w:val="single" w:sz="4" w:space="0" w:color="000000"/>
            </w:tcBorders>
          </w:tcPr>
          <w:p w14:paraId="2FC277F4" w14:textId="77777777" w:rsidR="00955A27" w:rsidRPr="001667DB" w:rsidRDefault="00955A27" w:rsidP="00996530">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3161" w:type="dxa"/>
            <w:tcBorders>
              <w:top w:val="single" w:sz="4" w:space="0" w:color="000000"/>
              <w:left w:val="single" w:sz="4" w:space="0" w:color="000000"/>
              <w:bottom w:val="single" w:sz="4" w:space="0" w:color="000000"/>
              <w:right w:val="single" w:sz="4" w:space="0" w:color="000000"/>
            </w:tcBorders>
          </w:tcPr>
          <w:p w14:paraId="52809FC9" w14:textId="77777777" w:rsidR="00955A27" w:rsidRPr="001667DB" w:rsidRDefault="00955A27" w:rsidP="00996530">
            <w:pPr>
              <w:spacing w:after="120" w:line="360" w:lineRule="auto"/>
              <w:ind w:right="2"/>
              <w:jc w:val="both"/>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1</w:t>
            </w:r>
            <w:r w:rsidRPr="001667DB">
              <w:rPr>
                <w:rFonts w:ascii="Times New Roman" w:hAnsi="Times New Roman" w:cs="Times New Roman"/>
                <w:color w:val="000000" w:themeColor="text1"/>
              </w:rPr>
              <w:t xml:space="preserve"> </w:t>
            </w:r>
          </w:p>
        </w:tc>
        <w:tc>
          <w:tcPr>
            <w:tcW w:w="3161" w:type="dxa"/>
            <w:tcBorders>
              <w:top w:val="single" w:sz="4" w:space="0" w:color="000000"/>
              <w:left w:val="single" w:sz="4" w:space="0" w:color="000000"/>
              <w:bottom w:val="single" w:sz="4" w:space="0" w:color="000000"/>
              <w:right w:val="double" w:sz="4" w:space="0" w:color="000000"/>
            </w:tcBorders>
          </w:tcPr>
          <w:p w14:paraId="2B7ED230" w14:textId="77777777" w:rsidR="00955A27" w:rsidRPr="001667DB" w:rsidRDefault="00955A27" w:rsidP="00996530">
            <w:pPr>
              <w:spacing w:after="120" w:line="360" w:lineRule="auto"/>
              <w:ind w:right="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80 </w:t>
            </w:r>
          </w:p>
        </w:tc>
      </w:tr>
      <w:tr w:rsidR="00955A27" w:rsidRPr="001667DB" w14:paraId="063751CD" w14:textId="77777777">
        <w:trPr>
          <w:trHeight w:val="307"/>
        </w:trPr>
        <w:tc>
          <w:tcPr>
            <w:tcW w:w="2326" w:type="dxa"/>
            <w:tcBorders>
              <w:top w:val="single" w:sz="4" w:space="0" w:color="000000"/>
              <w:left w:val="double" w:sz="4" w:space="0" w:color="000000"/>
              <w:bottom w:val="single" w:sz="4" w:space="0" w:color="000000"/>
              <w:right w:val="single" w:sz="4" w:space="0" w:color="000000"/>
            </w:tcBorders>
          </w:tcPr>
          <w:p w14:paraId="6022BC06" w14:textId="77777777" w:rsidR="00955A27" w:rsidRPr="001667DB" w:rsidRDefault="00955A27" w:rsidP="00996530">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3161" w:type="dxa"/>
            <w:tcBorders>
              <w:top w:val="single" w:sz="4" w:space="0" w:color="000000"/>
              <w:left w:val="single" w:sz="4" w:space="0" w:color="000000"/>
              <w:bottom w:val="single" w:sz="4" w:space="0" w:color="000000"/>
              <w:right w:val="single" w:sz="4" w:space="0" w:color="000000"/>
            </w:tcBorders>
          </w:tcPr>
          <w:p w14:paraId="2F942353" w14:textId="77777777" w:rsidR="00955A27" w:rsidRPr="001667DB" w:rsidRDefault="00955A27" w:rsidP="00996530">
            <w:pPr>
              <w:spacing w:after="120" w:line="360" w:lineRule="auto"/>
              <w:ind w:right="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G2 </w:t>
            </w:r>
          </w:p>
        </w:tc>
        <w:tc>
          <w:tcPr>
            <w:tcW w:w="3161" w:type="dxa"/>
            <w:tcBorders>
              <w:top w:val="single" w:sz="4" w:space="0" w:color="000000"/>
              <w:left w:val="single" w:sz="4" w:space="0" w:color="000000"/>
              <w:bottom w:val="single" w:sz="4" w:space="0" w:color="000000"/>
              <w:right w:val="double" w:sz="4" w:space="0" w:color="000000"/>
            </w:tcBorders>
          </w:tcPr>
          <w:p w14:paraId="611BE544" w14:textId="77777777" w:rsidR="00955A27" w:rsidRPr="001667DB" w:rsidRDefault="00955A27" w:rsidP="00996530">
            <w:pPr>
              <w:spacing w:after="120" w:line="360" w:lineRule="auto"/>
              <w:ind w:right="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w:t>
            </w:r>
          </w:p>
        </w:tc>
      </w:tr>
      <w:tr w:rsidR="00955A27" w:rsidRPr="001667DB" w14:paraId="5BDAB4C5" w14:textId="77777777">
        <w:trPr>
          <w:trHeight w:val="310"/>
        </w:trPr>
        <w:tc>
          <w:tcPr>
            <w:tcW w:w="2326" w:type="dxa"/>
            <w:tcBorders>
              <w:top w:val="single" w:sz="4" w:space="0" w:color="000000"/>
              <w:left w:val="double" w:sz="4" w:space="0" w:color="000000"/>
              <w:bottom w:val="single" w:sz="4" w:space="0" w:color="000000"/>
              <w:right w:val="single" w:sz="4" w:space="0" w:color="000000"/>
            </w:tcBorders>
          </w:tcPr>
          <w:p w14:paraId="1349CEC3" w14:textId="77777777" w:rsidR="00955A27" w:rsidRPr="001667DB" w:rsidRDefault="00955A27" w:rsidP="00996530">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3161" w:type="dxa"/>
            <w:tcBorders>
              <w:top w:val="single" w:sz="4" w:space="0" w:color="000000"/>
              <w:left w:val="single" w:sz="4" w:space="0" w:color="000000"/>
              <w:bottom w:val="single" w:sz="4" w:space="0" w:color="000000"/>
              <w:right w:val="single" w:sz="4" w:space="0" w:color="000000"/>
            </w:tcBorders>
          </w:tcPr>
          <w:p w14:paraId="118DC58A" w14:textId="77777777" w:rsidR="00955A27" w:rsidRPr="001667DB" w:rsidRDefault="00955A27" w:rsidP="00996530">
            <w:pPr>
              <w:spacing w:after="120" w:line="360" w:lineRule="auto"/>
              <w:ind w:right="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G3 </w:t>
            </w:r>
          </w:p>
        </w:tc>
        <w:tc>
          <w:tcPr>
            <w:tcW w:w="3161" w:type="dxa"/>
            <w:tcBorders>
              <w:top w:val="single" w:sz="4" w:space="0" w:color="000000"/>
              <w:left w:val="single" w:sz="4" w:space="0" w:color="000000"/>
              <w:bottom w:val="single" w:sz="4" w:space="0" w:color="000000"/>
              <w:right w:val="double" w:sz="4" w:space="0" w:color="000000"/>
            </w:tcBorders>
          </w:tcPr>
          <w:p w14:paraId="06E0098A" w14:textId="77777777" w:rsidR="00955A27" w:rsidRPr="001667DB" w:rsidRDefault="00955A27" w:rsidP="00996530">
            <w:pPr>
              <w:spacing w:after="120" w:line="360" w:lineRule="auto"/>
              <w:ind w:right="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35 </w:t>
            </w:r>
          </w:p>
        </w:tc>
      </w:tr>
      <w:tr w:rsidR="00955A27" w:rsidRPr="001667DB" w14:paraId="3D23D88A" w14:textId="77777777">
        <w:trPr>
          <w:trHeight w:val="319"/>
        </w:trPr>
        <w:tc>
          <w:tcPr>
            <w:tcW w:w="2326" w:type="dxa"/>
            <w:tcBorders>
              <w:top w:val="single" w:sz="4" w:space="0" w:color="000000"/>
              <w:left w:val="double" w:sz="4" w:space="0" w:color="000000"/>
              <w:bottom w:val="double" w:sz="4" w:space="0" w:color="000000"/>
              <w:right w:val="single" w:sz="4" w:space="0" w:color="000000"/>
            </w:tcBorders>
          </w:tcPr>
          <w:p w14:paraId="7055C7E6" w14:textId="77777777" w:rsidR="00955A27" w:rsidRPr="001667DB" w:rsidRDefault="00955A27" w:rsidP="00996530">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3161" w:type="dxa"/>
            <w:tcBorders>
              <w:top w:val="single" w:sz="4" w:space="0" w:color="000000"/>
              <w:left w:val="single" w:sz="4" w:space="0" w:color="000000"/>
              <w:bottom w:val="double" w:sz="4" w:space="0" w:color="000000"/>
              <w:right w:val="single" w:sz="4" w:space="0" w:color="000000"/>
            </w:tcBorders>
          </w:tcPr>
          <w:p w14:paraId="25E2B6B2" w14:textId="77777777" w:rsidR="00955A27" w:rsidRPr="001667DB" w:rsidRDefault="00955A27" w:rsidP="00996530">
            <w:pPr>
              <w:spacing w:after="120" w:line="360" w:lineRule="auto"/>
              <w:ind w:right="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G4 </w:t>
            </w:r>
          </w:p>
        </w:tc>
        <w:tc>
          <w:tcPr>
            <w:tcW w:w="3161" w:type="dxa"/>
            <w:tcBorders>
              <w:top w:val="single" w:sz="4" w:space="0" w:color="000000"/>
              <w:left w:val="single" w:sz="4" w:space="0" w:color="000000"/>
              <w:bottom w:val="double" w:sz="4" w:space="0" w:color="000000"/>
              <w:right w:val="double" w:sz="4" w:space="0" w:color="000000"/>
            </w:tcBorders>
          </w:tcPr>
          <w:p w14:paraId="05879320" w14:textId="77777777" w:rsidR="00955A27" w:rsidRPr="001667DB" w:rsidRDefault="00955A27" w:rsidP="00996530">
            <w:pPr>
              <w:spacing w:after="120" w:line="360" w:lineRule="auto"/>
              <w:ind w:right="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25 </w:t>
            </w:r>
          </w:p>
        </w:tc>
      </w:tr>
    </w:tbl>
    <w:p w14:paraId="2336FC87"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5.6.10.</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Dopuszcza się ocenę nośności w sytuacjach opisanych w punktach 5.6.7. i 5.6.8.  </w:t>
      </w:r>
    </w:p>
    <w:p w14:paraId="0F828B15"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z zastosowaniem lekkiej płyty dynamicznej LPD na zasadach określonych w ST  D-02.00.01 „Roboty ziemne. Wymagania ogólne” w punktach 5.12.4. i 5.12.5.  </w:t>
      </w:r>
    </w:p>
    <w:p w14:paraId="1E1E5569"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5" w:name="_Toc88030624"/>
      <w:r w:rsidRPr="001667DB">
        <w:rPr>
          <w:color w:val="000000" w:themeColor="text1"/>
          <w:sz w:val="22"/>
          <w:szCs w:val="22"/>
        </w:rPr>
        <w:t>Ruch budowlany</w:t>
      </w:r>
      <w:bookmarkEnd w:id="215"/>
      <w:r w:rsidRPr="001667DB">
        <w:rPr>
          <w:color w:val="000000" w:themeColor="text1"/>
          <w:sz w:val="22"/>
          <w:szCs w:val="22"/>
        </w:rPr>
        <w:t xml:space="preserve"> </w:t>
      </w:r>
    </w:p>
    <w:p w14:paraId="0CBF5A24"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należy dopuszczać ruchu budowlanego po dnie wykopu o ile grubość warstwy gruntu (nadkładu) powyżej niwelety robót ziemnych jest mniejsza niż 0,3 m. </w:t>
      </w:r>
    </w:p>
    <w:p w14:paraId="23F1C503" w14:textId="77777777" w:rsidR="00955A27" w:rsidRPr="001667DB" w:rsidRDefault="00955A27" w:rsidP="00996530">
      <w:pPr>
        <w:spacing w:after="120" w:line="360" w:lineRule="auto"/>
        <w:ind w:left="847" w:right="-9"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5.7.2.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 chwilą przystąpienia do ostatecznego profilowania dna wykopu dopuszcza  się po nim jedynie ruch maszyn wykonujących tę czynność budowlaną oraz maszyn  niezbędnych </w:t>
      </w:r>
      <w:r w:rsidRPr="001667DB">
        <w:rPr>
          <w:rFonts w:ascii="Times New Roman" w:hAnsi="Times New Roman" w:cs="Times New Roman"/>
          <w:color w:val="000000" w:themeColor="text1"/>
        </w:rPr>
        <w:tab/>
        <w:t xml:space="preserve">do </w:t>
      </w:r>
      <w:r w:rsidRPr="001667DB">
        <w:rPr>
          <w:rFonts w:ascii="Times New Roman" w:hAnsi="Times New Roman" w:cs="Times New Roman"/>
          <w:color w:val="000000" w:themeColor="text1"/>
        </w:rPr>
        <w:tab/>
        <w:t xml:space="preserve">wykonania </w:t>
      </w:r>
      <w:r w:rsidRPr="001667DB">
        <w:rPr>
          <w:rFonts w:ascii="Times New Roman" w:hAnsi="Times New Roman" w:cs="Times New Roman"/>
          <w:color w:val="000000" w:themeColor="text1"/>
        </w:rPr>
        <w:tab/>
        <w:t xml:space="preserve">pierwszej </w:t>
      </w:r>
      <w:r w:rsidRPr="001667DB">
        <w:rPr>
          <w:rFonts w:ascii="Times New Roman" w:hAnsi="Times New Roman" w:cs="Times New Roman"/>
          <w:color w:val="000000" w:themeColor="text1"/>
        </w:rPr>
        <w:tab/>
        <w:t xml:space="preserve">warstwy </w:t>
      </w:r>
      <w:r w:rsidRPr="001667DB">
        <w:rPr>
          <w:rFonts w:ascii="Times New Roman" w:hAnsi="Times New Roman" w:cs="Times New Roman"/>
          <w:color w:val="000000" w:themeColor="text1"/>
        </w:rPr>
        <w:tab/>
        <w:t xml:space="preserve">nawierzchni. </w:t>
      </w:r>
      <w:r w:rsidRPr="001667DB">
        <w:rPr>
          <w:rFonts w:ascii="Times New Roman" w:hAnsi="Times New Roman" w:cs="Times New Roman"/>
          <w:color w:val="000000" w:themeColor="text1"/>
        </w:rPr>
        <w:tab/>
        <w:t xml:space="preserve">Za </w:t>
      </w:r>
      <w:r w:rsidRPr="001667DB">
        <w:rPr>
          <w:rFonts w:ascii="Times New Roman" w:hAnsi="Times New Roman" w:cs="Times New Roman"/>
          <w:color w:val="000000" w:themeColor="text1"/>
        </w:rPr>
        <w:tab/>
        <w:t xml:space="preserve">zgodą  </w:t>
      </w:r>
    </w:p>
    <w:p w14:paraId="0D1FC4D5"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Inżyniera/ Inspektora nadzoru może odbywać się sporadyczny ruch innych pojazdów,  o ile nie spowodują uszkodzeń powierzchni korpusu ziemnego. </w:t>
      </w:r>
    </w:p>
    <w:p w14:paraId="16CED076"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5.7.3.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Naprawa uszkodzeń powierzchni robót ziemnych, wynikających z niedotrzymania  podanych powyżej warunków obciąża Wykonawcę robót ziemnych.  </w:t>
      </w:r>
    </w:p>
    <w:p w14:paraId="171FF15F"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6" w:name="_Toc88030625"/>
      <w:r w:rsidRPr="001667DB">
        <w:rPr>
          <w:color w:val="000000" w:themeColor="text1"/>
          <w:sz w:val="22"/>
          <w:szCs w:val="22"/>
        </w:rPr>
        <w:t>KONTROLA JAKOŚCI ROBÓT</w:t>
      </w:r>
      <w:bookmarkEnd w:id="216"/>
      <w:r w:rsidRPr="001667DB">
        <w:rPr>
          <w:color w:val="000000" w:themeColor="text1"/>
          <w:sz w:val="22"/>
          <w:szCs w:val="22"/>
        </w:rPr>
        <w:t xml:space="preserve"> </w:t>
      </w:r>
    </w:p>
    <w:p w14:paraId="3F7B8D52"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7" w:name="_Toc88030626"/>
      <w:r w:rsidRPr="001667DB">
        <w:rPr>
          <w:color w:val="000000" w:themeColor="text1"/>
          <w:sz w:val="22"/>
          <w:szCs w:val="22"/>
        </w:rPr>
        <w:t>Ogólne wymagania dotyczące kontroli jakości robót</w:t>
      </w:r>
      <w:bookmarkEnd w:id="217"/>
      <w:r w:rsidRPr="001667DB">
        <w:rPr>
          <w:color w:val="000000" w:themeColor="text1"/>
          <w:sz w:val="22"/>
          <w:szCs w:val="22"/>
        </w:rPr>
        <w:t xml:space="preserve"> </w:t>
      </w:r>
    </w:p>
    <w:p w14:paraId="01E96B65"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Ogólne wymagania dotyczące kontroli jakości robót oraz zakres czynności koniecznych  do wykonania przed przystąpieniem do wykonania wykopów podano w ST D-</w:t>
      </w:r>
    </w:p>
    <w:p w14:paraId="72C9A4AE"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02.00.01 „Roboty ziemne. Wymagania ogólne” punkt. 6. </w:t>
      </w:r>
    </w:p>
    <w:p w14:paraId="3CBFA0BF"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8" w:name="_Toc88030627"/>
      <w:r w:rsidRPr="001667DB">
        <w:rPr>
          <w:color w:val="000000" w:themeColor="text1"/>
          <w:sz w:val="22"/>
          <w:szCs w:val="22"/>
        </w:rPr>
        <w:t>Kontrola podczas wykonywania wykopów</w:t>
      </w:r>
      <w:bookmarkEnd w:id="218"/>
      <w:r w:rsidRPr="001667DB">
        <w:rPr>
          <w:color w:val="000000" w:themeColor="text1"/>
          <w:sz w:val="22"/>
          <w:szCs w:val="22"/>
        </w:rPr>
        <w:t xml:space="preserve"> </w:t>
      </w:r>
    </w:p>
    <w:p w14:paraId="1E86A1C5"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6.2.1.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Kontrola podczas wykonywania wykopów polega na sprawdzeniu zgodności robót  </w:t>
      </w:r>
    </w:p>
    <w:p w14:paraId="2DF8C900" w14:textId="77777777" w:rsidR="00955A27" w:rsidRPr="001667DB" w:rsidRDefault="00955A27" w:rsidP="00996530">
      <w:pPr>
        <w:spacing w:after="120" w:line="360" w:lineRule="auto"/>
        <w:ind w:left="86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 wykonanej budowli ziemnej z wymaganiami określonymi w Dokumentacji Projektowej  i STWiORB opracowanych na podstawie niniejszych ST. W czasie kontroli robót w wykopach szczególną uwagę należy zwrócić na: </w:t>
      </w:r>
    </w:p>
    <w:p w14:paraId="3C43D4F3"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sposób odspajania gruntów nie pogarszający ich właściwości, </w:t>
      </w:r>
    </w:p>
    <w:p w14:paraId="114D40DA"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stateczności skarp, </w:t>
      </w:r>
    </w:p>
    <w:p w14:paraId="5BBDA51D"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wykopów w czasie wykonywania robót i po ich zakończeniu, </w:t>
      </w:r>
    </w:p>
    <w:p w14:paraId="1574330A"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dokładność wykonania wykopów (usytuowanie i wykończenie), </w:t>
      </w:r>
    </w:p>
    <w:p w14:paraId="25D6B085"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zagęszczenie górnej strefy korpusu w wykopie wg wymagań wskazanych w punkcie 5.6. </w:t>
      </w:r>
    </w:p>
    <w:p w14:paraId="383EA666" w14:textId="77777777" w:rsidR="00955A27" w:rsidRPr="001667DB" w:rsidRDefault="00955A27" w:rsidP="00996530">
      <w:pPr>
        <w:numPr>
          <w:ilvl w:val="0"/>
          <w:numId w:val="4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bezpieczeństwo prowadzenia prac strzałowych o ile wykop wykonywany był w gruntach skalistych. </w:t>
      </w:r>
    </w:p>
    <w:p w14:paraId="568266DA"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czasie realizacji robót Wykonawca ma obowiązek kontrolować przydatność gruntów, skał lub materiałów pozyskiwanych z wykopu do budowy nasypu, z uwzględnieniem wymagań </w:t>
      </w:r>
      <w:r w:rsidRPr="001667DB">
        <w:rPr>
          <w:rFonts w:ascii="Times New Roman" w:hAnsi="Times New Roman" w:cs="Times New Roman"/>
          <w:color w:val="000000" w:themeColor="text1"/>
        </w:rPr>
        <w:lastRenderedPageBreak/>
        <w:t xml:space="preserve">określonych w ST  D-02.00.01 „Roboty ziemne. Wymagania ogólne”, punkt 2 oraz w Dokumentacji Projektowej.  </w:t>
      </w:r>
    </w:p>
    <w:p w14:paraId="63B0A431"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19" w:name="_Toc88030628"/>
      <w:r w:rsidRPr="001667DB">
        <w:rPr>
          <w:color w:val="000000" w:themeColor="text1"/>
          <w:sz w:val="22"/>
          <w:szCs w:val="22"/>
        </w:rPr>
        <w:t>Badania i pomiary do odbioru wykopów</w:t>
      </w:r>
      <w:bookmarkEnd w:id="219"/>
      <w:r w:rsidRPr="001667DB">
        <w:rPr>
          <w:color w:val="000000" w:themeColor="text1"/>
          <w:sz w:val="22"/>
          <w:szCs w:val="22"/>
        </w:rPr>
        <w:t xml:space="preserve"> </w:t>
      </w:r>
    </w:p>
    <w:p w14:paraId="0A97D454"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6.3.1.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do odbioru korpusu ziemnego należy wykonać według zasad i wymagań   oraz z częstotliwością określoną w ST D-02.00.01 „Roboty ziemne. Wymagania ogólne”, punkt 6 i wymagań określonych w  punkcie 5 niniejszych ST. </w:t>
      </w:r>
    </w:p>
    <w:p w14:paraId="7DB95CE6"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0" w:name="_Toc88030629"/>
      <w:r w:rsidRPr="001667DB">
        <w:rPr>
          <w:color w:val="000000" w:themeColor="text1"/>
          <w:sz w:val="22"/>
          <w:szCs w:val="22"/>
        </w:rPr>
        <w:t>OBMIAR ROBÓT</w:t>
      </w:r>
      <w:bookmarkEnd w:id="220"/>
      <w:r w:rsidRPr="001667DB">
        <w:rPr>
          <w:color w:val="000000" w:themeColor="text1"/>
          <w:sz w:val="22"/>
          <w:szCs w:val="22"/>
        </w:rPr>
        <w:t xml:space="preserve"> </w:t>
      </w:r>
    </w:p>
    <w:p w14:paraId="4B2DE136"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1" w:name="_Toc88030630"/>
      <w:r w:rsidRPr="001667DB">
        <w:rPr>
          <w:color w:val="000000" w:themeColor="text1"/>
          <w:sz w:val="22"/>
          <w:szCs w:val="22"/>
        </w:rPr>
        <w:t>Ogólne zasady obmiaru robót</w:t>
      </w:r>
      <w:bookmarkEnd w:id="221"/>
      <w:r w:rsidRPr="001667DB">
        <w:rPr>
          <w:color w:val="000000" w:themeColor="text1"/>
          <w:sz w:val="22"/>
          <w:szCs w:val="22"/>
        </w:rPr>
        <w:t xml:space="preserve"> </w:t>
      </w:r>
    </w:p>
    <w:p w14:paraId="3A259F9F"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7.1.1.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obmiaru robót podano w ST D-M 00.00.00 "Wymagania Ogólne" punkt. 7 </w:t>
      </w:r>
    </w:p>
    <w:p w14:paraId="506969C8"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2" w:name="_Toc88030631"/>
      <w:r w:rsidRPr="001667DB">
        <w:rPr>
          <w:color w:val="000000" w:themeColor="text1"/>
          <w:sz w:val="22"/>
          <w:szCs w:val="22"/>
        </w:rPr>
        <w:t>Jednostka obmiarowa</w:t>
      </w:r>
      <w:bookmarkEnd w:id="222"/>
      <w:r w:rsidRPr="001667DB">
        <w:rPr>
          <w:color w:val="000000" w:themeColor="text1"/>
          <w:sz w:val="22"/>
          <w:szCs w:val="22"/>
        </w:rPr>
        <w:t xml:space="preserve"> </w:t>
      </w:r>
    </w:p>
    <w:p w14:paraId="770C0162"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7.3.1.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Jednostką obmiarową jest metr sześcienny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wykonanych wykopów. </w:t>
      </w:r>
    </w:p>
    <w:p w14:paraId="229E03BD"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3" w:name="_Toc88030632"/>
      <w:r w:rsidRPr="001667DB">
        <w:rPr>
          <w:color w:val="000000" w:themeColor="text1"/>
          <w:sz w:val="22"/>
          <w:szCs w:val="22"/>
        </w:rPr>
        <w:t>ODBIÓR ROBÓT</w:t>
      </w:r>
      <w:bookmarkEnd w:id="223"/>
      <w:r w:rsidRPr="001667DB">
        <w:rPr>
          <w:color w:val="000000" w:themeColor="text1"/>
          <w:sz w:val="22"/>
          <w:szCs w:val="22"/>
        </w:rPr>
        <w:t xml:space="preserve"> </w:t>
      </w:r>
    </w:p>
    <w:p w14:paraId="23023C4F"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4" w:name="_Toc88030633"/>
      <w:r w:rsidRPr="001667DB">
        <w:rPr>
          <w:color w:val="000000" w:themeColor="text1"/>
          <w:sz w:val="22"/>
          <w:szCs w:val="22"/>
        </w:rPr>
        <w:t>Ogólne zasady odbioru robót</w:t>
      </w:r>
      <w:bookmarkEnd w:id="224"/>
      <w:r w:rsidRPr="001667DB">
        <w:rPr>
          <w:color w:val="000000" w:themeColor="text1"/>
          <w:sz w:val="22"/>
          <w:szCs w:val="22"/>
        </w:rPr>
        <w:t xml:space="preserve"> </w:t>
      </w:r>
    </w:p>
    <w:p w14:paraId="27D0639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odbioru robót podano w ST D-M 00.00.00 „Wymagania Ogólne” punkt 8.  </w:t>
      </w:r>
    </w:p>
    <w:p w14:paraId="008956E0"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ziemne uznaje się za wykonane zgodnie z Dokumentacją Projektową, ST i wymaganiami Inżyniera/Inspektora Nadzoru, jeżeli wszystkie pomiary i badania  wg pkt. 5 i 6 niniejszych ST dały wyniki pozytywne. </w:t>
      </w:r>
    </w:p>
    <w:p w14:paraId="2FD679A3"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520526C6"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5" w:name="_Toc88030634"/>
      <w:r w:rsidRPr="001667DB">
        <w:rPr>
          <w:color w:val="000000" w:themeColor="text1"/>
          <w:sz w:val="22"/>
          <w:szCs w:val="22"/>
        </w:rPr>
        <w:t>Odbiór robót zanikających lub ulegających zakryciu</w:t>
      </w:r>
      <w:bookmarkEnd w:id="225"/>
      <w:r w:rsidRPr="001667DB">
        <w:rPr>
          <w:color w:val="000000" w:themeColor="text1"/>
          <w:sz w:val="22"/>
          <w:szCs w:val="22"/>
        </w:rPr>
        <w:t xml:space="preserve"> </w:t>
      </w:r>
    </w:p>
    <w:p w14:paraId="2AAD66FD"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tych robót powinien być zgodny z wymaganiami punktu 8.2 ST DM- 00.00.00 "Wymagania Ogólne" oraz niniejszych ST. </w:t>
      </w:r>
    </w:p>
    <w:p w14:paraId="5954CD07"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 </w:t>
      </w:r>
    </w:p>
    <w:p w14:paraId="254A6C92"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Jakość i ilość robót ulegających zakryciu ocenia Inżynier/Inspektor Nadzoru na podstawie dokumentów zawierających komplet wyników badań laboratoryjnych i w oparciu o przeprowadzone pomiary. </w:t>
      </w:r>
    </w:p>
    <w:p w14:paraId="3333ED83"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6" w:name="_Toc88030635"/>
      <w:r w:rsidRPr="001667DB">
        <w:rPr>
          <w:color w:val="000000" w:themeColor="text1"/>
          <w:sz w:val="22"/>
          <w:szCs w:val="22"/>
        </w:rPr>
        <w:lastRenderedPageBreak/>
        <w:t>Odbiór częściowy</w:t>
      </w:r>
      <w:bookmarkEnd w:id="226"/>
      <w:r w:rsidRPr="001667DB">
        <w:rPr>
          <w:color w:val="000000" w:themeColor="text1"/>
          <w:sz w:val="22"/>
          <w:szCs w:val="22"/>
        </w:rPr>
        <w:t xml:space="preserve"> </w:t>
      </w:r>
    </w:p>
    <w:p w14:paraId="6A2B9793"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częściowy polega na ocenie ilości i jakości wykonanych części robót. Odbioru częściowego robót dokonuje się wg zasad jak przy odbiorze ostatecznym robót. Odbioru robót dokonuje Inżynier/Inspektor Nadzoru. </w:t>
      </w:r>
    </w:p>
    <w:p w14:paraId="2562CC34"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7" w:name="_Toc88030636"/>
      <w:r w:rsidRPr="001667DB">
        <w:rPr>
          <w:color w:val="000000" w:themeColor="text1"/>
          <w:sz w:val="22"/>
          <w:szCs w:val="22"/>
        </w:rPr>
        <w:t>Odbiór ostateczny</w:t>
      </w:r>
      <w:bookmarkEnd w:id="227"/>
      <w:r w:rsidRPr="001667DB">
        <w:rPr>
          <w:color w:val="000000" w:themeColor="text1"/>
          <w:sz w:val="22"/>
          <w:szCs w:val="22"/>
        </w:rPr>
        <w:t xml:space="preserve"> </w:t>
      </w:r>
    </w:p>
    <w:p w14:paraId="5A40ACA6" w14:textId="77777777" w:rsidR="00955A27" w:rsidRPr="001667DB" w:rsidRDefault="00955A27" w:rsidP="00996530">
      <w:pPr>
        <w:spacing w:after="120" w:line="360" w:lineRule="auto"/>
        <w:ind w:left="847" w:right="-9" w:hanging="862"/>
        <w:jc w:val="both"/>
        <w:rPr>
          <w:rFonts w:ascii="Times New Roman" w:hAnsi="Times New Roman" w:cs="Times New Roman"/>
          <w:color w:val="000000" w:themeColor="text1"/>
        </w:rPr>
      </w:pPr>
      <w:r w:rsidRPr="001667DB">
        <w:rPr>
          <w:rFonts w:ascii="Times New Roman" w:hAnsi="Times New Roman" w:cs="Times New Roman"/>
          <w:color w:val="000000" w:themeColor="text1"/>
        </w:rPr>
        <w:t>8.4.1.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objęte niniejszymi ST podlegają odbiorowi na zasadzie robót zanikających i ulegających zakryciu, który jest dokonywany na podstawie wyników pomiarów, badań i oceny wizualnej. </w:t>
      </w:r>
    </w:p>
    <w:p w14:paraId="7E2C3A43"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Wykonawca przedstawia wszystkie dokumenty z bieżącej kontroli jakości robót oraz Dokumentację Projektową z naniesionymi zmianami i uzupełnieniami dokonanymi w trakcie robót (dokumentację powykonawczą).  </w:t>
      </w:r>
    </w:p>
    <w:p w14:paraId="01C41401"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Podstawą odbioru ostatecznego jest pisemne stwierdzenie przez Inspektora Nadzoru w Dzienniku Budowy zakończenia wszystkich robót związanych z niniejszymi ST, a także spełnienie wymagań określonych w dokumentacji projektowej i niniejszych Warunków Wykonania. </w:t>
      </w:r>
    </w:p>
    <w:p w14:paraId="5A4020FC"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8" w:name="_Toc88030637"/>
      <w:r w:rsidRPr="001667DB">
        <w:rPr>
          <w:b w:val="0"/>
          <w:color w:val="000000" w:themeColor="text1"/>
          <w:sz w:val="22"/>
          <w:szCs w:val="22"/>
        </w:rPr>
        <w:t>Zasady postępowania z wadliwie wykonanymi robotami</w:t>
      </w:r>
      <w:bookmarkEnd w:id="228"/>
      <w:r w:rsidRPr="001667DB">
        <w:rPr>
          <w:b w:val="0"/>
          <w:color w:val="000000" w:themeColor="text1"/>
          <w:sz w:val="22"/>
          <w:szCs w:val="22"/>
        </w:rPr>
        <w:t xml:space="preserve"> </w:t>
      </w:r>
    </w:p>
    <w:p w14:paraId="693E4D59"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wystąpią wyniki negatywne dla materiałów i robót (nie spełniające wymagań określonych w ST i opracowanych na ich podstawie STWiORB), to Inżynier/Inspektor Nadzoru/Zamawiający wydaje Wykonawcy polecenie przedstawienia programu naprawczego, chyba że na wniosek jednej ze stron kontraktu zostaną wykonane badania lub pomiary arbitrażowe (zgodnie z pkt. 6.1.5 niniejszego ST), a ich wyniki będą pozytywne. Wykonawca w programie tym jest zobowiązany dokonać oceny wpływu na trwałość, przedstawić sposób naprawienia wady lub wnioskować o zredukowanie ceny kontraktowej. </w:t>
      </w:r>
    </w:p>
    <w:p w14:paraId="162A2C19"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zastosowanie programu naprawczego wyraża zgodę Inżynier/Inspektor Nadzoru/Zamawiający.  </w:t>
      </w:r>
    </w:p>
    <w:p w14:paraId="6AEA699C"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braku zgody Inżyniera/Inspektora Nadzoru/Zamawiającego na zastosowanie programu naprawczego wszystkie materiały i roboty nie spełniające wymagań podanych w odpowiednich punktach ST zostaną odrzucone. Wykonawca wymieni materiały na właściwe i wykona prawidłowo roboty na własny koszt. </w:t>
      </w:r>
    </w:p>
    <w:p w14:paraId="3DE27E2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8.5.4.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wymiana materiałów niespełniających wymagań lub wadliwie wykonane roboty spowodowują szkodę w innych, prawidłowo wykonanych robotach, to również te roboty powinny być ponownie wykonane przez Wykonawcę na jego koszt.</w:t>
      </w:r>
    </w:p>
    <w:p w14:paraId="350EA15E"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29" w:name="_Toc88030638"/>
      <w:r w:rsidRPr="001667DB">
        <w:rPr>
          <w:color w:val="000000" w:themeColor="text1"/>
          <w:sz w:val="22"/>
          <w:szCs w:val="22"/>
        </w:rPr>
        <w:lastRenderedPageBreak/>
        <w:t>PODSTAWA PŁATNOŚCI</w:t>
      </w:r>
      <w:bookmarkEnd w:id="229"/>
      <w:r w:rsidRPr="001667DB">
        <w:rPr>
          <w:color w:val="000000" w:themeColor="text1"/>
          <w:sz w:val="22"/>
          <w:szCs w:val="22"/>
        </w:rPr>
        <w:t xml:space="preserve"> </w:t>
      </w:r>
    </w:p>
    <w:p w14:paraId="0D516F04"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0" w:name="_Toc88030639"/>
      <w:r w:rsidRPr="001667DB">
        <w:rPr>
          <w:color w:val="000000" w:themeColor="text1"/>
          <w:sz w:val="22"/>
          <w:szCs w:val="22"/>
        </w:rPr>
        <w:t>Ogólne ustalenia dotyczące podstawy płatności</w:t>
      </w:r>
      <w:bookmarkEnd w:id="230"/>
      <w:r w:rsidRPr="001667DB">
        <w:rPr>
          <w:color w:val="000000" w:themeColor="text1"/>
          <w:sz w:val="22"/>
          <w:szCs w:val="22"/>
        </w:rPr>
        <w:t xml:space="preserve"> </w:t>
      </w:r>
    </w:p>
    <w:p w14:paraId="081C9418" w14:textId="77777777" w:rsidR="00955A27" w:rsidRPr="001667DB" w:rsidRDefault="00955A27" w:rsidP="00996530">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9.1.1.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ustalenia dotyczące podstawy płatności podano w ST D-02.00.01 „Roboty ziemne. Wymagania ogólne” punkt 9. </w:t>
      </w:r>
    </w:p>
    <w:p w14:paraId="4B6A1391"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1" w:name="_Toc88030640"/>
      <w:r w:rsidRPr="001667DB">
        <w:rPr>
          <w:color w:val="000000" w:themeColor="text1"/>
          <w:sz w:val="22"/>
          <w:szCs w:val="22"/>
        </w:rPr>
        <w:t>Cena jednostki obmiarowej</w:t>
      </w:r>
      <w:bookmarkEnd w:id="231"/>
      <w:r w:rsidRPr="001667DB">
        <w:rPr>
          <w:color w:val="000000" w:themeColor="text1"/>
          <w:sz w:val="22"/>
          <w:szCs w:val="22"/>
        </w:rPr>
        <w:t xml:space="preserve"> </w:t>
      </w:r>
    </w:p>
    <w:p w14:paraId="3F7D7A04"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9.2.1.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Cena wykonania 1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wykopu w gruntach nieskalistych obejmuje: </w:t>
      </w:r>
    </w:p>
    <w:p w14:paraId="4BBECB36"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7186B5B3"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57F5811F"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wykopu z transportem urobku na nasyp lub odkład, obejmujące: </w:t>
      </w:r>
    </w:p>
    <w:p w14:paraId="00676E16" w14:textId="77777777" w:rsidR="00955A27" w:rsidRPr="001667DB" w:rsidRDefault="00955A27" w:rsidP="00996530">
      <w:pPr>
        <w:spacing w:after="120" w:line="360" w:lineRule="auto"/>
        <w:ind w:left="2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odspojenie, przemieszczenie, załadunek, przewiezienie i wyładunek, </w:t>
      </w:r>
    </w:p>
    <w:p w14:paraId="1AF70415"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wykopu na czas jego wykonywania,  </w:t>
      </w:r>
    </w:p>
    <w:p w14:paraId="1164550D"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utrzymywanie drożności rowów w trakcie inwestycji w zakresie funkcjonowania  istniejącego układu odwodnienia, </w:t>
      </w:r>
    </w:p>
    <w:p w14:paraId="511F9728"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profilowanie dna wykopu, rowów, skarp według Dokumentacji Projektowej, </w:t>
      </w:r>
    </w:p>
    <w:p w14:paraId="43F6C5A7"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osuszenie podłoża, jeżeli jest przewilgocone, oraz jego wzmocnienie, jeżeli jest konieczne; </w:t>
      </w:r>
    </w:p>
    <w:p w14:paraId="6D0975A0"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zagęszczenie powierzchni wykopu (doprowadzenie podłoża rodzinnego do określonych Dokumentacja Projektową wymagań),  </w:t>
      </w:r>
    </w:p>
    <w:p w14:paraId="1EF272CA"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laboratoryjnych, wymaganych w ST, </w:t>
      </w:r>
    </w:p>
    <w:p w14:paraId="562A6601"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koszty legalnego umiejscowienia odkładu, </w:t>
      </w:r>
    </w:p>
    <w:p w14:paraId="33981E2A"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rozplantowanie urobku na odkładzie,  </w:t>
      </w:r>
    </w:p>
    <w:p w14:paraId="6DC9F703"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utrzymanie a następnie rozebranie dróg dojazdowych i/lub technologicznych, </w:t>
      </w:r>
    </w:p>
    <w:p w14:paraId="78163269"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przywrócenie do stanu pierwotnego istniejącego terenu, </w:t>
      </w:r>
    </w:p>
    <w:p w14:paraId="0698DDF5"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wszelkie inne czynności związane z prawidłowym wykonaniem robót zgodnie z wymaganiami niniejszych ST. </w:t>
      </w:r>
    </w:p>
    <w:p w14:paraId="3187C491"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9.2.2.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Cena wykonania 1 m3 wykopu w gruntach skalistych obejmuje: </w:t>
      </w:r>
    </w:p>
    <w:p w14:paraId="408CA9DF"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6F5D9684"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7464433B"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odspojenie skały przy użyciu materiałów wybuchowych lub przy użyciu sprzętu  mechanicznego (pneumatycznego, elektrycznego, spalinowego), </w:t>
      </w:r>
    </w:p>
    <w:p w14:paraId="4574233F"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wykopu na czas jego wykonywania, </w:t>
      </w:r>
    </w:p>
    <w:p w14:paraId="1379089F"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utrzymywanie drożności rowów w trakcie inwestycji w zakresie funkcjonowania  istniejącego układu odwodnienia, </w:t>
      </w:r>
    </w:p>
    <w:p w14:paraId="254C8259"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rozdrobnienie materiału, </w:t>
      </w:r>
    </w:p>
    <w:p w14:paraId="033147DC"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załadunek i odwiezienie urobku na odkład, </w:t>
      </w:r>
    </w:p>
    <w:p w14:paraId="149E66E4"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koszty legalnego umiejscowienia odkładu, </w:t>
      </w:r>
    </w:p>
    <w:p w14:paraId="1BDDF380"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rozplantowanie urobku na odkładzie, </w:t>
      </w:r>
    </w:p>
    <w:p w14:paraId="2CD34899"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profilowanie dna wykopu, rowów, skarp według Dokumentacji Projektowej, </w:t>
      </w:r>
    </w:p>
    <w:p w14:paraId="4094D9EB"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doprowadzenie podłoża rodzinnego do określonych Dokumentacja Projektową  wymagań, </w:t>
      </w:r>
    </w:p>
    <w:p w14:paraId="2978D906"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laboratoryjnych wymaganych w ST, </w:t>
      </w:r>
    </w:p>
    <w:p w14:paraId="1C2A8E0E"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utrzymanie a następnie rozebranie dróg dojazdowych i/lub  technologicznych, </w:t>
      </w:r>
    </w:p>
    <w:p w14:paraId="27985E84"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rekultywację terenu, </w:t>
      </w:r>
    </w:p>
    <w:p w14:paraId="1B6EC6F8"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bezpieczeństwa prowadzonych robót. </w:t>
      </w:r>
      <w:r w:rsidRPr="001667DB">
        <w:rPr>
          <w:rFonts w:ascii="Times New Roman" w:hAnsi="Times New Roman" w:cs="Times New Roman"/>
          <w:color w:val="000000" w:themeColor="text1"/>
        </w:rPr>
        <w:tab/>
        <w:t xml:space="preserve"> </w:t>
      </w:r>
    </w:p>
    <w:p w14:paraId="03D3E9D8" w14:textId="77777777" w:rsidR="00955A27" w:rsidRPr="001667DB" w:rsidRDefault="00955A27" w:rsidP="00996530">
      <w:pPr>
        <w:numPr>
          <w:ilvl w:val="0"/>
          <w:numId w:val="46"/>
        </w:numPr>
        <w:spacing w:after="120" w:line="360" w:lineRule="auto"/>
        <w:ind w:left="1418" w:hanging="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wszelkie inne czynności związane z prawidłowym wykonaniem robót zgodnie z wymaganiami niniejszych ST. </w:t>
      </w:r>
    </w:p>
    <w:p w14:paraId="73BEBD76" w14:textId="77777777" w:rsidR="00955A27" w:rsidRPr="001667DB" w:rsidRDefault="00955A27" w:rsidP="00996530">
      <w:pPr>
        <w:pStyle w:val="Nagwek2"/>
        <w:keepLines/>
        <w:numPr>
          <w:ilvl w:val="1"/>
          <w:numId w:val="48"/>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2" w:name="_Toc88030641"/>
      <w:r w:rsidRPr="001667DB">
        <w:rPr>
          <w:color w:val="000000" w:themeColor="text1"/>
          <w:sz w:val="22"/>
          <w:szCs w:val="22"/>
        </w:rPr>
        <w:t>Sposób rozliczenia robót tymczasowych i prac towarzyszących</w:t>
      </w:r>
      <w:bookmarkEnd w:id="232"/>
      <w:r w:rsidRPr="001667DB">
        <w:rPr>
          <w:color w:val="000000" w:themeColor="text1"/>
          <w:sz w:val="22"/>
          <w:szCs w:val="22"/>
        </w:rPr>
        <w:t xml:space="preserve"> </w:t>
      </w:r>
    </w:p>
    <w:p w14:paraId="77774855"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robót określonych niniejszymi ST obejmuje: </w:t>
      </w:r>
    </w:p>
    <w:p w14:paraId="361ED772" w14:textId="77777777" w:rsidR="00955A27" w:rsidRPr="001667DB" w:rsidRDefault="00955A27" w:rsidP="00996530">
      <w:pPr>
        <w:numPr>
          <w:ilvl w:val="0"/>
          <w:numId w:val="4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tymczasowe, które są potrzebne do wykonania robót podstawowych, ale nie są przekazywane Zamawiającemu i są usuwane po wykonaniu robót podstawowych, </w:t>
      </w:r>
    </w:p>
    <w:p w14:paraId="583BFFE9" w14:textId="77777777" w:rsidR="00955A27" w:rsidRPr="001667DB" w:rsidRDefault="00955A27" w:rsidP="00996530">
      <w:pPr>
        <w:numPr>
          <w:ilvl w:val="0"/>
          <w:numId w:val="4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towarzyszące, które są niezbędne do wykonania robót podstawowych, niezaliczane do robót tymczasowych, jak geodezyjne wytyczenie robót itd. </w:t>
      </w:r>
    </w:p>
    <w:p w14:paraId="10D58323"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6A1481FF" w14:textId="77777777" w:rsidR="00955A27" w:rsidRPr="001667DB" w:rsidRDefault="00955A27" w:rsidP="00996530">
      <w:pPr>
        <w:pStyle w:val="Nagwek1"/>
        <w:keepLines/>
        <w:numPr>
          <w:ilvl w:val="0"/>
          <w:numId w:val="48"/>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3" w:name="_Toc88030642"/>
      <w:r w:rsidRPr="001667DB">
        <w:rPr>
          <w:color w:val="000000" w:themeColor="text1"/>
          <w:sz w:val="22"/>
          <w:szCs w:val="22"/>
        </w:rPr>
        <w:t>PRZEPISY ZWIĄZANE</w:t>
      </w:r>
      <w:bookmarkEnd w:id="233"/>
      <w:r w:rsidRPr="001667DB">
        <w:rPr>
          <w:color w:val="000000" w:themeColor="text1"/>
          <w:sz w:val="22"/>
          <w:szCs w:val="22"/>
        </w:rPr>
        <w:t xml:space="preserve"> </w:t>
      </w:r>
    </w:p>
    <w:p w14:paraId="2FCBFAE4" w14:textId="77777777" w:rsidR="00955A27" w:rsidRPr="001667DB" w:rsidRDefault="00955A27" w:rsidP="00996530">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Przepisy związane podano w ST D-02.00.01 „Roboty ziemne. Wymagania ogólne”, punkt </w:t>
      </w:r>
    </w:p>
    <w:p w14:paraId="3F64BBD8" w14:textId="77777777" w:rsidR="00D1442B" w:rsidRPr="001667DB" w:rsidRDefault="00D1442B">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16871E18" w14:textId="77777777" w:rsidR="0021688B" w:rsidRPr="00326BBF" w:rsidRDefault="0021688B" w:rsidP="00996530">
      <w:pPr>
        <w:pStyle w:val="Nagwek1"/>
        <w:spacing w:line="360" w:lineRule="auto"/>
        <w:ind w:left="2124" w:hanging="2124"/>
        <w:jc w:val="both"/>
        <w:rPr>
          <w:color w:val="000000" w:themeColor="text1"/>
          <w:sz w:val="22"/>
          <w:szCs w:val="22"/>
          <w:lang w:val="pl-PL"/>
        </w:rPr>
      </w:pPr>
      <w:r w:rsidRPr="00326BBF">
        <w:rPr>
          <w:color w:val="000000" w:themeColor="text1"/>
          <w:sz w:val="22"/>
          <w:szCs w:val="22"/>
          <w:lang w:val="pl-PL"/>
        </w:rPr>
        <w:lastRenderedPageBreak/>
        <w:t>D.02.03.01.</w:t>
      </w:r>
      <w:r w:rsidRPr="00326BBF">
        <w:rPr>
          <w:color w:val="000000" w:themeColor="text1"/>
          <w:sz w:val="22"/>
          <w:szCs w:val="22"/>
          <w:lang w:val="pl-PL"/>
        </w:rPr>
        <w:tab/>
        <w:t>WYKONANIE NasYPÓW</w:t>
      </w:r>
    </w:p>
    <w:p w14:paraId="589A4347"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4" w:name="_Toc30019"/>
      <w:r w:rsidRPr="001667DB">
        <w:rPr>
          <w:color w:val="000000" w:themeColor="text1"/>
          <w:sz w:val="22"/>
          <w:szCs w:val="22"/>
        </w:rPr>
        <w:t xml:space="preserve">WSTĘP </w:t>
      </w:r>
      <w:bookmarkEnd w:id="234"/>
    </w:p>
    <w:p w14:paraId="3113DC5A"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5" w:name="_Toc30021"/>
      <w:r w:rsidRPr="001667DB">
        <w:rPr>
          <w:color w:val="000000" w:themeColor="text1"/>
          <w:sz w:val="22"/>
          <w:szCs w:val="22"/>
        </w:rPr>
        <w:t xml:space="preserve">Przedmiot ST </w:t>
      </w:r>
      <w:bookmarkEnd w:id="235"/>
    </w:p>
    <w:p w14:paraId="61F92F33"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Przedmiotem niniejszych Warunków Wykonania i Odbioru Robót Budowlanych (ST) są wymagania dotyczące wykonania i odbioru nasypów w ramach realizacji zadania: </w:t>
      </w:r>
      <w:r w:rsidR="00FD3B41" w:rsidRPr="00FD3B41">
        <w:rPr>
          <w:rFonts w:ascii="Times New Roman" w:hAnsi="Times New Roman" w:cs="Times New Roman"/>
          <w:b/>
          <w:color w:val="000000" w:themeColor="text1"/>
        </w:rPr>
        <w:t>„Rozbudowa drogi wojewódzkiej nr 461 w m. Dąbrówka Łubniańska i Łubniany” – Etap I ( km od 9+741,88 do 10+371,13)</w:t>
      </w:r>
    </w:p>
    <w:p w14:paraId="2F94B4CF"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6" w:name="_Toc30022"/>
      <w:r w:rsidRPr="001667DB">
        <w:rPr>
          <w:color w:val="000000" w:themeColor="text1"/>
          <w:sz w:val="22"/>
          <w:szCs w:val="22"/>
        </w:rPr>
        <w:t xml:space="preserve">Zakres stosowania ST </w:t>
      </w:r>
      <w:bookmarkEnd w:id="236"/>
    </w:p>
    <w:p w14:paraId="76E937A5"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 są stosowane jako dokument przetargowy i kontraktowy przy zlecaniu i realizacji robót na drogach krajowych. ST stanowią podstawę opracowania Specyfikacji Technicznych Wykonania i Odbioru Robót Budowlanych (STWiORB).  </w:t>
      </w:r>
    </w:p>
    <w:p w14:paraId="6C08BBF6"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7" w:name="_Toc30024"/>
      <w:r w:rsidRPr="001667DB">
        <w:rPr>
          <w:color w:val="000000" w:themeColor="text1"/>
          <w:sz w:val="22"/>
          <w:szCs w:val="22"/>
        </w:rPr>
        <w:t xml:space="preserve">Nazwy i kody </w:t>
      </w:r>
      <w:bookmarkEnd w:id="237"/>
    </w:p>
    <w:p w14:paraId="261FB27F"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Nazwy i kody robót objętych wspólnym słownikiem zamówień CPV są następujące: </w:t>
      </w:r>
    </w:p>
    <w:tbl>
      <w:tblPr>
        <w:tblStyle w:val="TableGrid"/>
        <w:tblW w:w="8568" w:type="dxa"/>
        <w:tblInd w:w="0" w:type="dxa"/>
        <w:tblLook w:val="04A0" w:firstRow="1" w:lastRow="0" w:firstColumn="1" w:lastColumn="0" w:noHBand="0" w:noVBand="1"/>
      </w:tblPr>
      <w:tblGrid>
        <w:gridCol w:w="2125"/>
        <w:gridCol w:w="6443"/>
      </w:tblGrid>
      <w:tr w:rsidR="00955A27" w:rsidRPr="001667DB" w14:paraId="537DADC7" w14:textId="77777777">
        <w:trPr>
          <w:trHeight w:val="297"/>
        </w:trPr>
        <w:tc>
          <w:tcPr>
            <w:tcW w:w="2125" w:type="dxa"/>
            <w:tcBorders>
              <w:top w:val="nil"/>
              <w:left w:val="nil"/>
              <w:bottom w:val="nil"/>
              <w:right w:val="nil"/>
            </w:tcBorders>
          </w:tcPr>
          <w:p w14:paraId="290F7BCB"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Grupa robót:  </w:t>
            </w:r>
          </w:p>
        </w:tc>
        <w:tc>
          <w:tcPr>
            <w:tcW w:w="6444" w:type="dxa"/>
            <w:tcBorders>
              <w:top w:val="nil"/>
              <w:left w:val="nil"/>
              <w:bottom w:val="nil"/>
              <w:right w:val="nil"/>
            </w:tcBorders>
          </w:tcPr>
          <w:p w14:paraId="520CE36D"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45100000-8 Przygotowanie terenu pod budowę. </w:t>
            </w:r>
          </w:p>
        </w:tc>
      </w:tr>
      <w:tr w:rsidR="00955A27" w:rsidRPr="001667DB" w14:paraId="532FAFA8" w14:textId="77777777">
        <w:trPr>
          <w:trHeight w:val="340"/>
        </w:trPr>
        <w:tc>
          <w:tcPr>
            <w:tcW w:w="2125" w:type="dxa"/>
            <w:tcBorders>
              <w:top w:val="nil"/>
              <w:left w:val="nil"/>
              <w:bottom w:val="nil"/>
              <w:right w:val="nil"/>
            </w:tcBorders>
          </w:tcPr>
          <w:p w14:paraId="17809BB0"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robót:  </w:t>
            </w:r>
          </w:p>
        </w:tc>
        <w:tc>
          <w:tcPr>
            <w:tcW w:w="6444" w:type="dxa"/>
            <w:tcBorders>
              <w:top w:val="nil"/>
              <w:left w:val="nil"/>
              <w:bottom w:val="nil"/>
              <w:right w:val="nil"/>
            </w:tcBorders>
          </w:tcPr>
          <w:p w14:paraId="3BE17419"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45110000-1 Roboty w zakresie burzenia i rozbiórki obiektów   </w:t>
            </w:r>
          </w:p>
        </w:tc>
      </w:tr>
      <w:tr w:rsidR="00955A27" w:rsidRPr="001667DB" w14:paraId="4074D852" w14:textId="77777777">
        <w:trPr>
          <w:trHeight w:val="340"/>
        </w:trPr>
        <w:tc>
          <w:tcPr>
            <w:tcW w:w="2125" w:type="dxa"/>
            <w:tcBorders>
              <w:top w:val="nil"/>
              <w:left w:val="nil"/>
              <w:bottom w:val="nil"/>
              <w:right w:val="nil"/>
            </w:tcBorders>
          </w:tcPr>
          <w:p w14:paraId="6772B24B"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 </w:t>
            </w:r>
          </w:p>
        </w:tc>
        <w:tc>
          <w:tcPr>
            <w:tcW w:w="6444" w:type="dxa"/>
            <w:tcBorders>
              <w:top w:val="nil"/>
              <w:left w:val="nil"/>
              <w:bottom w:val="nil"/>
              <w:right w:val="nil"/>
            </w:tcBorders>
          </w:tcPr>
          <w:p w14:paraId="362EE786" w14:textId="77777777" w:rsidR="00955A27" w:rsidRPr="001667DB" w:rsidRDefault="00955A27" w:rsidP="00996530">
            <w:pPr>
              <w:tabs>
                <w:tab w:val="center" w:pos="708"/>
                <w:tab w:val="center" w:pos="2896"/>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r w:rsidRPr="001667DB">
              <w:rPr>
                <w:rFonts w:ascii="Times New Roman" w:hAnsi="Times New Roman" w:cs="Times New Roman"/>
                <w:color w:val="000000" w:themeColor="text1"/>
              </w:rPr>
              <w:tab/>
              <w:t xml:space="preserve">budowlanych, roboty ziemne. </w:t>
            </w:r>
          </w:p>
        </w:tc>
      </w:tr>
      <w:tr w:rsidR="00955A27" w:rsidRPr="001667DB" w14:paraId="323F5FF4" w14:textId="77777777">
        <w:trPr>
          <w:trHeight w:val="297"/>
        </w:trPr>
        <w:tc>
          <w:tcPr>
            <w:tcW w:w="2125" w:type="dxa"/>
            <w:tcBorders>
              <w:top w:val="nil"/>
              <w:left w:val="nil"/>
              <w:bottom w:val="nil"/>
              <w:right w:val="nil"/>
            </w:tcBorders>
            <w:vAlign w:val="bottom"/>
          </w:tcPr>
          <w:p w14:paraId="5D9B970E"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robót: </w:t>
            </w:r>
          </w:p>
        </w:tc>
        <w:tc>
          <w:tcPr>
            <w:tcW w:w="6444" w:type="dxa"/>
            <w:tcBorders>
              <w:top w:val="nil"/>
              <w:left w:val="nil"/>
              <w:bottom w:val="nil"/>
              <w:right w:val="nil"/>
            </w:tcBorders>
            <w:vAlign w:val="bottom"/>
          </w:tcPr>
          <w:p w14:paraId="34FEE90D"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45111000-8 Roboty w zakresie burzenia, roboty ziemne. </w:t>
            </w:r>
          </w:p>
        </w:tc>
      </w:tr>
    </w:tbl>
    <w:p w14:paraId="4450F160"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8" w:name="_Toc30025"/>
      <w:r w:rsidRPr="001667DB">
        <w:rPr>
          <w:color w:val="000000" w:themeColor="text1"/>
          <w:sz w:val="22"/>
          <w:szCs w:val="22"/>
        </w:rPr>
        <w:t xml:space="preserve">Określenia podstawowe </w:t>
      </w:r>
      <w:bookmarkEnd w:id="238"/>
    </w:p>
    <w:p w14:paraId="7048D2A1"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podstawowe zostały podane w ST D-02.00.01. „Roboty ziemne. Wymagania ogólne”, punkt 1.6. </w:t>
      </w:r>
    </w:p>
    <w:p w14:paraId="34C553C3"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39" w:name="_Toc30026"/>
      <w:r w:rsidRPr="001667DB">
        <w:rPr>
          <w:color w:val="000000" w:themeColor="text1"/>
          <w:sz w:val="22"/>
          <w:szCs w:val="22"/>
        </w:rPr>
        <w:t xml:space="preserve">Ogólne wymagania dotyczące robót </w:t>
      </w:r>
      <w:bookmarkEnd w:id="239"/>
    </w:p>
    <w:p w14:paraId="112B41A0"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robót podano w ST D-M 00.00.00 "Wymagania Ogólne". </w:t>
      </w:r>
    </w:p>
    <w:p w14:paraId="43814C2D"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0" w:name="_Toc30027"/>
      <w:r w:rsidRPr="001667DB">
        <w:rPr>
          <w:color w:val="000000" w:themeColor="text1"/>
          <w:sz w:val="22"/>
          <w:szCs w:val="22"/>
        </w:rPr>
        <w:t xml:space="preserve">MATERIAŁY </w:t>
      </w:r>
      <w:bookmarkEnd w:id="240"/>
    </w:p>
    <w:p w14:paraId="525424E7"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1" w:name="_Toc30028"/>
      <w:r w:rsidRPr="001667DB">
        <w:rPr>
          <w:color w:val="000000" w:themeColor="text1"/>
          <w:sz w:val="22"/>
          <w:szCs w:val="22"/>
        </w:rPr>
        <w:t xml:space="preserve">Ogólne wymagania dotyczące materiałów </w:t>
      </w:r>
      <w:bookmarkEnd w:id="241"/>
    </w:p>
    <w:p w14:paraId="0118817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2.1.1.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materiałów podano w ST D-02.00.01 „Roboty ziemne. Wymagania ogólne”, punkt 2".  </w:t>
      </w:r>
    </w:p>
    <w:p w14:paraId="242C94DE"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2" w:name="_Toc30029"/>
      <w:r w:rsidRPr="001667DB">
        <w:rPr>
          <w:color w:val="000000" w:themeColor="text1"/>
          <w:sz w:val="22"/>
          <w:szCs w:val="22"/>
        </w:rPr>
        <w:t xml:space="preserve">SPRZĘT </w:t>
      </w:r>
      <w:bookmarkEnd w:id="242"/>
    </w:p>
    <w:p w14:paraId="5D57D72C"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3" w:name="_Toc30030"/>
      <w:r w:rsidRPr="001667DB">
        <w:rPr>
          <w:color w:val="000000" w:themeColor="text1"/>
          <w:sz w:val="22"/>
          <w:szCs w:val="22"/>
        </w:rPr>
        <w:t xml:space="preserve">Ogólne wymagania dotyczące sprzętu </w:t>
      </w:r>
      <w:bookmarkEnd w:id="243"/>
    </w:p>
    <w:p w14:paraId="0DE6A61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3.1.1.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sprzętu podano w ST D-02.00.01 „Roboty ziemne.  Wymagania ogólne”, punkt 3". </w:t>
      </w:r>
    </w:p>
    <w:p w14:paraId="647F70B6"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4" w:name="_Toc30031"/>
      <w:r w:rsidRPr="001667DB">
        <w:rPr>
          <w:color w:val="000000" w:themeColor="text1"/>
          <w:sz w:val="22"/>
          <w:szCs w:val="22"/>
        </w:rPr>
        <w:lastRenderedPageBreak/>
        <w:t xml:space="preserve">TRANSPORT </w:t>
      </w:r>
      <w:bookmarkEnd w:id="244"/>
    </w:p>
    <w:p w14:paraId="0813EF94"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5" w:name="_Toc30032"/>
      <w:r w:rsidRPr="001667DB">
        <w:rPr>
          <w:color w:val="000000" w:themeColor="text1"/>
          <w:sz w:val="22"/>
          <w:szCs w:val="22"/>
        </w:rPr>
        <w:t xml:space="preserve">Ogólne wymagania dotyczące transportu </w:t>
      </w:r>
      <w:bookmarkEnd w:id="245"/>
    </w:p>
    <w:p w14:paraId="7FDAC519" w14:textId="77777777" w:rsidR="00955A27" w:rsidRPr="001667DB" w:rsidRDefault="00955A27" w:rsidP="00996530">
      <w:pPr>
        <w:spacing w:after="120" w:line="360" w:lineRule="auto"/>
        <w:ind w:left="847" w:right="-8"/>
        <w:jc w:val="both"/>
        <w:rPr>
          <w:rFonts w:ascii="Times New Roman" w:hAnsi="Times New Roman" w:cs="Times New Roman"/>
          <w:color w:val="000000" w:themeColor="text1"/>
        </w:rPr>
      </w:pPr>
      <w:r w:rsidRPr="001667DB">
        <w:rPr>
          <w:rFonts w:ascii="Times New Roman" w:hAnsi="Times New Roman" w:cs="Times New Roman"/>
          <w:color w:val="000000" w:themeColor="text1"/>
        </w:rPr>
        <w:t>4.1.1.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wymagania dotyczące transportu podano w ST D-M 00.00.00, Wymagania ogólne" punkt 4 oraz w ST D-02.00.01 „Roboty ziemne. Wymagania ogólne” punkt 4. </w:t>
      </w:r>
    </w:p>
    <w:p w14:paraId="06C8431A"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6" w:name="_Toc30033"/>
      <w:r w:rsidRPr="001667DB">
        <w:rPr>
          <w:color w:val="000000" w:themeColor="text1"/>
          <w:sz w:val="22"/>
          <w:szCs w:val="22"/>
        </w:rPr>
        <w:t xml:space="preserve">WYKONANIE ROBÓT </w:t>
      </w:r>
      <w:bookmarkEnd w:id="246"/>
    </w:p>
    <w:p w14:paraId="4BC2E907"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7" w:name="_Toc30034"/>
      <w:r w:rsidRPr="001667DB">
        <w:rPr>
          <w:color w:val="000000" w:themeColor="text1"/>
          <w:sz w:val="22"/>
          <w:szCs w:val="22"/>
        </w:rPr>
        <w:t xml:space="preserve">Ogólne zasady wykonania robót </w:t>
      </w:r>
      <w:bookmarkEnd w:id="247"/>
    </w:p>
    <w:p w14:paraId="0F728E4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prowadzenia robót ziemnych podano w ST D-02.00.01 „Roboty ziemne. Wymagania ogólne”, punkt 5.  </w:t>
      </w:r>
    </w:p>
    <w:p w14:paraId="38CA1B3B"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8" w:name="_Toc30035"/>
      <w:r w:rsidRPr="001667DB">
        <w:rPr>
          <w:color w:val="000000" w:themeColor="text1"/>
          <w:sz w:val="22"/>
          <w:szCs w:val="22"/>
        </w:rPr>
        <w:t xml:space="preserve">Ukop i dokop </w:t>
      </w:r>
      <w:bookmarkEnd w:id="248"/>
    </w:p>
    <w:p w14:paraId="3C83788E"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jest konieczne wykonanie ukopu to miejsce ukopu może być wskazane  </w:t>
      </w:r>
    </w:p>
    <w:p w14:paraId="1AB4BC6D"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Dokumentacji Projektowej, Kontrakcie lub przez Inżyniera/Inspektora nadzoru albo może być wybrane przez Wykonawcę i zatwierdzone przez Inżyniera/ Inspektora nadzoru. Miejsce ukopu powinno być tak dobrane, żeby zapewnić przewóz lub przemieszczanie gruntu, skały lub materiału na jak najkrótszych odległościach. O ile to możliwe, transport gruntu, skały lub materiału powinien odbywać się w poziomie lub zgodnie ze spadkiem terenu. Ukopy mogą mieć kształt poszerzonych rowów przyległych do korpusu ziemnego. Ukopy powinny być wykonywane równolegle do osi drogi, po jednej lub obu jej stronach. </w:t>
      </w:r>
    </w:p>
    <w:p w14:paraId="22AD5719"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jest konieczne wykonanie dokopu to jego miejsce może być wskazane  </w:t>
      </w:r>
    </w:p>
    <w:p w14:paraId="6EF32814"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Dokumentacji Projektowej, Kontrakcie lub przez Inżyniera/ Inspektora nadzoru albo może być wybrane przez Wykonawcę i zatwierdzone przez Inżyniera/ Inspektora nadzoru po przedstawieniu dokumentów zgodnie z ST D-M 00.00.00. </w:t>
      </w:r>
    </w:p>
    <w:p w14:paraId="01558AD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Pozyskiwanie gruntu, skały lub materiału z ukopu albo dokopu może rozpocząć się dopiero po pobraniu próbek w obecności Inżyniera/ Inspektora nadzoru i zbadaniu przydatności zalegającego gruntu, skały lub materiału do budowy nasypów oraz po wydaniu zgody na piśmie przez Inżyniera/ Inspektora nadzoru. Głębokość na jaką należy ocenić przydatność gruntu, skały lub materiału powinna być dostosowana do zakresu prac. </w:t>
      </w:r>
    </w:p>
    <w:p w14:paraId="49BC327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skały lub materiały nieprzydatne do budowy nasypów stwierdzone w ukopie  lub dokopie nie powinny być odspajane, chyba że wymaga tego dostęp do gruntu, skały lub materiału przydatnego, przeznaczonego do przewiezienia w nasyp. Odspojone przez Wykonawcę grunty nieprzydatne powinny być wbudowane z powrotem w miejscu ich pozyskania, zgodnie ze wskazaniami Inżyniera/Inspektora nadzoru.  </w:t>
      </w:r>
    </w:p>
    <w:p w14:paraId="53E81F2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Dno ukopu oraz dokopu należy wykonać ze spadkiem od 2 do 3% w kierunku możliwego spływu wody. O ile to konieczne, ukop (dokop) należy odwodnić przez wykonanie rowu odpływowego. </w:t>
      </w:r>
    </w:p>
    <w:p w14:paraId="0B00C58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ukop lub dokop jest zlokalizowany na zboczu, nie może on naruszać stateczności  zbocza. W przypadkach wątpliwych Wykonawca przedstawi Inżynierowi/Inspektorowi nadzoru analizę stateczności zbocza uwzględniającą wykonanie ukopu lub dokopu. </w:t>
      </w:r>
    </w:p>
    <w:p w14:paraId="37A6D77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5.2.7.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Dno i skarpy ukopu oraz dokopu po zakończeniu jego eksploatacji powinny być  tak ukształtowane, aby harmonizowały z otaczającym terenem. Na dnie i skarpach należy przeprowadzić rekultywację. </w:t>
      </w:r>
    </w:p>
    <w:p w14:paraId="16A58B2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5.2.8.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Wykonawca odspoił i wbudował w nasyp nadmierną ilość gruntu, skały lub materiału pochodzącego z ukopu lub dokopu i w konsekwencji zachodzi konieczność przewiezienia na odkład równoważnej ilości gruntu, skały lub materiału przydatnego do wykonania nasypów, pochodzącego z wykopu, to koszt tych czynności w całości obciąża Wykonawcę. </w:t>
      </w:r>
    </w:p>
    <w:p w14:paraId="67D878F0"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6A46F3E"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49" w:name="_Toc30036"/>
      <w:r w:rsidRPr="001667DB">
        <w:rPr>
          <w:color w:val="000000" w:themeColor="text1"/>
          <w:sz w:val="22"/>
          <w:szCs w:val="22"/>
        </w:rPr>
        <w:t xml:space="preserve">Przygotowanie podłoża w obrębie podstawy nasypu </w:t>
      </w:r>
      <w:bookmarkEnd w:id="249"/>
    </w:p>
    <w:p w14:paraId="1D4C987C"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Przed przystąpieniem do budowy nasypu należy, w obrębie jego podstawy, zakończyć roboty przygotowawcze, określone w ST „Roboty przygotowawcze”. </w:t>
      </w:r>
    </w:p>
    <w:p w14:paraId="1E82835F"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pochylenie poprzeczne terenu w stosunku do osi nasypu jest większe niż 1:5 należy, dla zabezpieczenia przed zsuwaniem się nasypu, wykonać w zboczu stopnie o spadku górn</w:t>
      </w:r>
      <w:r w:rsidR="00273CBA" w:rsidRPr="001667DB">
        <w:rPr>
          <w:rFonts w:ascii="Times New Roman" w:hAnsi="Times New Roman" w:cs="Times New Roman"/>
          <w:color w:val="000000" w:themeColor="text1"/>
        </w:rPr>
        <w:t>ej powierzchni, wynoszącym od</w:t>
      </w:r>
      <w:r w:rsidRPr="001667DB">
        <w:rPr>
          <w:rFonts w:ascii="Times New Roman" w:hAnsi="Times New Roman" w:cs="Times New Roman"/>
          <w:color w:val="000000" w:themeColor="text1"/>
        </w:rPr>
        <w:t xml:space="preserve"> 1%</w:t>
      </w:r>
      <w:r w:rsidR="00273CBA" w:rsidRPr="001667DB">
        <w:rPr>
          <w:rFonts w:ascii="Times New Roman" w:hAnsi="Times New Roman" w:cs="Times New Roman"/>
          <w:color w:val="000000" w:themeColor="text1"/>
        </w:rPr>
        <w:t xml:space="preserve"> do 4%</w:t>
      </w:r>
      <w:r w:rsidRPr="001667DB">
        <w:rPr>
          <w:rFonts w:ascii="Times New Roman" w:hAnsi="Times New Roman" w:cs="Times New Roman"/>
          <w:color w:val="000000" w:themeColor="text1"/>
        </w:rPr>
        <w:t xml:space="preserve">. Szerokość i wysokość stopni należy dopasować do stosowanego sprzętu. Orientacyjna szerokość stopni wynosi od 1,0 do 2,5 metra. </w:t>
      </w:r>
    </w:p>
    <w:p w14:paraId="0FF6A171"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5.3.3.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na powierzchni terenu na której ma być posadowiony nasyp występują zastoiska wody, to należy ją usunąć. Po oczyszczeniu  powierzchnia w obrębie podstawy nasypu  powinna być wyprofilowana i zagęszczona. Należy skontrolować wskaźnik zagęszczenia Is gruntów rodzimych, zalegających w strefie podłoża nasypu, do głębokości 0,5 metra  od powierzchni terenu. Jeżeli wartość wskaźnika zagęszczenia jest mniejsza niż określona w Tablicy 5.1. należy dogęścić podłoże tak, aby powyższe wymaganie zostało spełnione. </w:t>
      </w:r>
    </w:p>
    <w:p w14:paraId="039C1BE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p>
    <w:p w14:paraId="16E855E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p>
    <w:p w14:paraId="6A351E1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p>
    <w:p w14:paraId="12D14782" w14:textId="77777777" w:rsidR="00955A27" w:rsidRPr="001667DB" w:rsidRDefault="00955A27" w:rsidP="00996530">
      <w:pPr>
        <w:spacing w:after="120" w:line="360" w:lineRule="auto"/>
        <w:ind w:firstLine="4"/>
        <w:jc w:val="both"/>
        <w:rPr>
          <w:rFonts w:ascii="Times New Roman" w:hAnsi="Times New Roman" w:cs="Times New Roman"/>
          <w:color w:val="000000" w:themeColor="text1"/>
        </w:rPr>
      </w:pPr>
    </w:p>
    <w:p w14:paraId="01B0FB34"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Tablica 5.1. Minimalne wartości wskaźnika zagęszczenia w podłożu nasypów do głębokości 0,5 m od powierzchni terenu </w:t>
      </w:r>
    </w:p>
    <w:tbl>
      <w:tblPr>
        <w:tblStyle w:val="TableGrid"/>
        <w:tblW w:w="8649" w:type="dxa"/>
        <w:tblInd w:w="852" w:type="dxa"/>
        <w:tblCellMar>
          <w:top w:w="50" w:type="dxa"/>
          <w:left w:w="22" w:type="dxa"/>
        </w:tblCellMar>
        <w:tblLook w:val="04A0" w:firstRow="1" w:lastRow="0" w:firstColumn="1" w:lastColumn="0" w:noHBand="0" w:noVBand="1"/>
      </w:tblPr>
      <w:tblGrid>
        <w:gridCol w:w="1558"/>
        <w:gridCol w:w="2410"/>
        <w:gridCol w:w="2269"/>
        <w:gridCol w:w="2412"/>
      </w:tblGrid>
      <w:tr w:rsidR="00955A27" w:rsidRPr="001667DB" w14:paraId="2ECAE254" w14:textId="77777777">
        <w:trPr>
          <w:trHeight w:val="274"/>
        </w:trPr>
        <w:tc>
          <w:tcPr>
            <w:tcW w:w="1558" w:type="dxa"/>
            <w:vMerge w:val="restart"/>
            <w:tcBorders>
              <w:top w:val="double" w:sz="4" w:space="0" w:color="000000"/>
              <w:left w:val="double" w:sz="4" w:space="0" w:color="000000"/>
              <w:bottom w:val="double" w:sz="4" w:space="0" w:color="000000"/>
              <w:right w:val="single" w:sz="4" w:space="0" w:color="000000"/>
            </w:tcBorders>
            <w:vAlign w:val="center"/>
          </w:tcPr>
          <w:p w14:paraId="7DA1BD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Wysokość nasypu</w:t>
            </w:r>
            <w:r w:rsidRPr="001667DB">
              <w:rPr>
                <w:rFonts w:ascii="Times New Roman" w:hAnsi="Times New Roman" w:cs="Times New Roman"/>
                <w:b/>
                <w:color w:val="000000" w:themeColor="text1"/>
              </w:rPr>
              <w:t xml:space="preserve"> </w:t>
            </w:r>
          </w:p>
        </w:tc>
        <w:tc>
          <w:tcPr>
            <w:tcW w:w="4679" w:type="dxa"/>
            <w:gridSpan w:val="2"/>
            <w:tcBorders>
              <w:top w:val="double" w:sz="4" w:space="0" w:color="000000"/>
              <w:left w:val="single" w:sz="4" w:space="0" w:color="000000"/>
              <w:bottom w:val="single" w:sz="4" w:space="0" w:color="000000"/>
              <w:right w:val="nil"/>
            </w:tcBorders>
          </w:tcPr>
          <w:p w14:paraId="40EEC505" w14:textId="77777777" w:rsidR="00955A27" w:rsidRPr="001667DB" w:rsidRDefault="00955A27" w:rsidP="00955A27">
            <w:pPr>
              <w:spacing w:after="120" w:line="360" w:lineRule="auto"/>
              <w:ind w:right="-20"/>
              <w:jc w:val="right"/>
              <w:rPr>
                <w:rFonts w:ascii="Times New Roman" w:hAnsi="Times New Roman" w:cs="Times New Roman"/>
                <w:color w:val="000000" w:themeColor="text1"/>
              </w:rPr>
            </w:pPr>
            <w:r w:rsidRPr="001667DB">
              <w:rPr>
                <w:rFonts w:ascii="Times New Roman" w:hAnsi="Times New Roman" w:cs="Times New Roman"/>
                <w:color w:val="000000" w:themeColor="text1"/>
              </w:rPr>
              <w:t>Wskaźnik zagęszczenia I</w:t>
            </w:r>
            <w:r w:rsidRPr="001667DB">
              <w:rPr>
                <w:rFonts w:ascii="Times New Roman" w:hAnsi="Times New Roman" w:cs="Times New Roman"/>
                <w:color w:val="000000" w:themeColor="text1"/>
                <w:vertAlign w:val="subscript"/>
              </w:rPr>
              <w:t>S</w:t>
            </w:r>
          </w:p>
        </w:tc>
        <w:tc>
          <w:tcPr>
            <w:tcW w:w="2412" w:type="dxa"/>
            <w:tcBorders>
              <w:top w:val="double" w:sz="4" w:space="0" w:color="000000"/>
              <w:left w:val="nil"/>
              <w:bottom w:val="single" w:sz="4" w:space="0" w:color="000000"/>
              <w:right w:val="double" w:sz="4" w:space="0" w:color="000000"/>
            </w:tcBorders>
          </w:tcPr>
          <w:p w14:paraId="230917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r>
      <w:tr w:rsidR="00955A27" w:rsidRPr="001667DB" w14:paraId="267FDEDD" w14:textId="77777777">
        <w:trPr>
          <w:trHeight w:val="262"/>
        </w:trPr>
        <w:tc>
          <w:tcPr>
            <w:tcW w:w="0" w:type="auto"/>
            <w:vMerge/>
            <w:tcBorders>
              <w:top w:val="nil"/>
              <w:left w:val="double" w:sz="4" w:space="0" w:color="000000"/>
              <w:bottom w:val="nil"/>
              <w:right w:val="single" w:sz="4" w:space="0" w:color="000000"/>
            </w:tcBorders>
          </w:tcPr>
          <w:p w14:paraId="38598735"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679" w:type="dxa"/>
            <w:gridSpan w:val="2"/>
            <w:tcBorders>
              <w:top w:val="single" w:sz="4" w:space="0" w:color="000000"/>
              <w:left w:val="single" w:sz="4" w:space="0" w:color="000000"/>
              <w:bottom w:val="single" w:sz="4" w:space="0" w:color="000000"/>
              <w:right w:val="nil"/>
            </w:tcBorders>
          </w:tcPr>
          <w:p w14:paraId="5DA4DC29" w14:textId="77777777" w:rsidR="00955A27" w:rsidRPr="001667DB" w:rsidRDefault="00955A27" w:rsidP="00955A27">
            <w:pPr>
              <w:spacing w:after="120" w:line="360" w:lineRule="auto"/>
              <w:ind w:right="418"/>
              <w:jc w:val="right"/>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ruchu </w:t>
            </w:r>
          </w:p>
        </w:tc>
        <w:tc>
          <w:tcPr>
            <w:tcW w:w="2412" w:type="dxa"/>
            <w:tcBorders>
              <w:top w:val="single" w:sz="4" w:space="0" w:color="000000"/>
              <w:left w:val="nil"/>
              <w:bottom w:val="single" w:sz="4" w:space="0" w:color="000000"/>
              <w:right w:val="double" w:sz="4" w:space="0" w:color="000000"/>
            </w:tcBorders>
          </w:tcPr>
          <w:p w14:paraId="189EFDEB"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73165F24" w14:textId="77777777" w:rsidTr="001B4B8F">
        <w:trPr>
          <w:trHeight w:val="869"/>
        </w:trPr>
        <w:tc>
          <w:tcPr>
            <w:tcW w:w="0" w:type="auto"/>
            <w:vMerge/>
            <w:tcBorders>
              <w:top w:val="nil"/>
              <w:left w:val="double" w:sz="4" w:space="0" w:color="000000"/>
              <w:bottom w:val="double" w:sz="4" w:space="0" w:color="000000"/>
              <w:right w:val="single" w:sz="4" w:space="0" w:color="000000"/>
            </w:tcBorders>
          </w:tcPr>
          <w:p w14:paraId="12958A7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410" w:type="dxa"/>
            <w:tcBorders>
              <w:top w:val="single" w:sz="4" w:space="0" w:color="000000"/>
              <w:left w:val="single" w:sz="4" w:space="0" w:color="000000"/>
              <w:bottom w:val="double" w:sz="4" w:space="0" w:color="000000"/>
              <w:right w:val="single" w:sz="4" w:space="0" w:color="000000"/>
            </w:tcBorders>
          </w:tcPr>
          <w:p w14:paraId="0DEEE52F" w14:textId="77777777" w:rsidR="00955A27" w:rsidRPr="001667DB" w:rsidRDefault="00955A27" w:rsidP="00955A27">
            <w:pPr>
              <w:spacing w:after="120" w:line="360" w:lineRule="auto"/>
              <w:ind w:right="2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KR1-KR2,  </w:t>
            </w:r>
          </w:p>
          <w:p w14:paraId="20DAF4A6" w14:textId="77777777" w:rsidR="00955A27" w:rsidRPr="001667DB" w:rsidRDefault="00955A27" w:rsidP="00955A27">
            <w:pPr>
              <w:spacing w:after="120" w:line="360" w:lineRule="auto"/>
              <w:ind w:left="32" w:hanging="3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zjazdy, chodniki, ścieżki rowerowe, ciągi pieszojezdne, </w:t>
            </w:r>
          </w:p>
        </w:tc>
        <w:tc>
          <w:tcPr>
            <w:tcW w:w="2269" w:type="dxa"/>
            <w:tcBorders>
              <w:top w:val="single" w:sz="4" w:space="0" w:color="000000"/>
              <w:left w:val="single" w:sz="4" w:space="0" w:color="000000"/>
              <w:bottom w:val="double" w:sz="4" w:space="0" w:color="000000"/>
              <w:right w:val="single" w:sz="4" w:space="0" w:color="000000"/>
            </w:tcBorders>
            <w:vAlign w:val="center"/>
          </w:tcPr>
          <w:p w14:paraId="0AE83D1B" w14:textId="77777777" w:rsidR="00955A27" w:rsidRPr="001667DB" w:rsidRDefault="00955A27" w:rsidP="00955A27">
            <w:pPr>
              <w:spacing w:after="120" w:line="360" w:lineRule="auto"/>
              <w:ind w:right="2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KR3-KR4 </w:t>
            </w:r>
          </w:p>
        </w:tc>
        <w:tc>
          <w:tcPr>
            <w:tcW w:w="2412" w:type="dxa"/>
            <w:tcBorders>
              <w:top w:val="single" w:sz="4" w:space="0" w:color="000000"/>
              <w:left w:val="single" w:sz="4" w:space="0" w:color="000000"/>
              <w:bottom w:val="double" w:sz="4" w:space="0" w:color="000000"/>
              <w:right w:val="double" w:sz="4" w:space="0" w:color="000000"/>
            </w:tcBorders>
            <w:vAlign w:val="center"/>
          </w:tcPr>
          <w:p w14:paraId="0A7CDC26" w14:textId="77777777" w:rsidR="00955A27" w:rsidRPr="001667DB" w:rsidRDefault="00955A27" w:rsidP="00955A27">
            <w:pPr>
              <w:spacing w:after="120" w:line="360" w:lineRule="auto"/>
              <w:ind w:right="2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KR5-KR7 </w:t>
            </w:r>
          </w:p>
        </w:tc>
      </w:tr>
      <w:tr w:rsidR="00955A27" w:rsidRPr="001667DB" w14:paraId="28D8BE8F" w14:textId="77777777">
        <w:trPr>
          <w:trHeight w:val="272"/>
        </w:trPr>
        <w:tc>
          <w:tcPr>
            <w:tcW w:w="1558" w:type="dxa"/>
            <w:tcBorders>
              <w:top w:val="double" w:sz="4" w:space="0" w:color="000000"/>
              <w:left w:val="double" w:sz="4" w:space="0" w:color="000000"/>
              <w:bottom w:val="single" w:sz="4" w:space="0" w:color="000000"/>
              <w:right w:val="single" w:sz="4" w:space="0" w:color="000000"/>
            </w:tcBorders>
          </w:tcPr>
          <w:p w14:paraId="3C4CD0E7" w14:textId="77777777" w:rsidR="00955A27" w:rsidRPr="001667DB" w:rsidRDefault="00955A27" w:rsidP="00955A27">
            <w:pPr>
              <w:spacing w:after="120" w:line="360" w:lineRule="auto"/>
              <w:ind w:left="180"/>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2 metrów </w:t>
            </w:r>
          </w:p>
        </w:tc>
        <w:tc>
          <w:tcPr>
            <w:tcW w:w="2410" w:type="dxa"/>
            <w:tcBorders>
              <w:top w:val="double" w:sz="4" w:space="0" w:color="000000"/>
              <w:left w:val="single" w:sz="4" w:space="0" w:color="000000"/>
              <w:bottom w:val="single" w:sz="4" w:space="0" w:color="000000"/>
              <w:right w:val="single" w:sz="4" w:space="0" w:color="000000"/>
            </w:tcBorders>
          </w:tcPr>
          <w:p w14:paraId="69F70C40" w14:textId="77777777" w:rsidR="00955A27" w:rsidRPr="001667DB" w:rsidRDefault="00955A27" w:rsidP="00955A27">
            <w:pPr>
              <w:spacing w:after="120" w:line="360" w:lineRule="auto"/>
              <w:ind w:right="2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0,95 </w:t>
            </w:r>
          </w:p>
        </w:tc>
        <w:tc>
          <w:tcPr>
            <w:tcW w:w="2269" w:type="dxa"/>
            <w:tcBorders>
              <w:top w:val="double" w:sz="4" w:space="0" w:color="000000"/>
              <w:left w:val="single" w:sz="4" w:space="0" w:color="000000"/>
              <w:bottom w:val="single" w:sz="4" w:space="0" w:color="000000"/>
              <w:right w:val="single" w:sz="4" w:space="0" w:color="000000"/>
            </w:tcBorders>
          </w:tcPr>
          <w:p w14:paraId="459DE764" w14:textId="77777777" w:rsidR="00955A27" w:rsidRPr="001667DB" w:rsidRDefault="00955A27" w:rsidP="00955A27">
            <w:pPr>
              <w:spacing w:after="120" w:line="360" w:lineRule="auto"/>
              <w:ind w:right="2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c>
          <w:tcPr>
            <w:tcW w:w="2412" w:type="dxa"/>
            <w:tcBorders>
              <w:top w:val="double" w:sz="4" w:space="0" w:color="000000"/>
              <w:left w:val="single" w:sz="4" w:space="0" w:color="000000"/>
              <w:bottom w:val="single" w:sz="4" w:space="0" w:color="000000"/>
              <w:right w:val="double" w:sz="4" w:space="0" w:color="000000"/>
            </w:tcBorders>
          </w:tcPr>
          <w:p w14:paraId="55C2AFA2" w14:textId="77777777" w:rsidR="00955A27" w:rsidRPr="001667DB" w:rsidRDefault="00955A27" w:rsidP="00955A27">
            <w:pPr>
              <w:spacing w:after="120" w:line="360" w:lineRule="auto"/>
              <w:ind w:right="2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r>
      <w:tr w:rsidR="00955A27" w:rsidRPr="001667DB" w14:paraId="672A314D" w14:textId="77777777">
        <w:trPr>
          <w:trHeight w:val="274"/>
        </w:trPr>
        <w:tc>
          <w:tcPr>
            <w:tcW w:w="1558" w:type="dxa"/>
            <w:tcBorders>
              <w:top w:val="single" w:sz="4" w:space="0" w:color="000000"/>
              <w:left w:val="double" w:sz="4" w:space="0" w:color="000000"/>
              <w:bottom w:val="double" w:sz="4" w:space="0" w:color="000000"/>
              <w:right w:val="single" w:sz="4" w:space="0" w:color="000000"/>
            </w:tcBorders>
          </w:tcPr>
          <w:p w14:paraId="1E132C39" w14:textId="77777777" w:rsidR="00955A27" w:rsidRPr="001667DB" w:rsidRDefault="00955A27" w:rsidP="00955A27">
            <w:pPr>
              <w:spacing w:after="120" w:line="360" w:lineRule="auto"/>
              <w:ind w:left="89"/>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ponad 2 metry </w:t>
            </w:r>
          </w:p>
        </w:tc>
        <w:tc>
          <w:tcPr>
            <w:tcW w:w="2410" w:type="dxa"/>
            <w:tcBorders>
              <w:top w:val="single" w:sz="4" w:space="0" w:color="000000"/>
              <w:left w:val="single" w:sz="4" w:space="0" w:color="000000"/>
              <w:bottom w:val="double" w:sz="4" w:space="0" w:color="000000"/>
              <w:right w:val="single" w:sz="4" w:space="0" w:color="000000"/>
            </w:tcBorders>
          </w:tcPr>
          <w:p w14:paraId="609449FE" w14:textId="77777777" w:rsidR="00955A27" w:rsidRPr="001667DB" w:rsidRDefault="00955A27" w:rsidP="00955A27">
            <w:pPr>
              <w:spacing w:after="120" w:line="360" w:lineRule="auto"/>
              <w:ind w:right="2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0,95 </w:t>
            </w:r>
          </w:p>
        </w:tc>
        <w:tc>
          <w:tcPr>
            <w:tcW w:w="2269" w:type="dxa"/>
            <w:tcBorders>
              <w:top w:val="single" w:sz="4" w:space="0" w:color="000000"/>
              <w:left w:val="single" w:sz="4" w:space="0" w:color="000000"/>
              <w:bottom w:val="double" w:sz="4" w:space="0" w:color="000000"/>
              <w:right w:val="single" w:sz="4" w:space="0" w:color="000000"/>
            </w:tcBorders>
          </w:tcPr>
          <w:p w14:paraId="33E77376" w14:textId="77777777" w:rsidR="00955A27" w:rsidRPr="001667DB" w:rsidRDefault="00955A27" w:rsidP="00955A27">
            <w:pPr>
              <w:spacing w:after="120" w:line="360" w:lineRule="auto"/>
              <w:ind w:right="2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c>
          <w:tcPr>
            <w:tcW w:w="2412" w:type="dxa"/>
            <w:tcBorders>
              <w:top w:val="single" w:sz="4" w:space="0" w:color="000000"/>
              <w:left w:val="single" w:sz="4" w:space="0" w:color="000000"/>
              <w:bottom w:val="double" w:sz="4" w:space="0" w:color="000000"/>
              <w:right w:val="double" w:sz="4" w:space="0" w:color="000000"/>
            </w:tcBorders>
          </w:tcPr>
          <w:p w14:paraId="514535B5" w14:textId="77777777" w:rsidR="00955A27" w:rsidRPr="001667DB" w:rsidRDefault="00955A27" w:rsidP="00955A27">
            <w:pPr>
              <w:spacing w:after="120" w:line="360" w:lineRule="auto"/>
              <w:ind w:right="2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r>
    </w:tbl>
    <w:p w14:paraId="58B23A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88B7BC6"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Dopuszcza się ocenę stanu zagęszczenia gruntu na podstawie wartości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według zasad i kryteriów określonych w ST D-02.00.01 „Roboty ziemne. Wymagania ogólne” w punktach 5.11.3., 5.11.4. i 5.11.5. . </w:t>
      </w:r>
    </w:p>
    <w:p w14:paraId="2A18476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Należy skontrolować nośność podłoża, na którym ma być posadowiony nasyp, poprzez określenie wartości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powierzchni. Minimalna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górnej powierzchni podłoża gruntowego pod nasypem wynosi 30 MPa, niezależnie od kategorii ruchu KR. Wartość wtórnego modułu odkształcenia E2 należy określić według zasad podanych w ST D-02.00.01 „Roboty ziemne. Wymagania ogólne” w p. 5.12.3. Dopuszcza się ocenę nośności podłoża na którym ma być posadowiony nasyp z zastosowaniem lekkiej płyty dynamicznej LPD na zasadach określonych w ST D-02.00.01 „Roboty ziemne. Wymagania ogólne” w punktach 5.12.4. i 5.12.5.  </w:t>
      </w:r>
    </w:p>
    <w:p w14:paraId="0078FB0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wartość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określona w Tablicy 5.1 oraz/lub wartość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określona w punkcie 5.3.5. nie mogą być osiągnięte pomimo zagęszczania, to należy określić tego przyczynę i podjąć działania w celu ulepszenia gruntu podłoża w stopniu umożliwiającym spełnienie wymagań. Możliwe do zastosowania środki, o ile nie są określone w ST, zaproponuje Wykonawca i przedstawi do akceptacji Inżyniera/Inspektora nadzoru. </w:t>
      </w:r>
    </w:p>
    <w:p w14:paraId="3C436B5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warunki w podłożu nasypu sprawiają, że zdjęcie darniny i humusu oraz przeprowadzenie prac wymienionych w punkcie 5.3.3. spowodowałoby pogorszenie podparcia podstawy nasypu, wówczas przygotowanie podłoża w obrębie podstawy nasypu i ewentualne wykonanie wzmocnionego podłoża nasypu musi być przeprowadzone według </w:t>
      </w:r>
      <w:r w:rsidRPr="001667DB">
        <w:rPr>
          <w:rFonts w:ascii="Times New Roman" w:hAnsi="Times New Roman" w:cs="Times New Roman"/>
          <w:color w:val="000000" w:themeColor="text1"/>
        </w:rPr>
        <w:lastRenderedPageBreak/>
        <w:t xml:space="preserve">indywidualnych zasad, określonych na podstawie Projektu Geotechnicznego, o ile występuje, lub na podstawie Dokumentacji projektowej.  </w:t>
      </w:r>
    </w:p>
    <w:p w14:paraId="01792DF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 podłożu gruntowym nasypu zalegają grunty organiczne wówczas przygotowanie podłoża nasypu obejmuje wykonanie wzmocnionego podłoża nasypu na podstawie indywidualnych wymagań, wynikających z obliczeń stateczności i osiadań korpusu ziemnego zawartych w Projekcie Geotechnicznym, o ile występuje, lub w Dokumentacji Projektowej. </w:t>
      </w:r>
    </w:p>
    <w:p w14:paraId="20E42CE0"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5.3.9.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Przygotowanie podłoża w obrębie podstawy nasypu musi zapewniać spełnienie wymagań w zakresie odwodnienia, określonych w ST D-02.00.01. „Roboty ziemne. Wymagania ogólne” w punktach 5.7.1. i 5.7.2. </w:t>
      </w:r>
    </w:p>
    <w:p w14:paraId="6C9A5B4D"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0" w:name="_Toc30037"/>
      <w:r w:rsidRPr="001667DB">
        <w:rPr>
          <w:color w:val="000000" w:themeColor="text1"/>
          <w:sz w:val="22"/>
          <w:szCs w:val="22"/>
        </w:rPr>
        <w:t xml:space="preserve">Wybór gruntów i innych materiałów do wykonania nasypów </w:t>
      </w:r>
      <w:bookmarkEnd w:id="250"/>
    </w:p>
    <w:p w14:paraId="78AD7AB7"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Wybór gruntów i innych materiałów przeznaczonych do wykonania nasypów powinien być dokonany z uwzględnieniem zasad podanych w ST D-02.00.01 „Roboty ziemne. Wymagania ogólne”, w punktach 2 i 5. </w:t>
      </w:r>
    </w:p>
    <w:p w14:paraId="3249A9B4" w14:textId="77777777" w:rsidR="00955A27" w:rsidRPr="001667DB" w:rsidRDefault="00955A27" w:rsidP="00996530">
      <w:pPr>
        <w:spacing w:after="120" w:line="360" w:lineRule="auto"/>
        <w:ind w:left="847" w:right="-8"/>
        <w:jc w:val="both"/>
        <w:rPr>
          <w:rFonts w:ascii="Times New Roman" w:hAnsi="Times New Roman" w:cs="Times New Roman"/>
          <w:color w:val="000000" w:themeColor="text1"/>
        </w:rPr>
      </w:pPr>
      <w:r w:rsidRPr="001667DB">
        <w:rPr>
          <w:rFonts w:ascii="Times New Roman" w:hAnsi="Times New Roman" w:cs="Times New Roman"/>
          <w:color w:val="000000" w:themeColor="text1"/>
        </w:rPr>
        <w:t>5.4.2.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Dopuszcza się wznoszenie nasypów wyłącznie z gruntów i innych materiałów przydatnych do tego celu. Grunty i inne materiały mogą uzyskać przydatność w wyniku ulepszenia. </w:t>
      </w:r>
    </w:p>
    <w:p w14:paraId="4F00358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Wybór gruntu lub innego materiału do budowy nasypu ma zasadniczy wpływ na wybór  metody układania i zagęszczania warstwy oraz użytego sprzętu. </w:t>
      </w:r>
    </w:p>
    <w:p w14:paraId="561285C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Wykonawca wbuduje w nasyp grunty lub inne  materiały nieprzydatne, albo  nie uwzględni zastrzeżeń dotyczących gruntów, skał  lub materiałów o ograniczonej  przydatności, to wszelkie takie części nasypu zostaną przez Wykonawcę na jego koszt  usunięte i wykonane powtórnie z materiałów o odpowiednich właściwościach. </w:t>
      </w:r>
    </w:p>
    <w:p w14:paraId="1FA25E23"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1" w:name="_Toc30038"/>
      <w:r w:rsidRPr="001667DB">
        <w:rPr>
          <w:color w:val="000000" w:themeColor="text1"/>
          <w:sz w:val="22"/>
          <w:szCs w:val="22"/>
        </w:rPr>
        <w:t xml:space="preserve">Ogólne zasady wykonywania nasypów </w:t>
      </w:r>
      <w:bookmarkEnd w:id="251"/>
    </w:p>
    <w:p w14:paraId="3302257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Nasypy powinny być wznoszone przy zachowaniu przekroju poprzecznego i profilu  podłużnego, które określono w Dokumentacji Projektowej, z uwzględnieniem ewentualnych zmian wprowadzonych na piśmie, przez Inżyniera/Inspektora nadzoru. </w:t>
      </w:r>
    </w:p>
    <w:p w14:paraId="7463AA9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Nasypy należy wykonywać metodą warstwową, z gruntów lub innych materiałów  przydatnych do budowy nasypów. Nasypy powinny być wznoszone równomiernie na całej szerokości. Grubość warstwy w stanie luźnym powinna być odpowiednio dobrana  w zależności od rodzaju gruntu lub innego materiału  i sprzętu używanego do zagęszczania. Przyjęta technologia zagęszczania powinna zapewniać uzyskanie wymaganego zagęszczenia warstwy w całej jej miąższości i zostać potwierdzona na odcinku próbnym. </w:t>
      </w:r>
    </w:p>
    <w:p w14:paraId="2E93EEF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Każda wykonana warstwa nasypu musi być poddana procedurze odbioru robót zanikających i ulegających zakryciu. Przystąpienie do wbudowania kolejnej warstwy nasypu może nastąpić dopiero po stwierdzeniu przez Inżyniera/ Inspektora nadzoru prawidłowego wykonania warstwy poprzedniej o ile nie stosuje się procedury wg punktu 5.14.3. </w:t>
      </w:r>
    </w:p>
    <w:p w14:paraId="7C44709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lub inne materiały o różnych właściwościach należy wbudowywać w oddzielnych warstwach, o jednakowej grubości na całej szerokości nasypu. Grunty spoiste należy wbudowywać w partie nasypu poniżej głębokości przemarzania. Grunty niespoiste można wbudowywać na dowolnym poziomie nasypu, również w górne warstwy, powyżej głębokości przemarzania. </w:t>
      </w:r>
    </w:p>
    <w:p w14:paraId="68A06DC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Warstwy gruntu o dobrej przepuszczalności należy wbudowywać poziomo, a warstwy gruntu mało przepuszczalnego (o współczynniku k</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≤10</w:t>
      </w:r>
      <w:r w:rsidRPr="001667DB">
        <w:rPr>
          <w:rFonts w:ascii="Times New Roman" w:hAnsi="Times New Roman" w:cs="Times New Roman"/>
          <w:color w:val="000000" w:themeColor="text1"/>
          <w:vertAlign w:val="superscript"/>
        </w:rPr>
        <w:t>-5</w:t>
      </w:r>
      <w:r w:rsidRPr="001667DB">
        <w:rPr>
          <w:rFonts w:ascii="Times New Roman" w:hAnsi="Times New Roman" w:cs="Times New Roman"/>
          <w:color w:val="000000" w:themeColor="text1"/>
        </w:rPr>
        <w:t xml:space="preserve"> m/s) ze spadkiem górnej  powierzchni </w:t>
      </w:r>
      <w:r w:rsidR="00273CBA" w:rsidRPr="001667DB">
        <w:rPr>
          <w:rFonts w:ascii="Times New Roman" w:hAnsi="Times New Roman" w:cs="Times New Roman"/>
          <w:color w:val="000000" w:themeColor="text1"/>
        </w:rPr>
        <w:t>od</w:t>
      </w:r>
      <w:r w:rsidRPr="001667DB">
        <w:rPr>
          <w:rFonts w:ascii="Times New Roman" w:hAnsi="Times New Roman" w:cs="Times New Roman"/>
          <w:color w:val="000000" w:themeColor="text1"/>
        </w:rPr>
        <w:t xml:space="preserve"> 4%  1%. Kiedy nasyp jest budowany w terenie płaskim spadek powinien być obustronny, gdy nasyp jest budowany na zboczu spadek powinien być jednostronny, zgodny z jego pochyleniem. Ukształtowanie powierzchni warstwy powinno uniemożliwiać lokalne gromadzenie się wody. </w:t>
      </w:r>
    </w:p>
    <w:p w14:paraId="6D9F6CB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 </w:t>
      </w:r>
    </w:p>
    <w:p w14:paraId="181B708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Górną warstwę nasypu, o grubości minimum 20 cm, zaleca się wykonać z gruntów  niewysadzinowych o współczynniku filtracji k</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 xml:space="preserve"> ≥ 6 </w:t>
      </w:r>
      <w:r w:rsidRPr="001667DB">
        <w:rPr>
          <w:rFonts w:ascii="Times New Roman" w:eastAsia="Segoe UI Symbol" w:hAnsi="Times New Roman" w:cs="Times New Roman"/>
          <w:color w:val="000000" w:themeColor="text1"/>
          <w:vertAlign w:val="superscript"/>
        </w:rPr>
        <w:t></w:t>
      </w:r>
      <w:r w:rsidRPr="001667DB">
        <w:rPr>
          <w:rFonts w:ascii="Times New Roman" w:hAnsi="Times New Roman" w:cs="Times New Roman"/>
          <w:color w:val="000000" w:themeColor="text1"/>
        </w:rPr>
        <w:t>10</w:t>
      </w:r>
      <w:r w:rsidRPr="001667DB">
        <w:rPr>
          <w:rFonts w:ascii="Times New Roman" w:hAnsi="Times New Roman" w:cs="Times New Roman"/>
          <w:color w:val="000000" w:themeColor="text1"/>
          <w:vertAlign w:val="superscript"/>
        </w:rPr>
        <w:t>–5</w:t>
      </w:r>
      <w:r w:rsidRPr="001667DB">
        <w:rPr>
          <w:rFonts w:ascii="Times New Roman" w:hAnsi="Times New Roman" w:cs="Times New Roman"/>
          <w:color w:val="000000" w:themeColor="text1"/>
        </w:rPr>
        <w:t xml:space="preserve"> m/s i wskaźniku  jednorodności uziarnienia 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 ≥ 5,0, z uwzględnieniem zapisów punktu 2.2.8 ST D-02.00.01. „Roboty ziemne. Wymagania ogólne”. Grunty niewysadzinowe o mniejszym wskaźniku jednorodności uziarnienia (3,0 ≤ 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 ≤ 5,0) można stosować do wykonania górnej warstwy nasypu, jeżeli próby na odcinku próbnym wykażą możliwość uzyskania wymaganego zagęszczenia i nośności. Jeżeli brak gruntu niewysadzinowego z ukopu o wymaganych właściwościach, dopuszcza się wykonanie górnej warstwy nasypu z innego gruntu, który zostanie ulepszony poprzez stabilizację spoiwem. Jeżeli sposób ulepszenia i grubość warstwy nie zostały określone w Dokumentacji Projektowej, ustali je Wykonawca i przedstawi do zatwierdzenia Inżynierowi/ Inspektora nadzoru.  </w:t>
      </w:r>
    </w:p>
    <w:p w14:paraId="6FB85A7B"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zaprojektowania warstwy ulepszonego podłoża jest ona włączona do górnej warstwy nasypu. </w:t>
      </w:r>
    </w:p>
    <w:p w14:paraId="0E741B6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Grubość górnej warstwy nasypu musi być co najmniej taka, aby zostały spełnione  wymagania w odniesieniu do nośności podłoża nawierzchni, przyjęte w projekcie  konstrukcji </w:t>
      </w:r>
      <w:r w:rsidRPr="001667DB">
        <w:rPr>
          <w:rFonts w:ascii="Times New Roman" w:hAnsi="Times New Roman" w:cs="Times New Roman"/>
          <w:color w:val="000000" w:themeColor="text1"/>
        </w:rPr>
        <w:lastRenderedPageBreak/>
        <w:t xml:space="preserve">nawierzchni oraz aby zapewnić odporność na powstawanie wysadzin  konstrukcji nawierzchni, która będzie ułożona na nasypie. </w:t>
      </w:r>
    </w:p>
    <w:p w14:paraId="174C9FB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Na terenach o wysokim stanie wód gruntowych oraz na terenach zalewowych dolne warstwy nasypu, o grubości co najmniej 0,5 m powyżej najwyższego poziomu wody, należy wykonać z gruntu przepuszczalnego o współczynniku filtracji k</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 xml:space="preserve"> ≥ 6 </w:t>
      </w:r>
      <w:r w:rsidRPr="001667DB">
        <w:rPr>
          <w:rFonts w:ascii="Times New Roman" w:eastAsia="Segoe UI Symbol" w:hAnsi="Times New Roman" w:cs="Times New Roman"/>
          <w:color w:val="000000" w:themeColor="text1"/>
          <w:vertAlign w:val="superscript"/>
        </w:rPr>
        <w:t></w:t>
      </w:r>
      <w:r w:rsidRPr="001667DB">
        <w:rPr>
          <w:rFonts w:ascii="Times New Roman" w:hAnsi="Times New Roman" w:cs="Times New Roman"/>
          <w:color w:val="000000" w:themeColor="text1"/>
        </w:rPr>
        <w:t>10</w:t>
      </w:r>
      <w:r w:rsidRPr="001667DB">
        <w:rPr>
          <w:rFonts w:ascii="Times New Roman" w:hAnsi="Times New Roman" w:cs="Times New Roman"/>
          <w:color w:val="000000" w:themeColor="text1"/>
          <w:vertAlign w:val="superscript"/>
        </w:rPr>
        <w:t>–5</w:t>
      </w:r>
      <w:r w:rsidRPr="001667DB">
        <w:rPr>
          <w:rFonts w:ascii="Times New Roman" w:hAnsi="Times New Roman" w:cs="Times New Roman"/>
          <w:color w:val="000000" w:themeColor="text1"/>
        </w:rPr>
        <w:t xml:space="preserve"> m/s (wyznaczonym wg załącznika Z2.J w ST D-02.00.01). </w:t>
      </w:r>
    </w:p>
    <w:p w14:paraId="719883D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5.5.10.</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 przewieziony w miejsce wbudowania powinien być bezzwłocznie wbudowany  w nasyp. Inżynier/ Inspektor nadzoru może dopuścić czasowe składowanie gruntu,  pod warunkiem jego zabezpieczenia przed nadmiernym zawilgoceniem. </w:t>
      </w:r>
    </w:p>
    <w:p w14:paraId="03062D04"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5.5.11.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konieczności wykonania stopni, w sytuacjach określonych w p. 5.3.2.  </w:t>
      </w:r>
    </w:p>
    <w:p w14:paraId="1EF9B391"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oraz w punktach 5.10.1. i 5.10.2. należy zapewnić zagęszczenie materiału nasypowego  w sposób eliminujący możliwość powstania pustek lub stref niedogęszczonych w sąsiedztwie pionowych powierzchni stopni. </w:t>
      </w:r>
    </w:p>
    <w:p w14:paraId="6C6A959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należy wbudowywać w nasyp gruntów kamienistych, gruzu betonowego i innych  podobnych, twardych materiałów w tych miejscach, gdzie przewiduje się formowanie  lub wbicie pali albo budowę konstrukcji i urządzeń.  </w:t>
      </w:r>
    </w:p>
    <w:p w14:paraId="4FF9E9D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celu uzyskania prawidłowego zagęszczenia w całym przekroju nasypu oraz zminimalizowania skutków erozji skarp, powodowanej opadami w czasie budowy  nasypu, nasyp należy formować jako minimum 0,5 m szerszy z każdej strony w stosunku do przekroju określonego w Dokumentacji Projektowej. Po wykonaniu korpusu ziemnego nadmiar materiału należy usunąć w czasie ostatecznego profilowania powierzchni skarp. Należy dążyć do takiej organizacji robót, by pozyskany w ten sposób materiał wykorzystać do budowy innego nasypu.  </w:t>
      </w:r>
    </w:p>
    <w:p w14:paraId="418CE69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Wykonawca zastosuje etapową budowę nasypu lub podda kontroli tempo jego wznoszenia, jeżeli taki sposób budowy określono w Dokumentacji Projektowej. Wykonawca zainstaluje wszystkie niezbędne elementy, konieczne do kontroli procesu wznoszenia nasypu i będzie monitorował wskazane parametry, w zakresie i w sposób, które określono w Dokumentacji Projektowej. </w:t>
      </w:r>
    </w:p>
    <w:p w14:paraId="5577615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nasyp lub jego część są wykonywane z popiołów lotnych lub innego materiału  wrażliwego na działanie wody to sposób wbudowania takich materiałów, zapewniający ochronę przed dostępem i oddziaływaniem wody musi być określony w Dokumentacji  Projektowej. Jeżeli materiały takie mają być stosowane na wniosek Wykonawcy, przedstawi on do akceptacji Inżyniera/ Inspektora nadzoru rozwiązanie zapewniające ich ochronę przed dostępem i oddziaływaniem wody. Górnej powierzchni warstwy popiołu lotnego lub innego </w:t>
      </w:r>
      <w:r w:rsidRPr="001667DB">
        <w:rPr>
          <w:rFonts w:ascii="Times New Roman" w:hAnsi="Times New Roman" w:cs="Times New Roman"/>
          <w:color w:val="000000" w:themeColor="text1"/>
        </w:rPr>
        <w:lastRenderedPageBreak/>
        <w:t xml:space="preserve">materiału wrażliwego na działanie wody należy nadać spadki poprzeczne 4% ±1% według zasad określonych w punkcie 5.5.5. </w:t>
      </w:r>
    </w:p>
    <w:p w14:paraId="5FDDED57"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5.5.16.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Przy wykonywaniu nasypu lub jego części z mieszanek popiołowych należy uwzględnić wyniki analizy stateczności oraz ocenę możliwości potencjalnego zanieczyszczenia  powierzchni ziemi szkodliwymi substancjami. </w:t>
      </w:r>
    </w:p>
    <w:p w14:paraId="5FE71F49"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2" w:name="_Toc30039"/>
      <w:r w:rsidRPr="001667DB">
        <w:rPr>
          <w:color w:val="000000" w:themeColor="text1"/>
          <w:sz w:val="22"/>
          <w:szCs w:val="22"/>
        </w:rPr>
        <w:t xml:space="preserve">Wykonywanie nasypów w okresie deszczów </w:t>
      </w:r>
      <w:bookmarkEnd w:id="252"/>
    </w:p>
    <w:p w14:paraId="40A816F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5.6.1.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dopuszcza się wbudowania gruntów, skał lub materiałów nadmiernie zawilgoconych, których stan uniemożliwia osiągniecie wymaganego wskaźnika zagęszczenia. Wykonywanie nasypów należy przerwać, jeżeli wilgotność gruntu, skały lub materiału przekracza wartość dopuszczalną określoną w tablicy 5.2. </w:t>
      </w:r>
    </w:p>
    <w:p w14:paraId="0B85438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5.6.2.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warstwie gruntu, skały lub materiału nadmiernie zawilgoconego nie wolno układać  następnej warstwy gruntu, skały lub materiału. Należy odczekać aż wilgotność warstwy  obniży się i rozłożenie oraz prawidłowe zagęszczenie następnej warstwy będzie możliwe albo należy przeprowadzić osuszenie w sposób mechaniczny lub osuszenie chemiczne, poprzez wymieszanie ze spoiwem. </w:t>
      </w:r>
    </w:p>
    <w:p w14:paraId="127CE81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5.6.3.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celu zabezpieczenia nasypu przed nadmiernym zawilgoceniem, poszczególne jego  warstwy oraz korona nasypu po zakończeniu robót ziemnych powinny być równe i mieć spadki potrzebne do prawidłowego odwodnienia, według punktu 5.5.5. </w:t>
      </w:r>
    </w:p>
    <w:p w14:paraId="5CE1785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5.6.4.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okresie deszczowym nie należy pozostawiać nie zagęszczonej warstwy do dnia  następnego. Jeżeli warstwa gruntu, skały lub materiału niezagęszczonego ulegnie  nadmiernemu zawilgoceniu, a Wykonawca nie jest w stanie osuszyć jej i zagęścić w czasie zaakceptowanym przez Inżyniera/Inspektora nadzoru, to Inżynier/Inspektor nadzoru może  nakazać Wykonawcy usunięcie wadliwej warstwy. </w:t>
      </w:r>
    </w:p>
    <w:p w14:paraId="50D2EA0A"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3" w:name="_Toc30040"/>
      <w:r w:rsidRPr="001667DB">
        <w:rPr>
          <w:color w:val="000000" w:themeColor="text1"/>
          <w:sz w:val="22"/>
          <w:szCs w:val="22"/>
        </w:rPr>
        <w:t xml:space="preserve">Wykonywanie nasypów w okresie zimowym </w:t>
      </w:r>
      <w:bookmarkEnd w:id="253"/>
    </w:p>
    <w:p w14:paraId="4669573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5.7.1.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Wykonywanie nasypów w temperaturze ujemnej, przy której nie jest możliwe osiągnięcie w nasypie wymaganego wskaźnika zagęszczenia gruntów, skał lub materiałów użytych do jego budowy, jest niedopuszczalne. </w:t>
      </w:r>
    </w:p>
    <w:p w14:paraId="52432A00"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5.7.2.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dopuszcza się wbudowania w nasyp gruntów, skał lub materiałów zamarzniętych lub przemieszanych ze śniegiem lub lodem. W czasie dużych opadów śniegu wykonywanie nasypów należy przerwać. Przed wznowieniem prac należy usunąć śnieg z powierzchni wznoszonego nasypu. </w:t>
      </w:r>
    </w:p>
    <w:p w14:paraId="75AF201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5.7.3.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warstwa niezagęszczonego gruntu, skały lub materiału zamarzła, to nie należy  jej przed rozmarznięciem zagęszczać ani układać na niej następnych warstw. </w:t>
      </w:r>
    </w:p>
    <w:p w14:paraId="5A6FB16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5.7.4.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Nasyp nie może być wznoszony na zamarzniętym podłożu, za wyjątkiem sytuacji gdy  Inżynier/Inspektor nadzoru wyrazi na to zgodę. </w:t>
      </w:r>
    </w:p>
    <w:p w14:paraId="09F5B787"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4" w:name="_Toc30041"/>
      <w:r w:rsidRPr="001667DB">
        <w:rPr>
          <w:color w:val="000000" w:themeColor="text1"/>
          <w:sz w:val="22"/>
          <w:szCs w:val="22"/>
        </w:rPr>
        <w:t xml:space="preserve">Wykonywanie nasypów na dojazdach do obiektów mostowych </w:t>
      </w:r>
      <w:bookmarkEnd w:id="254"/>
    </w:p>
    <w:p w14:paraId="328E7A3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Do wykonania nasypów na dojazdach do obiektów mostowych, należy stosować grunty  niespoiste o wskaźniku jednorodności uziarnienia C</w:t>
      </w:r>
      <w:r w:rsidRPr="001667DB">
        <w:rPr>
          <w:rFonts w:ascii="Times New Roman" w:hAnsi="Times New Roman" w:cs="Times New Roman"/>
          <w:color w:val="000000" w:themeColor="text1"/>
          <w:vertAlign w:val="subscript"/>
        </w:rPr>
        <w:t>U</w:t>
      </w:r>
      <w:r w:rsidRPr="001667DB">
        <w:rPr>
          <w:rFonts w:ascii="Times New Roman" w:hAnsi="Times New Roman" w:cs="Times New Roman"/>
          <w:color w:val="000000" w:themeColor="text1"/>
        </w:rPr>
        <w:t xml:space="preserve"> </w:t>
      </w:r>
      <w:r w:rsidR="00FD3B41">
        <w:rPr>
          <w:rFonts w:ascii="Times New Roman" w:eastAsia="Segoe UI Symbol" w:hAnsi="Times New Roman" w:cs="Times New Roman"/>
          <w:color w:val="000000" w:themeColor="text1"/>
        </w:rPr>
        <w:t xml:space="preserve">= </w:t>
      </w:r>
      <w:r w:rsidRPr="001667DB">
        <w:rPr>
          <w:rFonts w:ascii="Times New Roman" w:hAnsi="Times New Roman" w:cs="Times New Roman"/>
          <w:color w:val="000000" w:themeColor="text1"/>
        </w:rPr>
        <w:t>5,0 i współczynniku filtracji k</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 xml:space="preserve"> </w:t>
      </w:r>
      <w:r w:rsidR="00FD3B41">
        <w:rPr>
          <w:rFonts w:ascii="Times New Roman" w:eastAsia="Segoe UI Symbol" w:hAnsi="Times New Roman" w:cs="Times New Roman"/>
          <w:color w:val="000000" w:themeColor="text1"/>
        </w:rPr>
        <w:t>&gt;</w:t>
      </w:r>
      <w:r w:rsidRPr="001667DB">
        <w:rPr>
          <w:rFonts w:ascii="Times New Roman" w:hAnsi="Times New Roman" w:cs="Times New Roman"/>
          <w:color w:val="000000" w:themeColor="text1"/>
        </w:rPr>
        <w:t xml:space="preserve"> 6x10</w:t>
      </w:r>
      <w:r w:rsidRPr="001667DB">
        <w:rPr>
          <w:rFonts w:ascii="Times New Roman" w:hAnsi="Times New Roman" w:cs="Times New Roman"/>
          <w:color w:val="000000" w:themeColor="text1"/>
          <w:vertAlign w:val="superscript"/>
        </w:rPr>
        <w:t>-5</w:t>
      </w:r>
      <w:r w:rsidRPr="001667DB">
        <w:rPr>
          <w:rFonts w:ascii="Times New Roman" w:hAnsi="Times New Roman" w:cs="Times New Roman"/>
          <w:color w:val="000000" w:themeColor="text1"/>
        </w:rPr>
        <w:t xml:space="preserve"> m/s. </w:t>
      </w:r>
    </w:p>
    <w:p w14:paraId="1EF3E827"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Nasyp z materiałów określonych w punkcie 5.8.1. należy wykonać na długości co najmniej równej długości klina odłamu. Długość ta powinna być określona w Dokumentacji Projektowej lub przez Inżyniera/Inspektora nadzoru. Należy zapewnić, że nie wystąpią nierównomierne osiadania między częścią nasypu w obrębie dojazdu do obiektu mostowego, a dalszą jego częścią. </w:t>
      </w:r>
    </w:p>
    <w:p w14:paraId="0E1DD4E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części nasypu przylegającej do ściany przyczółka należy wykonać elementy odwodnienia, określone w Dokumentacji Projektowej.  </w:t>
      </w:r>
    </w:p>
    <w:p w14:paraId="297E106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Wskaźnik zagęszczenia gruntu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powinien być nie mniejszy niż 1,00 na całej wysokości nasypu w obrębie dojazdu do obiektu mostowego.  </w:t>
      </w:r>
    </w:p>
    <w:p w14:paraId="64489290"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czasie wykonywania nasypu na dojazdach do obiektów mostowych należy spełnić zasady ogólne, sformułowane w punkcie 5.5. </w:t>
      </w:r>
    </w:p>
    <w:p w14:paraId="4F2B994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5.8.6.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Gdy nasyp na dojeździe do obiektu mostowego jest wykonywany z innego materiału lub w innym czasie niż nasyp drogowy to warstwy nasypu z gruntu niespoistego w obrębie części mostowej układać na wcześniej przygotowanym nasypie drogowym z zachowaniem zasad punktu 5.9.1. </w:t>
      </w:r>
    </w:p>
    <w:p w14:paraId="56A3C8AD"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5" w:name="_Toc30042"/>
      <w:r w:rsidRPr="001667DB">
        <w:rPr>
          <w:color w:val="000000" w:themeColor="text1"/>
          <w:sz w:val="22"/>
          <w:szCs w:val="22"/>
        </w:rPr>
        <w:t xml:space="preserve">Wykonanie nasypów w obrębie przepustów </w:t>
      </w:r>
      <w:bookmarkEnd w:id="255"/>
    </w:p>
    <w:p w14:paraId="6456822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5.9.1.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Przepusty powinny być wykonane wcześniej niż nasyp. Dopuszcza się wykonanie  przepustów sposobem podanym w punkcie 5.9.3. o ile określono tak w Dokumentacji  Projektowej lub Wykonawca uzyskał zgodę Inżyniera/ Inspektora nadzoru. </w:t>
      </w:r>
    </w:p>
    <w:p w14:paraId="65CC85F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5.9.2.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Nasypy w obrębie przepustów należy wykonywać jednocześnie z obu stron przepustu  z jednakowych, dobrze zagęszczonych poziomych warstw gruntu. Wysokość nasypu  w czasie prowadzenia robót powinna być z obu stron przepustu taka sama. Wykonanie  nasypu, a w szczególności praca sprzętu zagęszczającego, nie mogą spowodować  przesunięcia, odkształcenia lub uszkodzenia przepustu. Obowiązują wymagania dotyczące zagęszczenia określone w punkcie 5.14. </w:t>
      </w:r>
    </w:p>
    <w:p w14:paraId="723CF0A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5.9.3.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Dopuszcza się wykonanie przepustów w prz</w:t>
      </w:r>
      <w:r w:rsidR="00996530">
        <w:rPr>
          <w:rFonts w:ascii="Times New Roman" w:hAnsi="Times New Roman" w:cs="Times New Roman"/>
          <w:color w:val="000000" w:themeColor="text1"/>
        </w:rPr>
        <w:t>ekopach (wcinkach) wykonanych w </w:t>
      </w:r>
      <w:r w:rsidRPr="001667DB">
        <w:rPr>
          <w:rFonts w:ascii="Times New Roman" w:hAnsi="Times New Roman" w:cs="Times New Roman"/>
          <w:color w:val="000000" w:themeColor="text1"/>
        </w:rPr>
        <w:t xml:space="preserve">poprzek uformowanego nasypu. W tym przypadku podczas odtworzenia nasypu w obrębie </w:t>
      </w:r>
      <w:r w:rsidRPr="001667DB">
        <w:rPr>
          <w:rFonts w:ascii="Times New Roman" w:hAnsi="Times New Roman" w:cs="Times New Roman"/>
          <w:color w:val="000000" w:themeColor="text1"/>
        </w:rPr>
        <w:lastRenderedPageBreak/>
        <w:t xml:space="preserve">przekopu należy uwzględnić wymagania, dotyczące połączenia starej i odtwarzanej części nasypu, określone w punkcie 5.10 w odniesieniu do wykonywania poszerzeń nasypu. </w:t>
      </w:r>
    </w:p>
    <w:p w14:paraId="26E859C2"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AC83853"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6" w:name="_Toc30043"/>
      <w:r w:rsidRPr="001667DB">
        <w:rPr>
          <w:color w:val="000000" w:themeColor="text1"/>
          <w:sz w:val="22"/>
          <w:szCs w:val="22"/>
        </w:rPr>
        <w:t xml:space="preserve">Wykonanie poszerzenia nasypu </w:t>
      </w:r>
      <w:bookmarkEnd w:id="256"/>
    </w:p>
    <w:p w14:paraId="2E25A19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5.10.1.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Przy poszerzeniu istniejącego nasypu należy wykonywać w jego skarpie stopnie. Szerokość stopni powinna być dobrana z uwzględnieniem pochylenia skarpy istniejącego nasypu oraz grubości warstw gruntu, skały lub materiału, z których będzie formowane poszerzenie korpusu ziemnego i nie powinna przekraczać 1,0 m. Spadek górnej powierzchni stopni powinien wynosić</w:t>
      </w:r>
      <w:r w:rsidR="003C704A" w:rsidRPr="001667DB">
        <w:rPr>
          <w:rFonts w:ascii="Times New Roman" w:hAnsi="Times New Roman" w:cs="Times New Roman"/>
          <w:color w:val="000000" w:themeColor="text1"/>
        </w:rPr>
        <w:t xml:space="preserve">  od </w:t>
      </w:r>
      <w:r w:rsidRPr="001667DB">
        <w:rPr>
          <w:rFonts w:ascii="Times New Roman" w:hAnsi="Times New Roman" w:cs="Times New Roman"/>
          <w:color w:val="000000" w:themeColor="text1"/>
        </w:rPr>
        <w:t xml:space="preserve"> 4% </w:t>
      </w:r>
      <w:r w:rsidR="003C704A" w:rsidRPr="001667DB">
        <w:rPr>
          <w:rFonts w:ascii="Times New Roman" w:eastAsia="Segoe UI Symbol" w:hAnsi="Times New Roman" w:cs="Times New Roman"/>
          <w:color w:val="000000" w:themeColor="text1"/>
        </w:rPr>
        <w:t xml:space="preserve">do </w:t>
      </w:r>
      <w:r w:rsidRPr="001667DB">
        <w:rPr>
          <w:rFonts w:ascii="Times New Roman" w:hAnsi="Times New Roman" w:cs="Times New Roman"/>
          <w:color w:val="000000" w:themeColor="text1"/>
        </w:rPr>
        <w:t xml:space="preserve">1% w kierunku zgodnym z pochyleniem skarpy. </w:t>
      </w:r>
    </w:p>
    <w:p w14:paraId="74B5FF97"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5.10.2.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Wycięcie stopni obowiązuje zawsze przy wykonywaniu styku dwóch przyległych części  nasypu, wykonanych z gruntów, skał lub materiałów </w:t>
      </w:r>
      <w:r w:rsidR="00996530">
        <w:rPr>
          <w:rFonts w:ascii="Times New Roman" w:hAnsi="Times New Roman" w:cs="Times New Roman"/>
          <w:color w:val="000000" w:themeColor="text1"/>
        </w:rPr>
        <w:t>o różnych właściwościach  lub w </w:t>
      </w:r>
      <w:r w:rsidRPr="001667DB">
        <w:rPr>
          <w:rFonts w:ascii="Times New Roman" w:hAnsi="Times New Roman" w:cs="Times New Roman"/>
          <w:color w:val="000000" w:themeColor="text1"/>
        </w:rPr>
        <w:t xml:space="preserve">różnym czasie.  </w:t>
      </w:r>
    </w:p>
    <w:p w14:paraId="051B31DB"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7" w:name="_Toc30044"/>
      <w:r w:rsidRPr="001667DB">
        <w:rPr>
          <w:color w:val="000000" w:themeColor="text1"/>
          <w:sz w:val="22"/>
          <w:szCs w:val="22"/>
        </w:rPr>
        <w:t xml:space="preserve">Wykonywanie nasypu na zboczu </w:t>
      </w:r>
      <w:bookmarkEnd w:id="257"/>
    </w:p>
    <w:p w14:paraId="7F54448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Sposób budowy nasypu na zboczu powinien być jednoznacznie określony w Projekcie  Geotechnicznym, o ile występuje, lub w Dokumentacji Projektowej .  </w:t>
      </w:r>
    </w:p>
    <w:p w14:paraId="5ED68C3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budowy nasypu na zboczu o pochyleniu poprzecznym od 1:5 do 1:2 minimalne  zabezpieczenie nasypu przed zsuwaniem się obejmuje: </w:t>
      </w:r>
    </w:p>
    <w:p w14:paraId="67CE26C5" w14:textId="77777777" w:rsidR="00955A27" w:rsidRPr="001667DB" w:rsidRDefault="00955A27" w:rsidP="00996530">
      <w:pPr>
        <w:numPr>
          <w:ilvl w:val="0"/>
          <w:numId w:val="49"/>
        </w:numPr>
        <w:spacing w:after="120" w:line="360" w:lineRule="auto"/>
        <w:ind w:right="12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wycięcie w zboczu stopni w obrębie podstawy nasypu, wg punktu 5.3.2. </w:t>
      </w:r>
    </w:p>
    <w:p w14:paraId="6AB23904" w14:textId="77777777" w:rsidR="00955A27" w:rsidRPr="001667DB" w:rsidRDefault="00955A27" w:rsidP="00996530">
      <w:pPr>
        <w:numPr>
          <w:ilvl w:val="0"/>
          <w:numId w:val="49"/>
        </w:numPr>
        <w:spacing w:after="120" w:line="360" w:lineRule="auto"/>
        <w:ind w:right="12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rowu stokowego powyżej nasypu. </w:t>
      </w:r>
    </w:p>
    <w:p w14:paraId="52424C6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pochylenia poprzecznego zbocza większego niż 1:2 należy rozważyć  zabezpieczenie stateczności nasypu przez podparcie go murem oporowym  lub wykorzystanie technologii gruntu zbrojonego. Przy ocenie konieczności wykonania  zabezpieczenia oraz przy wyborze zabezpieczenia należy uwzględnić wyniki analizy  stateczności. </w:t>
      </w:r>
    </w:p>
    <w:p w14:paraId="547A1895"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8" w:name="_Toc30045"/>
      <w:r w:rsidRPr="001667DB">
        <w:rPr>
          <w:color w:val="000000" w:themeColor="text1"/>
          <w:sz w:val="22"/>
          <w:szCs w:val="22"/>
        </w:rPr>
        <w:t xml:space="preserve">Wykonywanie nasypu z gruntów skalistych lub materiałów gruboziarnistych  </w:t>
      </w:r>
      <w:bookmarkEnd w:id="258"/>
    </w:p>
    <w:p w14:paraId="6B0DEE0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5.12.1.</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Wykonywanie nasypu z gruntów, skał lub materiałów gruboziarnistych powinno odbywać się według jednej z metod, podanych w punktach 5.12.3. i 5.12.4, jeśli inny sposób wykonania robót nie został określony w Dokumentacji Projektowej, ST lub przez Inżyniera/ Inspektora nadzoru.  </w:t>
      </w:r>
    </w:p>
    <w:p w14:paraId="10729ECD"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5.12.2.</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Jeżeli nasyp gruntów, skał lub materiałów gruboziarnistych ma być wykonany powyżej  </w:t>
      </w:r>
    </w:p>
    <w:p w14:paraId="1842E0F0"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konstrukcji, na przykład przepustu, należy wcześniej ułożyć na niej i zagęścić warstwę gruntu, skały lub materiału antropogenicznego drobnoziarnistego lub średnioziarnistego, o łącznej grubości od 0,5 do 1,0 metra. </w:t>
      </w:r>
    </w:p>
    <w:p w14:paraId="58BC0F1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5.12.3.</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Wykonywanie nasypu z gruntów, skał lub materiałów gruboziarnistych z wypełnieniem  wolnych przestrzeni polega na układaniu warstw materiałów gruboziarnistych, o grubości nie większej niż 30 cm i przykrywaniu ich warstwą gruntu, skały lub materiału  drobnoziarnistego. Materiał drobnoziarnisty należy zagęszczać, najlepiej sprzętem  wibracyjnym, wskutek czego wypełni on wolne przestrzenie miedzy grubymi ziarnami.  Przy tym sposobie budowy nasypu można stosować skały i materiały gruboziarniste,  które są miękkie, natomiast jako wypełnienie sypkie grunty (żwir, pospółka, piasek)  i materiały drobnoziarniste.  </w:t>
      </w:r>
    </w:p>
    <w:p w14:paraId="419B85C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5.12.4.</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Nasyp z gruntów, skał lub materiałów gruboziarnistych bez wypełnienia wolnych  przestrzeni wykonuje się poprzez układanie kolejnych warstw i ich zagęszczanie.  Do budowy nasypu należy użyć gruntów, skał lub materiałów gruboziarnistych odpornych na działanie mrozu. Część nasypu wykonana tą metodą nie może sięgać wyżej niż 1,2 m od projektowanej niwelety robót ziemnych. Część nasypu wykonana bez wypełniania wolnych przestrzeni musi być oddzielona od podłoża oraz wyżej </w:t>
      </w:r>
    </w:p>
    <w:p w14:paraId="0668D5E7"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leżącej części nasypu z zastosowaniem warstwy materiału ziarnistego lub geotekstyliów, zgodnie z zasadami określonymi w punktach 5.12.5 i 5.12.6. </w:t>
      </w:r>
    </w:p>
    <w:p w14:paraId="7EE2BCE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5.12.5.</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Strefę nasypu wykonaną z gruntów, skał lub materiałów gruboziarnistych bez wypełnienia wolnych przestrzeni można oddzielić od przylegającego gruntu około 10centymetrową warstwą żwiru, pospółki lub nieodsianego kruszywa łamanego, które zawierają od 25% do 50% ziaren mniejszych od 2 mm i spełniają warunek:  </w:t>
      </w:r>
    </w:p>
    <w:p w14:paraId="5B750C42" w14:textId="77777777" w:rsidR="00955A27" w:rsidRPr="001667DB" w:rsidRDefault="00955A27" w:rsidP="00996530">
      <w:pPr>
        <w:tabs>
          <w:tab w:val="center" w:pos="4284"/>
          <w:tab w:val="center" w:pos="5233"/>
          <w:tab w:val="center" w:pos="5723"/>
        </w:tabs>
        <w:spacing w:after="120" w:line="360" w:lineRule="auto"/>
        <w:jc w:val="both"/>
        <w:rPr>
          <w:rFonts w:ascii="Times New Roman" w:hAnsi="Times New Roman" w:cs="Times New Roman"/>
          <w:color w:val="000000" w:themeColor="text1"/>
          <w:vertAlign w:val="subscript"/>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4 d</w:t>
      </w:r>
      <w:r w:rsidRPr="001667DB">
        <w:rPr>
          <w:rFonts w:ascii="Times New Roman" w:hAnsi="Times New Roman" w:cs="Times New Roman"/>
          <w:color w:val="000000" w:themeColor="text1"/>
          <w:vertAlign w:val="subscript"/>
        </w:rPr>
        <w:t>85</w:t>
      </w:r>
      <w:r w:rsidRPr="001667DB">
        <w:rPr>
          <w:rFonts w:ascii="Times New Roman" w:hAnsi="Times New Roman" w:cs="Times New Roman"/>
          <w:color w:val="000000" w:themeColor="text1"/>
        </w:rPr>
        <w:t xml:space="preserve">  ≥ D</w:t>
      </w:r>
      <w:r w:rsidRPr="001667DB">
        <w:rPr>
          <w:rFonts w:ascii="Times New Roman" w:hAnsi="Times New Roman" w:cs="Times New Roman"/>
          <w:color w:val="000000" w:themeColor="text1"/>
          <w:vertAlign w:val="subscript"/>
        </w:rPr>
        <w:t xml:space="preserve">15 </w:t>
      </w:r>
      <w:r w:rsidRPr="001667DB">
        <w:rPr>
          <w:rFonts w:ascii="Times New Roman" w:hAnsi="Times New Roman" w:cs="Times New Roman"/>
          <w:color w:val="000000" w:themeColor="text1"/>
        </w:rPr>
        <w:t>≥ 4 d</w:t>
      </w:r>
      <w:r w:rsidRPr="001667DB">
        <w:rPr>
          <w:rFonts w:ascii="Times New Roman" w:hAnsi="Times New Roman" w:cs="Times New Roman"/>
          <w:color w:val="000000" w:themeColor="text1"/>
          <w:vertAlign w:val="subscript"/>
        </w:rPr>
        <w:t>15</w:t>
      </w:r>
    </w:p>
    <w:p w14:paraId="34641805"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gdzie:  </w:t>
      </w:r>
    </w:p>
    <w:p w14:paraId="7EFA3BB3" w14:textId="77777777" w:rsidR="00955A27" w:rsidRPr="001667DB" w:rsidRDefault="00955A27" w:rsidP="00996530">
      <w:pPr>
        <w:tabs>
          <w:tab w:val="right" w:pos="9502"/>
        </w:tabs>
        <w:spacing w:after="120" w:line="360" w:lineRule="auto"/>
        <w:ind w:left="945" w:hanging="945"/>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85</w:t>
      </w:r>
      <w:r w:rsidRPr="001667DB">
        <w:rPr>
          <w:rFonts w:ascii="Times New Roman" w:hAnsi="Times New Roman" w:cs="Times New Roman"/>
          <w:color w:val="000000" w:themeColor="text1"/>
        </w:rPr>
        <w:t xml:space="preserve"> i d</w:t>
      </w:r>
      <w:r w:rsidRPr="001667DB">
        <w:rPr>
          <w:rFonts w:ascii="Times New Roman" w:hAnsi="Times New Roman" w:cs="Times New Roman"/>
          <w:color w:val="000000" w:themeColor="text1"/>
          <w:vertAlign w:val="subscript"/>
        </w:rPr>
        <w:t>15</w:t>
      </w:r>
      <w:r w:rsidRPr="001667DB">
        <w:rPr>
          <w:rFonts w:ascii="Times New Roman" w:hAnsi="Times New Roman" w:cs="Times New Roman"/>
          <w:color w:val="000000" w:themeColor="text1"/>
        </w:rPr>
        <w:tab/>
        <w:t xml:space="preserve">średnica oczek sita, przez które przechodzi 85% i 15% gruntu przylegającego do strefy nasypu wykonanej bez wypełnienia wolnych przestrzeni (mm),  </w:t>
      </w:r>
    </w:p>
    <w:p w14:paraId="60D13198" w14:textId="77777777" w:rsidR="00955A27" w:rsidRPr="001667DB" w:rsidRDefault="00955A27" w:rsidP="00996530">
      <w:pPr>
        <w:tabs>
          <w:tab w:val="center" w:pos="929"/>
          <w:tab w:val="right" w:pos="9502"/>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xml:space="preserve">średnica oczek sita, przez które przechodzi 15% gruntu skalistego lub materiału gruboziarnistego (mm). </w:t>
      </w:r>
    </w:p>
    <w:p w14:paraId="54687FE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5.12.6.</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Strefę nasypu wykonaną z gruntów, skał lub materiałów gruboziarnistych bez wypełnienia wolnych przestrzeni można oddzielić od przylegającego gruntu warstwą geotekstyliów o odpowiednich właściwościach mechanicznych, uniemożliwiających jej przebicie oraz o odpowiednich właściwościach filtracyjnych, dostosowanych do uziarnienia  przylegających warstw.  </w:t>
      </w:r>
    </w:p>
    <w:p w14:paraId="47FF2857"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59" w:name="_Toc30046"/>
      <w:r w:rsidRPr="001667DB">
        <w:rPr>
          <w:color w:val="000000" w:themeColor="text1"/>
          <w:sz w:val="22"/>
          <w:szCs w:val="22"/>
        </w:rPr>
        <w:t xml:space="preserve">Zasady zagęszczania warstw nasypu  </w:t>
      </w:r>
      <w:bookmarkEnd w:id="259"/>
    </w:p>
    <w:p w14:paraId="22BB7BA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Każda warstwa gruntu, skały lub innego materiału użytego do budowy nasypu powinna  być zagęszczona jak najszybciej po jej rozłożeniu, z zastosowaniem sprzętu odpowiedniego </w:t>
      </w:r>
      <w:r w:rsidRPr="001667DB">
        <w:rPr>
          <w:rFonts w:ascii="Times New Roman" w:hAnsi="Times New Roman" w:cs="Times New Roman"/>
          <w:color w:val="000000" w:themeColor="text1"/>
        </w:rPr>
        <w:lastRenderedPageBreak/>
        <w:t xml:space="preserve">dla rodzaju gruntu (skały, materiału) oraz występujących warunków i zatwierdzonego przez Inżyniera/ Inspektora nadzoru. </w:t>
      </w:r>
    </w:p>
    <w:p w14:paraId="0D82AA28"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5.13.2.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Rozłożone warstwy należy zagęszczać od krawędzi nasypu w kierunku jego osi. </w:t>
      </w:r>
    </w:p>
    <w:p w14:paraId="68C66BC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5.13.3.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Grubość warstwy poddanej zagęszczaniu powinna być ustalona z uwzględnieniem  spulchnienia gruntu (skały, materiału) oraz założonej grubości warstwy po osiągnięciu  wymaganego zagęszczenia. Grubość warstwy zagęszczonego gruntu (skały, materiału)  oraz liczbę przejść maszyny zagęszczającej zaleca się określić doświadczalnie dla każdego rodzaju gruntu (skały, materiału) i typu maszyny, zgodnie z zasadami podanymi w punkcie 5.15. Orientacyjne wartości, dotyczące grubości warstw różnych gruntów oraz liczby przejazdów różnych maszyn stosowanych do zagęszczania podano w punkcie 3 ST D-02.00.01 „Roboty ziemne. Wymagania ogólne”. </w:t>
      </w:r>
    </w:p>
    <w:p w14:paraId="1F2110A0" w14:textId="77777777" w:rsidR="00955A27" w:rsidRPr="001667DB" w:rsidRDefault="00955A27" w:rsidP="00996530">
      <w:pPr>
        <w:spacing w:after="120" w:line="360" w:lineRule="auto"/>
        <w:ind w:left="709" w:hanging="724"/>
        <w:jc w:val="both"/>
        <w:rPr>
          <w:rFonts w:ascii="Times New Roman" w:hAnsi="Times New Roman" w:cs="Times New Roman"/>
          <w:color w:val="000000" w:themeColor="text1"/>
        </w:rPr>
      </w:pPr>
      <w:r w:rsidRPr="001667DB">
        <w:rPr>
          <w:rFonts w:ascii="Times New Roman" w:hAnsi="Times New Roman" w:cs="Times New Roman"/>
          <w:color w:val="000000" w:themeColor="text1"/>
        </w:rPr>
        <w:t>5.13.4.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czasie zagęszczania warstwy, wilgotność gruntu lub innego materiału użytego do budowy nasypu powinna być równa wilgotności optymalnej, z tolerancją określoną w Tablicy 5.2. </w:t>
      </w:r>
    </w:p>
    <w:p w14:paraId="52879C78"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5.2. Tolerancja wilgotności gruntów i materiałów antropogenicznych w czasie zagęszczania warstwy </w:t>
      </w:r>
    </w:p>
    <w:tbl>
      <w:tblPr>
        <w:tblStyle w:val="TableGrid"/>
        <w:tblW w:w="8649" w:type="dxa"/>
        <w:tblInd w:w="852" w:type="dxa"/>
        <w:tblCellMar>
          <w:top w:w="59" w:type="dxa"/>
          <w:left w:w="115" w:type="dxa"/>
          <w:right w:w="115" w:type="dxa"/>
        </w:tblCellMar>
        <w:tblLook w:val="04A0" w:firstRow="1" w:lastRow="0" w:firstColumn="1" w:lastColumn="0" w:noHBand="0" w:noVBand="1"/>
      </w:tblPr>
      <w:tblGrid>
        <w:gridCol w:w="3099"/>
        <w:gridCol w:w="2838"/>
        <w:gridCol w:w="2712"/>
      </w:tblGrid>
      <w:tr w:rsidR="00955A27" w:rsidRPr="001667DB" w14:paraId="59B21325" w14:textId="77777777">
        <w:trPr>
          <w:trHeight w:val="523"/>
        </w:trPr>
        <w:tc>
          <w:tcPr>
            <w:tcW w:w="3099" w:type="dxa"/>
            <w:vMerge w:val="restart"/>
            <w:tcBorders>
              <w:top w:val="double" w:sz="4" w:space="0" w:color="000000"/>
              <w:left w:val="double" w:sz="4" w:space="0" w:color="000000"/>
              <w:bottom w:val="double" w:sz="4" w:space="0" w:color="000000"/>
              <w:right w:val="single" w:sz="4" w:space="0" w:color="000000"/>
            </w:tcBorders>
            <w:vAlign w:val="center"/>
          </w:tcPr>
          <w:p w14:paraId="378A9956" w14:textId="77777777" w:rsidR="00955A27" w:rsidRPr="001667DB" w:rsidRDefault="00955A27" w:rsidP="00955A27">
            <w:pPr>
              <w:spacing w:after="120" w:line="360" w:lineRule="auto"/>
              <w:ind w:right="5"/>
              <w:jc w:val="center"/>
              <w:rPr>
                <w:rFonts w:ascii="Times New Roman" w:hAnsi="Times New Roman" w:cs="Times New Roman"/>
                <w:color w:val="000000" w:themeColor="text1"/>
              </w:rPr>
            </w:pPr>
            <w:r w:rsidRPr="001667DB">
              <w:rPr>
                <w:rFonts w:ascii="Times New Roman" w:hAnsi="Times New Roman" w:cs="Times New Roman"/>
                <w:color w:val="000000" w:themeColor="text1"/>
              </w:rPr>
              <w:t>Wilgotność optymalna W</w:t>
            </w:r>
            <w:r w:rsidRPr="001667DB">
              <w:rPr>
                <w:rFonts w:ascii="Times New Roman" w:hAnsi="Times New Roman" w:cs="Times New Roman"/>
                <w:color w:val="000000" w:themeColor="text1"/>
                <w:vertAlign w:val="subscript"/>
              </w:rPr>
              <w:t>OPT</w:t>
            </w:r>
            <w:r w:rsidRPr="001667DB">
              <w:rPr>
                <w:rFonts w:ascii="Times New Roman" w:hAnsi="Times New Roman" w:cs="Times New Roman"/>
                <w:color w:val="000000" w:themeColor="text1"/>
              </w:rPr>
              <w:t xml:space="preserve"> </w:t>
            </w:r>
            <w:r w:rsidRPr="001667DB">
              <w:rPr>
                <w:rFonts w:ascii="Times New Roman" w:hAnsi="Times New Roman" w:cs="Times New Roman"/>
                <w:b/>
                <w:color w:val="000000" w:themeColor="text1"/>
              </w:rPr>
              <w:t xml:space="preserve"> </w:t>
            </w:r>
          </w:p>
        </w:tc>
        <w:tc>
          <w:tcPr>
            <w:tcW w:w="5550" w:type="dxa"/>
            <w:gridSpan w:val="2"/>
            <w:tcBorders>
              <w:top w:val="double" w:sz="4" w:space="0" w:color="000000"/>
              <w:left w:val="single" w:sz="4" w:space="0" w:color="000000"/>
              <w:bottom w:val="single" w:sz="4" w:space="0" w:color="000000"/>
              <w:right w:val="double" w:sz="4" w:space="0" w:color="000000"/>
            </w:tcBorders>
          </w:tcPr>
          <w:p w14:paraId="5B2947B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Wilgotność gruntu (materiału) w warstwie poddanej zagęszczaniu </w:t>
            </w:r>
          </w:p>
        </w:tc>
      </w:tr>
      <w:tr w:rsidR="00955A27" w:rsidRPr="001667DB" w14:paraId="330A4D5C" w14:textId="77777777">
        <w:trPr>
          <w:trHeight w:val="360"/>
        </w:trPr>
        <w:tc>
          <w:tcPr>
            <w:tcW w:w="0" w:type="auto"/>
            <w:vMerge/>
            <w:tcBorders>
              <w:top w:val="nil"/>
              <w:left w:val="double" w:sz="4" w:space="0" w:color="000000"/>
              <w:bottom w:val="double" w:sz="4" w:space="0" w:color="000000"/>
              <w:right w:val="single" w:sz="4" w:space="0" w:color="000000"/>
            </w:tcBorders>
          </w:tcPr>
          <w:p w14:paraId="1F956B74"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838" w:type="dxa"/>
            <w:tcBorders>
              <w:top w:val="single" w:sz="4" w:space="0" w:color="000000"/>
              <w:left w:val="single" w:sz="4" w:space="0" w:color="000000"/>
              <w:bottom w:val="double" w:sz="4" w:space="0" w:color="000000"/>
              <w:right w:val="single" w:sz="4" w:space="0" w:color="000000"/>
            </w:tcBorders>
          </w:tcPr>
          <w:p w14:paraId="42480207" w14:textId="77777777" w:rsidR="00955A27" w:rsidRPr="001667DB" w:rsidRDefault="00955A27" w:rsidP="00955A27">
            <w:pPr>
              <w:spacing w:after="120" w:line="360" w:lineRule="auto"/>
              <w:ind w:righ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Minimalna </w:t>
            </w:r>
          </w:p>
        </w:tc>
        <w:tc>
          <w:tcPr>
            <w:tcW w:w="2712" w:type="dxa"/>
            <w:tcBorders>
              <w:top w:val="single" w:sz="4" w:space="0" w:color="000000"/>
              <w:left w:val="single" w:sz="4" w:space="0" w:color="000000"/>
              <w:bottom w:val="double" w:sz="4" w:space="0" w:color="000000"/>
              <w:right w:val="double" w:sz="4" w:space="0" w:color="000000"/>
            </w:tcBorders>
          </w:tcPr>
          <w:p w14:paraId="5F82ABEB" w14:textId="77777777" w:rsidR="00955A27" w:rsidRPr="001667DB" w:rsidRDefault="00955A27" w:rsidP="00955A27">
            <w:pPr>
              <w:spacing w:after="120" w:line="360" w:lineRule="auto"/>
              <w:ind w:right="1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Maksymalna </w:t>
            </w:r>
          </w:p>
        </w:tc>
      </w:tr>
      <w:tr w:rsidR="00955A27" w:rsidRPr="001667DB" w14:paraId="2932A753" w14:textId="77777777">
        <w:trPr>
          <w:trHeight w:val="418"/>
        </w:trPr>
        <w:tc>
          <w:tcPr>
            <w:tcW w:w="3099" w:type="dxa"/>
            <w:tcBorders>
              <w:top w:val="double" w:sz="4" w:space="0" w:color="000000"/>
              <w:left w:val="double" w:sz="4" w:space="0" w:color="000000"/>
              <w:bottom w:val="single" w:sz="4" w:space="0" w:color="000000"/>
              <w:right w:val="single" w:sz="4" w:space="0" w:color="000000"/>
            </w:tcBorders>
            <w:vAlign w:val="center"/>
          </w:tcPr>
          <w:p w14:paraId="2D4686FC" w14:textId="77777777" w:rsidR="00955A27" w:rsidRPr="001667DB" w:rsidRDefault="00955A27" w:rsidP="00955A27">
            <w:pPr>
              <w:spacing w:after="120" w:line="360" w:lineRule="auto"/>
              <w:ind w:righ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&lt; 10% </w:t>
            </w:r>
          </w:p>
        </w:tc>
        <w:tc>
          <w:tcPr>
            <w:tcW w:w="2838" w:type="dxa"/>
            <w:tcBorders>
              <w:top w:val="double" w:sz="4" w:space="0" w:color="000000"/>
              <w:left w:val="single" w:sz="4" w:space="0" w:color="000000"/>
              <w:bottom w:val="single" w:sz="4" w:space="0" w:color="000000"/>
              <w:right w:val="single" w:sz="4" w:space="0" w:color="000000"/>
            </w:tcBorders>
            <w:vAlign w:val="center"/>
          </w:tcPr>
          <w:p w14:paraId="05B52CBE" w14:textId="77777777" w:rsidR="00955A27" w:rsidRPr="001667DB" w:rsidRDefault="00955A27" w:rsidP="00955A27">
            <w:pPr>
              <w:spacing w:after="120" w:line="360" w:lineRule="auto"/>
              <w:ind w:right="6"/>
              <w:jc w:val="center"/>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OPT</w:t>
            </w:r>
            <w:r w:rsidRPr="001667DB">
              <w:rPr>
                <w:rFonts w:ascii="Times New Roman" w:hAnsi="Times New Roman" w:cs="Times New Roman"/>
                <w:color w:val="000000" w:themeColor="text1"/>
              </w:rPr>
              <w:t xml:space="preserve">  -  2% </w:t>
            </w:r>
          </w:p>
        </w:tc>
        <w:tc>
          <w:tcPr>
            <w:tcW w:w="2712" w:type="dxa"/>
            <w:tcBorders>
              <w:top w:val="double" w:sz="4" w:space="0" w:color="000000"/>
              <w:left w:val="single" w:sz="4" w:space="0" w:color="000000"/>
              <w:bottom w:val="single" w:sz="4" w:space="0" w:color="000000"/>
              <w:right w:val="double" w:sz="4" w:space="0" w:color="000000"/>
            </w:tcBorders>
            <w:vAlign w:val="center"/>
          </w:tcPr>
          <w:p w14:paraId="12823B89" w14:textId="77777777" w:rsidR="00955A27" w:rsidRPr="001667DB" w:rsidRDefault="00955A27" w:rsidP="00955A27">
            <w:pPr>
              <w:spacing w:after="120" w:line="360" w:lineRule="auto"/>
              <w:ind w:right="8"/>
              <w:jc w:val="center"/>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OPT</w:t>
            </w:r>
            <w:r w:rsidRPr="001667DB">
              <w:rPr>
                <w:rFonts w:ascii="Times New Roman" w:hAnsi="Times New Roman" w:cs="Times New Roman"/>
                <w:color w:val="000000" w:themeColor="text1"/>
              </w:rPr>
              <w:t xml:space="preserve">  +  1% </w:t>
            </w:r>
          </w:p>
        </w:tc>
      </w:tr>
      <w:tr w:rsidR="00955A27" w:rsidRPr="001667DB" w14:paraId="720FD5BD" w14:textId="77777777">
        <w:trPr>
          <w:trHeight w:val="384"/>
        </w:trPr>
        <w:tc>
          <w:tcPr>
            <w:tcW w:w="3099" w:type="dxa"/>
            <w:tcBorders>
              <w:top w:val="single" w:sz="4" w:space="0" w:color="000000"/>
              <w:left w:val="double" w:sz="4" w:space="0" w:color="000000"/>
              <w:bottom w:val="double" w:sz="4" w:space="0" w:color="000000"/>
              <w:right w:val="single" w:sz="4" w:space="0" w:color="000000"/>
            </w:tcBorders>
            <w:vAlign w:val="center"/>
          </w:tcPr>
          <w:p w14:paraId="1749E99B" w14:textId="77777777" w:rsidR="00955A27" w:rsidRPr="001667DB" w:rsidRDefault="00955A27" w:rsidP="00955A27">
            <w:pPr>
              <w:spacing w:after="120" w:line="360" w:lineRule="auto"/>
              <w:ind w:righ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10% </w:t>
            </w:r>
          </w:p>
        </w:tc>
        <w:tc>
          <w:tcPr>
            <w:tcW w:w="2838" w:type="dxa"/>
            <w:tcBorders>
              <w:top w:val="single" w:sz="4" w:space="0" w:color="000000"/>
              <w:left w:val="single" w:sz="4" w:space="0" w:color="000000"/>
              <w:bottom w:val="double" w:sz="4" w:space="0" w:color="000000"/>
              <w:right w:val="single" w:sz="4" w:space="0" w:color="000000"/>
            </w:tcBorders>
            <w:vAlign w:val="center"/>
          </w:tcPr>
          <w:p w14:paraId="0993999B" w14:textId="77777777" w:rsidR="00955A27" w:rsidRPr="001667DB" w:rsidRDefault="00955A27" w:rsidP="00955A27">
            <w:pPr>
              <w:spacing w:after="120" w:line="360" w:lineRule="auto"/>
              <w:ind w:right="8"/>
              <w:jc w:val="center"/>
              <w:rPr>
                <w:rFonts w:ascii="Times New Roman" w:hAnsi="Times New Roman" w:cs="Times New Roman"/>
                <w:color w:val="000000" w:themeColor="text1"/>
              </w:rPr>
            </w:pPr>
            <w:r w:rsidRPr="001667DB">
              <w:rPr>
                <w:rFonts w:ascii="Times New Roman" w:hAnsi="Times New Roman" w:cs="Times New Roman"/>
                <w:color w:val="000000" w:themeColor="text1"/>
              </w:rPr>
              <w:t>0,8 W</w:t>
            </w:r>
            <w:r w:rsidRPr="001667DB">
              <w:rPr>
                <w:rFonts w:ascii="Times New Roman" w:hAnsi="Times New Roman" w:cs="Times New Roman"/>
                <w:color w:val="000000" w:themeColor="text1"/>
                <w:vertAlign w:val="subscript"/>
              </w:rPr>
              <w:t>OPT</w:t>
            </w:r>
            <w:r w:rsidRPr="001667DB">
              <w:rPr>
                <w:rFonts w:ascii="Times New Roman" w:hAnsi="Times New Roman" w:cs="Times New Roman"/>
                <w:color w:val="000000" w:themeColor="text1"/>
              </w:rPr>
              <w:t xml:space="preserve"> </w:t>
            </w:r>
          </w:p>
        </w:tc>
        <w:tc>
          <w:tcPr>
            <w:tcW w:w="2712" w:type="dxa"/>
            <w:tcBorders>
              <w:top w:val="single" w:sz="4" w:space="0" w:color="000000"/>
              <w:left w:val="single" w:sz="4" w:space="0" w:color="000000"/>
              <w:bottom w:val="double" w:sz="4" w:space="0" w:color="000000"/>
              <w:right w:val="double" w:sz="4" w:space="0" w:color="000000"/>
            </w:tcBorders>
            <w:vAlign w:val="center"/>
          </w:tcPr>
          <w:p w14:paraId="7E788EEB" w14:textId="77777777" w:rsidR="00955A27" w:rsidRPr="001667DB" w:rsidRDefault="00955A27" w:rsidP="00955A27">
            <w:pPr>
              <w:spacing w:after="120" w:line="360" w:lineRule="auto"/>
              <w:ind w:right="8"/>
              <w:jc w:val="center"/>
              <w:rPr>
                <w:rFonts w:ascii="Times New Roman" w:hAnsi="Times New Roman" w:cs="Times New Roman"/>
                <w:color w:val="000000" w:themeColor="text1"/>
              </w:rPr>
            </w:pPr>
            <w:r w:rsidRPr="001667DB">
              <w:rPr>
                <w:rFonts w:ascii="Times New Roman" w:hAnsi="Times New Roman" w:cs="Times New Roman"/>
                <w:color w:val="000000" w:themeColor="text1"/>
              </w:rPr>
              <w:t>1,1 W</w:t>
            </w:r>
            <w:r w:rsidRPr="001667DB">
              <w:rPr>
                <w:rFonts w:ascii="Times New Roman" w:hAnsi="Times New Roman" w:cs="Times New Roman"/>
                <w:color w:val="000000" w:themeColor="text1"/>
                <w:vertAlign w:val="subscript"/>
              </w:rPr>
              <w:t>OPT</w:t>
            </w:r>
            <w:r w:rsidRPr="001667DB">
              <w:rPr>
                <w:rFonts w:ascii="Times New Roman" w:hAnsi="Times New Roman" w:cs="Times New Roman"/>
                <w:color w:val="000000" w:themeColor="text1"/>
              </w:rPr>
              <w:t xml:space="preserve"> </w:t>
            </w:r>
          </w:p>
        </w:tc>
      </w:tr>
    </w:tbl>
    <w:p w14:paraId="6487A3FA"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Sprawdzenie wilgotności należy przeprowadzać laboratoryjnie, z częstotliwością określoną w punkcie 6.  </w:t>
      </w:r>
    </w:p>
    <w:p w14:paraId="42AA9273"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przypadkach uzasadnionych stosowaną technologią zagęszczania gruntu (materiału antropogenicznego) dopuszcza się odstępstwa od wymagań określonych w Tablicy 5.2 W takiej sytuacji Wykonawca przed rozpoczęciem robót przedstawi zmienione (dostosowane do przyjętej technologii) wymagania odnoszące się do wilgotności w czasie zagęszczania oraz dopuszczalne tolerancje. </w:t>
      </w:r>
    </w:p>
    <w:p w14:paraId="24C11D7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5.13.5.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wilgotność gruntu, skały lub innego materiału przewidzianego do budowy nasypu jest zbyt niska w stosunku do tolerancji określonej w punkcie 5.13.4. to wilgotność należy zwiększyć poprzez równomierne dodanie wody w całej masie gruntu (skały, materiału) przewidzianego do zagęszczenia. </w:t>
      </w:r>
    </w:p>
    <w:p w14:paraId="1F9365D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5.13.6.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wilgotność warstwy gruntu, skały lub innego materiału przewidzianego do budowy nasypu jest zbyt wysoka w stosunku do tolerancji określonej w punkcie 5.13.4. to grunt (skała, materiał) należy osuszyć w sposób mechaniczny lub chemiczny. Sposób osuszenia podlega akceptacji przez Inżyniera/ Inspektora nadzoru.  </w:t>
      </w:r>
    </w:p>
    <w:p w14:paraId="74B60719"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0" w:name="_Toc30047"/>
      <w:r w:rsidRPr="001667DB">
        <w:rPr>
          <w:color w:val="000000" w:themeColor="text1"/>
          <w:sz w:val="22"/>
          <w:szCs w:val="22"/>
        </w:rPr>
        <w:t xml:space="preserve">Wymagania dotyczące zagęszczania i nośności nasypu </w:t>
      </w:r>
      <w:bookmarkEnd w:id="260"/>
    </w:p>
    <w:p w14:paraId="063B33C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Wartości wskaźnika zagęszczenia gruntu w nasypie powinny być nie mniejsze niż określono w Tablicy 5.3. Wskaźnik zagęszczenia warstwy należy określić zgodnie z zasadami podanymi w ST D-02.00.01. „Roboty ziemne. Wymagania ogólne”, p. </w:t>
      </w:r>
    </w:p>
    <w:p w14:paraId="283F4B11"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5.11.1. </w:t>
      </w:r>
    </w:p>
    <w:p w14:paraId="1F2F8DDD"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5.3. Minimalne wartości wskaźnika zagęszczenia w nasypach </w:t>
      </w:r>
    </w:p>
    <w:tbl>
      <w:tblPr>
        <w:tblStyle w:val="TableGrid"/>
        <w:tblW w:w="8649" w:type="dxa"/>
        <w:tblInd w:w="852" w:type="dxa"/>
        <w:tblCellMar>
          <w:top w:w="50" w:type="dxa"/>
          <w:left w:w="115" w:type="dxa"/>
          <w:right w:w="54" w:type="dxa"/>
        </w:tblCellMar>
        <w:tblLook w:val="04A0" w:firstRow="1" w:lastRow="0" w:firstColumn="1" w:lastColumn="0" w:noHBand="0" w:noVBand="1"/>
      </w:tblPr>
      <w:tblGrid>
        <w:gridCol w:w="2976"/>
        <w:gridCol w:w="2391"/>
        <w:gridCol w:w="1560"/>
        <w:gridCol w:w="1722"/>
      </w:tblGrid>
      <w:tr w:rsidR="00955A27" w:rsidRPr="001667DB" w14:paraId="43FAADF2" w14:textId="77777777">
        <w:trPr>
          <w:trHeight w:val="274"/>
        </w:trPr>
        <w:tc>
          <w:tcPr>
            <w:tcW w:w="2977" w:type="dxa"/>
            <w:vMerge w:val="restart"/>
            <w:tcBorders>
              <w:top w:val="double" w:sz="4" w:space="0" w:color="000000"/>
              <w:left w:val="double" w:sz="4" w:space="0" w:color="000000"/>
              <w:bottom w:val="double" w:sz="4" w:space="0" w:color="000000"/>
              <w:right w:val="single" w:sz="4" w:space="0" w:color="000000"/>
            </w:tcBorders>
            <w:vAlign w:val="center"/>
          </w:tcPr>
          <w:p w14:paraId="7E6224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Strefa nasypu pod powierzchnią (niweletą) robót </w:t>
            </w:r>
          </w:p>
          <w:p w14:paraId="160F40CD"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ziemnych</w:t>
            </w:r>
            <w:r w:rsidRPr="001667DB">
              <w:rPr>
                <w:rFonts w:ascii="Times New Roman" w:hAnsi="Times New Roman" w:cs="Times New Roman"/>
                <w:b/>
                <w:color w:val="000000" w:themeColor="text1"/>
              </w:rPr>
              <w:t xml:space="preserve"> </w:t>
            </w:r>
          </w:p>
        </w:tc>
        <w:tc>
          <w:tcPr>
            <w:tcW w:w="5673" w:type="dxa"/>
            <w:gridSpan w:val="3"/>
            <w:tcBorders>
              <w:top w:val="double" w:sz="4" w:space="0" w:color="000000"/>
              <w:left w:val="single" w:sz="4" w:space="0" w:color="000000"/>
              <w:bottom w:val="single" w:sz="4" w:space="0" w:color="000000"/>
              <w:right w:val="double" w:sz="4" w:space="0" w:color="000000"/>
            </w:tcBorders>
          </w:tcPr>
          <w:p w14:paraId="6235C606"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wartość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w:t>
            </w:r>
          </w:p>
        </w:tc>
      </w:tr>
      <w:tr w:rsidR="00955A27" w:rsidRPr="001667DB" w14:paraId="28D93980" w14:textId="77777777">
        <w:trPr>
          <w:trHeight w:val="262"/>
        </w:trPr>
        <w:tc>
          <w:tcPr>
            <w:tcW w:w="0" w:type="auto"/>
            <w:vMerge/>
            <w:tcBorders>
              <w:top w:val="nil"/>
              <w:left w:val="double" w:sz="4" w:space="0" w:color="000000"/>
              <w:bottom w:val="nil"/>
              <w:right w:val="single" w:sz="4" w:space="0" w:color="000000"/>
            </w:tcBorders>
          </w:tcPr>
          <w:p w14:paraId="02EFE79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673" w:type="dxa"/>
            <w:gridSpan w:val="3"/>
            <w:tcBorders>
              <w:top w:val="single" w:sz="4" w:space="0" w:color="000000"/>
              <w:left w:val="single" w:sz="4" w:space="0" w:color="000000"/>
              <w:bottom w:val="single" w:sz="4" w:space="0" w:color="000000"/>
              <w:right w:val="double" w:sz="4" w:space="0" w:color="000000"/>
            </w:tcBorders>
          </w:tcPr>
          <w:p w14:paraId="489575E9"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Kategoria ruchu </w:t>
            </w:r>
          </w:p>
        </w:tc>
      </w:tr>
      <w:tr w:rsidR="00955A27" w:rsidRPr="001667DB" w14:paraId="0095B4EC" w14:textId="77777777" w:rsidTr="001B4B8F">
        <w:trPr>
          <w:trHeight w:val="814"/>
        </w:trPr>
        <w:tc>
          <w:tcPr>
            <w:tcW w:w="0" w:type="auto"/>
            <w:vMerge/>
            <w:tcBorders>
              <w:top w:val="nil"/>
              <w:left w:val="double" w:sz="4" w:space="0" w:color="000000"/>
              <w:bottom w:val="double" w:sz="4" w:space="0" w:color="000000"/>
              <w:right w:val="single" w:sz="4" w:space="0" w:color="000000"/>
            </w:tcBorders>
          </w:tcPr>
          <w:p w14:paraId="307FA36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391" w:type="dxa"/>
            <w:tcBorders>
              <w:top w:val="single" w:sz="4" w:space="0" w:color="000000"/>
              <w:left w:val="single" w:sz="4" w:space="0" w:color="000000"/>
              <w:bottom w:val="double" w:sz="4" w:space="0" w:color="000000"/>
              <w:right w:val="single" w:sz="4" w:space="0" w:color="000000"/>
            </w:tcBorders>
            <w:vAlign w:val="center"/>
          </w:tcPr>
          <w:p w14:paraId="2BACF107"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KR1-KR2,  </w:t>
            </w:r>
          </w:p>
          <w:p w14:paraId="24A75304" w14:textId="77777777" w:rsidR="00955A27" w:rsidRPr="001667DB" w:rsidRDefault="00955A27" w:rsidP="00955A27">
            <w:pPr>
              <w:spacing w:after="120" w:line="360" w:lineRule="auto"/>
              <w:ind w:left="32" w:hanging="3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zjazdy, chodniki, ścieżki rowerowe, ciągi pieszojezdne, </w:t>
            </w:r>
          </w:p>
        </w:tc>
        <w:tc>
          <w:tcPr>
            <w:tcW w:w="1560" w:type="dxa"/>
            <w:tcBorders>
              <w:top w:val="single" w:sz="4" w:space="0" w:color="000000"/>
              <w:left w:val="single" w:sz="4" w:space="0" w:color="000000"/>
              <w:bottom w:val="double" w:sz="4" w:space="0" w:color="000000"/>
              <w:right w:val="single" w:sz="4" w:space="0" w:color="000000"/>
            </w:tcBorders>
            <w:vAlign w:val="center"/>
          </w:tcPr>
          <w:p w14:paraId="42288024"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KR3-KR4 </w:t>
            </w:r>
          </w:p>
        </w:tc>
        <w:tc>
          <w:tcPr>
            <w:tcW w:w="1721" w:type="dxa"/>
            <w:tcBorders>
              <w:top w:val="single" w:sz="4" w:space="0" w:color="000000"/>
              <w:left w:val="single" w:sz="4" w:space="0" w:color="000000"/>
              <w:bottom w:val="double" w:sz="4" w:space="0" w:color="000000"/>
              <w:right w:val="double" w:sz="4" w:space="0" w:color="000000"/>
            </w:tcBorders>
            <w:vAlign w:val="center"/>
          </w:tcPr>
          <w:p w14:paraId="26C8CE0E"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KR5-KR7 </w:t>
            </w:r>
          </w:p>
        </w:tc>
      </w:tr>
      <w:tr w:rsidR="00955A27" w:rsidRPr="001667DB" w14:paraId="3EE8F747" w14:textId="77777777">
        <w:trPr>
          <w:trHeight w:val="1280"/>
        </w:trPr>
        <w:tc>
          <w:tcPr>
            <w:tcW w:w="2977" w:type="dxa"/>
            <w:tcBorders>
              <w:top w:val="double" w:sz="4" w:space="0" w:color="000000"/>
              <w:left w:val="double" w:sz="4" w:space="0" w:color="000000"/>
              <w:bottom w:val="single" w:sz="4" w:space="0" w:color="000000"/>
              <w:right w:val="single" w:sz="4" w:space="0" w:color="000000"/>
            </w:tcBorders>
          </w:tcPr>
          <w:p w14:paraId="0A4A804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głębokości równej grubości </w:t>
            </w:r>
          </w:p>
          <w:p w14:paraId="6728D7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górnej warstwy nasypu lub równej grubości warstwy </w:t>
            </w:r>
          </w:p>
          <w:p w14:paraId="24D2B598"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ulepszonego podłoża o ile </w:t>
            </w:r>
          </w:p>
          <w:p w14:paraId="428D4FDA"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występuje </w:t>
            </w:r>
          </w:p>
        </w:tc>
        <w:tc>
          <w:tcPr>
            <w:tcW w:w="2391" w:type="dxa"/>
            <w:tcBorders>
              <w:top w:val="double" w:sz="4" w:space="0" w:color="000000"/>
              <w:left w:val="single" w:sz="4" w:space="0" w:color="000000"/>
              <w:bottom w:val="single" w:sz="4" w:space="0" w:color="000000"/>
              <w:right w:val="single" w:sz="4" w:space="0" w:color="000000"/>
            </w:tcBorders>
            <w:vAlign w:val="center"/>
          </w:tcPr>
          <w:p w14:paraId="423D2A8C"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c>
          <w:tcPr>
            <w:tcW w:w="1560" w:type="dxa"/>
            <w:tcBorders>
              <w:top w:val="double" w:sz="4" w:space="0" w:color="000000"/>
              <w:left w:val="single" w:sz="4" w:space="0" w:color="000000"/>
              <w:bottom w:val="single" w:sz="4" w:space="0" w:color="000000"/>
              <w:right w:val="single" w:sz="4" w:space="0" w:color="000000"/>
            </w:tcBorders>
            <w:vAlign w:val="center"/>
          </w:tcPr>
          <w:p w14:paraId="3F961A38"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c>
          <w:tcPr>
            <w:tcW w:w="1721" w:type="dxa"/>
            <w:tcBorders>
              <w:top w:val="double" w:sz="4" w:space="0" w:color="000000"/>
              <w:left w:val="single" w:sz="4" w:space="0" w:color="000000"/>
              <w:bottom w:val="single" w:sz="4" w:space="0" w:color="000000"/>
              <w:right w:val="double" w:sz="4" w:space="0" w:color="000000"/>
            </w:tcBorders>
            <w:vAlign w:val="center"/>
          </w:tcPr>
          <w:p w14:paraId="7C78BC9E"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r>
      <w:tr w:rsidR="00955A27" w:rsidRPr="001667DB" w14:paraId="2EA2067A" w14:textId="77777777">
        <w:trPr>
          <w:trHeight w:val="262"/>
        </w:trPr>
        <w:tc>
          <w:tcPr>
            <w:tcW w:w="2977" w:type="dxa"/>
            <w:tcBorders>
              <w:top w:val="single" w:sz="4" w:space="0" w:color="000000"/>
              <w:left w:val="double" w:sz="4" w:space="0" w:color="000000"/>
              <w:bottom w:val="single" w:sz="4" w:space="0" w:color="000000"/>
              <w:right w:val="single" w:sz="4" w:space="0" w:color="000000"/>
            </w:tcBorders>
          </w:tcPr>
          <w:p w14:paraId="0A633EA1"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niżej do głębokości 1,2 m </w:t>
            </w:r>
          </w:p>
        </w:tc>
        <w:tc>
          <w:tcPr>
            <w:tcW w:w="2391" w:type="dxa"/>
            <w:tcBorders>
              <w:top w:val="single" w:sz="4" w:space="0" w:color="000000"/>
              <w:left w:val="single" w:sz="4" w:space="0" w:color="000000"/>
              <w:bottom w:val="single" w:sz="4" w:space="0" w:color="000000"/>
              <w:right w:val="single" w:sz="4" w:space="0" w:color="000000"/>
            </w:tcBorders>
          </w:tcPr>
          <w:p w14:paraId="1C66662E"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c>
          <w:tcPr>
            <w:tcW w:w="1560" w:type="dxa"/>
            <w:tcBorders>
              <w:top w:val="single" w:sz="4" w:space="0" w:color="000000"/>
              <w:left w:val="single" w:sz="4" w:space="0" w:color="000000"/>
              <w:bottom w:val="single" w:sz="4" w:space="0" w:color="000000"/>
              <w:right w:val="single" w:sz="4" w:space="0" w:color="000000"/>
            </w:tcBorders>
          </w:tcPr>
          <w:p w14:paraId="1F6AB553"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c>
          <w:tcPr>
            <w:tcW w:w="1721" w:type="dxa"/>
            <w:tcBorders>
              <w:top w:val="single" w:sz="4" w:space="0" w:color="000000"/>
              <w:left w:val="single" w:sz="4" w:space="0" w:color="000000"/>
              <w:bottom w:val="single" w:sz="4" w:space="0" w:color="000000"/>
              <w:right w:val="double" w:sz="4" w:space="0" w:color="000000"/>
            </w:tcBorders>
          </w:tcPr>
          <w:p w14:paraId="5BBAF6FC"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r>
      <w:tr w:rsidR="00955A27" w:rsidRPr="001667DB" w14:paraId="595711CF" w14:textId="77777777">
        <w:trPr>
          <w:trHeight w:val="262"/>
        </w:trPr>
        <w:tc>
          <w:tcPr>
            <w:tcW w:w="2977" w:type="dxa"/>
            <w:tcBorders>
              <w:top w:val="single" w:sz="4" w:space="0" w:color="000000"/>
              <w:left w:val="double" w:sz="4" w:space="0" w:color="000000"/>
              <w:bottom w:val="single" w:sz="4" w:space="0" w:color="000000"/>
              <w:right w:val="single" w:sz="4" w:space="0" w:color="000000"/>
            </w:tcBorders>
          </w:tcPr>
          <w:p w14:paraId="18DF4380"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1,2 m – 2,0 m </w:t>
            </w:r>
          </w:p>
        </w:tc>
        <w:tc>
          <w:tcPr>
            <w:tcW w:w="2391" w:type="dxa"/>
            <w:tcBorders>
              <w:top w:val="single" w:sz="4" w:space="0" w:color="000000"/>
              <w:left w:val="single" w:sz="4" w:space="0" w:color="000000"/>
              <w:bottom w:val="single" w:sz="4" w:space="0" w:color="000000"/>
              <w:right w:val="single" w:sz="4" w:space="0" w:color="000000"/>
            </w:tcBorders>
          </w:tcPr>
          <w:p w14:paraId="482D3C6C"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0,95 </w:t>
            </w:r>
          </w:p>
        </w:tc>
        <w:tc>
          <w:tcPr>
            <w:tcW w:w="1560" w:type="dxa"/>
            <w:tcBorders>
              <w:top w:val="single" w:sz="4" w:space="0" w:color="000000"/>
              <w:left w:val="single" w:sz="4" w:space="0" w:color="000000"/>
              <w:bottom w:val="single" w:sz="4" w:space="0" w:color="000000"/>
              <w:right w:val="single" w:sz="4" w:space="0" w:color="000000"/>
            </w:tcBorders>
          </w:tcPr>
          <w:p w14:paraId="0A73DA8C"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c>
          <w:tcPr>
            <w:tcW w:w="1721" w:type="dxa"/>
            <w:tcBorders>
              <w:top w:val="single" w:sz="4" w:space="0" w:color="000000"/>
              <w:left w:val="single" w:sz="4" w:space="0" w:color="000000"/>
              <w:bottom w:val="single" w:sz="4" w:space="0" w:color="000000"/>
              <w:right w:val="double" w:sz="4" w:space="0" w:color="000000"/>
            </w:tcBorders>
          </w:tcPr>
          <w:p w14:paraId="1993E223"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tc>
      </w:tr>
      <w:tr w:rsidR="00955A27" w:rsidRPr="001667DB" w14:paraId="7029D459" w14:textId="77777777">
        <w:trPr>
          <w:trHeight w:val="271"/>
        </w:trPr>
        <w:tc>
          <w:tcPr>
            <w:tcW w:w="2977" w:type="dxa"/>
            <w:tcBorders>
              <w:top w:val="single" w:sz="4" w:space="0" w:color="000000"/>
              <w:left w:val="double" w:sz="4" w:space="0" w:color="000000"/>
              <w:bottom w:val="double" w:sz="4" w:space="0" w:color="000000"/>
              <w:right w:val="single" w:sz="4" w:space="0" w:color="000000"/>
            </w:tcBorders>
          </w:tcPr>
          <w:p w14:paraId="7C531BC5"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Poniżej 2,0 m </w:t>
            </w:r>
          </w:p>
        </w:tc>
        <w:tc>
          <w:tcPr>
            <w:tcW w:w="2391" w:type="dxa"/>
            <w:tcBorders>
              <w:top w:val="single" w:sz="4" w:space="0" w:color="000000"/>
              <w:left w:val="single" w:sz="4" w:space="0" w:color="000000"/>
              <w:bottom w:val="double" w:sz="4" w:space="0" w:color="000000"/>
              <w:right w:val="single" w:sz="4" w:space="0" w:color="000000"/>
            </w:tcBorders>
          </w:tcPr>
          <w:p w14:paraId="1B5D5226"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0,95 </w:t>
            </w:r>
          </w:p>
        </w:tc>
        <w:tc>
          <w:tcPr>
            <w:tcW w:w="1560" w:type="dxa"/>
            <w:tcBorders>
              <w:top w:val="single" w:sz="4" w:space="0" w:color="000000"/>
              <w:left w:val="single" w:sz="4" w:space="0" w:color="000000"/>
              <w:bottom w:val="double" w:sz="4" w:space="0" w:color="000000"/>
              <w:right w:val="single" w:sz="4" w:space="0" w:color="000000"/>
            </w:tcBorders>
          </w:tcPr>
          <w:p w14:paraId="66253FC3"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c>
          <w:tcPr>
            <w:tcW w:w="1721" w:type="dxa"/>
            <w:tcBorders>
              <w:top w:val="single" w:sz="4" w:space="0" w:color="000000"/>
              <w:left w:val="single" w:sz="4" w:space="0" w:color="000000"/>
              <w:bottom w:val="double" w:sz="4" w:space="0" w:color="000000"/>
              <w:right w:val="double" w:sz="4" w:space="0" w:color="000000"/>
            </w:tcBorders>
          </w:tcPr>
          <w:p w14:paraId="3E0C1260"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0,97 </w:t>
            </w:r>
          </w:p>
        </w:tc>
      </w:tr>
    </w:tbl>
    <w:p w14:paraId="0FC4549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badania kontrolne wykażą, że zagęszczenie warstwy nie jest wystarczające,  to Wykonawca powinien spulchnić warstwę, doprowadzić grunt (skałę, materiał)  do wilgotności optymalnej i powtórnie zagęścić. Jeżeli powtórne zagęszczenie nie  spowoduje uzyskania wymaganego wskaźnika zagęszczenia, Wykonawca powinien usunąć warstwę i wbudować nowy materiał, o ile Inżynier/Inspektor nadzoru nie zezwoli na ponowienie próby </w:t>
      </w:r>
      <w:r w:rsidRPr="001667DB">
        <w:rPr>
          <w:rFonts w:ascii="Times New Roman" w:hAnsi="Times New Roman" w:cs="Times New Roman"/>
          <w:color w:val="000000" w:themeColor="text1"/>
        </w:rPr>
        <w:lastRenderedPageBreak/>
        <w:t xml:space="preserve">prawidłowego zagęszczenia warstwy lub zastosowanie ulepszenia gruntu (materiału) wbudowanego w warstwę.  </w:t>
      </w:r>
    </w:p>
    <w:p w14:paraId="79EEF5A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Inżynier/Inspektor nadzoru może dopuścić kontrolę zagęszczenia po ułożeniu i zagęszczeniu wyżej leżącej warstwy. W takiej sytuacji wyżej leżąca warstwa zostanie w niezbędnym zakresie usunięta w celu określenia osiągniętego wskaźnika zagęszczenia Is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 </w:t>
      </w:r>
    </w:p>
    <w:p w14:paraId="5F531A1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Dopuszcza się ocenę stanu zagęszczenia warstwy na podstawie wartości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według zasad i kryteriów określonych w ST D-02.00.01 „Roboty ziemne. Wymagania ogólne” w punktach 5.11.3., 5.11.4. i 5.11.5. </w:t>
      </w:r>
    </w:p>
    <w:p w14:paraId="121C486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bieżącej kontroli zagęszczenia dopuszcza się stosowanie systemów umożliwiających ciągłą kontrolę stanu zagęszczenia, zainstalowanych na walcach wibracyjnych, po przeprowadzeniu kalibracji na odcinku o długości 100 metrów. Wykonawca przedstawi do akceptacji Inżyniera/Inspektora nadzoru sprzęt i metodę, która ma być wykorzystana i wykaże jej przydatność w istniejących warunkach. Nie należy przeprowadzać pomiarów z zastosowaniem systemów umożliwiających ciągłą kontrolę stanu zagęszczenia, zainstalowanych na walcach wibracyjnych jeżeli woda gruntowa występuje płycej niż 1 metr od powierzchni warstwy oraz jeżeli jest ona wykonana z gruntu lub materiału o zawartości frakcji ≤0,063 mm powyżej 15%. Kontrola i odbiór tak zagęszczonej warstwy powinny odbywać się na ogólnych zasadach, z zastrzeżeniem p.5.14.6. </w:t>
      </w:r>
    </w:p>
    <w:p w14:paraId="6212A12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Inżynier/Inspektor nadzoru może dopuścić wykorzystanie do odbioru warstwy pomiarów z bieżącej kontroli z zastosowaniem systemów umożliwiających ciągłą kontrolę stanu zagęszczenia i ograniczenie podstawowego zakresu badań stanu zagęszczenia określonego w punkcie 6. W takim przypadku musi zostać opracowana STWiORB określająca zasady wykonania pomiarów w czasie ciągłej kontroli stanu zagęszczenia, wymagania dotyczące systemu gromadzenia i oceny wyników oraz kalibracji z wartościami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i zakres dopuszczonego ograniczenia badań podstawowych. Metodami referencyjnymi do określania wskaźnika zagęszczenia gruntów oraz wtórnego modułu odkształcenia są metody opisane  w ST D-02.00.01 w załącznikach Z2.B oraz Z2.C. </w:t>
      </w:r>
    </w:p>
    <w:p w14:paraId="7FBC900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Nośność podłoża gruntowego nawierzchni w nasypie należy określić na podstawie oceny wartości wtórnego modułu odkształcenia E2 oznaczonego według zasad określonych w ST D-02.00.01 „Roboty ziemne. Wymagania ogólne” w p. 5.12.3. Wymagana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w:t>
      </w:r>
    </w:p>
    <w:p w14:paraId="7FED83D3" w14:textId="77777777" w:rsidR="00955A27" w:rsidRPr="001667DB" w:rsidRDefault="00955A27" w:rsidP="00996530">
      <w:pPr>
        <w:numPr>
          <w:ilvl w:val="0"/>
          <w:numId w:val="50"/>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Dla ruchu KR3-KR7, musi być określona przez Projektanta w Dokumentacji  Projektowej, przy czym minimalna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górnej powierzchni podłoża  gruntowego nawierzchni w nasypie wynosi 50 MPa. W Dokumentacji Projektowej może zostać określona wyższa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jeżeli została ona przyjęta w projekcie  konstrukcji nawierzchni.  </w:t>
      </w:r>
    </w:p>
    <w:p w14:paraId="55E73375" w14:textId="77777777" w:rsidR="00955A27" w:rsidRPr="001667DB" w:rsidRDefault="00955A27" w:rsidP="00996530">
      <w:pPr>
        <w:numPr>
          <w:ilvl w:val="0"/>
          <w:numId w:val="50"/>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Dla ruchu KR1 – KR2 minimalna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górnej powierzchni podłoża  gruntowego nawierzchni musi być określona przez Projektanta w Dokumentacji  Projektowej. </w:t>
      </w:r>
    </w:p>
    <w:p w14:paraId="21ADE87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5.14.8.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zaprojektowano wykonanie w nasypie warstwy ulepszonego podłoża to należy  określić nośność gruntu nasypowego pod tą warstwą. Wymagana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gruntu  nasypowego musi być określona przez Projektanta w Dokumentacji Projektowej.  Stwierdzona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nie może być mniejsza niż przyjęta w Dokumentacji </w:t>
      </w:r>
    </w:p>
    <w:p w14:paraId="27BB2832"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Projektowej. Jeżeli stwierdzona wartość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jest mniejsza od wymaganej wówczas Wykonawca zaproponuje do akceptacji Inżyniera/Inspektora nadzoru sposób uzyskania wymaganej nośności.  </w:t>
      </w:r>
    </w:p>
    <w:p w14:paraId="5201C447" w14:textId="77777777" w:rsidR="00955A27" w:rsidRPr="001667DB" w:rsidRDefault="00955A27" w:rsidP="00996530">
      <w:pPr>
        <w:spacing w:after="120" w:line="360" w:lineRule="auto"/>
        <w:ind w:left="-15" w:firstLine="723"/>
        <w:jc w:val="both"/>
        <w:rPr>
          <w:rFonts w:ascii="Times New Roman" w:hAnsi="Times New Roman" w:cs="Times New Roman"/>
          <w:color w:val="000000" w:themeColor="text1"/>
        </w:rPr>
      </w:pPr>
      <w:r w:rsidRPr="001667DB">
        <w:rPr>
          <w:rFonts w:ascii="Times New Roman" w:hAnsi="Times New Roman" w:cs="Times New Roman"/>
          <w:color w:val="000000" w:themeColor="text1"/>
        </w:rPr>
        <w:t>5.14.9.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Dopuszcza się ocenę nośności w sytuacjach opisanych w punktach 5.14.7. i 5.14.8.  </w:t>
      </w:r>
    </w:p>
    <w:p w14:paraId="28D3C7E3"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zastosowaniem lekkiej płyty dynamicznej LPD na zasadach określonych w ST D-02.00.01 „Roboty ziemne. Wymagania ogólne” w punktach 5.12.4. i 5.12.5. Metodami referencyjnymi do określania wskaźnika zagęszczenia gruntów oraz wtórnego modułu odkształcenia są metody opisane w ST D-02.00.01  w załącznikach Z2.B oraz Z2.C. </w:t>
      </w:r>
    </w:p>
    <w:p w14:paraId="5FA81F1D" w14:textId="77777777" w:rsidR="00955A27" w:rsidRPr="001667DB" w:rsidRDefault="00955A27" w:rsidP="00996530">
      <w:pPr>
        <w:spacing w:after="120" w:line="360" w:lineRule="auto"/>
        <w:ind w:left="979" w:hanging="271"/>
        <w:jc w:val="both"/>
        <w:rPr>
          <w:rFonts w:ascii="Times New Roman" w:hAnsi="Times New Roman" w:cs="Times New Roman"/>
          <w:color w:val="000000" w:themeColor="text1"/>
        </w:rPr>
      </w:pPr>
      <w:r w:rsidRPr="001667DB">
        <w:rPr>
          <w:rFonts w:ascii="Times New Roman" w:hAnsi="Times New Roman" w:cs="Times New Roman"/>
          <w:color w:val="000000" w:themeColor="text1"/>
        </w:rPr>
        <w:t>5.14.10.</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Podane wymagania, dotyczące zagęszczenia i nośności nasypu, obowiązują na całej  szerokości korpusu ziemnego.  </w:t>
      </w:r>
    </w:p>
    <w:p w14:paraId="4FBE7898"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1" w:name="_Toc30048"/>
      <w:r w:rsidRPr="001667DB">
        <w:rPr>
          <w:color w:val="000000" w:themeColor="text1"/>
          <w:sz w:val="22"/>
          <w:szCs w:val="22"/>
        </w:rPr>
        <w:t xml:space="preserve">Odcinek próbny  </w:t>
      </w:r>
      <w:bookmarkEnd w:id="261"/>
    </w:p>
    <w:p w14:paraId="59254FF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Procedurę zagęszczania i grubość warstw należy określić doświadczalnie podczas próbnego zagęszczania stosowanym sprzętem. Odcinek próbny może być zlokalizowany w miejscu docelowym korpusu ziemnego, lub poza docelowym korpusem ziemnym. </w:t>
      </w:r>
    </w:p>
    <w:p w14:paraId="077A5E8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Odcinek dla próbnego zagęszczenia gruntu (materiału) o ustalonej powierzchni w m2,  powinien być wykonany na terenie oczyszczonym z humusu, na którym należy ułożyć grunt (skałę, materiał) czterema pasmami o szerokości od 3,5 do 4,5 m każde. Poszczególne warstwy układanego gruntu (skały, materiału) powinny mieć w każdym pasie inną grubość z tym, że wszystkie muszą mieścić się w granicach właściwych dla danego sprzętu zagęszczającego. Wilgotność gruntu powinna być równa optymalnej z tolerancją podaną w punkcie 5.13.4. Grunt (materiał) ułożony na odcinku próbnym według podanej wyżej zasady powinien być następnie zagęszczony, a po każdej serii przejść maszyny należy określić wskaźniki zagęszczenia,  dopuszczając stosowanie innych, szybkich metod pomiaru (na przykład lekka płyta dynamiczna po skalibrowaniu w warunkach terenowych). </w:t>
      </w:r>
    </w:p>
    <w:p w14:paraId="7C89FF3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5.15.3.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Oznaczenie wskaźnika zagęszczenia należy wykonać co najmniej w 4 punktach, z których co najmniej 2 powinny umożliwić ustalenie wskaźnika zagęszczenia w dolnej części warstwy. Na podstawie porównania uzyskanych wyników zagęszczenia z wymaganiami podanymi w punkcie 5.14.1 dokonuje się wyboru sprzętu i ustala się potrzebną liczbę przejść sprzętu zagęszczającego oraz grubość warstwy rozkładanego gruntu (materiału).  </w:t>
      </w:r>
    </w:p>
    <w:p w14:paraId="550FEEF0"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Inżynier/Inspektor nadzoru może odstąpić od wymagania wykonania odcinka próbnego w przypadku posiadania przez Wykonawcę dokumentów (badań) potwierdzających możliwość uzyskania wymaganej jakości wbudowania zgodnej z wymaganiami ST dla stosowanego materiału. Od wymagania wykonania odcinka próbnego można również odstąpić w przypadkustosowania przez Wykonawcę w czasie zagęszczania warstwy ciągłej kontroli zagęszczenia z zastosowaniem mierników zainstalowanych na walcach wibracyjnych. </w:t>
      </w:r>
    </w:p>
    <w:p w14:paraId="5F4E5C01"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5.15.5.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dopuszczono kontrolę zagęszczenia na podstawie innego parametru niż wskaźnik  </w:t>
      </w:r>
    </w:p>
    <w:p w14:paraId="5C2C8501"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(na przykład wskaźnik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albo kontrolę nośności na podstawie innego parametru niż wtórny moduł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(na przykład moduł E</w:t>
      </w:r>
      <w:r w:rsidRPr="001667DB">
        <w:rPr>
          <w:rFonts w:ascii="Times New Roman" w:hAnsi="Times New Roman" w:cs="Times New Roman"/>
          <w:color w:val="000000" w:themeColor="text1"/>
          <w:vertAlign w:val="subscript"/>
        </w:rPr>
        <w:t>vd</w:t>
      </w:r>
      <w:r w:rsidRPr="001667DB">
        <w:rPr>
          <w:rFonts w:ascii="Times New Roman" w:hAnsi="Times New Roman" w:cs="Times New Roman"/>
          <w:color w:val="000000" w:themeColor="text1"/>
        </w:rPr>
        <w:t xml:space="preserve"> w badaniu lekką płytą dynamiczną LPD) to jest konieczne przeprowadzenie badań na odcinku próbnym w celu określenia korelacji pomiędzy wielkościami. Zasady i zakres przeprowadzenia badań na odcinku próbnym powinny być ustalone między Wykonawcą a Inżynierem/ Inspektorem nadzoru w dostosowaniu do wymagań wynikających z ustalanej korelacji. </w:t>
      </w:r>
    </w:p>
    <w:p w14:paraId="32F74DC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5.15.6.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Grubość warstw poddanych badaniu na odcinku próbnym musi umożliwiać wykonanie  korelacji w sposób uwzgledniający działanie poszczególnych przyrządów służących  do określania modułów warstw. W przypadku badań płytą VSS grubość ocenianych warstw musi być nie mniejsza niż dwie średnice płyty, w przypadku lekkiej płyty dynamicznej (LPD) grubość warstwy nie może być mniejsza niż średnica płyty. </w:t>
      </w:r>
    </w:p>
    <w:p w14:paraId="546ECF83"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2" w:name="_Toc30049"/>
      <w:r w:rsidRPr="001667DB">
        <w:rPr>
          <w:color w:val="000000" w:themeColor="text1"/>
          <w:sz w:val="22"/>
          <w:szCs w:val="22"/>
        </w:rPr>
        <w:t xml:space="preserve">Ruch budowlany </w:t>
      </w:r>
      <w:bookmarkEnd w:id="262"/>
    </w:p>
    <w:p w14:paraId="3A1BABB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5.16.1.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Ruch środków transportowych, dowożących grunt, skałę lub inny materiał do budowy  nasypu oraz maszyn rozkładających powinien być tak zorganizowany, aby powodował  równomierne oddziaływanie i zagęszczanie warstw, bez tworzenia kolein. </w:t>
      </w:r>
    </w:p>
    <w:p w14:paraId="5298084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5.16.2.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Wykonawca przewiduje użycie powierzchni korony uformowanego nasypu jako drogi tymczasowej dla ruchu budowlanego, to powinien na powierzchni wykorzystywanej przez pojazdy wykonać nasyp o wysokości co najmniej 0,3 m większej, niż wynika to z rzędnych niwelety robót ziemnych. Ruch budowlany powinien odbywać się w odległości nie mniejszej niż 2,0 m od krawędzi korony wykonanego nasypu. </w:t>
      </w:r>
    </w:p>
    <w:p w14:paraId="2D82D32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5.16.3.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Podłoże gruntowe w obrębie niskich nasypów, w przypadku których po usunięciu humusu grunt rodzimy znajduje się nie więcej niż 0,3 m od projektowanej niwelety robót </w:t>
      </w:r>
      <w:r w:rsidRPr="001667DB">
        <w:rPr>
          <w:rFonts w:ascii="Times New Roman" w:hAnsi="Times New Roman" w:cs="Times New Roman"/>
          <w:color w:val="000000" w:themeColor="text1"/>
        </w:rPr>
        <w:lastRenderedPageBreak/>
        <w:t xml:space="preserve">ziemnych, nie powinno być używane do ruchu pojazdów. Jeżeli według Wykonawcy użycie wymienionych powierzchni do ruchu budowlanego jest konieczne, to wcześniej należy wykonać na nich nasyp o wysokości co najmniej 0,3 m większej niż to wynika z rzędnych niwelety robót ziemnych. </w:t>
      </w:r>
    </w:p>
    <w:p w14:paraId="0EEC4C7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5.16.4.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Dodatkowa warstwa nasypu, wymieniona w punktach 5.16.2 i 5.16.3 zostanie usunięta  podczas ostatecznego kształtowania korony nasypu. Jeżeli okaże się wówczas, że wskutek działania ruchu budowlanego jest konieczne przeprowadzenie napraw w obrębie korony robót ziemnych, to Wykonawca przeprowadzi te prace według wskazań Inżyniera/Inspektora nadzoru o, na własny koszt.  </w:t>
      </w:r>
    </w:p>
    <w:p w14:paraId="1A3DAF3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5.16.5.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Z chwilą przystąpienia do ostatecznego profilowania korony robót ziemnych w nasypie  dopuszcza się po niej ruch jedynie maszyn wykonujących tę czynność budowlaną  oraz maszyn niezbędnych do wykonania pierwszej warstwy nawierzchni. Za zgodą  Inżyniera/Inspektora nadzoru może odbywać się sporadyczny ruch innych pojazdów,  o ile nie spowodują uszkodzeń powierzchni korpusu ziemnego. </w:t>
      </w:r>
    </w:p>
    <w:p w14:paraId="4B77D035"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3" w:name="_Toc30050"/>
      <w:r w:rsidRPr="001667DB">
        <w:rPr>
          <w:color w:val="000000" w:themeColor="text1"/>
          <w:sz w:val="22"/>
          <w:szCs w:val="22"/>
        </w:rPr>
        <w:t xml:space="preserve">Odkład </w:t>
      </w:r>
      <w:bookmarkEnd w:id="263"/>
    </w:p>
    <w:p w14:paraId="4E7B6B6D"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5.17.1.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lub inne materiały powinny być przewiezione na odkład, jeżeli: </w:t>
      </w:r>
    </w:p>
    <w:p w14:paraId="6FD51D32" w14:textId="77777777" w:rsidR="00955A27" w:rsidRPr="001667DB" w:rsidRDefault="00955A27" w:rsidP="00996530">
      <w:pPr>
        <w:numPr>
          <w:ilvl w:val="0"/>
          <w:numId w:val="51"/>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stanowią nadmiar objętości w stosunku do objętości gruntów przewidzianych  do wbudowania, </w:t>
      </w:r>
    </w:p>
    <w:p w14:paraId="5DCDF6E1" w14:textId="77777777" w:rsidR="00955A27" w:rsidRPr="001667DB" w:rsidRDefault="00955A27" w:rsidP="00996530">
      <w:pPr>
        <w:numPr>
          <w:ilvl w:val="0"/>
          <w:numId w:val="51"/>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są nieprzydatne do budowy nasypów oraz wykorzystania w innych pracach, związanych z budową trasy drogowej, </w:t>
      </w:r>
    </w:p>
    <w:p w14:paraId="41850F59" w14:textId="77777777" w:rsidR="00955A27" w:rsidRPr="001667DB" w:rsidRDefault="00955A27" w:rsidP="00996530">
      <w:pPr>
        <w:numPr>
          <w:ilvl w:val="0"/>
          <w:numId w:val="51"/>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ze względu na harmonogram robót nie jest ekonomicznie uzasadnione oczekiwanie  na wbudowanie materiałów pozyskiwanych z wykopu. </w:t>
      </w:r>
    </w:p>
    <w:p w14:paraId="28AA9B9B"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może przyjąć, że zachodzi jeden z podanych wyżej przypadków tylko wówczas, gdy zostało to jednoznacznie określone w Dokumentacji Projektowej, zatwierdzonym harmonogramie robót lub przez Inżyniera/Inspektora nadzoru. Jeżeli wskutek nieuzasadnionego przewiezienia gruntu na odkład przez Wykonawcę, zajdzie konieczność dowiezienia gruntu do wykonania nasypów z ukopu, to koszt tych czynności w całości obciąża Wykonawcę. </w:t>
      </w:r>
    </w:p>
    <w:p w14:paraId="34204DB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5.17.2.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pozwalają na to właściwości materiałów przeznaczonych do przewiezienia na odkład, materiały te powinny być przede wszystkim wykorzystane do wyrównania terenu, zasypania dołów i sztucznych wyrobisk oraz do ewentualnego poszerzenia nasypów. Roboty te powinny być wykonane zgodnie z Dokumentacją Projektową i odpowiednimi zasadami, dotyczącymi wbudowania i zagęszczania gruntów oraz wskazaniami Inżyniera/Inspektora </w:t>
      </w:r>
      <w:r w:rsidRPr="001667DB">
        <w:rPr>
          <w:rFonts w:ascii="Times New Roman" w:hAnsi="Times New Roman" w:cs="Times New Roman"/>
          <w:color w:val="000000" w:themeColor="text1"/>
        </w:rPr>
        <w:lastRenderedPageBreak/>
        <w:t xml:space="preserve">nadzoru. Jeżeli nie przewidziano zagospodarowania nadmiaru objętości w sposób określony powyżej, materiały te należy przewieźć na odkład. </w:t>
      </w:r>
    </w:p>
    <w:p w14:paraId="56525F76"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5.17.3.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Miejsce odkładu może być wskazane w Dokumentacji Projektowej, Kontrakcie  lub przez Inżyniera/Inspektora nadzoru albo może być wybrane przez Wykonawcę. Jeżeli miejsce odkładu zostało wybrane przez Wykonawcę, musi być ono zaakceptowane przez Inżyniera/Inspektora nadzoru. Niezależnie od tego, Wykonawca musi uzyskać zgodę właściciela terenu. </w:t>
      </w:r>
    </w:p>
    <w:p w14:paraId="312526FB"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5.17.4.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odkłady są zlokalizowane wzdłuż odcinka trasy przebiegającego w wykopie, to: </w:t>
      </w:r>
    </w:p>
    <w:p w14:paraId="79554159" w14:textId="77777777" w:rsidR="00955A27" w:rsidRPr="001667DB" w:rsidRDefault="00955A27" w:rsidP="00996530">
      <w:pPr>
        <w:numPr>
          <w:ilvl w:val="0"/>
          <w:numId w:val="5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odkłady można wykonać z obu stron wykopu, jeżeli pochylenie poprzeczne terenu  jest niewielkie, przy czym odległość podnóża skarpy odkładu od górnej krawędzi  wykopu powinna wynosić: </w:t>
      </w:r>
    </w:p>
    <w:p w14:paraId="56B8EF30" w14:textId="77777777" w:rsidR="00955A27" w:rsidRPr="001667DB" w:rsidRDefault="00955A27" w:rsidP="00996530">
      <w:pPr>
        <w:numPr>
          <w:ilvl w:val="1"/>
          <w:numId w:val="52"/>
        </w:numPr>
        <w:spacing w:after="120" w:line="360" w:lineRule="auto"/>
        <w:ind w:hanging="64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mniej niż 3 m w gruntach przepuszczalnych, </w:t>
      </w:r>
    </w:p>
    <w:p w14:paraId="0FBCE805" w14:textId="77777777" w:rsidR="00955A27" w:rsidRPr="001667DB" w:rsidRDefault="00955A27" w:rsidP="00996530">
      <w:pPr>
        <w:numPr>
          <w:ilvl w:val="1"/>
          <w:numId w:val="52"/>
        </w:numPr>
        <w:spacing w:after="120" w:line="360" w:lineRule="auto"/>
        <w:ind w:hanging="64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mniej niż 5 m w gruntach nieprzepuszczalnych, </w:t>
      </w:r>
    </w:p>
    <w:p w14:paraId="5D1DCAA7" w14:textId="77777777" w:rsidR="00955A27" w:rsidRPr="001667DB" w:rsidRDefault="00955A27" w:rsidP="00996530">
      <w:pPr>
        <w:numPr>
          <w:ilvl w:val="0"/>
          <w:numId w:val="5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znacznym pochyleniu poprzecznym terenu, jednak mniejszym od 20%, odkład należy wykonać tylko od górnej strony wykopu, dla ochrony od wody spływającej ze zbocza, </w:t>
      </w:r>
    </w:p>
    <w:p w14:paraId="5AF44368" w14:textId="77777777" w:rsidR="00955A27" w:rsidRPr="001667DB" w:rsidRDefault="00955A27" w:rsidP="00996530">
      <w:pPr>
        <w:numPr>
          <w:ilvl w:val="0"/>
          <w:numId w:val="5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pochyleniu poprzecznym terenu wynoszącym ponad 20%, odkład należy  zlokalizować poniżej wykopu, </w:t>
      </w:r>
    </w:p>
    <w:p w14:paraId="67CAC558" w14:textId="77777777" w:rsidR="00955A27" w:rsidRPr="001667DB" w:rsidRDefault="00955A27" w:rsidP="00996530">
      <w:pPr>
        <w:numPr>
          <w:ilvl w:val="0"/>
          <w:numId w:val="52"/>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odcinkach zagrożonych przez zasypywanie drogi śniegiem, odkład należy wykonać od strony najczęściej wiejących wiatrów, w odległości ponad 20 m od krawędzi wykopu. </w:t>
      </w:r>
    </w:p>
    <w:p w14:paraId="6901B5A1" w14:textId="77777777" w:rsidR="00955A27" w:rsidRPr="001667DB" w:rsidRDefault="00955A27" w:rsidP="00996530">
      <w:pPr>
        <w:spacing w:after="120" w:line="360" w:lineRule="auto"/>
        <w:ind w:left="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Wykonany odkład musi być stateczny, w szczególności nie może obniżać stateczności skarp wykopu. </w:t>
      </w:r>
    </w:p>
    <w:p w14:paraId="01A1DA94" w14:textId="77777777" w:rsidR="00955A27" w:rsidRPr="001667DB" w:rsidRDefault="00955A27" w:rsidP="00996530">
      <w:pPr>
        <w:numPr>
          <w:ilvl w:val="2"/>
          <w:numId w:val="53"/>
        </w:numPr>
        <w:spacing w:after="120" w:line="360" w:lineRule="auto"/>
        <w:ind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Zasady wykonania odkładu, a w szczególności jego wysokość, pochylenia, zagęszczenie oraz odwodnienie powinny być zgodne z wymaganiami określonymi w Dokumentacji Projektowej lub przez Inżyniera/Inspektora nadzoru. Jeżeli nie określono inaczej, to odkład powinien być uformowany w pryzmę o wysokości do 1,5 m, o pochyleniu skarp 1:1,5 lub bardziej łagodnym i spadku korony od 2% do 5%.  </w:t>
      </w:r>
    </w:p>
    <w:p w14:paraId="394B0142" w14:textId="77777777" w:rsidR="00955A27" w:rsidRPr="001667DB" w:rsidRDefault="00955A27" w:rsidP="00996530">
      <w:pPr>
        <w:numPr>
          <w:ilvl w:val="2"/>
          <w:numId w:val="53"/>
        </w:numPr>
        <w:spacing w:after="120" w:line="360" w:lineRule="auto"/>
        <w:ind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Odspajanie materiału przewidzianego do przewiezienia na odkład powinno być przerwane, o ile warunki atmosferyczne lub inne przyczyny uniemożliwiają jego wbudowanie zgodnie z wymaganiami sformułowanymi w tym zakresie w dokumentacji projektowej, ST lub przez Inżyniera/Inspektora nadzoru. </w:t>
      </w:r>
    </w:p>
    <w:p w14:paraId="0D7C223D" w14:textId="77777777" w:rsidR="00955A27" w:rsidRPr="001667DB" w:rsidRDefault="00955A27" w:rsidP="00996530">
      <w:pPr>
        <w:numPr>
          <w:ilvl w:val="2"/>
          <w:numId w:val="53"/>
        </w:numPr>
        <w:spacing w:after="120" w:line="360" w:lineRule="auto"/>
        <w:ind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Odkład powinien być tak ukształtowany, aby harmonizował z otaczającym terenem.  Powierzchnie odkładu powinny być zrekultywowane (obsiane trawą, obsadzone </w:t>
      </w:r>
      <w:r w:rsidRPr="001667DB">
        <w:rPr>
          <w:rFonts w:ascii="Times New Roman" w:hAnsi="Times New Roman" w:cs="Times New Roman"/>
          <w:color w:val="000000" w:themeColor="text1"/>
        </w:rPr>
        <w:lastRenderedPageBreak/>
        <w:t xml:space="preserve">krzewami lub drzewami) albo zagospodarowane w inny sposób, (na przykład przeznaczone na użytki rolne lub leśne), zgodnie z Dokumentacją Projektową. </w:t>
      </w:r>
    </w:p>
    <w:p w14:paraId="6E3A3442" w14:textId="77777777" w:rsidR="00955A27" w:rsidRPr="001667DB" w:rsidRDefault="00955A27" w:rsidP="00996530">
      <w:pPr>
        <w:numPr>
          <w:ilvl w:val="2"/>
          <w:numId w:val="53"/>
        </w:numPr>
        <w:spacing w:after="120" w:line="360" w:lineRule="auto"/>
        <w:ind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Jeśli odkład zostanie wykonany w nieuzgodnionym miejscu lub niezgodnie z wymaganiami, to zostanie on usunięty przez Wykonawcę na jego koszt, według wskazań Inżyniera/Inspektora nadzoru. Konsekwencje finansowe i prawne, wynikające z ewentualnych uszkodzeń środowiska naturalnego wskutek prowadzenia prac w nie uzgodnionym miejscu, obciążają Wykonawcę. </w:t>
      </w:r>
    </w:p>
    <w:p w14:paraId="49F3A75C" w14:textId="77777777" w:rsidR="00955A27" w:rsidRPr="001667DB" w:rsidRDefault="00955A27" w:rsidP="00996530">
      <w:pPr>
        <w:spacing w:after="120" w:line="360" w:lineRule="auto"/>
        <w:ind w:left="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2368571B"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4" w:name="_Toc30051"/>
      <w:r w:rsidRPr="001667DB">
        <w:rPr>
          <w:color w:val="000000" w:themeColor="text1"/>
          <w:sz w:val="22"/>
          <w:szCs w:val="22"/>
        </w:rPr>
        <w:t xml:space="preserve">KONTROLA JAKOŚCI ROBÓT </w:t>
      </w:r>
      <w:bookmarkEnd w:id="264"/>
    </w:p>
    <w:p w14:paraId="74E262C0"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5" w:name="_Toc30052"/>
      <w:r w:rsidRPr="001667DB">
        <w:rPr>
          <w:color w:val="000000" w:themeColor="text1"/>
          <w:sz w:val="22"/>
          <w:szCs w:val="22"/>
        </w:rPr>
        <w:t xml:space="preserve">Ogólne wymagania dotyczące kontroli jakości robót </w:t>
      </w:r>
      <w:bookmarkEnd w:id="265"/>
    </w:p>
    <w:p w14:paraId="2BF34594"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Ogólne wymagania dotyczące kontroli jakości robót oraz zakres czynności koniecznych  do wykonania przed przystąpieniem do wykonania wykopów podano w ST D-</w:t>
      </w:r>
    </w:p>
    <w:p w14:paraId="2EC112E9"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02.00.01 „Roboty ziemne. Wymagania ogólne” punkt. 6. </w:t>
      </w:r>
    </w:p>
    <w:p w14:paraId="3FFF4DCF"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6" w:name="_Toc30053"/>
      <w:r w:rsidRPr="001667DB">
        <w:rPr>
          <w:color w:val="000000" w:themeColor="text1"/>
          <w:sz w:val="22"/>
          <w:szCs w:val="22"/>
        </w:rPr>
        <w:t xml:space="preserve">Kontrola podczas wykonania nasypów </w:t>
      </w:r>
      <w:bookmarkEnd w:id="266"/>
    </w:p>
    <w:p w14:paraId="4058DDE2"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Sprawdzenie jakości wykonania nasypów podczas budowy polega na kontrolowaniu zgodności z wymaganiami określonymi w Dokumentacji Projektowej i STWiORB opracowanych na podstawie niniejszych ST. W czasie kontroli robót ziemnych w nasypach szczególną uwagę należy zwrócić na: </w:t>
      </w:r>
    </w:p>
    <w:p w14:paraId="2C44FF38"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przydatności gruntów, skał lub materiałów do budowy nasypów, </w:t>
      </w:r>
    </w:p>
    <w:p w14:paraId="6DFFD232"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prawidłowości wykonania poszczególnych warstw nasypu, </w:t>
      </w:r>
    </w:p>
    <w:p w14:paraId="0A2FB39D"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zagęszczenia nasypu i ocenę według zasad określonych w punkcie 5.3.3 lub 5.14.1, </w:t>
      </w:r>
    </w:p>
    <w:p w14:paraId="630A53CB"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nośności na powierzchni podłoża pod nasypami lub na powierzchni wskazanej w dokumentacji projektowej wg zasad określonych w punkcie 5.3.5 lub </w:t>
      </w:r>
    </w:p>
    <w:p w14:paraId="1E3D70B5" w14:textId="77777777" w:rsidR="00955A27" w:rsidRPr="001667DB" w:rsidRDefault="00955A27" w:rsidP="00996530">
      <w:pPr>
        <w:spacing w:after="120" w:line="360" w:lineRule="auto"/>
        <w:ind w:left="121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5.14.7 i 5.14.8, </w:t>
      </w:r>
    </w:p>
    <w:p w14:paraId="3619A10D"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pomiary kształtu nasypu, </w:t>
      </w:r>
    </w:p>
    <w:p w14:paraId="10444CA3" w14:textId="77777777" w:rsidR="00955A27" w:rsidRPr="001667DB" w:rsidRDefault="00955A27" w:rsidP="00996530">
      <w:pPr>
        <w:numPr>
          <w:ilvl w:val="0"/>
          <w:numId w:val="5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nasypu. </w:t>
      </w:r>
    </w:p>
    <w:p w14:paraId="273CC5A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Badania przydatności gruntów, skał i materiałów antropogenicznych do budowy nasypu powinny być przeprowadzone na próbkach pobranych z każdej partii przeznaczonej do wbudowania w korpus ziemny, w przypadku każdej zmiany rodzaju lub źródła materiału do wykorzystania jako materiał nasypowy, jednak nie rzadziej niż jeden raz na 3000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Ocenie należy poddać materiał nasypowy dowieziony w miejsce wbudowania. W każdym badaniu </w:t>
      </w:r>
      <w:r w:rsidRPr="001667DB">
        <w:rPr>
          <w:rFonts w:ascii="Times New Roman" w:hAnsi="Times New Roman" w:cs="Times New Roman"/>
          <w:color w:val="000000" w:themeColor="text1"/>
        </w:rPr>
        <w:lastRenderedPageBreak/>
        <w:t xml:space="preserve">należy określić następujące właściwości: </w:t>
      </w:r>
      <w:r w:rsidRPr="001667DB">
        <w:rPr>
          <w:rFonts w:ascii="Times New Roman" w:eastAsia="Segoe UI Symbol"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skład granulometryczny, wg załącznika Z2.H w ST D-02.00.01., </w:t>
      </w:r>
    </w:p>
    <w:p w14:paraId="61789474"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wilgotność naturalną, wg załącznika Z2.G w ST D-02.00.01., </w:t>
      </w:r>
    </w:p>
    <w:p w14:paraId="69E403B9"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wilgotność optymalną i maksymalną gęstość objętościową szkieletu gruntowego, wg załącznika Z2.A w ST D-02.00.01., </w:t>
      </w:r>
    </w:p>
    <w:p w14:paraId="6B6FCB63"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substancji organicznych, wg załącznika Z2.K w ST D-02.00.01, </w:t>
      </w:r>
    </w:p>
    <w:p w14:paraId="3ADA867B"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granicę płynności, załącznika Z2.I w ST D-02.00.01. (nie dotyczy gruntów i materiałów niespoistych), </w:t>
      </w:r>
    </w:p>
    <w:p w14:paraId="6C65FDB7"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piaskowy, wg załącznika Z2.F w ST D-02.00.01., </w:t>
      </w:r>
    </w:p>
    <w:p w14:paraId="1FC337F0" w14:textId="77777777" w:rsidR="00955A27" w:rsidRPr="001667DB" w:rsidRDefault="00955A27" w:rsidP="00996530">
      <w:pPr>
        <w:numPr>
          <w:ilvl w:val="0"/>
          <w:numId w:val="55"/>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współczynnik filtracji k (wodoprzepuszczalności) wg załącznika Z2.J w ST D-</w:t>
      </w:r>
    </w:p>
    <w:p w14:paraId="1F45BFBE" w14:textId="77777777" w:rsidR="00955A27" w:rsidRPr="001667DB" w:rsidRDefault="00955A27" w:rsidP="00996530">
      <w:pPr>
        <w:spacing w:after="120" w:line="360" w:lineRule="auto"/>
        <w:ind w:left="127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02.00.01. </w:t>
      </w:r>
    </w:p>
    <w:p w14:paraId="51D98F6C"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Za zgodą Inżyniera /Inspektora nadzoru częstotliwość badań może zostać zmniejszona o połowę (badaniami przydatności gruntów, skał i materiałów antropogenicznych do budowy nasypu należy objąć próbki pobrane z każdej partii przeznaczonej do wbudowania w korpus ziemny, w przypadku każdej zmiany rodzaju lub źródła materiału do wykorzystania jako materiał nasypowy, jednak nie rzadziej niż jeden raz na 4500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2260134E"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kontrolne prawidłowości wykonania poszczególnych warstw nasypu polegają na sprawdzeniu: </w:t>
      </w:r>
    </w:p>
    <w:p w14:paraId="5AD14E7B" w14:textId="77777777" w:rsidR="00955A27" w:rsidRPr="001667DB" w:rsidRDefault="00955A27" w:rsidP="00996530">
      <w:pPr>
        <w:numPr>
          <w:ilvl w:val="0"/>
          <w:numId w:val="5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prawidłowości rozmieszczenia gruntów o różnych właściwościach w nasypie, </w:t>
      </w:r>
    </w:p>
    <w:p w14:paraId="2ABCB8E6" w14:textId="77777777" w:rsidR="00955A27" w:rsidRPr="001667DB" w:rsidRDefault="00955A27" w:rsidP="00996530">
      <w:pPr>
        <w:numPr>
          <w:ilvl w:val="0"/>
          <w:numId w:val="5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odwodnienia każdej warstwy, </w:t>
      </w:r>
    </w:p>
    <w:p w14:paraId="250E1ED5" w14:textId="77777777" w:rsidR="00955A27" w:rsidRPr="001667DB" w:rsidRDefault="00955A27" w:rsidP="00996530">
      <w:pPr>
        <w:numPr>
          <w:ilvl w:val="0"/>
          <w:numId w:val="5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grubości każdej warstwy i jej wilgotności przy zagęszczaniu; badania należy przeprowadzić nie rzadziej niż jeden raz na 1000 m2 warstwy, </w:t>
      </w:r>
    </w:p>
    <w:p w14:paraId="29C18B9A" w14:textId="77777777" w:rsidR="00955A27" w:rsidRPr="001667DB" w:rsidRDefault="00955A27" w:rsidP="00996530">
      <w:pPr>
        <w:numPr>
          <w:ilvl w:val="0"/>
          <w:numId w:val="5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nadania spadków warstwom z gruntów spoistych, </w:t>
      </w:r>
    </w:p>
    <w:p w14:paraId="01154B98" w14:textId="77777777" w:rsidR="00955A27" w:rsidRPr="001667DB" w:rsidRDefault="00955A27" w:rsidP="00996530">
      <w:pPr>
        <w:numPr>
          <w:ilvl w:val="0"/>
          <w:numId w:val="5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przestrzegania ograniczeń dotyczących wbudowania gruntów w okresie deszczów i mrozów. </w:t>
      </w:r>
    </w:p>
    <w:p w14:paraId="2901C5F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Sprawdzenie zagęszczenia nasypu oraz podłoża nasypu polega na skontrolowaniu zgodności wartości wskaźnika zagęszczenia I</w:t>
      </w:r>
      <w:r w:rsidRPr="001667DB">
        <w:rPr>
          <w:rFonts w:ascii="Times New Roman" w:hAnsi="Times New Roman" w:cs="Times New Roman"/>
          <w:color w:val="000000" w:themeColor="text1"/>
          <w:vertAlign w:val="subscript"/>
        </w:rPr>
        <w:t>S</w:t>
      </w:r>
      <w:r w:rsidRPr="001667DB">
        <w:rPr>
          <w:rFonts w:ascii="Times New Roman" w:hAnsi="Times New Roman" w:cs="Times New Roman"/>
          <w:color w:val="000000" w:themeColor="text1"/>
        </w:rPr>
        <w:t xml:space="preserve"> z wartościami określonymi w punkcie 5. Częstotliwość badań określono w ST D-02.00.01 „Roboty ziemne. Wymagania ogólne” w punkcie 6.4.4. </w:t>
      </w:r>
    </w:p>
    <w:p w14:paraId="44151E2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dopuszczono kontrolę zagęszczenia na podstawie oceny wskaźnika odkształcenia, to sprawdzenie polega na skontrolowaniu zgodności wartości wskaźnika odkształcenia I</w:t>
      </w:r>
      <w:r w:rsidRPr="001667DB">
        <w:rPr>
          <w:rFonts w:ascii="Times New Roman" w:hAnsi="Times New Roman" w:cs="Times New Roman"/>
          <w:color w:val="000000" w:themeColor="text1"/>
          <w:vertAlign w:val="subscript"/>
        </w:rPr>
        <w:t>o</w:t>
      </w:r>
      <w:r w:rsidRPr="001667DB">
        <w:rPr>
          <w:rFonts w:ascii="Times New Roman" w:hAnsi="Times New Roman" w:cs="Times New Roman"/>
          <w:color w:val="000000" w:themeColor="text1"/>
        </w:rPr>
        <w:t xml:space="preserve"> z </w:t>
      </w:r>
      <w:r w:rsidRPr="001667DB">
        <w:rPr>
          <w:rFonts w:ascii="Times New Roman" w:hAnsi="Times New Roman" w:cs="Times New Roman"/>
          <w:color w:val="000000" w:themeColor="text1"/>
        </w:rPr>
        <w:lastRenderedPageBreak/>
        <w:t xml:space="preserve">wartościami określonymi na odcinku próbnym, zaakceptowanymi przez Inżyniera/Inspektora nadzoru. </w:t>
      </w:r>
    </w:p>
    <w:p w14:paraId="7931A533"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6.2.6.</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Wyniki kontroli nośności Wykonawca powinien wpisywać do dokumentów laboratoryjnych. Spełnienie wymagań dotyczących nośności podłoża pod nasypem oraz powierzchni podłoża gruntowego pod nawierzchnią powinno być potwierdzone przez Inżyniera/Inspektora nadzoru. </w:t>
      </w:r>
    </w:p>
    <w:p w14:paraId="009B898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6.2.7.</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Sprawdzenie nośności na powierzchni podłoża gruntowego nawierzchni w nasypie oraz podłoża nasypu polega na skontrolowaniu zgodności wartości wtórnego modułu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z wartościami określonymi w punkcie 5. Częstotliwość badań określono w ST D-02.00.01 „Roboty ziemne. Wymagania ogólne” w punkcie 6.4.6. </w:t>
      </w:r>
    </w:p>
    <w:p w14:paraId="69F76DA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6.2.8.</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Jeżeli dopuszczono kontrolę nośności na podstawie oceny wartości modułu E</w:t>
      </w:r>
      <w:r w:rsidRPr="001667DB">
        <w:rPr>
          <w:rFonts w:ascii="Times New Roman" w:hAnsi="Times New Roman" w:cs="Times New Roman"/>
          <w:color w:val="000000" w:themeColor="text1"/>
          <w:vertAlign w:val="subscript"/>
        </w:rPr>
        <w:t>vd</w:t>
      </w:r>
      <w:r w:rsidRPr="001667DB">
        <w:rPr>
          <w:rFonts w:ascii="Times New Roman" w:hAnsi="Times New Roman" w:cs="Times New Roman"/>
          <w:color w:val="000000" w:themeColor="text1"/>
        </w:rPr>
        <w:t xml:space="preserve"> określonego w badaniu lekką płytą dynamiczną LPD, to sprawdzenie polega na skontrolowaniu zgodności wartości modułu E</w:t>
      </w:r>
      <w:r w:rsidRPr="001667DB">
        <w:rPr>
          <w:rFonts w:ascii="Times New Roman" w:hAnsi="Times New Roman" w:cs="Times New Roman"/>
          <w:color w:val="000000" w:themeColor="text1"/>
          <w:vertAlign w:val="subscript"/>
        </w:rPr>
        <w:t>vd</w:t>
      </w:r>
      <w:r w:rsidRPr="001667DB">
        <w:rPr>
          <w:rFonts w:ascii="Times New Roman" w:hAnsi="Times New Roman" w:cs="Times New Roman"/>
          <w:color w:val="000000" w:themeColor="text1"/>
        </w:rPr>
        <w:t xml:space="preserve"> z wartościami określonymi na odcinku próbnym, zaakceptowanymi przez Inżyniera/Inspektora nadzoru </w:t>
      </w:r>
    </w:p>
    <w:p w14:paraId="5437BF85"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6.2.9.</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Pomiary kształtu nasypu obejmują kontrolę prawidłowości wykonania skarp i szerokości korony korpusu. </w:t>
      </w:r>
    </w:p>
    <w:p w14:paraId="79BB3AAA"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EC6746F"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7" w:name="_Toc30054"/>
      <w:r w:rsidRPr="001667DB">
        <w:rPr>
          <w:color w:val="000000" w:themeColor="text1"/>
          <w:sz w:val="22"/>
          <w:szCs w:val="22"/>
        </w:rPr>
        <w:t xml:space="preserve">Badania i pomiary do odbioru nasypów </w:t>
      </w:r>
      <w:bookmarkEnd w:id="267"/>
    </w:p>
    <w:p w14:paraId="3E6D96B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6.3.1.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Badania do odbioru korpusu ziemnego należy wykonać według zasad i wymagań   oraz z częstotliwością określoną w ST D-02.00.01 „Roboty ziemne. Wymagania ogólne”, punkt 6 i wymagań określonych w punkcie 5 niniejszych ST.  </w:t>
      </w:r>
    </w:p>
    <w:p w14:paraId="0D3C0D3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p>
    <w:p w14:paraId="53D431A0"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8" w:name="_Toc30055"/>
      <w:r w:rsidRPr="001667DB">
        <w:rPr>
          <w:color w:val="000000" w:themeColor="text1"/>
          <w:sz w:val="22"/>
          <w:szCs w:val="22"/>
        </w:rPr>
        <w:t xml:space="preserve">OBMIAR ROBÓT </w:t>
      </w:r>
      <w:bookmarkEnd w:id="268"/>
    </w:p>
    <w:p w14:paraId="0E80B2E0"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69" w:name="_Toc30056"/>
      <w:r w:rsidRPr="001667DB">
        <w:rPr>
          <w:color w:val="000000" w:themeColor="text1"/>
          <w:sz w:val="22"/>
          <w:szCs w:val="22"/>
        </w:rPr>
        <w:t xml:space="preserve">Ogólne zasady obmiaru robót </w:t>
      </w:r>
      <w:bookmarkEnd w:id="269"/>
    </w:p>
    <w:p w14:paraId="7A5AF67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7.1.1.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obmiaru robót podano w ST D-M 00.00.00 "Wymagania Ogólne" punkt. 7 </w:t>
      </w:r>
    </w:p>
    <w:p w14:paraId="0EAF25AE"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0" w:name="_Toc30057"/>
      <w:r w:rsidRPr="001667DB">
        <w:rPr>
          <w:color w:val="000000" w:themeColor="text1"/>
          <w:sz w:val="22"/>
          <w:szCs w:val="22"/>
        </w:rPr>
        <w:t xml:space="preserve">Jednostka obmiarowa </w:t>
      </w:r>
      <w:bookmarkEnd w:id="270"/>
    </w:p>
    <w:p w14:paraId="704538E2"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7.3.1.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Jednostką obmiarową jest metr sześcienny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wykonanych nasypów. </w:t>
      </w:r>
    </w:p>
    <w:p w14:paraId="2AA42A8B" w14:textId="77777777" w:rsidR="00955A27" w:rsidRPr="001667DB" w:rsidRDefault="00955A27" w:rsidP="00996530">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700D475"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1" w:name="_Toc30058"/>
      <w:r w:rsidRPr="001667DB">
        <w:rPr>
          <w:color w:val="000000" w:themeColor="text1"/>
          <w:sz w:val="22"/>
          <w:szCs w:val="22"/>
        </w:rPr>
        <w:lastRenderedPageBreak/>
        <w:t xml:space="preserve">ODBIÓR ROBÓT </w:t>
      </w:r>
      <w:bookmarkEnd w:id="271"/>
    </w:p>
    <w:p w14:paraId="75E39505"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2" w:name="_Toc30059"/>
      <w:r w:rsidRPr="001667DB">
        <w:rPr>
          <w:color w:val="000000" w:themeColor="text1"/>
          <w:sz w:val="22"/>
          <w:szCs w:val="22"/>
        </w:rPr>
        <w:t xml:space="preserve">Ogólne zasady odbioru robót </w:t>
      </w:r>
      <w:bookmarkEnd w:id="272"/>
    </w:p>
    <w:p w14:paraId="36D8DF39"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zasady odbioru robót podano w ST D-M 00.00.00 „Wymagania Ogólne” punkt 8.  </w:t>
      </w:r>
    </w:p>
    <w:p w14:paraId="38F851AB"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ziemne uznaje się za wykonane zgodnie z Dokumentacją Projektową, ST i wymaganiami Inżyniera/Inspektora Nadzoru, jeżeli wszystkie pomiary i badania  wg pkt. 5 i 6 niniejszych ST dały wyniki pozytywne. </w:t>
      </w:r>
    </w:p>
    <w:p w14:paraId="2961DD4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2A736DB9"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3" w:name="_Toc30060"/>
      <w:r w:rsidRPr="001667DB">
        <w:rPr>
          <w:color w:val="000000" w:themeColor="text1"/>
          <w:sz w:val="22"/>
          <w:szCs w:val="22"/>
        </w:rPr>
        <w:t xml:space="preserve">Odbiór robót zanikających lub ulegających zakryciu </w:t>
      </w:r>
      <w:bookmarkEnd w:id="273"/>
    </w:p>
    <w:p w14:paraId="2945262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tych robót powinien być zgodny z wymaganiami punktu 8.2 ST DM- 00.00.00 "Wymagania Ogólne" oraz niniejszych ST. </w:t>
      </w:r>
    </w:p>
    <w:p w14:paraId="5CD4843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 </w:t>
      </w:r>
    </w:p>
    <w:p w14:paraId="5FE250EF"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Jakość i ilość robót ulegających zakryciu ocenia Inżynier/Inspektor Nadzoru na podstawie dokumentów zawierających komplet wyników badań laboratoryjnych i w oparciu o przeprowadzone pomiary. </w:t>
      </w:r>
    </w:p>
    <w:p w14:paraId="0847B7D2"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4" w:name="_Toc30061"/>
      <w:r w:rsidRPr="001667DB">
        <w:rPr>
          <w:color w:val="000000" w:themeColor="text1"/>
          <w:sz w:val="22"/>
          <w:szCs w:val="22"/>
        </w:rPr>
        <w:t xml:space="preserve">Odbiór częściowy </w:t>
      </w:r>
      <w:bookmarkEnd w:id="274"/>
    </w:p>
    <w:p w14:paraId="4263A25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8.3.1.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Odbiór częściowy polega na ocenie ilości i jakości wykonanych części robót. Odbioru częściowego robót dokonuje się wg zasad jak przy odbiorze ostatecznym robót. Odbioru robót dokonuje Inżynier/Inspektor Nadzoru. </w:t>
      </w:r>
    </w:p>
    <w:p w14:paraId="0357E682"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5" w:name="_Toc30062"/>
      <w:r w:rsidRPr="001667DB">
        <w:rPr>
          <w:color w:val="000000" w:themeColor="text1"/>
          <w:sz w:val="22"/>
          <w:szCs w:val="22"/>
        </w:rPr>
        <w:t xml:space="preserve">Odbiór ostateczny </w:t>
      </w:r>
      <w:bookmarkEnd w:id="275"/>
    </w:p>
    <w:p w14:paraId="5E32C937" w14:textId="77777777" w:rsidR="00955A27" w:rsidRPr="001667DB" w:rsidRDefault="00955A27" w:rsidP="00996530">
      <w:pPr>
        <w:spacing w:after="120" w:line="360" w:lineRule="auto"/>
        <w:ind w:left="847" w:right="-8"/>
        <w:jc w:val="both"/>
        <w:rPr>
          <w:rFonts w:ascii="Times New Roman" w:hAnsi="Times New Roman" w:cs="Times New Roman"/>
          <w:color w:val="000000" w:themeColor="text1"/>
        </w:rPr>
      </w:pPr>
      <w:r w:rsidRPr="001667DB">
        <w:rPr>
          <w:rFonts w:ascii="Times New Roman" w:hAnsi="Times New Roman" w:cs="Times New Roman"/>
          <w:color w:val="000000" w:themeColor="text1"/>
        </w:rPr>
        <w:t>8.4.1.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Roboty objęte niniejszymi ST podlegają odbiorowi na zasadzie robót zanikających i ulegających zakryciu, który jest dokonywany na podstawie wyników pomiarów, badań i oceny wizualnej. </w:t>
      </w:r>
    </w:p>
    <w:p w14:paraId="5D5E2177"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8.4.2.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Do odbioru Wykonawca przedstawia wszystkie dokumenty z bieżącej kontroli jakości robót oraz Dokumentację Projektową z naniesionymi zmianami i uzupełnieniami dokonanymi w trakcie robót (dokumentację powykonawczą).  </w:t>
      </w:r>
    </w:p>
    <w:p w14:paraId="7F36ADF0"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8.4.3.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Podstawą odbioru ostatecznego jest pisemne stwierdzenie przez Inspektora Nadzoru w Dzienniku Budowy zakończenia wszystkich robót związanych z niniejszymi ST, a także spełnienie wymagań określonych w dokumentacji projektowej i niniejszych Warunków Wykonania. </w:t>
      </w:r>
    </w:p>
    <w:p w14:paraId="6FBBDCFA"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6" w:name="_Toc30063"/>
      <w:r w:rsidRPr="001667DB">
        <w:rPr>
          <w:color w:val="000000" w:themeColor="text1"/>
          <w:sz w:val="22"/>
          <w:szCs w:val="22"/>
        </w:rPr>
        <w:t xml:space="preserve">Zasady postępowania z wadliwie wykonanymi robotami </w:t>
      </w:r>
      <w:bookmarkEnd w:id="276"/>
    </w:p>
    <w:p w14:paraId="1519485A"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8.5.1.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wystąpią wyniki negatywne dla materiałów i robót (nie spełniające wymagań określonych w ST i opracowanych na ich podstawie STWiORB), to Inżynier/Inspektor Nadzoru/Zamawiający wydaje Wykonawcy polecenie przedstawienia programu naprawczego, chyba że na wniosek jednej ze stron kontraktu zostaną wykonane badania lub pomiary arbitrażowe (zgodnie z pkt. 6.1.5 niniejszego ST), a ich wyniki będą pozytywne. Wykonawca w programie tym jest zobowiązany dokonać oceny wpływu na trwałość, przedstawić sposób naprawienia wady lub wnioskować o zredukowanie ceny kontraktowej. </w:t>
      </w:r>
    </w:p>
    <w:p w14:paraId="05F95CF8"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8.5.2.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Na zastosowanie programu naprawczego wyraża zgodę Inżynier/Inspektor Nadzoru/Zamawiający.  </w:t>
      </w:r>
    </w:p>
    <w:p w14:paraId="4A705961"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8.5.3.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W przypadku braku zgody Inżyniera/Inspektora Nadzoru/Zamawiającego na zastosowanie programu naprawczego wszystkie materiały i roboty nie spełniające wymagań podanych w odpowiednich punktach ST zostaną odrzucone. Wykonawca wymieni materiały na właściwe i wykona prawidłowo roboty na własny koszt. </w:t>
      </w:r>
    </w:p>
    <w:p w14:paraId="5321BC6C"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8.5.4.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Jeżeli wymiana materiałów niespełniających wymagań lub wadliwie wykonane roboty spowodowują szkodę w innych, prawidłowo wykonanych robotach, to również te roboty powinny być ponownie wykonane przez Wykonawcę na jego koszt. </w:t>
      </w:r>
    </w:p>
    <w:p w14:paraId="50466170" w14:textId="77777777" w:rsidR="00955A27" w:rsidRPr="001667DB" w:rsidRDefault="00955A27" w:rsidP="00996530">
      <w:pPr>
        <w:spacing w:after="120" w:line="360" w:lineRule="auto"/>
        <w:ind w:left="85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714D63C" w14:textId="77777777" w:rsidR="00955A27" w:rsidRPr="001667DB" w:rsidRDefault="00955A27" w:rsidP="00996530">
      <w:pPr>
        <w:pStyle w:val="Nagwek1"/>
        <w:keepLines/>
        <w:numPr>
          <w:ilvl w:val="0"/>
          <w:numId w:val="59"/>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7" w:name="_Toc30064"/>
      <w:r w:rsidRPr="001667DB">
        <w:rPr>
          <w:color w:val="000000" w:themeColor="text1"/>
          <w:sz w:val="22"/>
          <w:szCs w:val="22"/>
        </w:rPr>
        <w:t xml:space="preserve">PODSTAWA PŁATNOŚCI </w:t>
      </w:r>
      <w:bookmarkEnd w:id="277"/>
    </w:p>
    <w:p w14:paraId="356B9FC1"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8" w:name="_Toc30065"/>
      <w:r w:rsidRPr="001667DB">
        <w:rPr>
          <w:color w:val="000000" w:themeColor="text1"/>
          <w:sz w:val="22"/>
          <w:szCs w:val="22"/>
        </w:rPr>
        <w:t xml:space="preserve">Ogólne ustalenia dotyczące podstawy płatności </w:t>
      </w:r>
      <w:bookmarkEnd w:id="278"/>
    </w:p>
    <w:p w14:paraId="7CDC6E6D" w14:textId="77777777" w:rsidR="00955A27" w:rsidRPr="001667DB" w:rsidRDefault="00955A27" w:rsidP="00996530">
      <w:pPr>
        <w:spacing w:after="120" w:line="360" w:lineRule="auto"/>
        <w:ind w:left="847"/>
        <w:jc w:val="both"/>
        <w:rPr>
          <w:rFonts w:ascii="Times New Roman" w:hAnsi="Times New Roman" w:cs="Times New Roman"/>
          <w:color w:val="000000" w:themeColor="text1"/>
        </w:rPr>
      </w:pPr>
      <w:r w:rsidRPr="001667DB">
        <w:rPr>
          <w:rFonts w:ascii="Times New Roman" w:hAnsi="Times New Roman" w:cs="Times New Roman"/>
          <w:color w:val="000000" w:themeColor="text1"/>
        </w:rPr>
        <w:t>9.1.1.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Ogólne ustalenia dotyczące podstawy płatności podano w ST D-02.00.01 „Roboty ziemne. Wymagania ogólne” punkt 9. </w:t>
      </w:r>
    </w:p>
    <w:p w14:paraId="2F853818"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79" w:name="_Toc30066"/>
      <w:r w:rsidRPr="001667DB">
        <w:rPr>
          <w:color w:val="000000" w:themeColor="text1"/>
          <w:sz w:val="22"/>
          <w:szCs w:val="22"/>
        </w:rPr>
        <w:t xml:space="preserve">Cena jednostki obmiarowej </w:t>
      </w:r>
      <w:bookmarkEnd w:id="279"/>
    </w:p>
    <w:p w14:paraId="24C5CB29"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9.2.1.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Cena wykonania 1 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nasypu obejmuje: </w:t>
      </w:r>
    </w:p>
    <w:p w14:paraId="530FA096"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19907947"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56896A04"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przygotowanie podłoża pod nasyp zgodnie z Dokumentacją Projektową i wymaganiami ST, </w:t>
      </w:r>
    </w:p>
    <w:p w14:paraId="70B4F165"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pozyskanie gruntu z ukopu lub/i dokopu, jego odspojenie i załadunek na środki  transportowe lub zakup materiału i załadunek na środki transportowe, </w:t>
      </w:r>
    </w:p>
    <w:p w14:paraId="689D96A4"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urobku z ukopu lub/i dokopu lub zakupionego materiału na miejsce  wbudowania, </w:t>
      </w:r>
    </w:p>
    <w:p w14:paraId="00A9019A"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badań materiału (gruntu) określających typ, rodzaj materiału  do wbudowania w nasyp, </w:t>
      </w:r>
    </w:p>
    <w:p w14:paraId="6EAF1343"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doprowadzenie gruntu lub materiału do wilgotności optymalnej,  </w:t>
      </w:r>
    </w:p>
    <w:p w14:paraId="4D82D286"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wbudowanie dostarczonego gruntu lub materiału w nasyp w sposób określony w niniejszych ST, </w:t>
      </w:r>
    </w:p>
    <w:p w14:paraId="2ED33453"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zagęszczenie gruntu w nasypach do wymaganych poziomów zagęszczenia i wymaganej nośności, </w:t>
      </w:r>
    </w:p>
    <w:p w14:paraId="778B1F3A"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wzmocnienia o ile było przewidziane, </w:t>
      </w:r>
    </w:p>
    <w:p w14:paraId="2F39F46D"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profilowanie powierzchni nasypu, rowów i skarp (z uwzględnieniem wymagań niniejszych ST), </w:t>
      </w:r>
    </w:p>
    <w:p w14:paraId="5D62B2EB"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wyprofilowanie skarp ukopu i dokopu, </w:t>
      </w:r>
    </w:p>
    <w:p w14:paraId="2E76B97D"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rekultywację dokopu i terenu przyległego do drogi, </w:t>
      </w:r>
    </w:p>
    <w:p w14:paraId="1BB6BB44"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odwodnienie terenu robót, </w:t>
      </w:r>
    </w:p>
    <w:p w14:paraId="4C3AE4C9"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dróg dojazdowych na czas budowy, a następnie ich rozebranie, </w:t>
      </w:r>
    </w:p>
    <w:p w14:paraId="0A67DEFF"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laboratoryjnych wymaganych w ST, </w:t>
      </w:r>
    </w:p>
    <w:p w14:paraId="4DE2864C" w14:textId="77777777" w:rsidR="00955A27" w:rsidRPr="001667DB" w:rsidRDefault="00955A27" w:rsidP="00996530">
      <w:pPr>
        <w:numPr>
          <w:ilvl w:val="0"/>
          <w:numId w:val="57"/>
        </w:numPr>
        <w:spacing w:after="120" w:line="360" w:lineRule="auto"/>
        <w:ind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wszelkie inne czynności związane z prawidłowym wykonaniem robót zgodnie z wymaganiami niniejszych ST. </w:t>
      </w:r>
    </w:p>
    <w:p w14:paraId="0646EB27" w14:textId="77777777" w:rsidR="00955A27" w:rsidRPr="001667DB" w:rsidRDefault="00955A27" w:rsidP="00996530">
      <w:pPr>
        <w:pStyle w:val="Nagwek2"/>
        <w:keepLines/>
        <w:numPr>
          <w:ilvl w:val="1"/>
          <w:numId w:val="5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ind w:left="837" w:hanging="852"/>
        <w:jc w:val="both"/>
        <w:rPr>
          <w:color w:val="000000" w:themeColor="text1"/>
          <w:sz w:val="22"/>
          <w:szCs w:val="22"/>
        </w:rPr>
      </w:pPr>
      <w:bookmarkStart w:id="280" w:name="_Toc30067"/>
      <w:r w:rsidRPr="001667DB">
        <w:rPr>
          <w:color w:val="000000" w:themeColor="text1"/>
          <w:sz w:val="22"/>
          <w:szCs w:val="22"/>
        </w:rPr>
        <w:t xml:space="preserve">Sposób rozliczenia robót tymczasowych i prac towarzyszących </w:t>
      </w:r>
      <w:bookmarkEnd w:id="280"/>
    </w:p>
    <w:p w14:paraId="69B7ECF7" w14:textId="77777777" w:rsidR="00955A27"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robót określonych niniejszymi ST obejmuje: </w:t>
      </w:r>
    </w:p>
    <w:p w14:paraId="500AA99A" w14:textId="77777777" w:rsidR="00955A27" w:rsidRPr="001667DB" w:rsidRDefault="00955A27" w:rsidP="00996530">
      <w:pPr>
        <w:numPr>
          <w:ilvl w:val="0"/>
          <w:numId w:val="5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tymczasowe, które są potrzebne do wykonania robót podstawowych, ale nie są przekazywane Zamawiającemu i są usuwane po wykonaniu robót podstawowych, </w:t>
      </w:r>
    </w:p>
    <w:p w14:paraId="44196C09" w14:textId="77777777" w:rsidR="00955A27" w:rsidRPr="001667DB" w:rsidRDefault="00955A27" w:rsidP="00996530">
      <w:pPr>
        <w:numPr>
          <w:ilvl w:val="0"/>
          <w:numId w:val="5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towarzyszące, które są niezbędne do wykonania robót podstawowych, niezaliczane do robót tymczasowych, jak geodezyjne wytyczenie robót itd. </w:t>
      </w:r>
    </w:p>
    <w:p w14:paraId="1E526F1C" w14:textId="77777777" w:rsidR="00955A27" w:rsidRPr="001667DB" w:rsidRDefault="00955A27" w:rsidP="00996530">
      <w:pPr>
        <w:spacing w:after="120" w:line="360" w:lineRule="auto"/>
        <w:ind w:left="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bookmarkStart w:id="281" w:name="_Toc30068"/>
      <w:r w:rsidRPr="001667DB">
        <w:rPr>
          <w:rFonts w:ascii="Times New Roman" w:hAnsi="Times New Roman" w:cs="Times New Roman"/>
          <w:color w:val="000000" w:themeColor="text1"/>
        </w:rPr>
        <w:t xml:space="preserve">PRZEPISY ZWIĄZANE </w:t>
      </w:r>
      <w:bookmarkEnd w:id="281"/>
    </w:p>
    <w:p w14:paraId="5B7D56D8" w14:textId="77777777" w:rsidR="00D1442B" w:rsidRPr="001667DB" w:rsidRDefault="00955A27" w:rsidP="00996530">
      <w:pPr>
        <w:spacing w:after="120" w:line="360" w:lineRule="auto"/>
        <w:ind w:left="-1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Przepisy związane podano w ST D-02.00.01 „Roboty ziemne. Wymagania ogólne”, punkt </w:t>
      </w:r>
    </w:p>
    <w:p w14:paraId="727975DB" w14:textId="77777777" w:rsidR="00D1442B" w:rsidRPr="001667DB" w:rsidRDefault="00D1442B" w:rsidP="00996530">
      <w:pPr>
        <w:jc w:val="both"/>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38AB4726" w14:textId="77777777" w:rsidR="00042BD7" w:rsidRPr="00A4013A" w:rsidRDefault="00042BD7" w:rsidP="00042BD7">
      <w:pPr>
        <w:jc w:val="both"/>
        <w:rPr>
          <w:rFonts w:ascii="Times New Roman" w:hAnsi="Times New Roman" w:cs="Times New Roman"/>
          <w:b/>
        </w:rPr>
      </w:pPr>
      <w:r w:rsidRPr="00A4013A">
        <w:rPr>
          <w:rFonts w:ascii="Times New Roman" w:hAnsi="Times New Roman" w:cs="Times New Roman"/>
          <w:b/>
        </w:rPr>
        <w:lastRenderedPageBreak/>
        <w:t xml:space="preserve">S.03.01.01       KANALIZACJA DESZCZOWA </w:t>
      </w:r>
    </w:p>
    <w:p w14:paraId="1DD5488F" w14:textId="77777777" w:rsidR="00042BD7" w:rsidRPr="00A4013A" w:rsidRDefault="00042BD7" w:rsidP="00042BD7">
      <w:pPr>
        <w:tabs>
          <w:tab w:val="left" w:pos="2706"/>
        </w:tabs>
        <w:jc w:val="both"/>
        <w:rPr>
          <w:rFonts w:ascii="Times New Roman" w:hAnsi="Times New Roman" w:cs="Times New Roman"/>
          <w:b/>
        </w:rPr>
      </w:pPr>
      <w:r w:rsidRPr="00A4013A">
        <w:rPr>
          <w:rFonts w:ascii="Times New Roman" w:hAnsi="Times New Roman" w:cs="Times New Roman"/>
          <w:b/>
        </w:rPr>
        <w:tab/>
      </w:r>
    </w:p>
    <w:p w14:paraId="1A4D61EE" w14:textId="77777777" w:rsidR="00042BD7"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bookmarkStart w:id="282" w:name="_Toc130791325"/>
      <w:bookmarkStart w:id="283" w:name="_Toc130791306"/>
      <w:r w:rsidRPr="00A4013A">
        <w:rPr>
          <w:sz w:val="22"/>
          <w:szCs w:val="22"/>
        </w:rPr>
        <w:t>WSTĘP</w:t>
      </w:r>
      <w:bookmarkEnd w:id="282"/>
      <w:bookmarkEnd w:id="283"/>
    </w:p>
    <w:p w14:paraId="25B2A1FB" w14:textId="77777777" w:rsidR="00042BD7" w:rsidRPr="00042BD7" w:rsidRDefault="00042BD7" w:rsidP="00042BD7">
      <w:pPr>
        <w:rPr>
          <w:lang w:val="en-GB" w:eastAsia="pl-PL"/>
        </w:rPr>
      </w:pPr>
    </w:p>
    <w:p w14:paraId="50FCEEB4"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26" w:hanging="426"/>
        <w:jc w:val="both"/>
        <w:textAlignment w:val="baseline"/>
        <w:rPr>
          <w:sz w:val="22"/>
          <w:szCs w:val="22"/>
        </w:rPr>
      </w:pPr>
      <w:r w:rsidRPr="00A4013A">
        <w:rPr>
          <w:sz w:val="22"/>
          <w:szCs w:val="22"/>
        </w:rPr>
        <w:t>Przedmiot ST</w:t>
      </w:r>
    </w:p>
    <w:p w14:paraId="125E4509" w14:textId="77777777" w:rsidR="00042BD7" w:rsidRPr="00A4013A" w:rsidRDefault="00042BD7" w:rsidP="00952024">
      <w:pPr>
        <w:spacing w:after="0"/>
        <w:ind w:firstLine="709"/>
        <w:jc w:val="both"/>
        <w:rPr>
          <w:rFonts w:ascii="Times New Roman" w:hAnsi="Times New Roman" w:cs="Times New Roman"/>
        </w:rPr>
      </w:pPr>
      <w:r w:rsidRPr="00A4013A">
        <w:rPr>
          <w:rFonts w:ascii="Times New Roman" w:hAnsi="Times New Roman" w:cs="Times New Roman"/>
        </w:rPr>
        <w:tab/>
        <w:t xml:space="preserve">Przedmiotem niniejszej specyfikacji technicznej (ST) są wymagania dotyczące wykonania i odbioru robót związanych z budową: </w:t>
      </w:r>
    </w:p>
    <w:p w14:paraId="458B3559" w14:textId="77777777" w:rsidR="00042BD7" w:rsidRPr="00A4013A" w:rsidRDefault="00042BD7" w:rsidP="00904E6C">
      <w:pPr>
        <w:pStyle w:val="Tekstpodstawowy"/>
        <w:widowControl w:val="0"/>
        <w:numPr>
          <w:ilvl w:val="0"/>
          <w:numId w:val="69"/>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709"/>
        </w:tabs>
        <w:overflowPunct w:val="0"/>
        <w:autoSpaceDE w:val="0"/>
        <w:autoSpaceDN w:val="0"/>
        <w:adjustRightInd w:val="0"/>
        <w:spacing w:before="40" w:after="40" w:line="240" w:lineRule="auto"/>
        <w:textAlignment w:val="baseline"/>
        <w:rPr>
          <w:sz w:val="22"/>
          <w:szCs w:val="22"/>
        </w:rPr>
      </w:pPr>
      <w:r w:rsidRPr="00A4013A">
        <w:rPr>
          <w:sz w:val="22"/>
          <w:szCs w:val="22"/>
        </w:rPr>
        <w:t>kolektora deszczowego D1 na odcinku D1.34-D1.4;</w:t>
      </w:r>
    </w:p>
    <w:p w14:paraId="088A7153" w14:textId="77777777" w:rsidR="00042BD7" w:rsidRPr="00A4013A" w:rsidRDefault="00042BD7" w:rsidP="00904E6C">
      <w:pPr>
        <w:pStyle w:val="Tekstpodstawowy"/>
        <w:widowControl w:val="0"/>
        <w:numPr>
          <w:ilvl w:val="0"/>
          <w:numId w:val="69"/>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709"/>
        </w:tabs>
        <w:overflowPunct w:val="0"/>
        <w:autoSpaceDE w:val="0"/>
        <w:autoSpaceDN w:val="0"/>
        <w:adjustRightInd w:val="0"/>
        <w:spacing w:before="40" w:after="40" w:line="240" w:lineRule="auto"/>
        <w:textAlignment w:val="baseline"/>
        <w:rPr>
          <w:sz w:val="22"/>
          <w:szCs w:val="22"/>
        </w:rPr>
      </w:pPr>
      <w:r w:rsidRPr="00A4013A">
        <w:rPr>
          <w:sz w:val="22"/>
          <w:szCs w:val="22"/>
        </w:rPr>
        <w:t>przepompowni D1.2 wraz ogrodzeniem;</w:t>
      </w:r>
    </w:p>
    <w:p w14:paraId="422A3666" w14:textId="77777777" w:rsidR="00042BD7" w:rsidRPr="00A4013A" w:rsidRDefault="00042BD7" w:rsidP="00904E6C">
      <w:pPr>
        <w:pStyle w:val="Akapitzlist"/>
        <w:numPr>
          <w:ilvl w:val="0"/>
          <w:numId w:val="69"/>
        </w:numPr>
        <w:overflowPunct/>
        <w:adjustRightInd/>
        <w:textAlignment w:val="auto"/>
        <w:rPr>
          <w:sz w:val="22"/>
          <w:szCs w:val="22"/>
        </w:rPr>
      </w:pPr>
      <w:r w:rsidRPr="00A4013A">
        <w:rPr>
          <w:sz w:val="22"/>
          <w:szCs w:val="22"/>
        </w:rPr>
        <w:t>układu drenaży po prawej i lewej stronie jezdni na odcinkach wskazanych w dokumentacji projektowej;</w:t>
      </w:r>
    </w:p>
    <w:p w14:paraId="6875B833" w14:textId="77777777" w:rsidR="00042BD7" w:rsidRPr="00A4013A" w:rsidRDefault="00042BD7" w:rsidP="00952024">
      <w:pPr>
        <w:jc w:val="both"/>
        <w:rPr>
          <w:rFonts w:ascii="Times New Roman" w:hAnsi="Times New Roman" w:cs="Times New Roman"/>
        </w:rPr>
      </w:pPr>
      <w:r w:rsidRPr="00A4013A">
        <w:rPr>
          <w:rFonts w:ascii="Times New Roman" w:hAnsi="Times New Roman" w:cs="Times New Roman"/>
        </w:rPr>
        <w:t xml:space="preserve">w ramach realizacji zadania: </w:t>
      </w:r>
      <w:r w:rsidRPr="00A4013A">
        <w:rPr>
          <w:rFonts w:ascii="Times New Roman" w:hAnsi="Times New Roman" w:cs="Times New Roman"/>
          <w:b/>
          <w:bCs/>
        </w:rPr>
        <w:t xml:space="preserve">Rozbudowa drogi wojewódzkiej nr461 w miejscowości Dąbrówka Łubniańska i </w:t>
      </w:r>
      <w:r w:rsidR="00134156">
        <w:rPr>
          <w:rFonts w:ascii="Times New Roman" w:hAnsi="Times New Roman" w:cs="Times New Roman"/>
          <w:b/>
          <w:bCs/>
        </w:rPr>
        <w:t>Łubniany” – Etap I</w:t>
      </w:r>
    </w:p>
    <w:p w14:paraId="072871DE"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26" w:hanging="426"/>
        <w:jc w:val="both"/>
        <w:textAlignment w:val="baseline"/>
        <w:rPr>
          <w:sz w:val="22"/>
          <w:szCs w:val="22"/>
        </w:rPr>
      </w:pPr>
      <w:r w:rsidRPr="00A4013A">
        <w:rPr>
          <w:sz w:val="22"/>
          <w:szCs w:val="22"/>
        </w:rPr>
        <w:t>Zakres stosowania ST</w:t>
      </w:r>
    </w:p>
    <w:p w14:paraId="35A5165C" w14:textId="77777777" w:rsidR="00042BD7" w:rsidRPr="00A4013A" w:rsidRDefault="00042BD7" w:rsidP="00952024">
      <w:pPr>
        <w:jc w:val="both"/>
        <w:rPr>
          <w:rFonts w:ascii="Times New Roman" w:hAnsi="Times New Roman" w:cs="Times New Roman"/>
        </w:rPr>
      </w:pPr>
      <w:r w:rsidRPr="00A4013A">
        <w:rPr>
          <w:rFonts w:ascii="Times New Roman" w:hAnsi="Times New Roman" w:cs="Times New Roman"/>
        </w:rPr>
        <w:tab/>
        <w:t xml:space="preserve">Specyfikacja techniczna (ST) stanowi dokument przetargowy i kontraktowy przy zlecaniu i realizacji robót związanych z budową kolektora kanalizacji deszczowej będącego systemem odwodnienia drogi. </w:t>
      </w:r>
    </w:p>
    <w:p w14:paraId="1957908E"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26" w:hanging="426"/>
        <w:jc w:val="both"/>
        <w:textAlignment w:val="baseline"/>
        <w:rPr>
          <w:b w:val="0"/>
          <w:sz w:val="22"/>
          <w:szCs w:val="22"/>
        </w:rPr>
      </w:pPr>
      <w:r w:rsidRPr="00A4013A">
        <w:rPr>
          <w:sz w:val="22"/>
          <w:szCs w:val="22"/>
        </w:rPr>
        <w:t>Zakres robót objętych ST</w:t>
      </w:r>
    </w:p>
    <w:p w14:paraId="4F5155DA" w14:textId="77777777" w:rsidR="00042BD7" w:rsidRPr="00A4013A" w:rsidRDefault="00042BD7" w:rsidP="00952024">
      <w:pPr>
        <w:jc w:val="both"/>
        <w:rPr>
          <w:rFonts w:ascii="Times New Roman" w:hAnsi="Times New Roman" w:cs="Times New Roman"/>
        </w:rPr>
      </w:pPr>
      <w:r w:rsidRPr="00A4013A">
        <w:rPr>
          <w:rFonts w:ascii="Times New Roman" w:hAnsi="Times New Roman" w:cs="Times New Roman"/>
        </w:rPr>
        <w:tab/>
        <w:t>Ustalenia zawarte w niniejszej specyfikacji dotyczą zasad prowadzenia robót związanych z wykonaniem kanalizacji deszczowej, które obejmują (zgodnie z dokumentacją projektową):</w:t>
      </w:r>
    </w:p>
    <w:p w14:paraId="7E5763DC" w14:textId="77777777" w:rsidR="00042BD7" w:rsidRPr="00A4013A" w:rsidRDefault="00042BD7" w:rsidP="00952024">
      <w:pPr>
        <w:pStyle w:val="Akapitzlist"/>
        <w:numPr>
          <w:ilvl w:val="0"/>
          <w:numId w:val="62"/>
        </w:numPr>
        <w:ind w:left="284" w:hanging="284"/>
        <w:textAlignment w:val="auto"/>
        <w:rPr>
          <w:sz w:val="22"/>
          <w:szCs w:val="22"/>
        </w:rPr>
      </w:pPr>
      <w:r w:rsidRPr="00A4013A">
        <w:rPr>
          <w:sz w:val="22"/>
          <w:szCs w:val="22"/>
        </w:rPr>
        <w:t>budowę kolektorów kanalizacji deszczowej wraz z przykanalikami wpustów z rur PP o parametrach:</w:t>
      </w:r>
    </w:p>
    <w:p w14:paraId="799EDCB0" w14:textId="77777777" w:rsidR="00042BD7" w:rsidRPr="001846F3" w:rsidRDefault="00042BD7" w:rsidP="00952024">
      <w:pPr>
        <w:pStyle w:val="Akapitzlist"/>
        <w:numPr>
          <w:ilvl w:val="0"/>
          <w:numId w:val="63"/>
        </w:numPr>
        <w:ind w:left="284" w:firstLine="283"/>
        <w:textAlignment w:val="auto"/>
        <w:rPr>
          <w:sz w:val="22"/>
          <w:szCs w:val="22"/>
        </w:rPr>
      </w:pPr>
      <w:r w:rsidRPr="001846F3">
        <w:rPr>
          <w:sz w:val="22"/>
          <w:szCs w:val="22"/>
        </w:rPr>
        <w:t>Dz 500 mm SN 10 – L=1</w:t>
      </w:r>
      <w:r w:rsidR="00134156" w:rsidRPr="001846F3">
        <w:rPr>
          <w:sz w:val="22"/>
          <w:szCs w:val="22"/>
        </w:rPr>
        <w:t>78</w:t>
      </w:r>
      <w:r w:rsidRPr="001846F3">
        <w:rPr>
          <w:sz w:val="22"/>
          <w:szCs w:val="22"/>
        </w:rPr>
        <w:t xml:space="preserve"> mb;</w:t>
      </w:r>
    </w:p>
    <w:p w14:paraId="5E85502F" w14:textId="77777777" w:rsidR="00042BD7" w:rsidRPr="001846F3" w:rsidRDefault="00042BD7" w:rsidP="00952024">
      <w:pPr>
        <w:pStyle w:val="Akapitzlist"/>
        <w:numPr>
          <w:ilvl w:val="0"/>
          <w:numId w:val="63"/>
        </w:numPr>
        <w:ind w:left="284" w:firstLine="283"/>
        <w:textAlignment w:val="auto"/>
        <w:rPr>
          <w:sz w:val="22"/>
          <w:szCs w:val="22"/>
        </w:rPr>
      </w:pPr>
      <w:r w:rsidRPr="001846F3">
        <w:rPr>
          <w:sz w:val="22"/>
          <w:szCs w:val="22"/>
        </w:rPr>
        <w:t>Dz 400 mm SN 10 – L=17</w:t>
      </w:r>
      <w:r w:rsidR="00134156" w:rsidRPr="001846F3">
        <w:rPr>
          <w:sz w:val="22"/>
          <w:szCs w:val="22"/>
        </w:rPr>
        <w:t>3</w:t>
      </w:r>
      <w:r w:rsidRPr="001846F3">
        <w:rPr>
          <w:sz w:val="22"/>
          <w:szCs w:val="22"/>
        </w:rPr>
        <w:t xml:space="preserve"> mb;</w:t>
      </w:r>
    </w:p>
    <w:p w14:paraId="3B620BD8" w14:textId="77777777" w:rsidR="00042BD7" w:rsidRPr="001846F3" w:rsidRDefault="00042BD7" w:rsidP="00952024">
      <w:pPr>
        <w:pStyle w:val="Akapitzlist"/>
        <w:numPr>
          <w:ilvl w:val="0"/>
          <w:numId w:val="63"/>
        </w:numPr>
        <w:ind w:left="284" w:firstLine="283"/>
        <w:textAlignment w:val="auto"/>
        <w:rPr>
          <w:sz w:val="22"/>
          <w:szCs w:val="22"/>
        </w:rPr>
      </w:pPr>
      <w:r w:rsidRPr="001846F3">
        <w:rPr>
          <w:sz w:val="22"/>
          <w:szCs w:val="22"/>
        </w:rPr>
        <w:t>Dz 315 mm SN 10 – L=1</w:t>
      </w:r>
      <w:r w:rsidR="00134156" w:rsidRPr="001846F3">
        <w:rPr>
          <w:sz w:val="22"/>
          <w:szCs w:val="22"/>
        </w:rPr>
        <w:t>86</w:t>
      </w:r>
      <w:r w:rsidRPr="001846F3">
        <w:rPr>
          <w:sz w:val="22"/>
          <w:szCs w:val="22"/>
        </w:rPr>
        <w:t xml:space="preserve"> mb;</w:t>
      </w:r>
    </w:p>
    <w:p w14:paraId="3B6D1F1B" w14:textId="77777777" w:rsidR="00A62596" w:rsidRPr="001846F3" w:rsidRDefault="00042BD7" w:rsidP="00952024">
      <w:pPr>
        <w:pStyle w:val="Akapitzlist"/>
        <w:numPr>
          <w:ilvl w:val="0"/>
          <w:numId w:val="63"/>
        </w:numPr>
        <w:ind w:left="284" w:firstLine="283"/>
        <w:textAlignment w:val="auto"/>
        <w:rPr>
          <w:sz w:val="22"/>
          <w:szCs w:val="22"/>
        </w:rPr>
      </w:pPr>
      <w:r w:rsidRPr="001846F3">
        <w:rPr>
          <w:sz w:val="22"/>
          <w:szCs w:val="22"/>
        </w:rPr>
        <w:t>Dz 160 mm SN 16 – L=</w:t>
      </w:r>
      <w:r w:rsidR="00134156" w:rsidRPr="001846F3">
        <w:rPr>
          <w:sz w:val="22"/>
          <w:szCs w:val="22"/>
        </w:rPr>
        <w:t>164</w:t>
      </w:r>
      <w:r w:rsidRPr="001846F3">
        <w:rPr>
          <w:sz w:val="22"/>
          <w:szCs w:val="22"/>
        </w:rPr>
        <w:t xml:space="preserve"> mb</w:t>
      </w:r>
    </w:p>
    <w:p w14:paraId="644F2D24"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budowę układu drenaży z rur perforowanych PVC-U DN125 (40</w:t>
      </w:r>
      <w:r w:rsidR="00134156" w:rsidRPr="001846F3">
        <w:rPr>
          <w:sz w:val="22"/>
          <w:szCs w:val="22"/>
        </w:rPr>
        <w:t>2</w:t>
      </w:r>
      <w:r w:rsidRPr="001846F3">
        <w:rPr>
          <w:sz w:val="22"/>
          <w:szCs w:val="22"/>
        </w:rPr>
        <w:t xml:space="preserve"> mb)</w:t>
      </w:r>
    </w:p>
    <w:p w14:paraId="4C83B237"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budowę kanału ciśnieniowego z rur PE 100 SDR11 Dz315 (12 mb)</w:t>
      </w:r>
    </w:p>
    <w:p w14:paraId="7358D6A6"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 xml:space="preserve">zabudowę studni kanalizacyjnych betonowych o średnicy: </w:t>
      </w:r>
      <w:r w:rsidRPr="001846F3">
        <w:rPr>
          <w:sz w:val="22"/>
          <w:szCs w:val="22"/>
        </w:rPr>
        <w:sym w:font="Symbol" w:char="F066"/>
      </w:r>
      <w:r w:rsidRPr="001846F3">
        <w:rPr>
          <w:sz w:val="22"/>
          <w:szCs w:val="22"/>
        </w:rPr>
        <w:t xml:space="preserve">1000 mm (14 kpl.),  </w:t>
      </w:r>
      <w:r w:rsidRPr="001846F3">
        <w:rPr>
          <w:sz w:val="22"/>
          <w:szCs w:val="22"/>
        </w:rPr>
        <w:sym w:font="Symbol" w:char="F066"/>
      </w:r>
      <w:r w:rsidRPr="001846F3">
        <w:rPr>
          <w:sz w:val="22"/>
          <w:szCs w:val="22"/>
        </w:rPr>
        <w:t>1200 mm (16 kpl.) z włazem w klasie obciążenia B125;</w:t>
      </w:r>
    </w:p>
    <w:p w14:paraId="322F8302"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zabudowę studni tworzywowych DN600 (</w:t>
      </w:r>
      <w:r w:rsidR="0065395A" w:rsidRPr="001846F3">
        <w:rPr>
          <w:sz w:val="22"/>
          <w:szCs w:val="22"/>
        </w:rPr>
        <w:t>14</w:t>
      </w:r>
      <w:r w:rsidRPr="001846F3">
        <w:rPr>
          <w:sz w:val="22"/>
          <w:szCs w:val="22"/>
        </w:rPr>
        <w:t xml:space="preserve"> kpl.);</w:t>
      </w:r>
    </w:p>
    <w:p w14:paraId="63C1C25C"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zabudowę wpustów deszczowych z rusztem: krawężnikowo-jezdniowym (szt.16), ulicznym (szt. 3);</w:t>
      </w:r>
    </w:p>
    <w:p w14:paraId="1B4A2D13" w14:textId="77777777" w:rsidR="00042BD7" w:rsidRPr="001846F3" w:rsidRDefault="00042BD7" w:rsidP="00952024">
      <w:pPr>
        <w:pStyle w:val="Akapitzlist"/>
        <w:numPr>
          <w:ilvl w:val="0"/>
          <w:numId w:val="62"/>
        </w:numPr>
        <w:ind w:left="284" w:hanging="284"/>
        <w:textAlignment w:val="auto"/>
        <w:rPr>
          <w:sz w:val="22"/>
          <w:szCs w:val="22"/>
        </w:rPr>
      </w:pPr>
      <w:r w:rsidRPr="001846F3">
        <w:rPr>
          <w:sz w:val="22"/>
          <w:szCs w:val="22"/>
        </w:rPr>
        <w:t>zabudowa przepompowni wód deszczowych wraz z armaturą (1szt.);</w:t>
      </w:r>
    </w:p>
    <w:p w14:paraId="07AFE9BA" w14:textId="77777777" w:rsidR="00042BD7" w:rsidRDefault="00042BD7" w:rsidP="00952024">
      <w:pPr>
        <w:spacing w:after="0"/>
        <w:jc w:val="both"/>
        <w:rPr>
          <w:rFonts w:ascii="Times New Roman" w:hAnsi="Times New Roman" w:cs="Times New Roman"/>
        </w:rPr>
      </w:pPr>
      <w:r w:rsidRPr="00A4013A">
        <w:rPr>
          <w:rFonts w:ascii="Times New Roman" w:hAnsi="Times New Roman" w:cs="Times New Roman"/>
        </w:rPr>
        <w:tab/>
        <w:t>Robotami towarzyszącymi przy budowie sieci kanalizacyjnej, w zakresie jw. są: wykonanie wykopów, umocnienia ścian wykopów, odwodnienie wykopów na czas montażu kanałów (w razie konieczności), wykonanie podsypki i obsypki, wykonanie obudowy wykopu pod przepompownie wraz odwodnieniem wykopu, wykonanie fundamentu żelbetowego pod przepompownie, wykonanie ogrodzenia terenu przepompowni, zasypanie wykopów mate</w:t>
      </w:r>
      <w:r w:rsidR="0065395A">
        <w:rPr>
          <w:rFonts w:ascii="Times New Roman" w:hAnsi="Times New Roman" w:cs="Times New Roman"/>
        </w:rPr>
        <w:t xml:space="preserve">riałem o wymaganym zagęszczeni, </w:t>
      </w:r>
      <w:r w:rsidRPr="00A4013A">
        <w:rPr>
          <w:rFonts w:ascii="Times New Roman" w:hAnsi="Times New Roman" w:cs="Times New Roman"/>
        </w:rPr>
        <w:t>geodezyjne wytyczenie tras kanalizacyjnych oraz inwentaryzacja powy</w:t>
      </w:r>
      <w:r w:rsidR="0065395A">
        <w:rPr>
          <w:rFonts w:ascii="Times New Roman" w:hAnsi="Times New Roman" w:cs="Times New Roman"/>
        </w:rPr>
        <w:t>konawcza tych kanałów.</w:t>
      </w:r>
    </w:p>
    <w:p w14:paraId="02A6446A" w14:textId="77777777" w:rsidR="0065395A" w:rsidRPr="00A4013A" w:rsidRDefault="0065395A" w:rsidP="00952024">
      <w:pPr>
        <w:spacing w:after="0"/>
        <w:jc w:val="both"/>
        <w:rPr>
          <w:rFonts w:ascii="Times New Roman" w:hAnsi="Times New Roman" w:cs="Times New Roman"/>
        </w:rPr>
      </w:pPr>
    </w:p>
    <w:p w14:paraId="3F9B40B1"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26" w:hanging="426"/>
        <w:jc w:val="both"/>
        <w:textAlignment w:val="baseline"/>
        <w:rPr>
          <w:sz w:val="22"/>
          <w:szCs w:val="22"/>
        </w:rPr>
      </w:pPr>
      <w:r w:rsidRPr="00A4013A">
        <w:rPr>
          <w:sz w:val="22"/>
          <w:szCs w:val="22"/>
        </w:rPr>
        <w:t>Określenia podstawowe</w:t>
      </w:r>
    </w:p>
    <w:p w14:paraId="420DAA42" w14:textId="77777777" w:rsidR="00042BD7" w:rsidRPr="00A4013A" w:rsidRDefault="00042BD7" w:rsidP="00952024">
      <w:pPr>
        <w:overflowPunct w:val="0"/>
        <w:autoSpaceDE w:val="0"/>
        <w:autoSpaceDN w:val="0"/>
        <w:adjustRightInd w:val="0"/>
        <w:ind w:firstLine="720"/>
        <w:jc w:val="both"/>
        <w:textAlignment w:val="baseline"/>
        <w:rPr>
          <w:rFonts w:ascii="Times New Roman" w:hAnsi="Times New Roman" w:cs="Times New Roman"/>
        </w:rPr>
      </w:pPr>
      <w:r w:rsidRPr="00A4013A">
        <w:rPr>
          <w:rFonts w:ascii="Times New Roman" w:hAnsi="Times New Roman" w:cs="Times New Roman"/>
        </w:rPr>
        <w:t>Określenia podstawowe są zgodne z obowiązującymi, odpowiednimi polskimi normami i</w:t>
      </w:r>
      <w:r w:rsidR="0065395A">
        <w:rPr>
          <w:rFonts w:ascii="Times New Roman" w:hAnsi="Times New Roman" w:cs="Times New Roman"/>
        </w:rPr>
        <w:t> </w:t>
      </w:r>
      <w:r w:rsidRPr="00A4013A">
        <w:rPr>
          <w:rFonts w:ascii="Times New Roman" w:hAnsi="Times New Roman" w:cs="Times New Roman"/>
        </w:rPr>
        <w:t>z</w:t>
      </w:r>
      <w:r w:rsidR="0065395A">
        <w:t> </w:t>
      </w:r>
      <w:r w:rsidRPr="00A4013A">
        <w:rPr>
          <w:rFonts w:ascii="Times New Roman" w:hAnsi="Times New Roman" w:cs="Times New Roman"/>
        </w:rPr>
        <w:t>definicjami podanymi w ST D-00.00.00 „Wymagania ogólne”.</w:t>
      </w:r>
    </w:p>
    <w:p w14:paraId="21497C4C"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26" w:hanging="426"/>
        <w:jc w:val="both"/>
        <w:textAlignment w:val="baseline"/>
        <w:rPr>
          <w:sz w:val="22"/>
          <w:szCs w:val="22"/>
        </w:rPr>
      </w:pPr>
      <w:r w:rsidRPr="00A4013A">
        <w:rPr>
          <w:sz w:val="22"/>
          <w:szCs w:val="22"/>
        </w:rPr>
        <w:t>Ogólne wymagania dotyczące robót</w:t>
      </w:r>
    </w:p>
    <w:p w14:paraId="1B322CAE" w14:textId="77777777" w:rsidR="00042BD7" w:rsidRPr="00A4013A" w:rsidRDefault="00042BD7" w:rsidP="00952024">
      <w:pPr>
        <w:spacing w:before="120"/>
        <w:jc w:val="both"/>
        <w:rPr>
          <w:rFonts w:ascii="Times New Roman" w:hAnsi="Times New Roman" w:cs="Times New Roman"/>
        </w:rPr>
      </w:pPr>
      <w:r w:rsidRPr="00A4013A">
        <w:rPr>
          <w:rFonts w:ascii="Times New Roman" w:hAnsi="Times New Roman" w:cs="Times New Roman"/>
        </w:rPr>
        <w:tab/>
        <w:t>Wszystkie roboty powinny być wykonane zgodnie z: Dokumentacją Projektową oraz z</w:t>
      </w:r>
      <w:r w:rsidR="0065395A">
        <w:rPr>
          <w:rFonts w:ascii="Times New Roman" w:hAnsi="Times New Roman" w:cs="Times New Roman"/>
        </w:rPr>
        <w:t> </w:t>
      </w:r>
      <w:r w:rsidRPr="00A4013A">
        <w:rPr>
          <w:rFonts w:ascii="Times New Roman" w:hAnsi="Times New Roman" w:cs="Times New Roman"/>
        </w:rPr>
        <w:t>zachowaniem wymagań ogólnej ST, niniejszej ST. Niezbędne odstępstwa od Dokumentacji Projektowej wymagają akceptacji Inżyniera i zapisu w Dzienniku Budowy.</w:t>
      </w:r>
    </w:p>
    <w:p w14:paraId="6EE8C41C" w14:textId="77777777" w:rsidR="00042BD7" w:rsidRPr="007F373E"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lastRenderedPageBreak/>
        <w:t>MATERIAŁY</w:t>
      </w:r>
    </w:p>
    <w:p w14:paraId="72B84926"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Ogólne wymagania dotyczące materiałów</w:t>
      </w:r>
    </w:p>
    <w:p w14:paraId="22DB3510" w14:textId="77777777" w:rsidR="00042BD7" w:rsidRPr="00A4013A" w:rsidRDefault="00042BD7" w:rsidP="00952024">
      <w:pPr>
        <w:pStyle w:val="Nagwek2"/>
        <w:spacing w:before="0" w:after="0"/>
        <w:ind w:left="432"/>
        <w:jc w:val="both"/>
        <w:rPr>
          <w:b w:val="0"/>
          <w:sz w:val="22"/>
          <w:szCs w:val="22"/>
          <w:lang w:eastAsia="ar-SA"/>
        </w:rPr>
      </w:pPr>
    </w:p>
    <w:p w14:paraId="4E8F5CD6" w14:textId="77777777" w:rsidR="00042BD7" w:rsidRPr="00A4013A" w:rsidRDefault="00042BD7" w:rsidP="00952024">
      <w:pPr>
        <w:spacing w:after="0"/>
        <w:jc w:val="both"/>
        <w:rPr>
          <w:rFonts w:ascii="Times New Roman" w:hAnsi="Times New Roman" w:cs="Times New Roman"/>
        </w:rPr>
      </w:pPr>
      <w:r w:rsidRPr="00A4013A">
        <w:rPr>
          <w:rFonts w:ascii="Times New Roman" w:hAnsi="Times New Roman" w:cs="Times New Roman"/>
        </w:rPr>
        <w:tab/>
        <w:t>Ogólne wymagania dotyczące materiałów, ich pozyskiwania  i składowania podano w</w:t>
      </w:r>
      <w:r w:rsidR="00D55AD4">
        <w:rPr>
          <w:rFonts w:ascii="Times New Roman" w:hAnsi="Times New Roman" w:cs="Times New Roman"/>
        </w:rPr>
        <w:t> </w:t>
      </w:r>
      <w:r w:rsidRPr="00A4013A">
        <w:rPr>
          <w:rFonts w:ascii="Times New Roman" w:hAnsi="Times New Roman" w:cs="Times New Roman"/>
        </w:rPr>
        <w:t>niemniejszej SST.</w:t>
      </w:r>
    </w:p>
    <w:p w14:paraId="6CE95628" w14:textId="77777777" w:rsidR="00042BD7" w:rsidRPr="00A4013A" w:rsidRDefault="00042BD7" w:rsidP="004B6BF3">
      <w:pPr>
        <w:spacing w:after="0"/>
        <w:jc w:val="both"/>
        <w:rPr>
          <w:rFonts w:ascii="Times New Roman" w:hAnsi="Times New Roman" w:cs="Times New Roman"/>
        </w:rPr>
      </w:pPr>
      <w:r w:rsidRPr="00A4013A">
        <w:rPr>
          <w:rFonts w:ascii="Times New Roman" w:hAnsi="Times New Roman" w:cs="Times New Roman"/>
        </w:rPr>
        <w:tab/>
        <w:t>Stosować należy wyroby budowlane wprowadzone do obrotu zgodnie z ustawą o wyrobach budowlanych[14], tzn. jeżeli jest:</w:t>
      </w:r>
    </w:p>
    <w:p w14:paraId="4E9B2342" w14:textId="77777777" w:rsidR="00042BD7" w:rsidRPr="00A4013A" w:rsidRDefault="00042BD7" w:rsidP="00952024">
      <w:pPr>
        <w:pStyle w:val="Akapitzlist"/>
        <w:numPr>
          <w:ilvl w:val="0"/>
          <w:numId w:val="62"/>
        </w:numPr>
        <w:ind w:left="284" w:hanging="284"/>
        <w:textAlignment w:val="auto"/>
        <w:rPr>
          <w:sz w:val="22"/>
          <w:szCs w:val="22"/>
        </w:rPr>
      </w:pPr>
      <w:r w:rsidRPr="00A4013A">
        <w:rPr>
          <w:sz w:val="22"/>
          <w:szCs w:val="22"/>
        </w:rPr>
        <w:t>oznakowany znakiem CE, co oznacza że dokonano oceny jego zgodności z normą zharmonizowaną albo europejską aprobatą techniczną, bądź krajową specyfikacją techniczną państwa członkowskiego UE lub EOG, uznaną przez KE za zgodną z wymaganiami podstawowymi albo</w:t>
      </w:r>
    </w:p>
    <w:p w14:paraId="30A47604" w14:textId="77777777" w:rsidR="00042BD7" w:rsidRPr="00A4013A" w:rsidRDefault="00042BD7" w:rsidP="00952024">
      <w:pPr>
        <w:pStyle w:val="Akapitzlist"/>
        <w:numPr>
          <w:ilvl w:val="0"/>
          <w:numId w:val="62"/>
        </w:numPr>
        <w:ind w:left="284" w:hanging="284"/>
        <w:textAlignment w:val="auto"/>
        <w:rPr>
          <w:sz w:val="22"/>
          <w:szCs w:val="22"/>
        </w:rPr>
      </w:pPr>
      <w:r w:rsidRPr="00A4013A">
        <w:rPr>
          <w:sz w:val="22"/>
          <w:szCs w:val="22"/>
        </w:rPr>
        <w:t>umieszczony w określonym przez KE wykazie wyrobów mających niewielkie znaczenie dla zdrowia i bezpieczeństwa, dla których producent wydał deklarację zgodności z uznanymi regułami sztuk inżynierskiej lub</w:t>
      </w:r>
    </w:p>
    <w:p w14:paraId="30504588" w14:textId="77777777" w:rsidR="00042BD7" w:rsidRPr="00A4013A" w:rsidRDefault="00042BD7" w:rsidP="00952024">
      <w:pPr>
        <w:pStyle w:val="Akapitzlist"/>
        <w:numPr>
          <w:ilvl w:val="0"/>
          <w:numId w:val="62"/>
        </w:numPr>
        <w:ind w:left="284" w:hanging="284"/>
        <w:textAlignment w:val="auto"/>
        <w:rPr>
          <w:sz w:val="22"/>
          <w:szCs w:val="22"/>
        </w:rPr>
      </w:pPr>
      <w:r w:rsidRPr="00A4013A">
        <w:rPr>
          <w:sz w:val="22"/>
          <w:szCs w:val="22"/>
        </w:rPr>
        <w:t>oznakowanie z zastrzeżeniem ust. 4, znakiem budowlanym.</w:t>
      </w:r>
    </w:p>
    <w:p w14:paraId="1288303A" w14:textId="77777777" w:rsidR="00042BD7" w:rsidRPr="00A4013A" w:rsidRDefault="00042BD7" w:rsidP="00952024">
      <w:pPr>
        <w:pStyle w:val="Akapitzlist"/>
        <w:ind w:left="284"/>
        <w:rPr>
          <w:sz w:val="22"/>
          <w:szCs w:val="22"/>
        </w:rPr>
      </w:pPr>
    </w:p>
    <w:p w14:paraId="0DAECEEE"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Rury kanałowe</w:t>
      </w:r>
    </w:p>
    <w:p w14:paraId="06453A3C" w14:textId="77777777" w:rsidR="00042BD7" w:rsidRPr="00A4013A" w:rsidRDefault="00042BD7" w:rsidP="00952024">
      <w:pPr>
        <w:pStyle w:val="Nagwek2"/>
        <w:tabs>
          <w:tab w:val="left" w:pos="945"/>
        </w:tabs>
        <w:spacing w:before="0" w:after="0"/>
        <w:jc w:val="both"/>
        <w:rPr>
          <w:sz w:val="22"/>
          <w:szCs w:val="22"/>
        </w:rPr>
      </w:pPr>
    </w:p>
    <w:p w14:paraId="28D7C4FF"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Rury tworzywowe</w:t>
      </w:r>
    </w:p>
    <w:p w14:paraId="78AD4320" w14:textId="77777777" w:rsidR="00042BD7" w:rsidRPr="00A4013A" w:rsidRDefault="00042BD7" w:rsidP="00952024">
      <w:pPr>
        <w:pStyle w:val="Akapitzlist"/>
        <w:numPr>
          <w:ilvl w:val="0"/>
          <w:numId w:val="61"/>
        </w:numPr>
        <w:ind w:left="284" w:hanging="284"/>
        <w:textAlignment w:val="auto"/>
        <w:rPr>
          <w:rFonts w:eastAsia="TimesNewRoman"/>
          <w:sz w:val="22"/>
          <w:szCs w:val="22"/>
        </w:rPr>
      </w:pPr>
      <w:r w:rsidRPr="00A4013A">
        <w:rPr>
          <w:sz w:val="22"/>
          <w:szCs w:val="22"/>
        </w:rPr>
        <w:t>kanały przewodowe PP(lite): SN10, SN16 (o średnicach zewnętrznych wyszczególnionych w pkt. 1.3. niniejszej specyfikacji), łączone na zasadzie kielich – bosy koniec wraz ze zintegrowanymi uszczelkami gumowymi lub bezkielichowo ze złączką i uszczelką;</w:t>
      </w:r>
    </w:p>
    <w:p w14:paraId="29F51052" w14:textId="77777777" w:rsidR="00042BD7" w:rsidRPr="00A4013A" w:rsidRDefault="00042BD7" w:rsidP="00952024">
      <w:pPr>
        <w:pStyle w:val="Akapitzlist"/>
        <w:numPr>
          <w:ilvl w:val="0"/>
          <w:numId w:val="61"/>
        </w:numPr>
        <w:ind w:left="284" w:hanging="284"/>
        <w:textAlignment w:val="auto"/>
        <w:rPr>
          <w:sz w:val="22"/>
          <w:szCs w:val="22"/>
        </w:rPr>
      </w:pPr>
      <w:r w:rsidRPr="00A4013A">
        <w:rPr>
          <w:sz w:val="22"/>
          <w:szCs w:val="22"/>
        </w:rPr>
        <w:t>rury ciśnieniowe PE 100 SDR11 Dz315;</w:t>
      </w:r>
    </w:p>
    <w:p w14:paraId="397FF0A2" w14:textId="77777777" w:rsidR="00042BD7" w:rsidRPr="00A4013A" w:rsidRDefault="00042BD7" w:rsidP="00952024">
      <w:pPr>
        <w:pStyle w:val="Akapitzlist"/>
        <w:numPr>
          <w:ilvl w:val="0"/>
          <w:numId w:val="61"/>
        </w:numPr>
        <w:ind w:left="284" w:hanging="284"/>
        <w:textAlignment w:val="auto"/>
        <w:rPr>
          <w:sz w:val="22"/>
          <w:szCs w:val="22"/>
        </w:rPr>
      </w:pPr>
      <w:r w:rsidRPr="00A4013A">
        <w:rPr>
          <w:sz w:val="22"/>
          <w:szCs w:val="22"/>
        </w:rPr>
        <w:t>drenaż rurowy wykonany z rur DN125 PVC-U perforowanych;</w:t>
      </w:r>
    </w:p>
    <w:p w14:paraId="7C3F3E54" w14:textId="77777777" w:rsidR="00042BD7" w:rsidRPr="00A4013A" w:rsidRDefault="00042BD7" w:rsidP="00952024">
      <w:pPr>
        <w:pStyle w:val="Akapitzlist"/>
        <w:numPr>
          <w:ilvl w:val="0"/>
          <w:numId w:val="61"/>
        </w:numPr>
        <w:ind w:left="284" w:hanging="284"/>
        <w:textAlignment w:val="auto"/>
        <w:rPr>
          <w:sz w:val="22"/>
          <w:szCs w:val="22"/>
        </w:rPr>
      </w:pPr>
      <w:r w:rsidRPr="00A4013A">
        <w:rPr>
          <w:sz w:val="22"/>
          <w:szCs w:val="22"/>
        </w:rPr>
        <w:t>uszczelki systemowe wargowe do połączeń rur PP z kręgami;</w:t>
      </w:r>
    </w:p>
    <w:p w14:paraId="214727A9" w14:textId="77777777" w:rsidR="00042BD7" w:rsidRPr="00A4013A" w:rsidRDefault="00042BD7" w:rsidP="00952024">
      <w:pPr>
        <w:pStyle w:val="Akapitzlist"/>
        <w:numPr>
          <w:ilvl w:val="0"/>
          <w:numId w:val="61"/>
        </w:numPr>
        <w:ind w:left="284" w:hanging="284"/>
        <w:textAlignment w:val="auto"/>
        <w:rPr>
          <w:sz w:val="22"/>
          <w:szCs w:val="22"/>
        </w:rPr>
      </w:pPr>
      <w:r w:rsidRPr="00A4013A">
        <w:rPr>
          <w:rFonts w:eastAsia="TimesNewRoman"/>
          <w:sz w:val="22"/>
          <w:szCs w:val="22"/>
        </w:rPr>
        <w:t>kształtki kanalizacyjne tworzywowe</w:t>
      </w:r>
      <w:r w:rsidRPr="00A4013A">
        <w:rPr>
          <w:sz w:val="22"/>
          <w:szCs w:val="22"/>
        </w:rPr>
        <w:t xml:space="preserve"> </w:t>
      </w:r>
      <w:r w:rsidRPr="00A4013A">
        <w:rPr>
          <w:rFonts w:eastAsia="TimesNewRoman"/>
          <w:sz w:val="22"/>
          <w:szCs w:val="22"/>
        </w:rPr>
        <w:t>– produkowane w systemie zgodnym z przyjętymi rurami kanalizacyjnymi, łączone na uszczelki gumowe;</w:t>
      </w:r>
    </w:p>
    <w:p w14:paraId="41C93DB6" w14:textId="77777777" w:rsidR="00042BD7" w:rsidRPr="00A4013A" w:rsidRDefault="00042BD7" w:rsidP="00952024">
      <w:pPr>
        <w:jc w:val="both"/>
        <w:rPr>
          <w:rFonts w:ascii="Times New Roman" w:hAnsi="Times New Roman" w:cs="Times New Roman"/>
        </w:rPr>
      </w:pPr>
      <w:r w:rsidRPr="00A4013A">
        <w:rPr>
          <w:rFonts w:ascii="Times New Roman" w:hAnsi="Times New Roman" w:cs="Times New Roman"/>
        </w:rPr>
        <w:t>Zastosowane rury i kształtki spełniać powinny wytyczne zawarte w PN-EN 1401-1 [3], PN-EN 13598-2[12].</w:t>
      </w:r>
    </w:p>
    <w:p w14:paraId="60513540" w14:textId="77777777" w:rsidR="00D20863"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Kształtk</w:t>
      </w:r>
      <w:r w:rsidR="00D20863" w:rsidRPr="00FA7059">
        <w:rPr>
          <w:b w:val="0"/>
          <w:sz w:val="22"/>
          <w:szCs w:val="22"/>
        </w:rPr>
        <w:t>i</w:t>
      </w:r>
    </w:p>
    <w:p w14:paraId="2674B2B1" w14:textId="77777777" w:rsidR="00042BD7" w:rsidRDefault="00042BD7" w:rsidP="00952024">
      <w:pPr>
        <w:jc w:val="both"/>
        <w:rPr>
          <w:rFonts w:ascii="Times New Roman" w:hAnsi="Times New Roman" w:cs="Times New Roman"/>
        </w:rPr>
      </w:pPr>
      <w:r w:rsidRPr="00A4013A">
        <w:rPr>
          <w:rFonts w:ascii="Times New Roman" w:hAnsi="Times New Roman" w:cs="Times New Roman"/>
        </w:rPr>
        <w:t>Stosować kształtki tworzywowe kielichowe z uszczelką.</w:t>
      </w:r>
    </w:p>
    <w:p w14:paraId="65F7ECFE" w14:textId="77777777" w:rsidR="008E09D3" w:rsidRDefault="008E09D3" w:rsidP="008E09D3">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Pr>
          <w:b w:val="0"/>
          <w:sz w:val="22"/>
          <w:szCs w:val="22"/>
        </w:rPr>
        <w:t>Ge</w:t>
      </w:r>
      <w:r w:rsidR="001E0EA8">
        <w:rPr>
          <w:b w:val="0"/>
          <w:sz w:val="22"/>
          <w:szCs w:val="22"/>
        </w:rPr>
        <w:t>o</w:t>
      </w:r>
      <w:r>
        <w:rPr>
          <w:b w:val="0"/>
          <w:sz w:val="22"/>
          <w:szCs w:val="22"/>
        </w:rPr>
        <w:t>włóknina</w:t>
      </w:r>
    </w:p>
    <w:p w14:paraId="734BAB0E" w14:textId="77777777" w:rsidR="008E09D3" w:rsidRDefault="008E09D3" w:rsidP="008E09D3">
      <w:pPr>
        <w:jc w:val="both"/>
        <w:rPr>
          <w:rFonts w:ascii="Times New Roman" w:hAnsi="Times New Roman" w:cs="Times New Roman"/>
        </w:rPr>
      </w:pPr>
      <w:r w:rsidRPr="008E09D3">
        <w:rPr>
          <w:rFonts w:ascii="Times New Roman" w:hAnsi="Times New Roman" w:cs="Times New Roman"/>
        </w:rPr>
        <w:t>Należy stosować geowłókninę separacyjno-filtracyjną, wykonywaną z polipropylenowych włókien ciągłych, łączonych mechanicznie w procesie igłowania. Przy doborze geowłókniny separacyjno-filtracyjnej należy brać pod uwagę w równym stopniu wodoprzepuszczalność w kierunku prostopadłym do płaszczyzny wyrobu, charakterystyczny wymiar porów, wodoprzepuszczalność w płaszczyźnie materiału (funkcja drenująca), a także własności mechaniczne (w zakresie zapewniającym właściwą odporność na uszkodzenia przy wbudowaniu oraz podczas pracy w warunkach większych osiadań gruntu, znacznych obciążeń użytkowych i dynamiki tych obciążeń). Można kierować się ogólnymi zaleceniami podanymi w tabeli</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6"/>
        <w:gridCol w:w="3477"/>
        <w:gridCol w:w="2899"/>
      </w:tblGrid>
      <w:tr w:rsidR="008E09D3" w:rsidRPr="008E09D3" w14:paraId="70841DBA" w14:textId="77777777" w:rsidTr="004B6BF3">
        <w:trPr>
          <w:trHeight w:val="472"/>
          <w:jc w:val="center"/>
        </w:trPr>
        <w:tc>
          <w:tcPr>
            <w:tcW w:w="1926" w:type="dxa"/>
            <w:noWrap/>
            <w:tcMar>
              <w:top w:w="0" w:type="dxa"/>
              <w:left w:w="108" w:type="dxa"/>
              <w:bottom w:w="0" w:type="dxa"/>
              <w:right w:w="108" w:type="dxa"/>
            </w:tcMar>
            <w:vAlign w:val="center"/>
            <w:hideMark/>
          </w:tcPr>
          <w:p w14:paraId="38EE2FAC" w14:textId="77777777" w:rsidR="008E09D3" w:rsidRPr="003B3EDF" w:rsidRDefault="008E09D3" w:rsidP="008E09D3">
            <w:pPr>
              <w:overflowPunct w:val="0"/>
              <w:autoSpaceDE w:val="0"/>
              <w:autoSpaceDN w:val="0"/>
              <w:spacing w:before="120" w:after="12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Właściwość</w:t>
            </w:r>
          </w:p>
        </w:tc>
        <w:tc>
          <w:tcPr>
            <w:tcW w:w="3477" w:type="dxa"/>
            <w:noWrap/>
            <w:tcMar>
              <w:top w:w="0" w:type="dxa"/>
              <w:left w:w="108" w:type="dxa"/>
              <w:bottom w:w="0" w:type="dxa"/>
              <w:right w:w="108" w:type="dxa"/>
            </w:tcMar>
            <w:vAlign w:val="center"/>
            <w:hideMark/>
          </w:tcPr>
          <w:p w14:paraId="24A7AF6E" w14:textId="77777777" w:rsidR="008E09D3" w:rsidRPr="003B3EDF" w:rsidRDefault="008E09D3" w:rsidP="008E09D3">
            <w:pPr>
              <w:overflowPunct w:val="0"/>
              <w:autoSpaceDE w:val="0"/>
              <w:autoSpaceDN w:val="0"/>
              <w:spacing w:before="120" w:after="12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Wartość</w:t>
            </w:r>
          </w:p>
        </w:tc>
        <w:tc>
          <w:tcPr>
            <w:tcW w:w="2899" w:type="dxa"/>
            <w:noWrap/>
            <w:tcMar>
              <w:top w:w="0" w:type="dxa"/>
              <w:left w:w="108" w:type="dxa"/>
              <w:bottom w:w="0" w:type="dxa"/>
              <w:right w:w="108" w:type="dxa"/>
            </w:tcMar>
            <w:vAlign w:val="center"/>
            <w:hideMark/>
          </w:tcPr>
          <w:p w14:paraId="5001CF8C" w14:textId="77777777" w:rsidR="008E09D3" w:rsidRPr="003B3EDF" w:rsidRDefault="008E09D3" w:rsidP="008E09D3">
            <w:pPr>
              <w:overflowPunct w:val="0"/>
              <w:autoSpaceDE w:val="0"/>
              <w:autoSpaceDN w:val="0"/>
              <w:spacing w:before="120" w:after="12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Badanie wg</w:t>
            </w:r>
          </w:p>
        </w:tc>
      </w:tr>
      <w:tr w:rsidR="008E09D3" w:rsidRPr="008E09D3" w14:paraId="4FCEF352" w14:textId="77777777" w:rsidTr="004B6BF3">
        <w:trPr>
          <w:trHeight w:val="241"/>
          <w:jc w:val="center"/>
        </w:trPr>
        <w:tc>
          <w:tcPr>
            <w:tcW w:w="1926" w:type="dxa"/>
            <w:noWrap/>
            <w:tcMar>
              <w:top w:w="0" w:type="dxa"/>
              <w:left w:w="108" w:type="dxa"/>
              <w:bottom w:w="0" w:type="dxa"/>
              <w:right w:w="108" w:type="dxa"/>
            </w:tcMar>
            <w:hideMark/>
          </w:tcPr>
          <w:p w14:paraId="177549AE"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1</w:t>
            </w:r>
          </w:p>
        </w:tc>
        <w:tc>
          <w:tcPr>
            <w:tcW w:w="3477" w:type="dxa"/>
            <w:noWrap/>
            <w:tcMar>
              <w:top w:w="0" w:type="dxa"/>
              <w:left w:w="108" w:type="dxa"/>
              <w:bottom w:w="0" w:type="dxa"/>
              <w:right w:w="108" w:type="dxa"/>
            </w:tcMar>
            <w:hideMark/>
          </w:tcPr>
          <w:p w14:paraId="09985B47"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Gramatura</w:t>
            </w:r>
          </w:p>
        </w:tc>
        <w:tc>
          <w:tcPr>
            <w:tcW w:w="2899" w:type="dxa"/>
            <w:noWrap/>
            <w:tcMar>
              <w:top w:w="0" w:type="dxa"/>
              <w:left w:w="108" w:type="dxa"/>
              <w:bottom w:w="0" w:type="dxa"/>
              <w:right w:w="108" w:type="dxa"/>
            </w:tcMar>
            <w:hideMark/>
          </w:tcPr>
          <w:p w14:paraId="34F255B6"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≥200 g/m</w:t>
            </w:r>
            <w:r w:rsidRPr="003B3EDF">
              <w:rPr>
                <w:rFonts w:ascii="Times New Roman" w:eastAsiaTheme="minorEastAsia" w:hAnsi="Times New Roman" w:cs="Times New Roman"/>
                <w:vertAlign w:val="superscript"/>
                <w:lang w:eastAsia="pl-PL"/>
              </w:rPr>
              <w:t>2</w:t>
            </w:r>
          </w:p>
        </w:tc>
      </w:tr>
      <w:tr w:rsidR="008E09D3" w:rsidRPr="008E09D3" w14:paraId="6C7D8CB5" w14:textId="77777777" w:rsidTr="004B6BF3">
        <w:trPr>
          <w:trHeight w:val="126"/>
          <w:jc w:val="center"/>
        </w:trPr>
        <w:tc>
          <w:tcPr>
            <w:tcW w:w="1926" w:type="dxa"/>
            <w:noWrap/>
            <w:tcMar>
              <w:top w:w="0" w:type="dxa"/>
              <w:left w:w="108" w:type="dxa"/>
              <w:bottom w:w="0" w:type="dxa"/>
              <w:right w:w="108" w:type="dxa"/>
            </w:tcMar>
            <w:hideMark/>
          </w:tcPr>
          <w:p w14:paraId="51596036"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2</w:t>
            </w:r>
          </w:p>
        </w:tc>
        <w:tc>
          <w:tcPr>
            <w:tcW w:w="3477" w:type="dxa"/>
            <w:noWrap/>
            <w:tcMar>
              <w:top w:w="0" w:type="dxa"/>
              <w:left w:w="108" w:type="dxa"/>
              <w:bottom w:w="0" w:type="dxa"/>
              <w:right w:w="108" w:type="dxa"/>
            </w:tcMar>
            <w:hideMark/>
          </w:tcPr>
          <w:p w14:paraId="6CCCE622"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Wytrzymałość na rozciąganie</w:t>
            </w:r>
          </w:p>
        </w:tc>
        <w:tc>
          <w:tcPr>
            <w:tcW w:w="2899" w:type="dxa"/>
            <w:noWrap/>
            <w:tcMar>
              <w:top w:w="0" w:type="dxa"/>
              <w:left w:w="108" w:type="dxa"/>
              <w:bottom w:w="0" w:type="dxa"/>
              <w:right w:w="108" w:type="dxa"/>
            </w:tcMar>
            <w:hideMark/>
          </w:tcPr>
          <w:p w14:paraId="0BA5A37C"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7÷30 kN/m</w:t>
            </w:r>
          </w:p>
        </w:tc>
      </w:tr>
      <w:tr w:rsidR="008E09D3" w:rsidRPr="008E09D3" w14:paraId="5FF939D2" w14:textId="77777777" w:rsidTr="004B6BF3">
        <w:trPr>
          <w:trHeight w:val="630"/>
          <w:jc w:val="center"/>
        </w:trPr>
        <w:tc>
          <w:tcPr>
            <w:tcW w:w="1926" w:type="dxa"/>
            <w:noWrap/>
            <w:tcMar>
              <w:top w:w="0" w:type="dxa"/>
              <w:left w:w="108" w:type="dxa"/>
              <w:bottom w:w="0" w:type="dxa"/>
              <w:right w:w="108" w:type="dxa"/>
            </w:tcMar>
            <w:hideMark/>
          </w:tcPr>
          <w:p w14:paraId="278BF298"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3</w:t>
            </w:r>
          </w:p>
        </w:tc>
        <w:tc>
          <w:tcPr>
            <w:tcW w:w="3477" w:type="dxa"/>
            <w:noWrap/>
            <w:tcMar>
              <w:top w:w="0" w:type="dxa"/>
              <w:left w:w="108" w:type="dxa"/>
              <w:bottom w:w="0" w:type="dxa"/>
              <w:right w:w="108" w:type="dxa"/>
            </w:tcMar>
            <w:hideMark/>
          </w:tcPr>
          <w:p w14:paraId="3EE667FE"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Wodoprzepuszczalność w kierunku</w:t>
            </w:r>
            <w:r w:rsidRPr="003B3EDF">
              <w:rPr>
                <w:rFonts w:ascii="Times New Roman" w:eastAsiaTheme="minorEastAsia" w:hAnsi="Times New Roman" w:cs="Times New Roman"/>
                <w:lang w:eastAsia="pl-PL"/>
              </w:rPr>
              <w:br/>
              <w:t>prostopadłym do płaszczyzny wyrobu</w:t>
            </w:r>
          </w:p>
        </w:tc>
        <w:tc>
          <w:tcPr>
            <w:tcW w:w="2899" w:type="dxa"/>
            <w:noWrap/>
            <w:tcMar>
              <w:top w:w="0" w:type="dxa"/>
              <w:left w:w="108" w:type="dxa"/>
              <w:bottom w:w="0" w:type="dxa"/>
              <w:right w:w="108" w:type="dxa"/>
            </w:tcMar>
            <w:hideMark/>
          </w:tcPr>
          <w:p w14:paraId="28304CA6"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≥55 l/m</w:t>
            </w:r>
            <w:r w:rsidRPr="003B3EDF">
              <w:rPr>
                <w:rFonts w:ascii="Times New Roman" w:eastAsiaTheme="minorEastAsia" w:hAnsi="Times New Roman" w:cs="Times New Roman"/>
                <w:vertAlign w:val="superscript"/>
                <w:lang w:eastAsia="pl-PL"/>
              </w:rPr>
              <w:t>2</w:t>
            </w:r>
            <w:r w:rsidRPr="003B3EDF">
              <w:rPr>
                <w:rFonts w:ascii="Times New Roman" w:eastAsiaTheme="minorEastAsia" w:hAnsi="Times New Roman" w:cs="Times New Roman"/>
                <w:lang w:eastAsia="pl-PL"/>
              </w:rPr>
              <w:t>/s</w:t>
            </w:r>
          </w:p>
        </w:tc>
      </w:tr>
      <w:tr w:rsidR="008E09D3" w:rsidRPr="008E09D3" w14:paraId="5231645F" w14:textId="77777777" w:rsidTr="004B6BF3">
        <w:trPr>
          <w:trHeight w:val="60"/>
          <w:jc w:val="center"/>
        </w:trPr>
        <w:tc>
          <w:tcPr>
            <w:tcW w:w="1926" w:type="dxa"/>
            <w:noWrap/>
            <w:tcMar>
              <w:top w:w="0" w:type="dxa"/>
              <w:left w:w="108" w:type="dxa"/>
              <w:bottom w:w="0" w:type="dxa"/>
              <w:right w:w="108" w:type="dxa"/>
            </w:tcMar>
            <w:hideMark/>
          </w:tcPr>
          <w:p w14:paraId="772C0BFF"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4</w:t>
            </w:r>
          </w:p>
        </w:tc>
        <w:tc>
          <w:tcPr>
            <w:tcW w:w="3477" w:type="dxa"/>
            <w:noWrap/>
            <w:tcMar>
              <w:top w:w="0" w:type="dxa"/>
              <w:left w:w="108" w:type="dxa"/>
              <w:bottom w:w="0" w:type="dxa"/>
              <w:right w:w="108" w:type="dxa"/>
            </w:tcMar>
            <w:hideMark/>
          </w:tcPr>
          <w:p w14:paraId="6FD52640"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Odporność na przebicie statyczne</w:t>
            </w:r>
            <w:r w:rsidRPr="003B3EDF">
              <w:rPr>
                <w:rFonts w:ascii="Times New Roman" w:eastAsiaTheme="minorEastAsia" w:hAnsi="Times New Roman" w:cs="Times New Roman"/>
                <w:lang w:eastAsia="pl-PL"/>
              </w:rPr>
              <w:br/>
              <w:t>(CBR)</w:t>
            </w:r>
          </w:p>
        </w:tc>
        <w:tc>
          <w:tcPr>
            <w:tcW w:w="2899" w:type="dxa"/>
            <w:noWrap/>
            <w:tcMar>
              <w:top w:w="0" w:type="dxa"/>
              <w:left w:w="108" w:type="dxa"/>
              <w:bottom w:w="0" w:type="dxa"/>
              <w:right w:w="108" w:type="dxa"/>
            </w:tcMar>
            <w:hideMark/>
          </w:tcPr>
          <w:p w14:paraId="5F2965C0"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≥1500 N</w:t>
            </w:r>
          </w:p>
        </w:tc>
      </w:tr>
      <w:tr w:rsidR="008E09D3" w:rsidRPr="008E09D3" w14:paraId="6E41F463" w14:textId="77777777" w:rsidTr="004B6BF3">
        <w:trPr>
          <w:trHeight w:val="109"/>
          <w:jc w:val="center"/>
        </w:trPr>
        <w:tc>
          <w:tcPr>
            <w:tcW w:w="1926" w:type="dxa"/>
            <w:noWrap/>
            <w:tcMar>
              <w:top w:w="0" w:type="dxa"/>
              <w:left w:w="108" w:type="dxa"/>
              <w:bottom w:w="0" w:type="dxa"/>
              <w:right w:w="108" w:type="dxa"/>
            </w:tcMar>
            <w:hideMark/>
          </w:tcPr>
          <w:p w14:paraId="4BE46063"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5</w:t>
            </w:r>
          </w:p>
        </w:tc>
        <w:tc>
          <w:tcPr>
            <w:tcW w:w="3477" w:type="dxa"/>
            <w:noWrap/>
            <w:tcMar>
              <w:top w:w="0" w:type="dxa"/>
              <w:left w:w="108" w:type="dxa"/>
              <w:bottom w:w="0" w:type="dxa"/>
              <w:right w:w="108" w:type="dxa"/>
            </w:tcMar>
            <w:hideMark/>
          </w:tcPr>
          <w:p w14:paraId="13528192"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Wydłużenie przy max. obciążeniu</w:t>
            </w:r>
          </w:p>
        </w:tc>
        <w:tc>
          <w:tcPr>
            <w:tcW w:w="2899" w:type="dxa"/>
            <w:noWrap/>
            <w:tcMar>
              <w:top w:w="0" w:type="dxa"/>
              <w:left w:w="108" w:type="dxa"/>
              <w:bottom w:w="0" w:type="dxa"/>
              <w:right w:w="108" w:type="dxa"/>
            </w:tcMar>
            <w:hideMark/>
          </w:tcPr>
          <w:p w14:paraId="5F417C14"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≥40%</w:t>
            </w:r>
          </w:p>
        </w:tc>
      </w:tr>
      <w:tr w:rsidR="008E09D3" w:rsidRPr="008E09D3" w14:paraId="04E989AC" w14:textId="77777777" w:rsidTr="004B6BF3">
        <w:trPr>
          <w:trHeight w:val="484"/>
          <w:jc w:val="center"/>
        </w:trPr>
        <w:tc>
          <w:tcPr>
            <w:tcW w:w="1926" w:type="dxa"/>
            <w:noWrap/>
            <w:tcMar>
              <w:top w:w="0" w:type="dxa"/>
              <w:left w:w="108" w:type="dxa"/>
              <w:bottom w:w="0" w:type="dxa"/>
              <w:right w:w="108" w:type="dxa"/>
            </w:tcMar>
            <w:hideMark/>
          </w:tcPr>
          <w:p w14:paraId="73497418"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lastRenderedPageBreak/>
              <w:t>6</w:t>
            </w:r>
          </w:p>
        </w:tc>
        <w:tc>
          <w:tcPr>
            <w:tcW w:w="3477" w:type="dxa"/>
            <w:noWrap/>
            <w:tcMar>
              <w:top w:w="0" w:type="dxa"/>
              <w:left w:w="108" w:type="dxa"/>
              <w:bottom w:w="0" w:type="dxa"/>
              <w:right w:w="108" w:type="dxa"/>
            </w:tcMar>
            <w:hideMark/>
          </w:tcPr>
          <w:p w14:paraId="63F7BFEB" w14:textId="77777777" w:rsidR="008E09D3" w:rsidRPr="003B3EDF" w:rsidRDefault="008E09D3" w:rsidP="008E09D3">
            <w:pPr>
              <w:overflowPunct w:val="0"/>
              <w:autoSpaceDE w:val="0"/>
              <w:autoSpaceDN w:val="0"/>
              <w:spacing w:after="0" w:line="240" w:lineRule="auto"/>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Wodoprzepuszczalność</w:t>
            </w:r>
            <w:r w:rsidRPr="003B3EDF">
              <w:rPr>
                <w:rFonts w:ascii="Times New Roman" w:eastAsiaTheme="minorEastAsia" w:hAnsi="Times New Roman" w:cs="Times New Roman"/>
                <w:lang w:eastAsia="pl-PL"/>
              </w:rPr>
              <w:br/>
              <w:t>w płaszczyźnie wyrobu</w:t>
            </w:r>
          </w:p>
        </w:tc>
        <w:tc>
          <w:tcPr>
            <w:tcW w:w="2899" w:type="dxa"/>
            <w:noWrap/>
            <w:tcMar>
              <w:top w:w="0" w:type="dxa"/>
              <w:left w:w="108" w:type="dxa"/>
              <w:bottom w:w="0" w:type="dxa"/>
              <w:right w:w="108" w:type="dxa"/>
            </w:tcMar>
            <w:hideMark/>
          </w:tcPr>
          <w:p w14:paraId="328A764F"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≥4,0E-6 m</w:t>
            </w:r>
            <w:r w:rsidRPr="003B3EDF">
              <w:rPr>
                <w:rFonts w:ascii="Times New Roman" w:eastAsiaTheme="minorEastAsia" w:hAnsi="Times New Roman" w:cs="Times New Roman"/>
                <w:vertAlign w:val="superscript"/>
                <w:lang w:eastAsia="pl-PL"/>
              </w:rPr>
              <w:t>2</w:t>
            </w:r>
            <w:r w:rsidRPr="003B3EDF">
              <w:rPr>
                <w:rFonts w:ascii="Times New Roman" w:eastAsiaTheme="minorEastAsia" w:hAnsi="Times New Roman" w:cs="Times New Roman"/>
                <w:lang w:eastAsia="pl-PL"/>
              </w:rPr>
              <w:t>/s</w:t>
            </w:r>
          </w:p>
        </w:tc>
      </w:tr>
      <w:tr w:rsidR="008E09D3" w:rsidRPr="008E09D3" w14:paraId="72C48460" w14:textId="77777777" w:rsidTr="004B6BF3">
        <w:trPr>
          <w:trHeight w:val="60"/>
          <w:jc w:val="center"/>
        </w:trPr>
        <w:tc>
          <w:tcPr>
            <w:tcW w:w="1926" w:type="dxa"/>
            <w:noWrap/>
            <w:tcMar>
              <w:top w:w="0" w:type="dxa"/>
              <w:left w:w="108" w:type="dxa"/>
              <w:bottom w:w="0" w:type="dxa"/>
              <w:right w:w="108" w:type="dxa"/>
            </w:tcMar>
            <w:hideMark/>
          </w:tcPr>
          <w:p w14:paraId="0E533E37"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7</w:t>
            </w:r>
          </w:p>
        </w:tc>
        <w:tc>
          <w:tcPr>
            <w:tcW w:w="3477" w:type="dxa"/>
            <w:noWrap/>
            <w:tcMar>
              <w:top w:w="0" w:type="dxa"/>
              <w:left w:w="108" w:type="dxa"/>
              <w:bottom w:w="0" w:type="dxa"/>
              <w:right w:w="108" w:type="dxa"/>
            </w:tcMar>
            <w:hideMark/>
          </w:tcPr>
          <w:p w14:paraId="2A867655" w14:textId="77777777" w:rsidR="008E09D3" w:rsidRPr="003B3EDF" w:rsidRDefault="008E09D3" w:rsidP="008E09D3">
            <w:pPr>
              <w:overflowPunct w:val="0"/>
              <w:autoSpaceDE w:val="0"/>
              <w:autoSpaceDN w:val="0"/>
              <w:spacing w:after="0" w:line="240" w:lineRule="auto"/>
              <w:jc w:val="both"/>
              <w:rPr>
                <w:rFonts w:ascii="Times New Roman" w:eastAsiaTheme="minorEastAsia" w:hAnsi="Times New Roman" w:cs="Times New Roman"/>
                <w:lang w:eastAsia="pl-PL"/>
              </w:rPr>
            </w:pPr>
            <w:r w:rsidRPr="003B3EDF">
              <w:rPr>
                <w:rFonts w:ascii="Times New Roman" w:eastAsiaTheme="minorEastAsia" w:hAnsi="Times New Roman" w:cs="Times New Roman"/>
                <w:lang w:eastAsia="pl-PL"/>
              </w:rPr>
              <w:t>Charakterystyczna wielkość porów</w:t>
            </w:r>
          </w:p>
        </w:tc>
        <w:tc>
          <w:tcPr>
            <w:tcW w:w="2899" w:type="dxa"/>
            <w:noWrap/>
            <w:tcMar>
              <w:top w:w="0" w:type="dxa"/>
              <w:left w:w="108" w:type="dxa"/>
              <w:bottom w:w="0" w:type="dxa"/>
              <w:right w:w="108" w:type="dxa"/>
            </w:tcMar>
            <w:hideMark/>
          </w:tcPr>
          <w:p w14:paraId="0376771F" w14:textId="77777777" w:rsidR="008E09D3" w:rsidRPr="003B3EDF" w:rsidRDefault="008E09D3" w:rsidP="008E09D3">
            <w:pPr>
              <w:overflowPunct w:val="0"/>
              <w:autoSpaceDE w:val="0"/>
              <w:autoSpaceDN w:val="0"/>
              <w:spacing w:after="0" w:line="240" w:lineRule="auto"/>
              <w:jc w:val="center"/>
              <w:rPr>
                <w:rFonts w:ascii="Times New Roman" w:eastAsiaTheme="minorEastAsia" w:hAnsi="Times New Roman" w:cs="Times New Roman"/>
                <w:lang w:eastAsia="pl-PL"/>
              </w:rPr>
            </w:pPr>
            <w:r w:rsidRPr="003B3EDF">
              <w:rPr>
                <w:rFonts w:ascii="Times New Roman" w:eastAsiaTheme="minorEastAsia" w:hAnsi="Times New Roman" w:cs="Times New Roman"/>
                <w:caps/>
                <w:lang w:eastAsia="pl-PL"/>
              </w:rPr>
              <w:t xml:space="preserve">0,06 ÷0,20 </w:t>
            </w:r>
            <w:r w:rsidRPr="003B3EDF">
              <w:rPr>
                <w:rFonts w:ascii="Times New Roman" w:eastAsiaTheme="minorEastAsia" w:hAnsi="Times New Roman" w:cs="Times New Roman"/>
                <w:lang w:eastAsia="pl-PL"/>
              </w:rPr>
              <w:t>mm</w:t>
            </w:r>
          </w:p>
        </w:tc>
      </w:tr>
    </w:tbl>
    <w:p w14:paraId="781745D7" w14:textId="77777777" w:rsidR="008E09D3" w:rsidRPr="008E09D3" w:rsidRDefault="008E09D3" w:rsidP="008E09D3">
      <w:pPr>
        <w:rPr>
          <w:lang w:eastAsia="pl-PL"/>
        </w:rPr>
      </w:pPr>
    </w:p>
    <w:p w14:paraId="2FDF49C2"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Studzienki kanalizacyjne rewizyjne, studnie osadnikowe</w:t>
      </w:r>
    </w:p>
    <w:p w14:paraId="241D6CAC"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Studnie z prefabrykowanych elementów betonowych</w:t>
      </w:r>
    </w:p>
    <w:p w14:paraId="17DECA1E" w14:textId="77777777" w:rsidR="00042BD7" w:rsidRPr="00A4013A" w:rsidRDefault="00042BD7" w:rsidP="00952024">
      <w:pPr>
        <w:keepNext/>
        <w:ind w:firstLine="504"/>
        <w:jc w:val="both"/>
        <w:outlineLvl w:val="1"/>
        <w:rPr>
          <w:rFonts w:ascii="Times New Roman" w:hAnsi="Times New Roman" w:cs="Times New Roman"/>
        </w:rPr>
      </w:pPr>
      <w:r w:rsidRPr="00A4013A">
        <w:rPr>
          <w:rFonts w:ascii="Times New Roman" w:hAnsi="Times New Roman" w:cs="Times New Roman"/>
        </w:rPr>
        <w:t xml:space="preserve">Studnie z elementów betonowych wykonać o średnicy: </w:t>
      </w:r>
      <w:r w:rsidRPr="00A4013A">
        <w:rPr>
          <w:rFonts w:ascii="Times New Roman" w:hAnsi="Times New Roman" w:cs="Times New Roman"/>
        </w:rPr>
        <w:sym w:font="Symbol" w:char="F066"/>
      </w:r>
      <w:r w:rsidRPr="00A4013A">
        <w:rPr>
          <w:rFonts w:ascii="Times New Roman" w:hAnsi="Times New Roman" w:cs="Times New Roman"/>
        </w:rPr>
        <w:t xml:space="preserve">1000 mm, </w:t>
      </w:r>
      <w:r w:rsidRPr="00A4013A">
        <w:rPr>
          <w:rFonts w:ascii="Times New Roman" w:hAnsi="Times New Roman" w:cs="Times New Roman"/>
        </w:rPr>
        <w:sym w:font="Symbol" w:char="F066"/>
      </w:r>
      <w:r w:rsidRPr="00A4013A">
        <w:rPr>
          <w:rFonts w:ascii="Times New Roman" w:hAnsi="Times New Roman" w:cs="Times New Roman"/>
        </w:rPr>
        <w:t>1200 mm. Powinny posiadać stopnie złazowe oraz odpowiednio wyprofilowane kinety.</w:t>
      </w:r>
    </w:p>
    <w:p w14:paraId="58FCAD40"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 xml:space="preserve"> Komora robocza</w:t>
      </w:r>
    </w:p>
    <w:p w14:paraId="708F4D9C" w14:textId="77777777" w:rsidR="00042BD7" w:rsidRPr="00A4013A" w:rsidRDefault="00042BD7" w:rsidP="00952024">
      <w:pPr>
        <w:ind w:firstLine="504"/>
        <w:jc w:val="both"/>
        <w:rPr>
          <w:rFonts w:ascii="Times New Roman" w:hAnsi="Times New Roman" w:cs="Times New Roman"/>
        </w:rPr>
      </w:pPr>
      <w:r w:rsidRPr="00A4013A">
        <w:rPr>
          <w:rFonts w:ascii="Times New Roman" w:hAnsi="Times New Roman" w:cs="Times New Roman"/>
        </w:rPr>
        <w:t>Komora robocza studzienki (powyżej wejścia kanałów) powinna być wykonana zgodnie z normą PN-EN 1917:2004[4] jako prefabrykowana z typowych elementów betonowych (kręgi pośrednie) o parametrach betonu:</w:t>
      </w:r>
    </w:p>
    <w:p w14:paraId="44A13FF3" w14:textId="77777777" w:rsidR="00042BD7" w:rsidRPr="00A4013A" w:rsidRDefault="00042BD7" w:rsidP="00952024">
      <w:pPr>
        <w:pStyle w:val="Akapitzlist"/>
        <w:numPr>
          <w:ilvl w:val="0"/>
          <w:numId w:val="61"/>
        </w:numPr>
        <w:ind w:left="284" w:hanging="284"/>
        <w:textAlignment w:val="auto"/>
        <w:rPr>
          <w:sz w:val="22"/>
          <w:szCs w:val="22"/>
        </w:rPr>
      </w:pPr>
      <w:r w:rsidRPr="00A4013A">
        <w:rPr>
          <w:sz w:val="22"/>
          <w:szCs w:val="22"/>
        </w:rPr>
        <w:t>klasa min. C35/45,</w:t>
      </w:r>
    </w:p>
    <w:p w14:paraId="791F24DE"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wodoszczelność W8,</w:t>
      </w:r>
    </w:p>
    <w:p w14:paraId="3AD63F73"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nasiąkliwość &lt;6,0%,</w:t>
      </w:r>
    </w:p>
    <w:p w14:paraId="484D00B5"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mrozoodporność  F-150.</w:t>
      </w:r>
    </w:p>
    <w:p w14:paraId="4D21091A" w14:textId="77777777" w:rsidR="00042BD7" w:rsidRPr="00A4013A" w:rsidRDefault="00042BD7" w:rsidP="00042BD7">
      <w:pPr>
        <w:spacing w:before="120"/>
        <w:jc w:val="both"/>
        <w:rPr>
          <w:rFonts w:ascii="Times New Roman" w:hAnsi="Times New Roman" w:cs="Times New Roman"/>
        </w:rPr>
      </w:pPr>
      <w:r w:rsidRPr="00A4013A">
        <w:rPr>
          <w:rFonts w:ascii="Times New Roman" w:hAnsi="Times New Roman" w:cs="Times New Roman"/>
        </w:rPr>
        <w:t>Kręgi powinny być łączone za pomocą uszczelek. Przejścia rurociągów przez ściany studni wykonane być mają, jako szczelne systemowe.</w:t>
      </w:r>
    </w:p>
    <w:p w14:paraId="07671320"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 xml:space="preserve"> Komin włazowy</w:t>
      </w:r>
    </w:p>
    <w:p w14:paraId="18555C96" w14:textId="77777777" w:rsidR="00042BD7" w:rsidRDefault="00042BD7" w:rsidP="00042BD7">
      <w:pPr>
        <w:ind w:firstLine="504"/>
        <w:jc w:val="both"/>
        <w:rPr>
          <w:rFonts w:ascii="Times New Roman" w:hAnsi="Times New Roman" w:cs="Times New Roman"/>
        </w:rPr>
      </w:pPr>
      <w:r w:rsidRPr="00A4013A">
        <w:rPr>
          <w:rFonts w:ascii="Times New Roman" w:hAnsi="Times New Roman" w:cs="Times New Roman"/>
        </w:rPr>
        <w:t>Przewidziano zabudowę studni z płytą pokrywową i pierścieniem odciążającym.</w:t>
      </w:r>
    </w:p>
    <w:p w14:paraId="1DCDB58B" w14:textId="77777777" w:rsidR="00042BD7" w:rsidRPr="00A4013A" w:rsidRDefault="00042BD7" w:rsidP="00042BD7">
      <w:pPr>
        <w:ind w:firstLine="504"/>
        <w:jc w:val="both"/>
        <w:rPr>
          <w:rFonts w:ascii="Times New Roman" w:hAnsi="Times New Roman" w:cs="Times New Roman"/>
        </w:rPr>
      </w:pPr>
      <w:r w:rsidRPr="00A4013A">
        <w:rPr>
          <w:rFonts w:ascii="Times New Roman" w:hAnsi="Times New Roman" w:cs="Times New Roman"/>
        </w:rPr>
        <w:t>Komin włazowy powinien być wykonany z zgodnie z normą PN-EN 1917:2004[4] jako prefabrykowany z typowych elementów betoowych (kręgi pośrednie) o parametrach betonu:</w:t>
      </w:r>
    </w:p>
    <w:p w14:paraId="77BA612C"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klasa min. C35/45,</w:t>
      </w:r>
    </w:p>
    <w:p w14:paraId="442EC05B"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wodoszczelność W8,</w:t>
      </w:r>
    </w:p>
    <w:p w14:paraId="50964823"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nasiąkliwość &lt;6,0%,</w:t>
      </w:r>
    </w:p>
    <w:p w14:paraId="305A41D4"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mrozoodporność  F-150.</w:t>
      </w:r>
    </w:p>
    <w:p w14:paraId="119C3710" w14:textId="77777777" w:rsidR="00042BD7" w:rsidRPr="00A4013A" w:rsidRDefault="00042BD7" w:rsidP="00042BD7">
      <w:pPr>
        <w:pStyle w:val="Akapitzlist"/>
        <w:ind w:left="284"/>
        <w:rPr>
          <w:sz w:val="22"/>
          <w:szCs w:val="22"/>
        </w:rPr>
      </w:pPr>
    </w:p>
    <w:p w14:paraId="30F91A82"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 xml:space="preserve">Płyta pokrywowa </w:t>
      </w:r>
    </w:p>
    <w:p w14:paraId="5F7AC1D2" w14:textId="77777777" w:rsidR="00042BD7" w:rsidRPr="00A4013A" w:rsidRDefault="00042BD7" w:rsidP="00270078">
      <w:pPr>
        <w:spacing w:after="240"/>
        <w:ind w:firstLine="504"/>
        <w:jc w:val="both"/>
        <w:rPr>
          <w:rFonts w:ascii="Times New Roman" w:hAnsi="Times New Roman" w:cs="Times New Roman"/>
          <w:shd w:val="clear" w:color="auto" w:fill="FFFFFF"/>
        </w:rPr>
      </w:pPr>
      <w:r w:rsidRPr="00A4013A">
        <w:rPr>
          <w:rFonts w:ascii="Times New Roman" w:hAnsi="Times New Roman" w:cs="Times New Roman"/>
        </w:rPr>
        <w:t>Płyta pokrywowa (stropowa) prefabrykowana wykonana z betonu. Płytę stropową należy posadowić na betonowym pierścieniu odciążającym. Każda pokrywę zamontować w wersji z otworem o średnicy ø625 mm o gr. min 150 mm z beton klasy C35/45.</w:t>
      </w:r>
    </w:p>
    <w:p w14:paraId="036A71E8"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Pierścień odciążający</w:t>
      </w:r>
    </w:p>
    <w:p w14:paraId="25A071E1" w14:textId="77777777" w:rsidR="00042BD7" w:rsidRPr="00A4013A" w:rsidRDefault="00042BD7" w:rsidP="00270078">
      <w:pPr>
        <w:spacing w:after="240"/>
        <w:ind w:firstLine="504"/>
        <w:jc w:val="both"/>
        <w:rPr>
          <w:rFonts w:ascii="Times New Roman" w:hAnsi="Times New Roman" w:cs="Times New Roman"/>
        </w:rPr>
      </w:pPr>
      <w:r w:rsidRPr="00A4013A">
        <w:rPr>
          <w:rFonts w:ascii="Times New Roman" w:hAnsi="Times New Roman" w:cs="Times New Roman"/>
        </w:rPr>
        <w:t xml:space="preserve">Pierścienie odciążający wykonany, jako prefabrykowany element betonowy, dopasowany do średnicy studni DN 1000, DN 1200 o gr. 200 mm - 250mm z beton klasy C35/45.  </w:t>
      </w:r>
    </w:p>
    <w:p w14:paraId="173D78BE"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Dno studzienki</w:t>
      </w:r>
    </w:p>
    <w:p w14:paraId="2C4DC6C0"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Dno studzienki przewidzieć jako monolityczny odlew z gotową kinetą betonową z betonu szczelnego klasy C35/45, wodoszczelności W8, nasiąkliwości &lt;6,0% i mrozoodporności F-150, łączone na uszczelki.</w:t>
      </w:r>
    </w:p>
    <w:p w14:paraId="3ECE704B"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Włazy kanałowe</w:t>
      </w:r>
    </w:p>
    <w:p w14:paraId="10B6BE19" w14:textId="77777777" w:rsidR="00042BD7" w:rsidRPr="00A4013A" w:rsidRDefault="00042BD7" w:rsidP="00042BD7">
      <w:pPr>
        <w:ind w:firstLine="708"/>
        <w:jc w:val="both"/>
        <w:rPr>
          <w:rFonts w:ascii="Times New Roman" w:hAnsi="Times New Roman" w:cs="Times New Roman"/>
          <w:b/>
          <w:color w:val="00000A"/>
        </w:rPr>
      </w:pPr>
      <w:r w:rsidRPr="00A4013A">
        <w:rPr>
          <w:rFonts w:ascii="Times New Roman" w:hAnsi="Times New Roman" w:cs="Times New Roman"/>
        </w:rPr>
        <w:t>Zgodnie z PN-EN 124-1:2015-07[5],  jako zwieńczenia studzienek stosować należy włazy kanałowe żeliwne DN600 klasy B125 z uwagi na prowadzenie kanałów w ciągu pieszo-rowerowym. Włazy do studni powinny być wykonane z żeliwna szarego, ryglowane. Regulację wysokościową studzienek należy wykonać przy pomocy pierścieni wyrównawczych.</w:t>
      </w:r>
    </w:p>
    <w:p w14:paraId="4DA7782F"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lastRenderedPageBreak/>
        <w:t>Stopnie złazowe</w:t>
      </w:r>
    </w:p>
    <w:p w14:paraId="2CBA7845"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 ścianie komory roboczej oraz komina włazowego należy zamontować mijankowo stopnie złazowe w dwóch rzędach w odległościach pionowych 0,30 m i odległości poziomej osi stopni 0,30 m wg</w:t>
      </w:r>
      <w:r w:rsidRPr="00A4013A">
        <w:rPr>
          <w:rFonts w:ascii="Times New Roman" w:hAnsi="Times New Roman" w:cs="Times New Roman"/>
        </w:rPr>
        <w:br/>
        <w:t>PN-EN13101:2005[6]. Stosować stopnie złazowe żeliwne lub klamry powlekane tworzywem.</w:t>
      </w:r>
    </w:p>
    <w:p w14:paraId="08A4B6B4"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Uszczelnienia międzykręgowe</w:t>
      </w:r>
    </w:p>
    <w:p w14:paraId="3201BD61"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Kręgi uszczelnić za pomocą uszczelek systemowych, np. klinowych. Stosować się do wytycznych wybranego producenta studni. </w:t>
      </w:r>
    </w:p>
    <w:p w14:paraId="07CB0F9A"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Przejścia szczelne przez ściany studni</w:t>
      </w:r>
    </w:p>
    <w:p w14:paraId="142246DD" w14:textId="77777777" w:rsidR="00042BD7" w:rsidRPr="00A4013A" w:rsidRDefault="00042BD7" w:rsidP="008E09D3">
      <w:pPr>
        <w:jc w:val="both"/>
        <w:rPr>
          <w:rFonts w:ascii="Times New Roman" w:hAnsi="Times New Roman" w:cs="Times New Roman"/>
        </w:rPr>
      </w:pPr>
      <w:r w:rsidRPr="00A4013A">
        <w:rPr>
          <w:rFonts w:ascii="Times New Roman" w:hAnsi="Times New Roman" w:cs="Times New Roman"/>
        </w:rPr>
        <w:tab/>
      </w:r>
      <w:r w:rsidRPr="00A4013A">
        <w:rPr>
          <w:rFonts w:ascii="Times New Roman" w:hAnsi="Times New Roman" w:cs="Times New Roman"/>
        </w:rPr>
        <w:tab/>
        <w:t>Przejście rury przez ścianę studni wykonać jako szczelne, za pomocą odpowiednich uszczelek systemowych wargowych do połączeń rur PP z kręgami. Studnie dostarczone na plac budowy muszą posiadać fabrycznie montowane przejścia szczelne przez producenta.</w:t>
      </w:r>
    </w:p>
    <w:p w14:paraId="02053D71"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Podstawa pod studnie rewizyjne</w:t>
      </w:r>
    </w:p>
    <w:p w14:paraId="1E12D186" w14:textId="77777777" w:rsidR="00042BD7" w:rsidRPr="00A4013A" w:rsidRDefault="00042BD7" w:rsidP="00042BD7">
      <w:pPr>
        <w:spacing w:after="240"/>
        <w:ind w:firstLine="432"/>
        <w:jc w:val="both"/>
        <w:rPr>
          <w:rFonts w:ascii="Times New Roman" w:hAnsi="Times New Roman" w:cs="Times New Roman"/>
        </w:rPr>
      </w:pPr>
      <w:r w:rsidRPr="00A4013A">
        <w:rPr>
          <w:rFonts w:ascii="Times New Roman" w:hAnsi="Times New Roman" w:cs="Times New Roman"/>
        </w:rPr>
        <w:t>Studnie betonowe układać na płycie betonowej z betonu klasy C12/15 o wym. 1,5 x 1,5 x 0,2 m, ułożonej na warstwie podsypki piaskowo-cementowej gr. 0,1 m zgodnie z rysunkiem szczegółu.</w:t>
      </w:r>
    </w:p>
    <w:p w14:paraId="52FCC15F" w14:textId="77777777" w:rsidR="00042BD7" w:rsidRPr="00A4013A"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Studzienki wpustów deszczowych</w:t>
      </w:r>
    </w:p>
    <w:p w14:paraId="45933320" w14:textId="77777777" w:rsidR="00042BD7" w:rsidRPr="00A4013A" w:rsidRDefault="00042BD7" w:rsidP="00042BD7">
      <w:pPr>
        <w:ind w:firstLine="709"/>
        <w:jc w:val="both"/>
        <w:rPr>
          <w:rFonts w:ascii="Times New Roman" w:hAnsi="Times New Roman" w:cs="Times New Roman"/>
        </w:rPr>
      </w:pPr>
      <w:r w:rsidRPr="00A4013A">
        <w:rPr>
          <w:rFonts w:ascii="Times New Roman" w:hAnsi="Times New Roman" w:cs="Times New Roman"/>
        </w:rPr>
        <w:t>Jako studnie wpustów deszczowych dobrano studzienki betonowe prefabrykowane ø500 mm z osadnikiem o min. głębokości 0,5 m.</w:t>
      </w:r>
    </w:p>
    <w:p w14:paraId="3B1D35C1" w14:textId="77777777" w:rsidR="00042BD7" w:rsidRPr="00FA7059" w:rsidRDefault="00042BD7" w:rsidP="00904E6C">
      <w:pPr>
        <w:pStyle w:val="Nagwek2"/>
        <w:numPr>
          <w:ilvl w:val="2"/>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b w:val="0"/>
          <w:sz w:val="22"/>
          <w:szCs w:val="22"/>
        </w:rPr>
      </w:pPr>
      <w:r w:rsidRPr="00FA7059">
        <w:rPr>
          <w:b w:val="0"/>
          <w:sz w:val="22"/>
          <w:szCs w:val="22"/>
        </w:rPr>
        <w:t>Zwieńczenia wpustów</w:t>
      </w:r>
    </w:p>
    <w:p w14:paraId="6AA412DD" w14:textId="77777777" w:rsidR="00042BD7" w:rsidRPr="00A4013A" w:rsidRDefault="00042BD7" w:rsidP="00042BD7">
      <w:pPr>
        <w:ind w:firstLine="709"/>
        <w:jc w:val="both"/>
        <w:rPr>
          <w:rFonts w:ascii="Times New Roman" w:hAnsi="Times New Roman" w:cs="Times New Roman"/>
        </w:rPr>
      </w:pPr>
      <w:r w:rsidRPr="00A4013A">
        <w:rPr>
          <w:rFonts w:ascii="Times New Roman" w:hAnsi="Times New Roman" w:cs="Times New Roman"/>
        </w:rPr>
        <w:t>Stosować wpusty jezdniowe z żeliwa szarego klasy D400 z rusztem krawężnikowo-jezdniowym. Zwieńczenia wpustów powinny odpowiadać wymaganiom PN-EN 124-1:2015-07[5].</w:t>
      </w:r>
    </w:p>
    <w:p w14:paraId="33749BC0" w14:textId="77777777" w:rsidR="00042BD7"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Kręgi betonowe prefabrykowane</w:t>
      </w:r>
    </w:p>
    <w:p w14:paraId="1B87EB12" w14:textId="77777777" w:rsidR="00042BD7" w:rsidRPr="00A4013A" w:rsidRDefault="00042BD7" w:rsidP="0065395A">
      <w:pPr>
        <w:spacing w:after="0"/>
        <w:jc w:val="both"/>
        <w:rPr>
          <w:rFonts w:ascii="Times New Roman" w:hAnsi="Times New Roman" w:cs="Times New Roman"/>
        </w:rPr>
      </w:pPr>
      <w:r w:rsidRPr="00A4013A">
        <w:rPr>
          <w:rFonts w:ascii="Times New Roman" w:hAnsi="Times New Roman" w:cs="Times New Roman"/>
        </w:rPr>
        <w:tab/>
        <w:t xml:space="preserve">Na studzienki wpustów deszczowych stosowane są prefabrykowane kręgi betonowe o średnicy </w:t>
      </w:r>
      <w:r w:rsidRPr="00A4013A">
        <w:rPr>
          <w:rFonts w:ascii="Times New Roman" w:hAnsi="Times New Roman" w:cs="Times New Roman"/>
        </w:rPr>
        <w:sym w:font="Symbol" w:char="F066"/>
      </w:r>
      <w:r w:rsidRPr="00A4013A">
        <w:rPr>
          <w:rFonts w:ascii="Times New Roman" w:hAnsi="Times New Roman" w:cs="Times New Roman"/>
        </w:rPr>
        <w:t>500 mm, o parametrach:</w:t>
      </w:r>
    </w:p>
    <w:p w14:paraId="4851CE9B"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klasa min. C35/45,</w:t>
      </w:r>
    </w:p>
    <w:p w14:paraId="056FEB93"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wodoszczelność W8,</w:t>
      </w:r>
    </w:p>
    <w:p w14:paraId="31AD2305"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nasiąkliwość &lt;6,0%,</w:t>
      </w:r>
    </w:p>
    <w:p w14:paraId="5A254EA2"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mrozoodporność  F-150.</w:t>
      </w:r>
    </w:p>
    <w:p w14:paraId="64467231" w14:textId="77777777" w:rsidR="00042BD7" w:rsidRPr="00A4013A" w:rsidRDefault="00042BD7" w:rsidP="00042BD7">
      <w:pPr>
        <w:spacing w:after="240"/>
        <w:jc w:val="both"/>
        <w:rPr>
          <w:rFonts w:ascii="Times New Roman" w:hAnsi="Times New Roman" w:cs="Times New Roman"/>
        </w:rPr>
      </w:pPr>
      <w:r w:rsidRPr="00A4013A">
        <w:rPr>
          <w:rFonts w:ascii="Times New Roman" w:hAnsi="Times New Roman" w:cs="Times New Roman"/>
        </w:rPr>
        <w:t xml:space="preserve">Kręgi powinny być łączone za pomocą uszczelek.  </w:t>
      </w:r>
    </w:p>
    <w:p w14:paraId="7D97BDBB" w14:textId="77777777" w:rsidR="00D20863" w:rsidRPr="00270078"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Pierścienie odciążające i podstawy betonowe pod wpusty</w:t>
      </w:r>
      <w:r w:rsidR="00270078" w:rsidRPr="00270078">
        <w:rPr>
          <w:rFonts w:ascii="Times New Roman" w:hAnsi="Times New Roman" w:cs="Times New Roman"/>
        </w:rPr>
        <w:tab/>
      </w:r>
    </w:p>
    <w:p w14:paraId="41569968" w14:textId="77777777" w:rsidR="00042BD7" w:rsidRPr="00A4013A" w:rsidRDefault="00042BD7" w:rsidP="0065395A">
      <w:pPr>
        <w:spacing w:after="0"/>
        <w:ind w:firstLine="284"/>
        <w:jc w:val="both"/>
        <w:rPr>
          <w:rFonts w:ascii="Times New Roman" w:hAnsi="Times New Roman" w:cs="Times New Roman"/>
        </w:rPr>
      </w:pPr>
      <w:r w:rsidRPr="00A4013A">
        <w:rPr>
          <w:rFonts w:ascii="Times New Roman" w:hAnsi="Times New Roman" w:cs="Times New Roman"/>
        </w:rPr>
        <w:t xml:space="preserve">Pierścienie odciążające i podstawy betonowe pod wpusty powinny być wykonane z betonu: </w:t>
      </w:r>
    </w:p>
    <w:p w14:paraId="324808F8"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klasa min. C35/45,</w:t>
      </w:r>
    </w:p>
    <w:p w14:paraId="108CD1F0"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wodoszczelność W8,</w:t>
      </w:r>
    </w:p>
    <w:p w14:paraId="055E8E60"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nasiąkliwość &lt;6,0%,</w:t>
      </w:r>
    </w:p>
    <w:p w14:paraId="1788B678"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mrozoodporność  F-150.</w:t>
      </w:r>
    </w:p>
    <w:p w14:paraId="72CCD8E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Stosowane być powinny pierścienie odciążające (o  gr. 200- 250 mm) zgodne z typoszeregiem wybranego producenta studni pod wpusty uliczne oraz pierścień odciążający.</w:t>
      </w:r>
    </w:p>
    <w:p w14:paraId="37AA28C7" w14:textId="77777777" w:rsidR="0065395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Podstawa wpustu deszczowego (element denny)</w:t>
      </w:r>
    </w:p>
    <w:p w14:paraId="15EB34BC" w14:textId="77777777" w:rsidR="00042BD7" w:rsidRPr="00A4013A" w:rsidRDefault="00042BD7" w:rsidP="0065395A">
      <w:pPr>
        <w:keepNext/>
        <w:spacing w:after="0"/>
        <w:ind w:firstLine="284"/>
        <w:jc w:val="both"/>
        <w:rPr>
          <w:rFonts w:ascii="Times New Roman" w:hAnsi="Times New Roman" w:cs="Times New Roman"/>
        </w:rPr>
      </w:pPr>
      <w:r w:rsidRPr="00A4013A">
        <w:rPr>
          <w:rFonts w:ascii="Times New Roman" w:hAnsi="Times New Roman" w:cs="Times New Roman"/>
        </w:rPr>
        <w:t xml:space="preserve">Element denny wpustu ulicznego </w:t>
      </w:r>
      <w:r w:rsidRPr="00A4013A">
        <w:rPr>
          <w:rFonts w:ascii="Times New Roman" w:hAnsi="Times New Roman" w:cs="Times New Roman"/>
        </w:rPr>
        <w:sym w:font="Symbol" w:char="F066"/>
      </w:r>
      <w:r w:rsidRPr="00A4013A">
        <w:rPr>
          <w:rFonts w:ascii="Times New Roman" w:hAnsi="Times New Roman" w:cs="Times New Roman"/>
        </w:rPr>
        <w:t>500 mm powinien być wykonany z betonu:</w:t>
      </w:r>
    </w:p>
    <w:p w14:paraId="7B52CCFC"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klasa min. C35/45,</w:t>
      </w:r>
    </w:p>
    <w:p w14:paraId="328EE4B2"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wodoszczelność W8,</w:t>
      </w:r>
    </w:p>
    <w:p w14:paraId="2EE851F6"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nasiąkliwość &lt;6,0%,</w:t>
      </w:r>
    </w:p>
    <w:p w14:paraId="219D2748" w14:textId="77777777" w:rsidR="00042BD7" w:rsidRPr="00A4013A" w:rsidRDefault="00042BD7" w:rsidP="00042BD7">
      <w:pPr>
        <w:pStyle w:val="Akapitzlist"/>
        <w:numPr>
          <w:ilvl w:val="0"/>
          <w:numId w:val="61"/>
        </w:numPr>
        <w:ind w:left="284" w:hanging="284"/>
        <w:textAlignment w:val="auto"/>
        <w:rPr>
          <w:sz w:val="22"/>
          <w:szCs w:val="22"/>
        </w:rPr>
      </w:pPr>
      <w:r w:rsidRPr="00A4013A">
        <w:rPr>
          <w:sz w:val="22"/>
          <w:szCs w:val="22"/>
        </w:rPr>
        <w:t>mrozoodporność  F-150.</w:t>
      </w:r>
    </w:p>
    <w:p w14:paraId="24F8B1A0" w14:textId="77777777" w:rsidR="00042BD7" w:rsidRDefault="00042BD7" w:rsidP="00042BD7">
      <w:pPr>
        <w:pStyle w:val="Akapitzlist"/>
        <w:ind w:left="0"/>
        <w:rPr>
          <w:sz w:val="22"/>
          <w:szCs w:val="22"/>
        </w:rPr>
      </w:pPr>
      <w:r w:rsidRPr="00A4013A">
        <w:rPr>
          <w:sz w:val="22"/>
          <w:szCs w:val="22"/>
        </w:rPr>
        <w:t>Wysokość elementu dennego zapewniać powinna zachowanie minimalnej wysokości osadnikowej na poziomie min. 0,5 m.</w:t>
      </w:r>
    </w:p>
    <w:p w14:paraId="73C31100" w14:textId="77777777" w:rsidR="0065395A" w:rsidRPr="00A4013A" w:rsidRDefault="0065395A" w:rsidP="00042BD7">
      <w:pPr>
        <w:pStyle w:val="Akapitzlist"/>
        <w:ind w:left="0"/>
        <w:rPr>
          <w:sz w:val="22"/>
          <w:szCs w:val="22"/>
        </w:rPr>
      </w:pPr>
    </w:p>
    <w:p w14:paraId="1D7030F3" w14:textId="77777777" w:rsidR="0065395A" w:rsidRPr="00C40D09"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Przejście szczelne rury odpływowej (przykanalika ścieków deszczowych)</w:t>
      </w:r>
    </w:p>
    <w:p w14:paraId="7412AF2B" w14:textId="77777777" w:rsidR="00042BD7" w:rsidRPr="00A4013A" w:rsidRDefault="00042BD7" w:rsidP="00D20863">
      <w:pPr>
        <w:keepNext/>
        <w:spacing w:after="200"/>
        <w:jc w:val="both"/>
        <w:rPr>
          <w:rFonts w:ascii="Times New Roman" w:hAnsi="Times New Roman" w:cs="Times New Roman"/>
        </w:rPr>
      </w:pPr>
      <w:r w:rsidRPr="00A4013A">
        <w:rPr>
          <w:rFonts w:ascii="Times New Roman" w:hAnsi="Times New Roman" w:cs="Times New Roman"/>
        </w:rPr>
        <w:lastRenderedPageBreak/>
        <w:tab/>
        <w:t xml:space="preserve">Przejście rury odpływowej przez ścianę studni wpustu ulicznego </w:t>
      </w:r>
      <w:r w:rsidR="00D20863" w:rsidRPr="00A4013A">
        <w:rPr>
          <w:rFonts w:ascii="Times New Roman" w:hAnsi="Times New Roman" w:cs="Times New Roman"/>
        </w:rPr>
        <w:t>wykonać, jako</w:t>
      </w:r>
      <w:r w:rsidRPr="00A4013A">
        <w:rPr>
          <w:rFonts w:ascii="Times New Roman" w:hAnsi="Times New Roman" w:cs="Times New Roman"/>
        </w:rPr>
        <w:t xml:space="preserve"> szczelne, za pomocą odpowiednich uszczelek systemowych wargowych do połączeń rur PP z kręgami.</w:t>
      </w:r>
    </w:p>
    <w:p w14:paraId="0BD6FD1C" w14:textId="77777777" w:rsidR="00633CC7" w:rsidRPr="00C40D09"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Kosz osadnikowy (wiaderko do wpustu deszczowego)</w:t>
      </w:r>
    </w:p>
    <w:p w14:paraId="51B8D1A5" w14:textId="77777777" w:rsidR="00042BD7" w:rsidRPr="00A4013A" w:rsidRDefault="00042BD7" w:rsidP="00042BD7">
      <w:pPr>
        <w:keepNext/>
        <w:jc w:val="both"/>
        <w:rPr>
          <w:rFonts w:ascii="Times New Roman" w:hAnsi="Times New Roman" w:cs="Times New Roman"/>
        </w:rPr>
      </w:pPr>
      <w:r w:rsidRPr="00A4013A">
        <w:rPr>
          <w:rFonts w:ascii="Times New Roman" w:hAnsi="Times New Roman" w:cs="Times New Roman"/>
        </w:rPr>
        <w:t>Kosze osadnikowe typu D wykonane ze stali ocynkowanej o wymiarach 400x600 mm.</w:t>
      </w:r>
    </w:p>
    <w:p w14:paraId="3A4F82CE" w14:textId="77777777" w:rsidR="00633CC7" w:rsidRPr="00C40D09"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Podstawa pod wpusty</w:t>
      </w:r>
    </w:p>
    <w:p w14:paraId="1759E6D7" w14:textId="77777777" w:rsidR="00042BD7" w:rsidRPr="00A4013A" w:rsidRDefault="00042BD7" w:rsidP="00042BD7">
      <w:pPr>
        <w:keepNext/>
        <w:ind w:firstLine="432"/>
        <w:jc w:val="both"/>
        <w:rPr>
          <w:rFonts w:ascii="Times New Roman" w:hAnsi="Times New Roman" w:cs="Times New Roman"/>
        </w:rPr>
      </w:pPr>
      <w:r w:rsidRPr="00A4013A">
        <w:rPr>
          <w:rFonts w:ascii="Times New Roman" w:hAnsi="Times New Roman" w:cs="Times New Roman"/>
        </w:rPr>
        <w:t>Wpusty deszczowe układać na płycie betonowej z betonu klasy C12/15 o wym. 0,8 x 0,8 x 0,2m ułożonej na warstwie podsypki piaskowo-cementowej gr. 0,1 m.</w:t>
      </w:r>
    </w:p>
    <w:p w14:paraId="6EF97CF3" w14:textId="77777777" w:rsidR="00633CC7" w:rsidRPr="00C40D09"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Przepompownia wód deszczowych</w:t>
      </w:r>
    </w:p>
    <w:p w14:paraId="743B74FA" w14:textId="77777777" w:rsidR="00042BD7" w:rsidRPr="00A4013A" w:rsidRDefault="00042BD7" w:rsidP="00042BD7">
      <w:pPr>
        <w:autoSpaceDE w:val="0"/>
        <w:autoSpaceDN w:val="0"/>
        <w:jc w:val="both"/>
        <w:rPr>
          <w:rFonts w:ascii="Times New Roman" w:eastAsiaTheme="minorEastAsia" w:hAnsi="Times New Roman" w:cs="Times New Roman"/>
          <w:i/>
          <w:iCs/>
        </w:rPr>
      </w:pPr>
      <w:r w:rsidRPr="00A4013A">
        <w:rPr>
          <w:rFonts w:ascii="Times New Roman" w:eastAsiaTheme="minorEastAsia" w:hAnsi="Times New Roman" w:cs="Times New Roman"/>
        </w:rPr>
        <w:t xml:space="preserve">Przepompownia powinna zostać </w:t>
      </w:r>
      <w:r w:rsidR="00633CC7" w:rsidRPr="00A4013A">
        <w:rPr>
          <w:rFonts w:ascii="Times New Roman" w:eastAsiaTheme="minorEastAsia" w:hAnsi="Times New Roman" w:cs="Times New Roman"/>
        </w:rPr>
        <w:t>dostarczona, jako</w:t>
      </w:r>
      <w:r w:rsidRPr="00A4013A">
        <w:rPr>
          <w:rFonts w:ascii="Times New Roman" w:eastAsiaTheme="minorEastAsia" w:hAnsi="Times New Roman" w:cs="Times New Roman"/>
        </w:rPr>
        <w:t xml:space="preserve"> kompletna wraz z wyposażeniem przez producenta.</w:t>
      </w:r>
      <w:r w:rsidRPr="00A4013A">
        <w:rPr>
          <w:rFonts w:ascii="Times New Roman" w:hAnsi="Times New Roman" w:cs="Times New Roman"/>
        </w:rPr>
        <w:t xml:space="preserve"> </w:t>
      </w:r>
      <w:r w:rsidRPr="00A4013A">
        <w:rPr>
          <w:rFonts w:ascii="Times New Roman" w:eastAsiaTheme="minorEastAsia" w:hAnsi="Times New Roman" w:cs="Times New Roman"/>
        </w:rPr>
        <w:t>Poniżej przedstawiono parametry projektowanej przepompowni:</w:t>
      </w:r>
    </w:p>
    <w:p w14:paraId="2803A105" w14:textId="77777777" w:rsidR="00042BD7" w:rsidRPr="0048275A" w:rsidRDefault="00042BD7" w:rsidP="00904E6C">
      <w:pPr>
        <w:pStyle w:val="Akapitzlist"/>
        <w:numPr>
          <w:ilvl w:val="0"/>
          <w:numId w:val="70"/>
        </w:numPr>
        <w:overflowPunct/>
        <w:autoSpaceDE/>
        <w:autoSpaceDN/>
        <w:adjustRightInd/>
        <w:ind w:left="426" w:hanging="426"/>
        <w:textAlignment w:val="auto"/>
        <w:rPr>
          <w:rFonts w:eastAsiaTheme="minorEastAsia"/>
          <w:sz w:val="22"/>
          <w:szCs w:val="22"/>
        </w:rPr>
      </w:pPr>
      <w:r w:rsidRPr="0048275A">
        <w:rPr>
          <w:rFonts w:eastAsiaTheme="minorEastAsia"/>
          <w:sz w:val="22"/>
          <w:szCs w:val="22"/>
        </w:rPr>
        <w:t>Zbiornik</w:t>
      </w:r>
    </w:p>
    <w:p w14:paraId="2E44FC95" w14:textId="77777777" w:rsidR="00042BD7" w:rsidRPr="001846F3" w:rsidRDefault="00042BD7" w:rsidP="00904E6C">
      <w:pPr>
        <w:pStyle w:val="Akapitzlist"/>
        <w:numPr>
          <w:ilvl w:val="0"/>
          <w:numId w:val="71"/>
        </w:numPr>
        <w:overflowPunct/>
        <w:autoSpaceDE/>
        <w:autoSpaceDN/>
        <w:adjustRightInd/>
        <w:textAlignment w:val="auto"/>
        <w:rPr>
          <w:rFonts w:eastAsiaTheme="minorEastAsia"/>
          <w:i/>
          <w:iCs/>
          <w:sz w:val="22"/>
          <w:szCs w:val="22"/>
        </w:rPr>
      </w:pPr>
      <w:r w:rsidRPr="001846F3">
        <w:rPr>
          <w:rFonts w:eastAsiaTheme="minorEastAsia"/>
          <w:sz w:val="22"/>
          <w:szCs w:val="22"/>
        </w:rPr>
        <w:t>materiał: beton C 35/45 nieprzejezdny</w:t>
      </w:r>
    </w:p>
    <w:p w14:paraId="279AA9B6" w14:textId="77777777" w:rsidR="00042BD7" w:rsidRPr="001846F3" w:rsidRDefault="00042BD7" w:rsidP="00904E6C">
      <w:pPr>
        <w:pStyle w:val="Akapitzlist"/>
        <w:numPr>
          <w:ilvl w:val="0"/>
          <w:numId w:val="71"/>
        </w:numPr>
        <w:overflowPunct/>
        <w:autoSpaceDE/>
        <w:autoSpaceDN/>
        <w:adjustRightInd/>
        <w:textAlignment w:val="auto"/>
        <w:rPr>
          <w:rFonts w:eastAsiaTheme="minorEastAsia"/>
          <w:i/>
          <w:iCs/>
          <w:sz w:val="22"/>
          <w:szCs w:val="22"/>
        </w:rPr>
      </w:pPr>
      <w:r w:rsidRPr="001846F3">
        <w:rPr>
          <w:rFonts w:eastAsiaTheme="minorEastAsia"/>
          <w:sz w:val="22"/>
          <w:szCs w:val="22"/>
        </w:rPr>
        <w:t>wymiary minimalne [mm]: D</w:t>
      </w:r>
      <w:r w:rsidRPr="001846F3">
        <w:rPr>
          <w:rFonts w:eastAsiaTheme="minorEastAsia"/>
          <w:sz w:val="22"/>
          <w:szCs w:val="22"/>
          <w:vertAlign w:val="subscript"/>
        </w:rPr>
        <w:t>wew</w:t>
      </w:r>
      <w:r w:rsidRPr="001846F3">
        <w:rPr>
          <w:rFonts w:eastAsiaTheme="minorEastAsia"/>
          <w:sz w:val="22"/>
          <w:szCs w:val="22"/>
        </w:rPr>
        <w:t>= 3000; H</w:t>
      </w:r>
      <w:r w:rsidRPr="001846F3">
        <w:rPr>
          <w:rFonts w:eastAsiaTheme="minorEastAsia"/>
          <w:sz w:val="22"/>
          <w:szCs w:val="22"/>
          <w:vertAlign w:val="subscript"/>
        </w:rPr>
        <w:t>c</w:t>
      </w:r>
      <w:r w:rsidRPr="001846F3">
        <w:rPr>
          <w:rFonts w:eastAsiaTheme="minorEastAsia"/>
          <w:sz w:val="22"/>
          <w:szCs w:val="22"/>
        </w:rPr>
        <w:t xml:space="preserve"> = </w:t>
      </w:r>
      <w:r w:rsidR="001D6FEF" w:rsidRPr="001846F3">
        <w:rPr>
          <w:rFonts w:eastAsiaTheme="minorEastAsia"/>
          <w:sz w:val="22"/>
          <w:szCs w:val="22"/>
        </w:rPr>
        <w:t>65</w:t>
      </w:r>
      <w:r w:rsidRPr="001846F3">
        <w:rPr>
          <w:rFonts w:eastAsiaTheme="minorEastAsia"/>
          <w:sz w:val="22"/>
          <w:szCs w:val="22"/>
        </w:rPr>
        <w:t>00</w:t>
      </w:r>
    </w:p>
    <w:p w14:paraId="736D6CD4" w14:textId="77777777" w:rsidR="001D6FEF" w:rsidRPr="001D6FEF" w:rsidRDefault="001D6FEF" w:rsidP="001D6FEF">
      <w:pPr>
        <w:pStyle w:val="Akapitzlist"/>
        <w:overflowPunct/>
        <w:autoSpaceDE/>
        <w:autoSpaceDN/>
        <w:adjustRightInd/>
        <w:textAlignment w:val="auto"/>
        <w:rPr>
          <w:rFonts w:eastAsiaTheme="minorEastAsia"/>
          <w:i/>
          <w:iCs/>
          <w:sz w:val="22"/>
          <w:szCs w:val="22"/>
          <w:highlight w:val="yellow"/>
        </w:rPr>
      </w:pPr>
    </w:p>
    <w:p w14:paraId="47F4E652" w14:textId="77777777" w:rsidR="00042BD7" w:rsidRPr="0048275A" w:rsidRDefault="00042BD7" w:rsidP="00904E6C">
      <w:pPr>
        <w:pStyle w:val="Akapitzlist"/>
        <w:numPr>
          <w:ilvl w:val="0"/>
          <w:numId w:val="70"/>
        </w:numPr>
        <w:overflowPunct/>
        <w:autoSpaceDE/>
        <w:autoSpaceDN/>
        <w:adjustRightInd/>
        <w:ind w:left="426" w:hanging="426"/>
        <w:textAlignment w:val="auto"/>
        <w:rPr>
          <w:rFonts w:eastAsiaTheme="minorEastAsia"/>
          <w:sz w:val="22"/>
          <w:szCs w:val="22"/>
        </w:rPr>
      </w:pPr>
      <w:r w:rsidRPr="0048275A">
        <w:rPr>
          <w:rFonts w:eastAsiaTheme="minorEastAsia"/>
          <w:sz w:val="22"/>
          <w:szCs w:val="22"/>
        </w:rPr>
        <w:t>Armatura</w:t>
      </w:r>
    </w:p>
    <w:p w14:paraId="1934A172"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właz stal kwasoodporna</w:t>
      </w:r>
    </w:p>
    <w:p w14:paraId="13225B19"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wlot grawitacyjny wyposażony w deflektor</w:t>
      </w:r>
    </w:p>
    <w:p w14:paraId="280D88E7"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wylot tłoczny DN 300 zakończony luźnym kołnierzem</w:t>
      </w:r>
    </w:p>
    <w:p w14:paraId="2A49CFF3"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2 piony tłoczne DN 250 (stal nierdzewna), kołnierze ALU </w:t>
      </w:r>
    </w:p>
    <w:p w14:paraId="6CBB626F"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2 zawory zwrotne DN 250</w:t>
      </w:r>
    </w:p>
    <w:p w14:paraId="6BBC2F43"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2 zawory odcinające DN 250</w:t>
      </w:r>
    </w:p>
    <w:p w14:paraId="2D6E0FC2" w14:textId="77777777" w:rsidR="00042BD7"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drabinka zejściowa (stal nierdzewna) i pomost obsługowy</w:t>
      </w:r>
    </w:p>
    <w:p w14:paraId="725F4709" w14:textId="77777777" w:rsidR="001D6FEF" w:rsidRPr="00A4013A" w:rsidRDefault="001D6FEF" w:rsidP="001D6FEF">
      <w:pPr>
        <w:pStyle w:val="Akapitzlist"/>
        <w:overflowPunct/>
        <w:autoSpaceDE/>
        <w:autoSpaceDN/>
        <w:adjustRightInd/>
        <w:textAlignment w:val="auto"/>
        <w:rPr>
          <w:rFonts w:eastAsiaTheme="minorEastAsia"/>
          <w:sz w:val="22"/>
          <w:szCs w:val="22"/>
        </w:rPr>
      </w:pPr>
    </w:p>
    <w:p w14:paraId="4C352200" w14:textId="77777777" w:rsidR="00042BD7" w:rsidRPr="0048275A" w:rsidRDefault="00042BD7" w:rsidP="00904E6C">
      <w:pPr>
        <w:pStyle w:val="Akapitzlist"/>
        <w:numPr>
          <w:ilvl w:val="0"/>
          <w:numId w:val="70"/>
        </w:numPr>
        <w:overflowPunct/>
        <w:autoSpaceDE/>
        <w:autoSpaceDN/>
        <w:adjustRightInd/>
        <w:ind w:left="426" w:hanging="426"/>
        <w:textAlignment w:val="auto"/>
        <w:rPr>
          <w:rFonts w:eastAsiaTheme="minorEastAsia"/>
          <w:sz w:val="22"/>
          <w:szCs w:val="22"/>
        </w:rPr>
      </w:pPr>
      <w:r w:rsidRPr="0048275A">
        <w:rPr>
          <w:rFonts w:eastAsiaTheme="minorEastAsia"/>
          <w:sz w:val="22"/>
          <w:szCs w:val="22"/>
        </w:rPr>
        <w:t>Automatyka i sterowanie</w:t>
      </w:r>
    </w:p>
    <w:p w14:paraId="2D662C0C"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zabezpieczenie główne wyłącznik nadmiaroprądowy (bezpiecznik automatyczny)</w:t>
      </w:r>
    </w:p>
    <w:p w14:paraId="43B49E3A"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zabezpieczenie różnicowo-prądowe jedno dla obu pomp</w:t>
      </w:r>
    </w:p>
    <w:p w14:paraId="0326F70F"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zabezpieczenie sterowania</w:t>
      </w:r>
    </w:p>
    <w:p w14:paraId="08E0A1B7"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zabezpieczenie przeciążeniowe silnika pompy PS1 wyłącznik magetyczno termiczny</w:t>
      </w:r>
    </w:p>
    <w:p w14:paraId="2CA8A3DA"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zabezpieczenie przeciążeniowe silnika pompy PS2 wyłącznik magetyczno termiczny</w:t>
      </w:r>
    </w:p>
    <w:p w14:paraId="5CA2BFC5"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stycznik pracy pompy PS1</w:t>
      </w:r>
    </w:p>
    <w:p w14:paraId="6AA3D480"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stycznik pracy pompy PS2</w:t>
      </w:r>
    </w:p>
    <w:p w14:paraId="2A1C1243"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rozłącznik główny</w:t>
      </w:r>
    </w:p>
    <w:p w14:paraId="11F54D10"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przełącznik trybu pracy: auto/ręczna</w:t>
      </w:r>
    </w:p>
    <w:p w14:paraId="0A9A258C"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sterownik elektroniczny </w:t>
      </w:r>
      <w:r w:rsidRPr="00A4013A">
        <w:rPr>
          <w:rFonts w:eastAsiaTheme="minorEastAsia"/>
          <w:sz w:val="22"/>
          <w:szCs w:val="22"/>
        </w:rPr>
        <w:tab/>
      </w:r>
    </w:p>
    <w:p w14:paraId="569F3151"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kontrola faz zasilających</w:t>
      </w:r>
      <w:r w:rsidRPr="00A4013A">
        <w:rPr>
          <w:rFonts w:eastAsiaTheme="minorEastAsia"/>
          <w:sz w:val="22"/>
          <w:szCs w:val="22"/>
        </w:rPr>
        <w:tab/>
      </w:r>
    </w:p>
    <w:p w14:paraId="3433D8E0"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gniazdo serwisowe 230V </w:t>
      </w:r>
      <w:r w:rsidRPr="00A4013A">
        <w:rPr>
          <w:rFonts w:eastAsiaTheme="minorEastAsia"/>
          <w:sz w:val="22"/>
          <w:szCs w:val="22"/>
        </w:rPr>
        <w:tab/>
      </w:r>
    </w:p>
    <w:p w14:paraId="4413EB28"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wewnętrzny sygnalizator akustyczny</w:t>
      </w:r>
    </w:p>
    <w:p w14:paraId="4B3138F2"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zewnętrzna lampa alarmowa </w:t>
      </w:r>
      <w:r w:rsidRPr="00A4013A">
        <w:rPr>
          <w:rFonts w:eastAsiaTheme="minorEastAsia"/>
          <w:sz w:val="22"/>
          <w:szCs w:val="22"/>
        </w:rPr>
        <w:tab/>
      </w:r>
    </w:p>
    <w:p w14:paraId="3A626678"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wewnętrzna sygnalizacja optyczna (lampki kontrolne) poziomu stanów pracy i awarii</w:t>
      </w:r>
    </w:p>
    <w:p w14:paraId="6C01D92A"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 obudowa elektryczna plastikowa, podwójna izolacja, stopień ochronny dostępny po zamknięciu IP66</w:t>
      </w:r>
    </w:p>
    <w:p w14:paraId="1DF51CB7"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system sterowania poziomami 24 VDC 5 pływaków długość kabli 10 m</w:t>
      </w:r>
    </w:p>
    <w:p w14:paraId="5F5B6714" w14:textId="77777777" w:rsidR="00042BD7"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gniazdo do podłączenia agregatu prądotwórczego</w:t>
      </w:r>
    </w:p>
    <w:p w14:paraId="508E58DC" w14:textId="77777777" w:rsidR="001D6FEF" w:rsidRPr="00A4013A" w:rsidRDefault="001D6FEF" w:rsidP="001D6FEF">
      <w:pPr>
        <w:pStyle w:val="Akapitzlist"/>
        <w:overflowPunct/>
        <w:autoSpaceDE/>
        <w:autoSpaceDN/>
        <w:adjustRightInd/>
        <w:textAlignment w:val="auto"/>
        <w:rPr>
          <w:rFonts w:eastAsiaTheme="minorEastAsia"/>
          <w:sz w:val="22"/>
          <w:szCs w:val="22"/>
        </w:rPr>
      </w:pPr>
    </w:p>
    <w:p w14:paraId="7FF3CDA7" w14:textId="77777777" w:rsidR="00042BD7" w:rsidRPr="0048275A" w:rsidRDefault="00042BD7" w:rsidP="00904E6C">
      <w:pPr>
        <w:pStyle w:val="Akapitzlist"/>
        <w:numPr>
          <w:ilvl w:val="0"/>
          <w:numId w:val="70"/>
        </w:numPr>
        <w:overflowPunct/>
        <w:autoSpaceDE/>
        <w:autoSpaceDN/>
        <w:adjustRightInd/>
        <w:ind w:left="426" w:hanging="426"/>
        <w:textAlignment w:val="auto"/>
        <w:rPr>
          <w:rFonts w:eastAsiaTheme="minorEastAsia"/>
          <w:sz w:val="22"/>
          <w:szCs w:val="22"/>
        </w:rPr>
      </w:pPr>
      <w:r w:rsidRPr="0048275A">
        <w:rPr>
          <w:rFonts w:eastAsiaTheme="minorEastAsia"/>
          <w:sz w:val="22"/>
          <w:szCs w:val="22"/>
        </w:rPr>
        <w:t>Pompa:</w:t>
      </w:r>
    </w:p>
    <w:p w14:paraId="472588C9"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 pompy: 2 szt, pracujące 1+1 rezerwa</w:t>
      </w:r>
    </w:p>
    <w:p w14:paraId="05FD7073"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wydajność ok Q = 1</w:t>
      </w:r>
      <w:r w:rsidR="00853D8C">
        <w:rPr>
          <w:rFonts w:eastAsiaTheme="minorEastAsia"/>
          <w:sz w:val="22"/>
          <w:szCs w:val="22"/>
        </w:rPr>
        <w:t>40</w:t>
      </w:r>
      <w:r w:rsidRPr="00A4013A">
        <w:rPr>
          <w:rFonts w:eastAsiaTheme="minorEastAsia"/>
          <w:sz w:val="22"/>
          <w:szCs w:val="22"/>
        </w:rPr>
        <w:t xml:space="preserve"> l/s </w:t>
      </w:r>
    </w:p>
    <w:p w14:paraId="66CF8EB1"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wysokość podnoszenia min hp = 5,</w:t>
      </w:r>
      <w:r w:rsidR="00853D8C">
        <w:rPr>
          <w:rFonts w:eastAsiaTheme="minorEastAsia"/>
          <w:sz w:val="22"/>
          <w:szCs w:val="22"/>
        </w:rPr>
        <w:t>4</w:t>
      </w:r>
      <w:r w:rsidRPr="00A4013A">
        <w:rPr>
          <w:rFonts w:eastAsiaTheme="minorEastAsia"/>
          <w:sz w:val="22"/>
          <w:szCs w:val="22"/>
        </w:rPr>
        <w:t xml:space="preserve"> m.s.w.</w:t>
      </w:r>
    </w:p>
    <w:p w14:paraId="43A20EDE"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 moc: P1/P2: 14/15,4 kW</w:t>
      </w:r>
    </w:p>
    <w:p w14:paraId="3B212A13"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 xml:space="preserve"> napięcie: U = 400 V</w:t>
      </w:r>
    </w:p>
    <w:p w14:paraId="0257E310"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pompa wyciągana na prowadnicach, montowana na kolanie sprzęgającym</w:t>
      </w:r>
    </w:p>
    <w:p w14:paraId="00AE8D38" w14:textId="77777777" w:rsidR="00042BD7" w:rsidRPr="00A4013A"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lastRenderedPageBreak/>
        <w:t>praca pomp w trybie naprzemiennym</w:t>
      </w:r>
    </w:p>
    <w:p w14:paraId="436C5DDC" w14:textId="77777777" w:rsidR="00042BD7" w:rsidRDefault="00042BD7" w:rsidP="00904E6C">
      <w:pPr>
        <w:pStyle w:val="Akapitzlist"/>
        <w:numPr>
          <w:ilvl w:val="0"/>
          <w:numId w:val="71"/>
        </w:numPr>
        <w:overflowPunct/>
        <w:autoSpaceDE/>
        <w:autoSpaceDN/>
        <w:adjustRightInd/>
        <w:textAlignment w:val="auto"/>
        <w:rPr>
          <w:rFonts w:eastAsiaTheme="minorEastAsia"/>
          <w:sz w:val="22"/>
          <w:szCs w:val="22"/>
        </w:rPr>
      </w:pPr>
      <w:r w:rsidRPr="00A4013A">
        <w:rPr>
          <w:rFonts w:eastAsiaTheme="minorEastAsia"/>
          <w:sz w:val="22"/>
          <w:szCs w:val="22"/>
        </w:rPr>
        <w:t>długość kabli do pomp min 10m</w:t>
      </w:r>
    </w:p>
    <w:p w14:paraId="2F599A75" w14:textId="77777777" w:rsidR="001D6FEF" w:rsidRPr="00A4013A" w:rsidRDefault="001D6FEF" w:rsidP="001D6FEF">
      <w:pPr>
        <w:pStyle w:val="Akapitzlist"/>
        <w:overflowPunct/>
        <w:autoSpaceDE/>
        <w:autoSpaceDN/>
        <w:adjustRightInd/>
        <w:textAlignment w:val="auto"/>
        <w:rPr>
          <w:rFonts w:eastAsiaTheme="minorEastAsia"/>
          <w:sz w:val="22"/>
          <w:szCs w:val="22"/>
        </w:rPr>
      </w:pPr>
    </w:p>
    <w:p w14:paraId="1B874390" w14:textId="77777777" w:rsidR="00042BD7" w:rsidRPr="0048275A" w:rsidRDefault="00042BD7" w:rsidP="00904E6C">
      <w:pPr>
        <w:pStyle w:val="Akapitzlist"/>
        <w:numPr>
          <w:ilvl w:val="0"/>
          <w:numId w:val="70"/>
        </w:numPr>
        <w:overflowPunct/>
        <w:autoSpaceDE/>
        <w:autoSpaceDN/>
        <w:adjustRightInd/>
        <w:ind w:left="426" w:hanging="426"/>
        <w:textAlignment w:val="auto"/>
        <w:rPr>
          <w:rFonts w:eastAsiaTheme="minorEastAsia"/>
          <w:sz w:val="22"/>
          <w:szCs w:val="22"/>
        </w:rPr>
      </w:pPr>
      <w:r w:rsidRPr="0048275A">
        <w:rPr>
          <w:rFonts w:eastAsiaTheme="minorEastAsia"/>
          <w:sz w:val="22"/>
          <w:szCs w:val="22"/>
        </w:rPr>
        <w:t>Posadowienie:</w:t>
      </w:r>
    </w:p>
    <w:p w14:paraId="2F37A29C" w14:textId="77777777" w:rsidR="00042BD7" w:rsidRPr="00A4013A" w:rsidRDefault="00042BD7" w:rsidP="00042BD7">
      <w:pPr>
        <w:contextualSpacing/>
        <w:jc w:val="both"/>
        <w:rPr>
          <w:rFonts w:ascii="Times New Roman" w:eastAsiaTheme="minorEastAsia" w:hAnsi="Times New Roman" w:cs="Times New Roman"/>
        </w:rPr>
      </w:pPr>
      <w:r w:rsidRPr="00A4013A">
        <w:rPr>
          <w:rFonts w:ascii="Times New Roman" w:eastAsiaTheme="minorEastAsia" w:hAnsi="Times New Roman" w:cs="Times New Roman"/>
        </w:rPr>
        <w:t>Pod przepompownią należy wykonać fundament żelbetowy o wym. 4x4x0,5m z betonu C30/37. Płytę fundamentową posadowić należy za pośrednictwem betonu podkładowego C12/15 gr. 10 cm. Komorę pompowni z betonu należy utwierdzić do fundamentu za pomocą kątowników i kotew, stosować się do wytycznych producenta</w:t>
      </w:r>
      <w:r w:rsidR="00D20863">
        <w:rPr>
          <w:rFonts w:ascii="Times New Roman" w:eastAsiaTheme="minorEastAsia" w:hAnsi="Times New Roman" w:cs="Times New Roman"/>
        </w:rPr>
        <w:t>.</w:t>
      </w:r>
    </w:p>
    <w:p w14:paraId="04661677" w14:textId="77777777" w:rsidR="00D20863" w:rsidRDefault="00042BD7" w:rsidP="00904E6C">
      <w:pPr>
        <w:pStyle w:val="Nagwek2"/>
        <w:numPr>
          <w:ilvl w:val="1"/>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ind w:left="432"/>
        <w:jc w:val="both"/>
        <w:textAlignment w:val="baseline"/>
        <w:rPr>
          <w:sz w:val="22"/>
          <w:szCs w:val="22"/>
        </w:rPr>
      </w:pPr>
      <w:r w:rsidRPr="00A4013A">
        <w:rPr>
          <w:sz w:val="22"/>
          <w:szCs w:val="22"/>
        </w:rPr>
        <w:t>Beto</w:t>
      </w:r>
      <w:r w:rsidR="00D20863">
        <w:rPr>
          <w:sz w:val="22"/>
          <w:szCs w:val="22"/>
        </w:rPr>
        <w:t>n</w:t>
      </w:r>
    </w:p>
    <w:p w14:paraId="5B7873E6" w14:textId="77777777" w:rsidR="00D20863" w:rsidRPr="00D20863" w:rsidRDefault="00D20863" w:rsidP="00270078">
      <w:pPr>
        <w:spacing w:after="0"/>
        <w:ind w:firstLine="708"/>
        <w:rPr>
          <w:lang w:eastAsia="pl-PL"/>
        </w:rPr>
      </w:pPr>
    </w:p>
    <w:p w14:paraId="37031FE3" w14:textId="77777777" w:rsidR="0048275A" w:rsidRPr="00270078"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Cement</w:t>
      </w:r>
    </w:p>
    <w:p w14:paraId="0DEB1F6F"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ab/>
        <w:t>Do betonu należy zastosować cement 32,5 lub 42,5 wg PN-EN 197-1 [8].</w:t>
      </w:r>
    </w:p>
    <w:p w14:paraId="1021A23F" w14:textId="77777777" w:rsidR="0048275A" w:rsidRPr="00270078"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Kruszywo</w:t>
      </w:r>
    </w:p>
    <w:p w14:paraId="7559F1D9" w14:textId="77777777" w:rsidR="001E0EA8" w:rsidRPr="001E0EA8" w:rsidRDefault="00042BD7" w:rsidP="001E0EA8">
      <w:pPr>
        <w:spacing w:before="160" w:line="240" w:lineRule="auto"/>
        <w:contextualSpacing/>
        <w:jc w:val="both"/>
        <w:rPr>
          <w:rFonts w:ascii="Times New Roman" w:eastAsiaTheme="minorEastAsia" w:hAnsi="Times New Roman" w:cs="Times New Roman"/>
        </w:rPr>
      </w:pPr>
      <w:r w:rsidRPr="00A4013A">
        <w:rPr>
          <w:rFonts w:ascii="Times New Roman" w:hAnsi="Times New Roman" w:cs="Times New Roman"/>
        </w:rPr>
        <w:tab/>
      </w:r>
      <w:r w:rsidRPr="001E0EA8">
        <w:rPr>
          <w:rFonts w:ascii="Times New Roman" w:eastAsiaTheme="minorEastAsia" w:hAnsi="Times New Roman" w:cs="Times New Roman"/>
        </w:rPr>
        <w:t>Do betonu należy zastosować kruszywo zgodne z normą PN-EN 12620+A1:2010 [9]. Marka kruszywa nie może być niższa niż klasa betonu.</w:t>
      </w:r>
      <w:r w:rsidR="001E0EA8" w:rsidRPr="001E0EA8">
        <w:rPr>
          <w:rFonts w:ascii="Times New Roman" w:eastAsiaTheme="minorEastAsia" w:hAnsi="Times New Roman" w:cs="Times New Roman"/>
        </w:rPr>
        <w:t xml:space="preserve"> Do obsypania drenażu należy stosować naturalne kruszywo mineralne o frakcji nie mniejszej niż 8 mm, zaleca się stosowanie frakcji ꝋ16/63, spełniającego wymagania normy PN-EN 13242. Dla zastosowanego kruszywa powinna być wystawiona </w:t>
      </w:r>
      <w:r w:rsidR="001E0EA8" w:rsidRPr="001E0EA8">
        <w:rPr>
          <w:rFonts w:ascii="Times New Roman" w:hAnsi="Times New Roman" w:cs="Times New Roman"/>
        </w:rPr>
        <w:t>deklaracja właściwości użytkowych na zgodność z powyższą normą.</w:t>
      </w:r>
      <w:r w:rsidR="001E0EA8">
        <w:rPr>
          <w:rFonts w:ascii="Times New Roman" w:hAnsi="Times New Roman" w:cs="Times New Roman"/>
          <w:color w:val="000000" w:themeColor="text1"/>
        </w:rPr>
        <w:tab/>
      </w:r>
    </w:p>
    <w:p w14:paraId="169FFD0F" w14:textId="77777777" w:rsidR="00042BD7" w:rsidRPr="00A4013A" w:rsidRDefault="00042BD7" w:rsidP="001E0EA8">
      <w:pPr>
        <w:keepNext/>
        <w:numPr>
          <w:ilvl w:val="2"/>
          <w:numId w:val="66"/>
        </w:numPr>
        <w:overflowPunct w:val="0"/>
        <w:autoSpaceDE w:val="0"/>
        <w:autoSpaceDN w:val="0"/>
        <w:adjustRightInd w:val="0"/>
        <w:spacing w:before="160" w:after="0" w:line="240" w:lineRule="auto"/>
        <w:jc w:val="both"/>
        <w:textAlignment w:val="baseline"/>
        <w:rPr>
          <w:rFonts w:ascii="Times New Roman" w:hAnsi="Times New Roman" w:cs="Times New Roman"/>
        </w:rPr>
      </w:pPr>
      <w:r w:rsidRPr="00A4013A">
        <w:rPr>
          <w:rFonts w:ascii="Times New Roman" w:hAnsi="Times New Roman" w:cs="Times New Roman"/>
        </w:rPr>
        <w:t>Beton hydrotechniczny</w:t>
      </w:r>
    </w:p>
    <w:p w14:paraId="12BBD93B" w14:textId="77777777" w:rsidR="00042BD7" w:rsidRPr="00A4013A" w:rsidRDefault="00042BD7" w:rsidP="00042BD7">
      <w:pPr>
        <w:pStyle w:val="Nagwek1"/>
        <w:spacing w:before="0"/>
        <w:rPr>
          <w:b w:val="0"/>
          <w:sz w:val="22"/>
          <w:szCs w:val="22"/>
        </w:rPr>
      </w:pPr>
      <w:r w:rsidRPr="00A4013A">
        <w:rPr>
          <w:b w:val="0"/>
          <w:sz w:val="22"/>
          <w:szCs w:val="22"/>
        </w:rPr>
        <w:tab/>
      </w:r>
      <w:r w:rsidRPr="0048275A">
        <w:rPr>
          <w:rFonts w:eastAsiaTheme="minorHAnsi"/>
          <w:b w:val="0"/>
          <w:caps w:val="0"/>
          <w:spacing w:val="0"/>
          <w:kern w:val="0"/>
          <w:sz w:val="22"/>
          <w:szCs w:val="22"/>
          <w:lang w:val="pl-PL" w:eastAsia="en-US"/>
        </w:rPr>
        <w:t>Beton hydrotechniczny C12/15 powinien odpowiadać wymaganiom PN-EN 206+A1:2016-12 [10].</w:t>
      </w:r>
    </w:p>
    <w:p w14:paraId="4B89696D"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Zaprawa cementowa</w:t>
      </w:r>
    </w:p>
    <w:p w14:paraId="719E4EE4"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Zaprawa cementowa powinna odpowiadać wymaganiom PN-B-10104:2014-03 [8.1] lub równoważne określające parametry.</w:t>
      </w:r>
    </w:p>
    <w:p w14:paraId="614567EE" w14:textId="77777777" w:rsidR="00042BD7" w:rsidRDefault="00042BD7" w:rsidP="00904E6C">
      <w:pPr>
        <w:keepNext/>
        <w:numPr>
          <w:ilvl w:val="1"/>
          <w:numId w:val="66"/>
        </w:numPr>
        <w:overflowPunct w:val="0"/>
        <w:autoSpaceDE w:val="0"/>
        <w:autoSpaceDN w:val="0"/>
        <w:adjustRightInd w:val="0"/>
        <w:spacing w:after="0" w:line="240" w:lineRule="auto"/>
        <w:ind w:left="426" w:hanging="426"/>
        <w:jc w:val="both"/>
        <w:textAlignment w:val="baseline"/>
        <w:outlineLvl w:val="1"/>
        <w:rPr>
          <w:rFonts w:ascii="Times New Roman" w:hAnsi="Times New Roman" w:cs="Times New Roman"/>
          <w:b/>
        </w:rPr>
      </w:pPr>
      <w:r w:rsidRPr="00A4013A">
        <w:rPr>
          <w:rFonts w:ascii="Times New Roman" w:hAnsi="Times New Roman" w:cs="Times New Roman"/>
          <w:b/>
        </w:rPr>
        <w:t>Składowanie materiałów</w:t>
      </w:r>
    </w:p>
    <w:p w14:paraId="3EB0ECE7" w14:textId="77777777" w:rsidR="00C40D09" w:rsidRPr="00A4013A" w:rsidRDefault="00270078" w:rsidP="00270078">
      <w:pPr>
        <w:keepNext/>
        <w:tabs>
          <w:tab w:val="left" w:pos="1524"/>
          <w:tab w:val="left" w:pos="2193"/>
        </w:tabs>
        <w:overflowPunct w:val="0"/>
        <w:autoSpaceDE w:val="0"/>
        <w:autoSpaceDN w:val="0"/>
        <w:adjustRightInd w:val="0"/>
        <w:spacing w:after="0" w:line="240" w:lineRule="auto"/>
        <w:ind w:left="426"/>
        <w:jc w:val="both"/>
        <w:textAlignment w:val="baseline"/>
        <w:outlineLvl w:val="1"/>
        <w:rPr>
          <w:rFonts w:ascii="Times New Roman" w:hAnsi="Times New Roman" w:cs="Times New Roman"/>
          <w:b/>
        </w:rPr>
      </w:pPr>
      <w:r>
        <w:rPr>
          <w:rFonts w:ascii="Times New Roman" w:hAnsi="Times New Roman" w:cs="Times New Roman"/>
          <w:b/>
        </w:rPr>
        <w:tab/>
      </w:r>
      <w:r>
        <w:rPr>
          <w:rFonts w:ascii="Times New Roman" w:hAnsi="Times New Roman" w:cs="Times New Roman"/>
          <w:b/>
        </w:rPr>
        <w:tab/>
      </w:r>
    </w:p>
    <w:p w14:paraId="247D32C9"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Rury kanałowe i kształtki</w:t>
      </w:r>
    </w:p>
    <w:p w14:paraId="72120CD4" w14:textId="77777777" w:rsidR="00042BD7" w:rsidRPr="00A4013A" w:rsidRDefault="00042BD7" w:rsidP="00C40D09">
      <w:pPr>
        <w:spacing w:after="0"/>
        <w:jc w:val="both"/>
        <w:rPr>
          <w:rFonts w:ascii="Times New Roman" w:hAnsi="Times New Roman" w:cs="Times New Roman"/>
        </w:rPr>
      </w:pPr>
      <w:r w:rsidRPr="00A4013A">
        <w:rPr>
          <w:rFonts w:ascii="Times New Roman" w:hAnsi="Times New Roman" w:cs="Times New Roman"/>
        </w:rPr>
        <w:t>Należy zastosować następujące zasady składowania:</w:t>
      </w:r>
    </w:p>
    <w:p w14:paraId="3983099E" w14:textId="77777777" w:rsidR="00042BD7" w:rsidRPr="00A4013A" w:rsidRDefault="00042BD7" w:rsidP="00904E6C">
      <w:pPr>
        <w:pStyle w:val="Akapitzlist"/>
        <w:numPr>
          <w:ilvl w:val="1"/>
          <w:numId w:val="67"/>
        </w:numPr>
        <w:ind w:left="709" w:hanging="425"/>
        <w:textAlignment w:val="auto"/>
        <w:rPr>
          <w:sz w:val="22"/>
          <w:szCs w:val="22"/>
        </w:rPr>
      </w:pPr>
      <w:r w:rsidRPr="00A4013A">
        <w:rPr>
          <w:sz w:val="22"/>
          <w:szCs w:val="22"/>
        </w:rPr>
        <w:t>składowanie rur na równym gładkim podłożu bez kamieni i przedmiotów o ostrych krawędziach,</w:t>
      </w:r>
    </w:p>
    <w:p w14:paraId="7314BBC0" w14:textId="77777777" w:rsidR="00042BD7" w:rsidRPr="00A4013A" w:rsidRDefault="00042BD7" w:rsidP="00904E6C">
      <w:pPr>
        <w:pStyle w:val="Akapitzlist"/>
        <w:numPr>
          <w:ilvl w:val="1"/>
          <w:numId w:val="67"/>
        </w:numPr>
        <w:ind w:left="709" w:hanging="425"/>
        <w:textAlignment w:val="auto"/>
        <w:rPr>
          <w:sz w:val="22"/>
          <w:szCs w:val="22"/>
        </w:rPr>
      </w:pPr>
      <w:r w:rsidRPr="00A4013A">
        <w:rPr>
          <w:sz w:val="22"/>
          <w:szCs w:val="22"/>
        </w:rPr>
        <w:t>rury układać w stosach na podkładach drewnianych o szerokości co najmniej 10 cm, grubości co najmniej 2,5 cm,</w:t>
      </w:r>
    </w:p>
    <w:p w14:paraId="7D73AE48" w14:textId="77777777" w:rsidR="00042BD7" w:rsidRPr="00A4013A" w:rsidRDefault="00042BD7" w:rsidP="00904E6C">
      <w:pPr>
        <w:pStyle w:val="Akapitzlist"/>
        <w:numPr>
          <w:ilvl w:val="1"/>
          <w:numId w:val="67"/>
        </w:numPr>
        <w:ind w:left="709" w:hanging="425"/>
        <w:textAlignment w:val="auto"/>
        <w:rPr>
          <w:sz w:val="22"/>
          <w:szCs w:val="22"/>
        </w:rPr>
      </w:pPr>
      <w:r w:rsidRPr="00A4013A">
        <w:rPr>
          <w:sz w:val="22"/>
          <w:szCs w:val="22"/>
        </w:rPr>
        <w:t>w stosie nie powinno znajdować się więcej niż 7 warstw, a wysokość stosu nie powinna przekroczyć 1,5m,</w:t>
      </w:r>
    </w:p>
    <w:p w14:paraId="59F1F1F9" w14:textId="77777777" w:rsidR="00042BD7" w:rsidRPr="00A4013A" w:rsidRDefault="00042BD7" w:rsidP="00904E6C">
      <w:pPr>
        <w:pStyle w:val="Akapitzlist"/>
        <w:numPr>
          <w:ilvl w:val="1"/>
          <w:numId w:val="67"/>
        </w:numPr>
        <w:ind w:left="709" w:hanging="425"/>
        <w:textAlignment w:val="auto"/>
        <w:rPr>
          <w:sz w:val="22"/>
          <w:szCs w:val="22"/>
        </w:rPr>
      </w:pPr>
      <w:r w:rsidRPr="00A4013A">
        <w:rPr>
          <w:sz w:val="22"/>
          <w:szCs w:val="22"/>
        </w:rPr>
        <w:t>rury układać kielichami naprzemianlegle lub kolejne warstwy oddzielać przekładami drewnianymi,</w:t>
      </w:r>
    </w:p>
    <w:p w14:paraId="31DCB400" w14:textId="77777777" w:rsidR="00042BD7" w:rsidRPr="00A4013A" w:rsidRDefault="00042BD7" w:rsidP="00904E6C">
      <w:pPr>
        <w:pStyle w:val="Akapitzlist"/>
        <w:numPr>
          <w:ilvl w:val="1"/>
          <w:numId w:val="67"/>
        </w:numPr>
        <w:ind w:left="709" w:hanging="425"/>
        <w:textAlignment w:val="auto"/>
        <w:rPr>
          <w:sz w:val="22"/>
          <w:szCs w:val="22"/>
        </w:rPr>
      </w:pPr>
      <w:r w:rsidRPr="00A4013A">
        <w:rPr>
          <w:sz w:val="22"/>
          <w:szCs w:val="22"/>
        </w:rPr>
        <w:t>stos należy zabezpieczyć przed przypadkowym ześlizgnięciem się rury poprzez ograniczenie jego szerokości przy pomocy pionowych wsporników drewnianych zamocowanych w odstępach 1 – 2 m,</w:t>
      </w:r>
    </w:p>
    <w:p w14:paraId="7AF235F8" w14:textId="77777777" w:rsidR="00C40D09" w:rsidRPr="00C40D09" w:rsidRDefault="00042BD7" w:rsidP="00904E6C">
      <w:pPr>
        <w:pStyle w:val="Akapitzlist"/>
        <w:numPr>
          <w:ilvl w:val="1"/>
          <w:numId w:val="67"/>
        </w:numPr>
        <w:spacing w:after="160"/>
        <w:ind w:left="709" w:hanging="425"/>
        <w:textAlignment w:val="auto"/>
        <w:rPr>
          <w:sz w:val="22"/>
          <w:szCs w:val="22"/>
        </w:rPr>
      </w:pPr>
      <w:r w:rsidRPr="00A4013A">
        <w:rPr>
          <w:sz w:val="22"/>
          <w:szCs w:val="22"/>
        </w:rPr>
        <w:t>rury i kształtki składować w miejscu zabezpieczonym przed szkodliwymi działaniami promieni słonecznych, maksymalna temperatura w miejscu składowania wynosi 40</w:t>
      </w:r>
      <w:r w:rsidRPr="00A4013A">
        <w:rPr>
          <w:sz w:val="22"/>
          <w:szCs w:val="22"/>
          <w:vertAlign w:val="superscript"/>
        </w:rPr>
        <w:t>0</w:t>
      </w:r>
      <w:r w:rsidRPr="00A4013A">
        <w:rPr>
          <w:sz w:val="22"/>
          <w:szCs w:val="22"/>
        </w:rPr>
        <w:t>C.</w:t>
      </w:r>
    </w:p>
    <w:p w14:paraId="390D605B"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Kręgi</w:t>
      </w:r>
    </w:p>
    <w:p w14:paraId="5136673D"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Kręgi można składować na powierzchni nieutwardzonej pod warunkiem, że nacisk kręgów przekazywany na grunt nie przekracza 0,5 MPa. Przy składowaniu wyrobów w pozycji wbudowania wysokość składowania nie powinna przekraczać 1,8 m. Składowanie powinno umożliwiać dostęp do poszczególnych stosów wyrobów lub pojedynczych kręgów.</w:t>
      </w:r>
    </w:p>
    <w:p w14:paraId="2F236362"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Włazy kanałowe i stopnie</w:t>
      </w:r>
    </w:p>
    <w:p w14:paraId="7BA8605E"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Włazy kanałowe i stopnie powinny być składowane z dala od substancji działających korodująco. Włazy powinny być posegregowane wg klas. Powierzchnia składowania powinna być utwardzona i odwodniona.</w:t>
      </w:r>
    </w:p>
    <w:p w14:paraId="0585F814"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lastRenderedPageBreak/>
        <w:t>Żeliwne zwieńczenia wpustów</w:t>
      </w:r>
    </w:p>
    <w:p w14:paraId="7F8AC98A"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Zwieńczenia wpustów mogą być składowane na otwartej przestrzeni, na paletach w stosach o wysokości maksimum </w:t>
      </w:r>
      <w:smartTag w:uri="urn:schemas-microsoft-com:office:smarttags" w:element="metricconverter">
        <w:smartTagPr>
          <w:attr w:name="ProductID" w:val="1,5 m"/>
        </w:smartTagPr>
        <w:r w:rsidRPr="00A4013A">
          <w:rPr>
            <w:rFonts w:ascii="Times New Roman" w:hAnsi="Times New Roman" w:cs="Times New Roman"/>
          </w:rPr>
          <w:t>1,5 m</w:t>
        </w:r>
      </w:smartTag>
      <w:r w:rsidRPr="00A4013A">
        <w:rPr>
          <w:rFonts w:ascii="Times New Roman" w:hAnsi="Times New Roman" w:cs="Times New Roman"/>
        </w:rPr>
        <w:t>.</w:t>
      </w:r>
    </w:p>
    <w:p w14:paraId="0A62AEC5"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Przepompownia wód deszczowych</w:t>
      </w:r>
    </w:p>
    <w:p w14:paraId="06D763F5" w14:textId="77777777" w:rsidR="00042BD7" w:rsidRPr="00A4013A" w:rsidRDefault="00042BD7" w:rsidP="00042BD7">
      <w:pPr>
        <w:ind w:firstLine="504"/>
        <w:jc w:val="both"/>
        <w:rPr>
          <w:rFonts w:ascii="Times New Roman" w:hAnsi="Times New Roman" w:cs="Times New Roman"/>
        </w:rPr>
      </w:pPr>
      <w:r w:rsidRPr="00A4013A">
        <w:rPr>
          <w:rFonts w:ascii="Times New Roman" w:hAnsi="Times New Roman" w:cs="Times New Roman"/>
        </w:rPr>
        <w:t>Przepompownia wód deszczowych musi zostać zbudowana zaraz po dostarczeniu przez producenta na plac budowy.</w:t>
      </w:r>
    </w:p>
    <w:p w14:paraId="10225DD0" w14:textId="77777777" w:rsidR="00042BD7" w:rsidRPr="00A4013A" w:rsidRDefault="00042BD7" w:rsidP="00904E6C">
      <w:pPr>
        <w:keepNext/>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Kruszywo</w:t>
      </w:r>
    </w:p>
    <w:p w14:paraId="1175A3B2"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Kruszywo należy składować na utwardzonym i odwodnionym podłożu w sposób zabezpieczający je przed zanieczyszczeniem i zmieszaniem z innymi</w:t>
      </w:r>
      <w:r w:rsidR="00270078">
        <w:rPr>
          <w:rFonts w:ascii="Times New Roman" w:hAnsi="Times New Roman" w:cs="Times New Roman"/>
        </w:rPr>
        <w:t xml:space="preserve"> rodzajami i frakcjami kruszyw.</w:t>
      </w:r>
    </w:p>
    <w:p w14:paraId="6915A0CE" w14:textId="77777777" w:rsidR="00270078"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SPRZĘT</w:t>
      </w:r>
    </w:p>
    <w:p w14:paraId="7DC6E110" w14:textId="77777777" w:rsidR="00270078" w:rsidRPr="00270078" w:rsidRDefault="00270078" w:rsidP="00270078">
      <w:pPr>
        <w:rPr>
          <w:lang w:val="en-GB" w:eastAsia="pl-PL"/>
        </w:rPr>
      </w:pPr>
    </w:p>
    <w:p w14:paraId="51B52809"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wymagania dotyczące sprzętu</w:t>
      </w:r>
    </w:p>
    <w:p w14:paraId="2DCDB99D"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Ogólne wymagania dotyczące sprzętu podano </w:t>
      </w:r>
      <w:r w:rsidRPr="00A4013A">
        <w:rPr>
          <w:rFonts w:ascii="Times New Roman" w:hAnsi="Times New Roman" w:cs="Times New Roman"/>
          <w:color w:val="000000" w:themeColor="text1"/>
        </w:rPr>
        <w:t>w  niemniejszej SST</w:t>
      </w:r>
      <w:r w:rsidRPr="00A4013A">
        <w:rPr>
          <w:rFonts w:ascii="Times New Roman" w:hAnsi="Times New Roman" w:cs="Times New Roman"/>
        </w:rPr>
        <w:t>.</w:t>
      </w:r>
    </w:p>
    <w:p w14:paraId="4856756E"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 xml:space="preserve">Sprzęt do wykonania kanalizacji deszczowej </w:t>
      </w:r>
    </w:p>
    <w:p w14:paraId="37E3DC0C"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Wykonawca przystępujący do wykonania kanalizacji deszczowej powinien wykazać się możliwością korzystania z następującego sprzętu:</w:t>
      </w:r>
    </w:p>
    <w:p w14:paraId="3B7D7F1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żurawi budowlanych samochodowych,</w:t>
      </w:r>
    </w:p>
    <w:p w14:paraId="5881812D"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żuraw boczny do 15t,</w:t>
      </w:r>
    </w:p>
    <w:p w14:paraId="7B4583CB"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koparek przedsiębiernych,</w:t>
      </w:r>
    </w:p>
    <w:p w14:paraId="34DE0AE4"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spycharek kołowych lub gąsienicowych,</w:t>
      </w:r>
    </w:p>
    <w:p w14:paraId="4554A851"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sprzętu do zagęszczania gruntu,</w:t>
      </w:r>
    </w:p>
    <w:p w14:paraId="5BC9FCF2"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wciągarek mechanicznych,</w:t>
      </w:r>
    </w:p>
    <w:p w14:paraId="6EF9C1B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beczkowozów,</w:t>
      </w:r>
    </w:p>
    <w:p w14:paraId="7E89F96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piły tarczowej,</w:t>
      </w:r>
    </w:p>
    <w:p w14:paraId="0E31AF9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młota pneumatycznego,</w:t>
      </w:r>
    </w:p>
    <w:p w14:paraId="2329551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zagęszczarki wibracyjnej,</w:t>
      </w:r>
    </w:p>
    <w:p w14:paraId="03B1760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urządzenia do odwodnienia wykopów (pompy, igłofiltry),</w:t>
      </w:r>
    </w:p>
    <w:p w14:paraId="4A08850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sprzętu pomocniczego (szczotka, łopata, itp.).</w:t>
      </w:r>
    </w:p>
    <w:p w14:paraId="43E49C76" w14:textId="77777777" w:rsidR="00042BD7" w:rsidRPr="00A4013A" w:rsidRDefault="00042BD7" w:rsidP="00042BD7">
      <w:pPr>
        <w:ind w:left="283"/>
        <w:jc w:val="both"/>
        <w:rPr>
          <w:rFonts w:ascii="Times New Roman" w:hAnsi="Times New Roman" w:cs="Times New Roman"/>
        </w:rPr>
      </w:pPr>
    </w:p>
    <w:p w14:paraId="34532DD0" w14:textId="77777777" w:rsidR="00042BD7"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TRANSPORT</w:t>
      </w:r>
    </w:p>
    <w:p w14:paraId="76116152" w14:textId="77777777" w:rsidR="00270078" w:rsidRPr="00270078" w:rsidRDefault="00D55AD4" w:rsidP="00D55AD4">
      <w:pPr>
        <w:tabs>
          <w:tab w:val="left" w:pos="1002"/>
        </w:tabs>
        <w:rPr>
          <w:lang w:val="en-GB" w:eastAsia="pl-PL"/>
        </w:rPr>
      </w:pPr>
      <w:r>
        <w:rPr>
          <w:lang w:val="en-GB" w:eastAsia="pl-PL"/>
        </w:rPr>
        <w:tab/>
      </w:r>
    </w:p>
    <w:p w14:paraId="13CF820D"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wymagania dotyczące transportu</w:t>
      </w:r>
    </w:p>
    <w:p w14:paraId="1ABCD88F"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Ogólne wymagania dotyczące transportu podano w</w:t>
      </w:r>
      <w:r w:rsidRPr="00A4013A">
        <w:rPr>
          <w:rFonts w:ascii="Times New Roman" w:hAnsi="Times New Roman" w:cs="Times New Roman"/>
          <w:color w:val="000000" w:themeColor="text1"/>
        </w:rPr>
        <w:t> niemniejszej SST</w:t>
      </w:r>
      <w:r w:rsidRPr="00A4013A">
        <w:rPr>
          <w:rFonts w:ascii="Times New Roman" w:hAnsi="Times New Roman" w:cs="Times New Roman"/>
        </w:rPr>
        <w:t>.</w:t>
      </w:r>
    </w:p>
    <w:p w14:paraId="59CCA364"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rur kanałowych i kształtek</w:t>
      </w:r>
    </w:p>
    <w:p w14:paraId="1AA50B12"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Należy przestrzegać następujących zasad transportu rur kanałowych:</w:t>
      </w:r>
    </w:p>
    <w:p w14:paraId="48A67FE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załadunek i rozładunek rur i kształtek powinien być prowadzony ze szczególną uwagą; niedopuszczalnym jest np. zrzucanie rur i kształtek z samochodu,</w:t>
      </w:r>
    </w:p>
    <w:p w14:paraId="36860DB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rury o mniejszych średnicach można przenosić bez użycia sprzętu,</w:t>
      </w:r>
    </w:p>
    <w:p w14:paraId="4FC84FC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niedopuszczalne jest ciągnięcie rury po ziemi; należy chronić rurę przed kontaktem z ostrymi krawędziami;</w:t>
      </w:r>
    </w:p>
    <w:p w14:paraId="52A8CD7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rury o mniejszych średnicach można wkładać do wykopu bez sprzętu pomocniczego,</w:t>
      </w:r>
    </w:p>
    <w:p w14:paraId="30DF686F" w14:textId="77777777" w:rsidR="00042BD7" w:rsidRDefault="00042BD7" w:rsidP="00270078">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w przypadku rur o większych średnicach może być konieczne użycie pasów (lin). </w:t>
      </w:r>
    </w:p>
    <w:p w14:paraId="05B63D20" w14:textId="77777777" w:rsidR="004B6BF3" w:rsidRDefault="004B6BF3" w:rsidP="004B6BF3">
      <w:pPr>
        <w:overflowPunct w:val="0"/>
        <w:autoSpaceDE w:val="0"/>
        <w:autoSpaceDN w:val="0"/>
        <w:adjustRightInd w:val="0"/>
        <w:spacing w:after="0" w:line="240" w:lineRule="auto"/>
        <w:ind w:left="283"/>
        <w:jc w:val="both"/>
        <w:rPr>
          <w:rFonts w:ascii="Times New Roman" w:hAnsi="Times New Roman" w:cs="Times New Roman"/>
        </w:rPr>
      </w:pPr>
    </w:p>
    <w:p w14:paraId="3B539D16" w14:textId="77777777" w:rsidR="00DC6FA2" w:rsidRDefault="00DC6FA2" w:rsidP="00DC6FA2">
      <w:pPr>
        <w:keepNext/>
        <w:numPr>
          <w:ilvl w:val="1"/>
          <w:numId w:val="66"/>
        </w:numPr>
        <w:overflowPunct w:val="0"/>
        <w:autoSpaceDE w:val="0"/>
        <w:autoSpaceDN w:val="0"/>
        <w:adjustRightInd w:val="0"/>
        <w:spacing w:after="120" w:line="240" w:lineRule="auto"/>
        <w:ind w:left="432"/>
        <w:jc w:val="both"/>
        <w:textAlignment w:val="baseline"/>
        <w:outlineLvl w:val="1"/>
        <w:rPr>
          <w:rFonts w:ascii="Times New Roman" w:hAnsi="Times New Roman" w:cs="Times New Roman"/>
          <w:b/>
        </w:rPr>
      </w:pPr>
      <w:r>
        <w:rPr>
          <w:rFonts w:ascii="Times New Roman" w:hAnsi="Times New Roman" w:cs="Times New Roman"/>
          <w:b/>
        </w:rPr>
        <w:t>Transport g</w:t>
      </w:r>
      <w:r w:rsidRPr="004B6BF3">
        <w:rPr>
          <w:rFonts w:ascii="Times New Roman" w:hAnsi="Times New Roman" w:cs="Times New Roman"/>
          <w:b/>
        </w:rPr>
        <w:t>e</w:t>
      </w:r>
      <w:r>
        <w:rPr>
          <w:rFonts w:ascii="Times New Roman" w:hAnsi="Times New Roman" w:cs="Times New Roman"/>
          <w:b/>
        </w:rPr>
        <w:t>o</w:t>
      </w:r>
      <w:r w:rsidRPr="004B6BF3">
        <w:rPr>
          <w:rFonts w:ascii="Times New Roman" w:hAnsi="Times New Roman" w:cs="Times New Roman"/>
          <w:b/>
        </w:rPr>
        <w:t>włóknin</w:t>
      </w:r>
      <w:r>
        <w:rPr>
          <w:rFonts w:ascii="Times New Roman" w:hAnsi="Times New Roman" w:cs="Times New Roman"/>
          <w:b/>
        </w:rPr>
        <w:t>y</w:t>
      </w:r>
    </w:p>
    <w:p w14:paraId="11BE3222" w14:textId="77777777" w:rsidR="004B6BF3" w:rsidRPr="00FC35DA" w:rsidRDefault="004B6BF3" w:rsidP="00FC35DA">
      <w:pPr>
        <w:spacing w:after="0"/>
        <w:ind w:firstLine="432"/>
        <w:jc w:val="both"/>
        <w:rPr>
          <w:rFonts w:ascii="Times New Roman" w:hAnsi="Times New Roman" w:cs="Times New Roman"/>
        </w:rPr>
      </w:pPr>
      <w:r w:rsidRPr="00FC35DA">
        <w:rPr>
          <w:rFonts w:ascii="Times New Roman" w:hAnsi="Times New Roman" w:cs="Times New Roman"/>
        </w:rPr>
        <w:t>Materiały można przewozić dowolnymi środkami transportu, w warunkach zabezpieczających je przed zanieczyszczeniem, zmieszaniem z innymi materiałami i nadmiernym zawilgoceniem oraz uwzględnieniem zaleceń producentów</w:t>
      </w:r>
    </w:p>
    <w:p w14:paraId="4895ED5C" w14:textId="77777777" w:rsidR="00270078" w:rsidRPr="00270078" w:rsidRDefault="00270078" w:rsidP="00270078">
      <w:pPr>
        <w:overflowPunct w:val="0"/>
        <w:autoSpaceDE w:val="0"/>
        <w:autoSpaceDN w:val="0"/>
        <w:adjustRightInd w:val="0"/>
        <w:spacing w:after="0" w:line="240" w:lineRule="auto"/>
        <w:ind w:left="283"/>
        <w:jc w:val="both"/>
        <w:rPr>
          <w:rFonts w:ascii="Times New Roman" w:hAnsi="Times New Roman" w:cs="Times New Roman"/>
        </w:rPr>
      </w:pPr>
    </w:p>
    <w:p w14:paraId="3ABFC64D"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kręgów</w:t>
      </w:r>
    </w:p>
    <w:p w14:paraId="6A2756AE" w14:textId="77777777" w:rsidR="00042BD7" w:rsidRPr="00A4013A" w:rsidRDefault="00042BD7" w:rsidP="00FC35DA">
      <w:pPr>
        <w:spacing w:after="0"/>
        <w:jc w:val="both"/>
        <w:rPr>
          <w:rFonts w:ascii="Times New Roman" w:hAnsi="Times New Roman" w:cs="Times New Roman"/>
        </w:rPr>
      </w:pPr>
      <w:r w:rsidRPr="00A4013A">
        <w:rPr>
          <w:rFonts w:ascii="Times New Roman" w:hAnsi="Times New Roman" w:cs="Times New Roman"/>
        </w:rPr>
        <w:tab/>
        <w:t>Transport kręgów powinien odbywać się samochodami w pozycji wbudowania lub prostopadle do pozycji wbudowania.</w:t>
      </w:r>
    </w:p>
    <w:p w14:paraId="023541D5"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Dla zabezpieczenia przed uszkodzeniem przewożonych elementów, Wykonawca dokona ich usztywnienia przez zastosowanie przekładek, rozporów i klinów z drewna, gumy lub innych odpowiednich materiałów.</w:t>
      </w:r>
    </w:p>
    <w:p w14:paraId="502B3C14"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włazów kanałowych i stopni złazowych</w:t>
      </w:r>
    </w:p>
    <w:p w14:paraId="25ACB1D9"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Włazy kanałowe i stopnie złazowe mogą być transportowane dowolnymi środkami transportu w sposób zabezpieczony przed przemieszczaniem i uszkodzeniem.</w:t>
      </w:r>
    </w:p>
    <w:p w14:paraId="6D2F8F7F"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rusztów żeliwnych</w:t>
      </w:r>
    </w:p>
    <w:p w14:paraId="54A0E7C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Skrzynki lub ramki wpustów mogą być przewożone dowolnymi środkami transportu w sposób zabezpieczony przed przesuwaniem się podczas transportu.</w:t>
      </w:r>
    </w:p>
    <w:p w14:paraId="3BE8CC2F" w14:textId="77777777" w:rsidR="00042BD7" w:rsidRPr="00A4013A" w:rsidRDefault="00F772CC"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Pr>
          <w:rFonts w:ascii="Times New Roman" w:hAnsi="Times New Roman" w:cs="Times New Roman"/>
          <w:b/>
        </w:rPr>
        <w:t>Transport przepompowni</w:t>
      </w:r>
      <w:r w:rsidR="00042BD7" w:rsidRPr="00A4013A">
        <w:rPr>
          <w:rFonts w:ascii="Times New Roman" w:hAnsi="Times New Roman" w:cs="Times New Roman"/>
          <w:b/>
        </w:rPr>
        <w:t xml:space="preserve"> wód deszczowych</w:t>
      </w:r>
    </w:p>
    <w:p w14:paraId="6CEDE975" w14:textId="77777777" w:rsidR="00042BD7" w:rsidRPr="00A4013A" w:rsidRDefault="00042BD7" w:rsidP="00042BD7">
      <w:pPr>
        <w:ind w:firstLine="432"/>
        <w:jc w:val="both"/>
        <w:rPr>
          <w:rFonts w:ascii="Times New Roman" w:hAnsi="Times New Roman" w:cs="Times New Roman"/>
        </w:rPr>
      </w:pPr>
      <w:r w:rsidRPr="00A4013A">
        <w:rPr>
          <w:rFonts w:ascii="Times New Roman" w:hAnsi="Times New Roman" w:cs="Times New Roman"/>
        </w:rPr>
        <w:t>Za transport oraz odpowiednie zabezpieczanie podczas transportu odpowiada Producent. Przepompownie wód deszczowych traktować należy, jako element prefabrykowany, dostarczany na budowę w stanie zupełnym w zakresie wyposażenia wewnętrznego.</w:t>
      </w:r>
    </w:p>
    <w:p w14:paraId="7E222B28"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mieszanki betonowej</w:t>
      </w:r>
    </w:p>
    <w:p w14:paraId="7FDE8EE5"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Do przewozu mieszanki betonowej Wykonawca zapewni takie środki transportowe, które nie spowodują segregacji składników, zmiany składu mieszanki, zanieczyszczenia mieszanki i obniżenia temperatury przekraczającej granicę określoną </w:t>
      </w:r>
      <w:r w:rsidR="00270078">
        <w:rPr>
          <w:rFonts w:ascii="Times New Roman" w:hAnsi="Times New Roman" w:cs="Times New Roman"/>
        </w:rPr>
        <w:t>w wymaganiach technologicznych.</w:t>
      </w:r>
    </w:p>
    <w:p w14:paraId="181CE0A7"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kruszyw</w:t>
      </w:r>
    </w:p>
    <w:p w14:paraId="26E32B14"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Kruszywa mogą być przewożone dowolnymi środkami transportu, w sposób zabezpieczający je przed zanieczyszczen</w:t>
      </w:r>
      <w:r w:rsidR="004B6BF3">
        <w:rPr>
          <w:rFonts w:ascii="Times New Roman" w:hAnsi="Times New Roman" w:cs="Times New Roman"/>
        </w:rPr>
        <w:t>iem i nadmiernym zawilgoceniem.</w:t>
      </w:r>
    </w:p>
    <w:p w14:paraId="73F871E2"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Transport cementu i jego przechowywanie</w:t>
      </w:r>
    </w:p>
    <w:p w14:paraId="1D35E03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Transport cementu i przechowywanie powinny być zgodne z BN-88/6731-08[8.2] lub ró</w:t>
      </w:r>
      <w:r w:rsidR="00270078">
        <w:rPr>
          <w:rFonts w:ascii="Times New Roman" w:hAnsi="Times New Roman" w:cs="Times New Roman"/>
        </w:rPr>
        <w:t>wnoważne określające parametry.</w:t>
      </w:r>
    </w:p>
    <w:p w14:paraId="36E77439" w14:textId="77777777" w:rsidR="00042BD7"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WYKONANIE ROBÓT</w:t>
      </w:r>
    </w:p>
    <w:p w14:paraId="68628B2B" w14:textId="77777777" w:rsidR="00270078" w:rsidRPr="00270078" w:rsidRDefault="00270078" w:rsidP="00270078">
      <w:pPr>
        <w:rPr>
          <w:lang w:val="en-GB" w:eastAsia="pl-PL"/>
        </w:rPr>
      </w:pPr>
    </w:p>
    <w:p w14:paraId="2781D002"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zasady wykonania robót</w:t>
      </w:r>
    </w:p>
    <w:p w14:paraId="3A1598F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Ogólne zasady wykonania robót podano w </w:t>
      </w:r>
      <w:r w:rsidRPr="00A4013A">
        <w:rPr>
          <w:rFonts w:ascii="Times New Roman" w:hAnsi="Times New Roman" w:cs="Times New Roman"/>
          <w:color w:val="000000" w:themeColor="text1"/>
        </w:rPr>
        <w:t>niemniejszej SST</w:t>
      </w:r>
      <w:r w:rsidRPr="00A4013A">
        <w:rPr>
          <w:rFonts w:ascii="Times New Roman" w:hAnsi="Times New Roman" w:cs="Times New Roman"/>
        </w:rPr>
        <w:t>.</w:t>
      </w:r>
    </w:p>
    <w:p w14:paraId="699A3D6E"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Roboty przygotowawcze</w:t>
      </w:r>
    </w:p>
    <w:p w14:paraId="5D338EE8"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Przed przystąpieniem do robót Wykonawca dokona ich wytyczenia i trwale oznaczy je w terenie za pomocą kołków osiowych, kołków świadków i kołków krawędziowych.</w:t>
      </w:r>
    </w:p>
    <w:p w14:paraId="1DFE545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 przypadku niedostatecznej ilości reperów stałych, Wykonawca wbuduje repery tymczasowe (z rzędnymi sprawdzonymi przez służby geodezyjne), a szkice sytuacyjne reperów i ich rzędne przekaże Inżynierowi.</w:t>
      </w:r>
    </w:p>
    <w:p w14:paraId="40F66353"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Roboty ziemne</w:t>
      </w:r>
    </w:p>
    <w:p w14:paraId="474D3933"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Wykopy należy wykonać jako wykopy otwarte obudowane. Metody wykonania robót – wykopu (ręcznie lub mechanicznie) powinny być dostosowane do głębokości wykopu, danych geotechnicznych oraz posiadanego sprzętu mechanicznego.</w:t>
      </w:r>
    </w:p>
    <w:p w14:paraId="78982F64"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Szerokość wykopu uwarunkowana jest zewnętrznymi wymiarami kanału i powinna wynosić dla przewodu o średnicy:</w:t>
      </w:r>
    </w:p>
    <w:p w14:paraId="015F15AE" w14:textId="77777777" w:rsidR="00042BD7" w:rsidRPr="00A4013A" w:rsidRDefault="00042BD7" w:rsidP="00904E6C">
      <w:pPr>
        <w:numPr>
          <w:ilvl w:val="0"/>
          <w:numId w:val="68"/>
        </w:numPr>
        <w:tabs>
          <w:tab w:val="left" w:pos="851"/>
        </w:tabs>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Dz160, Dz200: 1,0 m</w:t>
      </w:r>
    </w:p>
    <w:p w14:paraId="37CF5B8D" w14:textId="77777777" w:rsidR="00042BD7" w:rsidRPr="00A4013A" w:rsidRDefault="00042BD7" w:rsidP="00904E6C">
      <w:pPr>
        <w:numPr>
          <w:ilvl w:val="0"/>
          <w:numId w:val="68"/>
        </w:numPr>
        <w:tabs>
          <w:tab w:val="left" w:pos="851"/>
        </w:tabs>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Dz315: 1,1 m,</w:t>
      </w:r>
    </w:p>
    <w:p w14:paraId="28F7F190" w14:textId="77777777" w:rsidR="00042BD7" w:rsidRPr="00A4013A" w:rsidRDefault="00042BD7" w:rsidP="00904E6C">
      <w:pPr>
        <w:numPr>
          <w:ilvl w:val="0"/>
          <w:numId w:val="68"/>
        </w:numPr>
        <w:tabs>
          <w:tab w:val="left" w:pos="851"/>
        </w:tabs>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Dz400: 1,2m,</w:t>
      </w:r>
    </w:p>
    <w:p w14:paraId="4AFAEF3D" w14:textId="77777777" w:rsidR="00042BD7" w:rsidRPr="00A4013A" w:rsidRDefault="00042BD7" w:rsidP="00904E6C">
      <w:pPr>
        <w:numPr>
          <w:ilvl w:val="0"/>
          <w:numId w:val="68"/>
        </w:numPr>
        <w:tabs>
          <w:tab w:val="left" w:pos="851"/>
        </w:tabs>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lastRenderedPageBreak/>
        <w:t>Dz500: 1,3m.</w:t>
      </w:r>
    </w:p>
    <w:p w14:paraId="17B8CD68"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Deskowanie ścian należy prowadzić w miarę jego głębienia. Wydobyty grunt z wykopu powinien być wywieziony przez Wykonawcę na tymczasowe składowisko w przypadku gruntów niespoistych nadających się do zagęszczenia. Pozostały grunt należy przekazać do utylizacji.</w:t>
      </w:r>
    </w:p>
    <w:p w14:paraId="27ACC4E2"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 xml:space="preserve">Dno wykopu powinno być równe i wykonane ze spadkiem ustalonym w dokumentacji projektowej, przy czym dno wykopu Wykonawca wykona na poziomie wyższym od rzędnej projektowanej o </w:t>
      </w:r>
      <w:smartTag w:uri="urn:schemas-microsoft-com:office:smarttags" w:element="metricconverter">
        <w:smartTagPr>
          <w:attr w:name="ProductID" w:val="0,20 m"/>
        </w:smartTagPr>
        <w:r w:rsidRPr="00A4013A">
          <w:rPr>
            <w:rFonts w:ascii="Times New Roman" w:hAnsi="Times New Roman" w:cs="Times New Roman"/>
          </w:rPr>
          <w:t>0,20 m</w:t>
        </w:r>
      </w:smartTag>
      <w:r w:rsidRPr="00A4013A">
        <w:rPr>
          <w:rFonts w:ascii="Times New Roman" w:hAnsi="Times New Roman" w:cs="Times New Roman"/>
        </w:rPr>
        <w:t>.</w:t>
      </w:r>
    </w:p>
    <w:p w14:paraId="2A09CB20"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 xml:space="preserve">Zdjęcie pozostawionej warstwy </w:t>
      </w:r>
      <w:smartTag w:uri="urn:schemas-microsoft-com:office:smarttags" w:element="metricconverter">
        <w:smartTagPr>
          <w:attr w:name="ProductID" w:val="0,20 m"/>
        </w:smartTagPr>
        <w:r w:rsidRPr="00A4013A">
          <w:rPr>
            <w:rFonts w:ascii="Times New Roman" w:hAnsi="Times New Roman" w:cs="Times New Roman"/>
          </w:rPr>
          <w:t>0,20 m</w:t>
        </w:r>
      </w:smartTag>
      <w:r w:rsidRPr="00A4013A">
        <w:rPr>
          <w:rFonts w:ascii="Times New Roman" w:hAnsi="Times New Roman" w:cs="Times New Roman"/>
        </w:rPr>
        <w:t xml:space="preserve"> gruntu powinno być wykonane bezpośrednio przed ułożeniem przewodów rurowych. Zdjęcie tej warstwy Wykonawca wykona ręcznie lub w sposób uzgodniony z</w:t>
      </w:r>
      <w:r w:rsidR="00270078">
        <w:rPr>
          <w:rFonts w:ascii="Times New Roman" w:hAnsi="Times New Roman" w:cs="Times New Roman"/>
        </w:rPr>
        <w:t> Inżynierem.</w:t>
      </w:r>
    </w:p>
    <w:p w14:paraId="54C246DE"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Przygotowanie podłoża</w:t>
      </w:r>
    </w:p>
    <w:p w14:paraId="3C258DFD"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Kanały posadowić na warstwie podsypki piaskowej o grubości 20 cm. Dodatkowo, studnie kanalizacyjne oraz studnie wpustów ulicznych posadowić na zgodnie z zapisami zawartymi w nieniejszej ST. Ewentualne odwodnienie wykopów proponuje się wykonać z użyciem baterii igłofiltrów.</w:t>
      </w:r>
    </w:p>
    <w:p w14:paraId="07C4E680"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Każda warstwa powinna być zagęszczona w stopniu odpowiadającym wskaźnikowi Proctora na poziomie Pr=0,98. Przy zagęszczaniu należy zachować optymalną wilgotność gruntu. Obrana metoda badania zagęszczenia gruntu spełniać powinna wymagania określone w BN-77/8931-12 [12] lub równoważne określające parametry. Zaleca się wykonanie badań zagęszczenia gruntu z użyciem objętościomierza wodnego. Za zgodą nadzoru technicznego inwestorskiego </w:t>
      </w:r>
      <w:r w:rsidR="00270078">
        <w:rPr>
          <w:rFonts w:ascii="Times New Roman" w:hAnsi="Times New Roman" w:cs="Times New Roman"/>
        </w:rPr>
        <w:t>mogą być stosowane inne sprawdzo</w:t>
      </w:r>
      <w:r w:rsidRPr="00A4013A">
        <w:rPr>
          <w:rFonts w:ascii="Times New Roman" w:hAnsi="Times New Roman" w:cs="Times New Roman"/>
        </w:rPr>
        <w:t>ne metody oznaczania</w:t>
      </w:r>
      <w:r w:rsidR="00270078">
        <w:rPr>
          <w:rFonts w:ascii="Times New Roman" w:hAnsi="Times New Roman" w:cs="Times New Roman"/>
        </w:rPr>
        <w:t xml:space="preserve"> wskaźnika zagęszczania gruntu.</w:t>
      </w:r>
    </w:p>
    <w:p w14:paraId="27CB69D5"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Roboty montażowe</w:t>
      </w:r>
    </w:p>
    <w:p w14:paraId="41A7E619"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ab/>
        <w:t>Spadki i głębokość posadowienia kanałów powinny powinny zapewnić dopuszczalne minimalne prędkości przepływu, tj. min. 0,5 m/s. Spadki te nie mogą być jednak mniejsze niż:</w:t>
      </w:r>
    </w:p>
    <w:p w14:paraId="61331F20" w14:textId="77777777" w:rsidR="00042BD7" w:rsidRPr="00A4013A" w:rsidRDefault="00042BD7" w:rsidP="00042BD7">
      <w:pPr>
        <w:pStyle w:val="Akapitzlist"/>
        <w:numPr>
          <w:ilvl w:val="0"/>
          <w:numId w:val="64"/>
        </w:numPr>
        <w:ind w:hanging="436"/>
        <w:textAlignment w:val="auto"/>
        <w:rPr>
          <w:sz w:val="22"/>
          <w:szCs w:val="22"/>
        </w:rPr>
      </w:pPr>
      <w:r w:rsidRPr="00A4013A">
        <w:rPr>
          <w:sz w:val="22"/>
          <w:szCs w:val="22"/>
        </w:rPr>
        <w:t>Przykanaliki ścieków deszczowych (Dz</w:t>
      </w:r>
      <w:r w:rsidR="00A7280D">
        <w:rPr>
          <w:sz w:val="22"/>
          <w:szCs w:val="22"/>
        </w:rPr>
        <w:t>160</w:t>
      </w:r>
      <w:r w:rsidRPr="00A4013A">
        <w:rPr>
          <w:sz w:val="22"/>
          <w:szCs w:val="22"/>
        </w:rPr>
        <w:t>) – optymalnie 2% (absolutne minimum 1,5%),</w:t>
      </w:r>
    </w:p>
    <w:p w14:paraId="013E0ADC" w14:textId="77777777" w:rsidR="00042BD7" w:rsidRPr="00A4013A" w:rsidRDefault="00042BD7" w:rsidP="00042BD7">
      <w:pPr>
        <w:pStyle w:val="Akapitzlist"/>
        <w:numPr>
          <w:ilvl w:val="0"/>
          <w:numId w:val="64"/>
        </w:numPr>
        <w:ind w:hanging="436"/>
        <w:textAlignment w:val="auto"/>
        <w:rPr>
          <w:sz w:val="22"/>
          <w:szCs w:val="22"/>
        </w:rPr>
      </w:pPr>
      <w:r w:rsidRPr="00A4013A">
        <w:rPr>
          <w:sz w:val="22"/>
          <w:szCs w:val="22"/>
        </w:rPr>
        <w:t>Kolektor: Dz500 – 0,20% , Dz400 – 0,25%,  Dz315 – 0,33%.</w:t>
      </w:r>
    </w:p>
    <w:p w14:paraId="4433538B"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Z kolei największe dopuszczalne spadki wynikają z największej dopuszczalnej prędkości przepływu medium w kanale (w zależności od materiału), przy czym pochylenie kolektora Dz315 nie powinno być większe niż 3,0%, zaś dla Dz1000 (i więcej) – co najwyżej 1,0% (dla pośrednich wielkości średnic wykonać interpolację).</w:t>
      </w:r>
    </w:p>
    <w:p w14:paraId="0018C921" w14:textId="77777777" w:rsidR="00042BD7" w:rsidRPr="00A4013A" w:rsidRDefault="00042BD7" w:rsidP="00270078">
      <w:pPr>
        <w:spacing w:after="0"/>
        <w:jc w:val="both"/>
        <w:rPr>
          <w:rFonts w:ascii="Times New Roman" w:hAnsi="Times New Roman" w:cs="Times New Roman"/>
        </w:rPr>
      </w:pPr>
      <w:r w:rsidRPr="00A4013A">
        <w:rPr>
          <w:rFonts w:ascii="Times New Roman" w:hAnsi="Times New Roman" w:cs="Times New Roman"/>
        </w:rPr>
        <w:t>Głębokość przykrycia dla analizowanego terenu wynosi 1,0 m (do wierzchu rury przewodowej).</w:t>
      </w:r>
    </w:p>
    <w:p w14:paraId="51E89675"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Przy mniejszych zagłębieniach zachodzi konieczność odpowiedniego ocieplenia kanału – izolacja przewodów kanalizacyjnych poprzez owinięcie folią izolacyjną i obsypanie warstwą k</w:t>
      </w:r>
      <w:r w:rsidR="00AB3583">
        <w:rPr>
          <w:rFonts w:ascii="Times New Roman" w:hAnsi="Times New Roman" w:cs="Times New Roman"/>
        </w:rPr>
        <w:t>eramzytu o grubości min. 0,3 m.</w:t>
      </w:r>
    </w:p>
    <w:p w14:paraId="62E0EB6F"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Rury kanałowe</w:t>
      </w:r>
    </w:p>
    <w:p w14:paraId="69B4DC23" w14:textId="77777777" w:rsidR="00042BD7" w:rsidRPr="00A4013A" w:rsidRDefault="00042BD7" w:rsidP="00AB3583">
      <w:pPr>
        <w:spacing w:after="0"/>
        <w:jc w:val="both"/>
        <w:rPr>
          <w:rFonts w:ascii="Times New Roman" w:hAnsi="Times New Roman" w:cs="Times New Roman"/>
        </w:rPr>
      </w:pPr>
      <w:r w:rsidRPr="00A4013A">
        <w:rPr>
          <w:rFonts w:ascii="Times New Roman" w:hAnsi="Times New Roman" w:cs="Times New Roman"/>
        </w:rPr>
        <w:tab/>
        <w:t xml:space="preserve">Kanały należy układać w gotowym wykopie na 20 cm podsypce piaskowej oraz wykonać warstwę obsypkową o grubości 0,3 m ponad wierzch przewodu. </w:t>
      </w:r>
    </w:p>
    <w:p w14:paraId="5A6E0A3F" w14:textId="77777777" w:rsidR="00042BD7" w:rsidRPr="00A4013A" w:rsidRDefault="00042BD7" w:rsidP="00AB3583">
      <w:pPr>
        <w:ind w:firstLine="504"/>
        <w:jc w:val="both"/>
        <w:rPr>
          <w:rFonts w:ascii="Times New Roman" w:hAnsi="Times New Roman" w:cs="Times New Roman"/>
        </w:rPr>
      </w:pPr>
      <w:r w:rsidRPr="00A4013A">
        <w:rPr>
          <w:rFonts w:ascii="Times New Roman" w:hAnsi="Times New Roman" w:cs="Times New Roman"/>
        </w:rPr>
        <w:t>Zagęszczenie gruntu w nasypie należy wykonać warstwami. Każda warstwa powinna być zagęszczona w stopniu odpowiadającym wskaźnikowi Proctora. Przy zagęszczaniu należy zachować optymalną wilgotno</w:t>
      </w:r>
      <w:r w:rsidR="00AB3583">
        <w:rPr>
          <w:rFonts w:ascii="Times New Roman" w:hAnsi="Times New Roman" w:cs="Times New Roman"/>
        </w:rPr>
        <w:t xml:space="preserve">ść gruntu.    </w:t>
      </w:r>
    </w:p>
    <w:p w14:paraId="4A8C036E"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Przykanaliki</w:t>
      </w:r>
    </w:p>
    <w:p w14:paraId="786C660E" w14:textId="77777777" w:rsidR="00042BD7" w:rsidRPr="00A4013A" w:rsidRDefault="00042BD7" w:rsidP="00AB3583">
      <w:pPr>
        <w:spacing w:after="0"/>
        <w:jc w:val="both"/>
        <w:rPr>
          <w:rFonts w:ascii="Times New Roman" w:hAnsi="Times New Roman" w:cs="Times New Roman"/>
        </w:rPr>
      </w:pPr>
      <w:r w:rsidRPr="00A4013A">
        <w:rPr>
          <w:rFonts w:ascii="Times New Roman" w:hAnsi="Times New Roman" w:cs="Times New Roman"/>
        </w:rPr>
        <w:tab/>
        <w:t>Przy wykonywaniu przykanalików należy przestrzegać następujących zasad:</w:t>
      </w:r>
    </w:p>
    <w:p w14:paraId="719411C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trasa przykanalika powinna być prosta, bez załamań w planie i pionie, </w:t>
      </w:r>
    </w:p>
    <w:p w14:paraId="587B18AC"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minimalny przekrój przewodu przykanalika powinien wynosić 0,</w:t>
      </w:r>
      <w:r w:rsidR="00FB77D2">
        <w:rPr>
          <w:rFonts w:ascii="Times New Roman" w:hAnsi="Times New Roman" w:cs="Times New Roman"/>
        </w:rPr>
        <w:t>16</w:t>
      </w:r>
      <w:r w:rsidRPr="00A4013A">
        <w:rPr>
          <w:rFonts w:ascii="Times New Roman" w:hAnsi="Times New Roman" w:cs="Times New Roman"/>
        </w:rPr>
        <w:t xml:space="preserve"> m,</w:t>
      </w:r>
    </w:p>
    <w:p w14:paraId="056E516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długość przykanalika od studzienki ściekowej (wpustu ulicznego) do studzienki rewizyjnej połączeniowej nie powinna przekraczać </w:t>
      </w:r>
      <w:smartTag w:uri="urn:schemas-microsoft-com:office:smarttags" w:element="metricconverter">
        <w:smartTagPr>
          <w:attr w:name="ProductID" w:val="24 m"/>
        </w:smartTagPr>
        <w:r w:rsidRPr="00A4013A">
          <w:rPr>
            <w:rFonts w:ascii="Times New Roman" w:hAnsi="Times New Roman" w:cs="Times New Roman"/>
          </w:rPr>
          <w:t>24 m</w:t>
        </w:r>
      </w:smartTag>
      <w:r w:rsidRPr="00A4013A">
        <w:rPr>
          <w:rFonts w:ascii="Times New Roman" w:hAnsi="Times New Roman" w:cs="Times New Roman"/>
        </w:rPr>
        <w:t>,</w:t>
      </w:r>
    </w:p>
    <w:p w14:paraId="7436C5B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włączenie przykanalika do kanału może być wykonane za pośrednictwem studzienki rewizyjnej,</w:t>
      </w:r>
    </w:p>
    <w:p w14:paraId="744C1F19"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lastRenderedPageBreak/>
        <w:t>spadki przykanalików powinny wynosić od min. 20 ‰ (absolutne minimum 15‰), max. spadek zależy od wytycznych producenta rur</w:t>
      </w:r>
    </w:p>
    <w:p w14:paraId="2751FAA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kierunek trasy przykanalika powinien być zgodny z kierunkiem spadku kanału zbiorczego,</w:t>
      </w:r>
    </w:p>
    <w:p w14:paraId="0F09497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włączenie przykanalika do kanału powinno być wykonane zgodnie z dokumentacją projektową,</w:t>
      </w:r>
    </w:p>
    <w:p w14:paraId="7253EC36" w14:textId="77777777" w:rsidR="00042BD7" w:rsidRPr="00A4013A" w:rsidRDefault="00042BD7" w:rsidP="00AB3583">
      <w:pPr>
        <w:ind w:left="283"/>
        <w:jc w:val="both"/>
        <w:rPr>
          <w:rFonts w:ascii="Times New Roman" w:hAnsi="Times New Roman" w:cs="Times New Roman"/>
        </w:rPr>
      </w:pPr>
      <w:r w:rsidRPr="00A4013A">
        <w:rPr>
          <w:rFonts w:ascii="Times New Roman" w:hAnsi="Times New Roman" w:cs="Times New Roman"/>
        </w:rPr>
        <w:t>zachować kąty włączenia zgo</w:t>
      </w:r>
      <w:r w:rsidR="00AB3583">
        <w:rPr>
          <w:rFonts w:ascii="Times New Roman" w:hAnsi="Times New Roman" w:cs="Times New Roman"/>
        </w:rPr>
        <w:t>dnie z dokumentacją projektową;</w:t>
      </w:r>
    </w:p>
    <w:p w14:paraId="1899C43D"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Studzienki kanalizacyjne</w:t>
      </w:r>
    </w:p>
    <w:p w14:paraId="5E0A0BEF"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 xml:space="preserve">Średnica studni betonowych z kręgów prefabrykowanych wynosić powinna </w:t>
      </w:r>
      <w:r w:rsidRPr="00A4013A">
        <w:rPr>
          <w:rFonts w:ascii="Times New Roman" w:hAnsi="Times New Roman" w:cs="Times New Roman"/>
        </w:rPr>
        <w:sym w:font="Symbol" w:char="F066"/>
      </w:r>
      <w:r w:rsidRPr="00A4013A">
        <w:rPr>
          <w:rFonts w:ascii="Times New Roman" w:hAnsi="Times New Roman" w:cs="Times New Roman"/>
        </w:rPr>
        <w:t>1</w:t>
      </w:r>
      <w:r w:rsidR="006F47C3">
        <w:rPr>
          <w:rFonts w:ascii="Times New Roman" w:hAnsi="Times New Roman" w:cs="Times New Roman"/>
        </w:rPr>
        <w:t>0</w:t>
      </w:r>
      <w:r w:rsidRPr="00A4013A">
        <w:rPr>
          <w:rFonts w:ascii="Times New Roman" w:hAnsi="Times New Roman" w:cs="Times New Roman"/>
        </w:rPr>
        <w:t xml:space="preserve">00 mm, </w:t>
      </w:r>
      <w:r w:rsidRPr="00A4013A">
        <w:rPr>
          <w:rFonts w:ascii="Times New Roman" w:hAnsi="Times New Roman" w:cs="Times New Roman"/>
        </w:rPr>
        <w:sym w:font="Symbol" w:char="F066"/>
      </w:r>
      <w:r w:rsidRPr="00A4013A">
        <w:rPr>
          <w:rFonts w:ascii="Times New Roman" w:hAnsi="Times New Roman" w:cs="Times New Roman"/>
        </w:rPr>
        <w:t>1</w:t>
      </w:r>
      <w:r w:rsidR="006F47C3">
        <w:rPr>
          <w:rFonts w:ascii="Times New Roman" w:hAnsi="Times New Roman" w:cs="Times New Roman"/>
        </w:rPr>
        <w:t>2</w:t>
      </w:r>
      <w:r w:rsidRPr="00A4013A">
        <w:rPr>
          <w:rFonts w:ascii="Times New Roman" w:hAnsi="Times New Roman" w:cs="Times New Roman"/>
        </w:rPr>
        <w:t>00 mm. Przy wykonywaniu studzienek kanalizacyjnych należy przestrzegać następujących zasad:</w:t>
      </w:r>
    </w:p>
    <w:p w14:paraId="4278BD5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studzienki przelotowe powinny być lokalizowane na odcinkach prostych kanałów w odpowiednich odległościach (max. </w:t>
      </w:r>
      <w:smartTag w:uri="urn:schemas-microsoft-com:office:smarttags" w:element="metricconverter">
        <w:smartTagPr>
          <w:attr w:name="ProductID" w:val="50 m"/>
        </w:smartTagPr>
        <w:r w:rsidRPr="00A4013A">
          <w:rPr>
            <w:rFonts w:ascii="Times New Roman" w:hAnsi="Times New Roman" w:cs="Times New Roman"/>
          </w:rPr>
          <w:t>50 m</w:t>
        </w:r>
      </w:smartTag>
      <w:r w:rsidRPr="00A4013A">
        <w:rPr>
          <w:rFonts w:ascii="Times New Roman" w:hAnsi="Times New Roman" w:cs="Times New Roman"/>
        </w:rPr>
        <w:t xml:space="preserve"> przy średnicach kanału do </w:t>
      </w:r>
      <w:smartTag w:uri="urn:schemas-microsoft-com:office:smarttags" w:element="metricconverter">
        <w:smartTagPr>
          <w:attr w:name="ProductID" w:val="0,50 m"/>
        </w:smartTagPr>
        <w:r w:rsidRPr="00A4013A">
          <w:rPr>
            <w:rFonts w:ascii="Times New Roman" w:hAnsi="Times New Roman" w:cs="Times New Roman"/>
          </w:rPr>
          <w:t>0,50 m</w:t>
        </w:r>
      </w:smartTag>
      <w:r w:rsidRPr="00A4013A">
        <w:rPr>
          <w:rFonts w:ascii="Times New Roman" w:hAnsi="Times New Roman" w:cs="Times New Roman"/>
        </w:rPr>
        <w:t xml:space="preserve"> i </w:t>
      </w:r>
      <w:smartTag w:uri="urn:schemas-microsoft-com:office:smarttags" w:element="metricconverter">
        <w:smartTagPr>
          <w:attr w:name="ProductID" w:val="70 m"/>
        </w:smartTagPr>
        <w:r w:rsidRPr="00A4013A">
          <w:rPr>
            <w:rFonts w:ascii="Times New Roman" w:hAnsi="Times New Roman" w:cs="Times New Roman"/>
          </w:rPr>
          <w:t>70 m</w:t>
        </w:r>
      </w:smartTag>
      <w:r w:rsidRPr="00A4013A">
        <w:rPr>
          <w:rFonts w:ascii="Times New Roman" w:hAnsi="Times New Roman" w:cs="Times New Roman"/>
        </w:rPr>
        <w:t xml:space="preserve"> przy średnicach powyżej </w:t>
      </w:r>
      <w:smartTag w:uri="urn:schemas-microsoft-com:office:smarttags" w:element="metricconverter">
        <w:smartTagPr>
          <w:attr w:name="ProductID" w:val="0,50 m"/>
        </w:smartTagPr>
        <w:r w:rsidRPr="00A4013A">
          <w:rPr>
            <w:rFonts w:ascii="Times New Roman" w:hAnsi="Times New Roman" w:cs="Times New Roman"/>
          </w:rPr>
          <w:t>0,50 m</w:t>
        </w:r>
      </w:smartTag>
      <w:r w:rsidRPr="00A4013A">
        <w:rPr>
          <w:rFonts w:ascii="Times New Roman" w:hAnsi="Times New Roman" w:cs="Times New Roman"/>
        </w:rPr>
        <w:t>) lub na zmianie kierunku kanału,</w:t>
      </w:r>
    </w:p>
    <w:p w14:paraId="2D05AE6B"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studzienki połączeniowe powinny być lokalizowane na połączeniu jednego lub dwóch kanałów bocznych,</w:t>
      </w:r>
    </w:p>
    <w:p w14:paraId="4E010E9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studzienki wykonywać należy zasadniczo w wykopie szerokoprzestrzennym. Natomiast w trudnych warunkach gruntowych (przy występowaniu wody gruntowej, kurzawki itp.) w wykopie wzmocnionym,</w:t>
      </w:r>
    </w:p>
    <w:p w14:paraId="1999C14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 przypadku, gdy różnica rzędnych dna kanałów w studzience przekracza 0,50 m należy stosować studzienki spadowe-kaskadowe,</w:t>
      </w:r>
    </w:p>
    <w:p w14:paraId="3A977A89"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studzienki kaskadowe zlokalizowane na kanałach o średnicy do </w:t>
      </w:r>
      <w:smartTag w:uri="urn:schemas-microsoft-com:office:smarttags" w:element="metricconverter">
        <w:smartTagPr>
          <w:attr w:name="ProductID" w:val="0,40 m"/>
        </w:smartTagPr>
        <w:r w:rsidRPr="00A4013A">
          <w:rPr>
            <w:rFonts w:ascii="Times New Roman" w:hAnsi="Times New Roman" w:cs="Times New Roman"/>
          </w:rPr>
          <w:t>0,40 m</w:t>
        </w:r>
      </w:smartTag>
      <w:r w:rsidRPr="00A4013A">
        <w:rPr>
          <w:rFonts w:ascii="Times New Roman" w:hAnsi="Times New Roman" w:cs="Times New Roman"/>
        </w:rPr>
        <w:t xml:space="preserve"> włącznie powinny mieć spad w postaci rury pionowej usytuowanej na zewnątrz studzienki. Różnica poziomów przy tym rozwiązaniu nie powinna przekraczać </w:t>
      </w:r>
      <w:smartTag w:uri="urn:schemas-microsoft-com:office:smarttags" w:element="metricconverter">
        <w:smartTagPr>
          <w:attr w:name="ProductID" w:val="4,0 m"/>
        </w:smartTagPr>
        <w:r w:rsidRPr="00A4013A">
          <w:rPr>
            <w:rFonts w:ascii="Times New Roman" w:hAnsi="Times New Roman" w:cs="Times New Roman"/>
          </w:rPr>
          <w:t>4,0 m</w:t>
        </w:r>
      </w:smartTag>
      <w:r w:rsidRPr="00A4013A">
        <w:rPr>
          <w:rFonts w:ascii="Times New Roman" w:hAnsi="Times New Roman" w:cs="Times New Roman"/>
        </w:rPr>
        <w:t xml:space="preserve">. </w:t>
      </w:r>
    </w:p>
    <w:p w14:paraId="60449BC8" w14:textId="77777777" w:rsidR="00042BD7" w:rsidRDefault="00042BD7" w:rsidP="00AB3583">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każdą z kaskad obetonować betonem klasy C12/15 (grubość warstwy 1xDz rury).</w:t>
      </w:r>
    </w:p>
    <w:p w14:paraId="43192278" w14:textId="77777777" w:rsidR="00042BD7" w:rsidRPr="00A4013A" w:rsidRDefault="00042BD7" w:rsidP="00AB3583">
      <w:pPr>
        <w:spacing w:after="0"/>
        <w:jc w:val="both"/>
        <w:rPr>
          <w:rFonts w:ascii="Times New Roman" w:hAnsi="Times New Roman" w:cs="Times New Roman"/>
        </w:rPr>
      </w:pPr>
      <w:r w:rsidRPr="00A4013A">
        <w:rPr>
          <w:rFonts w:ascii="Times New Roman" w:hAnsi="Times New Roman" w:cs="Times New Roman"/>
        </w:rPr>
        <w:tab/>
        <w:t>Sposób wykonania studzienek (przelotowych, połączeniowych i kaskadowych) przedstawiony jest w Katalogu budownictwa oznaczonego symbolem KB-4.12.1 (7, 6, 8) [17], a ponadto w „Katalogu powtarzalnych elementów drogowych” [15].</w:t>
      </w:r>
    </w:p>
    <w:p w14:paraId="364C3521"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Kineta w dolnej części (do wysokości równej połowie średnicy kanału) powinna mieć przekrój zgodny z przekrojem kanału, a powyżej przedłużony pionowymi ściankami do poziomu maksymalnego napełnienia kanału. Przy zmianie kierunku trasy kanału kineta powinna mieć kształt łuku stycznego do kierunku kanału, natomiast w przypadku zmiany średnicy kanału powinna ona stanowić przejście z jednego wymiaru w drugi.</w:t>
      </w:r>
    </w:p>
    <w:p w14:paraId="249EFD2B"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Dno studzienki powinno mieć spadek, co najmniej 20 ‰ w kierunku kinety.</w:t>
      </w:r>
    </w:p>
    <w:p w14:paraId="02632DB8"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 xml:space="preserve">Studzienki powinny mieć właz klasy B-125 (zgodnie z dokumentacją rysunkową) wg PN-EN 124-1:2015-07[5]. </w:t>
      </w:r>
    </w:p>
    <w:p w14:paraId="31DDB02E"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 xml:space="preserve">Poziom włazu w powierzchni utwardzonej powinien być z nią równy, natomiast w trawnikach i zieleńcach górna krawędź włazu powinna znajdować się na wysokości min. </w:t>
      </w:r>
      <w:smartTag w:uri="urn:schemas-microsoft-com:office:smarttags" w:element="metricconverter">
        <w:smartTagPr>
          <w:attr w:name="ProductID" w:val="8 cm"/>
        </w:smartTagPr>
        <w:r w:rsidRPr="00A4013A">
          <w:rPr>
            <w:rFonts w:ascii="Times New Roman" w:hAnsi="Times New Roman" w:cs="Times New Roman"/>
          </w:rPr>
          <w:t>8 cm</w:t>
        </w:r>
      </w:smartTag>
      <w:r w:rsidRPr="00A4013A">
        <w:rPr>
          <w:rFonts w:ascii="Times New Roman" w:hAnsi="Times New Roman" w:cs="Times New Roman"/>
        </w:rPr>
        <w:t xml:space="preserve"> ponad poziomem  terenu.</w:t>
      </w:r>
      <w:r w:rsidR="006F47C3">
        <w:rPr>
          <w:rFonts w:ascii="Times New Roman" w:hAnsi="Times New Roman" w:cs="Times New Roman"/>
        </w:rPr>
        <w:t xml:space="preserve"> </w:t>
      </w:r>
      <w:r w:rsidRPr="00A4013A">
        <w:rPr>
          <w:rFonts w:ascii="Times New Roman" w:hAnsi="Times New Roman" w:cs="Times New Roman"/>
        </w:rPr>
        <w:t xml:space="preserve">W ścianie komory roboczej oraz komina włazowego należy zamontować mijankowo stopnie złazowe  dwóch rzędach, w odległościach pionowych </w:t>
      </w:r>
      <w:smartTag w:uri="urn:schemas-microsoft-com:office:smarttags" w:element="metricconverter">
        <w:smartTagPr>
          <w:attr w:name="ProductID" w:val="0,30 m"/>
        </w:smartTagPr>
        <w:r w:rsidRPr="00A4013A">
          <w:rPr>
            <w:rFonts w:ascii="Times New Roman" w:hAnsi="Times New Roman" w:cs="Times New Roman"/>
          </w:rPr>
          <w:t>0,30 m</w:t>
        </w:r>
      </w:smartTag>
      <w:r w:rsidRPr="00A4013A">
        <w:rPr>
          <w:rFonts w:ascii="Times New Roman" w:hAnsi="Times New Roman" w:cs="Times New Roman"/>
        </w:rPr>
        <w:t xml:space="preserve"> i w odle</w:t>
      </w:r>
      <w:r w:rsidR="006F47C3">
        <w:rPr>
          <w:rFonts w:ascii="Times New Roman" w:hAnsi="Times New Roman" w:cs="Times New Roman"/>
        </w:rPr>
        <w:t>głości poziomej osi stopni 0,30m.</w:t>
      </w:r>
    </w:p>
    <w:p w14:paraId="20BCA15E"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Studzienki wpustów deszczowych</w:t>
      </w:r>
    </w:p>
    <w:p w14:paraId="7F8756A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Studzienki wpustów deszczowych, przeznaczone do odprowadzania wód opadowych z jezdni dróg i placów, powinny być wyposażone w ruszt żeliwny (żeliwo szare), kosz osadczy (wiaderko do wpustu typu D) oraz część osadnikową.</w:t>
      </w:r>
      <w:r w:rsidRPr="00A4013A">
        <w:rPr>
          <w:rFonts w:ascii="Times New Roman" w:hAnsi="Times New Roman" w:cs="Times New Roman"/>
        </w:rPr>
        <w:tab/>
      </w:r>
    </w:p>
    <w:p w14:paraId="06145E20"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Podstawowe wymiary studzienek powinny wynosić:</w:t>
      </w:r>
    </w:p>
    <w:p w14:paraId="566BA51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głębokość osadnika min. 0,50 m lub 1 m</w:t>
      </w:r>
    </w:p>
    <w:p w14:paraId="7AA9A81D"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średnica studni wpustu ulicznego  </w:t>
      </w:r>
      <w:r w:rsidRPr="00A4013A">
        <w:rPr>
          <w:rFonts w:ascii="Times New Roman" w:hAnsi="Times New Roman" w:cs="Times New Roman"/>
        </w:rPr>
        <w:sym w:font="Symbol" w:char="F066"/>
      </w:r>
      <w:r w:rsidRPr="00A4013A">
        <w:rPr>
          <w:rFonts w:ascii="Times New Roman" w:hAnsi="Times New Roman" w:cs="Times New Roman"/>
        </w:rPr>
        <w:t>500 mm.</w:t>
      </w:r>
    </w:p>
    <w:p w14:paraId="59A36049" w14:textId="77777777" w:rsidR="00042BD7" w:rsidRPr="00A4013A" w:rsidRDefault="00042BD7" w:rsidP="006F47C3">
      <w:pPr>
        <w:spacing w:after="0"/>
        <w:ind w:firstLine="283"/>
        <w:jc w:val="both"/>
        <w:rPr>
          <w:rFonts w:ascii="Times New Roman" w:hAnsi="Times New Roman" w:cs="Times New Roman"/>
        </w:rPr>
      </w:pPr>
      <w:r w:rsidRPr="00A4013A">
        <w:rPr>
          <w:rFonts w:ascii="Times New Roman" w:hAnsi="Times New Roman" w:cs="Times New Roman"/>
        </w:rPr>
        <w:t>Ruszt wpustu krawężnikowo-jezdniowego oraz ulicznego powinny być w klasie obciążenia D400 PN-EN 124-1:2015-07[5].</w:t>
      </w:r>
    </w:p>
    <w:p w14:paraId="6BB1C52E" w14:textId="77777777" w:rsidR="00042BD7" w:rsidRPr="00A4013A" w:rsidRDefault="00042BD7" w:rsidP="006F47C3">
      <w:pPr>
        <w:spacing w:after="0"/>
        <w:jc w:val="both"/>
        <w:rPr>
          <w:rFonts w:ascii="Times New Roman" w:hAnsi="Times New Roman" w:cs="Times New Roman"/>
        </w:rPr>
      </w:pPr>
      <w:r w:rsidRPr="00A4013A">
        <w:rPr>
          <w:rFonts w:ascii="Times New Roman" w:hAnsi="Times New Roman" w:cs="Times New Roman"/>
        </w:rPr>
        <w:tab/>
        <w:t>Lokalizacja studzienek wynika z rozwiązania drogowego. Liczba wpustów ulicznych i ich rozmieszczenie uzależnione jest przede wszystkim od wielkości odwadnianej powierzchni jezdni i jej spadku podłużnego. Należy przyjmować, że na jeden wpust powinno przypadać 400 m</w:t>
      </w:r>
      <w:r w:rsidRPr="00A4013A">
        <w:rPr>
          <w:rFonts w:ascii="Times New Roman" w:hAnsi="Times New Roman" w:cs="Times New Roman"/>
          <w:vertAlign w:val="superscript"/>
        </w:rPr>
        <w:t>2</w:t>
      </w:r>
      <w:r w:rsidRPr="00A4013A">
        <w:rPr>
          <w:rFonts w:ascii="Times New Roman" w:hAnsi="Times New Roman" w:cs="Times New Roman"/>
        </w:rPr>
        <w:t xml:space="preserve"> nawierzchni szczelnej [18].</w:t>
      </w:r>
    </w:p>
    <w:p w14:paraId="1DE66ECC"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lastRenderedPageBreak/>
        <w:tab/>
        <w:t>Każdy wpust powinien być podłączony do kanału za pośrednictwem studz</w:t>
      </w:r>
      <w:r w:rsidR="006F47C3">
        <w:rPr>
          <w:rFonts w:ascii="Times New Roman" w:hAnsi="Times New Roman" w:cs="Times New Roman"/>
        </w:rPr>
        <w:t>ienki rewizyjnej połączeniowej.</w:t>
      </w:r>
    </w:p>
    <w:p w14:paraId="2C354FF8" w14:textId="77777777" w:rsidR="006F47C3" w:rsidRPr="006F47C3"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Montaż przepompowni wód deszczowych</w:t>
      </w:r>
      <w:r w:rsidR="006F47C3" w:rsidRPr="006F47C3">
        <w:rPr>
          <w:rFonts w:ascii="Times New Roman" w:hAnsi="Times New Roman" w:cs="Times New Roman"/>
        </w:rPr>
        <w:tab/>
      </w:r>
      <w:r w:rsidR="006F47C3" w:rsidRPr="006F47C3">
        <w:rPr>
          <w:rFonts w:ascii="Times New Roman" w:hAnsi="Times New Roman" w:cs="Times New Roman"/>
        </w:rPr>
        <w:tab/>
      </w:r>
    </w:p>
    <w:p w14:paraId="144997FE" w14:textId="77777777" w:rsidR="00042BD7" w:rsidRPr="00A4013A" w:rsidRDefault="00042BD7" w:rsidP="006F47C3">
      <w:pPr>
        <w:spacing w:after="0"/>
        <w:ind w:firstLine="708"/>
        <w:jc w:val="both"/>
        <w:rPr>
          <w:rFonts w:ascii="Times New Roman" w:eastAsiaTheme="minorEastAsia" w:hAnsi="Times New Roman" w:cs="Times New Roman"/>
        </w:rPr>
      </w:pPr>
      <w:r w:rsidRPr="00A4013A">
        <w:rPr>
          <w:rFonts w:ascii="Times New Roman" w:hAnsi="Times New Roman" w:cs="Times New Roman"/>
        </w:rPr>
        <w:t>Pod przepompownią należy wykonać fundament żelbetowy o wym. 4x4x0,5m z betonu C30/37. Płytę fundamentową posadowić należy za pośrednictwem betonu podkładowego C12/15 gr. 10 cm. Komorę pompowni z betonu należy utwierdzić do fundamentu za pomocą kątowników i kotew, stosować się do wytycznych producenta.</w:t>
      </w:r>
      <w:r w:rsidRPr="00A4013A">
        <w:rPr>
          <w:rFonts w:ascii="Times New Roman" w:eastAsiaTheme="minorEastAsia" w:hAnsi="Times New Roman" w:cs="Times New Roman"/>
        </w:rPr>
        <w:t xml:space="preserve"> </w:t>
      </w:r>
    </w:p>
    <w:p w14:paraId="665895E8" w14:textId="77777777" w:rsidR="00042BD7" w:rsidRPr="00A4013A" w:rsidRDefault="00042BD7" w:rsidP="006F47C3">
      <w:pPr>
        <w:spacing w:after="0"/>
        <w:ind w:firstLine="708"/>
        <w:jc w:val="both"/>
        <w:rPr>
          <w:rFonts w:ascii="Times New Roman" w:hAnsi="Times New Roman" w:cs="Times New Roman"/>
        </w:rPr>
      </w:pPr>
      <w:r w:rsidRPr="00A4013A">
        <w:rPr>
          <w:rFonts w:ascii="Times New Roman" w:hAnsi="Times New Roman" w:cs="Times New Roman"/>
        </w:rPr>
        <w:t xml:space="preserve">Ze względu na wysoki poziom wody gruntowej posadowienie w wykopie otwartym </w:t>
      </w:r>
      <w:r w:rsidRPr="00A4013A">
        <w:rPr>
          <w:rFonts w:ascii="Times New Roman" w:hAnsi="Times New Roman" w:cs="Times New Roman"/>
        </w:rPr>
        <w:br/>
        <w:t>należy wykonywać przy obniżonym zwierciadle wody gruntowej do ok. 0,5m poniżej poziomu dna wykopu. Odwodnienie wykopu w zależności od wielkości napływu winno być wykonywane pompami zanurzeniowymi lub przeponowymi z zagłębienia na dnie wykopu. Praca pomp powinna odbywać się aż do momentu wykonania obsypki ponad poziom zwierciadła wód gruntowych oraz winna być potwierdzana na bieżąco przez nadzór inwestorski. Zabezpieczenie ścian wykopu powinno zostać wykonane poprzez zabicie grodzic stalowych.</w:t>
      </w:r>
    </w:p>
    <w:p w14:paraId="6F7BCCAE" w14:textId="77777777" w:rsidR="00042BD7" w:rsidRPr="00A4013A" w:rsidRDefault="00042BD7" w:rsidP="006F47C3">
      <w:pPr>
        <w:autoSpaceDE w:val="0"/>
        <w:autoSpaceDN w:val="0"/>
        <w:spacing w:after="0"/>
        <w:ind w:firstLine="708"/>
        <w:jc w:val="both"/>
        <w:rPr>
          <w:rFonts w:ascii="Times New Roman" w:hAnsi="Times New Roman" w:cs="Times New Roman"/>
        </w:rPr>
      </w:pPr>
      <w:r w:rsidRPr="00A4013A">
        <w:rPr>
          <w:rFonts w:ascii="Times New Roman" w:hAnsi="Times New Roman" w:cs="Times New Roman"/>
        </w:rPr>
        <w:t>Po związaniu betonu płyty fundamentowej ustawić prefabrykat przepompowni, dokonując</w:t>
      </w:r>
      <w:r w:rsidRPr="00A4013A">
        <w:rPr>
          <w:rFonts w:ascii="Times New Roman" w:hAnsi="Times New Roman" w:cs="Times New Roman"/>
        </w:rPr>
        <w:br/>
        <w:t>podłączeń do przewodów zewnętrznych. Roboty związane z wbudowaniem elementów żelbetowych wykonane będą mechanicznie. Należy zwrócić szczególną uwagę na dokładne dosunięci</w:t>
      </w:r>
      <w:r w:rsidR="006F47C3">
        <w:rPr>
          <w:rFonts w:ascii="Times New Roman" w:hAnsi="Times New Roman" w:cs="Times New Roman"/>
        </w:rPr>
        <w:t xml:space="preserve">e elementów prefabrykowanych do </w:t>
      </w:r>
      <w:r w:rsidRPr="00A4013A">
        <w:rPr>
          <w:rFonts w:ascii="Times New Roman" w:hAnsi="Times New Roman" w:cs="Times New Roman"/>
        </w:rPr>
        <w:t>siebie oraz przestrzeganie zaprojektowanych rzędnych posadowienia. Prefabrykaty powinny posiadać atest producenta. Badania prefabrykatów na etapie akceptacji materiału do robót wykonuje laboratorium wskazane przez Zamawiającego.</w:t>
      </w:r>
    </w:p>
    <w:p w14:paraId="7B682286" w14:textId="77777777" w:rsidR="00042BD7" w:rsidRPr="00A4013A" w:rsidRDefault="00042BD7" w:rsidP="00042BD7">
      <w:pPr>
        <w:ind w:firstLine="708"/>
        <w:jc w:val="both"/>
        <w:rPr>
          <w:rFonts w:ascii="Times New Roman" w:hAnsi="Times New Roman" w:cs="Times New Roman"/>
        </w:rPr>
      </w:pPr>
      <w:r w:rsidRPr="00A4013A">
        <w:rPr>
          <w:rFonts w:ascii="Times New Roman" w:hAnsi="Times New Roman" w:cs="Times New Roman"/>
        </w:rPr>
        <w:t xml:space="preserve"> Do obsypki zbiornika przepompowni należy stosować piaski pozbawione dużych kamieni. Alternatywnie można stosować grunty rodzime nadające się do zagęszczenia. Obsypka powinna być układana równomiernie dookoła zbiornika warstwami o grubości od 25 do 30cm z zagęszczeniem do stopnia ID=0,93÷0,94. W ramach projektu branży drogowej został wykonany zjazd z drogi głównej do projektowanej przepompowni. Projektuje się przepompownię nie najazdową. Wokół przepompowni należy wykonać utwardzoną nawierzchnię z kostki zgodnie z branżą drogową. Ogrodzenie przepompowni wykonać zgodnie ze Specyfikacją Techniczną. W ogrodzeniu należy wykonać furtkę.</w:t>
      </w:r>
    </w:p>
    <w:p w14:paraId="65015D7F" w14:textId="77777777" w:rsidR="00042BD7" w:rsidRPr="00A4013A" w:rsidRDefault="00042BD7" w:rsidP="00042BD7">
      <w:pPr>
        <w:jc w:val="both"/>
        <w:rPr>
          <w:rFonts w:ascii="Times New Roman" w:hAnsi="Times New Roman" w:cs="Times New Roman"/>
        </w:rPr>
      </w:pPr>
    </w:p>
    <w:p w14:paraId="006CC3DB"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Zasypanie wykopów i ich zagęszczenie</w:t>
      </w:r>
    </w:p>
    <w:p w14:paraId="67A25F8E" w14:textId="77777777" w:rsidR="00042BD7" w:rsidRPr="00A4013A" w:rsidRDefault="00042BD7" w:rsidP="00042BD7">
      <w:pPr>
        <w:spacing w:before="40" w:after="40"/>
        <w:ind w:firstLine="708"/>
        <w:jc w:val="both"/>
        <w:rPr>
          <w:rFonts w:ascii="Times New Roman" w:hAnsi="Times New Roman" w:cs="Times New Roman"/>
        </w:rPr>
      </w:pPr>
      <w:r w:rsidRPr="00A4013A">
        <w:rPr>
          <w:rFonts w:ascii="Times New Roman" w:hAnsi="Times New Roman" w:cs="Times New Roman"/>
        </w:rPr>
        <w:t>Użyty materiał i sposób zasypywania wykopów nie powinny spowodować uszkodzenia ułożonego kanału i zabudowanych na nim elementów.</w:t>
      </w:r>
    </w:p>
    <w:p w14:paraId="5B38B0DD" w14:textId="77777777" w:rsidR="00042BD7" w:rsidRPr="00A4013A" w:rsidRDefault="00042BD7" w:rsidP="00042BD7">
      <w:pPr>
        <w:spacing w:before="40" w:after="40"/>
        <w:ind w:firstLine="708"/>
        <w:jc w:val="both"/>
        <w:rPr>
          <w:rFonts w:ascii="Times New Roman" w:hAnsi="Times New Roman" w:cs="Times New Roman"/>
        </w:rPr>
      </w:pPr>
      <w:r w:rsidRPr="00A4013A">
        <w:rPr>
          <w:rFonts w:ascii="Times New Roman" w:hAnsi="Times New Roman" w:cs="Times New Roman"/>
        </w:rPr>
        <w:t xml:space="preserve">Wykopy ponad warstwę obsypki, do wyskości spodu konstrukcji nawierzchni drogowej, należy zasypywać gruntem rodzimym o właściwościach niespoistych lub dowiezionym materiałem sypkim, warstwami o grubości 20 – 30 cm. Warstwy te należy zagęszczać ręcznie lub mechanicznie, o ile nie spowoduje to uszkodzenia przewodu. </w:t>
      </w:r>
    </w:p>
    <w:p w14:paraId="28E5F144"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Wykop należy zasypać warstwami 0,15 m z ręcznym zagęszczeniem przez ubijanie zasypki po obu stronach wykopu. Przy zagęszczaniu w strefie ochronnej rury tzn. po bokach i nad rurą, po 20 cm należy stosować również ubijaki ręczne. Grubość warstwy zagęszczonej nie powinna być większa niż  0,3 m przy zagęszczaniu warstwy gruntu, używając sprzętu mechanicznego lżejszego jak wibratory i ubijaki mechaniczne do 200 kG. Szczególną uwagę należy zwrócić na zagęszczanie gruntu przy studzienkach kanalizacyjnych w promieniu 2,0 m.</w:t>
      </w:r>
    </w:p>
    <w:p w14:paraId="18659586" w14:textId="77777777" w:rsidR="00042BD7" w:rsidRPr="00A4013A" w:rsidRDefault="00042BD7" w:rsidP="00042BD7">
      <w:pPr>
        <w:spacing w:before="40" w:after="40"/>
        <w:jc w:val="both"/>
        <w:rPr>
          <w:rFonts w:ascii="Times New Roman" w:hAnsi="Times New Roman" w:cs="Times New Roman"/>
        </w:rPr>
      </w:pPr>
      <w:r w:rsidRPr="00A4013A">
        <w:rPr>
          <w:rFonts w:ascii="Times New Roman" w:hAnsi="Times New Roman" w:cs="Times New Roman"/>
        </w:rPr>
        <w:t>Wskaźnik zagęszczenia materiału użytego do zasypywania wykopu powinien wynosić odpowiednio:</w:t>
      </w:r>
    </w:p>
    <w:p w14:paraId="0C25E4A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Warstwy do głębokości 1,2 m od niwelety drogi  Is = 1,0</w:t>
      </w:r>
    </w:p>
    <w:p w14:paraId="24C1FCF7"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Warstwy do głębokości poniżej 1,2 m od niwelety drogi  Is = 0,97</w:t>
      </w:r>
    </w:p>
    <w:p w14:paraId="411253D7" w14:textId="77777777" w:rsidR="00042BD7"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Warstwy zasypowe na całej głębokości na terenach zielonych Is = 0,95.</w:t>
      </w:r>
    </w:p>
    <w:p w14:paraId="77273D36" w14:textId="77777777" w:rsidR="006F47C3" w:rsidRPr="00A4013A" w:rsidRDefault="006F47C3" w:rsidP="006F47C3">
      <w:pPr>
        <w:overflowPunct w:val="0"/>
        <w:autoSpaceDE w:val="0"/>
        <w:autoSpaceDN w:val="0"/>
        <w:adjustRightInd w:val="0"/>
        <w:spacing w:after="0" w:line="240" w:lineRule="auto"/>
        <w:ind w:left="283"/>
        <w:jc w:val="both"/>
        <w:rPr>
          <w:rFonts w:ascii="Times New Roman" w:hAnsi="Times New Roman" w:cs="Times New Roman"/>
        </w:rPr>
      </w:pPr>
    </w:p>
    <w:p w14:paraId="37644637"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bookmarkStart w:id="284" w:name="_Toc957681"/>
      <w:bookmarkStart w:id="285" w:name="_Toc25236408"/>
      <w:r w:rsidRPr="00A4013A">
        <w:rPr>
          <w:rFonts w:ascii="Times New Roman" w:hAnsi="Times New Roman" w:cs="Times New Roman"/>
          <w:b/>
        </w:rPr>
        <w:lastRenderedPageBreak/>
        <w:t>D</w:t>
      </w:r>
      <w:bookmarkEnd w:id="284"/>
      <w:bookmarkEnd w:id="285"/>
      <w:r w:rsidRPr="00A4013A">
        <w:rPr>
          <w:rFonts w:ascii="Times New Roman" w:hAnsi="Times New Roman" w:cs="Times New Roman"/>
          <w:b/>
        </w:rPr>
        <w:t>emontaże</w:t>
      </w:r>
    </w:p>
    <w:p w14:paraId="1CE680BA" w14:textId="77777777" w:rsidR="00042BD7" w:rsidRPr="00A4013A" w:rsidRDefault="00042BD7" w:rsidP="00042BD7">
      <w:pPr>
        <w:autoSpaceDE w:val="0"/>
        <w:autoSpaceDN w:val="0"/>
        <w:ind w:firstLine="708"/>
        <w:jc w:val="both"/>
        <w:rPr>
          <w:rFonts w:ascii="Times New Roman" w:hAnsi="Times New Roman" w:cs="Times New Roman"/>
        </w:rPr>
      </w:pPr>
      <w:r w:rsidRPr="00A4013A">
        <w:rPr>
          <w:rFonts w:ascii="Times New Roman" w:hAnsi="Times New Roman" w:cs="Times New Roman"/>
        </w:rPr>
        <w:t xml:space="preserve">W granicy opracowania projektowane jest tylko nowe odwodnienie, więc nie stwierdzono podczas wizji w terenie obecności istniejących wpustów deszczowych, które należałoby przebudować. </w:t>
      </w:r>
    </w:p>
    <w:p w14:paraId="51E523C1" w14:textId="77777777" w:rsidR="00042BD7" w:rsidRPr="00FA7059"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KONTROLA JAKOŚCI ROBÓT</w:t>
      </w:r>
    </w:p>
    <w:p w14:paraId="5E998831"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zasady kontroli, jakości robót</w:t>
      </w:r>
    </w:p>
    <w:p w14:paraId="430A9AEA"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Ogólne zasady kontroli jakości robót podano </w:t>
      </w:r>
      <w:r w:rsidRPr="00A4013A">
        <w:rPr>
          <w:rFonts w:ascii="Times New Roman" w:hAnsi="Times New Roman" w:cs="Times New Roman"/>
          <w:color w:val="000000" w:themeColor="text1"/>
        </w:rPr>
        <w:t>w  niemniejszej SST</w:t>
      </w:r>
      <w:r w:rsidRPr="00A4013A">
        <w:rPr>
          <w:rFonts w:ascii="Times New Roman" w:hAnsi="Times New Roman" w:cs="Times New Roman"/>
        </w:rPr>
        <w:t>.</w:t>
      </w:r>
    </w:p>
    <w:p w14:paraId="08E5D80E"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Kontrola, pomiary i badania</w:t>
      </w:r>
    </w:p>
    <w:p w14:paraId="749E4AC7"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Badania przed przystąpieniem do robót</w:t>
      </w:r>
    </w:p>
    <w:p w14:paraId="77A7AF3F"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Przed przystąpieniem do robót Wykonawca powinien:</w:t>
      </w:r>
    </w:p>
    <w:p w14:paraId="76FB06EF" w14:textId="77777777" w:rsidR="00042BD7" w:rsidRPr="00A4013A" w:rsidRDefault="00042BD7" w:rsidP="00042BD7">
      <w:pPr>
        <w:numPr>
          <w:ilvl w:val="0"/>
          <w:numId w:val="23"/>
        </w:numPr>
        <w:tabs>
          <w:tab w:val="num" w:pos="567"/>
        </w:tabs>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wykonać badania materiałów do betonu i zapraw i ustalić receptę,</w:t>
      </w:r>
    </w:p>
    <w:p w14:paraId="1745F331" w14:textId="77777777" w:rsidR="00042BD7" w:rsidRPr="00A4013A" w:rsidRDefault="00042BD7" w:rsidP="00042BD7">
      <w:pPr>
        <w:numPr>
          <w:ilvl w:val="0"/>
          <w:numId w:val="23"/>
        </w:numPr>
        <w:tabs>
          <w:tab w:val="num" w:pos="567"/>
        </w:tabs>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uzyskać wymagane dokumenty, dopuszczające wyroby budowlane do obrotu [14] (aprobaty techniczne, certyfikaty zgodności, deklaracje zgodności, badania materiałów wykonane przez dostawców itp.),</w:t>
      </w:r>
    </w:p>
    <w:p w14:paraId="718F55B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Wszystkie dokumenty oraz wyniki badań Wykonawca przedstawia Inżynierowi do akceptacji.</w:t>
      </w:r>
    </w:p>
    <w:p w14:paraId="22D87985"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Kontrola, pomiary i badania w czasie robót</w:t>
      </w:r>
    </w:p>
    <w:p w14:paraId="65BA9897"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Wykonawca jest zobowiązany do stałej i systematycznej kontroli prowadzonych robót w zakresie i z częstotliwością określoną w niniejszej ST i zaakceptowaną przez Inżyniera.</w:t>
      </w:r>
    </w:p>
    <w:p w14:paraId="427CB850"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W szczególności kontrola powinna obejmować:</w:t>
      </w:r>
    </w:p>
    <w:p w14:paraId="45B7BEA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sprawdzenie rzędnych założonych ław celowniczych w nawiązaniu do podanych stałych punktów wysokościowych z dokładnością do </w:t>
      </w:r>
      <w:smartTag w:uri="urn:schemas-microsoft-com:office:smarttags" w:element="metricconverter">
        <w:smartTagPr>
          <w:attr w:name="ProductID" w:val="1 cm"/>
        </w:smartTagPr>
        <w:r w:rsidRPr="00A4013A">
          <w:rPr>
            <w:rFonts w:ascii="Times New Roman" w:hAnsi="Times New Roman" w:cs="Times New Roman"/>
          </w:rPr>
          <w:t>1 cm</w:t>
        </w:r>
      </w:smartTag>
      <w:r w:rsidRPr="00A4013A">
        <w:rPr>
          <w:rFonts w:ascii="Times New Roman" w:hAnsi="Times New Roman" w:cs="Times New Roman"/>
        </w:rPr>
        <w:t>,</w:t>
      </w:r>
    </w:p>
    <w:p w14:paraId="35194A6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zabezpieczenia wykopów przed zalaniem wodą,</w:t>
      </w:r>
    </w:p>
    <w:p w14:paraId="26494849"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i pomiary szerokości, grubości i zagęszczenia wykonanej warstwy podłoża z kruszywa mineralnego lub betonu,</w:t>
      </w:r>
    </w:p>
    <w:p w14:paraId="6466E8B1"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odchylenia osi kolektora,</w:t>
      </w:r>
    </w:p>
    <w:p w14:paraId="5AF9B5C7"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zgodności z dokumentacją projektową założenia przewodów i studzienek,</w:t>
      </w:r>
    </w:p>
    <w:p w14:paraId="38BF6737"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odchylenia spadku kolektora deszczowego,</w:t>
      </w:r>
    </w:p>
    <w:p w14:paraId="21E76D3E"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prawidłowości ułożenia przewodów,</w:t>
      </w:r>
    </w:p>
    <w:p w14:paraId="4656A93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prawidłowości uszczelniania przewodów,</w:t>
      </w:r>
    </w:p>
    <w:p w14:paraId="05A62D4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wskaźników zagęszczenia poszczególnych warstw zasypu,</w:t>
      </w:r>
    </w:p>
    <w:p w14:paraId="53229F4E"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rzędnych posadowienia studzienek ściekowych (kratek) i pokryw włazowych,</w:t>
      </w:r>
    </w:p>
    <w:p w14:paraId="72464FD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zabezpieczenia przed korozją,</w:t>
      </w:r>
    </w:p>
    <w:p w14:paraId="0E73045E"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położenie studni w stosunku do otaczającej nawierzchni,</w:t>
      </w:r>
    </w:p>
    <w:p w14:paraId="6D7B426B"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próby szczelności kanałów, studni, </w:t>
      </w:r>
    </w:p>
    <w:p w14:paraId="2CAFEC8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montaż przepompowni: rzędna posadowienia, odchylenie pionu, łączenie elementów</w:t>
      </w:r>
      <w:r w:rsidRPr="00A4013A">
        <w:rPr>
          <w:rFonts w:ascii="Times New Roman" w:hAnsi="Times New Roman" w:cs="Times New Roman"/>
        </w:rPr>
        <w:br/>
        <w:t>betonowych, prawidłowość położenia budowli w planie,</w:t>
      </w:r>
    </w:p>
    <w:p w14:paraId="741188A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prawidłowość cech geometrycznych wykonanych konstrukcji,</w:t>
      </w:r>
    </w:p>
    <w:p w14:paraId="5FB43C71"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obsypka przepompowni – zgodność z projektem w zakresie wymiarów, rodzaju materiału</w:t>
      </w:r>
      <w:r w:rsidRPr="00A4013A">
        <w:rPr>
          <w:rFonts w:ascii="Times New Roman" w:hAnsi="Times New Roman" w:cs="Times New Roman"/>
        </w:rPr>
        <w:br/>
        <w:t>oraz wskaźnika zagęszczania,</w:t>
      </w:r>
    </w:p>
    <w:p w14:paraId="207FA9DF" w14:textId="77777777" w:rsidR="00042BD7" w:rsidRPr="0074058A" w:rsidRDefault="00042BD7" w:rsidP="0074058A">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szczelność przepompowni.</w:t>
      </w:r>
    </w:p>
    <w:p w14:paraId="5CA49C4A" w14:textId="77777777" w:rsidR="00042BD7" w:rsidRPr="00A4013A" w:rsidRDefault="00042BD7" w:rsidP="0074058A">
      <w:pPr>
        <w:overflowPunct w:val="0"/>
        <w:autoSpaceDE w:val="0"/>
        <w:autoSpaceDN w:val="0"/>
        <w:adjustRightInd w:val="0"/>
        <w:ind w:firstLine="283"/>
        <w:jc w:val="both"/>
        <w:rPr>
          <w:rFonts w:ascii="Times New Roman" w:hAnsi="Times New Roman" w:cs="Times New Roman"/>
        </w:rPr>
      </w:pPr>
      <w:r w:rsidRPr="00A4013A">
        <w:rPr>
          <w:rFonts w:ascii="Times New Roman" w:hAnsi="Times New Roman" w:cs="Times New Roman"/>
        </w:rPr>
        <w:t>Wyniki prób szczelności powinny być ujęte w protokołach podpisanych przez Wykonawcę</w:t>
      </w:r>
      <w:r w:rsidRPr="00A4013A">
        <w:rPr>
          <w:rFonts w:ascii="Times New Roman" w:hAnsi="Times New Roman" w:cs="Times New Roman"/>
        </w:rPr>
        <w:br/>
        <w:t>oraz Zamawiającego. Wykresy i protokoły z przeprowadzonych prób szczelności stanowią c</w:t>
      </w:r>
      <w:r w:rsidR="0074058A">
        <w:rPr>
          <w:rFonts w:ascii="Times New Roman" w:hAnsi="Times New Roman" w:cs="Times New Roman"/>
        </w:rPr>
        <w:t>zęść dokumentacji</w:t>
      </w:r>
      <w:r w:rsidR="0074058A">
        <w:rPr>
          <w:rFonts w:ascii="Times New Roman" w:hAnsi="Times New Roman" w:cs="Times New Roman"/>
        </w:rPr>
        <w:br/>
        <w:t>powykonawczej</w:t>
      </w:r>
    </w:p>
    <w:p w14:paraId="320C9947" w14:textId="77777777" w:rsidR="00042BD7" w:rsidRPr="00A4013A" w:rsidRDefault="00042BD7" w:rsidP="00904E6C">
      <w:pPr>
        <w:numPr>
          <w:ilvl w:val="2"/>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A4013A">
        <w:rPr>
          <w:rFonts w:ascii="Times New Roman" w:hAnsi="Times New Roman" w:cs="Times New Roman"/>
        </w:rPr>
        <w:t>Dopuszczalne tolerancje i wymagania</w:t>
      </w:r>
    </w:p>
    <w:p w14:paraId="2860FCD4"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odchylenie odległości krawędzi wykopu w dnie od ustalonej w planie osi wykopu nie powinno wynosić więcej niż </w:t>
      </w:r>
      <w:r w:rsidRPr="00A4013A">
        <w:rPr>
          <w:rFonts w:ascii="Times New Roman" w:hAnsi="Times New Roman" w:cs="Times New Roman"/>
        </w:rPr>
        <w:sym w:font="Symbol" w:char="F0B1"/>
      </w:r>
      <w:r w:rsidRPr="00A4013A">
        <w:rPr>
          <w:rFonts w:ascii="Times New Roman" w:hAnsi="Times New Roman" w:cs="Times New Roman"/>
        </w:rPr>
        <w:t xml:space="preserve"> </w:t>
      </w:r>
      <w:smartTag w:uri="urn:schemas-microsoft-com:office:smarttags" w:element="metricconverter">
        <w:smartTagPr>
          <w:attr w:name="ProductID" w:val="5 cm"/>
        </w:smartTagPr>
        <w:r w:rsidRPr="00A4013A">
          <w:rPr>
            <w:rFonts w:ascii="Times New Roman" w:hAnsi="Times New Roman" w:cs="Times New Roman"/>
          </w:rPr>
          <w:t>5 cm</w:t>
        </w:r>
      </w:smartTag>
      <w:r w:rsidRPr="00A4013A">
        <w:rPr>
          <w:rFonts w:ascii="Times New Roman" w:hAnsi="Times New Roman" w:cs="Times New Roman"/>
        </w:rPr>
        <w:t>,</w:t>
      </w:r>
    </w:p>
    <w:p w14:paraId="2BD02829"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odchylenie wymiarów w planie nie powinno być większe niż </w:t>
      </w:r>
      <w:smartTag w:uri="urn:schemas-microsoft-com:office:smarttags" w:element="metricconverter">
        <w:smartTagPr>
          <w:attr w:name="ProductID" w:val="0,1 m"/>
        </w:smartTagPr>
        <w:r w:rsidRPr="00A4013A">
          <w:rPr>
            <w:rFonts w:ascii="Times New Roman" w:hAnsi="Times New Roman" w:cs="Times New Roman"/>
          </w:rPr>
          <w:t>0,1 m</w:t>
        </w:r>
      </w:smartTag>
      <w:r w:rsidRPr="00A4013A">
        <w:rPr>
          <w:rFonts w:ascii="Times New Roman" w:hAnsi="Times New Roman" w:cs="Times New Roman"/>
        </w:rPr>
        <w:t>,</w:t>
      </w:r>
    </w:p>
    <w:p w14:paraId="6BA169E2"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odchylenie grubości warstwy podłoża nie powinno przekraczać </w:t>
      </w:r>
      <w:r w:rsidRPr="00A4013A">
        <w:rPr>
          <w:rFonts w:ascii="Times New Roman" w:hAnsi="Times New Roman" w:cs="Times New Roman"/>
        </w:rPr>
        <w:sym w:font="Symbol" w:char="F0B1"/>
      </w:r>
      <w:r w:rsidRPr="00A4013A">
        <w:rPr>
          <w:rFonts w:ascii="Times New Roman" w:hAnsi="Times New Roman" w:cs="Times New Roman"/>
        </w:rPr>
        <w:t xml:space="preserve"> </w:t>
      </w:r>
      <w:smartTag w:uri="urn:schemas-microsoft-com:office:smarttags" w:element="metricconverter">
        <w:smartTagPr>
          <w:attr w:name="ProductID" w:val="3 cm"/>
        </w:smartTagPr>
        <w:r w:rsidRPr="00A4013A">
          <w:rPr>
            <w:rFonts w:ascii="Times New Roman" w:hAnsi="Times New Roman" w:cs="Times New Roman"/>
          </w:rPr>
          <w:t>3 cm</w:t>
        </w:r>
      </w:smartTag>
      <w:r w:rsidRPr="00A4013A">
        <w:rPr>
          <w:rFonts w:ascii="Times New Roman" w:hAnsi="Times New Roman" w:cs="Times New Roman"/>
        </w:rPr>
        <w:t>,</w:t>
      </w:r>
    </w:p>
    <w:p w14:paraId="2A67FDC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lastRenderedPageBreak/>
        <w:t xml:space="preserve">odchylenie szerokości warstwy podłoża nie powinno przekraczać </w:t>
      </w:r>
      <w:r w:rsidRPr="00A4013A">
        <w:rPr>
          <w:rFonts w:ascii="Times New Roman" w:hAnsi="Times New Roman" w:cs="Times New Roman"/>
        </w:rPr>
        <w:sym w:font="Symbol" w:char="F0B1"/>
      </w:r>
      <w:r w:rsidRPr="00A4013A">
        <w:rPr>
          <w:rFonts w:ascii="Times New Roman" w:hAnsi="Times New Roman" w:cs="Times New Roman"/>
        </w:rPr>
        <w:t xml:space="preserve"> </w:t>
      </w:r>
      <w:smartTag w:uri="urn:schemas-microsoft-com:office:smarttags" w:element="metricconverter">
        <w:smartTagPr>
          <w:attr w:name="ProductID" w:val="5 cm"/>
        </w:smartTagPr>
        <w:r w:rsidRPr="00A4013A">
          <w:rPr>
            <w:rFonts w:ascii="Times New Roman" w:hAnsi="Times New Roman" w:cs="Times New Roman"/>
          </w:rPr>
          <w:t>5 cm</w:t>
        </w:r>
      </w:smartTag>
      <w:r w:rsidRPr="00A4013A">
        <w:rPr>
          <w:rFonts w:ascii="Times New Roman" w:hAnsi="Times New Roman" w:cs="Times New Roman"/>
        </w:rPr>
        <w:t>,</w:t>
      </w:r>
    </w:p>
    <w:p w14:paraId="727EE2A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odchylenie kolektora rurowego w planie, odchylenie odległości osi ułożonego kolektora od osi przewodu ustalonej na ławach celowniczych nie powinna przekraczać </w:t>
      </w:r>
      <w:r w:rsidRPr="00A4013A">
        <w:rPr>
          <w:rFonts w:ascii="Times New Roman" w:hAnsi="Times New Roman" w:cs="Times New Roman"/>
        </w:rPr>
        <w:sym w:font="Symbol" w:char="F0B1"/>
      </w:r>
      <w:r w:rsidRPr="00A4013A">
        <w:rPr>
          <w:rFonts w:ascii="Times New Roman" w:hAnsi="Times New Roman" w:cs="Times New Roman"/>
        </w:rPr>
        <w:t xml:space="preserve"> </w:t>
      </w:r>
      <w:smartTag w:uri="urn:schemas-microsoft-com:office:smarttags" w:element="metricconverter">
        <w:smartTagPr>
          <w:attr w:name="ProductID" w:val="5 mm"/>
        </w:smartTagPr>
        <w:r w:rsidRPr="00A4013A">
          <w:rPr>
            <w:rFonts w:ascii="Times New Roman" w:hAnsi="Times New Roman" w:cs="Times New Roman"/>
          </w:rPr>
          <w:t>5 mm</w:t>
        </w:r>
      </w:smartTag>
      <w:r w:rsidRPr="00A4013A">
        <w:rPr>
          <w:rFonts w:ascii="Times New Roman" w:hAnsi="Times New Roman" w:cs="Times New Roman"/>
        </w:rPr>
        <w:t>,</w:t>
      </w:r>
    </w:p>
    <w:p w14:paraId="08C9FF1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odchylenie spadku ułożonego kolektora od przewidzianego w projekcie nie powinno przekraczać -5% projektowanego spadku (przy zmniejszonym spadku) i +10% projektowanego spadku (przy zwiększonym spadku),</w:t>
      </w:r>
    </w:p>
    <w:p w14:paraId="484B7702"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wskaźnik zagęszczenia zasypki wykopów określony w trzech miejscach na długości </w:t>
      </w:r>
      <w:smartTag w:uri="urn:schemas-microsoft-com:office:smarttags" w:element="metricconverter">
        <w:smartTagPr>
          <w:attr w:name="ProductID" w:val="100 m"/>
        </w:smartTagPr>
        <w:r w:rsidRPr="00A4013A">
          <w:rPr>
            <w:rFonts w:ascii="Times New Roman" w:hAnsi="Times New Roman" w:cs="Times New Roman"/>
          </w:rPr>
          <w:t>100 m</w:t>
        </w:r>
      </w:smartTag>
      <w:r w:rsidRPr="00A4013A">
        <w:rPr>
          <w:rFonts w:ascii="Times New Roman" w:hAnsi="Times New Roman" w:cs="Times New Roman"/>
        </w:rPr>
        <w:t xml:space="preserve"> powinien być zgodny z pkt 5.5.6,</w:t>
      </w:r>
    </w:p>
    <w:p w14:paraId="12217247" w14:textId="77777777" w:rsidR="00042BD7" w:rsidRDefault="00042BD7" w:rsidP="00D30E2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rzędne rusztów wpustów oraz włazów studzienek powinny być wykonane z dokładnością do </w:t>
      </w:r>
      <w:r w:rsidRPr="00A4013A">
        <w:rPr>
          <w:rFonts w:ascii="Times New Roman" w:hAnsi="Times New Roman" w:cs="Times New Roman"/>
        </w:rPr>
        <w:sym w:font="Symbol" w:char="F0B1"/>
      </w:r>
      <w:r w:rsidRPr="00A4013A">
        <w:rPr>
          <w:rFonts w:ascii="Times New Roman" w:hAnsi="Times New Roman" w:cs="Times New Roman"/>
        </w:rPr>
        <w:t xml:space="preserve"> 5 mm,</w:t>
      </w:r>
    </w:p>
    <w:p w14:paraId="2829CC82" w14:textId="77777777" w:rsidR="00D30E29" w:rsidRPr="00D30E29" w:rsidRDefault="00D30E29" w:rsidP="00D30E29">
      <w:pPr>
        <w:overflowPunct w:val="0"/>
        <w:autoSpaceDE w:val="0"/>
        <w:autoSpaceDN w:val="0"/>
        <w:adjustRightInd w:val="0"/>
        <w:spacing w:after="0" w:line="240" w:lineRule="auto"/>
        <w:ind w:left="283"/>
        <w:jc w:val="both"/>
        <w:rPr>
          <w:rFonts w:ascii="Times New Roman" w:hAnsi="Times New Roman" w:cs="Times New Roman"/>
        </w:rPr>
      </w:pPr>
    </w:p>
    <w:p w14:paraId="66977256" w14:textId="77777777" w:rsidR="00042BD7" w:rsidRPr="00FA7059"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OBMIAR ROBÓT</w:t>
      </w:r>
    </w:p>
    <w:p w14:paraId="5B0A48A6"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zasady obmiaru robót</w:t>
      </w:r>
    </w:p>
    <w:p w14:paraId="3491E85D"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Ogólne zasady obmiaru robót podano </w:t>
      </w:r>
      <w:r w:rsidRPr="00A4013A">
        <w:rPr>
          <w:rFonts w:ascii="Times New Roman" w:hAnsi="Times New Roman" w:cs="Times New Roman"/>
          <w:color w:val="000000" w:themeColor="text1"/>
        </w:rPr>
        <w:t>w  niemniejszej SST.</w:t>
      </w:r>
    </w:p>
    <w:p w14:paraId="5C8C0C61"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Jednostka obmiarowa</w:t>
      </w:r>
    </w:p>
    <w:p w14:paraId="03C3C1DB"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 xml:space="preserve">Elementy składowe robót będą obmierzane według poniższych jednostek: </w:t>
      </w:r>
    </w:p>
    <w:p w14:paraId="07F08F2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1 mb (metr bieżący) – kompletna kanalizacja deszczowa (wykonana i odebrana) wraz z</w:t>
      </w:r>
      <w:r w:rsidR="0074058A">
        <w:rPr>
          <w:rFonts w:ascii="Times New Roman" w:hAnsi="Times New Roman" w:cs="Times New Roman"/>
        </w:rPr>
        <w:t> </w:t>
      </w:r>
      <w:r w:rsidRPr="00A4013A">
        <w:rPr>
          <w:rFonts w:ascii="Times New Roman" w:hAnsi="Times New Roman" w:cs="Times New Roman"/>
        </w:rPr>
        <w:t xml:space="preserve">opomiarowaniem wskazanych odcinków, </w:t>
      </w:r>
    </w:p>
    <w:p w14:paraId="32B0A58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1 </w:t>
      </w:r>
      <w:r w:rsidR="0074058A">
        <w:rPr>
          <w:rFonts w:ascii="Times New Roman" w:hAnsi="Times New Roman" w:cs="Times New Roman"/>
        </w:rPr>
        <w:t>szt./</w:t>
      </w:r>
      <w:r w:rsidRPr="00A4013A">
        <w:rPr>
          <w:rFonts w:ascii="Times New Roman" w:hAnsi="Times New Roman" w:cs="Times New Roman"/>
        </w:rPr>
        <w:t>kpl. (</w:t>
      </w:r>
      <w:r w:rsidR="0074058A">
        <w:rPr>
          <w:rFonts w:ascii="Times New Roman" w:hAnsi="Times New Roman" w:cs="Times New Roman"/>
        </w:rPr>
        <w:t>sztuka/</w:t>
      </w:r>
      <w:r w:rsidRPr="00A4013A">
        <w:rPr>
          <w:rFonts w:ascii="Times New Roman" w:hAnsi="Times New Roman" w:cs="Times New Roman"/>
        </w:rPr>
        <w:t>komplet) – studnie rewizyjne, studzienki ściekowe, zabudowa przepomowni, wyloty z</w:t>
      </w:r>
      <w:r w:rsidR="0074058A">
        <w:rPr>
          <w:rFonts w:ascii="Times New Roman" w:hAnsi="Times New Roman" w:cs="Times New Roman"/>
        </w:rPr>
        <w:t> </w:t>
      </w:r>
      <w:r w:rsidRPr="00A4013A">
        <w:rPr>
          <w:rFonts w:ascii="Times New Roman" w:hAnsi="Times New Roman" w:cs="Times New Roman"/>
        </w:rPr>
        <w:t xml:space="preserve">kanalizacji deszczowej (wykonane i odebrane),  </w:t>
      </w:r>
    </w:p>
    <w:p w14:paraId="3DCB2E7E" w14:textId="77777777" w:rsidR="00042BD7" w:rsidRPr="00A4013A" w:rsidRDefault="00042BD7" w:rsidP="00042BD7">
      <w:pPr>
        <w:jc w:val="both"/>
        <w:rPr>
          <w:rFonts w:ascii="Times New Roman" w:hAnsi="Times New Roman" w:cs="Times New Roman"/>
        </w:rPr>
      </w:pPr>
    </w:p>
    <w:p w14:paraId="36C37AAE" w14:textId="77777777" w:rsidR="00042BD7" w:rsidRPr="00A4013A"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ODBIÓR ROBÓT</w:t>
      </w:r>
    </w:p>
    <w:p w14:paraId="04463610"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zasady odbioru robót</w:t>
      </w:r>
    </w:p>
    <w:p w14:paraId="1494B6EB" w14:textId="77777777" w:rsidR="00042BD7" w:rsidRDefault="00042BD7" w:rsidP="0074058A">
      <w:pPr>
        <w:spacing w:after="0"/>
        <w:jc w:val="both"/>
        <w:rPr>
          <w:rFonts w:ascii="Times New Roman" w:hAnsi="Times New Roman" w:cs="Times New Roman"/>
        </w:rPr>
      </w:pPr>
      <w:r w:rsidRPr="00A4013A">
        <w:rPr>
          <w:rFonts w:ascii="Times New Roman" w:hAnsi="Times New Roman" w:cs="Times New Roman"/>
        </w:rPr>
        <w:tab/>
        <w:t xml:space="preserve">Ogólne zasady odbioru robót podano w </w:t>
      </w:r>
      <w:r w:rsidRPr="00A4013A">
        <w:rPr>
          <w:rFonts w:ascii="Times New Roman" w:hAnsi="Times New Roman" w:cs="Times New Roman"/>
          <w:color w:val="000000" w:themeColor="text1"/>
        </w:rPr>
        <w:t>niemniejszej SST</w:t>
      </w:r>
      <w:r w:rsidRPr="00A4013A">
        <w:rPr>
          <w:rFonts w:ascii="Times New Roman" w:hAnsi="Times New Roman" w:cs="Times New Roman"/>
        </w:rPr>
        <w:t>.</w:t>
      </w:r>
      <w:r w:rsidR="0074058A">
        <w:rPr>
          <w:rFonts w:ascii="Times New Roman" w:hAnsi="Times New Roman" w:cs="Times New Roman"/>
        </w:rPr>
        <w:t xml:space="preserve"> </w:t>
      </w:r>
      <w:r w:rsidRPr="00A4013A">
        <w:rPr>
          <w:rFonts w:ascii="Times New Roman" w:hAnsi="Times New Roman" w:cs="Times New Roman"/>
        </w:rPr>
        <w:t>Roboty uznaje się za wykonane zgodnie z dokumentacją projektową, SST i wymaganiami Inżyniera, jeżeli wszystkie pomiary i badania z zachowaniem tolerancji wg pkt 6 dały wyniki pozytywne.</w:t>
      </w:r>
    </w:p>
    <w:p w14:paraId="283A0434" w14:textId="77777777" w:rsidR="0074058A" w:rsidRPr="00A4013A" w:rsidRDefault="0074058A" w:rsidP="0074058A">
      <w:pPr>
        <w:spacing w:after="0"/>
        <w:jc w:val="both"/>
        <w:rPr>
          <w:rFonts w:ascii="Times New Roman" w:hAnsi="Times New Roman" w:cs="Times New Roman"/>
        </w:rPr>
      </w:pPr>
    </w:p>
    <w:p w14:paraId="54C00685"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Odbiór robót zanikających i ulegających zakryciu</w:t>
      </w:r>
    </w:p>
    <w:p w14:paraId="65C70F08"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Odbiorowi robót zanikających i ulegających zakryciu podlegają:</w:t>
      </w:r>
    </w:p>
    <w:p w14:paraId="2098834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roboty montażowe wykonania kanału,</w:t>
      </w:r>
    </w:p>
    <w:p w14:paraId="15F0ADFC"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ułożenie taśmy ostrzegawczej,</w:t>
      </w:r>
    </w:p>
    <w:p w14:paraId="4D4F4DB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wykonane studzienki wpustów ulicznych,</w:t>
      </w:r>
    </w:p>
    <w:p w14:paraId="7664ABDC"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 wykonane studzienki kanalizacyjne,</w:t>
      </w:r>
    </w:p>
    <w:p w14:paraId="0F21FCF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wykonany fundament pod przepompownię, </w:t>
      </w:r>
    </w:p>
    <w:p w14:paraId="25F2C59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próby szczelności,</w:t>
      </w:r>
    </w:p>
    <w:p w14:paraId="6D92B8E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zasypany zagęszczony wykop.</w:t>
      </w:r>
    </w:p>
    <w:p w14:paraId="30CC2C3E"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Odbiór robót zanikających powinien być dokonany w czasie umożliwiającym wykonanie korekt i poprawek, bez hamowania ogólnego postępu robót.</w:t>
      </w:r>
    </w:p>
    <w:p w14:paraId="23CA1487" w14:textId="77777777" w:rsidR="00042BD7" w:rsidRPr="00A4013A" w:rsidRDefault="00042BD7" w:rsidP="00042BD7">
      <w:pPr>
        <w:spacing w:after="240"/>
        <w:jc w:val="both"/>
        <w:rPr>
          <w:rFonts w:ascii="Times New Roman" w:hAnsi="Times New Roman" w:cs="Times New Roman"/>
        </w:rPr>
      </w:pPr>
      <w:r w:rsidRPr="00A4013A">
        <w:rPr>
          <w:rFonts w:ascii="Times New Roman" w:hAnsi="Times New Roman" w:cs="Times New Roman"/>
        </w:rPr>
        <w:tab/>
        <w:t xml:space="preserve">Długość odcinka robót ziemnych poddana odbiorowi nie powinna być mniejsza od </w:t>
      </w:r>
      <w:smartTag w:uri="urn:schemas-microsoft-com:office:smarttags" w:element="metricconverter">
        <w:smartTagPr>
          <w:attr w:name="ProductID" w:val="50 m"/>
        </w:smartTagPr>
        <w:r w:rsidRPr="00A4013A">
          <w:rPr>
            <w:rFonts w:ascii="Times New Roman" w:hAnsi="Times New Roman" w:cs="Times New Roman"/>
          </w:rPr>
          <w:t>50 m</w:t>
        </w:r>
      </w:smartTag>
      <w:r w:rsidRPr="00A4013A">
        <w:rPr>
          <w:rFonts w:ascii="Times New Roman" w:hAnsi="Times New Roman" w:cs="Times New Roman"/>
        </w:rPr>
        <w:t>.</w:t>
      </w:r>
    </w:p>
    <w:p w14:paraId="1A8235E5" w14:textId="77777777" w:rsidR="00042BD7" w:rsidRPr="00A4013A" w:rsidRDefault="00042BD7" w:rsidP="00904E6C">
      <w:pPr>
        <w:keepNext/>
        <w:numPr>
          <w:ilvl w:val="1"/>
          <w:numId w:val="66"/>
        </w:numPr>
        <w:overflowPunct w:val="0"/>
        <w:autoSpaceDE w:val="0"/>
        <w:autoSpaceDN w:val="0"/>
        <w:adjustRightInd w:val="0"/>
        <w:spacing w:after="24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Odbiór końcowy</w:t>
      </w:r>
    </w:p>
    <w:p w14:paraId="105A442C"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Odbiorowi końcowemu podlega:</w:t>
      </w:r>
    </w:p>
    <w:p w14:paraId="71F6056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sprawdzenie kompletności dokumentacji do odbioru technicznego końcowego (polegające na sprawdzeniu protokołów badań przeprowadzonych przy odbiorach technicznych częściowych),</w:t>
      </w:r>
    </w:p>
    <w:p w14:paraId="0639395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badanie szczelności całego przewodu (przeprowadzone przy całkowicie ukończonym i zasypanym przewodzie,</w:t>
      </w:r>
    </w:p>
    <w:p w14:paraId="5C58EBF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inspekcja TV kanałów.</w:t>
      </w:r>
    </w:p>
    <w:p w14:paraId="5A6108CB" w14:textId="77777777" w:rsidR="00042BD7" w:rsidRPr="00A4013A" w:rsidRDefault="00042BD7" w:rsidP="00042BD7">
      <w:pPr>
        <w:ind w:firstLine="283"/>
        <w:jc w:val="both"/>
        <w:rPr>
          <w:rFonts w:ascii="Times New Roman" w:hAnsi="Times New Roman" w:cs="Times New Roman"/>
        </w:rPr>
      </w:pPr>
      <w:r w:rsidRPr="00A4013A">
        <w:rPr>
          <w:rFonts w:ascii="Times New Roman" w:hAnsi="Times New Roman" w:cs="Times New Roman"/>
        </w:rPr>
        <w:lastRenderedPageBreak/>
        <w:t>Wyniki przeprowadzonych badań podczas odbioru powinny być ujęte w formie protokołu, szczegółowo omówione, wpisane do dziennika budowy i podpisane przez nadzór techniczny oraz członków komisji przeprowadzającej badania. Wyniki badań przeprowadzonych podczas odbioru końcowego należy uznać za dokładne, jeżeli wszystkie wymagania (badanie dokumentacji i szczelności całego przewodu) zostały spełnione. Jeżeli któreś z wymagań przy odbiorze technicznym końcowym nie zostało spełnione, należy ocenić jego wpływ na stopień sprawności działania przewodu i w zależności od tego określić konieczne dalsze postępowanie.</w:t>
      </w:r>
    </w:p>
    <w:p w14:paraId="579B3813"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Odbiory: częściowy i końcowy powinien być dokonany komisyjnie przy udziale przedstawicieli wykonawcy, nadzoru inwestycyjnego i użytkownika oraz potwierdzony właściwymi protokołami.</w:t>
      </w:r>
    </w:p>
    <w:p w14:paraId="78C3130E" w14:textId="77777777" w:rsidR="00042BD7" w:rsidRPr="00A4013A" w:rsidRDefault="00042BD7" w:rsidP="00042BD7">
      <w:pPr>
        <w:jc w:val="both"/>
        <w:rPr>
          <w:rFonts w:ascii="Times New Roman" w:hAnsi="Times New Roman" w:cs="Times New Roman"/>
        </w:rPr>
      </w:pPr>
    </w:p>
    <w:p w14:paraId="6EBEFE56" w14:textId="77777777" w:rsidR="00042BD7" w:rsidRPr="00FA7059"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PODSTAWA PŁATNOŚCI</w:t>
      </w:r>
    </w:p>
    <w:p w14:paraId="30302BFE"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Ogólne ustalenia dotyczące podstawy płatności</w:t>
      </w:r>
    </w:p>
    <w:p w14:paraId="431487C4"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ab/>
        <w:t xml:space="preserve">Ogólne ustalenia dotyczące podstawy płatności podano </w:t>
      </w:r>
      <w:r w:rsidRPr="00A4013A">
        <w:rPr>
          <w:rFonts w:ascii="Times New Roman" w:hAnsi="Times New Roman" w:cs="Times New Roman"/>
          <w:color w:val="000000" w:themeColor="text1"/>
        </w:rPr>
        <w:t>w  niemniejszej SST</w:t>
      </w:r>
      <w:r w:rsidRPr="00A4013A">
        <w:rPr>
          <w:rFonts w:ascii="Times New Roman" w:hAnsi="Times New Roman" w:cs="Times New Roman"/>
        </w:rPr>
        <w:t>.</w:t>
      </w:r>
    </w:p>
    <w:p w14:paraId="05A9318A" w14:textId="77777777" w:rsidR="00042BD7"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Cena jednostki obmiarowej</w:t>
      </w:r>
    </w:p>
    <w:p w14:paraId="46DE2B9D" w14:textId="77777777" w:rsidR="0074058A" w:rsidRPr="00A4013A" w:rsidRDefault="0074058A" w:rsidP="0074058A">
      <w:pPr>
        <w:keepNext/>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p>
    <w:p w14:paraId="543BED84" w14:textId="77777777" w:rsidR="00042BD7" w:rsidRPr="00A4013A" w:rsidRDefault="00042BD7" w:rsidP="0074058A">
      <w:pPr>
        <w:overflowPunct w:val="0"/>
        <w:autoSpaceDE w:val="0"/>
        <w:autoSpaceDN w:val="0"/>
        <w:adjustRightInd w:val="0"/>
        <w:spacing w:after="0"/>
        <w:ind w:left="283"/>
        <w:jc w:val="both"/>
        <w:rPr>
          <w:rFonts w:ascii="Times New Roman" w:hAnsi="Times New Roman" w:cs="Times New Roman"/>
        </w:rPr>
      </w:pPr>
      <w:r w:rsidRPr="00A4013A">
        <w:rPr>
          <w:rFonts w:ascii="Times New Roman" w:hAnsi="Times New Roman" w:cs="Times New Roman"/>
        </w:rPr>
        <w:t>Cena 1 m wykonanej i odebranej kanalizacji obejmuje:</w:t>
      </w:r>
    </w:p>
    <w:p w14:paraId="1A13C5BC"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oznakowanie robót;</w:t>
      </w:r>
    </w:p>
    <w:p w14:paraId="03957C8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robót przygotowawczych w tym roboty pomiarowe;</w:t>
      </w:r>
    </w:p>
    <w:p w14:paraId="18D7794D"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wykopów wraz z ich zabezpieczeniem i pryzmowaniem gruntu na zasypkę oraz odwodnieniem;</w:t>
      </w:r>
    </w:p>
    <w:p w14:paraId="1D55372C"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załadunek i transport nadmiaru gruntu na składowisko Wykonawcy;</w:t>
      </w:r>
    </w:p>
    <w:p w14:paraId="69324F4D"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zakup kanałów kanalizacji deszczowej wraz opomiarowaniem i transport na miejsce wbudowania;</w:t>
      </w:r>
    </w:p>
    <w:p w14:paraId="4A191F47"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układanie kanałów wraz z pracami przygotowawczymi, wykonaniem podsypki, obsypki oraz zasypki kanałów;</w:t>
      </w:r>
    </w:p>
    <w:p w14:paraId="40D1CC9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zabezpieczenie istniejącego  i projektowanego uzbrojenia podziemnego zwłaszcza przewodów kablowych;</w:t>
      </w:r>
    </w:p>
    <w:p w14:paraId="4BA3C3D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wymiany gruntu w tym zakup i transport gruntu niewysadzinowego;</w:t>
      </w:r>
    </w:p>
    <w:p w14:paraId="649C949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przeprowadzenie pomiarów i badań wymaganych w specyfikacji technicznej;</w:t>
      </w:r>
    </w:p>
    <w:p w14:paraId="65FCAF34"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zasypanie i zagęszczenie wykopu;</w:t>
      </w:r>
    </w:p>
    <w:p w14:paraId="29DA5BF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próby szczelności kanałów;</w:t>
      </w:r>
    </w:p>
    <w:p w14:paraId="39081403"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kamerowanie sieci powykonawcze;</w:t>
      </w:r>
    </w:p>
    <w:p w14:paraId="05F490C8"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koszty czasowego zajęcia terenu podczas wykonywania robót ponosi Wykonawca;</w:t>
      </w:r>
    </w:p>
    <w:p w14:paraId="12630C6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uporządkowanie miejsca prowadzonych robót.</w:t>
      </w:r>
    </w:p>
    <w:p w14:paraId="7CDF39F5" w14:textId="77777777" w:rsidR="0074058A" w:rsidRDefault="0074058A" w:rsidP="0074058A">
      <w:pPr>
        <w:overflowPunct w:val="0"/>
        <w:autoSpaceDE w:val="0"/>
        <w:autoSpaceDN w:val="0"/>
        <w:adjustRightInd w:val="0"/>
        <w:spacing w:after="0"/>
        <w:ind w:left="283"/>
        <w:jc w:val="both"/>
        <w:rPr>
          <w:rFonts w:ascii="Times New Roman" w:hAnsi="Times New Roman" w:cs="Times New Roman"/>
        </w:rPr>
      </w:pPr>
    </w:p>
    <w:p w14:paraId="1ABF5FD8" w14:textId="77777777" w:rsidR="00042BD7" w:rsidRPr="00A4013A" w:rsidRDefault="00042BD7" w:rsidP="0074058A">
      <w:pPr>
        <w:overflowPunct w:val="0"/>
        <w:autoSpaceDE w:val="0"/>
        <w:autoSpaceDN w:val="0"/>
        <w:adjustRightInd w:val="0"/>
        <w:spacing w:after="0"/>
        <w:ind w:left="283"/>
        <w:jc w:val="both"/>
        <w:rPr>
          <w:rFonts w:ascii="Times New Roman" w:hAnsi="Times New Roman" w:cs="Times New Roman"/>
        </w:rPr>
      </w:pPr>
      <w:r w:rsidRPr="00A4013A">
        <w:rPr>
          <w:rFonts w:ascii="Times New Roman" w:hAnsi="Times New Roman" w:cs="Times New Roman"/>
        </w:rPr>
        <w:t>Cena wykonania 1 sztuki</w:t>
      </w:r>
      <w:r w:rsidR="0083780F">
        <w:rPr>
          <w:rFonts w:ascii="Times New Roman" w:hAnsi="Times New Roman" w:cs="Times New Roman"/>
        </w:rPr>
        <w:t>/kpomplet</w:t>
      </w:r>
      <w:r w:rsidR="0074058A">
        <w:rPr>
          <w:rFonts w:ascii="Times New Roman" w:hAnsi="Times New Roman" w:cs="Times New Roman"/>
        </w:rPr>
        <w:t>u</w:t>
      </w:r>
      <w:r w:rsidRPr="00A4013A">
        <w:rPr>
          <w:rFonts w:ascii="Times New Roman" w:hAnsi="Times New Roman" w:cs="Times New Roman"/>
        </w:rPr>
        <w:t xml:space="preserve"> obejmuje:</w:t>
      </w:r>
    </w:p>
    <w:p w14:paraId="3ACCB46A"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zakup i transport wraz z montażem na miejscu wbudowania kompletnej: studni rewizyjnej, studzienki ściekowej, przepompowni w</w:t>
      </w:r>
      <w:r w:rsidR="0083780F">
        <w:rPr>
          <w:rFonts w:ascii="Times New Roman" w:hAnsi="Times New Roman" w:cs="Times New Roman"/>
        </w:rPr>
        <w:t>ód deszczowych</w:t>
      </w:r>
      <w:r w:rsidRPr="00A4013A">
        <w:rPr>
          <w:rFonts w:ascii="Times New Roman" w:hAnsi="Times New Roman" w:cs="Times New Roman"/>
        </w:rPr>
        <w:t>;</w:t>
      </w:r>
    </w:p>
    <w:p w14:paraId="5A322345"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wykopów wraz z ich zabezpieczeniem i pryzmowaniem gruntu na zasypkę oraz odwodnieniem;</w:t>
      </w:r>
    </w:p>
    <w:p w14:paraId="507FE2F6"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załadunek i transport nadmiaru gruntu na składowisko Wykonawcy; </w:t>
      </w:r>
    </w:p>
    <w:p w14:paraId="5532C97D"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wszelkich robót przygotowawczych i tymczasowych niezbędnych dla</w:t>
      </w:r>
      <w:r w:rsidRPr="00A4013A">
        <w:rPr>
          <w:rFonts w:ascii="Times New Roman" w:hAnsi="Times New Roman" w:cs="Times New Roman"/>
        </w:rPr>
        <w:br/>
        <w:t>wykonania zadania;</w:t>
      </w:r>
    </w:p>
    <w:p w14:paraId="18689D4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wykonanie fundamentu pod przepompownią; </w:t>
      </w:r>
    </w:p>
    <w:p w14:paraId="006555C1"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podbudowy betonowej;</w:t>
      </w:r>
    </w:p>
    <w:p w14:paraId="4A9774C0"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wykonania wszelkich prac montażowych związanych z ułożeniem i podłączeniem</w:t>
      </w:r>
      <w:r w:rsidRPr="00A4013A">
        <w:rPr>
          <w:rFonts w:ascii="Times New Roman" w:hAnsi="Times New Roman" w:cs="Times New Roman"/>
        </w:rPr>
        <w:br/>
        <w:t>przewodów, studni rewizyjnej, studzienki ściekowej, przepompowni wód deszczowych oraz elementów projektowanych wylotów,</w:t>
      </w:r>
    </w:p>
    <w:p w14:paraId="2F66C6F7"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wykonania obsypki i zasypki wstępnej przepompowni,</w:t>
      </w:r>
    </w:p>
    <w:p w14:paraId="14EBB219"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 xml:space="preserve">zasypanie i zagęszczenie wykopu; </w:t>
      </w:r>
    </w:p>
    <w:p w14:paraId="311C1DA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wykonanie wymiany gruntu w tym zakup i transport gruntu niewysadzinowego;</w:t>
      </w:r>
    </w:p>
    <w:p w14:paraId="1EAB89AF" w14:textId="77777777" w:rsidR="00042BD7" w:rsidRPr="00A4013A"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lastRenderedPageBreak/>
        <w:t xml:space="preserve">koszty czasowego zajęcia terenu podczas wykonywania robót ponosi Wykonawca; </w:t>
      </w:r>
    </w:p>
    <w:p w14:paraId="35CDC083" w14:textId="77777777" w:rsidR="00042BD7" w:rsidRDefault="00042BD7" w:rsidP="00042BD7">
      <w:pPr>
        <w:numPr>
          <w:ilvl w:val="0"/>
          <w:numId w:val="23"/>
        </w:numPr>
        <w:overflowPunct w:val="0"/>
        <w:autoSpaceDE w:val="0"/>
        <w:autoSpaceDN w:val="0"/>
        <w:adjustRightInd w:val="0"/>
        <w:spacing w:after="0" w:line="240" w:lineRule="auto"/>
        <w:jc w:val="both"/>
        <w:rPr>
          <w:rFonts w:ascii="Times New Roman" w:hAnsi="Times New Roman" w:cs="Times New Roman"/>
        </w:rPr>
      </w:pPr>
      <w:r w:rsidRPr="00A4013A">
        <w:rPr>
          <w:rFonts w:ascii="Times New Roman" w:hAnsi="Times New Roman" w:cs="Times New Roman"/>
        </w:rPr>
        <w:t>uporządkowanie miejsca prowadzonych robót.</w:t>
      </w:r>
    </w:p>
    <w:p w14:paraId="315F3570" w14:textId="77777777" w:rsidR="0074058A" w:rsidRDefault="0074058A" w:rsidP="0074058A">
      <w:pPr>
        <w:overflowPunct w:val="0"/>
        <w:autoSpaceDE w:val="0"/>
        <w:autoSpaceDN w:val="0"/>
        <w:adjustRightInd w:val="0"/>
        <w:spacing w:after="0" w:line="240" w:lineRule="auto"/>
        <w:ind w:left="283"/>
        <w:jc w:val="both"/>
        <w:rPr>
          <w:rFonts w:ascii="Times New Roman" w:hAnsi="Times New Roman" w:cs="Times New Roman"/>
        </w:rPr>
      </w:pPr>
    </w:p>
    <w:p w14:paraId="2C91C6FB" w14:textId="77777777" w:rsidR="00042BD7" w:rsidRDefault="00042BD7" w:rsidP="00042BD7">
      <w:pPr>
        <w:overflowPunct w:val="0"/>
        <w:autoSpaceDE w:val="0"/>
        <w:autoSpaceDN w:val="0"/>
        <w:adjustRightInd w:val="0"/>
        <w:spacing w:after="0" w:line="240" w:lineRule="auto"/>
        <w:ind w:left="283"/>
        <w:jc w:val="both"/>
        <w:rPr>
          <w:rFonts w:ascii="Times New Roman" w:hAnsi="Times New Roman" w:cs="Times New Roman"/>
        </w:rPr>
      </w:pPr>
    </w:p>
    <w:p w14:paraId="6F8B54FC" w14:textId="77777777" w:rsidR="00042BD7" w:rsidRPr="00FA7059" w:rsidRDefault="00042BD7" w:rsidP="00904E6C">
      <w:pPr>
        <w:pStyle w:val="Nagwek2"/>
        <w:numPr>
          <w:ilvl w:val="0"/>
          <w:numId w:val="66"/>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sidRPr="00A4013A">
        <w:rPr>
          <w:sz w:val="22"/>
          <w:szCs w:val="22"/>
        </w:rPr>
        <w:t>PRZEPISY ZWIĄZANE</w:t>
      </w:r>
    </w:p>
    <w:p w14:paraId="4F484487" w14:textId="77777777" w:rsidR="00042BD7" w:rsidRPr="00A4013A" w:rsidRDefault="00042BD7" w:rsidP="00042BD7">
      <w:pPr>
        <w:pStyle w:val="Nagwek1"/>
        <w:spacing w:before="0"/>
        <w:ind w:left="284"/>
        <w:jc w:val="both"/>
        <w:rPr>
          <w:sz w:val="22"/>
          <w:szCs w:val="22"/>
        </w:rPr>
      </w:pPr>
    </w:p>
    <w:p w14:paraId="2279C7FC" w14:textId="77777777" w:rsidR="00042BD7" w:rsidRPr="00A4013A"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Normy</w:t>
      </w:r>
    </w:p>
    <w:tbl>
      <w:tblPr>
        <w:tblW w:w="8794" w:type="dxa"/>
        <w:tblInd w:w="-147" w:type="dxa"/>
        <w:tblCellMar>
          <w:left w:w="70" w:type="dxa"/>
          <w:right w:w="70" w:type="dxa"/>
        </w:tblCellMar>
        <w:tblLook w:val="04A0" w:firstRow="1" w:lastRow="0" w:firstColumn="1" w:lastColumn="0" w:noHBand="0" w:noVBand="1"/>
      </w:tblPr>
      <w:tblGrid>
        <w:gridCol w:w="525"/>
        <w:gridCol w:w="2555"/>
        <w:gridCol w:w="5714"/>
      </w:tblGrid>
      <w:tr w:rsidR="00042BD7" w:rsidRPr="00A4013A" w14:paraId="3E71C35B" w14:textId="77777777" w:rsidTr="00D55AD4">
        <w:tc>
          <w:tcPr>
            <w:tcW w:w="490" w:type="dxa"/>
            <w:hideMark/>
          </w:tcPr>
          <w:p w14:paraId="34F9D954"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1.</w:t>
            </w:r>
          </w:p>
        </w:tc>
        <w:tc>
          <w:tcPr>
            <w:tcW w:w="2562" w:type="dxa"/>
            <w:hideMark/>
          </w:tcPr>
          <w:p w14:paraId="701329A1" w14:textId="77777777" w:rsidR="0083780F" w:rsidRDefault="00042BD7" w:rsidP="0083780F">
            <w:pPr>
              <w:spacing w:after="0"/>
              <w:rPr>
                <w:rFonts w:ascii="Times New Roman" w:hAnsi="Times New Roman" w:cs="Times New Roman"/>
              </w:rPr>
            </w:pPr>
            <w:r w:rsidRPr="00A4013A">
              <w:rPr>
                <w:rFonts w:ascii="Times New Roman" w:hAnsi="Times New Roman" w:cs="Times New Roman"/>
              </w:rPr>
              <w:t>PN-B- 10736: 1999</w:t>
            </w:r>
          </w:p>
          <w:p w14:paraId="2A30F595" w14:textId="77777777" w:rsidR="00042BD7" w:rsidRPr="0083780F" w:rsidRDefault="00042BD7" w:rsidP="0083780F">
            <w:pPr>
              <w:spacing w:after="0"/>
              <w:jc w:val="center"/>
              <w:rPr>
                <w:rFonts w:ascii="Times New Roman" w:hAnsi="Times New Roman" w:cs="Times New Roman"/>
              </w:rPr>
            </w:pPr>
          </w:p>
        </w:tc>
        <w:tc>
          <w:tcPr>
            <w:tcW w:w="5742" w:type="dxa"/>
            <w:hideMark/>
          </w:tcPr>
          <w:p w14:paraId="334A24C7"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Roboty ziemne – Wykopy otwarte dla przewodów wodociągowych i kanalizacyjnych – Warunki techniczne wykonania</w:t>
            </w:r>
          </w:p>
        </w:tc>
      </w:tr>
      <w:tr w:rsidR="00042BD7" w:rsidRPr="00A4013A" w14:paraId="41C40553" w14:textId="77777777" w:rsidTr="00D55AD4">
        <w:tc>
          <w:tcPr>
            <w:tcW w:w="490" w:type="dxa"/>
            <w:hideMark/>
          </w:tcPr>
          <w:p w14:paraId="2D604477"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2.</w:t>
            </w:r>
          </w:p>
        </w:tc>
        <w:tc>
          <w:tcPr>
            <w:tcW w:w="2562" w:type="dxa"/>
            <w:hideMark/>
          </w:tcPr>
          <w:p w14:paraId="612F4ADE"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 EN 1610: 2015-10</w:t>
            </w:r>
          </w:p>
        </w:tc>
        <w:tc>
          <w:tcPr>
            <w:tcW w:w="5742" w:type="dxa"/>
            <w:hideMark/>
          </w:tcPr>
          <w:p w14:paraId="6E5804FB"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Budowa i badania przewodów kanalizacyjnych</w:t>
            </w:r>
          </w:p>
        </w:tc>
      </w:tr>
      <w:tr w:rsidR="00042BD7" w:rsidRPr="00A4013A" w14:paraId="35E05C75" w14:textId="77777777" w:rsidTr="00D55AD4">
        <w:tc>
          <w:tcPr>
            <w:tcW w:w="490" w:type="dxa"/>
            <w:hideMark/>
          </w:tcPr>
          <w:p w14:paraId="180D099C"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3.</w:t>
            </w:r>
          </w:p>
        </w:tc>
        <w:tc>
          <w:tcPr>
            <w:tcW w:w="2562" w:type="dxa"/>
            <w:hideMark/>
          </w:tcPr>
          <w:p w14:paraId="473671F3"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1401-1:2019-07.</w:t>
            </w:r>
          </w:p>
          <w:p w14:paraId="0EBE4DAC" w14:textId="77777777" w:rsidR="00042BD7" w:rsidRPr="00A4013A" w:rsidRDefault="00042BD7" w:rsidP="00042BD7">
            <w:pPr>
              <w:rPr>
                <w:rFonts w:ascii="Times New Roman" w:hAnsi="Times New Roman" w:cs="Times New Roman"/>
              </w:rPr>
            </w:pPr>
          </w:p>
        </w:tc>
        <w:tc>
          <w:tcPr>
            <w:tcW w:w="5742" w:type="dxa"/>
            <w:hideMark/>
          </w:tcPr>
          <w:p w14:paraId="35B68385"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Systemy przewodów rurowych z tworzyw sztucznych do podziemnego bezciśnieniowego odwadniania i kanalizacji – Nieplastyfikowany poli(chlorek winylu) (PVC-U) – Część 1: Specyfikacje rur, kształtek i systemu</w:t>
            </w:r>
          </w:p>
        </w:tc>
      </w:tr>
      <w:tr w:rsidR="00042BD7" w:rsidRPr="00A4013A" w14:paraId="2D2FACF1" w14:textId="77777777" w:rsidTr="00D55AD4">
        <w:tc>
          <w:tcPr>
            <w:tcW w:w="490" w:type="dxa"/>
            <w:hideMark/>
          </w:tcPr>
          <w:p w14:paraId="7B47D7DB"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4.</w:t>
            </w:r>
          </w:p>
        </w:tc>
        <w:tc>
          <w:tcPr>
            <w:tcW w:w="2562" w:type="dxa"/>
            <w:hideMark/>
          </w:tcPr>
          <w:p w14:paraId="0E30E738"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1917:2004</w:t>
            </w:r>
          </w:p>
        </w:tc>
        <w:tc>
          <w:tcPr>
            <w:tcW w:w="5742" w:type="dxa"/>
            <w:hideMark/>
          </w:tcPr>
          <w:p w14:paraId="05231029"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Studzienki włazowe i niewłazowe z betonu niezbrojonego, z betonu zbrojonego włóknem stalowym i żelbetowe</w:t>
            </w:r>
          </w:p>
        </w:tc>
      </w:tr>
      <w:tr w:rsidR="00042BD7" w:rsidRPr="00A4013A" w14:paraId="68AE4EC3" w14:textId="77777777" w:rsidTr="00D55AD4">
        <w:tc>
          <w:tcPr>
            <w:tcW w:w="490" w:type="dxa"/>
            <w:hideMark/>
          </w:tcPr>
          <w:p w14:paraId="190A6E4C"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5.</w:t>
            </w:r>
          </w:p>
        </w:tc>
        <w:tc>
          <w:tcPr>
            <w:tcW w:w="2562" w:type="dxa"/>
            <w:hideMark/>
          </w:tcPr>
          <w:p w14:paraId="40361DCB"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124-1:2015-07</w:t>
            </w:r>
          </w:p>
        </w:tc>
        <w:tc>
          <w:tcPr>
            <w:tcW w:w="5742" w:type="dxa"/>
            <w:hideMark/>
          </w:tcPr>
          <w:p w14:paraId="7721D9D2"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Zwieńczenia wpustów ściekowych i studzienek włazowych do nawierzchni dla ruchu pieszego i kołowego – Część 1: Definicje, klasyfikacja, ogólne zasady projektowania, właściwości użytkowe i metody badań</w:t>
            </w:r>
          </w:p>
        </w:tc>
      </w:tr>
      <w:tr w:rsidR="00042BD7" w:rsidRPr="00A4013A" w14:paraId="673DA8D7" w14:textId="77777777" w:rsidTr="00D55AD4">
        <w:tc>
          <w:tcPr>
            <w:tcW w:w="490" w:type="dxa"/>
            <w:hideMark/>
          </w:tcPr>
          <w:p w14:paraId="02108A40"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6.</w:t>
            </w:r>
          </w:p>
        </w:tc>
        <w:tc>
          <w:tcPr>
            <w:tcW w:w="2562" w:type="dxa"/>
            <w:hideMark/>
          </w:tcPr>
          <w:p w14:paraId="4F9472F2"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PN-EN13101:2005 </w:t>
            </w:r>
          </w:p>
        </w:tc>
        <w:tc>
          <w:tcPr>
            <w:tcW w:w="5742" w:type="dxa"/>
            <w:hideMark/>
          </w:tcPr>
          <w:p w14:paraId="0D0A8284"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Stopnie do studzienek włazowych – Wymagania, znakowanie, badania i ocena zgodności</w:t>
            </w:r>
          </w:p>
        </w:tc>
      </w:tr>
      <w:tr w:rsidR="00042BD7" w:rsidRPr="00A4013A" w14:paraId="18E75984" w14:textId="77777777" w:rsidTr="00D55AD4">
        <w:tc>
          <w:tcPr>
            <w:tcW w:w="490" w:type="dxa"/>
            <w:hideMark/>
          </w:tcPr>
          <w:p w14:paraId="4383245C"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7.</w:t>
            </w:r>
          </w:p>
        </w:tc>
        <w:tc>
          <w:tcPr>
            <w:tcW w:w="2562" w:type="dxa"/>
            <w:hideMark/>
          </w:tcPr>
          <w:p w14:paraId="1916B89D"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476:2012</w:t>
            </w:r>
          </w:p>
        </w:tc>
        <w:tc>
          <w:tcPr>
            <w:tcW w:w="5742" w:type="dxa"/>
            <w:hideMark/>
          </w:tcPr>
          <w:p w14:paraId="17B514B0" w14:textId="77777777" w:rsidR="00042BD7" w:rsidRPr="00A4013A" w:rsidRDefault="00042BD7" w:rsidP="00042BD7">
            <w:pPr>
              <w:rPr>
                <w:rFonts w:ascii="Times New Roman" w:hAnsi="Times New Roman" w:cs="Times New Roman"/>
                <w:strike/>
              </w:rPr>
            </w:pPr>
            <w:r w:rsidRPr="00A4013A">
              <w:rPr>
                <w:rFonts w:ascii="Times New Roman" w:hAnsi="Times New Roman" w:cs="Times New Roman"/>
                <w:shd w:val="clear" w:color="auto" w:fill="FFFFFF"/>
              </w:rPr>
              <w:t>Wymagania ogólne dotyczące elementów stosowanych w systemach kanalizacji deszczowej i sanitarnej</w:t>
            </w:r>
          </w:p>
        </w:tc>
      </w:tr>
      <w:tr w:rsidR="00042BD7" w:rsidRPr="00A4013A" w14:paraId="5538C070" w14:textId="77777777" w:rsidTr="00D55AD4">
        <w:tc>
          <w:tcPr>
            <w:tcW w:w="490" w:type="dxa"/>
            <w:hideMark/>
          </w:tcPr>
          <w:p w14:paraId="7E61CB8E"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8.</w:t>
            </w:r>
          </w:p>
        </w:tc>
        <w:tc>
          <w:tcPr>
            <w:tcW w:w="2562" w:type="dxa"/>
            <w:hideMark/>
          </w:tcPr>
          <w:p w14:paraId="08CB060B"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PN-EN 197-1:2012 </w:t>
            </w:r>
          </w:p>
        </w:tc>
        <w:tc>
          <w:tcPr>
            <w:tcW w:w="5742" w:type="dxa"/>
            <w:hideMark/>
          </w:tcPr>
          <w:p w14:paraId="6FB3866C"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Cement – Część 1: Skład, wymagania i kryteria zgodności dotyczące cementów powszechnego użytku</w:t>
            </w:r>
          </w:p>
        </w:tc>
      </w:tr>
      <w:tr w:rsidR="00042BD7" w:rsidRPr="00A4013A" w14:paraId="61B7C48D" w14:textId="77777777" w:rsidTr="00D55AD4">
        <w:tc>
          <w:tcPr>
            <w:tcW w:w="490" w:type="dxa"/>
          </w:tcPr>
          <w:p w14:paraId="7D3B7568"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8.1.</w:t>
            </w:r>
          </w:p>
        </w:tc>
        <w:tc>
          <w:tcPr>
            <w:tcW w:w="2562" w:type="dxa"/>
          </w:tcPr>
          <w:p w14:paraId="6D14061F"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PN-B-10104:2014-03</w:t>
            </w:r>
          </w:p>
          <w:p w14:paraId="343BD078" w14:textId="77777777" w:rsidR="00042BD7" w:rsidRPr="00A4013A" w:rsidRDefault="00042BD7" w:rsidP="00042BD7">
            <w:pPr>
              <w:rPr>
                <w:rFonts w:ascii="Times New Roman" w:hAnsi="Times New Roman" w:cs="Times New Roman"/>
              </w:rPr>
            </w:pPr>
          </w:p>
        </w:tc>
        <w:tc>
          <w:tcPr>
            <w:tcW w:w="5742" w:type="dxa"/>
          </w:tcPr>
          <w:p w14:paraId="75B95326" w14:textId="77777777" w:rsidR="00042BD7" w:rsidRPr="00A4013A" w:rsidRDefault="00042BD7" w:rsidP="00042BD7">
            <w:pPr>
              <w:rPr>
                <w:rFonts w:ascii="Times New Roman" w:hAnsi="Times New Roman" w:cs="Times New Roman"/>
                <w:shd w:val="clear" w:color="auto" w:fill="FFFFFF"/>
              </w:rPr>
            </w:pPr>
            <w:r w:rsidRPr="00A4013A">
              <w:rPr>
                <w:rFonts w:ascii="Times New Roman" w:hAnsi="Times New Roman" w:cs="Times New Roman"/>
                <w:shd w:val="clear" w:color="auto" w:fill="FFFFFF"/>
              </w:rPr>
              <w:t>Wymagania dotyczące zapraw murarskich ogólnego przeznaczenia -- Zaprawy murarskie według przepisu, wytwarzane na miejscu budowy</w:t>
            </w:r>
          </w:p>
        </w:tc>
      </w:tr>
      <w:tr w:rsidR="00042BD7" w:rsidRPr="00A4013A" w14:paraId="260F3C01" w14:textId="77777777" w:rsidTr="00D55AD4">
        <w:tc>
          <w:tcPr>
            <w:tcW w:w="490" w:type="dxa"/>
          </w:tcPr>
          <w:p w14:paraId="61FC36DA"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8.2.</w:t>
            </w:r>
          </w:p>
        </w:tc>
        <w:tc>
          <w:tcPr>
            <w:tcW w:w="2562" w:type="dxa"/>
          </w:tcPr>
          <w:p w14:paraId="23D13D09"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BN-88/6731-08</w:t>
            </w:r>
          </w:p>
        </w:tc>
        <w:tc>
          <w:tcPr>
            <w:tcW w:w="5742" w:type="dxa"/>
          </w:tcPr>
          <w:p w14:paraId="2D1F5511" w14:textId="77777777" w:rsidR="00042BD7" w:rsidRPr="00A4013A" w:rsidRDefault="00042BD7" w:rsidP="00042BD7">
            <w:pPr>
              <w:rPr>
                <w:rFonts w:ascii="Times New Roman" w:hAnsi="Times New Roman" w:cs="Times New Roman"/>
                <w:shd w:val="clear" w:color="auto" w:fill="FFFFFF"/>
              </w:rPr>
            </w:pPr>
            <w:r w:rsidRPr="00A4013A">
              <w:rPr>
                <w:rFonts w:ascii="Times New Roman" w:hAnsi="Times New Roman" w:cs="Times New Roman"/>
                <w:shd w:val="clear" w:color="auto" w:fill="FFFFFF"/>
              </w:rPr>
              <w:t>Cement – Transport i przechowywanie</w:t>
            </w:r>
          </w:p>
        </w:tc>
      </w:tr>
      <w:tr w:rsidR="00042BD7" w:rsidRPr="00A4013A" w14:paraId="4C8439B8" w14:textId="77777777" w:rsidTr="00D55AD4">
        <w:tc>
          <w:tcPr>
            <w:tcW w:w="490" w:type="dxa"/>
            <w:hideMark/>
          </w:tcPr>
          <w:p w14:paraId="317DA923"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  9.</w:t>
            </w:r>
          </w:p>
        </w:tc>
        <w:tc>
          <w:tcPr>
            <w:tcW w:w="2562" w:type="dxa"/>
            <w:hideMark/>
          </w:tcPr>
          <w:p w14:paraId="3CCE7516"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 xml:space="preserve">PN-EN 12620+A1:2010 </w:t>
            </w:r>
          </w:p>
        </w:tc>
        <w:tc>
          <w:tcPr>
            <w:tcW w:w="5742" w:type="dxa"/>
            <w:hideMark/>
          </w:tcPr>
          <w:p w14:paraId="576EB0DF"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Kruszywa do betonu</w:t>
            </w:r>
          </w:p>
        </w:tc>
      </w:tr>
      <w:tr w:rsidR="00042BD7" w:rsidRPr="00A4013A" w14:paraId="709DD9A8" w14:textId="77777777" w:rsidTr="00D55AD4">
        <w:tc>
          <w:tcPr>
            <w:tcW w:w="490" w:type="dxa"/>
            <w:hideMark/>
          </w:tcPr>
          <w:p w14:paraId="07A73877"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10.</w:t>
            </w:r>
          </w:p>
        </w:tc>
        <w:tc>
          <w:tcPr>
            <w:tcW w:w="2562" w:type="dxa"/>
            <w:hideMark/>
          </w:tcPr>
          <w:p w14:paraId="352DE0EF"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206+A1:2016-12</w:t>
            </w:r>
          </w:p>
        </w:tc>
        <w:tc>
          <w:tcPr>
            <w:tcW w:w="5742" w:type="dxa"/>
            <w:hideMark/>
          </w:tcPr>
          <w:p w14:paraId="3C1AF10A" w14:textId="77777777" w:rsidR="00042BD7" w:rsidRPr="00A4013A" w:rsidRDefault="00042BD7" w:rsidP="00042BD7">
            <w:pPr>
              <w:rPr>
                <w:rFonts w:ascii="Times New Roman" w:hAnsi="Times New Roman" w:cs="Times New Roman"/>
              </w:rPr>
            </w:pPr>
            <w:r w:rsidRPr="00A4013A">
              <w:rPr>
                <w:rFonts w:ascii="Times New Roman" w:hAnsi="Times New Roman" w:cs="Times New Roman"/>
                <w:shd w:val="clear" w:color="auto" w:fill="FFFFFF"/>
              </w:rPr>
              <w:t>Beton – Wymagania, właściwości, produkcja i zgodność</w:t>
            </w:r>
          </w:p>
        </w:tc>
      </w:tr>
      <w:tr w:rsidR="00042BD7" w:rsidRPr="00A4013A" w14:paraId="7D719438" w14:textId="77777777" w:rsidTr="00D55AD4">
        <w:trPr>
          <w:trHeight w:val="460"/>
        </w:trPr>
        <w:tc>
          <w:tcPr>
            <w:tcW w:w="490" w:type="dxa"/>
            <w:hideMark/>
          </w:tcPr>
          <w:p w14:paraId="72B3F7BE"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11.</w:t>
            </w:r>
          </w:p>
        </w:tc>
        <w:tc>
          <w:tcPr>
            <w:tcW w:w="2562" w:type="dxa"/>
            <w:hideMark/>
          </w:tcPr>
          <w:p w14:paraId="7D341BA5"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BN-77/8931-12</w:t>
            </w:r>
          </w:p>
        </w:tc>
        <w:tc>
          <w:tcPr>
            <w:tcW w:w="5742" w:type="dxa"/>
            <w:hideMark/>
          </w:tcPr>
          <w:p w14:paraId="5315913C"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Oznaczanie wskaźnika zagęszczenia gruntu</w:t>
            </w:r>
          </w:p>
        </w:tc>
      </w:tr>
      <w:tr w:rsidR="00042BD7" w:rsidRPr="00A4013A" w14:paraId="027A3B08" w14:textId="77777777" w:rsidTr="00D55AD4">
        <w:trPr>
          <w:trHeight w:val="460"/>
        </w:trPr>
        <w:tc>
          <w:tcPr>
            <w:tcW w:w="490" w:type="dxa"/>
          </w:tcPr>
          <w:p w14:paraId="095017FE"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12.</w:t>
            </w:r>
          </w:p>
        </w:tc>
        <w:tc>
          <w:tcPr>
            <w:tcW w:w="2562" w:type="dxa"/>
          </w:tcPr>
          <w:p w14:paraId="60B51143"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PN-EN 13598-2: 2020-11</w:t>
            </w:r>
          </w:p>
          <w:p w14:paraId="1D6414B4" w14:textId="77777777" w:rsidR="00042BD7" w:rsidRPr="00A4013A" w:rsidRDefault="00042BD7" w:rsidP="00042BD7">
            <w:pPr>
              <w:rPr>
                <w:rFonts w:ascii="Times New Roman" w:hAnsi="Times New Roman" w:cs="Times New Roman"/>
              </w:rPr>
            </w:pPr>
          </w:p>
          <w:p w14:paraId="237AFD4E" w14:textId="77777777" w:rsidR="00042BD7" w:rsidRPr="00A4013A" w:rsidRDefault="00042BD7" w:rsidP="00042BD7">
            <w:pPr>
              <w:rPr>
                <w:rFonts w:ascii="Times New Roman" w:hAnsi="Times New Roman" w:cs="Times New Roman"/>
              </w:rPr>
            </w:pPr>
          </w:p>
        </w:tc>
        <w:tc>
          <w:tcPr>
            <w:tcW w:w="5742" w:type="dxa"/>
          </w:tcPr>
          <w:p w14:paraId="405470DA"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Systemy przewodów rurowych z tworzyw sztucznych do podziemnego bezciśnieniowego odwadniania i kanalizacji -- Nieplastyfikowany poli(chlorek winylu) (PVC-U), polipropylen (PP) i polietylen (PE) -- Część 2: Specyfikacje studzienek włazowych i inspekcyjnych</w:t>
            </w:r>
          </w:p>
        </w:tc>
      </w:tr>
      <w:tr w:rsidR="00042BD7" w:rsidRPr="00A4013A" w14:paraId="1AF58F4A" w14:textId="77777777" w:rsidTr="00D55AD4">
        <w:trPr>
          <w:trHeight w:val="907"/>
        </w:trPr>
        <w:tc>
          <w:tcPr>
            <w:tcW w:w="490" w:type="dxa"/>
          </w:tcPr>
          <w:p w14:paraId="26376199"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12.1</w:t>
            </w:r>
          </w:p>
        </w:tc>
        <w:tc>
          <w:tcPr>
            <w:tcW w:w="2562" w:type="dxa"/>
          </w:tcPr>
          <w:p w14:paraId="35A7ED32" w14:textId="77777777" w:rsidR="00042BD7" w:rsidRPr="00A4013A" w:rsidRDefault="00042BD7" w:rsidP="0083780F">
            <w:pPr>
              <w:spacing w:after="0"/>
              <w:outlineLvl w:val="0"/>
              <w:rPr>
                <w:rFonts w:ascii="Times New Roman" w:hAnsi="Times New Roman" w:cs="Times New Roman"/>
              </w:rPr>
            </w:pPr>
            <w:r w:rsidRPr="00A4013A">
              <w:rPr>
                <w:rFonts w:ascii="Times New Roman" w:hAnsi="Times New Roman" w:cs="Times New Roman"/>
              </w:rPr>
              <w:t>PN-EN 858 -1:2005/A1:2005</w:t>
            </w:r>
          </w:p>
          <w:p w14:paraId="06437401" w14:textId="77777777" w:rsidR="00042BD7" w:rsidRPr="00A4013A" w:rsidRDefault="00042BD7" w:rsidP="0083780F">
            <w:pPr>
              <w:spacing w:after="0"/>
              <w:jc w:val="center"/>
              <w:rPr>
                <w:rFonts w:ascii="Times New Roman" w:hAnsi="Times New Roman" w:cs="Times New Roman"/>
              </w:rPr>
            </w:pPr>
          </w:p>
        </w:tc>
        <w:tc>
          <w:tcPr>
            <w:tcW w:w="5742" w:type="dxa"/>
          </w:tcPr>
          <w:p w14:paraId="64C5FFDC" w14:textId="77777777" w:rsidR="00042BD7" w:rsidRPr="0083780F" w:rsidRDefault="00042BD7" w:rsidP="0083780F">
            <w:pPr>
              <w:spacing w:after="0"/>
              <w:rPr>
                <w:rFonts w:ascii="Times New Roman" w:hAnsi="Times New Roman" w:cs="Times New Roman"/>
              </w:rPr>
            </w:pPr>
            <w:r w:rsidRPr="0083780F">
              <w:rPr>
                <w:rFonts w:ascii="Times New Roman" w:hAnsi="Times New Roman" w:cs="Times New Roman"/>
              </w:rPr>
              <w:t xml:space="preserve">Instalacje oddzielaczy lekkich płynów (np. olej i benzyna) -- Część 1: Zasady projektowania wyrobu, właściwości użytkowe i badania, </w:t>
            </w:r>
            <w:r w:rsidR="0083780F" w:rsidRPr="0083780F">
              <w:rPr>
                <w:rFonts w:ascii="Times New Roman" w:hAnsi="Times New Roman" w:cs="Times New Roman"/>
              </w:rPr>
              <w:t>znakowanie i sterowanie jakością.</w:t>
            </w:r>
            <w:r w:rsidR="0083780F" w:rsidRPr="0083780F">
              <w:rPr>
                <w:rFonts w:ascii="Times New Roman" w:hAnsi="Times New Roman" w:cs="Times New Roman"/>
              </w:rPr>
              <w:tab/>
            </w:r>
          </w:p>
        </w:tc>
      </w:tr>
      <w:tr w:rsidR="00042BD7" w:rsidRPr="00A4013A" w14:paraId="50FCE785" w14:textId="77777777" w:rsidTr="00D55AD4">
        <w:trPr>
          <w:trHeight w:val="372"/>
        </w:trPr>
        <w:tc>
          <w:tcPr>
            <w:tcW w:w="490" w:type="dxa"/>
          </w:tcPr>
          <w:p w14:paraId="5986C0BB"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lastRenderedPageBreak/>
              <w:t>13.</w:t>
            </w:r>
          </w:p>
        </w:tc>
        <w:tc>
          <w:tcPr>
            <w:tcW w:w="2562" w:type="dxa"/>
          </w:tcPr>
          <w:p w14:paraId="219C9E47" w14:textId="77777777" w:rsidR="00042BD7" w:rsidRPr="00A4013A" w:rsidRDefault="00042BD7" w:rsidP="00042BD7">
            <w:pPr>
              <w:spacing w:before="100" w:beforeAutospacing="1" w:after="100" w:afterAutospacing="1"/>
              <w:outlineLvl w:val="0"/>
              <w:rPr>
                <w:rFonts w:ascii="Times New Roman" w:hAnsi="Times New Roman" w:cs="Times New Roman"/>
              </w:rPr>
            </w:pPr>
            <w:r w:rsidRPr="00A4013A">
              <w:rPr>
                <w:rFonts w:ascii="Times New Roman" w:hAnsi="Times New Roman" w:cs="Times New Roman"/>
              </w:rPr>
              <w:t>PN–B-14501 :1990</w:t>
            </w:r>
          </w:p>
        </w:tc>
        <w:tc>
          <w:tcPr>
            <w:tcW w:w="5742" w:type="dxa"/>
          </w:tcPr>
          <w:p w14:paraId="1070C331"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Zaprawy budowlane zwykłe</w:t>
            </w:r>
          </w:p>
        </w:tc>
      </w:tr>
      <w:tr w:rsidR="00042BD7" w:rsidRPr="00A4013A" w14:paraId="622E7FA4" w14:textId="77777777" w:rsidTr="00D55AD4">
        <w:trPr>
          <w:trHeight w:val="372"/>
        </w:trPr>
        <w:tc>
          <w:tcPr>
            <w:tcW w:w="490" w:type="dxa"/>
          </w:tcPr>
          <w:p w14:paraId="114AC66A" w14:textId="77777777" w:rsidR="00042BD7" w:rsidRPr="00A4013A" w:rsidRDefault="00042BD7" w:rsidP="00042BD7">
            <w:pPr>
              <w:rPr>
                <w:rFonts w:ascii="Times New Roman" w:hAnsi="Times New Roman" w:cs="Times New Roman"/>
              </w:rPr>
            </w:pPr>
            <w:r w:rsidRPr="00A4013A">
              <w:rPr>
                <w:rFonts w:ascii="Times New Roman" w:hAnsi="Times New Roman" w:cs="Times New Roman"/>
              </w:rPr>
              <w:t>13.1</w:t>
            </w:r>
          </w:p>
        </w:tc>
        <w:tc>
          <w:tcPr>
            <w:tcW w:w="2562" w:type="dxa"/>
          </w:tcPr>
          <w:p w14:paraId="7CAA95F7"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PN-ISO 4359</w:t>
            </w:r>
          </w:p>
        </w:tc>
        <w:tc>
          <w:tcPr>
            <w:tcW w:w="5742" w:type="dxa"/>
          </w:tcPr>
          <w:p w14:paraId="37480D2E" w14:textId="77777777" w:rsidR="00042BD7" w:rsidRPr="00A4013A" w:rsidRDefault="00042BD7" w:rsidP="00042BD7">
            <w:pPr>
              <w:jc w:val="both"/>
              <w:rPr>
                <w:rFonts w:ascii="Times New Roman" w:hAnsi="Times New Roman" w:cs="Times New Roman"/>
              </w:rPr>
            </w:pPr>
            <w:r w:rsidRPr="00A4013A">
              <w:rPr>
                <w:rFonts w:ascii="Times New Roman" w:hAnsi="Times New Roman" w:cs="Times New Roman"/>
              </w:rPr>
              <w:t>Pomiary przepływu cieczy w korytach otwartych -- Koryta pomiarowe prostokątne, trapezowe i U-kształtne</w:t>
            </w:r>
          </w:p>
        </w:tc>
      </w:tr>
    </w:tbl>
    <w:p w14:paraId="2CE39FEE" w14:textId="77777777" w:rsidR="0083780F" w:rsidRDefault="0083780F" w:rsidP="0083780F">
      <w:pPr>
        <w:keepNext/>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p>
    <w:p w14:paraId="337B2FC6" w14:textId="77777777" w:rsidR="00042BD7" w:rsidRDefault="00042BD7" w:rsidP="00904E6C">
      <w:pPr>
        <w:keepNext/>
        <w:numPr>
          <w:ilvl w:val="1"/>
          <w:numId w:val="66"/>
        </w:numPr>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r w:rsidRPr="00A4013A">
        <w:rPr>
          <w:rFonts w:ascii="Times New Roman" w:hAnsi="Times New Roman" w:cs="Times New Roman"/>
          <w:b/>
        </w:rPr>
        <w:t>Inne dokumenty</w:t>
      </w:r>
    </w:p>
    <w:p w14:paraId="17E48F41" w14:textId="77777777" w:rsidR="00D55AD4" w:rsidRPr="00A4013A" w:rsidRDefault="00D55AD4" w:rsidP="00D55AD4">
      <w:pPr>
        <w:keepNext/>
        <w:overflowPunct w:val="0"/>
        <w:autoSpaceDE w:val="0"/>
        <w:autoSpaceDN w:val="0"/>
        <w:adjustRightInd w:val="0"/>
        <w:spacing w:after="0" w:line="240" w:lineRule="auto"/>
        <w:ind w:left="432"/>
        <w:jc w:val="both"/>
        <w:textAlignment w:val="baseline"/>
        <w:outlineLvl w:val="1"/>
        <w:rPr>
          <w:rFonts w:ascii="Times New Roman" w:hAnsi="Times New Roman" w:cs="Times New Roman"/>
          <w:b/>
        </w:rPr>
      </w:pPr>
    </w:p>
    <w:tbl>
      <w:tblPr>
        <w:tblW w:w="0" w:type="auto"/>
        <w:tblCellMar>
          <w:left w:w="70" w:type="dxa"/>
          <w:right w:w="70" w:type="dxa"/>
        </w:tblCellMar>
        <w:tblLook w:val="04A0" w:firstRow="1" w:lastRow="0" w:firstColumn="1" w:lastColumn="0" w:noHBand="0" w:noVBand="1"/>
      </w:tblPr>
      <w:tblGrid>
        <w:gridCol w:w="496"/>
        <w:gridCol w:w="8151"/>
      </w:tblGrid>
      <w:tr w:rsidR="00042BD7" w:rsidRPr="00A4013A" w14:paraId="688155B2" w14:textId="77777777" w:rsidTr="00D55AD4">
        <w:tc>
          <w:tcPr>
            <w:tcW w:w="496" w:type="dxa"/>
            <w:hideMark/>
          </w:tcPr>
          <w:p w14:paraId="36587FAA" w14:textId="77777777" w:rsidR="00042BD7" w:rsidRPr="00A4013A" w:rsidRDefault="00D55AD4" w:rsidP="00042BD7">
            <w:pPr>
              <w:jc w:val="both"/>
              <w:rPr>
                <w:rFonts w:ascii="Times New Roman" w:hAnsi="Times New Roman" w:cs="Times New Roman"/>
              </w:rPr>
            </w:pPr>
            <w:r>
              <w:rPr>
                <w:rFonts w:ascii="Times New Roman" w:hAnsi="Times New Roman" w:cs="Times New Roman"/>
              </w:rPr>
              <w:t>1.</w:t>
            </w:r>
          </w:p>
        </w:tc>
        <w:tc>
          <w:tcPr>
            <w:tcW w:w="8151" w:type="dxa"/>
            <w:hideMark/>
          </w:tcPr>
          <w:p w14:paraId="7C26686F" w14:textId="77777777" w:rsidR="00042BD7" w:rsidRPr="00D55AD4" w:rsidRDefault="00042BD7" w:rsidP="00D55AD4">
            <w:pPr>
              <w:pStyle w:val="Nagwek2"/>
              <w:spacing w:before="0" w:line="240" w:lineRule="auto"/>
              <w:rPr>
                <w:b w:val="0"/>
                <w:sz w:val="22"/>
                <w:szCs w:val="22"/>
                <w:u w:val="none"/>
                <w:lang w:eastAsia="ar-SA"/>
              </w:rPr>
            </w:pPr>
            <w:r w:rsidRPr="00D55AD4">
              <w:rPr>
                <w:b w:val="0"/>
                <w:sz w:val="22"/>
                <w:szCs w:val="22"/>
                <w:u w:val="none"/>
                <w:lang w:eastAsia="ar-SA"/>
              </w:rPr>
              <w:t>Obwieszczenie Marszałka Sejmu Rzeczypospolitej Polskiej z dnia 15 czerwca 2021 r. w sprawie ogłoszenia jednolitego tekstu ustawy o wyrobach budowlanych (Dz. U. 2021 poz. 1213).</w:t>
            </w:r>
          </w:p>
        </w:tc>
      </w:tr>
      <w:tr w:rsidR="00042BD7" w:rsidRPr="00A4013A" w14:paraId="769A19C1" w14:textId="77777777" w:rsidTr="00D55AD4">
        <w:tc>
          <w:tcPr>
            <w:tcW w:w="496" w:type="dxa"/>
            <w:hideMark/>
          </w:tcPr>
          <w:p w14:paraId="44C172BE" w14:textId="77777777" w:rsidR="00042BD7" w:rsidRPr="00A4013A" w:rsidRDefault="00D55AD4" w:rsidP="00042BD7">
            <w:pPr>
              <w:jc w:val="both"/>
              <w:rPr>
                <w:rFonts w:ascii="Times New Roman" w:hAnsi="Times New Roman" w:cs="Times New Roman"/>
              </w:rPr>
            </w:pPr>
            <w:r>
              <w:rPr>
                <w:rFonts w:ascii="Times New Roman" w:hAnsi="Times New Roman" w:cs="Times New Roman"/>
              </w:rPr>
              <w:t>2.</w:t>
            </w:r>
          </w:p>
        </w:tc>
        <w:tc>
          <w:tcPr>
            <w:tcW w:w="8151" w:type="dxa"/>
            <w:hideMark/>
          </w:tcPr>
          <w:p w14:paraId="4C5BBE23" w14:textId="77777777" w:rsidR="00042BD7" w:rsidRPr="00A4013A" w:rsidRDefault="00042BD7" w:rsidP="00D55AD4">
            <w:pPr>
              <w:spacing w:after="0" w:line="240" w:lineRule="auto"/>
              <w:jc w:val="both"/>
              <w:rPr>
                <w:rFonts w:ascii="Times New Roman" w:hAnsi="Times New Roman" w:cs="Times New Roman"/>
              </w:rPr>
            </w:pPr>
            <w:r w:rsidRPr="00A4013A">
              <w:rPr>
                <w:rFonts w:ascii="Times New Roman" w:hAnsi="Times New Roman" w:cs="Times New Roman"/>
              </w:rPr>
              <w:t>„Katalog powtarzalnych elementów drogowych”. „Transprojekt” - Warszawa, 1979-1982 r.</w:t>
            </w:r>
          </w:p>
        </w:tc>
      </w:tr>
      <w:tr w:rsidR="00042BD7" w:rsidRPr="00A4013A" w14:paraId="130A7724" w14:textId="77777777" w:rsidTr="00D55AD4">
        <w:tc>
          <w:tcPr>
            <w:tcW w:w="496" w:type="dxa"/>
            <w:hideMark/>
          </w:tcPr>
          <w:p w14:paraId="10DB078A" w14:textId="77777777" w:rsidR="00042BD7" w:rsidRPr="00A4013A" w:rsidRDefault="00D55AD4" w:rsidP="00042BD7">
            <w:pPr>
              <w:jc w:val="both"/>
              <w:rPr>
                <w:rFonts w:ascii="Times New Roman" w:hAnsi="Times New Roman" w:cs="Times New Roman"/>
              </w:rPr>
            </w:pPr>
            <w:r>
              <w:rPr>
                <w:rFonts w:ascii="Times New Roman" w:hAnsi="Times New Roman" w:cs="Times New Roman"/>
              </w:rPr>
              <w:t>3</w:t>
            </w:r>
            <w:r w:rsidR="00042BD7" w:rsidRPr="00A4013A">
              <w:rPr>
                <w:rFonts w:ascii="Times New Roman" w:hAnsi="Times New Roman" w:cs="Times New Roman"/>
              </w:rPr>
              <w:t>.</w:t>
            </w:r>
          </w:p>
        </w:tc>
        <w:tc>
          <w:tcPr>
            <w:tcW w:w="8151" w:type="dxa"/>
            <w:hideMark/>
          </w:tcPr>
          <w:p w14:paraId="3DBCE784" w14:textId="77777777" w:rsidR="00042BD7" w:rsidRPr="00A4013A" w:rsidRDefault="00042BD7" w:rsidP="00D55AD4">
            <w:pPr>
              <w:spacing w:after="0" w:line="240" w:lineRule="auto"/>
              <w:jc w:val="both"/>
              <w:rPr>
                <w:rFonts w:ascii="Times New Roman" w:hAnsi="Times New Roman" w:cs="Times New Roman"/>
              </w:rPr>
            </w:pPr>
            <w:r w:rsidRPr="00A4013A">
              <w:rPr>
                <w:rFonts w:ascii="Times New Roman" w:hAnsi="Times New Roman" w:cs="Times New Roman"/>
              </w:rPr>
              <w:t>Obwieszczenie Ministra Infrastruktury i Budownictwa z dnia 23 grudnia 2015 r. w sprawie ogłoszenia jednolitego tekstu rozporządzenia Ministra Transportu i Gospodarki Morskiej w sprawie warunków technicznych, jakim powinny odpowiadać drogi publiczne i ich usytuowanie (Dz. U. 2019 poz. 1643).</w:t>
            </w:r>
          </w:p>
        </w:tc>
      </w:tr>
      <w:tr w:rsidR="00042BD7" w:rsidRPr="00A4013A" w14:paraId="2ACD17B2" w14:textId="77777777" w:rsidTr="00D55AD4">
        <w:tc>
          <w:tcPr>
            <w:tcW w:w="496" w:type="dxa"/>
            <w:hideMark/>
          </w:tcPr>
          <w:p w14:paraId="13895ECC" w14:textId="77777777" w:rsidR="00042BD7" w:rsidRPr="00A4013A" w:rsidRDefault="00D55AD4" w:rsidP="00D55AD4">
            <w:pPr>
              <w:spacing w:after="0"/>
              <w:jc w:val="both"/>
              <w:rPr>
                <w:rFonts w:ascii="Times New Roman" w:hAnsi="Times New Roman" w:cs="Times New Roman"/>
              </w:rPr>
            </w:pPr>
            <w:r>
              <w:rPr>
                <w:rFonts w:ascii="Times New Roman" w:hAnsi="Times New Roman" w:cs="Times New Roman"/>
              </w:rPr>
              <w:t>4</w:t>
            </w:r>
            <w:r w:rsidR="00042BD7" w:rsidRPr="00A4013A">
              <w:rPr>
                <w:rFonts w:ascii="Times New Roman" w:hAnsi="Times New Roman" w:cs="Times New Roman"/>
              </w:rPr>
              <w:t>.</w:t>
            </w:r>
          </w:p>
        </w:tc>
        <w:tc>
          <w:tcPr>
            <w:tcW w:w="8151" w:type="dxa"/>
            <w:hideMark/>
          </w:tcPr>
          <w:p w14:paraId="18066CDD" w14:textId="77777777" w:rsidR="00042BD7" w:rsidRPr="00A4013A" w:rsidRDefault="00042BD7" w:rsidP="00D55AD4">
            <w:pPr>
              <w:spacing w:after="0" w:line="240" w:lineRule="auto"/>
              <w:jc w:val="both"/>
              <w:rPr>
                <w:rFonts w:ascii="Times New Roman" w:hAnsi="Times New Roman" w:cs="Times New Roman"/>
              </w:rPr>
            </w:pPr>
            <w:r w:rsidRPr="00A4013A">
              <w:rPr>
                <w:rFonts w:ascii="Times New Roman" w:hAnsi="Times New Roman" w:cs="Times New Roman"/>
              </w:rPr>
              <w:t>Katalog budownictwa</w:t>
            </w:r>
          </w:p>
          <w:p w14:paraId="498B08F7" w14:textId="77777777" w:rsidR="00042BD7" w:rsidRPr="00A4013A" w:rsidRDefault="00042BD7" w:rsidP="00D55AD4">
            <w:pPr>
              <w:pStyle w:val="Akapitzlist"/>
              <w:numPr>
                <w:ilvl w:val="0"/>
                <w:numId w:val="65"/>
              </w:numPr>
              <w:textAlignment w:val="auto"/>
              <w:rPr>
                <w:sz w:val="22"/>
                <w:szCs w:val="22"/>
              </w:rPr>
            </w:pPr>
            <w:r w:rsidRPr="00A4013A">
              <w:rPr>
                <w:sz w:val="22"/>
                <w:szCs w:val="22"/>
              </w:rPr>
              <w:t>KB4-4.12.1.(6)     Studzienki połączeniowe (lipiec 1980)</w:t>
            </w:r>
          </w:p>
          <w:p w14:paraId="75E3CBC9" w14:textId="77777777" w:rsidR="00042BD7" w:rsidRPr="00A4013A" w:rsidRDefault="00042BD7" w:rsidP="00D55AD4">
            <w:pPr>
              <w:pStyle w:val="Akapitzlist"/>
              <w:numPr>
                <w:ilvl w:val="0"/>
                <w:numId w:val="65"/>
              </w:numPr>
              <w:textAlignment w:val="auto"/>
              <w:rPr>
                <w:sz w:val="22"/>
                <w:szCs w:val="22"/>
              </w:rPr>
            </w:pPr>
            <w:r w:rsidRPr="00A4013A">
              <w:rPr>
                <w:sz w:val="22"/>
                <w:szCs w:val="22"/>
              </w:rPr>
              <w:t>KB4-4.12.1.(7)     Studzienki przelotowe (lipiec 1980)</w:t>
            </w:r>
          </w:p>
          <w:p w14:paraId="3F0DD8FA" w14:textId="77777777" w:rsidR="00042BD7" w:rsidRPr="00A4013A" w:rsidRDefault="00042BD7" w:rsidP="00D55AD4">
            <w:pPr>
              <w:pStyle w:val="Akapitzlist"/>
              <w:numPr>
                <w:ilvl w:val="0"/>
                <w:numId w:val="65"/>
              </w:numPr>
              <w:textAlignment w:val="auto"/>
              <w:rPr>
                <w:sz w:val="22"/>
                <w:szCs w:val="22"/>
              </w:rPr>
            </w:pPr>
            <w:r w:rsidRPr="00A4013A">
              <w:rPr>
                <w:sz w:val="22"/>
                <w:szCs w:val="22"/>
              </w:rPr>
              <w:t>KB4-4.12.1.(8)     Studzienki spadowe (lipiec 1980)</w:t>
            </w:r>
          </w:p>
          <w:p w14:paraId="1149CB83" w14:textId="77777777" w:rsidR="00042BD7" w:rsidRPr="00A4013A" w:rsidRDefault="00042BD7" w:rsidP="00D55AD4">
            <w:pPr>
              <w:pStyle w:val="Akapitzlist"/>
              <w:numPr>
                <w:ilvl w:val="0"/>
                <w:numId w:val="65"/>
              </w:numPr>
              <w:textAlignment w:val="auto"/>
              <w:rPr>
                <w:sz w:val="22"/>
                <w:szCs w:val="22"/>
              </w:rPr>
            </w:pPr>
            <w:r w:rsidRPr="00A4013A">
              <w:rPr>
                <w:sz w:val="22"/>
                <w:szCs w:val="22"/>
              </w:rPr>
              <w:t>KB4-4.12.1.(11)   Studzienki ślepe (lipiec 1980)</w:t>
            </w:r>
          </w:p>
          <w:p w14:paraId="57110827" w14:textId="77777777" w:rsidR="00042BD7" w:rsidRPr="00A4013A" w:rsidRDefault="00042BD7" w:rsidP="00D55AD4">
            <w:pPr>
              <w:pStyle w:val="Akapitzlist"/>
              <w:numPr>
                <w:ilvl w:val="0"/>
                <w:numId w:val="65"/>
              </w:numPr>
              <w:textAlignment w:val="auto"/>
              <w:rPr>
                <w:sz w:val="22"/>
                <w:szCs w:val="22"/>
              </w:rPr>
            </w:pPr>
            <w:r w:rsidRPr="00A4013A">
              <w:rPr>
                <w:sz w:val="22"/>
                <w:szCs w:val="22"/>
              </w:rPr>
              <w:t>KB4-3.3.1.10.(1)  Studzienki ściekowe do odwodnienia dróg (październik 1983)</w:t>
            </w:r>
          </w:p>
          <w:p w14:paraId="43729669" w14:textId="77777777" w:rsidR="00042BD7" w:rsidRPr="00A4013A" w:rsidRDefault="00042BD7" w:rsidP="00D55AD4">
            <w:pPr>
              <w:pStyle w:val="Akapitzlist"/>
              <w:numPr>
                <w:ilvl w:val="0"/>
                <w:numId w:val="65"/>
              </w:numPr>
              <w:textAlignment w:val="auto"/>
              <w:rPr>
                <w:sz w:val="22"/>
                <w:szCs w:val="22"/>
              </w:rPr>
            </w:pPr>
            <w:r w:rsidRPr="00A4013A">
              <w:rPr>
                <w:sz w:val="22"/>
                <w:szCs w:val="22"/>
              </w:rPr>
              <w:t xml:space="preserve">KB1-22.2.6.(6)     Kręgi betonowe średnicy </w:t>
            </w:r>
            <w:smartTag w:uri="urn:schemas-microsoft-com:office:smarttags" w:element="metricconverter">
              <w:smartTagPr>
                <w:attr w:name="ProductID" w:val="50 cm"/>
              </w:smartTagPr>
              <w:r w:rsidRPr="00A4013A">
                <w:rPr>
                  <w:sz w:val="22"/>
                  <w:szCs w:val="22"/>
                </w:rPr>
                <w:t>50 cm</w:t>
              </w:r>
            </w:smartTag>
            <w:r w:rsidRPr="00A4013A">
              <w:rPr>
                <w:sz w:val="22"/>
                <w:szCs w:val="22"/>
              </w:rPr>
              <w:t>; wysokości 30 lub  60 cm</w:t>
            </w:r>
          </w:p>
          <w:p w14:paraId="1E01169C" w14:textId="77777777" w:rsidR="00042BD7" w:rsidRPr="00A4013A" w:rsidRDefault="00D55AD4" w:rsidP="00D55AD4">
            <w:pPr>
              <w:tabs>
                <w:tab w:val="left" w:pos="2630"/>
              </w:tabs>
              <w:spacing w:after="0" w:line="240" w:lineRule="auto"/>
              <w:ind w:firstLine="708"/>
              <w:jc w:val="both"/>
              <w:rPr>
                <w:rFonts w:ascii="Times New Roman" w:hAnsi="Times New Roman" w:cs="Times New Roman"/>
              </w:rPr>
            </w:pPr>
            <w:r>
              <w:rPr>
                <w:rFonts w:ascii="Times New Roman" w:hAnsi="Times New Roman" w:cs="Times New Roman"/>
              </w:rPr>
              <w:tab/>
            </w:r>
          </w:p>
        </w:tc>
      </w:tr>
      <w:tr w:rsidR="00042BD7" w:rsidRPr="00A4013A" w14:paraId="13BD755A" w14:textId="77777777" w:rsidTr="00D55AD4">
        <w:tc>
          <w:tcPr>
            <w:tcW w:w="496" w:type="dxa"/>
            <w:hideMark/>
          </w:tcPr>
          <w:p w14:paraId="1912C3E9" w14:textId="77777777" w:rsidR="00042BD7" w:rsidRPr="00A4013A" w:rsidRDefault="00D55AD4" w:rsidP="00042BD7">
            <w:pPr>
              <w:jc w:val="both"/>
              <w:rPr>
                <w:rFonts w:ascii="Times New Roman" w:hAnsi="Times New Roman" w:cs="Times New Roman"/>
              </w:rPr>
            </w:pPr>
            <w:r>
              <w:rPr>
                <w:rFonts w:ascii="Times New Roman" w:hAnsi="Times New Roman" w:cs="Times New Roman"/>
              </w:rPr>
              <w:t>5</w:t>
            </w:r>
            <w:r w:rsidR="00042BD7" w:rsidRPr="00A4013A">
              <w:rPr>
                <w:rFonts w:ascii="Times New Roman" w:hAnsi="Times New Roman" w:cs="Times New Roman"/>
              </w:rPr>
              <w:t>.</w:t>
            </w:r>
          </w:p>
        </w:tc>
        <w:tc>
          <w:tcPr>
            <w:tcW w:w="8151" w:type="dxa"/>
            <w:hideMark/>
          </w:tcPr>
          <w:p w14:paraId="7FF2769E" w14:textId="77777777" w:rsidR="00042BD7" w:rsidRPr="00A4013A" w:rsidRDefault="00042BD7" w:rsidP="00D55AD4">
            <w:pPr>
              <w:spacing w:line="240" w:lineRule="auto"/>
              <w:jc w:val="both"/>
              <w:rPr>
                <w:rFonts w:ascii="Times New Roman" w:hAnsi="Times New Roman" w:cs="Times New Roman"/>
              </w:rPr>
            </w:pPr>
            <w:r w:rsidRPr="00A4013A">
              <w:rPr>
                <w:rFonts w:ascii="Times New Roman" w:hAnsi="Times New Roman" w:cs="Times New Roman"/>
              </w:rPr>
              <w:t xml:space="preserve">Edel Roman </w:t>
            </w:r>
            <w:r w:rsidRPr="00A4013A">
              <w:rPr>
                <w:rFonts w:ascii="Times New Roman" w:hAnsi="Times New Roman" w:cs="Times New Roman"/>
                <w:i/>
              </w:rPr>
              <w:t>Odwodnienie dróg</w:t>
            </w:r>
            <w:r w:rsidRPr="00A4013A">
              <w:rPr>
                <w:rFonts w:ascii="Times New Roman" w:hAnsi="Times New Roman" w:cs="Times New Roman"/>
              </w:rPr>
              <w:t>. Warszawa: Wydawnictwa Komunikacji i Łączności WKŁ, 2016</w:t>
            </w:r>
          </w:p>
        </w:tc>
      </w:tr>
    </w:tbl>
    <w:p w14:paraId="664BAB2D" w14:textId="77777777" w:rsidR="00042BD7" w:rsidRPr="00A4013A" w:rsidRDefault="00042BD7" w:rsidP="00042BD7">
      <w:pPr>
        <w:tabs>
          <w:tab w:val="left" w:pos="6855"/>
        </w:tabs>
        <w:rPr>
          <w:rFonts w:ascii="Times New Roman" w:hAnsi="Times New Roman" w:cs="Times New Roman"/>
        </w:rPr>
      </w:pPr>
    </w:p>
    <w:p w14:paraId="7FF2C100" w14:textId="77777777" w:rsidR="00952024" w:rsidRDefault="00952024">
      <w:pPr>
        <w:rPr>
          <w:rFonts w:ascii="Times New Roman" w:hAnsi="Times New Roman" w:cs="Times New Roman"/>
          <w:b/>
          <w:color w:val="000000" w:themeColor="text1"/>
        </w:rPr>
      </w:pPr>
      <w:r>
        <w:rPr>
          <w:rFonts w:ascii="Times New Roman" w:hAnsi="Times New Roman" w:cs="Times New Roman"/>
          <w:b/>
          <w:color w:val="000000" w:themeColor="text1"/>
        </w:rPr>
        <w:br w:type="page"/>
      </w:r>
    </w:p>
    <w:p w14:paraId="1EE30D2C" w14:textId="77777777" w:rsidR="00955A27" w:rsidRPr="00D33C82" w:rsidRDefault="00955A27" w:rsidP="00955A27">
      <w:pPr>
        <w:overflowPunct w:val="0"/>
        <w:autoSpaceDE w:val="0"/>
        <w:autoSpaceDN w:val="0"/>
        <w:adjustRightInd w:val="0"/>
        <w:spacing w:after="120" w:line="360" w:lineRule="auto"/>
        <w:rPr>
          <w:rFonts w:ascii="Times New Roman" w:hAnsi="Times New Roman" w:cs="Times New Roman"/>
          <w:b/>
          <w:color w:val="000000" w:themeColor="text1"/>
        </w:rPr>
      </w:pPr>
      <w:r w:rsidRPr="00D33C82">
        <w:rPr>
          <w:rFonts w:ascii="Times New Roman" w:hAnsi="Times New Roman" w:cs="Times New Roman"/>
          <w:b/>
          <w:color w:val="000000" w:themeColor="text1"/>
        </w:rPr>
        <w:lastRenderedPageBreak/>
        <w:t>S.03.01.03 – SIEĆ GAZOWA</w:t>
      </w:r>
    </w:p>
    <w:p w14:paraId="077D0151" w14:textId="77777777" w:rsidR="00D33C82" w:rsidRPr="00226EA6" w:rsidRDefault="00D33C82" w:rsidP="00904E6C">
      <w:pPr>
        <w:pStyle w:val="Nagwek1"/>
        <w:keepLines/>
        <w:numPr>
          <w:ilvl w:val="0"/>
          <w:numId w:val="78"/>
        </w:numPr>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line="240" w:lineRule="auto"/>
        <w:jc w:val="both"/>
        <w:rPr>
          <w:sz w:val="22"/>
          <w:szCs w:val="22"/>
        </w:rPr>
      </w:pPr>
      <w:r w:rsidRPr="00226EA6">
        <w:rPr>
          <w:sz w:val="22"/>
          <w:szCs w:val="22"/>
        </w:rPr>
        <w:t>WSTĘP</w:t>
      </w:r>
    </w:p>
    <w:p w14:paraId="61A839F8" w14:textId="77777777" w:rsidR="00D33C82" w:rsidRPr="00226EA6" w:rsidRDefault="00D33C82" w:rsidP="00904E6C">
      <w:pPr>
        <w:pStyle w:val="Akapitzlist"/>
        <w:keepNext/>
        <w:numPr>
          <w:ilvl w:val="1"/>
          <w:numId w:val="72"/>
        </w:numPr>
        <w:spacing w:line="276" w:lineRule="auto"/>
        <w:ind w:left="426" w:hanging="426"/>
        <w:textAlignment w:val="auto"/>
        <w:outlineLvl w:val="1"/>
        <w:rPr>
          <w:b/>
          <w:sz w:val="22"/>
          <w:szCs w:val="22"/>
        </w:rPr>
      </w:pPr>
      <w:r w:rsidRPr="00226EA6">
        <w:rPr>
          <w:b/>
          <w:sz w:val="22"/>
          <w:szCs w:val="22"/>
        </w:rPr>
        <w:t>Przedmiot ST</w:t>
      </w:r>
    </w:p>
    <w:p w14:paraId="0DC4CC1E" w14:textId="77777777" w:rsidR="00D33C82" w:rsidRPr="00226EA6" w:rsidRDefault="00D33C82" w:rsidP="00D33C82">
      <w:pPr>
        <w:tabs>
          <w:tab w:val="right" w:leader="dot" w:pos="-1985"/>
          <w:tab w:val="left" w:pos="284"/>
        </w:tabs>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r>
      <w:r w:rsidRPr="00226EA6">
        <w:rPr>
          <w:rFonts w:ascii="Times New Roman" w:eastAsia="Times New Roman" w:hAnsi="Times New Roman" w:cs="Times New Roman"/>
          <w:lang w:eastAsia="pl-PL"/>
        </w:rPr>
        <w:tab/>
        <w:t xml:space="preserve">Przedmiotem niniejszej specyfikacji technicznej (ST) są wymagania dotyczące wykonania i odbioru robót związanych z przebudową sieci gazowej w ramach realizacji zadania: </w:t>
      </w:r>
    </w:p>
    <w:p w14:paraId="51D75963" w14:textId="77777777" w:rsidR="00D33C82" w:rsidRPr="00226EA6" w:rsidRDefault="00D33C82" w:rsidP="00D33C82">
      <w:pPr>
        <w:tabs>
          <w:tab w:val="right" w:leader="dot" w:pos="-1985"/>
          <w:tab w:val="left" w:pos="284"/>
        </w:tabs>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 xml:space="preserve">„Rozbudowa drogi wojewódzkiej nr 461 w m. Dąbrówka Łubniańska i Łubniany” </w:t>
      </w:r>
    </w:p>
    <w:p w14:paraId="4D8D1789" w14:textId="77777777" w:rsidR="00D33C82" w:rsidRPr="00226EA6" w:rsidRDefault="00D33C82" w:rsidP="00D33C82">
      <w:pPr>
        <w:tabs>
          <w:tab w:val="right" w:leader="dot" w:pos="-1985"/>
          <w:tab w:val="left" w:pos="284"/>
        </w:tabs>
        <w:overflowPunct w:val="0"/>
        <w:autoSpaceDE w:val="0"/>
        <w:autoSpaceDN w:val="0"/>
        <w:adjustRightInd w:val="0"/>
        <w:spacing w:after="0"/>
        <w:jc w:val="both"/>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 Etap I”.</w:t>
      </w:r>
    </w:p>
    <w:p w14:paraId="38CCC42D" w14:textId="77777777" w:rsidR="00D33C82" w:rsidRPr="00226EA6" w:rsidRDefault="00D33C82" w:rsidP="00D33C82">
      <w:pPr>
        <w:tabs>
          <w:tab w:val="right" w:leader="dot" w:pos="-1985"/>
          <w:tab w:val="left" w:pos="284"/>
        </w:tabs>
        <w:overflowPunct w:val="0"/>
        <w:autoSpaceDE w:val="0"/>
        <w:autoSpaceDN w:val="0"/>
        <w:adjustRightInd w:val="0"/>
        <w:spacing w:after="0"/>
        <w:jc w:val="both"/>
        <w:rPr>
          <w:rFonts w:ascii="Times New Roman" w:eastAsia="Times New Roman" w:hAnsi="Times New Roman" w:cs="Times New Roman"/>
          <w:b/>
          <w:lang w:eastAsia="pl-PL"/>
        </w:rPr>
      </w:pPr>
    </w:p>
    <w:p w14:paraId="228ED149" w14:textId="77777777" w:rsidR="00D33C82" w:rsidRPr="00226EA6" w:rsidRDefault="00D33C82" w:rsidP="00904E6C">
      <w:pPr>
        <w:pStyle w:val="Akapitzlist"/>
        <w:keepNext/>
        <w:numPr>
          <w:ilvl w:val="1"/>
          <w:numId w:val="72"/>
        </w:numPr>
        <w:spacing w:line="276" w:lineRule="auto"/>
        <w:ind w:left="426" w:hanging="426"/>
        <w:textAlignment w:val="auto"/>
        <w:outlineLvl w:val="1"/>
        <w:rPr>
          <w:b/>
          <w:sz w:val="22"/>
          <w:szCs w:val="22"/>
        </w:rPr>
      </w:pPr>
      <w:r w:rsidRPr="00226EA6">
        <w:rPr>
          <w:b/>
          <w:sz w:val="22"/>
          <w:szCs w:val="22"/>
        </w:rPr>
        <w:t>Zakres stosowania ST</w:t>
      </w:r>
    </w:p>
    <w:p w14:paraId="5BFF9650"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Specyfikacja techniczna (ST) stanowi dokument przetargowy i kontraktowy przy zlecaniu i realizacji robót zgodnie z ustawą o zamówieniach publicznych, wymienionych w punkcie 1.1.</w:t>
      </w:r>
    </w:p>
    <w:p w14:paraId="77366F20"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color w:val="FF0000"/>
          <w:lang w:eastAsia="pl-PL"/>
        </w:rPr>
      </w:pPr>
    </w:p>
    <w:p w14:paraId="7E520653" w14:textId="77777777" w:rsidR="00D33C82" w:rsidRPr="00226EA6" w:rsidRDefault="00D33C82" w:rsidP="00904E6C">
      <w:pPr>
        <w:pStyle w:val="Akapitzlist"/>
        <w:keepNext/>
        <w:numPr>
          <w:ilvl w:val="1"/>
          <w:numId w:val="72"/>
        </w:numPr>
        <w:spacing w:line="276" w:lineRule="auto"/>
        <w:ind w:left="426"/>
        <w:textAlignment w:val="auto"/>
        <w:outlineLvl w:val="1"/>
        <w:rPr>
          <w:b/>
          <w:sz w:val="22"/>
          <w:szCs w:val="22"/>
        </w:rPr>
      </w:pPr>
      <w:r w:rsidRPr="00226EA6">
        <w:rPr>
          <w:b/>
          <w:sz w:val="22"/>
          <w:szCs w:val="22"/>
        </w:rPr>
        <w:t>Zakres robót objętych ST</w:t>
      </w:r>
    </w:p>
    <w:p w14:paraId="2BC986FB" w14:textId="77777777" w:rsidR="00D33C82" w:rsidRPr="00226EA6" w:rsidRDefault="00D33C82" w:rsidP="00D33C82">
      <w:pPr>
        <w:tabs>
          <w:tab w:val="left" w:pos="284"/>
          <w:tab w:val="left" w:pos="851"/>
          <w:tab w:val="left" w:pos="1701"/>
        </w:tabs>
        <w:spacing w:after="0"/>
        <w:ind w:firstLine="72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Roboty, których dotyczy niniejsza specyfikacja, obejmują wszystkie czynności umożliwiające wykonanie:</w:t>
      </w:r>
    </w:p>
    <w:p w14:paraId="6D4C0327" w14:textId="77777777" w:rsidR="00D33C82" w:rsidRPr="00226EA6" w:rsidRDefault="00D33C82" w:rsidP="00904E6C">
      <w:pPr>
        <w:pStyle w:val="Akapitzlist"/>
        <w:numPr>
          <w:ilvl w:val="0"/>
          <w:numId w:val="73"/>
        </w:numPr>
        <w:tabs>
          <w:tab w:val="left" w:pos="284"/>
          <w:tab w:val="left" w:pos="851"/>
          <w:tab w:val="left" w:pos="1701"/>
        </w:tabs>
        <w:overflowPunct/>
        <w:autoSpaceDE/>
        <w:autoSpaceDN/>
        <w:adjustRightInd/>
        <w:spacing w:after="200" w:line="276" w:lineRule="auto"/>
        <w:textAlignment w:val="auto"/>
        <w:rPr>
          <w:rFonts w:eastAsia="Calibri"/>
          <w:sz w:val="22"/>
          <w:szCs w:val="22"/>
        </w:rPr>
      </w:pPr>
      <w:r w:rsidRPr="00226EA6">
        <w:rPr>
          <w:rFonts w:eastAsia="Calibri"/>
          <w:sz w:val="22"/>
          <w:szCs w:val="22"/>
        </w:rPr>
        <w:t xml:space="preserve">przebudowy istniejącego gazociągu średniego ciśnienia </w:t>
      </w:r>
      <w:r w:rsidRPr="00226EA6">
        <w:rPr>
          <w:rFonts w:eastAsia="Calibri"/>
          <w:sz w:val="22"/>
          <w:szCs w:val="22"/>
        </w:rPr>
        <w:sym w:font="Symbol" w:char="F066"/>
      </w:r>
      <w:r w:rsidRPr="00226EA6">
        <w:rPr>
          <w:rFonts w:eastAsia="Calibri"/>
          <w:sz w:val="22"/>
          <w:szCs w:val="22"/>
        </w:rPr>
        <w:t xml:space="preserve">110 mm polietylenowego przy użyciu rurociągów PE 100RC SDR17 Dz110 </w:t>
      </w:r>
    </w:p>
    <w:p w14:paraId="1821E34F" w14:textId="77777777" w:rsidR="00D33C82" w:rsidRPr="00226EA6" w:rsidRDefault="00D33C82" w:rsidP="00904E6C">
      <w:pPr>
        <w:pStyle w:val="Akapitzlist"/>
        <w:numPr>
          <w:ilvl w:val="0"/>
          <w:numId w:val="73"/>
        </w:numPr>
        <w:tabs>
          <w:tab w:val="left" w:pos="284"/>
          <w:tab w:val="left" w:pos="851"/>
          <w:tab w:val="left" w:pos="1701"/>
        </w:tabs>
        <w:overflowPunct/>
        <w:autoSpaceDE/>
        <w:autoSpaceDN/>
        <w:adjustRightInd/>
        <w:spacing w:line="276" w:lineRule="auto"/>
        <w:textAlignment w:val="auto"/>
        <w:rPr>
          <w:rFonts w:eastAsia="Calibri"/>
          <w:sz w:val="22"/>
          <w:szCs w:val="22"/>
        </w:rPr>
      </w:pPr>
      <w:r w:rsidRPr="00226EA6">
        <w:rPr>
          <w:rFonts w:eastAsia="Calibri"/>
          <w:sz w:val="22"/>
          <w:szCs w:val="22"/>
        </w:rPr>
        <w:t xml:space="preserve">przebudowy istniejącego przyłącza gazu </w:t>
      </w:r>
      <w:r w:rsidRPr="00226EA6">
        <w:rPr>
          <w:rFonts w:eastAsia="Calibri"/>
          <w:sz w:val="22"/>
          <w:szCs w:val="22"/>
        </w:rPr>
        <w:sym w:font="Symbol" w:char="F066"/>
      </w:r>
      <w:r w:rsidRPr="00226EA6">
        <w:rPr>
          <w:rFonts w:eastAsia="Calibri"/>
          <w:sz w:val="22"/>
          <w:szCs w:val="22"/>
        </w:rPr>
        <w:t xml:space="preserve">32 mm polietylenowego przy użyciu rurociągów PE 100RC SDR11 Dz32 </w:t>
      </w:r>
    </w:p>
    <w:p w14:paraId="671A1627" w14:textId="77777777" w:rsidR="00D33C82" w:rsidRPr="0064736D" w:rsidRDefault="00D33C82" w:rsidP="00904E6C">
      <w:pPr>
        <w:pStyle w:val="Akapitzlist"/>
        <w:numPr>
          <w:ilvl w:val="0"/>
          <w:numId w:val="73"/>
        </w:numPr>
        <w:tabs>
          <w:tab w:val="left" w:pos="284"/>
          <w:tab w:val="left" w:pos="851"/>
          <w:tab w:val="left" w:pos="1701"/>
        </w:tabs>
        <w:overflowPunct/>
        <w:autoSpaceDE/>
        <w:autoSpaceDN/>
        <w:adjustRightInd/>
        <w:spacing w:line="276" w:lineRule="auto"/>
        <w:textAlignment w:val="auto"/>
        <w:rPr>
          <w:rFonts w:eastAsia="Calibri"/>
          <w:sz w:val="22"/>
          <w:szCs w:val="22"/>
        </w:rPr>
      </w:pPr>
      <w:r w:rsidRPr="00226EA6">
        <w:rPr>
          <w:rFonts w:eastAsia="Calibri"/>
          <w:sz w:val="22"/>
          <w:szCs w:val="22"/>
        </w:rPr>
        <w:t xml:space="preserve">przebudowy istniejących przyłączy gazu </w:t>
      </w:r>
      <w:r w:rsidRPr="00226EA6">
        <w:rPr>
          <w:rFonts w:eastAsia="Calibri"/>
          <w:sz w:val="22"/>
          <w:szCs w:val="22"/>
        </w:rPr>
        <w:sym w:font="Symbol" w:char="F066"/>
      </w:r>
      <w:r w:rsidRPr="00226EA6">
        <w:rPr>
          <w:rFonts w:eastAsia="Calibri"/>
          <w:sz w:val="22"/>
          <w:szCs w:val="22"/>
        </w:rPr>
        <w:t>25 mm polietylenowego przy użyciu rurociągów PE 100RC SDR11 Dz25</w:t>
      </w:r>
    </w:p>
    <w:p w14:paraId="6ED0C8CE" w14:textId="77777777" w:rsidR="00D33C82" w:rsidRPr="00226EA6" w:rsidRDefault="00D33C82" w:rsidP="00D33C82">
      <w:pPr>
        <w:ind w:firstLine="426"/>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Robotami towarzyszącymi przy budowie sieci gazowej, w zakresie jw., są: wykonywanie przekopów kontrolnych lokalizacji istniejącego uzbrojenia, wykonanie wykopów, umocnienia ścian wykopów, odwodnienie wykopów na czas montażu przewodu gazowego (w razie konieczności), wykonanie podsypki i obsypki, zasypanie wykopów materiałem o wymaganym zagęszczeniu. Do prac towarzyszących zalicza się: geodezyjne wytyczenie tras oraz inwentaryzacja powykonawcza tych rurociagów. Wykonawca również jest zobowiązany do wykonania niezbędnych prób, badań, pomiarów, zabezpieczeń i odbiorów technicznych. </w:t>
      </w:r>
    </w:p>
    <w:p w14:paraId="5AB48397" w14:textId="77777777" w:rsidR="00D33C82" w:rsidRPr="00226EA6" w:rsidRDefault="00D33C82" w:rsidP="00904E6C">
      <w:pPr>
        <w:pStyle w:val="Akapitzlist"/>
        <w:keepNext/>
        <w:numPr>
          <w:ilvl w:val="1"/>
          <w:numId w:val="72"/>
        </w:numPr>
        <w:spacing w:before="120" w:after="120"/>
        <w:ind w:left="426" w:hanging="426"/>
        <w:textAlignment w:val="auto"/>
        <w:outlineLvl w:val="1"/>
        <w:rPr>
          <w:b/>
          <w:sz w:val="22"/>
          <w:szCs w:val="22"/>
        </w:rPr>
      </w:pPr>
      <w:r w:rsidRPr="00226EA6">
        <w:rPr>
          <w:b/>
          <w:sz w:val="22"/>
          <w:szCs w:val="22"/>
        </w:rPr>
        <w:t>Określenia podstawowe</w:t>
      </w:r>
    </w:p>
    <w:p w14:paraId="5A292254" w14:textId="77777777" w:rsidR="00D33C82" w:rsidRPr="00226EA6" w:rsidRDefault="00D33C82" w:rsidP="00D33C82">
      <w:pPr>
        <w:overflowPunct w:val="0"/>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Określenia podstawowe są zgodne z obowiązującymi, odpowiednimi, polskimi normami oraz z definicjami podanymi w OST.</w:t>
      </w:r>
    </w:p>
    <w:p w14:paraId="7716CE9F" w14:textId="77777777" w:rsidR="00D33C82" w:rsidRPr="00226EA6" w:rsidRDefault="00D33C82" w:rsidP="00D33C82">
      <w:pPr>
        <w:overflowPunct w:val="0"/>
        <w:autoSpaceDE w:val="0"/>
        <w:autoSpaceDN w:val="0"/>
        <w:adjustRightInd w:val="0"/>
        <w:spacing w:before="12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1.5. Ogólne wymagania dotyczące robót</w:t>
      </w:r>
    </w:p>
    <w:p w14:paraId="4101AF5C"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Wszystkie roboty powinny być wykonane zgodnie z Dokumentacją Projektową oraz z zachowaniem wymagań ogólnej ST. Ogólne wymagania dotyczące robót podano w ST D-00.00.00 „Wymagania ogólne” pkt1.5.</w:t>
      </w:r>
    </w:p>
    <w:p w14:paraId="78B1312A" w14:textId="77777777" w:rsidR="00D33C82" w:rsidRPr="00226EA6" w:rsidRDefault="00D33C82" w:rsidP="00904E6C">
      <w:pPr>
        <w:pStyle w:val="Nagwek1"/>
        <w:keepLines/>
        <w:numPr>
          <w:ilvl w:val="0"/>
          <w:numId w:val="78"/>
        </w:numPr>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line="240" w:lineRule="auto"/>
        <w:jc w:val="both"/>
        <w:rPr>
          <w:sz w:val="22"/>
          <w:szCs w:val="22"/>
        </w:rPr>
      </w:pPr>
      <w:bookmarkStart w:id="286" w:name="_Toc130791326"/>
      <w:bookmarkStart w:id="287" w:name="_Toc130791307"/>
      <w:r w:rsidRPr="00226EA6">
        <w:rPr>
          <w:sz w:val="22"/>
          <w:szCs w:val="22"/>
        </w:rPr>
        <w:t>MATERIAŁY</w:t>
      </w:r>
      <w:bookmarkEnd w:id="286"/>
      <w:bookmarkEnd w:id="287"/>
    </w:p>
    <w:p w14:paraId="40B802CE" w14:textId="77777777" w:rsidR="00D33C82" w:rsidRPr="00226EA6" w:rsidRDefault="00D33C82" w:rsidP="00D33C82">
      <w:pPr>
        <w:pStyle w:val="Nagwek1"/>
        <w:rPr>
          <w:sz w:val="22"/>
          <w:szCs w:val="22"/>
        </w:rPr>
      </w:pPr>
      <w:r w:rsidRPr="00226EA6">
        <w:rPr>
          <w:sz w:val="22"/>
          <w:szCs w:val="22"/>
        </w:rPr>
        <w:t>2.1. Ogólne wymagania dotyczące materiałów</w:t>
      </w:r>
    </w:p>
    <w:p w14:paraId="6E507E10"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wymagania dotyczące materiałów, ich pozyskiwania  i składowania podano w ST D-00.00.00 „Wymagania ogólne”.</w:t>
      </w:r>
    </w:p>
    <w:p w14:paraId="210114DD"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Stosować należy wyroby budowlane wprowadzone do obrotu zgodnie z ustawą o wyrobach budowlanych. Wymagane dokumenty dla zastosowanych rur:</w:t>
      </w:r>
    </w:p>
    <w:p w14:paraId="418A2F3D"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 dokument potwierdzający oznakowanie Znakiem Budowlanym (Dz.U. 2004 nr 92 poz. 881</w:t>
      </w:r>
      <w:r w:rsidRPr="00226EA6">
        <w:rPr>
          <w:rFonts w:ascii="Times New Roman" w:eastAsia="Times New Roman" w:hAnsi="Times New Roman" w:cs="Times New Roman"/>
          <w:b/>
          <w:lang w:eastAsia="pl-PL"/>
        </w:rPr>
        <w:t>)</w:t>
      </w:r>
      <w:r w:rsidRPr="00226EA6">
        <w:rPr>
          <w:rFonts w:ascii="Times New Roman" w:eastAsia="Times New Roman" w:hAnsi="Times New Roman" w:cs="Times New Roman"/>
          <w:lang w:eastAsia="pl-PL"/>
        </w:rPr>
        <w:t xml:space="preserve"> lub w przypadku, gdy przepisy prawa będą tego wymagały oznakowaniem „CE”</w:t>
      </w:r>
    </w:p>
    <w:p w14:paraId="6D42FF8A"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lastRenderedPageBreak/>
        <w:t>b) ważna deklaracja zgodności potwierdzająca zgodność z wymogami normy PN-EN 1555-1, PN-EN 1555-2 –Systemy przewodów rurowych z tworzyw sztucznych do przesyłania paliw gazowych. Polietylen (PE). Cz. 1: Wymagania ogólne, Cz. 2: Rury, lub ważna aprobata techniczna;</w:t>
      </w:r>
    </w:p>
    <w:p w14:paraId="3E523CCE"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c) dokument wydany przez uprawnioną instytucję(np. Aprobata Techniczna), potwierdzający zwiększoną odporność na powolny wzrost pęknięć dla gotowego wyrobu, opisaną w publicznie dostępnej specyfikacji opracowanej przez Wydział Technologii w Niemieckim Instytucie Norm PAS 1075 „Rury z polietylenu do alternatywnych technologii układania. Wymiary, wymagania techniczne i kontrola” tj. TEST KARBU wg PN EN ISO 13479, TEST FNCT i ACT wg ISO 16770 nie mniej niż 5000 h, test odporności na obciążenie punktowe (TEST PLT, tzw. test kuli dr Hessela) nie mniej niż 8760 h</w:t>
      </w:r>
    </w:p>
    <w:p w14:paraId="73F3856C" w14:textId="77777777" w:rsidR="00D33C82" w:rsidRPr="00226EA6" w:rsidRDefault="00D33C82" w:rsidP="00D33C82">
      <w:pPr>
        <w:pStyle w:val="Nagwek1"/>
        <w:rPr>
          <w:sz w:val="22"/>
          <w:szCs w:val="22"/>
        </w:rPr>
      </w:pPr>
      <w:r w:rsidRPr="00226EA6">
        <w:rPr>
          <w:sz w:val="22"/>
          <w:szCs w:val="22"/>
        </w:rPr>
        <w:t xml:space="preserve">2.2. Rury </w:t>
      </w:r>
    </w:p>
    <w:p w14:paraId="60527139" w14:textId="77777777" w:rsidR="00D33C82" w:rsidRPr="00226EA6" w:rsidRDefault="00D33C82" w:rsidP="00D33C82">
      <w:pPr>
        <w:overflowPunct w:val="0"/>
        <w:autoSpaceDE w:val="0"/>
        <w:autoSpaceDN w:val="0"/>
        <w:adjustRightInd w:val="0"/>
        <w:spacing w:before="120"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 xml:space="preserve"> </w:t>
      </w:r>
      <w:r w:rsidRPr="00226EA6">
        <w:rPr>
          <w:rFonts w:ascii="Times New Roman" w:eastAsia="Times New Roman" w:hAnsi="Times New Roman" w:cs="Times New Roman"/>
          <w:lang w:eastAsia="pl-PL"/>
        </w:rPr>
        <w:t>Rury PE100RC SDR17 Dz110, PE100RC SDR11 Dz32 oraz PE100RC SDR11 Dz25 powinny odpowiadać wytycznym normy PN-EN-1555 i warunkami zawartymi w PAS 1075 oraz certyfikat uprawniający do oznaczania znakiem bezpieczeństwa. Zastosowane rury powinny mieć jednolity kolor pomarańczowy.</w:t>
      </w:r>
    </w:p>
    <w:p w14:paraId="55CE949D" w14:textId="77777777" w:rsidR="00D33C82" w:rsidRPr="00226EA6" w:rsidRDefault="00D33C82" w:rsidP="00D33C82">
      <w:pPr>
        <w:pStyle w:val="Nagwek1"/>
        <w:rPr>
          <w:sz w:val="22"/>
          <w:szCs w:val="22"/>
        </w:rPr>
      </w:pPr>
      <w:r w:rsidRPr="00226EA6">
        <w:rPr>
          <w:sz w:val="22"/>
          <w:szCs w:val="22"/>
        </w:rPr>
        <w:t>2.3. Kształtki</w:t>
      </w:r>
    </w:p>
    <w:p w14:paraId="71281D01" w14:textId="77777777" w:rsidR="00D33C82" w:rsidRPr="00226EA6" w:rsidRDefault="00D33C82" w:rsidP="00D33C82">
      <w:pPr>
        <w:keepNext/>
        <w:overflowPunct w:val="0"/>
        <w:autoSpaceDE w:val="0"/>
        <w:autoSpaceDN w:val="0"/>
        <w:adjustRightInd w:val="0"/>
        <w:spacing w:before="120" w:after="120" w:line="240" w:lineRule="auto"/>
        <w:ind w:firstLine="708"/>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2.3.1 Kształtki z polietylenu</w:t>
      </w:r>
    </w:p>
    <w:p w14:paraId="2AEDA4A1" w14:textId="77777777" w:rsidR="00D33C82" w:rsidRPr="00226EA6" w:rsidRDefault="00D33C82" w:rsidP="00D33C82">
      <w:pPr>
        <w:keepNext/>
        <w:overflowPunct w:val="0"/>
        <w:autoSpaceDE w:val="0"/>
        <w:autoSpaceDN w:val="0"/>
        <w:adjustRightInd w:val="0"/>
        <w:spacing w:after="0" w:line="240" w:lineRule="auto"/>
        <w:ind w:firstLine="708"/>
        <w:jc w:val="both"/>
        <w:outlineLvl w:val="1"/>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Stosowane kształtki powinny być wykonane z polietylenu PE100RC SDR17 i być przeznaczone do zgrzewania doczołowego oraz  PE100RC SDR11 i być przeznaczone do zgrzewania elektrooporowego.</w:t>
      </w:r>
    </w:p>
    <w:p w14:paraId="79D1724D" w14:textId="77777777" w:rsidR="00D33C82" w:rsidRPr="00226EA6" w:rsidRDefault="00D33C82" w:rsidP="00D33C82">
      <w:pPr>
        <w:keepNext/>
        <w:overflowPunct w:val="0"/>
        <w:autoSpaceDE w:val="0"/>
        <w:autoSpaceDN w:val="0"/>
        <w:adjustRightInd w:val="0"/>
        <w:spacing w:after="0" w:line="240" w:lineRule="auto"/>
        <w:ind w:firstLine="708"/>
        <w:jc w:val="both"/>
        <w:outlineLvl w:val="1"/>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Kształtki wykonane z polietylenu PE 100 przeznaczone do budowy gazociągów i przyłączy, powinny być fabrycznie nowe i posiadać oznakowanie zgodnie z wymaganiami określonymi Ustawa o</w:t>
      </w:r>
      <w:r w:rsidR="0064736D">
        <w:rPr>
          <w:rFonts w:ascii="Times New Roman" w:eastAsia="Times New Roman" w:hAnsi="Times New Roman" w:cs="Times New Roman"/>
          <w:lang w:eastAsia="pl-PL"/>
        </w:rPr>
        <w:t> </w:t>
      </w:r>
      <w:r w:rsidRPr="00226EA6">
        <w:rPr>
          <w:rFonts w:ascii="Times New Roman" w:eastAsia="Times New Roman" w:hAnsi="Times New Roman" w:cs="Times New Roman"/>
          <w:lang w:eastAsia="pl-PL"/>
        </w:rPr>
        <w:t>wyrobach budowlanych z dnia 16.04.2004r. (Dz.U.2004.92.881 z późn. zmianami). Kształtki powinny być cechowane w sposób trwały, odporny na warunki atmosferyczne, warunki przechowywania w całym okresie ich użytkowania poprzez wytłoczenie bądź nadruk. Minimalne wymagania określa norma PN-EN 1555-3.</w:t>
      </w:r>
    </w:p>
    <w:p w14:paraId="731AEE8D" w14:textId="77777777" w:rsidR="00D33C82" w:rsidRPr="00226EA6" w:rsidRDefault="00D33C82" w:rsidP="00D33C82">
      <w:pPr>
        <w:overflowPunct w:val="0"/>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 przypadku przewodów o średnicy nie większej niż Dz63 PE przy połączeniach</w:t>
      </w:r>
      <w:r w:rsidRPr="00226EA6">
        <w:rPr>
          <w:rFonts w:ascii="Times New Roman" w:eastAsia="Times New Roman" w:hAnsi="Times New Roman" w:cs="Times New Roman"/>
          <w:lang w:eastAsia="pl-PL"/>
        </w:rPr>
        <w:br/>
        <w:t>z kształtkami stosować zgrzewanie elektrooporowe. Z procesu zgrzewania sporządzić należy</w:t>
      </w:r>
      <w:r w:rsidRPr="00226EA6">
        <w:rPr>
          <w:rFonts w:ascii="Times New Roman" w:eastAsia="Times New Roman" w:hAnsi="Times New Roman" w:cs="Times New Roman"/>
          <w:lang w:eastAsia="pl-PL"/>
        </w:rPr>
        <w:br/>
        <w:t>odpowiedni protokół.</w:t>
      </w:r>
    </w:p>
    <w:p w14:paraId="6B3E9DB7"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2.2. Armatura</w:t>
      </w:r>
    </w:p>
    <w:p w14:paraId="5C35777B" w14:textId="77777777" w:rsidR="00D33C82" w:rsidRPr="00226EA6" w:rsidRDefault="00D33C82" w:rsidP="00D33C82">
      <w:pPr>
        <w:keepNext/>
        <w:overflowPunct w:val="0"/>
        <w:autoSpaceDE w:val="0"/>
        <w:autoSpaceDN w:val="0"/>
        <w:adjustRightInd w:val="0"/>
        <w:spacing w:before="120" w:after="120" w:line="240" w:lineRule="auto"/>
        <w:ind w:firstLine="708"/>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2.2.1. Zasuwa</w:t>
      </w:r>
    </w:p>
    <w:p w14:paraId="0A358939" w14:textId="77777777" w:rsidR="00D33C82" w:rsidRPr="00226EA6" w:rsidRDefault="00D33C82" w:rsidP="00D33C82">
      <w:pPr>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Stosować armaturę fabrycznie nową, przeznaczoną do transportu gazu ziemnego, zgodnie z</w:t>
      </w:r>
      <w:r w:rsidR="0064736D">
        <w:rPr>
          <w:rFonts w:ascii="Times New Roman" w:eastAsia="Times New Roman" w:hAnsi="Times New Roman" w:cs="Times New Roman"/>
          <w:lang w:eastAsia="pl-PL"/>
        </w:rPr>
        <w:t> </w:t>
      </w:r>
      <w:r w:rsidRPr="00226EA6">
        <w:rPr>
          <w:rFonts w:ascii="Times New Roman" w:eastAsia="Times New Roman" w:hAnsi="Times New Roman" w:cs="Times New Roman"/>
          <w:lang w:eastAsia="pl-PL"/>
        </w:rPr>
        <w:t xml:space="preserve">wymaganiami określonymi w Polskich Normach. Przewidziano zasuwę żeliwną z końcówkami do zgrzewania PE. </w:t>
      </w:r>
    </w:p>
    <w:p w14:paraId="42DDF386" w14:textId="77777777" w:rsidR="00D33C82" w:rsidRPr="00226EA6" w:rsidRDefault="00D33C82" w:rsidP="00D33C82">
      <w:pPr>
        <w:overflowPunct w:val="0"/>
        <w:autoSpaceDE w:val="0"/>
        <w:autoSpaceDN w:val="0"/>
        <w:adjustRightInd w:val="0"/>
        <w:spacing w:after="120" w:line="240" w:lineRule="auto"/>
        <w:jc w:val="both"/>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2.4.  Kruszywo na podsypkę i obsypkę</w:t>
      </w:r>
    </w:p>
    <w:p w14:paraId="57D42EC6" w14:textId="77777777" w:rsidR="00D33C82" w:rsidRPr="00226EA6" w:rsidRDefault="00D33C82" w:rsidP="00D33C82">
      <w:pPr>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Materiał użyty do zasypywania wykopów i sposób ich zasypywania nie powinny powodować uszkodzenia ułożonego rurociągu. Stosować należy podsypkę i obsypkę piaskową. </w:t>
      </w:r>
      <w:bookmarkStart w:id="288" w:name="_Toc493835773"/>
      <w:bookmarkStart w:id="289" w:name="_Toc498079428"/>
      <w:bookmarkStart w:id="290" w:name="_Toc499894813"/>
      <w:bookmarkStart w:id="291" w:name="_Toc499895607"/>
      <w:r w:rsidR="0078381C" w:rsidRPr="0078381C">
        <w:rPr>
          <w:rFonts w:ascii="Times New Roman" w:eastAsia="Times New Roman" w:hAnsi="Times New Roman" w:cs="Times New Roman"/>
          <w:lang w:eastAsia="pl-PL"/>
        </w:rPr>
        <w:t>Zachować warstwę nadsypki o grubości 0,30 m i wskaźniku zagęszczenia wg normalnej próby Proctora nie mniejszym niż 0,95.</w:t>
      </w:r>
      <w:bookmarkStart w:id="292" w:name="_Toc493835770"/>
      <w:bookmarkStart w:id="293" w:name="_Toc498079425"/>
      <w:bookmarkStart w:id="294" w:name="_Toc499894810"/>
      <w:bookmarkStart w:id="295" w:name="_Toc499895604"/>
      <w:r w:rsidR="0078381C" w:rsidRPr="0078381C">
        <w:rPr>
          <w:rFonts w:ascii="Times New Roman" w:eastAsia="Times New Roman" w:hAnsi="Times New Roman" w:cs="Times New Roman"/>
          <w:lang w:eastAsia="pl-PL"/>
        </w:rPr>
        <w:t xml:space="preserve"> Rurociąg układać na warstwie podsypki o grubości min. 0,2 m.</w:t>
      </w:r>
      <w:bookmarkStart w:id="296" w:name="_Toc493835771"/>
      <w:bookmarkStart w:id="297" w:name="_Toc498079426"/>
      <w:bookmarkStart w:id="298" w:name="_Toc499894811"/>
      <w:bookmarkStart w:id="299" w:name="_Toc499895605"/>
      <w:bookmarkEnd w:id="292"/>
      <w:bookmarkEnd w:id="293"/>
      <w:bookmarkEnd w:id="294"/>
      <w:bookmarkEnd w:id="295"/>
      <w:r w:rsidR="0078381C" w:rsidRPr="0078381C">
        <w:rPr>
          <w:rFonts w:ascii="Times New Roman" w:eastAsia="Times New Roman" w:hAnsi="Times New Roman" w:cs="Times New Roman"/>
          <w:lang w:eastAsia="pl-PL"/>
        </w:rPr>
        <w:t xml:space="preserve"> Ułożyć nad przewodem projektowanym drut identyfikacyjny Cu2,5 mm2 oraz żółtą taśmę ostrzegawczą bez wtopki metalowej.</w:t>
      </w:r>
      <w:bookmarkEnd w:id="296"/>
      <w:bookmarkEnd w:id="297"/>
      <w:bookmarkEnd w:id="298"/>
      <w:bookmarkEnd w:id="299"/>
      <w:r w:rsidR="0078381C" w:rsidRPr="0078381C">
        <w:rPr>
          <w:rFonts w:ascii="Times New Roman" w:eastAsia="Times New Roman" w:hAnsi="Times New Roman" w:cs="Times New Roman"/>
          <w:lang w:eastAsia="pl-PL"/>
        </w:rPr>
        <w:t xml:space="preserve"> </w:t>
      </w:r>
      <w:bookmarkStart w:id="300" w:name="_Toc493835789"/>
      <w:bookmarkStart w:id="301" w:name="_Toc498079444"/>
      <w:bookmarkStart w:id="302" w:name="_Toc499894829"/>
      <w:bookmarkStart w:id="303" w:name="_Toc499895623"/>
      <w:r w:rsidR="0078381C" w:rsidRPr="0078381C">
        <w:rPr>
          <w:rFonts w:ascii="Times New Roman" w:eastAsia="Times New Roman" w:hAnsi="Times New Roman" w:cs="Times New Roman"/>
          <w:lang w:eastAsia="pl-PL"/>
        </w:rPr>
        <w:t>Zgrzewanie prowadzić zgodnie z wytycznymi producenta rur i kształtek oraz normą PN-EN 1555-1:2012.</w:t>
      </w:r>
      <w:bookmarkEnd w:id="300"/>
      <w:bookmarkEnd w:id="301"/>
      <w:bookmarkEnd w:id="302"/>
      <w:bookmarkEnd w:id="303"/>
      <w:r w:rsidRPr="0078381C">
        <w:rPr>
          <w:rFonts w:ascii="Times New Roman" w:eastAsia="Times New Roman" w:hAnsi="Times New Roman" w:cs="Times New Roman"/>
          <w:lang w:eastAsia="pl-PL"/>
        </w:rPr>
        <w:t>Układanie</w:t>
      </w:r>
      <w:r w:rsidRPr="00226EA6">
        <w:rPr>
          <w:rFonts w:ascii="Times New Roman" w:eastAsia="Times New Roman" w:hAnsi="Times New Roman" w:cs="Times New Roman"/>
          <w:lang w:eastAsia="pl-PL"/>
        </w:rPr>
        <w:t xml:space="preserve"> i montaż rurociągów należy prowadzić w taki sposób, aby nie powodować nadmiernego zabrudzenia wnętrza przewodów, uszkodzeń powierzchni rurowych oraz występowania nadmiernych naprężeń na odcinkach przewodów rurowych. Podsypki i obsypki niewolno zagęszczać mechanicznie.</w:t>
      </w:r>
      <w:bookmarkEnd w:id="288"/>
      <w:bookmarkEnd w:id="289"/>
      <w:bookmarkEnd w:id="290"/>
      <w:bookmarkEnd w:id="291"/>
    </w:p>
    <w:p w14:paraId="02134CA2"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2.5. Składowanie materiałów</w:t>
      </w:r>
    </w:p>
    <w:p w14:paraId="396F892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2.5.1.</w:t>
      </w:r>
      <w:r w:rsidRPr="00226EA6">
        <w:rPr>
          <w:rFonts w:ascii="Times New Roman" w:eastAsia="Times New Roman" w:hAnsi="Times New Roman" w:cs="Times New Roman"/>
          <w:lang w:eastAsia="pl-PL"/>
        </w:rPr>
        <w:t xml:space="preserve"> Rury i kształtki</w:t>
      </w:r>
      <w:r w:rsidRPr="00226EA6">
        <w:rPr>
          <w:rFonts w:ascii="Times New Roman" w:eastAsia="Times New Roman" w:hAnsi="Times New Roman" w:cs="Times New Roman"/>
          <w:lang w:eastAsia="pl-PL"/>
        </w:rPr>
        <w:tab/>
      </w:r>
    </w:p>
    <w:p w14:paraId="06ECFCF4" w14:textId="77777777" w:rsidR="00D33C82" w:rsidRPr="00226EA6" w:rsidRDefault="00D33C82" w:rsidP="00D33C82">
      <w:pPr>
        <w:overflowPunct w:val="0"/>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lastRenderedPageBreak/>
        <w:t>Rury należy składować w położeniu poziomym, na płaskim i równym podłożu, w</w:t>
      </w:r>
      <w:r w:rsidRPr="00226EA6">
        <w:rPr>
          <w:rFonts w:ascii="Times New Roman" w:hAnsi="Times New Roman" w:cs="Times New Roman"/>
        </w:rPr>
        <w:t> </w:t>
      </w:r>
      <w:r w:rsidRPr="00226EA6">
        <w:rPr>
          <w:rFonts w:ascii="Times New Roman" w:eastAsia="Times New Roman" w:hAnsi="Times New Roman" w:cs="Times New Roman"/>
          <w:lang w:eastAsia="pl-PL"/>
        </w:rPr>
        <w:t xml:space="preserve">paletach lub na podkładach drewnianych lub z innego materiału, nie powodującego uszkodzenia rur, o szerokości nie mniejszej niż 0,1 m i rozmieszczonych dla rur o długości 6 m w odstępach 1,4 m od końców rury. Wysokość składowania nie powinna przekraczać 3,0 m.  </w:t>
      </w:r>
    </w:p>
    <w:p w14:paraId="4CB0E313" w14:textId="77777777" w:rsidR="00D33C82" w:rsidRPr="00226EA6" w:rsidRDefault="00D33C82" w:rsidP="00D33C82">
      <w:pPr>
        <w:overflowPunct w:val="0"/>
        <w:autoSpaceDE w:val="0"/>
        <w:autoSpaceDN w:val="0"/>
        <w:adjustRightInd w:val="0"/>
        <w:spacing w:after="0" w:line="240" w:lineRule="auto"/>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Powierzchnia składowania powinna być utwardzona i zabezpieczona przed gromadzeniem się wód opadowych.</w:t>
      </w:r>
    </w:p>
    <w:p w14:paraId="39041FDA"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 przypadku składowania poziomego pierwszą warstwę rur należy ułożyć na podkładach drewnianych. Podobnie na podkładach drewnianych należy układać wyroby w pozycji stojącej i jeżeli powierzchnia składowania nie odpowiada ww. wymaganiom.</w:t>
      </w:r>
    </w:p>
    <w:p w14:paraId="6E46C0C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Końcówki rur zabezpieczyć należy krążkami ochronnymi.</w:t>
      </w:r>
    </w:p>
    <w:p w14:paraId="2B5DFF7D"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Nie dopuszczać do zrzucania elementów. Niedopuszczalne jest wleczenie pojedynczych rur po podłożu.</w:t>
      </w:r>
    </w:p>
    <w:p w14:paraId="501F219F"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Elementy z tworzyw sztucznych chronić przed długotrwałą ekspozycją słoneczną i nadmiernym nagrzewaniem od źródeł ciepła.</w:t>
      </w:r>
    </w:p>
    <w:p w14:paraId="5559A7FA"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2.5.2. Kruszyw</w:t>
      </w:r>
    </w:p>
    <w:p w14:paraId="6B8E0C2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Kruszywo należy składować na utwardzonym i odwodnionym podłożu w sposób zabezpieczający je przed zanieczyszczeniem i zmieszaniem z innymi rodzajami i frakcjami kruszyw.</w:t>
      </w:r>
    </w:p>
    <w:p w14:paraId="4374B79D"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04" w:name="_Toc130791327"/>
      <w:bookmarkStart w:id="305" w:name="_Toc130791308"/>
      <w:r w:rsidRPr="00226EA6">
        <w:rPr>
          <w:rFonts w:ascii="Times New Roman" w:eastAsia="Times New Roman" w:hAnsi="Times New Roman" w:cs="Times New Roman"/>
          <w:b/>
          <w:caps/>
          <w:kern w:val="28"/>
          <w:lang w:eastAsia="pl-PL"/>
        </w:rPr>
        <w:t>3. SPRZĘT</w:t>
      </w:r>
      <w:bookmarkEnd w:id="304"/>
      <w:bookmarkEnd w:id="305"/>
    </w:p>
    <w:p w14:paraId="6FB4E9A9"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3.1. Ogólne wymagania dotyczące sprzętu</w:t>
      </w:r>
    </w:p>
    <w:p w14:paraId="0A74DA41"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wymagania dotyczące sprzętu podano w ST D.00.00.00 „Wymagania ogólne” pkt 3.</w:t>
      </w:r>
    </w:p>
    <w:p w14:paraId="3FE5ABC8"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3.2. Sprzęt do wykonania robót ziemnych przygotowawczych i wykończeniowych</w:t>
      </w:r>
    </w:p>
    <w:p w14:paraId="68FBEC06"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Wykonawca przystępujący do wykonania przebudowy gazociągu powinien wykazać się możliwością korzystania z następującego sprzętu:</w:t>
      </w:r>
    </w:p>
    <w:p w14:paraId="239A9040"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żurawi budowlanych samochodowych,</w:t>
      </w:r>
    </w:p>
    <w:p w14:paraId="7B9CBA91"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koparek przedsiębiernych,</w:t>
      </w:r>
    </w:p>
    <w:p w14:paraId="46AE4C47"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spycharek kołowych lub gąsienicowych,</w:t>
      </w:r>
    </w:p>
    <w:p w14:paraId="27B12685"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sprzętu do zagęszczania gruntu,</w:t>
      </w:r>
    </w:p>
    <w:p w14:paraId="521F9747"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wciągarek mechanicznych,</w:t>
      </w:r>
    </w:p>
    <w:p w14:paraId="20FB6C44"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piłę do cięcia asfaltu i betonu</w:t>
      </w:r>
    </w:p>
    <w:p w14:paraId="68752EA3"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zgrzewarki.</w:t>
      </w:r>
    </w:p>
    <w:p w14:paraId="728B1D6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lastRenderedPageBreak/>
        <w:t>3.3 Sprzęt do robót montażowych</w:t>
      </w:r>
    </w:p>
    <w:p w14:paraId="5DF49BE3"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 zależności od potrzeb i przyjętej technologii robót, Wykonawca zapewni następujący sprzęt montażowy</w:t>
      </w:r>
    </w:p>
    <w:p w14:paraId="0C0D43C9"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samochód dostawczy do 0,9 t,</w:t>
      </w:r>
    </w:p>
    <w:p w14:paraId="73EE3435"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samochód skrzyniowy lub samowyładowczy,</w:t>
      </w:r>
    </w:p>
    <w:p w14:paraId="1455CC51"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przyczepę dłużycowa do 10 t,</w:t>
      </w:r>
    </w:p>
    <w:p w14:paraId="3A8C0B07"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żurawie samochodowe 5-6t,</w:t>
      </w:r>
    </w:p>
    <w:p w14:paraId="298FEFF3"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obcinarki</w:t>
      </w:r>
    </w:p>
    <w:p w14:paraId="11F5000B"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spawarkę 300 A,</w:t>
      </w:r>
    </w:p>
    <w:p w14:paraId="7F0F5366"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zespół prądotwórczy trójfazowy przewoźny 20 KVA</w:t>
      </w:r>
    </w:p>
    <w:p w14:paraId="09FF731C"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instalację rurową do pneumatycznej próby wytrzymałości i szczelności</w:t>
      </w:r>
    </w:p>
    <w:p w14:paraId="27EFA0D0" w14:textId="77777777" w:rsidR="00D33C82" w:rsidRPr="00226EA6" w:rsidRDefault="00D33C82" w:rsidP="00904E6C">
      <w:pPr>
        <w:pStyle w:val="Akapitzlist"/>
        <w:keepNext/>
        <w:numPr>
          <w:ilvl w:val="0"/>
          <w:numId w:val="76"/>
        </w:numPr>
        <w:spacing w:before="120" w:after="120"/>
        <w:textAlignment w:val="auto"/>
        <w:outlineLvl w:val="1"/>
        <w:rPr>
          <w:sz w:val="22"/>
          <w:szCs w:val="22"/>
        </w:rPr>
      </w:pPr>
      <w:r w:rsidRPr="00226EA6">
        <w:rPr>
          <w:sz w:val="22"/>
          <w:szCs w:val="22"/>
        </w:rPr>
        <w:t>tłok czyszczący</w:t>
      </w:r>
    </w:p>
    <w:p w14:paraId="2EF90269" w14:textId="77777777" w:rsidR="00D33C82" w:rsidRPr="00D3722A" w:rsidRDefault="00D33C82" w:rsidP="00904E6C">
      <w:pPr>
        <w:pStyle w:val="Akapitzlist"/>
        <w:keepNext/>
        <w:numPr>
          <w:ilvl w:val="0"/>
          <w:numId w:val="76"/>
        </w:numPr>
        <w:spacing w:before="120" w:after="120"/>
        <w:textAlignment w:val="auto"/>
        <w:outlineLvl w:val="1"/>
        <w:rPr>
          <w:sz w:val="22"/>
          <w:szCs w:val="22"/>
        </w:rPr>
      </w:pPr>
      <w:r w:rsidRPr="00D3722A">
        <w:rPr>
          <w:sz w:val="22"/>
          <w:szCs w:val="22"/>
        </w:rPr>
        <w:t xml:space="preserve">zgrzewarki do zgrzewania doczołowego </w:t>
      </w:r>
      <w:r w:rsidR="00D3722A" w:rsidRPr="00D3722A">
        <w:rPr>
          <w:sz w:val="22"/>
          <w:szCs w:val="22"/>
        </w:rPr>
        <w:t xml:space="preserve">i elektroopowego dla </w:t>
      </w:r>
      <w:r w:rsidRPr="00D3722A">
        <w:rPr>
          <w:sz w:val="22"/>
          <w:szCs w:val="22"/>
        </w:rPr>
        <w:t xml:space="preserve">rur PE </w:t>
      </w:r>
    </w:p>
    <w:p w14:paraId="21DE4E7D"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Sprzęt montażowy i środki transportu muszą być w pełni sprawne i dostosowane do technologii i warunków wykonywanych robót oraz wymogów wynikających z racjonalnego ich wykorzystania nabudowie.</w:t>
      </w:r>
    </w:p>
    <w:p w14:paraId="6875CACE"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06" w:name="_Toc130791328"/>
      <w:bookmarkStart w:id="307" w:name="_Toc130791309"/>
      <w:r w:rsidRPr="00226EA6">
        <w:rPr>
          <w:rFonts w:ascii="Times New Roman" w:eastAsia="Times New Roman" w:hAnsi="Times New Roman" w:cs="Times New Roman"/>
          <w:b/>
          <w:caps/>
          <w:kern w:val="28"/>
          <w:lang w:eastAsia="pl-PL"/>
        </w:rPr>
        <w:t>4. TRANSPORT</w:t>
      </w:r>
      <w:bookmarkEnd w:id="306"/>
      <w:bookmarkEnd w:id="307"/>
    </w:p>
    <w:p w14:paraId="09F21FE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4.1. Ogólne wymagania dotyczące transportu</w:t>
      </w:r>
    </w:p>
    <w:p w14:paraId="28BF6778"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wymagania dotyczące transportu podano w ST D-00.00.00 „Wymagania ogólne” pkt 4.</w:t>
      </w:r>
    </w:p>
    <w:p w14:paraId="51F12C0D"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4.2. Transport rur i armatury</w:t>
      </w:r>
    </w:p>
    <w:p w14:paraId="2C33D72D"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 xml:space="preserve">Rury PE mogą być przewożone dowolnymi środkami transportu w sposób zabezpieczający je przed uszkodzeniem lub zniszczeniem. </w:t>
      </w:r>
    </w:p>
    <w:p w14:paraId="5BD294C4" w14:textId="77777777" w:rsidR="00D33C82" w:rsidRPr="00226EA6" w:rsidRDefault="00D33C82" w:rsidP="00D33C82">
      <w:pPr>
        <w:overflowPunct w:val="0"/>
        <w:autoSpaceDE w:val="0"/>
        <w:autoSpaceDN w:val="0"/>
        <w:adjustRightInd w:val="0"/>
        <w:spacing w:after="0"/>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Wykonawca zapewni przewóz rur w pozycji poziomej wzdłuż środka transportu.</w:t>
      </w:r>
    </w:p>
    <w:p w14:paraId="38A1FE9E" w14:textId="77777777" w:rsidR="00D33C82" w:rsidRPr="00226EA6" w:rsidRDefault="00D33C82" w:rsidP="00D33C82">
      <w:pPr>
        <w:overflowPunct w:val="0"/>
        <w:autoSpaceDE w:val="0"/>
        <w:autoSpaceDN w:val="0"/>
        <w:adjustRightInd w:val="0"/>
        <w:spacing w:after="0"/>
        <w:ind w:firstLine="708"/>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Wykonawca zabezpieczy wyroby przewożone w pozycji poziomej przed przesuwaniem i przetaczaniem pod wpływem sił bezwładności występujących w czasie ruchu pojazdów.</w:t>
      </w:r>
    </w:p>
    <w:p w14:paraId="39B1BDF4"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Przy wielowarstwowym układaniu rur górna warstwa nie może przewyższać ścian środka transportu o więcej niż 1/3 średnicy zewnętrznej wyrobu.</w:t>
      </w:r>
    </w:p>
    <w:p w14:paraId="72D10936" w14:textId="77777777" w:rsidR="00D33C82" w:rsidRPr="00226EA6" w:rsidRDefault="00D33C82" w:rsidP="00D33C82">
      <w:pPr>
        <w:spacing w:after="0"/>
        <w:ind w:firstLine="708"/>
        <w:jc w:val="both"/>
        <w:rPr>
          <w:rFonts w:ascii="Times New Roman" w:hAnsi="Times New Roman" w:cs="Times New Roman"/>
        </w:rPr>
      </w:pPr>
      <w:r w:rsidRPr="00226EA6">
        <w:rPr>
          <w:rFonts w:ascii="Times New Roman" w:hAnsi="Times New Roman" w:cs="Times New Roman"/>
        </w:rPr>
        <w:t>Niedozwolone jest stosowanie haków, stalowych lin i łańcuchów, Podczas prac przeładunkowych rur nie należy rzucać i przeciągać po podłożu, lecz przenosić. Do przenoszenia można też używać sznura. Przy przeładunku ręcznym rury należy wolno zsuwać po podłodze, stosując pasy i podpory. W czasie transportu należy zabezpieczyć wyroby przed wpływami warunków atmosferycznych i otoczenia.</w:t>
      </w:r>
    </w:p>
    <w:p w14:paraId="585B5912"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Pierwszą warstwę rur należy układać na podkładach drewnianych, zaś poszczególne warstwy w miejscach stykania się wyrobów należy przekładać materiałem wyściółkowym (o grubości warstwy od 2 do 4 cm po ugnieceniu).</w:t>
      </w:r>
    </w:p>
    <w:p w14:paraId="4374FC81"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Dostarczoną na budowę armaturę należy uprzednio sprawdzić na szczelność. Armaturę specjalną należy dostarczyć w oryginalnych opakowaniach producenta. Armaturę należy skatalogować w pomieszczeniach zamkniętych.</w:t>
      </w:r>
    </w:p>
    <w:p w14:paraId="7A07A917"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4.3. Transport kruszyw</w:t>
      </w:r>
    </w:p>
    <w:p w14:paraId="12EEDB75"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Kruszywa mogą być przewożone dowolnymi środkami transportu, w sposób zabezpieczający je przed zanieczyszczeniem i nadmiernym zawilgoceniem.</w:t>
      </w:r>
    </w:p>
    <w:p w14:paraId="7065D3F8"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08" w:name="_Toc130791329"/>
      <w:bookmarkStart w:id="309" w:name="_Toc130791310"/>
      <w:r w:rsidRPr="00226EA6">
        <w:rPr>
          <w:rFonts w:ascii="Times New Roman" w:eastAsia="Times New Roman" w:hAnsi="Times New Roman" w:cs="Times New Roman"/>
          <w:b/>
          <w:caps/>
          <w:kern w:val="28"/>
          <w:lang w:eastAsia="pl-PL"/>
        </w:rPr>
        <w:t>5. WYKONANIE ROBÓT</w:t>
      </w:r>
      <w:bookmarkEnd w:id="308"/>
      <w:bookmarkEnd w:id="309"/>
    </w:p>
    <w:p w14:paraId="0D81C157"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5.1. Ogólne zasady wykonania robót</w:t>
      </w:r>
    </w:p>
    <w:p w14:paraId="45E2DDFA"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zasady wykonania robót podano w ST D-00.00.00 „Wymagania ogólne” pkt 5.</w:t>
      </w:r>
    </w:p>
    <w:p w14:paraId="2B6AA294"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lastRenderedPageBreak/>
        <w:t>5.2. Roboty przygotowawcze</w:t>
      </w:r>
    </w:p>
    <w:p w14:paraId="34EBCAAD"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Przed przystąpieniem do robót Wykonawca dokona ich wytyczenia i trwale oznaczy je w terenie za pomocą kołków osiowych, kołków świadków i kołków krawędziowych.</w:t>
      </w:r>
    </w:p>
    <w:p w14:paraId="54CB308E"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 przypadku niedostatecznej ilości reperów stałych, Wykonawca wbuduje repery tymczasowe (z rzędnymi sprawdzonymi przez służby geodezyjne), a szkice sytuacyjne reperów i ich rzędne przekaże Inżynierowi.</w:t>
      </w:r>
    </w:p>
    <w:p w14:paraId="12128C09"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 celu zabezpieczenia wykopów przed zalaniem wodą pompowaną z wykopów lub z opadów atmosferycznych powinny być zachowane przez Wykonawcę, co najmniej następujące warunki:</w:t>
      </w:r>
    </w:p>
    <w:p w14:paraId="6C92DD9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 powierzchnia terenu powinna być wyprofilowana ze spadkiem umożliwiającym łatwy odpływ wody poza teren przylegający do wykopu;</w:t>
      </w:r>
    </w:p>
    <w:p w14:paraId="594B6C5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 w razie konieczności wykonany zostanie ciągu odprowadzających wodę na bezpieczną odległość.</w:t>
      </w:r>
    </w:p>
    <w:p w14:paraId="3D87AC35"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5.3. Roboty ziemne</w:t>
      </w:r>
    </w:p>
    <w:p w14:paraId="18E630FE"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Wykopy należy wykonać jako wykopy otwarte obudowane. Metody wykonania robót - wykopu (ręcznie lub mechanicznie) powinny być dostosowane do głębokości wykopu, danych geotechnicznych oraz posiadanego sprzętu mechanicznego.</w:t>
      </w:r>
    </w:p>
    <w:p w14:paraId="51F23B8A"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Szerokość wykopu uwarunkowana jest zewnętrznymi wymiarami kanału, do których dodaje się obustronnie 0,4 m, jako zapas potrzebny na deskowanie ścian i uszczelnienie styków. Deskowanie ścian należy prowadzić w miarę jego głębienia. Wydobyty grunt z wykopu powinien być wywieziony przez Wykonawcę na odkład.</w:t>
      </w:r>
    </w:p>
    <w:p w14:paraId="54E310F9"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 xml:space="preserve">Dno wykopu powinno być równe i wykonane ze spadkiem ustalonym w dokumentacji projektowej, przy czym dno wykopu Wykonawca wykona na poziomie wyższym od rzędnej projektowanej o </w:t>
      </w:r>
      <w:smartTag w:uri="urn:schemas-microsoft-com:office:smarttags" w:element="metricconverter">
        <w:smartTagPr>
          <w:attr w:name="ProductID" w:val="0,20 m"/>
        </w:smartTagPr>
        <w:r w:rsidRPr="00226EA6">
          <w:rPr>
            <w:rFonts w:ascii="Times New Roman" w:eastAsia="Times New Roman" w:hAnsi="Times New Roman" w:cs="Times New Roman"/>
            <w:lang w:eastAsia="pl-PL"/>
          </w:rPr>
          <w:t>0,20 m</w:t>
        </w:r>
      </w:smartTag>
      <w:r w:rsidRPr="00226EA6">
        <w:rPr>
          <w:rFonts w:ascii="Times New Roman" w:eastAsia="Times New Roman" w:hAnsi="Times New Roman" w:cs="Times New Roman"/>
          <w:lang w:eastAsia="pl-PL"/>
        </w:rPr>
        <w:t>.</w:t>
      </w:r>
    </w:p>
    <w:p w14:paraId="260EF341" w14:textId="77777777" w:rsidR="00D33C82" w:rsidRPr="00226EA6" w:rsidRDefault="00D33C82" w:rsidP="00D33C82">
      <w:pPr>
        <w:overflowPunct w:val="0"/>
        <w:autoSpaceDE w:val="0"/>
        <w:autoSpaceDN w:val="0"/>
        <w:adjustRightInd w:val="0"/>
        <w:spacing w:after="0" w:line="240" w:lineRule="auto"/>
        <w:ind w:firstLine="709"/>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Zdjęcie pozostawionej warstwy </w:t>
      </w:r>
      <w:smartTag w:uri="urn:schemas-microsoft-com:office:smarttags" w:element="metricconverter">
        <w:smartTagPr>
          <w:attr w:name="ProductID" w:val="0,20 m"/>
        </w:smartTagPr>
        <w:r w:rsidRPr="00226EA6">
          <w:rPr>
            <w:rFonts w:ascii="Times New Roman" w:eastAsia="Times New Roman" w:hAnsi="Times New Roman" w:cs="Times New Roman"/>
            <w:lang w:eastAsia="pl-PL"/>
          </w:rPr>
          <w:t>0,20 m</w:t>
        </w:r>
      </w:smartTag>
      <w:r w:rsidRPr="00226EA6">
        <w:rPr>
          <w:rFonts w:ascii="Times New Roman" w:eastAsia="Times New Roman" w:hAnsi="Times New Roman" w:cs="Times New Roman"/>
          <w:lang w:eastAsia="pl-PL"/>
        </w:rPr>
        <w:t xml:space="preserve"> gruntu powinno być wykonane bezpośrednio przed ułożeniem przewodów rurowych. Zdjęcie tej warstwy Wykonawca wykona ręcznie lub w sposób uzgodniony z Inżynierem.</w:t>
      </w:r>
    </w:p>
    <w:p w14:paraId="2696D371"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 xml:space="preserve">W gruntach skalistych dno wykopu powinno być wykonane od  0,10 do </w:t>
      </w:r>
      <w:smartTag w:uri="urn:schemas-microsoft-com:office:smarttags" w:element="metricconverter">
        <w:smartTagPr>
          <w:attr w:name="ProductID" w:val="0,15 m"/>
        </w:smartTagPr>
        <w:r w:rsidRPr="00226EA6">
          <w:rPr>
            <w:rFonts w:ascii="Times New Roman" w:eastAsia="Times New Roman" w:hAnsi="Times New Roman" w:cs="Times New Roman"/>
            <w:lang w:eastAsia="pl-PL"/>
          </w:rPr>
          <w:t>0,15 m</w:t>
        </w:r>
      </w:smartTag>
      <w:r w:rsidRPr="00226EA6">
        <w:rPr>
          <w:rFonts w:ascii="Times New Roman" w:eastAsia="Times New Roman" w:hAnsi="Times New Roman" w:cs="Times New Roman"/>
          <w:lang w:eastAsia="pl-PL"/>
        </w:rPr>
        <w:t xml:space="preserve"> głębiej od projektowanego poziomu dna.</w:t>
      </w:r>
    </w:p>
    <w:p w14:paraId="033A4CD4" w14:textId="77777777" w:rsidR="00D3722A" w:rsidRPr="00D3722A" w:rsidRDefault="00D3722A" w:rsidP="00D3722A">
      <w:pPr>
        <w:overflowPunct w:val="0"/>
        <w:autoSpaceDE w:val="0"/>
        <w:autoSpaceDN w:val="0"/>
        <w:adjustRightInd w:val="0"/>
        <w:spacing w:after="0" w:line="240" w:lineRule="auto"/>
        <w:ind w:firstLine="708"/>
        <w:jc w:val="both"/>
        <w:rPr>
          <w:rFonts w:ascii="Times New Roman" w:eastAsia="Times New Roman" w:hAnsi="Times New Roman" w:cs="Times New Roman"/>
          <w:lang w:eastAsia="pl-PL"/>
        </w:rPr>
      </w:pPr>
      <w:bookmarkStart w:id="310" w:name="_Toc493835787"/>
      <w:bookmarkStart w:id="311" w:name="_Toc498079442"/>
      <w:bookmarkStart w:id="312" w:name="_Toc499894827"/>
      <w:bookmarkStart w:id="313" w:name="_Toc499895621"/>
      <w:r w:rsidRPr="00F772CC">
        <w:rPr>
          <w:rFonts w:ascii="Times New Roman" w:eastAsia="Times New Roman" w:hAnsi="Times New Roman" w:cs="Times New Roman"/>
          <w:lang w:eastAsia="pl-PL"/>
        </w:rPr>
        <w:t>Wykopy ponad warstwę nadsypki należy zasypywać gruntem rodzimym, o ile jego właściwości gwarantują uzyskanie właściwego wskaźnika zagęszczenia (warstwy do głębokości 1,2 m od niwelety drogi, IS=1,0), warstwami o grubości 0,2 – 0,3 m. Warstwy te należy zagęszczać ręcznie lub mechanicznie, o ile nie spowoduje to uszkodzenia przewodu.</w:t>
      </w:r>
      <w:bookmarkEnd w:id="310"/>
      <w:bookmarkEnd w:id="311"/>
      <w:bookmarkEnd w:id="312"/>
      <w:bookmarkEnd w:id="313"/>
    </w:p>
    <w:p w14:paraId="6EA20C06" w14:textId="77777777" w:rsidR="00D33C82" w:rsidRPr="00226EA6" w:rsidRDefault="00D33C82" w:rsidP="00D3722A">
      <w:pPr>
        <w:keepNext/>
        <w:tabs>
          <w:tab w:val="left" w:pos="6390"/>
        </w:tabs>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5.4. Przygotowanie podłoża</w:t>
      </w:r>
      <w:r w:rsidR="00D3722A">
        <w:rPr>
          <w:rFonts w:ascii="Times New Roman" w:eastAsia="Times New Roman" w:hAnsi="Times New Roman" w:cs="Times New Roman"/>
          <w:b/>
          <w:lang w:eastAsia="pl-PL"/>
        </w:rPr>
        <w:tab/>
      </w:r>
    </w:p>
    <w:p w14:paraId="59B4260F" w14:textId="77777777" w:rsidR="00D33C82" w:rsidRPr="00226EA6" w:rsidRDefault="00D33C82" w:rsidP="00D33C82">
      <w:pPr>
        <w:autoSpaceDE w:val="0"/>
        <w:autoSpaceDN w:val="0"/>
        <w:adjustRightInd w:val="0"/>
        <w:spacing w:after="0"/>
        <w:jc w:val="both"/>
        <w:rPr>
          <w:rFonts w:ascii="Times New Roman" w:hAnsi="Times New Roman" w:cs="Times New Roman"/>
        </w:rPr>
      </w:pPr>
      <w:r w:rsidRPr="00226EA6">
        <w:rPr>
          <w:rFonts w:ascii="Times New Roman" w:eastAsia="Times New Roman" w:hAnsi="Times New Roman" w:cs="Times New Roman"/>
          <w:lang w:eastAsia="pl-PL"/>
        </w:rPr>
        <w:tab/>
      </w:r>
      <w:r w:rsidRPr="00226EA6">
        <w:rPr>
          <w:rFonts w:ascii="Times New Roman" w:hAnsi="Times New Roman" w:cs="Times New Roman"/>
        </w:rPr>
        <w:t>Podłożem pod układany gazociąg jest podłoże z piasku o grubości warstwy 20 cm. Zagęszczenie podłoża powinno być zgodne z określonym w Dokumentacji. W wypadku nastąpienia tzw. przekopu - nadmiernego wybrania gruntu rodzimego, przekop należy wypełnić ubitym piaskiem. W wypadku występowania wody gruntowej, wykop poniżej podłoża musi podlegać odwodnieniu. Powierzchnia podłoża tak naturalnego jak i sztucznego wykonana z ubitego - zagęszczonego piasku, powinna być zgodna z projektem. Dla wszystkich czterech rodzajów podłoża wymagane jest podłużne wyprofilowanie dna w obrębie kąta 90° z zaprojektowanym spadkiem, stanowiące łożysko nośne rury. Ewentualne ubytki w wysokości podłoża należy wyrównywać wyłącznie piaskiem. Niedopuszczalne jest wyrównywanie podłoża ziemią z urobku lub podkładania pod rury kawałków drewna, kamieni lub gruzu</w:t>
      </w:r>
      <w:r w:rsidRPr="00226EA6">
        <w:rPr>
          <w:rFonts w:ascii="Times New Roman" w:eastAsia="Times New Roman" w:hAnsi="Times New Roman" w:cs="Times New Roman"/>
          <w:lang w:eastAsia="pl-PL"/>
        </w:rPr>
        <w:t>.</w:t>
      </w:r>
    </w:p>
    <w:p w14:paraId="6F250329"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5.5. Roboty montażowe</w:t>
      </w:r>
    </w:p>
    <w:p w14:paraId="79F72371" w14:textId="77777777" w:rsidR="00D33C82" w:rsidRPr="00226EA6" w:rsidRDefault="00D33C82" w:rsidP="00D33C82">
      <w:pPr>
        <w:keepNext/>
        <w:overflowPunct w:val="0"/>
        <w:autoSpaceDE w:val="0"/>
        <w:autoSpaceDN w:val="0"/>
        <w:adjustRightInd w:val="0"/>
        <w:spacing w:before="120" w:after="0"/>
        <w:ind w:firstLine="708"/>
        <w:jc w:val="both"/>
        <w:outlineLvl w:val="1"/>
        <w:rPr>
          <w:rFonts w:ascii="Times New Roman" w:hAnsi="Times New Roman" w:cs="Times New Roman"/>
        </w:rPr>
      </w:pPr>
      <w:r w:rsidRPr="00226EA6">
        <w:rPr>
          <w:rFonts w:ascii="Times New Roman" w:hAnsi="Times New Roman" w:cs="Times New Roman"/>
        </w:rPr>
        <w:t xml:space="preserve">Zakres robót obejmuje wszystkie czynności, wykonywane z użyciem właściwego sprzętu i materiałów wraz z wykonaniem prób koniecznych do odbioru, umożliwiające i mające na celu przebudowę sieci gazowej </w:t>
      </w:r>
      <w:r w:rsidRPr="00F772CC">
        <w:rPr>
          <w:rFonts w:ascii="Times New Roman" w:hAnsi="Times New Roman" w:cs="Times New Roman"/>
        </w:rPr>
        <w:t>polietylenowej z rur PE100 SDR17 o średnicy Dz110</w:t>
      </w:r>
      <w:r w:rsidR="00D3722A" w:rsidRPr="00F772CC">
        <w:rPr>
          <w:rFonts w:ascii="Times New Roman" w:hAnsi="Times New Roman" w:cs="Times New Roman"/>
        </w:rPr>
        <w:t>, Dz32 oraz Dz25</w:t>
      </w:r>
      <w:r w:rsidRPr="00F772CC">
        <w:rPr>
          <w:rFonts w:ascii="Times New Roman" w:hAnsi="Times New Roman" w:cs="Times New Roman"/>
        </w:rPr>
        <w:t>.</w:t>
      </w:r>
    </w:p>
    <w:p w14:paraId="1917A774"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 xml:space="preserve">Po zmontowaniu i zasypaniu przebudowywanej sieci gazowej oraz po zagospodarowaniu terenu należy przeprowadzić znakowanie trasy, poprzez zamontowanie przy wszystkich miejscach charakterystycznych trasy jak: załamania, odgałęzienia, zasuwy odcinające właściwych tabliczek orientacyjnych zgodnie z ST-IGG-1001, ST-IGG-1002, ST-IGG-1003, ST-IGG-1004. Taśmę </w:t>
      </w:r>
      <w:r w:rsidRPr="00226EA6">
        <w:rPr>
          <w:rFonts w:ascii="Times New Roman" w:hAnsi="Times New Roman" w:cs="Times New Roman"/>
        </w:rPr>
        <w:lastRenderedPageBreak/>
        <w:t>ostrzegawczą należy układać w odległości 0,4 m nad gazociągiem. Zaleca się, aby głębokość ułożenia taśmy lokalizacyjnej względem poziomu terenu wyniosła, co najmniej 0,3 m w terenie zabudowanym. Przewód lokalizacyjny należy układać nad gazociągiem w taki sposób, aby odległość czynnika lokalizacyjnego od ścianki gazociągu wynosiła ok. 5 cm. Poza terenem zabudowanym końce odcinków taśmy lokalizacyjnej należy wyprowadzić do słupków oznaczeniowo-pomiarowych, a na terenie zabudowanym w zależności od warunków miejscowych do skrzynek ulicznych uzbrojenia gazociągu, słupków oznaczeniowo-pomiarowych lub szafek stanowiących obudowę kurka głównego. Końce łączonych odcinków taśmy lokalizacyjnej powinny być dostępne dla obsługi gazociągu, a niedostępne dla osób postronn</w:t>
      </w:r>
      <w:r w:rsidRPr="0099688B">
        <w:rPr>
          <w:rFonts w:ascii="Times New Roman" w:hAnsi="Times New Roman" w:cs="Times New Roman"/>
        </w:rPr>
        <w:t xml:space="preserve">ych. </w:t>
      </w:r>
      <w:r w:rsidR="000A15D6" w:rsidRPr="0099688B">
        <w:rPr>
          <w:rFonts w:ascii="Times New Roman" w:hAnsi="Times New Roman" w:cs="Times New Roman"/>
        </w:rPr>
        <w:t>Wraz z  taśmą lokalizacyjną należy zas</w:t>
      </w:r>
      <w:r w:rsidRPr="0099688B">
        <w:rPr>
          <w:rFonts w:ascii="Times New Roman" w:hAnsi="Times New Roman" w:cs="Times New Roman"/>
        </w:rPr>
        <w:t>tosow</w:t>
      </w:r>
      <w:r w:rsidR="000A15D6" w:rsidRPr="0099688B">
        <w:rPr>
          <w:rFonts w:ascii="Times New Roman" w:hAnsi="Times New Roman" w:cs="Times New Roman"/>
        </w:rPr>
        <w:t>ać przewód</w:t>
      </w:r>
      <w:r w:rsidRPr="0099688B">
        <w:rPr>
          <w:rFonts w:ascii="Times New Roman" w:hAnsi="Times New Roman" w:cs="Times New Roman"/>
        </w:rPr>
        <w:t xml:space="preserve"> lokalizacyjn</w:t>
      </w:r>
      <w:r w:rsidR="000A15D6" w:rsidRPr="0099688B">
        <w:rPr>
          <w:rFonts w:ascii="Times New Roman" w:hAnsi="Times New Roman" w:cs="Times New Roman"/>
        </w:rPr>
        <w:t>y</w:t>
      </w:r>
      <w:r w:rsidRPr="0099688B">
        <w:rPr>
          <w:rFonts w:ascii="Times New Roman" w:hAnsi="Times New Roman" w:cs="Times New Roman"/>
        </w:rPr>
        <w:t xml:space="preserve"> w postaci izolowanego drutu (w praktyce stosuje się drut miedziany) o powierzchni przekroju nie mniejszej niż 1,0 mm</w:t>
      </w:r>
      <w:r w:rsidRPr="0099688B">
        <w:rPr>
          <w:rFonts w:ascii="Times New Roman" w:hAnsi="Times New Roman" w:cs="Times New Roman"/>
          <w:vertAlign w:val="superscript"/>
        </w:rPr>
        <w:t>2</w:t>
      </w:r>
      <w:r w:rsidRPr="0099688B">
        <w:rPr>
          <w:rFonts w:ascii="Times New Roman" w:hAnsi="Times New Roman" w:cs="Times New Roman"/>
        </w:rPr>
        <w:t>.</w:t>
      </w:r>
    </w:p>
    <w:p w14:paraId="3B7FDB4B" w14:textId="77777777" w:rsidR="00D33C82" w:rsidRPr="00226EA6" w:rsidRDefault="00D33C82" w:rsidP="00D33C82">
      <w:pPr>
        <w:keepNext/>
        <w:overflowPunct w:val="0"/>
        <w:autoSpaceDE w:val="0"/>
        <w:autoSpaceDN w:val="0"/>
        <w:adjustRightInd w:val="0"/>
        <w:spacing w:after="0"/>
        <w:ind w:firstLine="708"/>
        <w:jc w:val="both"/>
        <w:outlineLvl w:val="1"/>
        <w:rPr>
          <w:rFonts w:ascii="Times New Roman" w:hAnsi="Times New Roman" w:cs="Times New Roman"/>
        </w:rPr>
      </w:pPr>
      <w:r w:rsidRPr="00E73777">
        <w:rPr>
          <w:rFonts w:ascii="Times New Roman" w:hAnsi="Times New Roman" w:cs="Times New Roman"/>
        </w:rPr>
        <w:t>Łączenie z siecią istniejącą, z hermetycznym przełączeniem metodą balonowania (bez upuszczania gazu do atmosfery) wykonać za pomocą „fittingów” do balonowania z korkiem w wersji na niskie ciśnienie, przystosowane do średnic gazociągów w zakresie 80-300 mm. Do każdego z „fittingów” zamocować kolumnę do balonowania.</w:t>
      </w:r>
      <w:r w:rsidR="00E73777">
        <w:rPr>
          <w:rFonts w:ascii="Times New Roman" w:hAnsi="Times New Roman" w:cs="Times New Roman"/>
        </w:rPr>
        <w:t xml:space="preserve"> Na </w:t>
      </w:r>
      <w:r w:rsidR="00E73777" w:rsidRPr="00E73777">
        <w:rPr>
          <w:rFonts w:ascii="Times New Roman" w:hAnsi="Times New Roman" w:cs="Times New Roman"/>
        </w:rPr>
        <w:t>odcinku gazociągu gdzie będą prowadzone prace włączeniowe należy przewidzieć konieczność montażu zasuw tymczasowych (4 komplety) oraz urządzeń do wstrzymania przepływu gazu (stosować metody hermetyczne wstrzymania przepływu poprzez wprowadzenie do wnętrza gazociągu głowicy zamykającej na istniejącym gazociągu ść Dz110 PE). Przepływ gazu odbywać się będzie poprzez istniejący gazociąg oraz obejścia po obu stronach przebudowywanego odcinka</w:t>
      </w:r>
      <w:r w:rsidR="00E73777">
        <w:rPr>
          <w:rFonts w:ascii="Times New Roman" w:hAnsi="Times New Roman" w:cs="Times New Roman"/>
        </w:rPr>
        <w:t>.</w:t>
      </w:r>
    </w:p>
    <w:p w14:paraId="330C9108"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Rurociągi z PE można układać przy temp. 0</w:t>
      </w:r>
      <w:r w:rsidRPr="00226EA6">
        <w:rPr>
          <w:rFonts w:ascii="Times New Roman" w:hAnsi="Times New Roman" w:cs="Times New Roman"/>
          <w:vertAlign w:val="superscript"/>
        </w:rPr>
        <w:t>0</w:t>
      </w:r>
      <w:r w:rsidRPr="00226EA6">
        <w:rPr>
          <w:rFonts w:ascii="Times New Roman" w:hAnsi="Times New Roman" w:cs="Times New Roman"/>
        </w:rPr>
        <w:t>C do +30</w:t>
      </w:r>
      <w:r w:rsidRPr="00226EA6">
        <w:rPr>
          <w:rFonts w:ascii="Times New Roman" w:hAnsi="Times New Roman" w:cs="Times New Roman"/>
          <w:vertAlign w:val="superscript"/>
        </w:rPr>
        <w:t>0</w:t>
      </w:r>
      <w:r w:rsidRPr="00226EA6">
        <w:rPr>
          <w:rFonts w:ascii="Times New Roman" w:hAnsi="Times New Roman" w:cs="Times New Roman"/>
        </w:rPr>
        <w:t>C (optymalne warunki od +5</w:t>
      </w:r>
      <w:r w:rsidRPr="00226EA6">
        <w:rPr>
          <w:rFonts w:ascii="Times New Roman" w:hAnsi="Times New Roman" w:cs="Times New Roman"/>
          <w:vertAlign w:val="superscript"/>
        </w:rPr>
        <w:t>0</w:t>
      </w:r>
      <w:r w:rsidRPr="00226EA6">
        <w:rPr>
          <w:rFonts w:ascii="Times New Roman" w:hAnsi="Times New Roman" w:cs="Times New Roman"/>
        </w:rPr>
        <w:t>C do +15</w:t>
      </w:r>
      <w:r w:rsidRPr="00226EA6">
        <w:rPr>
          <w:rFonts w:ascii="Times New Roman" w:hAnsi="Times New Roman" w:cs="Times New Roman"/>
          <w:vertAlign w:val="superscript"/>
        </w:rPr>
        <w:t>0</w:t>
      </w:r>
      <w:r w:rsidRPr="00226EA6">
        <w:rPr>
          <w:rFonts w:ascii="Times New Roman" w:hAnsi="Times New Roman" w:cs="Times New Roman"/>
        </w:rPr>
        <w:t>C) ze względu na kruchość tworzywa w niższych temperaturach oraz zmienną rozszerzalność liniową w wyższych temperaturach. Uszkodzenie rur poza tym zakresem temperatur wymaga uzgodnienia technologii montażu z producentem rur. W niskich temperaturach należy zachować szczególną ostrożność przy transporcie i montażu rur z uwagi na zwiększoną podatność na pękanie. Po sprawdzeniu spadku rurociągu, przestrzeń wykopu w obrębie rury należy wypełnić piaskiem obsypki.</w:t>
      </w:r>
    </w:p>
    <w:p w14:paraId="0424B002"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 xml:space="preserve">Za zgrzewalne uważa się rury i części rurociągów z PE o wskaźniku płynięcia 0,2 ÷ 1,3 g/10 minut (MFI 5/190 według ISO 4440). Zgrzewalność rur i części rurociągów (kształtek) została potwierdzona przez wszystkich najważniejszych światowych producentów producentów rur, kształtek oraz producentów urządzeń do zgrzewania. </w:t>
      </w:r>
    </w:p>
    <w:p w14:paraId="0E80F6E0"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Zgrzewanie doczołowe (czołowe) polega na łączeniu części (rura/złączka, rura/rura, złączka/złączka) przez nagrzanie ich końcówek do właściwej temperatury i dociśnięcie, bez stosowania materiału dodatkowego. Powstaje połączenie homogeniczne. Wykonywanie operacji zgrzewania czołowego może być prawidłowe tylko wówczas, gdy stosowany sprzęt pozwala na kontrolę temperatury i siły docisku. Zgrzewanie doczołowe jest metodą, która od dłuższego okresu czasu stosowana jest do łączenia rur i kształtek o średnicy ø 75mm i większych. Urządzeniem stosowanym do wykonywania tego typu połączeń jest zgrzewarka doczołowa.</w:t>
      </w:r>
    </w:p>
    <w:p w14:paraId="048BA10E"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W celu osiągnięcia wysokiej jakości złącz muszą być przestrzegane wszystkie procedury i warunki zgrzewania. Stosowane dzisiaj w technologiach zgrzewania maszyny są urządzeniami automatycznymi, sterowanymi komputerowo. Urządzenia te również posiadają możliwość rejestracji i wydruku parametrów zgrzewania jak i ich obróbki. Zgrzewane mogą być tylko materiały tego samego rodzaju, wskaźnik płynięcia MFI 5/190 winien zawierać się w przedziale 0,3 ÷ 13 g/10 minut. Grubość ścianek łączonych elementów winny ze sobą korespondować; łączyć można tylko części z tej samej klasy ciśnienia. Wymagane narzędzia i urządzenia: obcinarka do rur lub piła z szablonem.</w:t>
      </w:r>
    </w:p>
    <w:p w14:paraId="7BAE59F8" w14:textId="77777777" w:rsidR="00D33C82" w:rsidRPr="00226EA6" w:rsidRDefault="00D33C82" w:rsidP="00D33C82">
      <w:pPr>
        <w:autoSpaceDE w:val="0"/>
        <w:autoSpaceDN w:val="0"/>
        <w:adjustRightInd w:val="0"/>
        <w:spacing w:after="0"/>
        <w:jc w:val="both"/>
        <w:rPr>
          <w:rFonts w:ascii="Times New Roman" w:hAnsi="Times New Roman" w:cs="Times New Roman"/>
        </w:rPr>
      </w:pPr>
      <w:r w:rsidRPr="00226EA6">
        <w:rPr>
          <w:rFonts w:ascii="Times New Roman" w:hAnsi="Times New Roman" w:cs="Times New Roman"/>
        </w:rPr>
        <w:t>Zgrzewarka powinna spełniać następujące minimalne wymagania:</w:t>
      </w:r>
    </w:p>
    <w:p w14:paraId="6ABE6EA9" w14:textId="77777777" w:rsidR="00D33C82" w:rsidRPr="00226EA6" w:rsidRDefault="00D33C82" w:rsidP="00904E6C">
      <w:pPr>
        <w:pStyle w:val="Akapitzlist"/>
        <w:numPr>
          <w:ilvl w:val="0"/>
          <w:numId w:val="74"/>
        </w:numPr>
        <w:overflowPunct/>
        <w:spacing w:line="276" w:lineRule="auto"/>
        <w:textAlignment w:val="auto"/>
        <w:rPr>
          <w:sz w:val="22"/>
          <w:szCs w:val="22"/>
        </w:rPr>
      </w:pPr>
      <w:r w:rsidRPr="00226EA6">
        <w:rPr>
          <w:sz w:val="22"/>
          <w:szCs w:val="22"/>
        </w:rPr>
        <w:t xml:space="preserve"> przyrządy mocujące winny dawać możliwość unieruchomienia części wraz ze stopniowym zaciskaniem, jednakże bez uszkodzenia ich powierzchni,</w:t>
      </w:r>
    </w:p>
    <w:p w14:paraId="26A83511" w14:textId="77777777" w:rsidR="00D33C82" w:rsidRPr="00226EA6" w:rsidRDefault="00D33C82" w:rsidP="00904E6C">
      <w:pPr>
        <w:pStyle w:val="Akapitzlist"/>
        <w:numPr>
          <w:ilvl w:val="0"/>
          <w:numId w:val="74"/>
        </w:numPr>
        <w:overflowPunct/>
        <w:spacing w:line="276" w:lineRule="auto"/>
        <w:textAlignment w:val="auto"/>
        <w:rPr>
          <w:sz w:val="22"/>
          <w:szCs w:val="22"/>
        </w:rPr>
      </w:pPr>
      <w:r w:rsidRPr="00226EA6">
        <w:rPr>
          <w:sz w:val="22"/>
          <w:szCs w:val="22"/>
        </w:rPr>
        <w:t>w urządzeniu powinna być możliwość obróbki wiórowej czół zamocowanych części z zachowaniem ich równoległości,</w:t>
      </w:r>
    </w:p>
    <w:p w14:paraId="1E08A7B1" w14:textId="77777777" w:rsidR="00D33C82" w:rsidRPr="00226EA6" w:rsidRDefault="00D33C82" w:rsidP="00904E6C">
      <w:pPr>
        <w:pStyle w:val="Akapitzlist"/>
        <w:numPr>
          <w:ilvl w:val="0"/>
          <w:numId w:val="74"/>
        </w:numPr>
        <w:overflowPunct/>
        <w:spacing w:line="276" w:lineRule="auto"/>
        <w:textAlignment w:val="auto"/>
        <w:rPr>
          <w:sz w:val="22"/>
          <w:szCs w:val="22"/>
        </w:rPr>
      </w:pPr>
      <w:r w:rsidRPr="00226EA6">
        <w:rPr>
          <w:sz w:val="22"/>
          <w:szCs w:val="22"/>
        </w:rPr>
        <w:t>maszyna powinna posiadać stabilną budowę, by występujące podczas procesu zgrzewania</w:t>
      </w:r>
    </w:p>
    <w:p w14:paraId="4D15F4F6" w14:textId="77777777" w:rsidR="00D33C82" w:rsidRPr="00226EA6" w:rsidRDefault="00D33C82" w:rsidP="00D33C82">
      <w:pPr>
        <w:autoSpaceDE w:val="0"/>
        <w:autoSpaceDN w:val="0"/>
        <w:adjustRightInd w:val="0"/>
        <w:spacing w:after="0"/>
        <w:jc w:val="both"/>
        <w:rPr>
          <w:rFonts w:ascii="Times New Roman" w:hAnsi="Times New Roman" w:cs="Times New Roman"/>
        </w:rPr>
      </w:pPr>
      <w:r w:rsidRPr="00226EA6">
        <w:rPr>
          <w:rFonts w:ascii="Times New Roman" w:hAnsi="Times New Roman" w:cs="Times New Roman"/>
        </w:rPr>
        <w:lastRenderedPageBreak/>
        <w:t>naprężenia nie powodowały deformacji mających niekorzystny wpływ na przebieg operacji,</w:t>
      </w:r>
    </w:p>
    <w:p w14:paraId="5E635C07" w14:textId="77777777" w:rsidR="00D33C82" w:rsidRPr="00226EA6" w:rsidRDefault="00D33C82" w:rsidP="00904E6C">
      <w:pPr>
        <w:pStyle w:val="Akapitzlist"/>
        <w:numPr>
          <w:ilvl w:val="0"/>
          <w:numId w:val="75"/>
        </w:numPr>
        <w:overflowPunct/>
        <w:spacing w:line="276" w:lineRule="auto"/>
        <w:textAlignment w:val="auto"/>
        <w:rPr>
          <w:sz w:val="22"/>
          <w:szCs w:val="22"/>
        </w:rPr>
      </w:pPr>
      <w:r w:rsidRPr="00226EA6">
        <w:rPr>
          <w:sz w:val="22"/>
          <w:szCs w:val="22"/>
        </w:rPr>
        <w:t>powierzchnie robocze elementu grzewczego musza być płaskie i równoległe,</w:t>
      </w:r>
    </w:p>
    <w:p w14:paraId="24CE7081" w14:textId="77777777" w:rsidR="00D33C82" w:rsidRPr="00226EA6" w:rsidRDefault="00D33C82" w:rsidP="00904E6C">
      <w:pPr>
        <w:pStyle w:val="Akapitzlist"/>
        <w:numPr>
          <w:ilvl w:val="0"/>
          <w:numId w:val="75"/>
        </w:numPr>
        <w:overflowPunct/>
        <w:spacing w:line="276" w:lineRule="auto"/>
        <w:textAlignment w:val="auto"/>
        <w:rPr>
          <w:sz w:val="22"/>
          <w:szCs w:val="22"/>
        </w:rPr>
      </w:pPr>
      <w:r w:rsidRPr="00226EA6">
        <w:rPr>
          <w:sz w:val="22"/>
          <w:szCs w:val="22"/>
        </w:rPr>
        <w:t>rozkład temperatury na powierzchniach roboczych nie może wykazywać różnic większych</w:t>
      </w:r>
    </w:p>
    <w:p w14:paraId="1EBED749" w14:textId="77777777" w:rsidR="00D33C82" w:rsidRPr="00226EA6" w:rsidRDefault="00D33C82" w:rsidP="00D33C82">
      <w:pPr>
        <w:autoSpaceDE w:val="0"/>
        <w:autoSpaceDN w:val="0"/>
        <w:adjustRightInd w:val="0"/>
        <w:spacing w:after="0"/>
        <w:jc w:val="both"/>
        <w:rPr>
          <w:rFonts w:ascii="Times New Roman" w:hAnsi="Times New Roman" w:cs="Times New Roman"/>
        </w:rPr>
      </w:pPr>
      <w:r w:rsidRPr="00226EA6">
        <w:rPr>
          <w:rFonts w:ascii="Times New Roman" w:hAnsi="Times New Roman" w:cs="Times New Roman"/>
        </w:rPr>
        <w:t xml:space="preserve">niż 10°C. Strefę zgrzewania należy chronić przed niekorzystnym wpływem czynników atmosferycznych takich jak mgła, deszcz, śnieg lub wiatr. </w:t>
      </w:r>
    </w:p>
    <w:p w14:paraId="1A55DDDE"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W celu uniknięcia nadmiernego schładzania zgrzewu przez ciąg powietrza lub wiatr, należy zamknąć przeciwległe końce rur .W przypadku bezpośredniej ekspozycji słonecznej, równomierny rozkład temperatury na całym obwodzie rury można zapewnić przez osłonięcie strefy zgrzewania. Jakość zgrzewu zależy w znacznym stopniu od staranności wykonania prac przygotowawczych, dlatego należy poświęcić im szczególną uwagę.</w:t>
      </w:r>
    </w:p>
    <w:p w14:paraId="6B2D5906" w14:textId="77777777" w:rsidR="00D33C82" w:rsidRPr="00226EA6" w:rsidRDefault="00D33C82" w:rsidP="00D33C82">
      <w:pPr>
        <w:autoSpaceDE w:val="0"/>
        <w:autoSpaceDN w:val="0"/>
        <w:adjustRightInd w:val="0"/>
        <w:spacing w:after="0"/>
        <w:jc w:val="both"/>
        <w:rPr>
          <w:rFonts w:ascii="Times New Roman" w:hAnsi="Times New Roman" w:cs="Times New Roman"/>
          <w:i/>
        </w:rPr>
      </w:pPr>
      <w:r w:rsidRPr="00226EA6">
        <w:rPr>
          <w:rFonts w:ascii="Times New Roman" w:hAnsi="Times New Roman" w:cs="Times New Roman"/>
          <w:i/>
        </w:rPr>
        <w:t>Element grzewczy.</w:t>
      </w:r>
    </w:p>
    <w:p w14:paraId="45BD310B"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Temperatura elementu grzewczego winna wynosić 210 - 225°C. Temperatura zgrzewania winna utrzymywać się w przedziale 200 ÷ 220°C. Przed przystąpieniem do zgrzewania należy sprawdzić poprawność wskazań temperatury termometrem cyfrowym. Kontrolę temperatury należy prowadzić również od czasu do czasu w trakcie prowadzenia zgrzewania. Powierzchnie elementu grzewczego chronić przed zabrudzeniem. Każdorazowo przed rozpoczęciem zgrzewania obie strony elementu grzewczego należy wyczyścić stosując suchy, gładki papier, ewentualnie drewnianą łopatkę. W czasie przerw między zgrzewaniem, element grzewczy chronić przed wiatrem, zabrudzeniem lub uszkodzeniem.</w:t>
      </w:r>
    </w:p>
    <w:p w14:paraId="060F4233" w14:textId="77777777" w:rsidR="00D33C82" w:rsidRPr="00226EA6" w:rsidRDefault="00D33C82" w:rsidP="00D33C82">
      <w:pPr>
        <w:autoSpaceDE w:val="0"/>
        <w:autoSpaceDN w:val="0"/>
        <w:adjustRightInd w:val="0"/>
        <w:spacing w:after="0"/>
        <w:jc w:val="both"/>
        <w:rPr>
          <w:rFonts w:ascii="Times New Roman" w:hAnsi="Times New Roman" w:cs="Times New Roman"/>
          <w:i/>
        </w:rPr>
      </w:pPr>
      <w:r w:rsidRPr="00226EA6">
        <w:rPr>
          <w:rFonts w:ascii="Times New Roman" w:hAnsi="Times New Roman" w:cs="Times New Roman"/>
          <w:i/>
        </w:rPr>
        <w:t>Prace przygotowawcze.</w:t>
      </w:r>
    </w:p>
    <w:p w14:paraId="126B51C8" w14:textId="77777777" w:rsidR="00D33C82" w:rsidRPr="00226EA6" w:rsidRDefault="00D33C82" w:rsidP="00D33C82">
      <w:pPr>
        <w:autoSpaceDE w:val="0"/>
        <w:autoSpaceDN w:val="0"/>
        <w:adjustRightInd w:val="0"/>
        <w:spacing w:after="0"/>
        <w:ind w:firstLine="708"/>
        <w:jc w:val="both"/>
        <w:rPr>
          <w:rFonts w:ascii="Times New Roman" w:hAnsi="Times New Roman" w:cs="Times New Roman"/>
        </w:rPr>
      </w:pPr>
      <w:r w:rsidRPr="00226EA6">
        <w:rPr>
          <w:rFonts w:ascii="Times New Roman" w:hAnsi="Times New Roman" w:cs="Times New Roman"/>
        </w:rPr>
        <w:t>Obie części zamocowane w maszynie do zgrzewania należy poddać jednoczesnej obróbce wiórowej specjalnym heblem. Grubość wiórów powinna być mniejsza niż 0,2 mm. Obróbka jest wystarczająca, gdy na obu zgrzewanych częściach nie ma już miejsc nieobrobionych. Wióry, które dostaną się do wnętrza rury lub złączki należy usunąć przy pomocy szczypiec. Powierzchnie zgrzewane w żadnym wypadku nie mogą być już dotykane rękami. W przeciwnym razie konieczne jest czyszczenie powierzchni technicznie czystym spirytusem. Po obrobieniu części dosunąć do siebie, aż do ich zetknięcia. Szczelina między obiema częściami w żadnym miejscu nie może być większa od 0,5 mm. Jednocześnie należy sprawdzić czy części nie są względem siebie przemieszczone. Ewentualne przemieszczenie nie może być większe niż 10% grubości ścianki. Obróbka powierzchni zgrzewanych powinna mieć miejsce bezpośrednio przed zgrzewaniem.</w:t>
      </w:r>
    </w:p>
    <w:p w14:paraId="3A2D226C"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14" w:name="_Toc130791330"/>
      <w:bookmarkStart w:id="315" w:name="_Toc130791311"/>
      <w:r w:rsidRPr="00226EA6">
        <w:rPr>
          <w:rFonts w:ascii="Times New Roman" w:eastAsia="Times New Roman" w:hAnsi="Times New Roman" w:cs="Times New Roman"/>
          <w:b/>
          <w:caps/>
          <w:kern w:val="28"/>
          <w:lang w:eastAsia="pl-PL"/>
        </w:rPr>
        <w:t>6. KONTROLA JAKOŚCI ROBÓT</w:t>
      </w:r>
      <w:bookmarkEnd w:id="314"/>
      <w:bookmarkEnd w:id="315"/>
    </w:p>
    <w:p w14:paraId="708E6EF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6.1. Ogólne zasady kontroli jakości robót</w:t>
      </w:r>
    </w:p>
    <w:p w14:paraId="2344AD03"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zasady kontroli jakości robót podano w ST D-00.00.00 „Wymagania ogólne”.</w:t>
      </w:r>
    </w:p>
    <w:p w14:paraId="1CAE227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6.2. Kontrola, pomiary i badania</w:t>
      </w:r>
    </w:p>
    <w:p w14:paraId="5F6DB315" w14:textId="77777777" w:rsidR="00D33C82" w:rsidRPr="00226EA6" w:rsidRDefault="00D33C82" w:rsidP="00D33C82">
      <w:pPr>
        <w:overflowPunct w:val="0"/>
        <w:autoSpaceDE w:val="0"/>
        <w:autoSpaceDN w:val="0"/>
        <w:adjustRightInd w:val="0"/>
        <w:spacing w:before="120" w:after="12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6.2.1.</w:t>
      </w:r>
      <w:r w:rsidRPr="00226EA6">
        <w:rPr>
          <w:rFonts w:ascii="Times New Roman" w:eastAsia="Times New Roman" w:hAnsi="Times New Roman" w:cs="Times New Roman"/>
          <w:lang w:eastAsia="pl-PL"/>
        </w:rPr>
        <w:t xml:space="preserve"> Badania przed przystąpieniem do robót</w:t>
      </w:r>
    </w:p>
    <w:p w14:paraId="0E7C03C6"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Przed przystąpieniem do robót Wykonawca powinien:</w:t>
      </w:r>
    </w:p>
    <w:p w14:paraId="46A97FEC" w14:textId="77777777" w:rsidR="00D33C82" w:rsidRPr="00226EA6" w:rsidRDefault="00D33C82" w:rsidP="00D33C82">
      <w:pPr>
        <w:numPr>
          <w:ilvl w:val="0"/>
          <w:numId w:val="23"/>
        </w:numPr>
        <w:tabs>
          <w:tab w:val="num" w:pos="567"/>
        </w:tabs>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uzyskać wymagane dokumenty, dopuszczające wyroby budowlane do obrotu (aprobaty techniczne, certyfikaty zgodności, deklaracje zgodności, ew. badania materiałów wykonane przez dostawców itp.),</w:t>
      </w:r>
    </w:p>
    <w:p w14:paraId="6F9D5507"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Wszystkie dokumenty oraz wyniki badań Wykonawca przedstawia Inżynierowi do akceptacji.</w:t>
      </w:r>
    </w:p>
    <w:p w14:paraId="01D3D4A6" w14:textId="77777777" w:rsidR="00D33C82" w:rsidRPr="00226EA6" w:rsidRDefault="00D33C82" w:rsidP="00D33C82">
      <w:pPr>
        <w:overflowPunct w:val="0"/>
        <w:autoSpaceDE w:val="0"/>
        <w:autoSpaceDN w:val="0"/>
        <w:adjustRightInd w:val="0"/>
        <w:spacing w:before="120" w:after="12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6.2.2.</w:t>
      </w:r>
      <w:r w:rsidRPr="00226EA6">
        <w:rPr>
          <w:rFonts w:ascii="Times New Roman" w:eastAsia="Times New Roman" w:hAnsi="Times New Roman" w:cs="Times New Roman"/>
          <w:lang w:eastAsia="pl-PL"/>
        </w:rPr>
        <w:t xml:space="preserve"> Kontrola, pomiary i badania w czasie robót</w:t>
      </w:r>
    </w:p>
    <w:p w14:paraId="36919562"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Wykonawca jest zobowiązany do stałej i systematycznej kontroli prowadzonych robót w zakresie i z częstotliwością określoną w niniejszej OST i zaakceptowaną przez Inżyniera.</w:t>
      </w:r>
    </w:p>
    <w:p w14:paraId="0A1CA979"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W szczególności kontrola powinna obejmować:</w:t>
      </w:r>
    </w:p>
    <w:p w14:paraId="089E3B69"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sprawdzenie rzędnych założonych ław celowniczych w nawiązaniu do podanych stałych punktów wysokościowych z dokładnością do </w:t>
      </w:r>
      <w:smartTag w:uri="urn:schemas-microsoft-com:office:smarttags" w:element="metricconverter">
        <w:smartTagPr>
          <w:attr w:name="ProductID" w:val="1 cm"/>
        </w:smartTagPr>
        <w:r w:rsidRPr="00226EA6">
          <w:rPr>
            <w:rFonts w:ascii="Times New Roman" w:eastAsia="Times New Roman" w:hAnsi="Times New Roman" w:cs="Times New Roman"/>
            <w:lang w:eastAsia="pl-PL"/>
          </w:rPr>
          <w:t>1 cm</w:t>
        </w:r>
      </w:smartTag>
      <w:r w:rsidRPr="00226EA6">
        <w:rPr>
          <w:rFonts w:ascii="Times New Roman" w:eastAsia="Times New Roman" w:hAnsi="Times New Roman" w:cs="Times New Roman"/>
          <w:lang w:eastAsia="pl-PL"/>
        </w:rPr>
        <w:t>,</w:t>
      </w:r>
    </w:p>
    <w:p w14:paraId="3959E451"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zapewnienie stateczności ścian wykopów</w:t>
      </w:r>
    </w:p>
    <w:p w14:paraId="4898C19B"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lastRenderedPageBreak/>
        <w:t>sprawdzenie jakości umocnienia</w:t>
      </w:r>
    </w:p>
    <w:p w14:paraId="27482A68"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badanie zabezpieczenia wykopów przed zalaniem wodą,</w:t>
      </w:r>
    </w:p>
    <w:p w14:paraId="168F9C1E"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badanie i pomiary szerokości, grubości i zagęszczenia wykonanej warstwy podłoża z kruszywa mineralnego,</w:t>
      </w:r>
    </w:p>
    <w:p w14:paraId="1E64F78D"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badanie odchylenia osi przewodu,</w:t>
      </w:r>
    </w:p>
    <w:p w14:paraId="2279AF18"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sprawdzenie zgodności z dokumentacją projektową ułożenia przewodów,</w:t>
      </w:r>
    </w:p>
    <w:p w14:paraId="313F0183"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sprawdzenie prawidłowości ułożenia przewodów,</w:t>
      </w:r>
    </w:p>
    <w:p w14:paraId="5929D79A"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badanie wskaźników zagęszczenia poszczególnych warstw zasypu,</w:t>
      </w:r>
    </w:p>
    <w:p w14:paraId="3541270E"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kontrola wykonywania połączeń zgrzewanych,</w:t>
      </w:r>
    </w:p>
    <w:p w14:paraId="1F842472"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odbiór izolacji złączy spawanych,</w:t>
      </w:r>
    </w:p>
    <w:p w14:paraId="2B76F385" w14:textId="77777777" w:rsidR="00D33C82" w:rsidRPr="00226EA6" w:rsidRDefault="00D33C82" w:rsidP="00D33C82">
      <w:pPr>
        <w:numPr>
          <w:ilvl w:val="0"/>
          <w:numId w:val="23"/>
        </w:numPr>
        <w:overflowPunct w:val="0"/>
        <w:autoSpaceDE w:val="0"/>
        <w:autoSpaceDN w:val="0"/>
        <w:adjustRightInd w:val="0"/>
        <w:spacing w:after="0" w:line="276"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odbiór zasypki piaskowej i oznaczenia trasy taśmą i przewodem,</w:t>
      </w:r>
    </w:p>
    <w:p w14:paraId="0D690172"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sym w:font="Symbol" w:char="F02D"/>
      </w:r>
      <w:r w:rsidRPr="00226EA6">
        <w:rPr>
          <w:rFonts w:ascii="Times New Roman" w:eastAsia="Times New Roman" w:hAnsi="Times New Roman" w:cs="Times New Roman"/>
          <w:lang w:eastAsia="pl-PL"/>
        </w:rPr>
        <w:t xml:space="preserve">   odbiór trasy w terenie z oznaczeniami,</w:t>
      </w:r>
    </w:p>
    <w:p w14:paraId="10693ADF" w14:textId="77777777" w:rsidR="00D33C82" w:rsidRPr="00226EA6" w:rsidRDefault="00D33C82" w:rsidP="00D33C82">
      <w:pPr>
        <w:overflowPunct w:val="0"/>
        <w:autoSpaceDE w:val="0"/>
        <w:autoSpaceDN w:val="0"/>
        <w:adjustRightInd w:val="0"/>
        <w:spacing w:before="120" w:after="12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b/>
          <w:lang w:eastAsia="pl-PL"/>
        </w:rPr>
        <w:t>6.2.3.</w:t>
      </w:r>
      <w:r w:rsidRPr="00226EA6">
        <w:rPr>
          <w:rFonts w:ascii="Times New Roman" w:eastAsia="Times New Roman" w:hAnsi="Times New Roman" w:cs="Times New Roman"/>
          <w:lang w:eastAsia="pl-PL"/>
        </w:rPr>
        <w:t xml:space="preserve">  Próba hydrauliczna rurociągów</w:t>
      </w:r>
    </w:p>
    <w:p w14:paraId="3004494A" w14:textId="77777777" w:rsidR="00D33C82" w:rsidRPr="00226EA6" w:rsidRDefault="00D33C82" w:rsidP="00D30E29">
      <w:pPr>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Czyszczenie gazociągu wykonać należy bezpośrednio przed próbą wytrzymałości i szczelności i</w:t>
      </w:r>
      <w:r w:rsidR="00D30E29">
        <w:rPr>
          <w:rFonts w:ascii="Times New Roman" w:eastAsia="Times New Roman" w:hAnsi="Times New Roman" w:cs="Times New Roman"/>
          <w:lang w:eastAsia="pl-PL"/>
        </w:rPr>
        <w:t> </w:t>
      </w:r>
      <w:r w:rsidRPr="00226EA6">
        <w:rPr>
          <w:rFonts w:ascii="Times New Roman" w:eastAsia="Times New Roman" w:hAnsi="Times New Roman" w:cs="Times New Roman"/>
          <w:lang w:eastAsia="pl-PL"/>
        </w:rPr>
        <w:t>podlega ono odbiorowi przez inspektora nadzoru, i/lub przedstawiciela przyszłego użytkownika.</w:t>
      </w:r>
      <w:r w:rsidR="00D30E29">
        <w:rPr>
          <w:rFonts w:ascii="Times New Roman" w:eastAsia="Times New Roman" w:hAnsi="Times New Roman" w:cs="Times New Roman"/>
          <w:lang w:eastAsia="pl-PL"/>
        </w:rPr>
        <w:t xml:space="preserve"> </w:t>
      </w:r>
      <w:r w:rsidRPr="00226EA6">
        <w:rPr>
          <w:rFonts w:ascii="Times New Roman" w:eastAsia="Times New Roman" w:hAnsi="Times New Roman" w:cs="Times New Roman"/>
          <w:lang w:eastAsia="pl-PL"/>
        </w:rPr>
        <w:t>Po oczyszczeniu, gazociągu PE poddać należy próbie łączo</w:t>
      </w:r>
      <w:r w:rsidR="00D30E29">
        <w:rPr>
          <w:rFonts w:ascii="Times New Roman" w:eastAsia="Times New Roman" w:hAnsi="Times New Roman" w:cs="Times New Roman"/>
          <w:lang w:eastAsia="pl-PL"/>
        </w:rPr>
        <w:t xml:space="preserve">nej wytrzymałości i szczelności </w:t>
      </w:r>
      <w:r w:rsidRPr="00226EA6">
        <w:rPr>
          <w:rFonts w:ascii="Times New Roman" w:eastAsia="Times New Roman" w:hAnsi="Times New Roman" w:cs="Times New Roman"/>
          <w:lang w:eastAsia="pl-PL"/>
        </w:rPr>
        <w:t>pneumatycznej, zgodnie z Dz. U. 2013 poz. 640 oraz PN-EN 12327:</w:t>
      </w:r>
    </w:p>
    <w:p w14:paraId="2F7C7247"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 próby wykonywać po zasypaniu rurociągów,</w:t>
      </w:r>
    </w:p>
    <w:p w14:paraId="5438D1D4"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b) czynnikiem wykorzystywanym do wykonania pr</w:t>
      </w:r>
      <w:r w:rsidR="00D30E29">
        <w:rPr>
          <w:rFonts w:ascii="Times New Roman" w:eastAsia="Times New Roman" w:hAnsi="Times New Roman" w:cs="Times New Roman"/>
          <w:lang w:eastAsia="pl-PL"/>
        </w:rPr>
        <w:t xml:space="preserve">óby może być powietrze lub gaz </w:t>
      </w:r>
      <w:r w:rsidRPr="00226EA6">
        <w:rPr>
          <w:rFonts w:ascii="Times New Roman" w:eastAsia="Times New Roman" w:hAnsi="Times New Roman" w:cs="Times New Roman"/>
          <w:lang w:eastAsia="pl-PL"/>
        </w:rPr>
        <w:t>obojętny,</w:t>
      </w:r>
    </w:p>
    <w:p w14:paraId="22D68929"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c) ciśnienie próby nie powinno być niższe niż 0,75 MPa dla gazociągów i przyłączy niskiego</w:t>
      </w:r>
    </w:p>
    <w:p w14:paraId="1B58A6E4"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ciśnienia,</w:t>
      </w:r>
    </w:p>
    <w:p w14:paraId="330726C3"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d) przyrząd pomiarowy:</w:t>
      </w:r>
    </w:p>
    <w:p w14:paraId="3466C794"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przyrząd rejestrujący mechaniczny lub elektroniczny o minimalnej klasie 1 – dla gazociągów,</w:t>
      </w:r>
    </w:p>
    <w:p w14:paraId="66035034"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ciśnieniomierz o minimalnej klasie 0,6 – przyłącza,</w:t>
      </w:r>
    </w:p>
    <w:p w14:paraId="2828DA1F"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zalecana zakresowość: 1,25÷1,5 ciśnienia próby,</w:t>
      </w:r>
    </w:p>
    <w:p w14:paraId="42449B12"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przyrząd powinien mieć ważne świadectwo wzorcowania (nie starsze niż 2 lata),</w:t>
      </w:r>
    </w:p>
    <w:p w14:paraId="5CFDEA23"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e) czas stabilizacji temperatury i ciśnienia w rurociągu:</w:t>
      </w:r>
    </w:p>
    <w:p w14:paraId="140C3070"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nie mniej niż 2 godziny – dla gazociągu,</w:t>
      </w:r>
    </w:p>
    <w:p w14:paraId="32AAE57F"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nie mniej niż 0,5 godziny – dla przyłącza,</w:t>
      </w:r>
    </w:p>
    <w:p w14:paraId="61330470"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f) czas trwania próby po ustabilizowaniu się temperatury i ciśnienia w rurociągu:</w:t>
      </w:r>
    </w:p>
    <w:p w14:paraId="7D3E2B94"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nie mniej niż 24 godziny – dla gazociągu,</w:t>
      </w:r>
    </w:p>
    <w:p w14:paraId="551AC660" w14:textId="77777777" w:rsidR="00D33C82" w:rsidRPr="00226EA6" w:rsidRDefault="00D33C82" w:rsidP="00904E6C">
      <w:pPr>
        <w:pStyle w:val="Akapitzlist"/>
        <w:numPr>
          <w:ilvl w:val="0"/>
          <w:numId w:val="77"/>
        </w:numPr>
        <w:overflowPunct/>
        <w:jc w:val="left"/>
        <w:textAlignment w:val="auto"/>
        <w:rPr>
          <w:sz w:val="22"/>
          <w:szCs w:val="22"/>
        </w:rPr>
      </w:pPr>
      <w:r w:rsidRPr="00226EA6">
        <w:rPr>
          <w:sz w:val="22"/>
          <w:szCs w:val="22"/>
        </w:rPr>
        <w:t>nie mniej niż 1 godzina – dla przyłącza.</w:t>
      </w:r>
    </w:p>
    <w:p w14:paraId="7F392338" w14:textId="77777777" w:rsidR="00D33C82" w:rsidRPr="00226EA6" w:rsidRDefault="00D33C82" w:rsidP="00D33C82">
      <w:pPr>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UWAGA: Dopuszcza się, aby po ustabilizowaniu się temperatury i ciśnienia w gazociągu czas próby łącznej wytrzymałości i szczelności dla gazociągu z polietylenu o MOP do 1,0 MPa włącznie powinien być nie krótszy niż 2 godziny przy zastosowaniu elektronicznych urządzeń rejestrujących ciśnienie próby w zależności od zmian z czujnikiem ciśnienia klasy 0,1 i czujnikiem pomiaru temperatury czynnika o dokładności do 0,5 K, przy zapewnieniu minimalnego dwugodzinnego czasu stabilizacji czynnika próbnego.</w:t>
      </w:r>
    </w:p>
    <w:p w14:paraId="4E090D16" w14:textId="77777777" w:rsidR="00D33C82" w:rsidRPr="00226EA6" w:rsidRDefault="00D33C82" w:rsidP="00D33C82">
      <w:pPr>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g) dopuszczalny spadek ciśnienia: nie dopuszcza się spadku ciśnienia,</w:t>
      </w:r>
    </w:p>
    <w:p w14:paraId="4C47D4A4" w14:textId="77777777" w:rsidR="00D33C82" w:rsidRPr="00226EA6" w:rsidRDefault="00D33C82" w:rsidP="00D33C82">
      <w:pPr>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h) próbę szczelności wykonywać należy przy otwartej armaturze odcinającej zabudowanej na rurociągach,</w:t>
      </w:r>
    </w:p>
    <w:p w14:paraId="7AB574A3" w14:textId="77777777" w:rsidR="00D33C82" w:rsidRPr="00226EA6" w:rsidRDefault="00D33C82" w:rsidP="00D33C82">
      <w:pPr>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i) jeżeli próba szczelności wypadnie negatywnie, to przed ponownym jej wykonaniem należy zlokalizować i usunąć nieszczelność.</w:t>
      </w:r>
    </w:p>
    <w:p w14:paraId="1E4881FC" w14:textId="77777777" w:rsidR="00D33C82" w:rsidRPr="00226EA6" w:rsidRDefault="00D33C82" w:rsidP="00D33C82">
      <w:pPr>
        <w:spacing w:after="0"/>
        <w:ind w:firstLine="36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Próba wytrzymałości i szczelności podlega odbiorowi przez inspektora nadzoru, w obecności przedstawiciela przyszłego użytkownika.</w:t>
      </w:r>
    </w:p>
    <w:p w14:paraId="5EAF6242" w14:textId="77777777" w:rsidR="00D33C82" w:rsidRPr="00226EA6" w:rsidRDefault="00D33C82" w:rsidP="00D33C82">
      <w:pPr>
        <w:spacing w:after="0"/>
        <w:ind w:firstLine="36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Standardy próby szczelności gazociągu o ciśnieniu do 0,5 MPa powinny być wykonane według IGG ST-IGG-0301:2012. Ciśnienie próby dla gazociągu średniego ciśnienia wynosi 0,75MPa. </w:t>
      </w:r>
    </w:p>
    <w:p w14:paraId="09596349" w14:textId="77777777" w:rsidR="00D33C82" w:rsidRPr="00226EA6" w:rsidRDefault="00D33C82" w:rsidP="00D33C82">
      <w:pPr>
        <w:spacing w:after="0"/>
        <w:ind w:firstLine="360"/>
        <w:rPr>
          <w:rFonts w:ascii="Times New Roman" w:hAnsi="Times New Roman" w:cs="Times New Roman"/>
          <w:iCs/>
        </w:rPr>
      </w:pPr>
      <w:r w:rsidRPr="00226EA6">
        <w:rPr>
          <w:rFonts w:ascii="Times New Roman" w:hAnsi="Times New Roman" w:cs="Times New Roman"/>
          <w:iCs/>
        </w:rPr>
        <w:t>Objętość obliczono ze wzoru:</w:t>
      </w:r>
    </w:p>
    <w:p w14:paraId="45428AD0" w14:textId="77777777" w:rsidR="00D33C82" w:rsidRPr="00226EA6" w:rsidRDefault="00D33C82" w:rsidP="00D33C82">
      <w:pPr>
        <w:spacing w:after="0"/>
        <w:ind w:firstLine="360"/>
        <w:rPr>
          <w:rFonts w:ascii="Times New Roman" w:hAnsi="Times New Roman" w:cs="Times New Roman"/>
          <w:lang w:val="en-US"/>
        </w:rPr>
      </w:pPr>
      <m:oMathPara>
        <m:oMath>
          <m:r>
            <w:rPr>
              <w:rFonts w:ascii="Cambria Math" w:hAnsi="Cambria Math" w:cs="Times New Roman"/>
            </w:rPr>
            <m:t>Vgeo</m:t>
          </m:r>
          <m:r>
            <w:rPr>
              <w:rFonts w:ascii="Cambria Math" w:hAnsi="Cambria Math" w:cs="Times New Roman"/>
              <w:lang w:val="en-US"/>
            </w:rPr>
            <m:t xml:space="preserve">= </m:t>
          </m:r>
          <m:r>
            <w:rPr>
              <w:rFonts w:ascii="Cambria Math" w:hAnsi="Cambria Math" w:cs="Times New Roman"/>
            </w:rPr>
            <m:t>π</m:t>
          </m:r>
          <m:sSup>
            <m:sSupPr>
              <m:ctrlPr>
                <w:rPr>
                  <w:rFonts w:ascii="Cambria Math" w:hAnsi="Cambria Math" w:cs="Times New Roman"/>
                  <w:i/>
                </w:rPr>
              </m:ctrlPr>
            </m:sSupPr>
            <m:e>
              <m:r>
                <w:rPr>
                  <w:rFonts w:ascii="Cambria Math" w:hAnsi="Cambria Math" w:cs="Times New Roman"/>
                </w:rPr>
                <m:t>r</m:t>
              </m:r>
            </m:e>
            <m:sup>
              <m:r>
                <w:rPr>
                  <w:rFonts w:ascii="Cambria Math" w:hAnsi="Cambria Math" w:cs="Times New Roman"/>
                </w:rPr>
                <m:t xml:space="preserve">2 </m:t>
              </m:r>
            </m:sup>
          </m:sSup>
          <m:r>
            <w:rPr>
              <w:rFonts w:ascii="Cambria Math" w:hAnsi="Cambria Math" w:cs="Times New Roman"/>
            </w:rPr>
            <m:t>x L</m:t>
          </m:r>
        </m:oMath>
      </m:oMathPara>
    </w:p>
    <w:p w14:paraId="24D4163F" w14:textId="77777777" w:rsidR="00D33C82" w:rsidRPr="00226EA6" w:rsidRDefault="00D33C82" w:rsidP="00D33C82">
      <w:pPr>
        <w:spacing w:after="0"/>
        <w:ind w:firstLine="360"/>
        <w:jc w:val="both"/>
        <w:rPr>
          <w:rFonts w:ascii="Times New Roman" w:hAnsi="Times New Roman" w:cs="Times New Roman"/>
          <w:iCs/>
        </w:rPr>
      </w:pPr>
      <w:r w:rsidRPr="00226EA6">
        <w:rPr>
          <w:rFonts w:ascii="Times New Roman" w:hAnsi="Times New Roman" w:cs="Times New Roman"/>
          <w:iCs/>
        </w:rPr>
        <w:lastRenderedPageBreak/>
        <w:t>Dla gazociągów o objętości V</w:t>
      </w:r>
      <w:r w:rsidRPr="00226EA6">
        <w:rPr>
          <w:rFonts w:ascii="Times New Roman" w:hAnsi="Times New Roman" w:cs="Times New Roman"/>
          <w:iCs/>
          <w:vertAlign w:val="subscript"/>
        </w:rPr>
        <w:t>geo</w:t>
      </w:r>
      <w:r w:rsidRPr="00226EA6">
        <w:rPr>
          <w:rFonts w:ascii="Times New Roman" w:hAnsi="Times New Roman" w:cs="Times New Roman"/>
          <w:iCs/>
        </w:rPr>
        <w:t xml:space="preserve"> ≤ 0,1 m</w:t>
      </w:r>
      <w:r w:rsidRPr="00226EA6">
        <w:rPr>
          <w:rFonts w:ascii="Times New Roman" w:hAnsi="Times New Roman" w:cs="Times New Roman"/>
          <w:iCs/>
          <w:vertAlign w:val="superscript"/>
        </w:rPr>
        <w:t>3</w:t>
      </w:r>
      <w:r w:rsidRPr="00226EA6">
        <w:rPr>
          <w:rFonts w:ascii="Times New Roman" w:hAnsi="Times New Roman" w:cs="Times New Roman"/>
          <w:iCs/>
        </w:rPr>
        <w:t xml:space="preserve"> czas stabilizacji przyjęto  30 min. Dla gazociągów        V</w:t>
      </w:r>
      <w:r w:rsidRPr="00226EA6">
        <w:rPr>
          <w:rFonts w:ascii="Times New Roman" w:hAnsi="Times New Roman" w:cs="Times New Roman"/>
          <w:iCs/>
          <w:vertAlign w:val="subscript"/>
        </w:rPr>
        <w:t>geo</w:t>
      </w:r>
      <w:r w:rsidRPr="00226EA6">
        <w:rPr>
          <w:rFonts w:ascii="Times New Roman" w:hAnsi="Times New Roman" w:cs="Times New Roman"/>
          <w:iCs/>
        </w:rPr>
        <w:t xml:space="preserve"> &gt; 0,1 m</w:t>
      </w:r>
      <w:r w:rsidRPr="00226EA6">
        <w:rPr>
          <w:rFonts w:ascii="Times New Roman" w:hAnsi="Times New Roman" w:cs="Times New Roman"/>
          <w:iCs/>
          <w:vertAlign w:val="superscript"/>
        </w:rPr>
        <w:t>3</w:t>
      </w:r>
      <w:r w:rsidRPr="00226EA6">
        <w:rPr>
          <w:rFonts w:ascii="Times New Roman" w:hAnsi="Times New Roman" w:cs="Times New Roman"/>
          <w:iCs/>
        </w:rPr>
        <w:t xml:space="preserve"> z godnie z zalecaniami  przyjęto na każde 0,1 MPa ciśnienia próby 1 godzinę stabilizacji</w:t>
      </w:r>
    </w:p>
    <w:p w14:paraId="776629B4" w14:textId="77777777" w:rsidR="00D33C82" w:rsidRPr="00226EA6" w:rsidRDefault="00D33C82" w:rsidP="00D33C82">
      <w:pPr>
        <w:spacing w:after="0"/>
        <w:ind w:firstLine="360"/>
        <w:jc w:val="both"/>
        <w:rPr>
          <w:rFonts w:ascii="Times New Roman" w:hAnsi="Times New Roman" w:cs="Times New Roman"/>
        </w:rPr>
      </w:pPr>
      <w:r w:rsidRPr="00226EA6">
        <w:rPr>
          <w:rFonts w:ascii="Times New Roman" w:hAnsi="Times New Roman" w:cs="Times New Roman"/>
        </w:rPr>
        <w:t>Czas trwania próby właściwej dla metody standardowej obliczono ze wzoru dla gazociągów średniego ciśnienia:</w:t>
      </w:r>
    </w:p>
    <w:p w14:paraId="255ACEC9" w14:textId="77777777" w:rsidR="00D33C82" w:rsidRPr="00226EA6" w:rsidRDefault="00AB678D" w:rsidP="00D33C82">
      <w:pPr>
        <w:pStyle w:val="Tekstpodstawowy"/>
        <w:rPr>
          <w:sz w:val="22"/>
          <w:szCs w:val="22"/>
          <w:lang w:eastAsia="en-US"/>
        </w:rPr>
      </w:pPr>
      <m:oMathPara>
        <m:oMath>
          <m:sSub>
            <m:sSubPr>
              <m:ctrlPr>
                <w:rPr>
                  <w:rFonts w:ascii="Cambria Math" w:hAnsi="Cambria Math"/>
                  <w:i/>
                  <w:sz w:val="22"/>
                  <w:szCs w:val="22"/>
                  <w:lang w:eastAsia="en-US"/>
                </w:rPr>
              </m:ctrlPr>
            </m:sSubPr>
            <m:e>
              <m:r>
                <w:rPr>
                  <w:rFonts w:ascii="Cambria Math" w:hAnsi="Cambria Math"/>
                  <w:sz w:val="22"/>
                  <w:szCs w:val="22"/>
                  <w:lang w:eastAsia="en-US"/>
                </w:rPr>
                <m:t>t</m:t>
              </m:r>
            </m:e>
            <m:sub>
              <m:r>
                <w:rPr>
                  <w:rFonts w:ascii="Cambria Math" w:hAnsi="Cambria Math"/>
                  <w:sz w:val="22"/>
                  <w:szCs w:val="22"/>
                  <w:lang w:eastAsia="en-US"/>
                </w:rPr>
                <m:t>ps</m:t>
              </m:r>
            </m:sub>
          </m:sSub>
          <m:r>
            <w:rPr>
              <w:rFonts w:ascii="Cambria Math" w:hAnsi="Cambria Math"/>
              <w:sz w:val="22"/>
              <w:szCs w:val="22"/>
              <w:lang w:eastAsia="en-US"/>
            </w:rPr>
            <m:t>=1</m:t>
          </m:r>
          <m:f>
            <m:fPr>
              <m:ctrlPr>
                <w:rPr>
                  <w:rFonts w:ascii="Cambria Math" w:hAnsi="Cambria Math"/>
                  <w:i/>
                  <w:sz w:val="22"/>
                  <w:szCs w:val="22"/>
                  <w:lang w:eastAsia="en-US"/>
                </w:rPr>
              </m:ctrlPr>
            </m:fPr>
            <m:num>
              <m:r>
                <w:rPr>
                  <w:rFonts w:ascii="Cambria Math" w:hAnsi="Cambria Math"/>
                  <w:sz w:val="22"/>
                  <w:szCs w:val="22"/>
                  <w:lang w:eastAsia="en-US"/>
                </w:rPr>
                <m:t>h</m:t>
              </m:r>
            </m:num>
            <m:den>
              <m:sSup>
                <m:sSupPr>
                  <m:ctrlPr>
                    <w:rPr>
                      <w:rFonts w:ascii="Cambria Math" w:hAnsi="Cambria Math"/>
                      <w:i/>
                      <w:sz w:val="22"/>
                      <w:szCs w:val="22"/>
                      <w:lang w:eastAsia="en-US"/>
                    </w:rPr>
                  </m:ctrlPr>
                </m:sSupPr>
                <m:e>
                  <m:r>
                    <w:rPr>
                      <w:rFonts w:ascii="Cambria Math" w:hAnsi="Cambria Math"/>
                      <w:sz w:val="22"/>
                      <w:szCs w:val="22"/>
                      <w:lang w:eastAsia="en-US"/>
                    </w:rPr>
                    <m:t>m</m:t>
                  </m:r>
                </m:e>
                <m:sup>
                  <m:r>
                    <w:rPr>
                      <w:rFonts w:ascii="Cambria Math" w:hAnsi="Cambria Math"/>
                      <w:sz w:val="22"/>
                      <w:szCs w:val="22"/>
                      <w:lang w:eastAsia="en-US"/>
                    </w:rPr>
                    <m:t>3</m:t>
                  </m:r>
                </m:sup>
              </m:sSup>
            </m:den>
          </m:f>
          <m:r>
            <w:rPr>
              <w:rFonts w:ascii="Cambria Math" w:hAnsi="Cambria Math"/>
              <w:sz w:val="22"/>
              <w:szCs w:val="22"/>
              <w:lang w:eastAsia="en-US"/>
            </w:rPr>
            <m:t>∙Vgeo [h]</m:t>
          </m:r>
        </m:oMath>
      </m:oMathPara>
    </w:p>
    <w:p w14:paraId="27BBBA2E" w14:textId="77777777" w:rsidR="00D33C82" w:rsidRPr="00226EA6" w:rsidRDefault="00D33C82" w:rsidP="00D33C82">
      <w:pPr>
        <w:spacing w:after="0"/>
        <w:rPr>
          <w:rFonts w:ascii="Times New Roman" w:hAnsi="Times New Roman" w:cs="Times New Roman"/>
        </w:rPr>
      </w:pPr>
      <w:r w:rsidRPr="00226EA6">
        <w:rPr>
          <w:rFonts w:ascii="Times New Roman" w:hAnsi="Times New Roman" w:cs="Times New Roman"/>
        </w:rPr>
        <w:t>Natomiast dla metody precyzyjnej:</w:t>
      </w:r>
    </w:p>
    <w:p w14:paraId="67E24349" w14:textId="77777777" w:rsidR="00D33C82" w:rsidRPr="00226EA6" w:rsidRDefault="00AB678D" w:rsidP="00D33C82">
      <w:pPr>
        <w:pStyle w:val="Tekstpodstawowy"/>
        <w:rPr>
          <w:sz w:val="22"/>
          <w:szCs w:val="22"/>
          <w:lang w:eastAsia="en-US"/>
        </w:rPr>
      </w:pPr>
      <m:oMathPara>
        <m:oMath>
          <m:sSub>
            <m:sSubPr>
              <m:ctrlPr>
                <w:rPr>
                  <w:rFonts w:ascii="Cambria Math" w:hAnsi="Cambria Math"/>
                  <w:i/>
                  <w:sz w:val="22"/>
                  <w:szCs w:val="22"/>
                  <w:lang w:eastAsia="en-US"/>
                </w:rPr>
              </m:ctrlPr>
            </m:sSubPr>
            <m:e>
              <m:r>
                <w:rPr>
                  <w:rFonts w:ascii="Cambria Math" w:hAnsi="Cambria Math"/>
                  <w:sz w:val="22"/>
                  <w:szCs w:val="22"/>
                  <w:lang w:eastAsia="en-US"/>
                </w:rPr>
                <m:t>t</m:t>
              </m:r>
            </m:e>
            <m:sub>
              <m:r>
                <w:rPr>
                  <w:rFonts w:ascii="Cambria Math" w:hAnsi="Cambria Math"/>
                  <w:sz w:val="22"/>
                  <w:szCs w:val="22"/>
                  <w:lang w:eastAsia="en-US"/>
                </w:rPr>
                <m:t>ps</m:t>
              </m:r>
            </m:sub>
          </m:sSub>
          <m:r>
            <w:rPr>
              <w:rFonts w:ascii="Cambria Math" w:hAnsi="Cambria Math"/>
              <w:sz w:val="22"/>
              <w:szCs w:val="22"/>
              <w:lang w:eastAsia="en-US"/>
            </w:rPr>
            <m:t>=0,5</m:t>
          </m:r>
          <m:f>
            <m:fPr>
              <m:ctrlPr>
                <w:rPr>
                  <w:rFonts w:ascii="Cambria Math" w:hAnsi="Cambria Math"/>
                  <w:i/>
                  <w:sz w:val="22"/>
                  <w:szCs w:val="22"/>
                  <w:lang w:eastAsia="en-US"/>
                </w:rPr>
              </m:ctrlPr>
            </m:fPr>
            <m:num>
              <m:r>
                <w:rPr>
                  <w:rFonts w:ascii="Cambria Math" w:hAnsi="Cambria Math"/>
                  <w:sz w:val="22"/>
                  <w:szCs w:val="22"/>
                  <w:lang w:eastAsia="en-US"/>
                </w:rPr>
                <m:t>h</m:t>
              </m:r>
            </m:num>
            <m:den>
              <m:sSup>
                <m:sSupPr>
                  <m:ctrlPr>
                    <w:rPr>
                      <w:rFonts w:ascii="Cambria Math" w:hAnsi="Cambria Math"/>
                      <w:i/>
                      <w:sz w:val="22"/>
                      <w:szCs w:val="22"/>
                      <w:lang w:eastAsia="en-US"/>
                    </w:rPr>
                  </m:ctrlPr>
                </m:sSupPr>
                <m:e>
                  <m:r>
                    <w:rPr>
                      <w:rFonts w:ascii="Cambria Math" w:hAnsi="Cambria Math"/>
                      <w:sz w:val="22"/>
                      <w:szCs w:val="22"/>
                      <w:lang w:eastAsia="en-US"/>
                    </w:rPr>
                    <m:t>m</m:t>
                  </m:r>
                </m:e>
                <m:sup>
                  <m:r>
                    <w:rPr>
                      <w:rFonts w:ascii="Cambria Math" w:hAnsi="Cambria Math"/>
                      <w:sz w:val="22"/>
                      <w:szCs w:val="22"/>
                      <w:lang w:eastAsia="en-US"/>
                    </w:rPr>
                    <m:t>3</m:t>
                  </m:r>
                </m:sup>
              </m:sSup>
            </m:den>
          </m:f>
          <m:r>
            <w:rPr>
              <w:rFonts w:ascii="Cambria Math" w:hAnsi="Cambria Math"/>
              <w:sz w:val="22"/>
              <w:szCs w:val="22"/>
              <w:lang w:eastAsia="en-US"/>
            </w:rPr>
            <m:t>∙Vgeo [h]</m:t>
          </m:r>
        </m:oMath>
      </m:oMathPara>
    </w:p>
    <w:p w14:paraId="6E3C39C8" w14:textId="77777777" w:rsidR="00D33C82" w:rsidRPr="00226EA6" w:rsidRDefault="00D33C82" w:rsidP="00D33C82">
      <w:pPr>
        <w:pStyle w:val="Tekstpodstawowy"/>
        <w:rPr>
          <w:iCs/>
          <w:sz w:val="22"/>
          <w:szCs w:val="22"/>
          <w:lang w:eastAsia="en-US"/>
        </w:rPr>
      </w:pPr>
    </w:p>
    <w:p w14:paraId="1781ADF0" w14:textId="77777777" w:rsidR="00D33C82" w:rsidRPr="00226EA6" w:rsidRDefault="00D33C82" w:rsidP="00D33C82">
      <w:pPr>
        <w:pStyle w:val="Tekstpodstawowy"/>
        <w:rPr>
          <w:iCs/>
          <w:sz w:val="22"/>
          <w:szCs w:val="22"/>
          <w:lang w:eastAsia="en-US"/>
        </w:rPr>
      </w:pPr>
      <w:r w:rsidRPr="00226EA6">
        <w:rPr>
          <w:iCs/>
          <w:sz w:val="22"/>
          <w:szCs w:val="22"/>
          <w:lang w:eastAsia="en-US"/>
        </w:rPr>
        <w:t>Otrzymaną wartość należy zaokrąglono w górę do pół godziny.</w:t>
      </w:r>
    </w:p>
    <w:p w14:paraId="64FA8276" w14:textId="77777777" w:rsidR="00D33C82" w:rsidRPr="00226EA6" w:rsidRDefault="00D33C82" w:rsidP="00D33C82">
      <w:pPr>
        <w:spacing w:after="0"/>
        <w:rPr>
          <w:rFonts w:ascii="Times New Roman" w:eastAsia="Times New Roman" w:hAnsi="Times New Roman" w:cs="Times New Roman"/>
          <w:iCs/>
        </w:rPr>
      </w:pPr>
      <w:r w:rsidRPr="00226EA6">
        <w:rPr>
          <w:rFonts w:ascii="Times New Roman" w:eastAsia="Times New Roman" w:hAnsi="Times New Roman" w:cs="Times New Roman"/>
          <w:iCs/>
        </w:rPr>
        <w:t>Wyniki obliczeń zostały przedstawione w tabeli poniżej:</w:t>
      </w:r>
    </w:p>
    <w:p w14:paraId="796BE47F" w14:textId="77777777" w:rsidR="00D33C82" w:rsidRPr="00226EA6" w:rsidRDefault="00D33C82" w:rsidP="00D33C82">
      <w:pPr>
        <w:spacing w:after="0"/>
        <w:rPr>
          <w:rFonts w:ascii="Times New Roman" w:eastAsia="Times New Roman" w:hAnsi="Times New Roman" w:cs="Times New Roman"/>
          <w:iCs/>
        </w:rPr>
      </w:pPr>
    </w:p>
    <w:p w14:paraId="3B29D11A" w14:textId="77777777" w:rsidR="00D33C82" w:rsidRPr="00226EA6" w:rsidRDefault="00D33C82" w:rsidP="00D33C82">
      <w:pPr>
        <w:spacing w:after="0"/>
        <w:rPr>
          <w:rFonts w:ascii="Times New Roman" w:eastAsia="Times New Roman" w:hAnsi="Times New Roman" w:cs="Times New Roman"/>
          <w:iCs/>
        </w:rPr>
      </w:pPr>
      <w:r w:rsidRPr="00226EA6">
        <w:rPr>
          <w:rFonts w:ascii="Times New Roman" w:eastAsia="Times New Roman" w:hAnsi="Times New Roman" w:cs="Times New Roman"/>
          <w:iCs/>
        </w:rPr>
        <w:t>Tabela 3 Obliczenia czasu trwania próby właściwej</w:t>
      </w:r>
    </w:p>
    <w:tbl>
      <w:tblPr>
        <w:tblW w:w="4808" w:type="pct"/>
        <w:tblCellMar>
          <w:left w:w="70" w:type="dxa"/>
          <w:right w:w="70" w:type="dxa"/>
        </w:tblCellMar>
        <w:tblLook w:val="04A0" w:firstRow="1" w:lastRow="0" w:firstColumn="1" w:lastColumn="0" w:noHBand="0" w:noVBand="1"/>
      </w:tblPr>
      <w:tblGrid>
        <w:gridCol w:w="433"/>
        <w:gridCol w:w="631"/>
        <w:gridCol w:w="631"/>
        <w:gridCol w:w="1837"/>
        <w:gridCol w:w="721"/>
        <w:gridCol w:w="836"/>
        <w:gridCol w:w="838"/>
        <w:gridCol w:w="1394"/>
        <w:gridCol w:w="1392"/>
      </w:tblGrid>
      <w:tr w:rsidR="00D33C82" w:rsidRPr="00226EA6" w14:paraId="7BA94EF6" w14:textId="77777777" w:rsidTr="00C65221">
        <w:trPr>
          <w:trHeight w:val="1981"/>
        </w:trPr>
        <w:tc>
          <w:tcPr>
            <w:tcW w:w="2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E479AC0"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 </w:t>
            </w:r>
          </w:p>
        </w:tc>
        <w:tc>
          <w:tcPr>
            <w:tcW w:w="362" w:type="pct"/>
            <w:tcBorders>
              <w:top w:val="single" w:sz="4" w:space="0" w:color="auto"/>
              <w:left w:val="nil"/>
              <w:bottom w:val="single" w:sz="4" w:space="0" w:color="auto"/>
              <w:right w:val="single" w:sz="4" w:space="0" w:color="auto"/>
            </w:tcBorders>
            <w:shd w:val="clear" w:color="auto" w:fill="auto"/>
            <w:textDirection w:val="btLr"/>
            <w:vAlign w:val="center"/>
            <w:hideMark/>
          </w:tcPr>
          <w:p w14:paraId="2C089C75"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Średnica zewnętrzna</w:t>
            </w:r>
          </w:p>
        </w:tc>
        <w:tc>
          <w:tcPr>
            <w:tcW w:w="362" w:type="pct"/>
            <w:tcBorders>
              <w:top w:val="single" w:sz="4" w:space="0" w:color="auto"/>
              <w:left w:val="nil"/>
              <w:bottom w:val="single" w:sz="4" w:space="0" w:color="auto"/>
              <w:right w:val="single" w:sz="4" w:space="0" w:color="auto"/>
            </w:tcBorders>
            <w:shd w:val="clear" w:color="auto" w:fill="auto"/>
            <w:textDirection w:val="btLr"/>
            <w:vAlign w:val="center"/>
            <w:hideMark/>
          </w:tcPr>
          <w:p w14:paraId="6166ECC6"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Grubość ścianki</w:t>
            </w:r>
          </w:p>
        </w:tc>
        <w:tc>
          <w:tcPr>
            <w:tcW w:w="105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496519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Materiał rury</w:t>
            </w:r>
          </w:p>
        </w:tc>
        <w:tc>
          <w:tcPr>
            <w:tcW w:w="414" w:type="pct"/>
            <w:tcBorders>
              <w:top w:val="single" w:sz="4" w:space="0" w:color="auto"/>
              <w:left w:val="nil"/>
              <w:bottom w:val="single" w:sz="4" w:space="0" w:color="auto"/>
              <w:right w:val="single" w:sz="4" w:space="0" w:color="auto"/>
            </w:tcBorders>
            <w:shd w:val="clear" w:color="auto" w:fill="auto"/>
            <w:textDirection w:val="btLr"/>
            <w:vAlign w:val="center"/>
            <w:hideMark/>
          </w:tcPr>
          <w:p w14:paraId="55C478F3"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Długość gazociągu</w:t>
            </w:r>
          </w:p>
        </w:tc>
        <w:tc>
          <w:tcPr>
            <w:tcW w:w="48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60E87A"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Vgeo</w:t>
            </w:r>
          </w:p>
        </w:tc>
        <w:tc>
          <w:tcPr>
            <w:tcW w:w="48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9C3873B"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Czas stabilizacji</w:t>
            </w:r>
          </w:p>
        </w:tc>
        <w:tc>
          <w:tcPr>
            <w:tcW w:w="800" w:type="pct"/>
            <w:tcBorders>
              <w:top w:val="single" w:sz="4" w:space="0" w:color="auto"/>
              <w:left w:val="nil"/>
              <w:bottom w:val="single" w:sz="4" w:space="0" w:color="auto"/>
              <w:right w:val="single" w:sz="4" w:space="0" w:color="auto"/>
            </w:tcBorders>
            <w:shd w:val="clear" w:color="auto" w:fill="auto"/>
            <w:textDirection w:val="btLr"/>
            <w:vAlign w:val="center"/>
            <w:hideMark/>
          </w:tcPr>
          <w:p w14:paraId="1D27C677"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Rzeczywisty czas trwania próby metodą standardową</w:t>
            </w:r>
          </w:p>
        </w:tc>
        <w:tc>
          <w:tcPr>
            <w:tcW w:w="799" w:type="pct"/>
            <w:tcBorders>
              <w:top w:val="single" w:sz="4" w:space="0" w:color="auto"/>
              <w:left w:val="nil"/>
              <w:bottom w:val="single" w:sz="4" w:space="0" w:color="auto"/>
              <w:right w:val="single" w:sz="4" w:space="0" w:color="auto"/>
            </w:tcBorders>
            <w:shd w:val="clear" w:color="auto" w:fill="auto"/>
            <w:textDirection w:val="btLr"/>
            <w:vAlign w:val="center"/>
            <w:hideMark/>
          </w:tcPr>
          <w:p w14:paraId="19F5898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Rzeczywisty czas trwania próby metodą precyzyjną</w:t>
            </w:r>
          </w:p>
        </w:tc>
      </w:tr>
      <w:tr w:rsidR="00D33C82" w:rsidRPr="00226EA6" w14:paraId="55737504" w14:textId="77777777" w:rsidTr="00C65221">
        <w:trPr>
          <w:trHeight w:val="330"/>
        </w:trPr>
        <w:tc>
          <w:tcPr>
            <w:tcW w:w="248" w:type="pct"/>
            <w:vMerge/>
            <w:tcBorders>
              <w:top w:val="single" w:sz="4" w:space="0" w:color="auto"/>
              <w:left w:val="single" w:sz="4" w:space="0" w:color="auto"/>
              <w:bottom w:val="single" w:sz="4" w:space="0" w:color="auto"/>
              <w:right w:val="single" w:sz="4" w:space="0" w:color="auto"/>
            </w:tcBorders>
            <w:vAlign w:val="center"/>
            <w:hideMark/>
          </w:tcPr>
          <w:p w14:paraId="2947348C" w14:textId="77777777" w:rsidR="00D33C82" w:rsidRPr="00226EA6" w:rsidRDefault="00D33C82" w:rsidP="00D33C82">
            <w:pPr>
              <w:spacing w:after="0"/>
              <w:rPr>
                <w:rFonts w:ascii="Times New Roman" w:hAnsi="Times New Roman" w:cs="Times New Roman"/>
                <w:iCs/>
              </w:rPr>
            </w:pPr>
          </w:p>
        </w:tc>
        <w:tc>
          <w:tcPr>
            <w:tcW w:w="362" w:type="pct"/>
            <w:tcBorders>
              <w:top w:val="nil"/>
              <w:left w:val="nil"/>
              <w:bottom w:val="single" w:sz="4" w:space="0" w:color="auto"/>
              <w:right w:val="single" w:sz="4" w:space="0" w:color="auto"/>
            </w:tcBorders>
            <w:shd w:val="clear" w:color="auto" w:fill="auto"/>
            <w:vAlign w:val="bottom"/>
            <w:hideMark/>
          </w:tcPr>
          <w:p w14:paraId="2BB79808"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[mm]</w:t>
            </w:r>
          </w:p>
        </w:tc>
        <w:tc>
          <w:tcPr>
            <w:tcW w:w="362" w:type="pct"/>
            <w:tcBorders>
              <w:top w:val="nil"/>
              <w:left w:val="nil"/>
              <w:bottom w:val="single" w:sz="4" w:space="0" w:color="auto"/>
              <w:right w:val="single" w:sz="4" w:space="0" w:color="auto"/>
            </w:tcBorders>
            <w:shd w:val="clear" w:color="auto" w:fill="auto"/>
            <w:vAlign w:val="bottom"/>
            <w:hideMark/>
          </w:tcPr>
          <w:p w14:paraId="3D503516"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[mm]</w:t>
            </w:r>
          </w:p>
        </w:tc>
        <w:tc>
          <w:tcPr>
            <w:tcW w:w="1054" w:type="pct"/>
            <w:tcBorders>
              <w:top w:val="nil"/>
              <w:left w:val="nil"/>
              <w:bottom w:val="single" w:sz="4" w:space="0" w:color="auto"/>
              <w:right w:val="single" w:sz="4" w:space="0" w:color="auto"/>
            </w:tcBorders>
            <w:shd w:val="clear" w:color="auto" w:fill="auto"/>
            <w:vAlign w:val="bottom"/>
            <w:hideMark/>
          </w:tcPr>
          <w:p w14:paraId="49116016"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w:t>
            </w:r>
          </w:p>
        </w:tc>
        <w:tc>
          <w:tcPr>
            <w:tcW w:w="414" w:type="pct"/>
            <w:tcBorders>
              <w:top w:val="nil"/>
              <w:left w:val="nil"/>
              <w:bottom w:val="single" w:sz="4" w:space="0" w:color="auto"/>
              <w:right w:val="single" w:sz="4" w:space="0" w:color="auto"/>
            </w:tcBorders>
            <w:shd w:val="clear" w:color="auto" w:fill="auto"/>
            <w:vAlign w:val="bottom"/>
            <w:hideMark/>
          </w:tcPr>
          <w:p w14:paraId="3AA016B1"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[m]</w:t>
            </w:r>
          </w:p>
        </w:tc>
        <w:tc>
          <w:tcPr>
            <w:tcW w:w="480" w:type="pct"/>
            <w:tcBorders>
              <w:top w:val="nil"/>
              <w:left w:val="nil"/>
              <w:bottom w:val="single" w:sz="4" w:space="0" w:color="auto"/>
              <w:right w:val="single" w:sz="4" w:space="0" w:color="auto"/>
            </w:tcBorders>
            <w:shd w:val="clear" w:color="auto" w:fill="auto"/>
            <w:vAlign w:val="bottom"/>
            <w:hideMark/>
          </w:tcPr>
          <w:p w14:paraId="2A9350F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[m3]</w:t>
            </w:r>
          </w:p>
        </w:tc>
        <w:tc>
          <w:tcPr>
            <w:tcW w:w="481" w:type="pct"/>
            <w:tcBorders>
              <w:top w:val="nil"/>
              <w:left w:val="nil"/>
              <w:bottom w:val="single" w:sz="4" w:space="0" w:color="auto"/>
              <w:right w:val="single" w:sz="4" w:space="0" w:color="auto"/>
            </w:tcBorders>
            <w:shd w:val="clear" w:color="auto" w:fill="auto"/>
            <w:vAlign w:val="bottom"/>
            <w:hideMark/>
          </w:tcPr>
          <w:p w14:paraId="70957382"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[h]</w:t>
            </w:r>
          </w:p>
        </w:tc>
        <w:tc>
          <w:tcPr>
            <w:tcW w:w="800" w:type="pct"/>
            <w:tcBorders>
              <w:top w:val="nil"/>
              <w:left w:val="nil"/>
              <w:bottom w:val="single" w:sz="4" w:space="0" w:color="auto"/>
              <w:right w:val="single" w:sz="4" w:space="0" w:color="auto"/>
            </w:tcBorders>
            <w:shd w:val="clear" w:color="auto" w:fill="auto"/>
            <w:vAlign w:val="bottom"/>
            <w:hideMark/>
          </w:tcPr>
          <w:p w14:paraId="307D3E62"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[h]</w:t>
            </w:r>
          </w:p>
        </w:tc>
        <w:tc>
          <w:tcPr>
            <w:tcW w:w="799" w:type="pct"/>
            <w:tcBorders>
              <w:top w:val="nil"/>
              <w:left w:val="nil"/>
              <w:bottom w:val="single" w:sz="4" w:space="0" w:color="auto"/>
              <w:right w:val="single" w:sz="4" w:space="0" w:color="auto"/>
            </w:tcBorders>
            <w:shd w:val="clear" w:color="auto" w:fill="auto"/>
            <w:vAlign w:val="bottom"/>
            <w:hideMark/>
          </w:tcPr>
          <w:p w14:paraId="4FCF0EB1"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[h]</w:t>
            </w:r>
          </w:p>
        </w:tc>
      </w:tr>
      <w:tr w:rsidR="00D33C82" w:rsidRPr="00226EA6" w14:paraId="1E1F14A9" w14:textId="77777777" w:rsidTr="00C65221">
        <w:trPr>
          <w:trHeight w:val="300"/>
        </w:trPr>
        <w:tc>
          <w:tcPr>
            <w:tcW w:w="248" w:type="pct"/>
            <w:vMerge w:val="restart"/>
            <w:tcBorders>
              <w:top w:val="nil"/>
              <w:left w:val="single" w:sz="4" w:space="0" w:color="auto"/>
              <w:bottom w:val="single" w:sz="4" w:space="0" w:color="auto"/>
              <w:right w:val="single" w:sz="4" w:space="0" w:color="auto"/>
            </w:tcBorders>
            <w:shd w:val="clear" w:color="auto" w:fill="auto"/>
            <w:hideMark/>
          </w:tcPr>
          <w:p w14:paraId="495CF6B1"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G1</w:t>
            </w:r>
          </w:p>
        </w:tc>
        <w:tc>
          <w:tcPr>
            <w:tcW w:w="362" w:type="pct"/>
            <w:tcBorders>
              <w:top w:val="nil"/>
              <w:left w:val="nil"/>
              <w:bottom w:val="single" w:sz="4" w:space="0" w:color="auto"/>
              <w:right w:val="single" w:sz="4" w:space="0" w:color="auto"/>
            </w:tcBorders>
            <w:shd w:val="clear" w:color="auto" w:fill="auto"/>
            <w:noWrap/>
            <w:vAlign w:val="bottom"/>
            <w:hideMark/>
          </w:tcPr>
          <w:p w14:paraId="0E70AEC8"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110</w:t>
            </w:r>
          </w:p>
        </w:tc>
        <w:tc>
          <w:tcPr>
            <w:tcW w:w="362" w:type="pct"/>
            <w:tcBorders>
              <w:top w:val="nil"/>
              <w:left w:val="nil"/>
              <w:bottom w:val="single" w:sz="4" w:space="0" w:color="auto"/>
              <w:right w:val="single" w:sz="4" w:space="0" w:color="auto"/>
            </w:tcBorders>
            <w:shd w:val="clear" w:color="auto" w:fill="auto"/>
            <w:noWrap/>
            <w:vAlign w:val="bottom"/>
            <w:hideMark/>
          </w:tcPr>
          <w:p w14:paraId="13EDF74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6.6</w:t>
            </w:r>
          </w:p>
        </w:tc>
        <w:tc>
          <w:tcPr>
            <w:tcW w:w="1054" w:type="pct"/>
            <w:tcBorders>
              <w:top w:val="nil"/>
              <w:left w:val="nil"/>
              <w:bottom w:val="single" w:sz="4" w:space="0" w:color="auto"/>
              <w:right w:val="single" w:sz="4" w:space="0" w:color="auto"/>
            </w:tcBorders>
            <w:shd w:val="clear" w:color="auto" w:fill="auto"/>
            <w:noWrap/>
            <w:vAlign w:val="bottom"/>
            <w:hideMark/>
          </w:tcPr>
          <w:p w14:paraId="2B339F8E"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PE100 RC SDR17</w:t>
            </w:r>
          </w:p>
        </w:tc>
        <w:tc>
          <w:tcPr>
            <w:tcW w:w="414" w:type="pct"/>
            <w:tcBorders>
              <w:top w:val="nil"/>
              <w:left w:val="nil"/>
              <w:bottom w:val="single" w:sz="4" w:space="0" w:color="auto"/>
              <w:right w:val="single" w:sz="4" w:space="0" w:color="auto"/>
            </w:tcBorders>
            <w:shd w:val="clear" w:color="auto" w:fill="auto"/>
            <w:noWrap/>
            <w:vAlign w:val="bottom"/>
            <w:hideMark/>
          </w:tcPr>
          <w:p w14:paraId="767CD8BC" w14:textId="77777777" w:rsidR="00D33C82" w:rsidRPr="00C65221" w:rsidRDefault="00D33C82" w:rsidP="00D33C82">
            <w:pPr>
              <w:spacing w:after="0"/>
              <w:jc w:val="center"/>
              <w:rPr>
                <w:rFonts w:ascii="Times New Roman" w:hAnsi="Times New Roman" w:cs="Times New Roman"/>
                <w:iCs/>
              </w:rPr>
            </w:pPr>
            <w:r w:rsidRPr="00C65221">
              <w:rPr>
                <w:rFonts w:ascii="Times New Roman" w:hAnsi="Times New Roman" w:cs="Times New Roman"/>
              </w:rPr>
              <w:t>161</w:t>
            </w:r>
          </w:p>
        </w:tc>
        <w:tc>
          <w:tcPr>
            <w:tcW w:w="480" w:type="pct"/>
            <w:tcBorders>
              <w:top w:val="nil"/>
              <w:left w:val="nil"/>
              <w:bottom w:val="single" w:sz="4" w:space="0" w:color="auto"/>
              <w:right w:val="single" w:sz="4" w:space="0" w:color="auto"/>
            </w:tcBorders>
            <w:shd w:val="clear" w:color="auto" w:fill="auto"/>
            <w:noWrap/>
            <w:vAlign w:val="bottom"/>
            <w:hideMark/>
          </w:tcPr>
          <w:p w14:paraId="2E938F72"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1.18</w:t>
            </w:r>
          </w:p>
        </w:tc>
        <w:tc>
          <w:tcPr>
            <w:tcW w:w="481" w:type="pct"/>
            <w:tcBorders>
              <w:top w:val="nil"/>
              <w:left w:val="nil"/>
              <w:bottom w:val="single" w:sz="4" w:space="0" w:color="auto"/>
              <w:right w:val="single" w:sz="4" w:space="0" w:color="auto"/>
            </w:tcBorders>
            <w:shd w:val="clear" w:color="auto" w:fill="auto"/>
            <w:noWrap/>
            <w:vAlign w:val="bottom"/>
            <w:hideMark/>
          </w:tcPr>
          <w:p w14:paraId="6DF2D8A9"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7.5</w:t>
            </w:r>
          </w:p>
        </w:tc>
        <w:tc>
          <w:tcPr>
            <w:tcW w:w="800" w:type="pct"/>
            <w:tcBorders>
              <w:top w:val="nil"/>
              <w:left w:val="nil"/>
              <w:bottom w:val="single" w:sz="4" w:space="0" w:color="auto"/>
              <w:right w:val="single" w:sz="4" w:space="0" w:color="auto"/>
            </w:tcBorders>
            <w:shd w:val="clear" w:color="auto" w:fill="auto"/>
            <w:noWrap/>
            <w:vAlign w:val="bottom"/>
            <w:hideMark/>
          </w:tcPr>
          <w:p w14:paraId="186EB9D7"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1.5</w:t>
            </w:r>
          </w:p>
        </w:tc>
        <w:tc>
          <w:tcPr>
            <w:tcW w:w="799" w:type="pct"/>
            <w:tcBorders>
              <w:top w:val="nil"/>
              <w:left w:val="nil"/>
              <w:bottom w:val="single" w:sz="4" w:space="0" w:color="auto"/>
              <w:right w:val="single" w:sz="4" w:space="0" w:color="auto"/>
            </w:tcBorders>
            <w:shd w:val="clear" w:color="auto" w:fill="auto"/>
            <w:noWrap/>
            <w:vAlign w:val="bottom"/>
            <w:hideMark/>
          </w:tcPr>
          <w:p w14:paraId="6ADC3D0D"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1.0</w:t>
            </w:r>
          </w:p>
        </w:tc>
      </w:tr>
      <w:tr w:rsidR="00D33C82" w:rsidRPr="00226EA6" w14:paraId="32836CC5" w14:textId="77777777" w:rsidTr="00C65221">
        <w:trPr>
          <w:trHeight w:val="300"/>
        </w:trPr>
        <w:tc>
          <w:tcPr>
            <w:tcW w:w="248" w:type="pct"/>
            <w:vMerge/>
            <w:tcBorders>
              <w:top w:val="nil"/>
              <w:left w:val="single" w:sz="4" w:space="0" w:color="auto"/>
              <w:bottom w:val="single" w:sz="4" w:space="0" w:color="auto"/>
              <w:right w:val="single" w:sz="4" w:space="0" w:color="auto"/>
            </w:tcBorders>
            <w:vAlign w:val="center"/>
            <w:hideMark/>
          </w:tcPr>
          <w:p w14:paraId="29685177" w14:textId="77777777" w:rsidR="00D33C82" w:rsidRPr="00226EA6" w:rsidRDefault="00D33C82" w:rsidP="00D33C82">
            <w:pPr>
              <w:spacing w:after="0"/>
              <w:rPr>
                <w:rFonts w:ascii="Times New Roman" w:hAnsi="Times New Roman" w:cs="Times New Roman"/>
                <w:iCs/>
              </w:rPr>
            </w:pPr>
          </w:p>
        </w:tc>
        <w:tc>
          <w:tcPr>
            <w:tcW w:w="362" w:type="pct"/>
            <w:tcBorders>
              <w:top w:val="nil"/>
              <w:left w:val="nil"/>
              <w:bottom w:val="single" w:sz="4" w:space="0" w:color="auto"/>
              <w:right w:val="single" w:sz="4" w:space="0" w:color="auto"/>
            </w:tcBorders>
            <w:shd w:val="clear" w:color="auto" w:fill="auto"/>
            <w:noWrap/>
            <w:vAlign w:val="bottom"/>
            <w:hideMark/>
          </w:tcPr>
          <w:p w14:paraId="220A134E"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25</w:t>
            </w:r>
          </w:p>
        </w:tc>
        <w:tc>
          <w:tcPr>
            <w:tcW w:w="362" w:type="pct"/>
            <w:tcBorders>
              <w:top w:val="nil"/>
              <w:left w:val="nil"/>
              <w:bottom w:val="single" w:sz="4" w:space="0" w:color="auto"/>
              <w:right w:val="single" w:sz="4" w:space="0" w:color="auto"/>
            </w:tcBorders>
            <w:shd w:val="clear" w:color="auto" w:fill="auto"/>
            <w:noWrap/>
            <w:vAlign w:val="bottom"/>
            <w:hideMark/>
          </w:tcPr>
          <w:p w14:paraId="77935F57"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3.0</w:t>
            </w:r>
          </w:p>
        </w:tc>
        <w:tc>
          <w:tcPr>
            <w:tcW w:w="1054" w:type="pct"/>
            <w:tcBorders>
              <w:top w:val="nil"/>
              <w:left w:val="nil"/>
              <w:bottom w:val="single" w:sz="4" w:space="0" w:color="auto"/>
              <w:right w:val="single" w:sz="4" w:space="0" w:color="auto"/>
            </w:tcBorders>
            <w:shd w:val="clear" w:color="auto" w:fill="auto"/>
            <w:noWrap/>
            <w:vAlign w:val="bottom"/>
            <w:hideMark/>
          </w:tcPr>
          <w:p w14:paraId="6BBD7BCC"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PE100 RC SDR11</w:t>
            </w:r>
          </w:p>
        </w:tc>
        <w:tc>
          <w:tcPr>
            <w:tcW w:w="414" w:type="pct"/>
            <w:tcBorders>
              <w:top w:val="nil"/>
              <w:left w:val="nil"/>
              <w:bottom w:val="single" w:sz="4" w:space="0" w:color="auto"/>
              <w:right w:val="single" w:sz="4" w:space="0" w:color="auto"/>
            </w:tcBorders>
            <w:shd w:val="clear" w:color="auto" w:fill="auto"/>
            <w:noWrap/>
            <w:vAlign w:val="bottom"/>
            <w:hideMark/>
          </w:tcPr>
          <w:p w14:paraId="5F43303A" w14:textId="77777777" w:rsidR="00D33C82" w:rsidRPr="00C65221" w:rsidRDefault="00D33C82" w:rsidP="00D33C82">
            <w:pPr>
              <w:spacing w:after="0"/>
              <w:jc w:val="center"/>
              <w:rPr>
                <w:rFonts w:ascii="Times New Roman" w:hAnsi="Times New Roman" w:cs="Times New Roman"/>
                <w:iCs/>
              </w:rPr>
            </w:pPr>
            <w:r w:rsidRPr="00C65221">
              <w:rPr>
                <w:rFonts w:ascii="Times New Roman" w:hAnsi="Times New Roman" w:cs="Times New Roman"/>
              </w:rPr>
              <w:t>8</w:t>
            </w:r>
          </w:p>
        </w:tc>
        <w:tc>
          <w:tcPr>
            <w:tcW w:w="480" w:type="pct"/>
            <w:tcBorders>
              <w:top w:val="nil"/>
              <w:left w:val="nil"/>
              <w:bottom w:val="single" w:sz="4" w:space="0" w:color="auto"/>
              <w:right w:val="single" w:sz="4" w:space="0" w:color="auto"/>
            </w:tcBorders>
            <w:shd w:val="clear" w:color="auto" w:fill="auto"/>
            <w:noWrap/>
            <w:vAlign w:val="bottom"/>
            <w:hideMark/>
          </w:tcPr>
          <w:p w14:paraId="2F9E094C"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0.002</w:t>
            </w:r>
          </w:p>
        </w:tc>
        <w:tc>
          <w:tcPr>
            <w:tcW w:w="481" w:type="pct"/>
            <w:tcBorders>
              <w:top w:val="nil"/>
              <w:left w:val="nil"/>
              <w:bottom w:val="single" w:sz="4" w:space="0" w:color="auto"/>
              <w:right w:val="single" w:sz="4" w:space="0" w:color="auto"/>
            </w:tcBorders>
            <w:shd w:val="clear" w:color="auto" w:fill="auto"/>
            <w:noWrap/>
            <w:vAlign w:val="bottom"/>
            <w:hideMark/>
          </w:tcPr>
          <w:p w14:paraId="5CD7757C"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800" w:type="pct"/>
            <w:tcBorders>
              <w:top w:val="nil"/>
              <w:left w:val="nil"/>
              <w:bottom w:val="single" w:sz="4" w:space="0" w:color="auto"/>
              <w:right w:val="single" w:sz="4" w:space="0" w:color="auto"/>
            </w:tcBorders>
            <w:shd w:val="clear" w:color="auto" w:fill="auto"/>
            <w:noWrap/>
            <w:vAlign w:val="bottom"/>
            <w:hideMark/>
          </w:tcPr>
          <w:p w14:paraId="50C2FDD2"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799" w:type="pct"/>
            <w:tcBorders>
              <w:top w:val="nil"/>
              <w:left w:val="nil"/>
              <w:bottom w:val="single" w:sz="4" w:space="0" w:color="auto"/>
              <w:right w:val="single" w:sz="4" w:space="0" w:color="auto"/>
            </w:tcBorders>
            <w:shd w:val="clear" w:color="auto" w:fill="auto"/>
            <w:noWrap/>
            <w:vAlign w:val="bottom"/>
            <w:hideMark/>
          </w:tcPr>
          <w:p w14:paraId="63905115"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r>
      <w:tr w:rsidR="00D33C82" w:rsidRPr="00226EA6" w14:paraId="6B9DC113" w14:textId="77777777" w:rsidTr="00C65221">
        <w:trPr>
          <w:trHeight w:val="300"/>
        </w:trPr>
        <w:tc>
          <w:tcPr>
            <w:tcW w:w="248" w:type="pct"/>
            <w:vMerge/>
            <w:tcBorders>
              <w:top w:val="nil"/>
              <w:left w:val="single" w:sz="4" w:space="0" w:color="auto"/>
              <w:bottom w:val="single" w:sz="4" w:space="0" w:color="auto"/>
              <w:right w:val="single" w:sz="4" w:space="0" w:color="auto"/>
            </w:tcBorders>
            <w:vAlign w:val="center"/>
            <w:hideMark/>
          </w:tcPr>
          <w:p w14:paraId="76F088BF" w14:textId="77777777" w:rsidR="00D33C82" w:rsidRPr="00226EA6" w:rsidRDefault="00D33C82" w:rsidP="00D33C82">
            <w:pPr>
              <w:spacing w:after="0"/>
              <w:rPr>
                <w:rFonts w:ascii="Times New Roman" w:hAnsi="Times New Roman" w:cs="Times New Roman"/>
                <w:iCs/>
              </w:rPr>
            </w:pPr>
          </w:p>
        </w:tc>
        <w:tc>
          <w:tcPr>
            <w:tcW w:w="362" w:type="pct"/>
            <w:tcBorders>
              <w:top w:val="nil"/>
              <w:left w:val="nil"/>
              <w:bottom w:val="single" w:sz="4" w:space="0" w:color="auto"/>
              <w:right w:val="single" w:sz="4" w:space="0" w:color="auto"/>
            </w:tcBorders>
            <w:shd w:val="clear" w:color="auto" w:fill="auto"/>
            <w:noWrap/>
            <w:vAlign w:val="bottom"/>
            <w:hideMark/>
          </w:tcPr>
          <w:p w14:paraId="04BAF6A9"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25</w:t>
            </w:r>
          </w:p>
        </w:tc>
        <w:tc>
          <w:tcPr>
            <w:tcW w:w="362" w:type="pct"/>
            <w:tcBorders>
              <w:top w:val="nil"/>
              <w:left w:val="nil"/>
              <w:bottom w:val="single" w:sz="4" w:space="0" w:color="auto"/>
              <w:right w:val="single" w:sz="4" w:space="0" w:color="auto"/>
            </w:tcBorders>
            <w:shd w:val="clear" w:color="auto" w:fill="auto"/>
            <w:noWrap/>
            <w:vAlign w:val="bottom"/>
            <w:hideMark/>
          </w:tcPr>
          <w:p w14:paraId="13955AD5"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3.0</w:t>
            </w:r>
          </w:p>
        </w:tc>
        <w:tc>
          <w:tcPr>
            <w:tcW w:w="1054" w:type="pct"/>
            <w:tcBorders>
              <w:top w:val="nil"/>
              <w:left w:val="nil"/>
              <w:bottom w:val="single" w:sz="4" w:space="0" w:color="auto"/>
              <w:right w:val="single" w:sz="4" w:space="0" w:color="auto"/>
            </w:tcBorders>
            <w:shd w:val="clear" w:color="auto" w:fill="auto"/>
            <w:noWrap/>
            <w:vAlign w:val="bottom"/>
            <w:hideMark/>
          </w:tcPr>
          <w:p w14:paraId="63CA6203"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PE100 RC SDR11</w:t>
            </w:r>
          </w:p>
        </w:tc>
        <w:tc>
          <w:tcPr>
            <w:tcW w:w="414" w:type="pct"/>
            <w:tcBorders>
              <w:top w:val="nil"/>
              <w:left w:val="nil"/>
              <w:bottom w:val="single" w:sz="4" w:space="0" w:color="auto"/>
              <w:right w:val="single" w:sz="4" w:space="0" w:color="auto"/>
            </w:tcBorders>
            <w:shd w:val="clear" w:color="auto" w:fill="auto"/>
            <w:noWrap/>
            <w:vAlign w:val="bottom"/>
            <w:hideMark/>
          </w:tcPr>
          <w:p w14:paraId="661EF59D" w14:textId="77777777" w:rsidR="00D33C82" w:rsidRPr="00C65221" w:rsidRDefault="00D33C82" w:rsidP="00D33C82">
            <w:pPr>
              <w:spacing w:after="0"/>
              <w:jc w:val="center"/>
              <w:rPr>
                <w:rFonts w:ascii="Times New Roman" w:hAnsi="Times New Roman" w:cs="Times New Roman"/>
                <w:iCs/>
              </w:rPr>
            </w:pPr>
            <w:r w:rsidRPr="00C65221">
              <w:rPr>
                <w:rFonts w:ascii="Times New Roman" w:hAnsi="Times New Roman" w:cs="Times New Roman"/>
              </w:rPr>
              <w:t>11</w:t>
            </w:r>
          </w:p>
        </w:tc>
        <w:tc>
          <w:tcPr>
            <w:tcW w:w="480" w:type="pct"/>
            <w:tcBorders>
              <w:top w:val="nil"/>
              <w:left w:val="nil"/>
              <w:bottom w:val="single" w:sz="4" w:space="0" w:color="auto"/>
              <w:right w:val="single" w:sz="4" w:space="0" w:color="auto"/>
            </w:tcBorders>
            <w:shd w:val="clear" w:color="auto" w:fill="auto"/>
            <w:noWrap/>
            <w:vAlign w:val="bottom"/>
            <w:hideMark/>
          </w:tcPr>
          <w:p w14:paraId="4CC170C9"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0.003</w:t>
            </w:r>
          </w:p>
        </w:tc>
        <w:tc>
          <w:tcPr>
            <w:tcW w:w="481" w:type="pct"/>
            <w:tcBorders>
              <w:top w:val="nil"/>
              <w:left w:val="nil"/>
              <w:bottom w:val="single" w:sz="4" w:space="0" w:color="auto"/>
              <w:right w:val="single" w:sz="4" w:space="0" w:color="auto"/>
            </w:tcBorders>
            <w:shd w:val="clear" w:color="auto" w:fill="auto"/>
            <w:noWrap/>
            <w:vAlign w:val="bottom"/>
            <w:hideMark/>
          </w:tcPr>
          <w:p w14:paraId="3410A650"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800" w:type="pct"/>
            <w:tcBorders>
              <w:top w:val="nil"/>
              <w:left w:val="nil"/>
              <w:bottom w:val="single" w:sz="4" w:space="0" w:color="auto"/>
              <w:right w:val="single" w:sz="4" w:space="0" w:color="auto"/>
            </w:tcBorders>
            <w:shd w:val="clear" w:color="auto" w:fill="auto"/>
            <w:noWrap/>
            <w:vAlign w:val="bottom"/>
            <w:hideMark/>
          </w:tcPr>
          <w:p w14:paraId="7DC915FD"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799" w:type="pct"/>
            <w:tcBorders>
              <w:top w:val="nil"/>
              <w:left w:val="nil"/>
              <w:bottom w:val="single" w:sz="4" w:space="0" w:color="auto"/>
              <w:right w:val="single" w:sz="4" w:space="0" w:color="auto"/>
            </w:tcBorders>
            <w:shd w:val="clear" w:color="auto" w:fill="auto"/>
            <w:noWrap/>
            <w:vAlign w:val="bottom"/>
            <w:hideMark/>
          </w:tcPr>
          <w:p w14:paraId="265D7D5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r>
      <w:tr w:rsidR="00D33C82" w:rsidRPr="00226EA6" w14:paraId="4CDE3AAC" w14:textId="77777777" w:rsidTr="00C65221">
        <w:trPr>
          <w:trHeight w:val="300"/>
        </w:trPr>
        <w:tc>
          <w:tcPr>
            <w:tcW w:w="248" w:type="pct"/>
            <w:vMerge/>
            <w:tcBorders>
              <w:top w:val="nil"/>
              <w:left w:val="single" w:sz="4" w:space="0" w:color="auto"/>
              <w:bottom w:val="single" w:sz="4" w:space="0" w:color="auto"/>
              <w:right w:val="single" w:sz="4" w:space="0" w:color="auto"/>
            </w:tcBorders>
            <w:vAlign w:val="center"/>
            <w:hideMark/>
          </w:tcPr>
          <w:p w14:paraId="1E04F3A2" w14:textId="77777777" w:rsidR="00D33C82" w:rsidRPr="00226EA6" w:rsidRDefault="00D33C82" w:rsidP="00D33C82">
            <w:pPr>
              <w:spacing w:after="0"/>
              <w:rPr>
                <w:rFonts w:ascii="Times New Roman" w:hAnsi="Times New Roman" w:cs="Times New Roman"/>
                <w:iCs/>
              </w:rPr>
            </w:pPr>
          </w:p>
        </w:tc>
        <w:tc>
          <w:tcPr>
            <w:tcW w:w="362" w:type="pct"/>
            <w:tcBorders>
              <w:top w:val="nil"/>
              <w:left w:val="nil"/>
              <w:bottom w:val="single" w:sz="4" w:space="0" w:color="auto"/>
              <w:right w:val="single" w:sz="4" w:space="0" w:color="auto"/>
            </w:tcBorders>
            <w:shd w:val="clear" w:color="auto" w:fill="auto"/>
            <w:noWrap/>
            <w:vAlign w:val="bottom"/>
            <w:hideMark/>
          </w:tcPr>
          <w:p w14:paraId="3F035FE6"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32</w:t>
            </w:r>
          </w:p>
        </w:tc>
        <w:tc>
          <w:tcPr>
            <w:tcW w:w="362" w:type="pct"/>
            <w:tcBorders>
              <w:top w:val="nil"/>
              <w:left w:val="nil"/>
              <w:bottom w:val="single" w:sz="4" w:space="0" w:color="auto"/>
              <w:right w:val="single" w:sz="4" w:space="0" w:color="auto"/>
            </w:tcBorders>
            <w:shd w:val="clear" w:color="auto" w:fill="auto"/>
            <w:noWrap/>
            <w:vAlign w:val="bottom"/>
            <w:hideMark/>
          </w:tcPr>
          <w:p w14:paraId="7F82D06B"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3.0</w:t>
            </w:r>
          </w:p>
        </w:tc>
        <w:tc>
          <w:tcPr>
            <w:tcW w:w="1054" w:type="pct"/>
            <w:tcBorders>
              <w:top w:val="nil"/>
              <w:left w:val="nil"/>
              <w:bottom w:val="single" w:sz="4" w:space="0" w:color="auto"/>
              <w:right w:val="single" w:sz="4" w:space="0" w:color="auto"/>
            </w:tcBorders>
            <w:shd w:val="clear" w:color="auto" w:fill="auto"/>
            <w:noWrap/>
            <w:vAlign w:val="bottom"/>
            <w:hideMark/>
          </w:tcPr>
          <w:p w14:paraId="58829F37"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PE100 RC SDR11</w:t>
            </w:r>
          </w:p>
        </w:tc>
        <w:tc>
          <w:tcPr>
            <w:tcW w:w="414" w:type="pct"/>
            <w:tcBorders>
              <w:top w:val="nil"/>
              <w:left w:val="nil"/>
              <w:bottom w:val="single" w:sz="4" w:space="0" w:color="auto"/>
              <w:right w:val="single" w:sz="4" w:space="0" w:color="auto"/>
            </w:tcBorders>
            <w:shd w:val="clear" w:color="auto" w:fill="auto"/>
            <w:noWrap/>
            <w:vAlign w:val="bottom"/>
            <w:hideMark/>
          </w:tcPr>
          <w:p w14:paraId="2622F50C" w14:textId="77777777" w:rsidR="00D33C82" w:rsidRPr="00C65221" w:rsidRDefault="00D33C82" w:rsidP="00D33C82">
            <w:pPr>
              <w:spacing w:after="0"/>
              <w:jc w:val="center"/>
              <w:rPr>
                <w:rFonts w:ascii="Times New Roman" w:hAnsi="Times New Roman" w:cs="Times New Roman"/>
                <w:iCs/>
              </w:rPr>
            </w:pPr>
            <w:r w:rsidRPr="00C65221">
              <w:rPr>
                <w:rFonts w:ascii="Times New Roman" w:hAnsi="Times New Roman" w:cs="Times New Roman"/>
              </w:rPr>
              <w:t>10</w:t>
            </w:r>
          </w:p>
        </w:tc>
        <w:tc>
          <w:tcPr>
            <w:tcW w:w="480" w:type="pct"/>
            <w:tcBorders>
              <w:top w:val="nil"/>
              <w:left w:val="nil"/>
              <w:bottom w:val="single" w:sz="4" w:space="0" w:color="auto"/>
              <w:right w:val="single" w:sz="4" w:space="0" w:color="auto"/>
            </w:tcBorders>
            <w:shd w:val="clear" w:color="auto" w:fill="auto"/>
            <w:noWrap/>
            <w:vAlign w:val="bottom"/>
            <w:hideMark/>
          </w:tcPr>
          <w:p w14:paraId="261F8EB3"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0.005</w:t>
            </w:r>
          </w:p>
        </w:tc>
        <w:tc>
          <w:tcPr>
            <w:tcW w:w="481" w:type="pct"/>
            <w:tcBorders>
              <w:top w:val="nil"/>
              <w:left w:val="nil"/>
              <w:bottom w:val="single" w:sz="4" w:space="0" w:color="auto"/>
              <w:right w:val="single" w:sz="4" w:space="0" w:color="auto"/>
            </w:tcBorders>
            <w:shd w:val="clear" w:color="auto" w:fill="auto"/>
            <w:noWrap/>
            <w:vAlign w:val="bottom"/>
            <w:hideMark/>
          </w:tcPr>
          <w:p w14:paraId="23B22B7E"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800" w:type="pct"/>
            <w:tcBorders>
              <w:top w:val="nil"/>
              <w:left w:val="nil"/>
              <w:bottom w:val="single" w:sz="4" w:space="0" w:color="auto"/>
              <w:right w:val="single" w:sz="4" w:space="0" w:color="auto"/>
            </w:tcBorders>
            <w:shd w:val="clear" w:color="auto" w:fill="auto"/>
            <w:noWrap/>
            <w:vAlign w:val="bottom"/>
            <w:hideMark/>
          </w:tcPr>
          <w:p w14:paraId="053B38AD"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c>
          <w:tcPr>
            <w:tcW w:w="799" w:type="pct"/>
            <w:tcBorders>
              <w:top w:val="nil"/>
              <w:left w:val="nil"/>
              <w:bottom w:val="single" w:sz="4" w:space="0" w:color="auto"/>
              <w:right w:val="single" w:sz="4" w:space="0" w:color="auto"/>
            </w:tcBorders>
            <w:shd w:val="clear" w:color="auto" w:fill="auto"/>
            <w:noWrap/>
            <w:vAlign w:val="bottom"/>
            <w:hideMark/>
          </w:tcPr>
          <w:p w14:paraId="4BF9E54B"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r>
      <w:tr w:rsidR="00D33C82" w:rsidRPr="00226EA6" w14:paraId="006481C4" w14:textId="77777777" w:rsidTr="00C65221">
        <w:trPr>
          <w:trHeight w:val="300"/>
        </w:trPr>
        <w:tc>
          <w:tcPr>
            <w:tcW w:w="248" w:type="pct"/>
            <w:tcBorders>
              <w:top w:val="nil"/>
              <w:left w:val="single" w:sz="4" w:space="0" w:color="auto"/>
              <w:bottom w:val="single" w:sz="4" w:space="0" w:color="auto"/>
              <w:right w:val="single" w:sz="4" w:space="0" w:color="auto"/>
            </w:tcBorders>
            <w:shd w:val="clear" w:color="auto" w:fill="auto"/>
            <w:noWrap/>
            <w:hideMark/>
          </w:tcPr>
          <w:p w14:paraId="047DBCD1"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G2</w:t>
            </w:r>
          </w:p>
        </w:tc>
        <w:tc>
          <w:tcPr>
            <w:tcW w:w="362" w:type="pct"/>
            <w:tcBorders>
              <w:top w:val="nil"/>
              <w:left w:val="nil"/>
              <w:bottom w:val="single" w:sz="4" w:space="0" w:color="auto"/>
              <w:right w:val="single" w:sz="4" w:space="0" w:color="auto"/>
            </w:tcBorders>
            <w:shd w:val="clear" w:color="auto" w:fill="auto"/>
            <w:noWrap/>
            <w:vAlign w:val="bottom"/>
            <w:hideMark/>
          </w:tcPr>
          <w:p w14:paraId="66C159B7"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110</w:t>
            </w:r>
          </w:p>
        </w:tc>
        <w:tc>
          <w:tcPr>
            <w:tcW w:w="362" w:type="pct"/>
            <w:tcBorders>
              <w:top w:val="nil"/>
              <w:left w:val="nil"/>
              <w:bottom w:val="single" w:sz="4" w:space="0" w:color="auto"/>
              <w:right w:val="single" w:sz="4" w:space="0" w:color="auto"/>
            </w:tcBorders>
            <w:shd w:val="clear" w:color="auto" w:fill="auto"/>
            <w:noWrap/>
            <w:vAlign w:val="bottom"/>
            <w:hideMark/>
          </w:tcPr>
          <w:p w14:paraId="229BBFBD"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6.6</w:t>
            </w:r>
          </w:p>
        </w:tc>
        <w:tc>
          <w:tcPr>
            <w:tcW w:w="1054" w:type="pct"/>
            <w:tcBorders>
              <w:top w:val="nil"/>
              <w:left w:val="nil"/>
              <w:bottom w:val="single" w:sz="4" w:space="0" w:color="auto"/>
              <w:right w:val="single" w:sz="4" w:space="0" w:color="auto"/>
            </w:tcBorders>
            <w:shd w:val="clear" w:color="auto" w:fill="auto"/>
            <w:noWrap/>
            <w:vAlign w:val="bottom"/>
            <w:hideMark/>
          </w:tcPr>
          <w:p w14:paraId="4C176B9C"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PE100 RC SDR17</w:t>
            </w:r>
          </w:p>
        </w:tc>
        <w:tc>
          <w:tcPr>
            <w:tcW w:w="414" w:type="pct"/>
            <w:tcBorders>
              <w:top w:val="nil"/>
              <w:left w:val="nil"/>
              <w:bottom w:val="single" w:sz="4" w:space="0" w:color="auto"/>
              <w:right w:val="single" w:sz="4" w:space="0" w:color="auto"/>
            </w:tcBorders>
            <w:shd w:val="clear" w:color="auto" w:fill="auto"/>
            <w:noWrap/>
            <w:vAlign w:val="bottom"/>
            <w:hideMark/>
          </w:tcPr>
          <w:p w14:paraId="3988111F" w14:textId="77777777" w:rsidR="00D33C82" w:rsidRPr="00C65221" w:rsidRDefault="00D33C82" w:rsidP="00D33C82">
            <w:pPr>
              <w:spacing w:after="0"/>
              <w:jc w:val="center"/>
              <w:rPr>
                <w:rFonts w:ascii="Times New Roman" w:hAnsi="Times New Roman" w:cs="Times New Roman"/>
                <w:iCs/>
              </w:rPr>
            </w:pPr>
            <w:r w:rsidRPr="00C65221">
              <w:rPr>
                <w:rFonts w:ascii="Times New Roman" w:hAnsi="Times New Roman" w:cs="Times New Roman"/>
              </w:rPr>
              <w:t>98</w:t>
            </w:r>
            <w:r w:rsidR="003B0CCF" w:rsidRPr="00C65221">
              <w:rPr>
                <w:rFonts w:ascii="Times New Roman" w:hAnsi="Times New Roman" w:cs="Times New Roman"/>
              </w:rPr>
              <w:t>.5</w:t>
            </w:r>
          </w:p>
        </w:tc>
        <w:tc>
          <w:tcPr>
            <w:tcW w:w="480" w:type="pct"/>
            <w:tcBorders>
              <w:top w:val="nil"/>
              <w:left w:val="nil"/>
              <w:bottom w:val="single" w:sz="4" w:space="0" w:color="auto"/>
              <w:right w:val="single" w:sz="4" w:space="0" w:color="auto"/>
            </w:tcBorders>
            <w:shd w:val="clear" w:color="auto" w:fill="auto"/>
            <w:noWrap/>
            <w:vAlign w:val="bottom"/>
            <w:hideMark/>
          </w:tcPr>
          <w:p w14:paraId="340596BF"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0.72</w:t>
            </w:r>
          </w:p>
        </w:tc>
        <w:tc>
          <w:tcPr>
            <w:tcW w:w="481" w:type="pct"/>
            <w:tcBorders>
              <w:top w:val="nil"/>
              <w:left w:val="nil"/>
              <w:bottom w:val="single" w:sz="4" w:space="0" w:color="auto"/>
              <w:right w:val="single" w:sz="4" w:space="0" w:color="auto"/>
            </w:tcBorders>
            <w:shd w:val="clear" w:color="auto" w:fill="auto"/>
            <w:noWrap/>
            <w:vAlign w:val="bottom"/>
            <w:hideMark/>
          </w:tcPr>
          <w:p w14:paraId="5574F7F9"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7.5</w:t>
            </w:r>
          </w:p>
        </w:tc>
        <w:tc>
          <w:tcPr>
            <w:tcW w:w="800" w:type="pct"/>
            <w:tcBorders>
              <w:top w:val="nil"/>
              <w:left w:val="nil"/>
              <w:bottom w:val="single" w:sz="4" w:space="0" w:color="auto"/>
              <w:right w:val="single" w:sz="4" w:space="0" w:color="auto"/>
            </w:tcBorders>
            <w:shd w:val="clear" w:color="auto" w:fill="auto"/>
            <w:noWrap/>
            <w:vAlign w:val="bottom"/>
            <w:hideMark/>
          </w:tcPr>
          <w:p w14:paraId="0359FC74"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1.0</w:t>
            </w:r>
          </w:p>
        </w:tc>
        <w:tc>
          <w:tcPr>
            <w:tcW w:w="799" w:type="pct"/>
            <w:tcBorders>
              <w:top w:val="nil"/>
              <w:left w:val="nil"/>
              <w:bottom w:val="single" w:sz="4" w:space="0" w:color="auto"/>
              <w:right w:val="single" w:sz="4" w:space="0" w:color="auto"/>
            </w:tcBorders>
            <w:shd w:val="clear" w:color="auto" w:fill="auto"/>
            <w:noWrap/>
            <w:vAlign w:val="bottom"/>
            <w:hideMark/>
          </w:tcPr>
          <w:p w14:paraId="2E369E52" w14:textId="77777777" w:rsidR="00D33C82" w:rsidRPr="00226EA6" w:rsidRDefault="00D33C82" w:rsidP="00D33C82">
            <w:pPr>
              <w:spacing w:after="0"/>
              <w:jc w:val="center"/>
              <w:rPr>
                <w:rFonts w:ascii="Times New Roman" w:hAnsi="Times New Roman" w:cs="Times New Roman"/>
                <w:iCs/>
              </w:rPr>
            </w:pPr>
            <w:r w:rsidRPr="00226EA6">
              <w:rPr>
                <w:rFonts w:ascii="Times New Roman" w:hAnsi="Times New Roman" w:cs="Times New Roman"/>
              </w:rPr>
              <w:t>0.5</w:t>
            </w:r>
          </w:p>
        </w:tc>
      </w:tr>
    </w:tbl>
    <w:p w14:paraId="2AD2E4BE" w14:textId="77777777" w:rsidR="00D33C82" w:rsidRPr="00226EA6" w:rsidRDefault="00D33C82" w:rsidP="00D33C82">
      <w:pPr>
        <w:autoSpaceDE w:val="0"/>
        <w:autoSpaceDN w:val="0"/>
        <w:adjustRightInd w:val="0"/>
        <w:spacing w:after="0" w:line="240" w:lineRule="auto"/>
        <w:rPr>
          <w:rFonts w:ascii="Times New Roman" w:eastAsia="Times New Roman" w:hAnsi="Times New Roman" w:cs="Times New Roman"/>
          <w:lang w:eastAsia="pl-PL"/>
        </w:rPr>
      </w:pPr>
    </w:p>
    <w:p w14:paraId="779E0AC3" w14:textId="77777777" w:rsidR="00D33C82" w:rsidRPr="00226EA6" w:rsidRDefault="00D33C82" w:rsidP="00D33C82">
      <w:pPr>
        <w:keepNext/>
        <w:overflowPunct w:val="0"/>
        <w:autoSpaceDE w:val="0"/>
        <w:autoSpaceDN w:val="0"/>
        <w:adjustRightInd w:val="0"/>
        <w:spacing w:before="120" w:after="12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6.2.3. Dopuszczalne tolerancje i wymagania</w:t>
      </w:r>
    </w:p>
    <w:p w14:paraId="050FDCD8"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odchylenie odległości krawędzi wykopu w dnie od ustalonej w planie osi wykopu nie powinno wynosić więcej niż </w:t>
      </w:r>
      <w:r w:rsidRPr="00226EA6">
        <w:rPr>
          <w:rFonts w:ascii="Times New Roman" w:eastAsia="Times New Roman" w:hAnsi="Times New Roman" w:cs="Times New Roman"/>
          <w:lang w:eastAsia="pl-PL"/>
        </w:rPr>
        <w:sym w:font="Symbol" w:char="00B1"/>
      </w:r>
      <w:r w:rsidRPr="00226EA6">
        <w:rPr>
          <w:rFonts w:ascii="Times New Roman" w:eastAsia="Times New Roman" w:hAnsi="Times New Roman" w:cs="Times New Roman"/>
          <w:lang w:eastAsia="pl-PL"/>
        </w:rPr>
        <w:t xml:space="preserve"> </w:t>
      </w:r>
      <w:smartTag w:uri="urn:schemas-microsoft-com:office:smarttags" w:element="metricconverter">
        <w:smartTagPr>
          <w:attr w:name="ProductID" w:val="5 cm"/>
        </w:smartTagPr>
        <w:r w:rsidRPr="00226EA6">
          <w:rPr>
            <w:rFonts w:ascii="Times New Roman" w:eastAsia="Times New Roman" w:hAnsi="Times New Roman" w:cs="Times New Roman"/>
            <w:lang w:eastAsia="pl-PL"/>
          </w:rPr>
          <w:t>5 cm</w:t>
        </w:r>
      </w:smartTag>
      <w:r w:rsidRPr="00226EA6">
        <w:rPr>
          <w:rFonts w:ascii="Times New Roman" w:eastAsia="Times New Roman" w:hAnsi="Times New Roman" w:cs="Times New Roman"/>
          <w:lang w:eastAsia="pl-PL"/>
        </w:rPr>
        <w:t>,</w:t>
      </w:r>
    </w:p>
    <w:p w14:paraId="4C9803A3"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odchylenie wymiarów w planie nie powinno być większe niż </w:t>
      </w:r>
      <w:smartTag w:uri="urn:schemas-microsoft-com:office:smarttags" w:element="metricconverter">
        <w:smartTagPr>
          <w:attr w:name="ProductID" w:val="0,1 m"/>
        </w:smartTagPr>
        <w:r w:rsidRPr="00226EA6">
          <w:rPr>
            <w:rFonts w:ascii="Times New Roman" w:eastAsia="Times New Roman" w:hAnsi="Times New Roman" w:cs="Times New Roman"/>
            <w:lang w:eastAsia="pl-PL"/>
          </w:rPr>
          <w:t>0,1 m</w:t>
        </w:r>
      </w:smartTag>
      <w:r w:rsidRPr="00226EA6">
        <w:rPr>
          <w:rFonts w:ascii="Times New Roman" w:eastAsia="Times New Roman" w:hAnsi="Times New Roman" w:cs="Times New Roman"/>
          <w:lang w:eastAsia="pl-PL"/>
        </w:rPr>
        <w:t>,</w:t>
      </w:r>
    </w:p>
    <w:p w14:paraId="7ED074C1"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odchylenie grubości warstwy podłoża nie powinno przekraczać </w:t>
      </w:r>
      <w:r w:rsidRPr="00226EA6">
        <w:rPr>
          <w:rFonts w:ascii="Times New Roman" w:eastAsia="Times New Roman" w:hAnsi="Times New Roman" w:cs="Times New Roman"/>
          <w:lang w:eastAsia="pl-PL"/>
        </w:rPr>
        <w:sym w:font="Symbol" w:char="00B1"/>
      </w:r>
      <w:r w:rsidRPr="00226EA6">
        <w:rPr>
          <w:rFonts w:ascii="Times New Roman" w:eastAsia="Times New Roman" w:hAnsi="Times New Roman" w:cs="Times New Roman"/>
          <w:lang w:eastAsia="pl-PL"/>
        </w:rPr>
        <w:t xml:space="preserve"> </w:t>
      </w:r>
      <w:smartTag w:uri="urn:schemas-microsoft-com:office:smarttags" w:element="metricconverter">
        <w:smartTagPr>
          <w:attr w:name="ProductID" w:val="3 cm"/>
        </w:smartTagPr>
        <w:r w:rsidRPr="00226EA6">
          <w:rPr>
            <w:rFonts w:ascii="Times New Roman" w:eastAsia="Times New Roman" w:hAnsi="Times New Roman" w:cs="Times New Roman"/>
            <w:lang w:eastAsia="pl-PL"/>
          </w:rPr>
          <w:t>3 cm</w:t>
        </w:r>
      </w:smartTag>
      <w:r w:rsidRPr="00226EA6">
        <w:rPr>
          <w:rFonts w:ascii="Times New Roman" w:eastAsia="Times New Roman" w:hAnsi="Times New Roman" w:cs="Times New Roman"/>
          <w:lang w:eastAsia="pl-PL"/>
        </w:rPr>
        <w:t>,</w:t>
      </w:r>
    </w:p>
    <w:p w14:paraId="1E1C0993"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odchylenie szerokości warstwy podłoża nie powinno przekraczać </w:t>
      </w:r>
      <w:r w:rsidRPr="00226EA6">
        <w:rPr>
          <w:rFonts w:ascii="Times New Roman" w:eastAsia="Times New Roman" w:hAnsi="Times New Roman" w:cs="Times New Roman"/>
          <w:lang w:eastAsia="pl-PL"/>
        </w:rPr>
        <w:sym w:font="Symbol" w:char="00B1"/>
      </w:r>
      <w:r w:rsidRPr="00226EA6">
        <w:rPr>
          <w:rFonts w:ascii="Times New Roman" w:eastAsia="Times New Roman" w:hAnsi="Times New Roman" w:cs="Times New Roman"/>
          <w:lang w:eastAsia="pl-PL"/>
        </w:rPr>
        <w:t xml:space="preserve"> </w:t>
      </w:r>
      <w:smartTag w:uri="urn:schemas-microsoft-com:office:smarttags" w:element="metricconverter">
        <w:smartTagPr>
          <w:attr w:name="ProductID" w:val="5 cm"/>
        </w:smartTagPr>
        <w:r w:rsidRPr="00226EA6">
          <w:rPr>
            <w:rFonts w:ascii="Times New Roman" w:eastAsia="Times New Roman" w:hAnsi="Times New Roman" w:cs="Times New Roman"/>
            <w:lang w:eastAsia="pl-PL"/>
          </w:rPr>
          <w:t>5 cm</w:t>
        </w:r>
      </w:smartTag>
      <w:r w:rsidRPr="00226EA6">
        <w:rPr>
          <w:rFonts w:ascii="Times New Roman" w:eastAsia="Times New Roman" w:hAnsi="Times New Roman" w:cs="Times New Roman"/>
          <w:lang w:eastAsia="pl-PL"/>
        </w:rPr>
        <w:t>,</w:t>
      </w:r>
    </w:p>
    <w:p w14:paraId="34A810D0"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odchylenie osi ułożonego gazociągu od osi przewodu ustalonej na ławach celowniczych nie powinno przekraczać 0,1 m,</w:t>
      </w:r>
    </w:p>
    <w:p w14:paraId="2E99CF2F"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odchylenie spadku ułożonego przewodu od przewidzianego w projekcie nie powinno przekraczać -5% projektowanego spadku (przy zmniejszonym spadku) i +10% projektowanego spadku (przy zwiększonym spadku).</w:t>
      </w:r>
    </w:p>
    <w:p w14:paraId="5DAE0CD3"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16" w:name="_Toc130791331"/>
      <w:bookmarkStart w:id="317" w:name="_Toc130791312"/>
      <w:r w:rsidRPr="00226EA6">
        <w:rPr>
          <w:rFonts w:ascii="Times New Roman" w:eastAsia="Times New Roman" w:hAnsi="Times New Roman" w:cs="Times New Roman"/>
          <w:b/>
          <w:caps/>
          <w:kern w:val="28"/>
          <w:lang w:eastAsia="pl-PL"/>
        </w:rPr>
        <w:t>7. OBMIAR ROBÓT</w:t>
      </w:r>
      <w:bookmarkEnd w:id="316"/>
      <w:bookmarkEnd w:id="317"/>
    </w:p>
    <w:p w14:paraId="792ED0D1"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7.1. Ogólne zasady obmiaru robót</w:t>
      </w:r>
    </w:p>
    <w:p w14:paraId="140DDDC9"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zasady obmiaru robót podano w ST D-00.00.00 „Wymagania ogólne”.</w:t>
      </w:r>
    </w:p>
    <w:p w14:paraId="7302253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lastRenderedPageBreak/>
        <w:t>7.2. Jednostka obmiarowa</w:t>
      </w:r>
    </w:p>
    <w:p w14:paraId="345B57FF"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Jednostką obmiarową jest m (metr) wykonanego i odebranego gazociągu.</w:t>
      </w:r>
    </w:p>
    <w:p w14:paraId="2F4BAC60"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18" w:name="_Toc130791332"/>
      <w:bookmarkStart w:id="319" w:name="_Toc130791313"/>
      <w:r w:rsidRPr="00226EA6">
        <w:rPr>
          <w:rFonts w:ascii="Times New Roman" w:eastAsia="Times New Roman" w:hAnsi="Times New Roman" w:cs="Times New Roman"/>
          <w:b/>
          <w:caps/>
          <w:kern w:val="28"/>
          <w:lang w:eastAsia="pl-PL"/>
        </w:rPr>
        <w:t>8. ODBIÓR ROBÓT</w:t>
      </w:r>
      <w:bookmarkEnd w:id="318"/>
      <w:bookmarkEnd w:id="319"/>
    </w:p>
    <w:p w14:paraId="0520B772"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8.1. Ogólne zasady odbioru robót</w:t>
      </w:r>
    </w:p>
    <w:p w14:paraId="532A385A"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Ogólne zasady odbioru robót podano w ST D-00.00.00 „Wymagania ogólne”.</w:t>
      </w:r>
    </w:p>
    <w:p w14:paraId="15C0A76B"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Roboty uznaje się za wykonane zgodnie z dokumentacją projektową, ST i wymaganiami Inżyniera, jeżeli wszystkie pomiary i badania z zachowaniem tolerancji wg pkt 6 dały wyniki pozytywne.</w:t>
      </w:r>
    </w:p>
    <w:p w14:paraId="1AE37BBB"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8.2. Odbiór robót zanikających i ulegających zakryciu</w:t>
      </w:r>
    </w:p>
    <w:p w14:paraId="240E6FD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Odbiorowi robót zanikających i ulegających zakryciu podlegają:</w:t>
      </w:r>
    </w:p>
    <w:p w14:paraId="58E4E903"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roboty przygotowawcze, przygotowanie podłoża,</w:t>
      </w:r>
    </w:p>
    <w:p w14:paraId="60CBFF7D"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roboty montażowe związane z montażem rur przewodowych, ochronnych, zasuw próby szczelności przewodu, zasypanie i zagęszczenie wykopu.</w:t>
      </w:r>
    </w:p>
    <w:p w14:paraId="0D1551BA"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Odbiór robót zanikających powinien być dokonany w czasie umożliwiającym wykonanie korekt i poprawek, bez hamowania ogólnego postępu robót.</w:t>
      </w:r>
    </w:p>
    <w:p w14:paraId="05ED14F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 xml:space="preserve">Długość odcinka robót ziemnych poddana odbiorowi nie powinna być mniejsza od </w:t>
      </w:r>
      <w:smartTag w:uri="urn:schemas-microsoft-com:office:smarttags" w:element="metricconverter">
        <w:smartTagPr>
          <w:attr w:name="ProductID" w:val="50 m"/>
        </w:smartTagPr>
        <w:r w:rsidRPr="00226EA6">
          <w:rPr>
            <w:rFonts w:ascii="Times New Roman" w:eastAsia="Times New Roman" w:hAnsi="Times New Roman" w:cs="Times New Roman"/>
            <w:lang w:eastAsia="pl-PL"/>
          </w:rPr>
          <w:t>50 m</w:t>
        </w:r>
      </w:smartTag>
      <w:r w:rsidRPr="00226EA6">
        <w:rPr>
          <w:rFonts w:ascii="Times New Roman" w:eastAsia="Times New Roman" w:hAnsi="Times New Roman" w:cs="Times New Roman"/>
          <w:lang w:eastAsia="pl-PL"/>
        </w:rPr>
        <w:t>.</w:t>
      </w:r>
    </w:p>
    <w:p w14:paraId="734999F2"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r w:rsidRPr="00226EA6">
        <w:rPr>
          <w:rFonts w:ascii="Times New Roman" w:eastAsia="Times New Roman" w:hAnsi="Times New Roman" w:cs="Times New Roman"/>
          <w:b/>
          <w:caps/>
          <w:kern w:val="28"/>
          <w:lang w:eastAsia="pl-PL"/>
        </w:rPr>
        <w:t>8.3.Odbiór końcowy</w:t>
      </w:r>
    </w:p>
    <w:p w14:paraId="69A3D9CA"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Odbiorowi końcowemu podlega:</w:t>
      </w:r>
    </w:p>
    <w:p w14:paraId="4DE70468"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sprawdzenie kompletności dokumentacji do odbioru technicznego końcowego (polegające na sprawdzeniu protokołów badań przeprowadzonych przy odbiorach technicznych częściowych),</w:t>
      </w:r>
    </w:p>
    <w:p w14:paraId="32A0E472"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przedmuchu gazociągu,</w:t>
      </w:r>
    </w:p>
    <w:p w14:paraId="6168BB02"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zadanie szczelności całego przewodu (przeprowadzone przy całkowicie ukończonym przewodzie),</w:t>
      </w:r>
    </w:p>
    <w:p w14:paraId="09DB348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Wyniki badań przeprowadzonych podczas odbioru końcowego należy uznać za dokładne, jeżeli wszystkie wymagania (badanie dokumentacji i szczelności całego przewodu) zostały spełnione.</w:t>
      </w:r>
    </w:p>
    <w:p w14:paraId="397A57F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Wykonawca jest zobowiązany dostarczyć inwestorowi następujące dokumenty:</w:t>
      </w:r>
    </w:p>
    <w:p w14:paraId="258C5D91"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projekt z naniesionymi zmianami</w:t>
      </w:r>
    </w:p>
    <w:p w14:paraId="14EE532D"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dziennik budowy i Komplet kart technologicznych zgrzewania</w:t>
      </w:r>
    </w:p>
    <w:p w14:paraId="15F9B47A"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 xml:space="preserve">protokół sprawdzenia wykonania robót ziemnych i ułożenia przewodów </w:t>
      </w:r>
    </w:p>
    <w:p w14:paraId="278D589B"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protokół z próbszczelności i przedmuchu gazociągu</w:t>
      </w:r>
    </w:p>
    <w:p w14:paraId="748CF332"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protokół ze sprawdzenia wykonania i działania zamontowanej armatury inne protokoły o ile to wynika z dokumentacji</w:t>
      </w:r>
    </w:p>
    <w:p w14:paraId="5E5AAA8A"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20" w:name="_Toc130791333"/>
      <w:bookmarkStart w:id="321" w:name="_Toc130791314"/>
      <w:r w:rsidRPr="00226EA6">
        <w:rPr>
          <w:rFonts w:ascii="Times New Roman" w:eastAsia="Times New Roman" w:hAnsi="Times New Roman" w:cs="Times New Roman"/>
          <w:b/>
          <w:caps/>
          <w:kern w:val="28"/>
          <w:lang w:eastAsia="pl-PL"/>
        </w:rPr>
        <w:t>9. PODSTAWA PŁATNOŚCI</w:t>
      </w:r>
      <w:bookmarkEnd w:id="320"/>
      <w:bookmarkEnd w:id="321"/>
    </w:p>
    <w:p w14:paraId="574D6731"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9.1. Ogólne ustalenia dotyczące podstawy płatności</w:t>
      </w:r>
    </w:p>
    <w:p w14:paraId="4F7CB4B1" w14:textId="77777777" w:rsidR="00D33C82" w:rsidRPr="00226EA6" w:rsidRDefault="00D33C82" w:rsidP="00D33C82">
      <w:pPr>
        <w:overflowPunct w:val="0"/>
        <w:autoSpaceDE w:val="0"/>
        <w:autoSpaceDN w:val="0"/>
        <w:adjustRightInd w:val="0"/>
        <w:spacing w:after="0"/>
        <w:jc w:val="both"/>
        <w:rPr>
          <w:rFonts w:ascii="Times New Roman" w:eastAsia="Times New Roman" w:hAnsi="Times New Roman" w:cs="Times New Roman"/>
          <w:color w:val="FF0000"/>
          <w:lang w:eastAsia="pl-PL"/>
        </w:rPr>
      </w:pPr>
      <w:r w:rsidRPr="00226EA6">
        <w:rPr>
          <w:rFonts w:ascii="Times New Roman" w:eastAsia="Times New Roman" w:hAnsi="Times New Roman" w:cs="Times New Roman"/>
          <w:lang w:eastAsia="pl-PL"/>
        </w:rPr>
        <w:tab/>
        <w:t>Ogólne ustalenia dotyczące podstawy płatności podano w ST D-00.00.00 „Wymagania ogólne” pkt 9.</w:t>
      </w:r>
    </w:p>
    <w:p w14:paraId="7E2CC7BC"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9.2. Cena jednostki obmiarowej</w:t>
      </w:r>
    </w:p>
    <w:p w14:paraId="16F7648C"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ab/>
        <w:t xml:space="preserve">Cena </w:t>
      </w:r>
      <w:smartTag w:uri="urn:schemas-microsoft-com:office:smarttags" w:element="metricconverter">
        <w:smartTagPr>
          <w:attr w:name="ProductID" w:val="1 m"/>
        </w:smartTagPr>
        <w:r w:rsidRPr="00226EA6">
          <w:rPr>
            <w:rFonts w:ascii="Times New Roman" w:eastAsia="Times New Roman" w:hAnsi="Times New Roman" w:cs="Times New Roman"/>
            <w:lang w:eastAsia="pl-PL"/>
          </w:rPr>
          <w:t>1 m</w:t>
        </w:r>
      </w:smartTag>
      <w:r w:rsidRPr="00226EA6">
        <w:rPr>
          <w:rFonts w:ascii="Times New Roman" w:eastAsia="Times New Roman" w:hAnsi="Times New Roman" w:cs="Times New Roman"/>
          <w:lang w:eastAsia="pl-PL"/>
        </w:rPr>
        <w:t xml:space="preserve"> wykonanej i odebranej linii gazowej obejmuje:</w:t>
      </w:r>
    </w:p>
    <w:p w14:paraId="2BD8FC0B"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oznakowanie robót,</w:t>
      </w:r>
    </w:p>
    <w:p w14:paraId="3E49F9C7"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dostawę materiałów,</w:t>
      </w:r>
    </w:p>
    <w:p w14:paraId="37002195"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robót przygotowawczych,</w:t>
      </w:r>
    </w:p>
    <w:p w14:paraId="1B152640"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wykopu w gruncie kat. I-IV wraz z umocnieniem ścian wykopu i jego odwodnienie,</w:t>
      </w:r>
    </w:p>
    <w:p w14:paraId="156925EB"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przygotowanie podłoża,</w:t>
      </w:r>
    </w:p>
    <w:p w14:paraId="7DE0527A"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ułożenie gazociągu (rurociągu) wraz z uzbrojeniem,</w:t>
      </w:r>
    </w:p>
    <w:p w14:paraId="21C915AC"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odkrywek, usunięcie kolizji z innym uzbrojeniem, zabezpieczenie miejsc kolizji, próby szczelności, ułożenie rur ochronnych,</w:t>
      </w:r>
    </w:p>
    <w:p w14:paraId="3A512AFF"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obsypki gazociągu,</w:t>
      </w:r>
    </w:p>
    <w:p w14:paraId="56EB455D"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lastRenderedPageBreak/>
        <w:t>zasypanie wykopu z zagęszczeniem zasypki,</w:t>
      </w:r>
    </w:p>
    <w:p w14:paraId="1AD0DAA0"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przeprowadzenie pomiarów i badań wymaganych w specyfikacji technicznej,</w:t>
      </w:r>
    </w:p>
    <w:p w14:paraId="595FFDCC" w14:textId="77777777" w:rsidR="00D33C82" w:rsidRPr="00226EA6" w:rsidRDefault="00D33C82" w:rsidP="00D33C82">
      <w:pPr>
        <w:numPr>
          <w:ilvl w:val="0"/>
          <w:numId w:val="2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wykonanie geodezyjnej inwentaryzacji powykonawczej.</w:t>
      </w:r>
    </w:p>
    <w:p w14:paraId="5298547F" w14:textId="77777777" w:rsidR="00D33C82" w:rsidRPr="00226EA6" w:rsidRDefault="00D33C82" w:rsidP="00D33C82">
      <w:pPr>
        <w:keepNext/>
        <w:keepLines/>
        <w:suppressAutoHyphens/>
        <w:overflowPunct w:val="0"/>
        <w:autoSpaceDE w:val="0"/>
        <w:autoSpaceDN w:val="0"/>
        <w:adjustRightInd w:val="0"/>
        <w:spacing w:before="240" w:after="120" w:line="240" w:lineRule="auto"/>
        <w:jc w:val="both"/>
        <w:outlineLvl w:val="0"/>
        <w:rPr>
          <w:rFonts w:ascii="Times New Roman" w:eastAsia="Times New Roman" w:hAnsi="Times New Roman" w:cs="Times New Roman"/>
          <w:b/>
          <w:caps/>
          <w:kern w:val="28"/>
          <w:lang w:eastAsia="pl-PL"/>
        </w:rPr>
      </w:pPr>
      <w:bookmarkStart w:id="322" w:name="_Toc130791334"/>
      <w:bookmarkStart w:id="323" w:name="_Toc130791315"/>
      <w:r w:rsidRPr="00226EA6">
        <w:rPr>
          <w:rFonts w:ascii="Times New Roman" w:eastAsia="Times New Roman" w:hAnsi="Times New Roman" w:cs="Times New Roman"/>
          <w:b/>
          <w:caps/>
          <w:kern w:val="28"/>
          <w:lang w:eastAsia="pl-PL"/>
        </w:rPr>
        <w:t>10. PRZEPISY ZWIĄZANE</w:t>
      </w:r>
      <w:bookmarkEnd w:id="322"/>
      <w:bookmarkEnd w:id="323"/>
    </w:p>
    <w:p w14:paraId="38EE80BA"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10.1. Normy</w:t>
      </w:r>
    </w:p>
    <w:tbl>
      <w:tblPr>
        <w:tblW w:w="8647" w:type="dxa"/>
        <w:tblCellMar>
          <w:left w:w="70" w:type="dxa"/>
          <w:right w:w="70" w:type="dxa"/>
        </w:tblCellMar>
        <w:tblLook w:val="04A0" w:firstRow="1" w:lastRow="0" w:firstColumn="1" w:lastColumn="0" w:noHBand="0" w:noVBand="1"/>
      </w:tblPr>
      <w:tblGrid>
        <w:gridCol w:w="496"/>
        <w:gridCol w:w="1842"/>
        <w:gridCol w:w="6309"/>
      </w:tblGrid>
      <w:tr w:rsidR="00D33C82" w:rsidRPr="00226EA6" w14:paraId="70897C87" w14:textId="77777777" w:rsidTr="00D33C82">
        <w:tc>
          <w:tcPr>
            <w:tcW w:w="496" w:type="dxa"/>
            <w:hideMark/>
          </w:tcPr>
          <w:p w14:paraId="30CD2B53"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1.</w:t>
            </w:r>
          </w:p>
        </w:tc>
        <w:tc>
          <w:tcPr>
            <w:tcW w:w="1842" w:type="dxa"/>
            <w:hideMark/>
          </w:tcPr>
          <w:p w14:paraId="4A03DB21"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PN-68/B-06050</w:t>
            </w:r>
          </w:p>
        </w:tc>
        <w:tc>
          <w:tcPr>
            <w:tcW w:w="6309" w:type="dxa"/>
            <w:hideMark/>
          </w:tcPr>
          <w:p w14:paraId="10FA61E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Roboty ziemne budowlane. Wymagania w zakresie wykonywania i badania przy odbiorze</w:t>
            </w:r>
          </w:p>
        </w:tc>
      </w:tr>
      <w:tr w:rsidR="00D33C82" w:rsidRPr="00226EA6" w14:paraId="03C0B65F" w14:textId="77777777" w:rsidTr="00D33C82">
        <w:tc>
          <w:tcPr>
            <w:tcW w:w="496" w:type="dxa"/>
            <w:hideMark/>
          </w:tcPr>
          <w:p w14:paraId="657B430C"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highlight w:val="yellow"/>
                <w:lang w:eastAsia="pl-PL"/>
              </w:rPr>
            </w:pPr>
          </w:p>
        </w:tc>
        <w:tc>
          <w:tcPr>
            <w:tcW w:w="1842" w:type="dxa"/>
            <w:hideMark/>
          </w:tcPr>
          <w:p w14:paraId="44C814E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highlight w:val="yellow"/>
                <w:lang w:eastAsia="pl-PL"/>
              </w:rPr>
            </w:pPr>
          </w:p>
        </w:tc>
        <w:tc>
          <w:tcPr>
            <w:tcW w:w="6309" w:type="dxa"/>
            <w:hideMark/>
          </w:tcPr>
          <w:p w14:paraId="4AD5B655"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highlight w:val="yellow"/>
                <w:lang w:eastAsia="pl-PL"/>
              </w:rPr>
            </w:pPr>
          </w:p>
        </w:tc>
      </w:tr>
      <w:tr w:rsidR="00D33C82" w:rsidRPr="00226EA6" w14:paraId="7E30632E" w14:textId="77777777" w:rsidTr="00D33C82">
        <w:tc>
          <w:tcPr>
            <w:tcW w:w="496" w:type="dxa"/>
            <w:hideMark/>
          </w:tcPr>
          <w:p w14:paraId="132105AC"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2.</w:t>
            </w:r>
          </w:p>
        </w:tc>
        <w:tc>
          <w:tcPr>
            <w:tcW w:w="1842" w:type="dxa"/>
            <w:hideMark/>
          </w:tcPr>
          <w:p w14:paraId="74E362EF"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PN-EN 1555-2:2012</w:t>
            </w:r>
          </w:p>
        </w:tc>
        <w:tc>
          <w:tcPr>
            <w:tcW w:w="6309" w:type="dxa"/>
            <w:hideMark/>
          </w:tcPr>
          <w:p w14:paraId="525767A7"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System przewodów rurowych z tworzyw sztucznych do przesyłania paliw gazowych – Polietylen (PE) – Część 2: Rury</w:t>
            </w:r>
          </w:p>
        </w:tc>
      </w:tr>
      <w:tr w:rsidR="00D33C82" w:rsidRPr="00226EA6" w14:paraId="0079EE38" w14:textId="77777777" w:rsidTr="00D33C82">
        <w:tc>
          <w:tcPr>
            <w:tcW w:w="496" w:type="dxa"/>
          </w:tcPr>
          <w:p w14:paraId="2159E309"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3.</w:t>
            </w:r>
          </w:p>
        </w:tc>
        <w:tc>
          <w:tcPr>
            <w:tcW w:w="1842" w:type="dxa"/>
          </w:tcPr>
          <w:p w14:paraId="1067858C"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PN-EN 1555-1:2012</w:t>
            </w:r>
          </w:p>
        </w:tc>
        <w:tc>
          <w:tcPr>
            <w:tcW w:w="6309" w:type="dxa"/>
          </w:tcPr>
          <w:p w14:paraId="6E7B04F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System przewodów rurowych z tworzyw sztucznych do przesyłania paliw gazowych – Polietylen (PE) – Cz. 1: Wymagania ogólne</w:t>
            </w:r>
          </w:p>
        </w:tc>
      </w:tr>
      <w:tr w:rsidR="00D33C82" w:rsidRPr="00226EA6" w14:paraId="162B3606" w14:textId="77777777" w:rsidTr="00D33C82">
        <w:tc>
          <w:tcPr>
            <w:tcW w:w="496" w:type="dxa"/>
            <w:hideMark/>
          </w:tcPr>
          <w:p w14:paraId="60B48B45"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4.</w:t>
            </w:r>
          </w:p>
        </w:tc>
        <w:tc>
          <w:tcPr>
            <w:tcW w:w="1842" w:type="dxa"/>
            <w:hideMark/>
          </w:tcPr>
          <w:p w14:paraId="094FC75D"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PAS 1075:2009.04</w:t>
            </w:r>
          </w:p>
        </w:tc>
        <w:tc>
          <w:tcPr>
            <w:tcW w:w="6309" w:type="dxa"/>
            <w:hideMark/>
          </w:tcPr>
          <w:p w14:paraId="549FEBF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Wymagania dla rur PE</w:t>
            </w:r>
          </w:p>
        </w:tc>
      </w:tr>
      <w:tr w:rsidR="00D33C82" w:rsidRPr="00226EA6" w14:paraId="588CA2EE" w14:textId="77777777" w:rsidTr="00D33C82">
        <w:tc>
          <w:tcPr>
            <w:tcW w:w="496" w:type="dxa"/>
            <w:hideMark/>
          </w:tcPr>
          <w:p w14:paraId="12C443DF"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5.</w:t>
            </w:r>
          </w:p>
        </w:tc>
        <w:tc>
          <w:tcPr>
            <w:tcW w:w="1842" w:type="dxa"/>
            <w:hideMark/>
          </w:tcPr>
          <w:p w14:paraId="0E6C84A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STIGG-1001 - 1004</w:t>
            </w:r>
          </w:p>
        </w:tc>
        <w:tc>
          <w:tcPr>
            <w:tcW w:w="6309" w:type="dxa"/>
            <w:hideMark/>
          </w:tcPr>
          <w:p w14:paraId="7428B3F5"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Standardy Technicznie IGG</w:t>
            </w:r>
          </w:p>
        </w:tc>
      </w:tr>
      <w:tr w:rsidR="00D33C82" w:rsidRPr="00226EA6" w14:paraId="7B7D00ED" w14:textId="77777777" w:rsidTr="00D33C82">
        <w:tc>
          <w:tcPr>
            <w:tcW w:w="496" w:type="dxa"/>
            <w:hideMark/>
          </w:tcPr>
          <w:p w14:paraId="26537814"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6.</w:t>
            </w:r>
          </w:p>
        </w:tc>
        <w:tc>
          <w:tcPr>
            <w:tcW w:w="1842" w:type="dxa"/>
            <w:hideMark/>
          </w:tcPr>
          <w:p w14:paraId="6B325527"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PN-M-34501:1991</w:t>
            </w:r>
          </w:p>
        </w:tc>
        <w:tc>
          <w:tcPr>
            <w:tcW w:w="6309" w:type="dxa"/>
            <w:hideMark/>
          </w:tcPr>
          <w:p w14:paraId="04F9BAB9"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Gazociągi i instalacje gazownicze – Skrzyżowanie gazociągów z przeszkodami terenowymi -- Wymagania</w:t>
            </w:r>
          </w:p>
        </w:tc>
      </w:tr>
    </w:tbl>
    <w:p w14:paraId="05998D5F" w14:textId="77777777" w:rsidR="00D33C82" w:rsidRPr="00226EA6" w:rsidRDefault="00D33C82" w:rsidP="00D33C82">
      <w:pPr>
        <w:keepNext/>
        <w:overflowPunct w:val="0"/>
        <w:autoSpaceDE w:val="0"/>
        <w:autoSpaceDN w:val="0"/>
        <w:adjustRightInd w:val="0"/>
        <w:spacing w:before="120" w:after="120" w:line="240" w:lineRule="auto"/>
        <w:jc w:val="both"/>
        <w:outlineLvl w:val="1"/>
        <w:rPr>
          <w:rFonts w:ascii="Times New Roman" w:eastAsia="Times New Roman" w:hAnsi="Times New Roman" w:cs="Times New Roman"/>
          <w:b/>
          <w:lang w:eastAsia="pl-PL"/>
        </w:rPr>
      </w:pPr>
      <w:r w:rsidRPr="00226EA6">
        <w:rPr>
          <w:rFonts w:ascii="Times New Roman" w:eastAsia="Times New Roman" w:hAnsi="Times New Roman" w:cs="Times New Roman"/>
          <w:b/>
          <w:lang w:eastAsia="pl-PL"/>
        </w:rPr>
        <w:t>10.2. Inne dokumenty</w:t>
      </w:r>
    </w:p>
    <w:tbl>
      <w:tblPr>
        <w:tblW w:w="0" w:type="auto"/>
        <w:tblCellMar>
          <w:left w:w="70" w:type="dxa"/>
          <w:right w:w="70" w:type="dxa"/>
        </w:tblCellMar>
        <w:tblLook w:val="04A0" w:firstRow="1" w:lastRow="0" w:firstColumn="1" w:lastColumn="0" w:noHBand="0" w:noVBand="1"/>
      </w:tblPr>
      <w:tblGrid>
        <w:gridCol w:w="496"/>
        <w:gridCol w:w="8151"/>
      </w:tblGrid>
      <w:tr w:rsidR="00D33C82" w:rsidRPr="00226EA6" w14:paraId="1811E1CB" w14:textId="77777777" w:rsidTr="00D33C82">
        <w:tc>
          <w:tcPr>
            <w:tcW w:w="496" w:type="dxa"/>
            <w:hideMark/>
          </w:tcPr>
          <w:p w14:paraId="6ED11FFE" w14:textId="77777777" w:rsidR="00D33C82" w:rsidRPr="00226EA6" w:rsidRDefault="00D33C82" w:rsidP="00D33C82">
            <w:pPr>
              <w:overflowPunct w:val="0"/>
              <w:autoSpaceDE w:val="0"/>
              <w:autoSpaceDN w:val="0"/>
              <w:adjustRightInd w:val="0"/>
              <w:spacing w:after="0" w:line="240" w:lineRule="auto"/>
              <w:jc w:val="center"/>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1.</w:t>
            </w:r>
          </w:p>
        </w:tc>
        <w:tc>
          <w:tcPr>
            <w:tcW w:w="8151" w:type="dxa"/>
            <w:hideMark/>
          </w:tcPr>
          <w:p w14:paraId="67C55319" w14:textId="77777777" w:rsidR="00D33C82" w:rsidRPr="00226EA6" w:rsidRDefault="00D33C82" w:rsidP="00D33C82">
            <w:pPr>
              <w:pStyle w:val="Nagwek2"/>
              <w:rPr>
                <w:sz w:val="22"/>
                <w:szCs w:val="22"/>
              </w:rPr>
            </w:pPr>
            <w:r w:rsidRPr="00226EA6">
              <w:rPr>
                <w:b w:val="0"/>
                <w:sz w:val="22"/>
                <w:szCs w:val="22"/>
              </w:rPr>
              <w:t>Ustawa z dnia 16 kwietnia 2004 r. o wyrobach budowlanych (Dz.U. 2004 nr 92 poz. 881)</w:t>
            </w:r>
          </w:p>
        </w:tc>
      </w:tr>
      <w:tr w:rsidR="00D33C82" w:rsidRPr="00226EA6" w14:paraId="3EB7F6DD" w14:textId="77777777" w:rsidTr="00D33C82">
        <w:tc>
          <w:tcPr>
            <w:tcW w:w="496" w:type="dxa"/>
            <w:hideMark/>
          </w:tcPr>
          <w:p w14:paraId="010FD7F5" w14:textId="77777777" w:rsidR="00D33C82" w:rsidRPr="00226EA6" w:rsidRDefault="00D33C82" w:rsidP="00D33C82">
            <w:pPr>
              <w:overflowPunct w:val="0"/>
              <w:autoSpaceDE w:val="0"/>
              <w:autoSpaceDN w:val="0"/>
              <w:adjustRightInd w:val="0"/>
              <w:spacing w:after="0" w:line="240" w:lineRule="auto"/>
              <w:jc w:val="center"/>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2.</w:t>
            </w:r>
          </w:p>
        </w:tc>
        <w:tc>
          <w:tcPr>
            <w:tcW w:w="8151" w:type="dxa"/>
            <w:hideMark/>
          </w:tcPr>
          <w:p w14:paraId="57DC6FC0" w14:textId="77777777" w:rsidR="00D33C82" w:rsidRPr="00226EA6" w:rsidRDefault="00D33C82" w:rsidP="00D33C82">
            <w:p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26EA6">
              <w:rPr>
                <w:rFonts w:ascii="Times New Roman" w:eastAsia="Times New Roman" w:hAnsi="Times New Roman" w:cs="Times New Roman"/>
                <w:lang w:eastAsia="pl-PL"/>
              </w:rPr>
              <w:t>Rozporządzenie Ministra Gospodarki z dnia 26.04.2013r. w sprawie warunków technicznych, jakim powinny odpowiadać sieci gazowe i ich usytuowanie (Dz. U. 2013 poz. 640).</w:t>
            </w:r>
          </w:p>
        </w:tc>
      </w:tr>
    </w:tbl>
    <w:p w14:paraId="3286409F" w14:textId="77777777" w:rsidR="00D33C82" w:rsidRDefault="00D33C82" w:rsidP="00955A27">
      <w:pPr>
        <w:tabs>
          <w:tab w:val="left" w:pos="1763"/>
        </w:tabs>
        <w:spacing w:after="120" w:line="360" w:lineRule="auto"/>
        <w:rPr>
          <w:rFonts w:ascii="Times New Roman" w:hAnsi="Times New Roman" w:cs="Times New Roman"/>
          <w:color w:val="000000" w:themeColor="text1"/>
        </w:rPr>
      </w:pPr>
    </w:p>
    <w:p w14:paraId="6369E069" w14:textId="77777777" w:rsidR="00D33C82" w:rsidRDefault="00D33C82" w:rsidP="00955A27">
      <w:pPr>
        <w:tabs>
          <w:tab w:val="left" w:pos="1763"/>
        </w:tabs>
        <w:spacing w:after="120" w:line="360" w:lineRule="auto"/>
        <w:rPr>
          <w:rFonts w:ascii="Times New Roman" w:hAnsi="Times New Roman" w:cs="Times New Roman"/>
          <w:color w:val="000000" w:themeColor="text1"/>
        </w:rPr>
      </w:pPr>
    </w:p>
    <w:p w14:paraId="6FD31560" w14:textId="77777777" w:rsidR="00D33C82" w:rsidRDefault="00D33C82" w:rsidP="00955A27">
      <w:pPr>
        <w:tabs>
          <w:tab w:val="left" w:pos="1763"/>
        </w:tabs>
        <w:spacing w:after="120" w:line="360" w:lineRule="auto"/>
        <w:rPr>
          <w:rFonts w:ascii="Times New Roman" w:hAnsi="Times New Roman" w:cs="Times New Roman"/>
          <w:color w:val="000000" w:themeColor="text1"/>
        </w:rPr>
      </w:pPr>
    </w:p>
    <w:p w14:paraId="0FE80009" w14:textId="77777777" w:rsidR="00952024" w:rsidRDefault="00952024">
      <w:pPr>
        <w:rPr>
          <w:rFonts w:ascii="Times New Roman" w:hAnsi="Times New Roman" w:cs="Times New Roman"/>
          <w:b/>
        </w:rPr>
      </w:pPr>
      <w:r>
        <w:rPr>
          <w:rFonts w:ascii="Times New Roman" w:hAnsi="Times New Roman" w:cs="Times New Roman"/>
          <w:b/>
        </w:rPr>
        <w:br w:type="page"/>
      </w:r>
    </w:p>
    <w:p w14:paraId="52560BFF" w14:textId="77777777" w:rsidR="00D33C82" w:rsidRPr="00CD7AE5" w:rsidRDefault="00CE5FD3" w:rsidP="00D33C82">
      <w:pPr>
        <w:overflowPunct w:val="0"/>
        <w:autoSpaceDE w:val="0"/>
        <w:autoSpaceDN w:val="0"/>
        <w:adjustRightInd w:val="0"/>
        <w:rPr>
          <w:rFonts w:ascii="Times New Roman" w:hAnsi="Times New Roman" w:cs="Times New Roman"/>
          <w:b/>
        </w:rPr>
      </w:pPr>
      <w:r>
        <w:rPr>
          <w:rFonts w:ascii="Times New Roman" w:hAnsi="Times New Roman" w:cs="Times New Roman"/>
          <w:b/>
        </w:rPr>
        <w:lastRenderedPageBreak/>
        <w:t>S.03.02</w:t>
      </w:r>
      <w:r w:rsidR="00D33C82" w:rsidRPr="00CD7AE5">
        <w:rPr>
          <w:rFonts w:ascii="Times New Roman" w:hAnsi="Times New Roman" w:cs="Times New Roman"/>
          <w:b/>
        </w:rPr>
        <w:t>.02 KANALIZACJA SANITARNA ORAZ ZABEZPIECZENIE SIECI WODOCIĄGOWEJ</w:t>
      </w:r>
    </w:p>
    <w:p w14:paraId="4A170E5A" w14:textId="77777777" w:rsidR="00D33C82" w:rsidRPr="00CD7AE5" w:rsidRDefault="00D33C82" w:rsidP="00D33C82">
      <w:pPr>
        <w:keepNext/>
        <w:keepLines/>
        <w:suppressAutoHyphens/>
        <w:overflowPunct w:val="0"/>
        <w:autoSpaceDE w:val="0"/>
        <w:autoSpaceDN w:val="0"/>
        <w:adjustRightInd w:val="0"/>
        <w:outlineLvl w:val="0"/>
        <w:rPr>
          <w:rFonts w:ascii="Times New Roman" w:hAnsi="Times New Roman" w:cs="Times New Roman"/>
          <w:b/>
          <w:caps/>
          <w:kern w:val="28"/>
        </w:rPr>
      </w:pPr>
      <w:r w:rsidRPr="00CD7AE5">
        <w:rPr>
          <w:rFonts w:ascii="Times New Roman" w:hAnsi="Times New Roman" w:cs="Times New Roman"/>
          <w:b/>
          <w:caps/>
          <w:kern w:val="28"/>
        </w:rPr>
        <w:t>1. WSTĘP</w:t>
      </w:r>
    </w:p>
    <w:p w14:paraId="718E6EEE" w14:textId="77777777" w:rsidR="00D33C82" w:rsidRPr="00CD7AE5" w:rsidRDefault="00D33C82" w:rsidP="00FA7059">
      <w:pPr>
        <w:keepNext/>
        <w:tabs>
          <w:tab w:val="left" w:pos="5749"/>
        </w:tabs>
        <w:overflowPunct w:val="0"/>
        <w:autoSpaceDE w:val="0"/>
        <w:autoSpaceDN w:val="0"/>
        <w:adjustRightInd w:val="0"/>
        <w:jc w:val="both"/>
        <w:outlineLvl w:val="1"/>
        <w:rPr>
          <w:rFonts w:ascii="Times New Roman" w:hAnsi="Times New Roman" w:cs="Times New Roman"/>
          <w:b/>
        </w:rPr>
      </w:pPr>
      <w:r w:rsidRPr="00CD7AE5">
        <w:rPr>
          <w:rFonts w:ascii="Times New Roman" w:hAnsi="Times New Roman" w:cs="Times New Roman"/>
          <w:b/>
        </w:rPr>
        <w:t>1.1. Pzedmiot ST</w:t>
      </w:r>
    </w:p>
    <w:p w14:paraId="0042914F" w14:textId="77777777" w:rsidR="00D33C82" w:rsidRPr="00CD7AE5" w:rsidRDefault="00D33C82" w:rsidP="00FA7059">
      <w:pPr>
        <w:overflowPunct w:val="0"/>
        <w:autoSpaceDE w:val="0"/>
        <w:autoSpaceDN w:val="0"/>
        <w:adjustRightInd w:val="0"/>
        <w:ind w:firstLine="709"/>
        <w:jc w:val="both"/>
        <w:rPr>
          <w:rFonts w:ascii="Times New Roman" w:hAnsi="Times New Roman" w:cs="Times New Roman"/>
        </w:rPr>
      </w:pPr>
      <w:r w:rsidRPr="00CD7AE5">
        <w:rPr>
          <w:rFonts w:ascii="Times New Roman" w:hAnsi="Times New Roman" w:cs="Times New Roman"/>
        </w:rPr>
        <w:tab/>
        <w:t xml:space="preserve">Przedmiotem niniejszej specyfikacji technicznej (ST) są wymagania dotyczące wykonania </w:t>
      </w:r>
      <w:r w:rsidRPr="00CD7AE5">
        <w:rPr>
          <w:rFonts w:ascii="Times New Roman" w:hAnsi="Times New Roman" w:cs="Times New Roman"/>
        </w:rPr>
        <w:br/>
        <w:t>i odbioru robót związanych z:</w:t>
      </w:r>
    </w:p>
    <w:p w14:paraId="14CD2618"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przebudową ciśnieniowego kolektora kanalizacji sanitarnej </w:t>
      </w:r>
    </w:p>
    <w:p w14:paraId="1D3B2882"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zabezpieczeniem istniejącej sieci wodociągowej pod projektowaną jezdnią rurami osłonowymi</w:t>
      </w:r>
    </w:p>
    <w:p w14:paraId="018DD782" w14:textId="77777777" w:rsidR="00D33C82" w:rsidRPr="00CD7AE5" w:rsidRDefault="00D33C82" w:rsidP="00FA7059">
      <w:pPr>
        <w:pStyle w:val="Akapitzlist"/>
        <w:ind w:left="1429"/>
        <w:rPr>
          <w:sz w:val="22"/>
          <w:szCs w:val="22"/>
        </w:rPr>
      </w:pPr>
    </w:p>
    <w:p w14:paraId="39913878" w14:textId="77777777" w:rsidR="00D33C82" w:rsidRPr="00CD7AE5" w:rsidRDefault="00D33C82" w:rsidP="00FA7059">
      <w:pPr>
        <w:tabs>
          <w:tab w:val="right" w:leader="dot" w:pos="-1985"/>
          <w:tab w:val="left" w:pos="284"/>
        </w:tabs>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 xml:space="preserve">w ramach realizacji zadania: </w:t>
      </w:r>
      <w:r w:rsidRPr="00CD7AE5">
        <w:rPr>
          <w:rFonts w:ascii="Times New Roman" w:hAnsi="Times New Roman" w:cs="Times New Roman"/>
          <w:b/>
        </w:rPr>
        <w:t>„Rozbudowa drogi wojewódzkiej nr 461 w m. Dąbrówka Łubniańska i Łubniany” – Etap I”.</w:t>
      </w:r>
    </w:p>
    <w:p w14:paraId="13302DD0" w14:textId="77777777" w:rsidR="00D33C82" w:rsidRPr="00CD7AE5" w:rsidRDefault="00D33C82" w:rsidP="00FA7059">
      <w:pPr>
        <w:keepNext/>
        <w:overflowPunct w:val="0"/>
        <w:autoSpaceDE w:val="0"/>
        <w:autoSpaceDN w:val="0"/>
        <w:adjustRightInd w:val="0"/>
        <w:jc w:val="both"/>
        <w:outlineLvl w:val="1"/>
        <w:rPr>
          <w:rFonts w:ascii="Times New Roman" w:hAnsi="Times New Roman" w:cs="Times New Roman"/>
          <w:b/>
        </w:rPr>
      </w:pPr>
      <w:r w:rsidRPr="00CD7AE5">
        <w:rPr>
          <w:rFonts w:ascii="Times New Roman" w:hAnsi="Times New Roman" w:cs="Times New Roman"/>
          <w:b/>
        </w:rPr>
        <w:t>1.2. Zakres stosowania ST</w:t>
      </w:r>
    </w:p>
    <w:p w14:paraId="3A5A37D0" w14:textId="77777777" w:rsidR="00D33C82" w:rsidRPr="00CD7AE5" w:rsidRDefault="00D33C82" w:rsidP="00FA7059">
      <w:pPr>
        <w:keepNext/>
        <w:tabs>
          <w:tab w:val="left" w:pos="708"/>
        </w:tabs>
        <w:overflowPunct w:val="0"/>
        <w:autoSpaceDE w:val="0"/>
        <w:autoSpaceDN w:val="0"/>
        <w:adjustRightInd w:val="0"/>
        <w:jc w:val="both"/>
        <w:outlineLvl w:val="1"/>
        <w:rPr>
          <w:rFonts w:ascii="Times New Roman" w:hAnsi="Times New Roman" w:cs="Times New Roman"/>
        </w:rPr>
      </w:pPr>
      <w:r w:rsidRPr="00CD7AE5">
        <w:rPr>
          <w:rFonts w:ascii="Times New Roman" w:hAnsi="Times New Roman" w:cs="Times New Roman"/>
          <w:b/>
        </w:rPr>
        <w:tab/>
      </w:r>
      <w:r w:rsidRPr="00CD7AE5">
        <w:rPr>
          <w:rFonts w:ascii="Times New Roman" w:hAnsi="Times New Roman" w:cs="Times New Roman"/>
          <w:b/>
        </w:rPr>
        <w:tab/>
      </w:r>
      <w:r w:rsidRPr="00CD7AE5">
        <w:rPr>
          <w:rFonts w:ascii="Times New Roman" w:hAnsi="Times New Roman" w:cs="Times New Roman"/>
        </w:rPr>
        <w:tab/>
      </w:r>
      <w:r w:rsidRPr="00CD7AE5">
        <w:rPr>
          <w:rFonts w:ascii="Times New Roman" w:hAnsi="Times New Roman" w:cs="Times New Roman"/>
        </w:rPr>
        <w:tab/>
        <w:t>Specyfikacja techniczna (ST) stanowi dokument przetargowy i kontraktowy przy zlecaniu i  realizacji robót wymienionych w punkcie 1.1.</w:t>
      </w:r>
    </w:p>
    <w:p w14:paraId="321C09B2" w14:textId="77777777" w:rsidR="00D33C82" w:rsidRPr="00CD7AE5" w:rsidRDefault="00D33C82" w:rsidP="00FA7059">
      <w:pPr>
        <w:overflowPunct w:val="0"/>
        <w:autoSpaceDE w:val="0"/>
        <w:autoSpaceDN w:val="0"/>
        <w:adjustRightInd w:val="0"/>
        <w:spacing w:after="200"/>
        <w:jc w:val="both"/>
        <w:rPr>
          <w:rFonts w:ascii="Times New Roman" w:hAnsi="Times New Roman" w:cs="Times New Roman"/>
          <w:b/>
        </w:rPr>
      </w:pPr>
      <w:r w:rsidRPr="00CD7AE5">
        <w:rPr>
          <w:rFonts w:ascii="Times New Roman" w:hAnsi="Times New Roman" w:cs="Times New Roman"/>
          <w:b/>
        </w:rPr>
        <w:t>1.3. Zakres robót objętych ST</w:t>
      </w:r>
    </w:p>
    <w:p w14:paraId="78ACB10D"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ab/>
        <w:t>Ustalenia zawarte w niniejszej specyfikacji dotyczą zasad prowadzenia robót związanych z wykonaniem przebudowy ciśnieniowego kolektora kanalizacji sanitarnej, które obejmują (zgodnie z dokumentacją projektową):</w:t>
      </w:r>
    </w:p>
    <w:p w14:paraId="14113331"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przebudowę istniejącego ciśnieniowego kanału kanalizacji </w:t>
      </w:r>
      <w:r w:rsidRPr="00CD7AE5">
        <w:rPr>
          <w:color w:val="00000A"/>
          <w:sz w:val="22"/>
          <w:szCs w:val="22"/>
        </w:rPr>
        <w:t xml:space="preserve">sanitarnej PE100 PN10 SDR11 Dz90 o długości ok. 66,5 mb </w:t>
      </w:r>
    </w:p>
    <w:p w14:paraId="72E58ED4"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przebudowę istniejących przyłącz kanału kanalizacji </w:t>
      </w:r>
      <w:r w:rsidRPr="00CD7AE5">
        <w:rPr>
          <w:color w:val="00000A"/>
          <w:sz w:val="22"/>
          <w:szCs w:val="22"/>
        </w:rPr>
        <w:t xml:space="preserve">sanitarnej PE100 PN10 SDR11 Dz90 o łącznej długości ok. 5,5 mb </w:t>
      </w:r>
    </w:p>
    <w:p w14:paraId="6BA54569" w14:textId="77777777" w:rsidR="00D33C82" w:rsidRPr="00CD7AE5" w:rsidRDefault="00D33C82" w:rsidP="00FA7059">
      <w:pPr>
        <w:pStyle w:val="Akapitzlist"/>
        <w:numPr>
          <w:ilvl w:val="0"/>
          <w:numId w:val="62"/>
        </w:numPr>
        <w:ind w:left="1353"/>
        <w:textAlignment w:val="auto"/>
        <w:rPr>
          <w:sz w:val="22"/>
          <w:szCs w:val="22"/>
        </w:rPr>
      </w:pPr>
      <w:r w:rsidRPr="00CD7AE5">
        <w:rPr>
          <w:color w:val="00000A"/>
          <w:sz w:val="22"/>
          <w:szCs w:val="22"/>
        </w:rPr>
        <w:t xml:space="preserve">zabezpieczenie istniejącej sieci wodociągowej rurami osłonowymi PEHD100 SDR17 Dz110 o łącznej długości 77,6 mb (10szt). </w:t>
      </w:r>
    </w:p>
    <w:p w14:paraId="3E64CAA6" w14:textId="77777777" w:rsidR="00D33C82" w:rsidRPr="00CD7AE5" w:rsidRDefault="00D33C82" w:rsidP="00FA7059">
      <w:pPr>
        <w:overflowPunct w:val="0"/>
        <w:autoSpaceDE w:val="0"/>
        <w:autoSpaceDN w:val="0"/>
        <w:adjustRightInd w:val="0"/>
        <w:ind w:left="993"/>
        <w:jc w:val="both"/>
        <w:rPr>
          <w:rFonts w:ascii="Times New Roman" w:hAnsi="Times New Roman" w:cs="Times New Roman"/>
        </w:rPr>
      </w:pPr>
    </w:p>
    <w:p w14:paraId="3BBF25BC"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ab/>
        <w:t>Robotami towarzyszącymi przy budowie sieci kanalizacyjnej, w zakresie jw., są:</w:t>
      </w:r>
    </w:p>
    <w:p w14:paraId="2F177890"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oznakowanie robót,</w:t>
      </w:r>
    </w:p>
    <w:p w14:paraId="3278E8EE"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dostawa materiałów</w:t>
      </w:r>
    </w:p>
    <w:p w14:paraId="638CCA46"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wykonywanie przekopów kontrolnych lokalizacji istniejącego uzbrojenia, </w:t>
      </w:r>
    </w:p>
    <w:p w14:paraId="2B38DB23"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wykonanie wykopów, umocnienia ścian wykopów, </w:t>
      </w:r>
    </w:p>
    <w:p w14:paraId="3F3BA349"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odwodnienie wykopów na czas montażu kanałów (w razie konieczności),</w:t>
      </w:r>
    </w:p>
    <w:p w14:paraId="6DF3EBA0"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 xml:space="preserve"> wykonanie podsypki i obsypki, </w:t>
      </w:r>
    </w:p>
    <w:p w14:paraId="41A35D99" w14:textId="77777777" w:rsidR="00D33C82" w:rsidRPr="00CD7AE5" w:rsidRDefault="00D33C82" w:rsidP="00FA7059">
      <w:pPr>
        <w:pStyle w:val="Akapitzlist"/>
        <w:numPr>
          <w:ilvl w:val="0"/>
          <w:numId w:val="62"/>
        </w:numPr>
        <w:ind w:left="1353"/>
        <w:textAlignment w:val="auto"/>
        <w:rPr>
          <w:sz w:val="22"/>
          <w:szCs w:val="22"/>
        </w:rPr>
      </w:pPr>
      <w:r w:rsidRPr="00CD7AE5">
        <w:rPr>
          <w:sz w:val="22"/>
          <w:szCs w:val="22"/>
        </w:rPr>
        <w:t>zasypanie wykopów materiałem o wymaganym zagęszczeniu.</w:t>
      </w:r>
    </w:p>
    <w:p w14:paraId="334A95D1"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ab/>
        <w:t>Do prac towarzyszących zalicza się także: geodezyjne wytyczenie tras kanalizacyjnych oraz inwentaryzacja powykonawcza tych kanałów.</w:t>
      </w:r>
    </w:p>
    <w:p w14:paraId="4F624798" w14:textId="77777777" w:rsidR="00D33C82" w:rsidRPr="00CD7AE5" w:rsidRDefault="00D33C82" w:rsidP="00FA7059">
      <w:pPr>
        <w:jc w:val="both"/>
        <w:rPr>
          <w:rFonts w:ascii="Times New Roman" w:hAnsi="Times New Roman" w:cs="Times New Roman"/>
        </w:rPr>
      </w:pPr>
    </w:p>
    <w:p w14:paraId="086175CD" w14:textId="77777777" w:rsidR="00D33C82" w:rsidRPr="00CD7AE5" w:rsidRDefault="00D33C82" w:rsidP="00FA7059">
      <w:pPr>
        <w:keepNext/>
        <w:overflowPunct w:val="0"/>
        <w:autoSpaceDE w:val="0"/>
        <w:autoSpaceDN w:val="0"/>
        <w:adjustRightInd w:val="0"/>
        <w:jc w:val="both"/>
        <w:outlineLvl w:val="1"/>
        <w:rPr>
          <w:rFonts w:ascii="Times New Roman" w:hAnsi="Times New Roman" w:cs="Times New Roman"/>
          <w:b/>
        </w:rPr>
      </w:pPr>
      <w:r w:rsidRPr="00CD7AE5">
        <w:rPr>
          <w:rFonts w:ascii="Times New Roman" w:hAnsi="Times New Roman" w:cs="Times New Roman"/>
          <w:b/>
        </w:rPr>
        <w:t>1.4. Określenia podstawowe</w:t>
      </w:r>
    </w:p>
    <w:p w14:paraId="1DF0FC50" w14:textId="77777777" w:rsidR="00D33C82" w:rsidRPr="00CD7AE5" w:rsidRDefault="00D33C82" w:rsidP="00FA7059">
      <w:pPr>
        <w:overflowPunct w:val="0"/>
        <w:autoSpaceDE w:val="0"/>
        <w:autoSpaceDN w:val="0"/>
        <w:adjustRightInd w:val="0"/>
        <w:ind w:firstLine="709"/>
        <w:jc w:val="both"/>
        <w:rPr>
          <w:rFonts w:ascii="Times New Roman" w:hAnsi="Times New Roman" w:cs="Times New Roman"/>
        </w:rPr>
      </w:pPr>
      <w:r w:rsidRPr="00CD7AE5">
        <w:rPr>
          <w:rFonts w:ascii="Times New Roman" w:hAnsi="Times New Roman" w:cs="Times New Roman"/>
        </w:rPr>
        <w:t xml:space="preserve">Określenia podstawowe w niniejszej ST są zgodne z obowiązującymi odpowiednimi normami, a w szczególności PN-B- 10736: 1999, PN EN 1610 : 2015-10, z określeniami przyjętymi w zeszycie nr 9 "Warunków Technicznych Wykonania i Odbioru (WTWiO) Sieci Kanalizacyjnych" wydanych </w:t>
      </w:r>
      <w:r w:rsidRPr="00CD7AE5">
        <w:rPr>
          <w:rFonts w:ascii="Times New Roman" w:hAnsi="Times New Roman" w:cs="Times New Roman"/>
        </w:rPr>
        <w:lastRenderedPageBreak/>
        <w:t>przez Centralny Ośrodek Badawczo Rozwojowy Techniki Instalacyjnej INSTAL, odpowiednimi normami oraz określeniami podanymi w Specyfikacji Technicznej "Wymagania ogólne" pkt. 1.4.</w:t>
      </w:r>
    </w:p>
    <w:p w14:paraId="410C3D70" w14:textId="77777777" w:rsidR="00D33C82" w:rsidRPr="00CD7AE5" w:rsidRDefault="00D33C82" w:rsidP="00FA7059">
      <w:pPr>
        <w:overflowPunct w:val="0"/>
        <w:autoSpaceDE w:val="0"/>
        <w:autoSpaceDN w:val="0"/>
        <w:adjustRightInd w:val="0"/>
        <w:ind w:firstLine="709"/>
        <w:jc w:val="both"/>
        <w:rPr>
          <w:rFonts w:ascii="Times New Roman" w:hAnsi="Times New Roman" w:cs="Times New Roman"/>
        </w:rPr>
      </w:pPr>
    </w:p>
    <w:p w14:paraId="0D9DCA42" w14:textId="77777777" w:rsidR="00D33C82" w:rsidRPr="00CD7AE5" w:rsidRDefault="00D33C82" w:rsidP="00FA7059">
      <w:pPr>
        <w:keepNext/>
        <w:overflowPunct w:val="0"/>
        <w:autoSpaceDE w:val="0"/>
        <w:autoSpaceDN w:val="0"/>
        <w:adjustRightInd w:val="0"/>
        <w:jc w:val="both"/>
        <w:outlineLvl w:val="1"/>
        <w:rPr>
          <w:rFonts w:ascii="Times New Roman" w:hAnsi="Times New Roman" w:cs="Times New Roman"/>
          <w:b/>
        </w:rPr>
      </w:pPr>
      <w:r w:rsidRPr="00CD7AE5">
        <w:rPr>
          <w:rFonts w:ascii="Times New Roman" w:hAnsi="Times New Roman" w:cs="Times New Roman"/>
          <w:b/>
        </w:rPr>
        <w:t>1.5. Ogólne wymagania dotyczące robót</w:t>
      </w:r>
    </w:p>
    <w:p w14:paraId="7964EDE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Ogólne wymagania dotyczące robót podano w ST D.00.00.00 „Wymagania ogólne” pkt 1.5.</w:t>
      </w:r>
    </w:p>
    <w:p w14:paraId="3007FCBB"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Wszystkie roboty powinny być wykonane zgodnie z Dokumentacją Projektową oraz </w:t>
      </w:r>
      <w:r w:rsidRPr="00CD7AE5">
        <w:rPr>
          <w:rFonts w:ascii="Times New Roman" w:hAnsi="Times New Roman" w:cs="Times New Roman"/>
        </w:rPr>
        <w:br/>
        <w:t>z zachowaniem wymagań niniejszej ST, wytycznymi zawartymi w Zeszycie nr 9 WTWiO dla sieci kanalizacyjnych. Niezbędne odstępstwa od Dokumentacji Projektowej wymagają akceptacji Inżyniera i zapisu w Dzienniku Budowy.</w:t>
      </w:r>
    </w:p>
    <w:p w14:paraId="3D7759CA"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t>2. MATERIAŁY</w:t>
      </w:r>
    </w:p>
    <w:p w14:paraId="26BC7BA4"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2.1. Ogólne wymagania dotyczące materiałów</w:t>
      </w:r>
    </w:p>
    <w:p w14:paraId="27E01394"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Ogólne wymagania dotyczące materiałów, ich pozyskiwania i składowania podano w niemniejszej SST. </w:t>
      </w:r>
    </w:p>
    <w:p w14:paraId="5A5BD5CD"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Stosować należy wyroby budowlane wprowadzone do obrotu zgodnie z ustawą o wyrobach budowlanych [15], tzn. jeżeli jest:</w:t>
      </w:r>
    </w:p>
    <w:p w14:paraId="10260CCA" w14:textId="77777777" w:rsidR="00D33C82" w:rsidRPr="00CD7AE5" w:rsidRDefault="00D33C82" w:rsidP="00FA7059">
      <w:pPr>
        <w:pStyle w:val="Akapitzlist"/>
        <w:numPr>
          <w:ilvl w:val="0"/>
          <w:numId w:val="62"/>
        </w:numPr>
        <w:tabs>
          <w:tab w:val="left" w:pos="1134"/>
        </w:tabs>
        <w:ind w:left="1134" w:hanging="283"/>
        <w:textAlignment w:val="auto"/>
        <w:rPr>
          <w:sz w:val="22"/>
          <w:szCs w:val="22"/>
        </w:rPr>
      </w:pPr>
      <w:r w:rsidRPr="00CD7AE5">
        <w:rPr>
          <w:sz w:val="22"/>
          <w:szCs w:val="22"/>
        </w:rPr>
        <w:t xml:space="preserve">oznakowany znakiem CE, co oznacza że dokonano oceny jego zgodności z normą zharmonizowaną albo europejską aprobatą techniczną, bądź krajową specyfikacją techniczną państwa członkowskiego UE lub EOG, uznaną przez KE za zgodną </w:t>
      </w:r>
      <w:r w:rsidRPr="00CD7AE5">
        <w:rPr>
          <w:sz w:val="22"/>
          <w:szCs w:val="22"/>
        </w:rPr>
        <w:br/>
        <w:t>z wymaganiami podstawowymi albo</w:t>
      </w:r>
    </w:p>
    <w:p w14:paraId="1EC569C4" w14:textId="77777777" w:rsidR="00D33C82" w:rsidRPr="00CD7AE5" w:rsidRDefault="00D33C82" w:rsidP="00FA7059">
      <w:pPr>
        <w:pStyle w:val="Akapitzlist"/>
        <w:numPr>
          <w:ilvl w:val="0"/>
          <w:numId w:val="62"/>
        </w:numPr>
        <w:tabs>
          <w:tab w:val="left" w:pos="1134"/>
        </w:tabs>
        <w:ind w:left="1134" w:hanging="283"/>
        <w:textAlignment w:val="auto"/>
        <w:rPr>
          <w:sz w:val="22"/>
          <w:szCs w:val="22"/>
        </w:rPr>
      </w:pPr>
      <w:r w:rsidRPr="00CD7AE5">
        <w:rPr>
          <w:sz w:val="22"/>
          <w:szCs w:val="22"/>
        </w:rPr>
        <w:t>umieszczony w określonym przez KE wykazie wyrobów mających niewielkie znaczenie dla zdrowia i bezpieczeństwa, dla których producent wydał deklarację zgodności z uznanymi regułami sztuk inżynierskiej lub</w:t>
      </w:r>
    </w:p>
    <w:p w14:paraId="16774984" w14:textId="77777777" w:rsidR="00D33C82" w:rsidRPr="00CD7AE5" w:rsidRDefault="00D33C82" w:rsidP="00FA7059">
      <w:pPr>
        <w:pStyle w:val="Akapitzlist"/>
        <w:numPr>
          <w:ilvl w:val="0"/>
          <w:numId w:val="62"/>
        </w:numPr>
        <w:tabs>
          <w:tab w:val="left" w:pos="1134"/>
        </w:tabs>
        <w:ind w:left="1353" w:hanging="578"/>
        <w:textAlignment w:val="auto"/>
        <w:rPr>
          <w:sz w:val="22"/>
          <w:szCs w:val="22"/>
        </w:rPr>
      </w:pPr>
      <w:r w:rsidRPr="00CD7AE5">
        <w:rPr>
          <w:sz w:val="22"/>
          <w:szCs w:val="22"/>
        </w:rPr>
        <w:t>oznakowanie z zastrzeżeniem ust. 4, znakiem budowlanym.</w:t>
      </w:r>
    </w:p>
    <w:p w14:paraId="794C011A" w14:textId="77777777" w:rsidR="00D33C82" w:rsidRPr="00CD7AE5" w:rsidRDefault="00D33C82" w:rsidP="00FA7059">
      <w:pPr>
        <w:pStyle w:val="Tekstpodstawowy"/>
        <w:rPr>
          <w:sz w:val="22"/>
          <w:szCs w:val="22"/>
        </w:rPr>
      </w:pPr>
      <w:r w:rsidRPr="00CD7AE5">
        <w:rPr>
          <w:sz w:val="22"/>
          <w:szCs w:val="22"/>
        </w:rPr>
        <w:tab/>
        <w:t>Wszystkie zakupione przez Wykonawcę materiały zastosowane do budowy sieci kanalizacji sanitarnej ciśnieniowej powinny odpowiadać normom krajowym zastąpionym, jeśli to możliwe, przez normy europejskie lub technicznym aprobatom europejskim. W przypadku braku norm krajowych lub technicznych aprobat europejskich elementy i materiały powinny odpowiadać wymaganiom odpowiednich specyfikacji.</w:t>
      </w:r>
    </w:p>
    <w:p w14:paraId="73D32C77"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2.2. Rury kanałowe</w:t>
      </w:r>
    </w:p>
    <w:p w14:paraId="075DD256" w14:textId="77777777" w:rsidR="00D33C82" w:rsidRPr="00CD7AE5" w:rsidRDefault="00D33C82" w:rsidP="00FA7059">
      <w:pPr>
        <w:overflowPunct w:val="0"/>
        <w:autoSpaceDE w:val="0"/>
        <w:autoSpaceDN w:val="0"/>
        <w:adjustRightInd w:val="0"/>
        <w:spacing w:after="200"/>
        <w:jc w:val="both"/>
        <w:rPr>
          <w:rFonts w:ascii="Times New Roman" w:hAnsi="Times New Roman" w:cs="Times New Roman"/>
        </w:rPr>
      </w:pPr>
      <w:r w:rsidRPr="00CD7AE5">
        <w:rPr>
          <w:rFonts w:ascii="Times New Roman" w:hAnsi="Times New Roman" w:cs="Times New Roman"/>
          <w:b/>
        </w:rPr>
        <w:t>2.2.1.</w:t>
      </w:r>
      <w:r w:rsidRPr="00CD7AE5">
        <w:rPr>
          <w:rFonts w:ascii="Times New Roman" w:hAnsi="Times New Roman" w:cs="Times New Roman"/>
        </w:rPr>
        <w:t xml:space="preserve"> Rury tworzywowe i kształtki:</w:t>
      </w:r>
    </w:p>
    <w:p w14:paraId="355ADF85" w14:textId="77777777" w:rsidR="00D33C82" w:rsidRPr="00CD7AE5" w:rsidRDefault="00D33C82" w:rsidP="00FA7059">
      <w:pPr>
        <w:pStyle w:val="Akapitzlist"/>
        <w:numPr>
          <w:ilvl w:val="0"/>
          <w:numId w:val="61"/>
        </w:numPr>
        <w:textAlignment w:val="auto"/>
        <w:rPr>
          <w:sz w:val="22"/>
          <w:szCs w:val="22"/>
        </w:rPr>
      </w:pPr>
      <w:r w:rsidRPr="00CD7AE5">
        <w:rPr>
          <w:sz w:val="22"/>
          <w:szCs w:val="22"/>
        </w:rPr>
        <w:t xml:space="preserve">rury przewodowe </w:t>
      </w:r>
      <w:r w:rsidRPr="00CD7AE5">
        <w:rPr>
          <w:color w:val="00000A"/>
          <w:sz w:val="22"/>
          <w:szCs w:val="22"/>
        </w:rPr>
        <w:t>PE100 PN16 SDR11 Dz90</w:t>
      </w:r>
    </w:p>
    <w:p w14:paraId="7A3DC695" w14:textId="77777777" w:rsidR="00D33C82" w:rsidRPr="00CD7AE5" w:rsidRDefault="00D33C82" w:rsidP="00FA7059">
      <w:pPr>
        <w:pStyle w:val="Akapitzlist"/>
        <w:numPr>
          <w:ilvl w:val="0"/>
          <w:numId w:val="61"/>
        </w:numPr>
        <w:textAlignment w:val="auto"/>
        <w:rPr>
          <w:sz w:val="22"/>
          <w:szCs w:val="22"/>
        </w:rPr>
      </w:pPr>
      <w:r w:rsidRPr="00CD7AE5">
        <w:rPr>
          <w:sz w:val="22"/>
          <w:szCs w:val="22"/>
        </w:rPr>
        <w:t xml:space="preserve">rury przewodowe </w:t>
      </w:r>
      <w:r w:rsidRPr="00CD7AE5">
        <w:rPr>
          <w:color w:val="00000A"/>
          <w:sz w:val="22"/>
          <w:szCs w:val="22"/>
        </w:rPr>
        <w:t>PE100 PN16 SDR11 Dz40</w:t>
      </w:r>
    </w:p>
    <w:p w14:paraId="2EF83718" w14:textId="77777777" w:rsidR="00D33C82" w:rsidRPr="00CD7AE5" w:rsidRDefault="00D33C82" w:rsidP="00FA7059">
      <w:pPr>
        <w:pStyle w:val="Akapitzlist"/>
        <w:rPr>
          <w:sz w:val="22"/>
          <w:szCs w:val="22"/>
        </w:rPr>
      </w:pPr>
    </w:p>
    <w:p w14:paraId="03665C0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 xml:space="preserve">zgodne z obowiązującymi odpowiednimi normą PN-EN 12201-1:2012. Stosować kształtki polietylenowe PE100 w typoszeregu SDR11, przeznaczone do zgrzewania elektrooporowego. Zastosowane kształtki powinny mieć taki sam SDR oraz wartość wskaźnika płynięcia jak zastosowane rury przewodowe. </w:t>
      </w:r>
    </w:p>
    <w:p w14:paraId="08E536E3"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2.2.2.</w:t>
      </w:r>
      <w:r w:rsidRPr="00CD7AE5">
        <w:rPr>
          <w:rFonts w:ascii="Times New Roman" w:hAnsi="Times New Roman" w:cs="Times New Roman"/>
        </w:rPr>
        <w:t xml:space="preserve"> Rura osłonowa</w:t>
      </w:r>
    </w:p>
    <w:p w14:paraId="5C775ABC" w14:textId="77777777" w:rsidR="00D33C82" w:rsidRPr="00CD7AE5" w:rsidRDefault="00D33C82" w:rsidP="00FA7059">
      <w:pPr>
        <w:overflowPunct w:val="0"/>
        <w:autoSpaceDE w:val="0"/>
        <w:autoSpaceDN w:val="0"/>
        <w:adjustRightInd w:val="0"/>
        <w:spacing w:before="120"/>
        <w:jc w:val="both"/>
        <w:rPr>
          <w:rFonts w:ascii="Times New Roman" w:hAnsi="Times New Roman" w:cs="Times New Roman"/>
        </w:rPr>
      </w:pPr>
      <w:r w:rsidRPr="00CD7AE5">
        <w:rPr>
          <w:rFonts w:ascii="Times New Roman" w:hAnsi="Times New Roman" w:cs="Times New Roman"/>
        </w:rPr>
        <w:tab/>
        <w:t>Na odcinkach przejścia rury kanalizacyjnej pod drogą wojewódzką nr 461 zabudować należy rury ochronne PEHD100 SDR11 Dz110. Będzie to konstrukcja samonośna.</w:t>
      </w:r>
    </w:p>
    <w:p w14:paraId="69E0C7F2" w14:textId="77777777" w:rsidR="00D33C82" w:rsidRPr="00CD7AE5" w:rsidRDefault="00D33C82" w:rsidP="00FA7059">
      <w:pPr>
        <w:overflowPunct w:val="0"/>
        <w:autoSpaceDE w:val="0"/>
        <w:autoSpaceDN w:val="0"/>
        <w:adjustRightInd w:val="0"/>
        <w:spacing w:before="120"/>
        <w:jc w:val="both"/>
        <w:rPr>
          <w:rFonts w:ascii="Times New Roman" w:hAnsi="Times New Roman" w:cs="Times New Roman"/>
        </w:rPr>
      </w:pPr>
      <w:r w:rsidRPr="00CD7AE5">
        <w:rPr>
          <w:rFonts w:ascii="Times New Roman" w:hAnsi="Times New Roman" w:cs="Times New Roman"/>
        </w:rPr>
        <w:lastRenderedPageBreak/>
        <w:t>Na odcinkach przejścia rury wodociągowej pod drogą wojewódzką nr 461 zabudować należy rury ochronne PEHD100 SDR11 Dz110. Będzie to konstrukcja samonośna.</w:t>
      </w:r>
    </w:p>
    <w:p w14:paraId="6F636D19"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2.2.1.</w:t>
      </w:r>
      <w:r w:rsidRPr="00CD7AE5">
        <w:rPr>
          <w:rFonts w:ascii="Times New Roman" w:hAnsi="Times New Roman" w:cs="Times New Roman"/>
        </w:rPr>
        <w:t xml:space="preserve"> Uszczelnienie końców przepustu rurowego</w:t>
      </w:r>
    </w:p>
    <w:p w14:paraId="545D3E49" w14:textId="77777777" w:rsidR="00D33C82" w:rsidRDefault="00D33C82" w:rsidP="00FA7059">
      <w:pPr>
        <w:overflowPunct w:val="0"/>
        <w:autoSpaceDE w:val="0"/>
        <w:autoSpaceDN w:val="0"/>
        <w:adjustRightInd w:val="0"/>
        <w:spacing w:before="120"/>
        <w:jc w:val="both"/>
        <w:rPr>
          <w:rFonts w:ascii="Times New Roman" w:hAnsi="Times New Roman" w:cs="Times New Roman"/>
        </w:rPr>
      </w:pPr>
      <w:r w:rsidRPr="00CD7AE5">
        <w:rPr>
          <w:rFonts w:ascii="Times New Roman" w:hAnsi="Times New Roman" w:cs="Times New Roman"/>
        </w:rPr>
        <w:tab/>
        <w:t>Końce rury ochronnej zabezpieczyć należy za pomocą manszet z EPDM. Rurę przewodową do rury osłonowej wprowadzać za pomocą płóz centrujących.</w:t>
      </w:r>
    </w:p>
    <w:p w14:paraId="182B4712"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2.4. Składowanie materiałów</w:t>
      </w:r>
    </w:p>
    <w:p w14:paraId="4F523B21" w14:textId="77777777" w:rsidR="00D33C82" w:rsidRPr="00CD7AE5" w:rsidRDefault="00D33C82" w:rsidP="00FA7059">
      <w:pPr>
        <w:overflowPunct w:val="0"/>
        <w:autoSpaceDE w:val="0"/>
        <w:autoSpaceDN w:val="0"/>
        <w:adjustRightInd w:val="0"/>
        <w:spacing w:after="120"/>
        <w:jc w:val="both"/>
        <w:rPr>
          <w:rFonts w:ascii="Times New Roman" w:hAnsi="Times New Roman" w:cs="Times New Roman"/>
        </w:rPr>
      </w:pPr>
      <w:r w:rsidRPr="00CD7AE5">
        <w:rPr>
          <w:rFonts w:ascii="Times New Roman" w:hAnsi="Times New Roman" w:cs="Times New Roman"/>
          <w:b/>
        </w:rPr>
        <w:t>2.4.1.</w:t>
      </w:r>
      <w:r w:rsidRPr="00CD7AE5">
        <w:rPr>
          <w:rFonts w:ascii="Times New Roman" w:hAnsi="Times New Roman" w:cs="Times New Roman"/>
        </w:rPr>
        <w:t xml:space="preserve"> Rury kanałowe. Kształtki</w:t>
      </w:r>
    </w:p>
    <w:p w14:paraId="20B346AB" w14:textId="77777777" w:rsidR="00D33C82" w:rsidRPr="00CD7AE5" w:rsidRDefault="00D33C82" w:rsidP="00FA7059">
      <w:pPr>
        <w:keepNext/>
        <w:overflowPunct w:val="0"/>
        <w:autoSpaceDE w:val="0"/>
        <w:autoSpaceDN w:val="0"/>
        <w:adjustRightInd w:val="0"/>
        <w:spacing w:before="120" w:after="120"/>
        <w:jc w:val="both"/>
        <w:outlineLvl w:val="1"/>
        <w:rPr>
          <w:rFonts w:ascii="Times New Roman" w:hAnsi="Times New Roman" w:cs="Times New Roman"/>
        </w:rPr>
      </w:pPr>
      <w:r w:rsidRPr="00CD7AE5">
        <w:rPr>
          <w:rFonts w:ascii="Times New Roman" w:hAnsi="Times New Roman" w:cs="Times New Roman"/>
        </w:rPr>
        <w:t>Rury polietylenowe</w:t>
      </w:r>
    </w:p>
    <w:p w14:paraId="18AAD442"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Składowanie rur powinno odbywać się na równym gładkim podłożu bez kamieni i przedmiotów o ostrych krawędziach.</w:t>
      </w:r>
    </w:p>
    <w:p w14:paraId="6C9D9C0D"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Oryginalnie zapakowane wiązki rur można składować po trzy, jedna na drugiej do wysokości maksymalnej 3 m, przy czym ramki wiązek winny spoczywać na sobie, luźne rury lub niepełne wiązki można składować w stosach na równym podłożu, na podkładach drewnianych o szerokości min. 10 cm, grubość min. 2,5cm i rozstawie, co 1 – 2 m. Stosy powinny być z boku zabezpieczone przez drewniane wsporniki, zamocowane w odstępach, co 1- 2 m. Wysokość układania rur w stosy nie powinna przekraczać 7 warstw rur i 1,5 m wysokości. Rury o różnych średnicach winny być składowane odrębnie.</w:t>
      </w:r>
    </w:p>
    <w:p w14:paraId="757881C6"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Rury i kształtki należy w okresie przechowywania chronić przed bezpośrednim działaniem promieniowania słonecznego i w temperaturach nie przekraczających 40ºC. Przy długotrwałym składowaniu (kilka miesięcy lub dłużej) rury powinny być chronione przed działaniem światła słonecznego przez przykrycie składu plandekami brezentowymi lub innym materiałem (np. folią nieprzeźroczystą z PVC lub PE) lub wykonać zadaszenie. Należy zapewnić cyrkulację powietrza pod powłoką ochronną, aby rury nie nagrzewały się i nie ulegały deformacji.</w:t>
      </w:r>
    </w:p>
    <w:p w14:paraId="2B178E3B" w14:textId="77777777" w:rsidR="00D33C82" w:rsidRPr="00CD7AE5" w:rsidRDefault="00D33C82" w:rsidP="00FA7059">
      <w:pPr>
        <w:keepNext/>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2.4.2.</w:t>
      </w:r>
      <w:r w:rsidRPr="00CD7AE5">
        <w:rPr>
          <w:rFonts w:ascii="Times New Roman" w:hAnsi="Times New Roman" w:cs="Times New Roman"/>
        </w:rPr>
        <w:t xml:space="preserve"> Rura osłonowa </w:t>
      </w:r>
    </w:p>
    <w:p w14:paraId="41B8264E" w14:textId="77777777" w:rsidR="00D33C82" w:rsidRPr="00CD7AE5" w:rsidRDefault="00D33C82" w:rsidP="00FA7059">
      <w:pPr>
        <w:pStyle w:val="Akapitzlist"/>
        <w:numPr>
          <w:ilvl w:val="0"/>
          <w:numId w:val="61"/>
        </w:numPr>
        <w:textAlignment w:val="auto"/>
        <w:rPr>
          <w:sz w:val="22"/>
          <w:szCs w:val="22"/>
        </w:rPr>
      </w:pPr>
      <w:r w:rsidRPr="00CD7AE5">
        <w:rPr>
          <w:sz w:val="22"/>
          <w:szCs w:val="22"/>
        </w:rPr>
        <w:t>Powierzchnia składowania powinna być równa, bez znajdujących się na niej korodujących przedmiotów. Miejsce składowania powinno być zlokalizowane na terenie płaskim o stabilnym podłożu. Nie należy układać rur bezpośrednio na gruncie.</w:t>
      </w:r>
    </w:p>
    <w:p w14:paraId="50A25301" w14:textId="77777777" w:rsidR="00D33C82" w:rsidRPr="00CD7AE5" w:rsidRDefault="00D33C82" w:rsidP="00FA7059">
      <w:pPr>
        <w:pStyle w:val="Akapitzlist"/>
        <w:numPr>
          <w:ilvl w:val="0"/>
          <w:numId w:val="61"/>
        </w:numPr>
        <w:textAlignment w:val="auto"/>
        <w:rPr>
          <w:sz w:val="22"/>
          <w:szCs w:val="22"/>
        </w:rPr>
      </w:pPr>
      <w:r w:rsidRPr="00CD7AE5">
        <w:rPr>
          <w:sz w:val="22"/>
          <w:szCs w:val="22"/>
        </w:rPr>
        <w:t>Przed składowaniem trzeba sprawdzić rury na obecność uszkodzeń wewnętrznej lub zewnętrznej powłoki, w przypadku znalezienia trzeba je zabezpieczyć.</w:t>
      </w:r>
    </w:p>
    <w:p w14:paraId="7E5730F1" w14:textId="77777777" w:rsidR="00D33C82" w:rsidRPr="00CD7AE5" w:rsidRDefault="00D33C82" w:rsidP="00FA7059">
      <w:pPr>
        <w:pStyle w:val="Akapitzlist"/>
        <w:numPr>
          <w:ilvl w:val="0"/>
          <w:numId w:val="61"/>
        </w:numPr>
        <w:textAlignment w:val="auto"/>
        <w:rPr>
          <w:sz w:val="22"/>
          <w:szCs w:val="22"/>
        </w:rPr>
      </w:pPr>
      <w:r w:rsidRPr="00CD7AE5">
        <w:rPr>
          <w:sz w:val="22"/>
          <w:szCs w:val="22"/>
        </w:rPr>
        <w:t>Czas poziomowego składowania rur w miarę możliwości musi być zminimalizowany. W innych przypadkach rury muszą być zabezpieczone przed wpływem promieni słonecznych oraz czynników mechanicznych oraz atmosferycznych.</w:t>
      </w:r>
    </w:p>
    <w:p w14:paraId="71FD76BF" w14:textId="77777777" w:rsidR="00D33C82" w:rsidRPr="00CD7AE5" w:rsidRDefault="00D33C82" w:rsidP="00FA7059">
      <w:pPr>
        <w:pStyle w:val="Akapitzlist"/>
        <w:numPr>
          <w:ilvl w:val="0"/>
          <w:numId w:val="61"/>
        </w:numPr>
        <w:spacing w:after="240"/>
        <w:textAlignment w:val="auto"/>
        <w:rPr>
          <w:sz w:val="22"/>
          <w:szCs w:val="22"/>
        </w:rPr>
      </w:pPr>
      <w:r w:rsidRPr="00CD7AE5">
        <w:rPr>
          <w:sz w:val="22"/>
          <w:szCs w:val="22"/>
        </w:rPr>
        <w:t>W przypadku przenoszenia rur hak dźwigu musi być zabezpieczony (np. osłoną gumową), lub przenoszenie powinno się odbywać przy użyciu pasów celem unikania uszkodzeń wewnętrznej oraz zewnętrznej powłoki.</w:t>
      </w:r>
    </w:p>
    <w:p w14:paraId="23C17E7D"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2.4.3.</w:t>
      </w:r>
      <w:r w:rsidRPr="00CD7AE5">
        <w:rPr>
          <w:rFonts w:ascii="Times New Roman" w:hAnsi="Times New Roman" w:cs="Times New Roman"/>
        </w:rPr>
        <w:t xml:space="preserve"> Uszczelnienie końców przepustu rurowego</w:t>
      </w:r>
    </w:p>
    <w:p w14:paraId="511E5A0D" w14:textId="77777777" w:rsidR="00D33C82" w:rsidRPr="00CD7AE5" w:rsidRDefault="00D33C82" w:rsidP="00FA7059">
      <w:pPr>
        <w:keepNext/>
        <w:overflowPunct w:val="0"/>
        <w:autoSpaceDE w:val="0"/>
        <w:autoSpaceDN w:val="0"/>
        <w:adjustRightInd w:val="0"/>
        <w:spacing w:before="120" w:after="120"/>
        <w:jc w:val="both"/>
        <w:rPr>
          <w:rFonts w:ascii="Times New Roman" w:hAnsi="Times New Roman" w:cs="Times New Roman"/>
        </w:rPr>
      </w:pPr>
      <w:r w:rsidRPr="00CD7AE5">
        <w:rPr>
          <w:rFonts w:ascii="Times New Roman" w:hAnsi="Times New Roman" w:cs="Times New Roman"/>
        </w:rPr>
        <w:tab/>
        <w:t xml:space="preserve">Manszety przechowywać w miejscach nienarażonych na działanie niekorzystnych czynników środowiska. </w:t>
      </w:r>
    </w:p>
    <w:p w14:paraId="147179FE"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2.4.4.</w:t>
      </w:r>
      <w:r w:rsidRPr="00CD7AE5">
        <w:rPr>
          <w:rFonts w:ascii="Times New Roman" w:hAnsi="Times New Roman" w:cs="Times New Roman"/>
        </w:rPr>
        <w:t xml:space="preserve"> Kruszywo</w:t>
      </w:r>
    </w:p>
    <w:p w14:paraId="6061D3DF" w14:textId="77777777" w:rsidR="00D33C82" w:rsidRPr="00CD7AE5" w:rsidRDefault="00D33C82" w:rsidP="00FA7059">
      <w:pPr>
        <w:overflowPunct w:val="0"/>
        <w:autoSpaceDE w:val="0"/>
        <w:autoSpaceDN w:val="0"/>
        <w:adjustRightInd w:val="0"/>
        <w:spacing w:after="240"/>
        <w:jc w:val="both"/>
        <w:rPr>
          <w:rFonts w:ascii="Times New Roman" w:hAnsi="Times New Roman" w:cs="Times New Roman"/>
        </w:rPr>
      </w:pPr>
      <w:r w:rsidRPr="00CD7AE5">
        <w:rPr>
          <w:rFonts w:ascii="Times New Roman" w:hAnsi="Times New Roman" w:cs="Times New Roman"/>
        </w:rPr>
        <w:tab/>
        <w:t>Kruszywo należy składować na utwardzonym i odwodnionym podłożu w sposób zabezpieczający je przed zanieczyszczeniem i zmieszaniem z innymi rodzajami i frakcjami kruszyw.</w:t>
      </w:r>
    </w:p>
    <w:p w14:paraId="240A009C"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lastRenderedPageBreak/>
        <w:t>3. SPRZĘT</w:t>
      </w:r>
    </w:p>
    <w:p w14:paraId="2EC6180C"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3.1. Ogólne wymagania dotyczące sprzętu</w:t>
      </w:r>
    </w:p>
    <w:p w14:paraId="009540C1"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Ogólne wymagania dotyczące sprzętu podano w ST D.00.00.00 „Wymagania ogólne” pkt3.</w:t>
      </w:r>
    </w:p>
    <w:p w14:paraId="78E1EF05" w14:textId="77777777" w:rsidR="00D33C82" w:rsidRPr="00CD7AE5" w:rsidRDefault="00D33C82" w:rsidP="00FA7059">
      <w:pPr>
        <w:overflowPunct w:val="0"/>
        <w:autoSpaceDE w:val="0"/>
        <w:autoSpaceDN w:val="0"/>
        <w:adjustRightInd w:val="0"/>
        <w:jc w:val="both"/>
        <w:rPr>
          <w:rFonts w:ascii="Times New Roman" w:hAnsi="Times New Roman" w:cs="Times New Roman"/>
        </w:rPr>
      </w:pPr>
    </w:p>
    <w:p w14:paraId="0E9B9AE4"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3.2. Sprzęt do wykonania kanalizacji sanitarnej</w:t>
      </w:r>
    </w:p>
    <w:p w14:paraId="0291D674"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Wykonawca przystępujący do wykonania kanalizacji sanitarnej powinien wykazać się możliwością korzystania z następującego sprzętu:</w:t>
      </w:r>
    </w:p>
    <w:p w14:paraId="2FDCC768"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żurawi budowlanych samochodowych,</w:t>
      </w:r>
    </w:p>
    <w:p w14:paraId="43DA9B27"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koparek przedsiębiernych,</w:t>
      </w:r>
    </w:p>
    <w:p w14:paraId="347F04C1"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spycharek kołowych lub gąsienicowych,</w:t>
      </w:r>
    </w:p>
    <w:p w14:paraId="07E634F0"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sprzętu do zagęszczania gruntu,</w:t>
      </w:r>
    </w:p>
    <w:p w14:paraId="25897FFB"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wciągarek mechanicznych,</w:t>
      </w:r>
    </w:p>
    <w:p w14:paraId="26FF7AC8"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beczkowozów,</w:t>
      </w:r>
    </w:p>
    <w:p w14:paraId="3215FFC8"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zgrzewarek do rur PE.</w:t>
      </w:r>
    </w:p>
    <w:p w14:paraId="11026D2E" w14:textId="77777777" w:rsidR="00D33C82" w:rsidRPr="00CD7AE5" w:rsidRDefault="00D33C82" w:rsidP="00FA7059">
      <w:pPr>
        <w:overflowPunct w:val="0"/>
        <w:autoSpaceDE w:val="0"/>
        <w:autoSpaceDN w:val="0"/>
        <w:adjustRightInd w:val="0"/>
        <w:ind w:left="283"/>
        <w:jc w:val="both"/>
        <w:rPr>
          <w:rFonts w:ascii="Times New Roman" w:hAnsi="Times New Roman" w:cs="Times New Roman"/>
        </w:rPr>
      </w:pPr>
    </w:p>
    <w:p w14:paraId="2523492A" w14:textId="77777777" w:rsidR="00D33C82" w:rsidRPr="00CD7AE5" w:rsidRDefault="00D33C82" w:rsidP="00FA7059">
      <w:pPr>
        <w:keepNext/>
        <w:keepLines/>
        <w:suppressAutoHyphens/>
        <w:overflowPunct w:val="0"/>
        <w:autoSpaceDE w:val="0"/>
        <w:autoSpaceDN w:val="0"/>
        <w:adjustRightInd w:val="0"/>
        <w:spacing w:after="200"/>
        <w:jc w:val="both"/>
        <w:outlineLvl w:val="0"/>
        <w:rPr>
          <w:rFonts w:ascii="Times New Roman" w:hAnsi="Times New Roman" w:cs="Times New Roman"/>
          <w:b/>
          <w:caps/>
          <w:kern w:val="28"/>
        </w:rPr>
      </w:pPr>
      <w:r w:rsidRPr="00CD7AE5">
        <w:rPr>
          <w:rFonts w:ascii="Times New Roman" w:hAnsi="Times New Roman" w:cs="Times New Roman"/>
          <w:b/>
          <w:caps/>
          <w:kern w:val="28"/>
        </w:rPr>
        <w:t>4. TRANSPORT</w:t>
      </w:r>
    </w:p>
    <w:p w14:paraId="55BAA6B9" w14:textId="77777777" w:rsidR="00D33C82" w:rsidRPr="00CD7AE5" w:rsidRDefault="00D33C82" w:rsidP="00FA7059">
      <w:pPr>
        <w:keepNext/>
        <w:overflowPunct w:val="0"/>
        <w:autoSpaceDE w:val="0"/>
        <w:autoSpaceDN w:val="0"/>
        <w:adjustRightInd w:val="0"/>
        <w:spacing w:before="120" w:after="200"/>
        <w:jc w:val="both"/>
        <w:outlineLvl w:val="1"/>
        <w:rPr>
          <w:rFonts w:ascii="Times New Roman" w:hAnsi="Times New Roman" w:cs="Times New Roman"/>
          <w:b/>
        </w:rPr>
      </w:pPr>
      <w:r w:rsidRPr="00CD7AE5">
        <w:rPr>
          <w:rFonts w:ascii="Times New Roman" w:hAnsi="Times New Roman" w:cs="Times New Roman"/>
          <w:b/>
        </w:rPr>
        <w:t>4.1. Ogólne wymagania dotyczące transportu</w:t>
      </w:r>
    </w:p>
    <w:p w14:paraId="749AF892" w14:textId="77777777" w:rsidR="00D33C82" w:rsidRPr="00CD7AE5" w:rsidRDefault="00D33C82" w:rsidP="00FA7059">
      <w:pPr>
        <w:overflowPunct w:val="0"/>
        <w:autoSpaceDE w:val="0"/>
        <w:autoSpaceDN w:val="0"/>
        <w:adjustRightInd w:val="0"/>
        <w:spacing w:after="200"/>
        <w:jc w:val="both"/>
        <w:rPr>
          <w:rFonts w:ascii="Times New Roman" w:hAnsi="Times New Roman" w:cs="Times New Roman"/>
        </w:rPr>
      </w:pPr>
      <w:r w:rsidRPr="00CD7AE5">
        <w:rPr>
          <w:rFonts w:ascii="Times New Roman" w:hAnsi="Times New Roman" w:cs="Times New Roman"/>
        </w:rPr>
        <w:tab/>
        <w:t>Ogólne wymagania dotyczące transportu podano w ST .00.00.00 „Wymagania ogólne” pkt 4.</w:t>
      </w:r>
    </w:p>
    <w:p w14:paraId="783EF26B" w14:textId="77777777" w:rsidR="00D33C82" w:rsidRPr="00CD7AE5" w:rsidRDefault="00D33C82" w:rsidP="00FA7059">
      <w:pPr>
        <w:keepNext/>
        <w:overflowPunct w:val="0"/>
        <w:autoSpaceDE w:val="0"/>
        <w:autoSpaceDN w:val="0"/>
        <w:adjustRightInd w:val="0"/>
        <w:spacing w:after="200"/>
        <w:jc w:val="both"/>
        <w:outlineLvl w:val="1"/>
        <w:rPr>
          <w:rFonts w:ascii="Times New Roman" w:hAnsi="Times New Roman" w:cs="Times New Roman"/>
          <w:b/>
        </w:rPr>
      </w:pPr>
      <w:r w:rsidRPr="00CD7AE5">
        <w:rPr>
          <w:rFonts w:ascii="Times New Roman" w:hAnsi="Times New Roman" w:cs="Times New Roman"/>
          <w:b/>
        </w:rPr>
        <w:t>4.2. Transport rur kanałowych</w:t>
      </w:r>
    </w:p>
    <w:p w14:paraId="21E6FCF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Należy przestrzegać następujących zasad transportu rur kanałowych:</w:t>
      </w:r>
    </w:p>
    <w:p w14:paraId="35836094"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załadunek i rozładunek rur powinien być prowadzony ze szczególną uwagą; niedopuszczalnym jest np. zrzucanie rur z samochodu,</w:t>
      </w:r>
    </w:p>
    <w:p w14:paraId="0C1CE73C"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rury o mniejszych średnicach można przenosić bez użycia sprzętu,</w:t>
      </w:r>
    </w:p>
    <w:p w14:paraId="4BDF97A0"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niedopuszczalne jest ciągnięcie rury po ziemi; należy chronić rurę przed kontaktem z ostrymi krawędziami;</w:t>
      </w:r>
    </w:p>
    <w:p w14:paraId="5BC8C31E"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rury o mniejszych średnicach można wkładać do wykopu bez sprzętu pomocniczego,</w:t>
      </w:r>
    </w:p>
    <w:p w14:paraId="3FF2489D" w14:textId="77777777" w:rsidR="00D33C82" w:rsidRPr="00CD7AE5" w:rsidRDefault="00D33C82" w:rsidP="00FA7059">
      <w:pPr>
        <w:numPr>
          <w:ilvl w:val="0"/>
          <w:numId w:val="23"/>
        </w:numPr>
        <w:overflowPunct w:val="0"/>
        <w:autoSpaceDE w:val="0"/>
        <w:autoSpaceDN w:val="0"/>
        <w:adjustRightInd w:val="0"/>
        <w:spacing w:after="240" w:line="240" w:lineRule="auto"/>
        <w:jc w:val="both"/>
        <w:rPr>
          <w:rFonts w:ascii="Times New Roman" w:hAnsi="Times New Roman" w:cs="Times New Roman"/>
        </w:rPr>
      </w:pPr>
      <w:r w:rsidRPr="00CD7AE5">
        <w:rPr>
          <w:rFonts w:ascii="Times New Roman" w:hAnsi="Times New Roman" w:cs="Times New Roman"/>
        </w:rPr>
        <w:t xml:space="preserve">w przypadku rur o większych średnicach może być konieczne użycie pasów (lin). </w:t>
      </w:r>
    </w:p>
    <w:p w14:paraId="4CD88C65" w14:textId="77777777" w:rsidR="00D33C82" w:rsidRPr="00CD7AE5" w:rsidRDefault="00D33C82" w:rsidP="00FA7059">
      <w:pPr>
        <w:overflowPunct w:val="0"/>
        <w:autoSpaceDE w:val="0"/>
        <w:autoSpaceDN w:val="0"/>
        <w:adjustRightInd w:val="0"/>
        <w:jc w:val="both"/>
        <w:rPr>
          <w:rFonts w:ascii="Times New Roman" w:hAnsi="Times New Roman" w:cs="Times New Roman"/>
        </w:rPr>
      </w:pPr>
    </w:p>
    <w:p w14:paraId="2A8EE4F8" w14:textId="77777777" w:rsidR="00D33C82" w:rsidRPr="00CD7AE5" w:rsidRDefault="00D33C82" w:rsidP="00FA7059">
      <w:pPr>
        <w:overflowPunct w:val="0"/>
        <w:autoSpaceDE w:val="0"/>
        <w:autoSpaceDN w:val="0"/>
        <w:adjustRightInd w:val="0"/>
        <w:spacing w:after="200"/>
        <w:jc w:val="both"/>
        <w:rPr>
          <w:rFonts w:ascii="Times New Roman" w:hAnsi="Times New Roman" w:cs="Times New Roman"/>
        </w:rPr>
      </w:pPr>
      <w:r w:rsidRPr="00CD7AE5">
        <w:rPr>
          <w:rFonts w:ascii="Times New Roman" w:hAnsi="Times New Roman" w:cs="Times New Roman"/>
          <w:b/>
        </w:rPr>
        <w:t>4.2.2.</w:t>
      </w:r>
      <w:r w:rsidRPr="00CD7AE5">
        <w:rPr>
          <w:rFonts w:ascii="Times New Roman" w:hAnsi="Times New Roman" w:cs="Times New Roman"/>
        </w:rPr>
        <w:t xml:space="preserve"> Transport rury ochronnej </w:t>
      </w:r>
    </w:p>
    <w:p w14:paraId="46F2D59C"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Należy przestrzegać następujących zasad ogólnych:</w:t>
      </w:r>
    </w:p>
    <w:p w14:paraId="6CF9A181"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rury należy przewozić wyłącznie samochodami skrzyniowymi lub pojazdami posiadającymi boczne wsporniki o maksymalnym rozstawie 2 m.</w:t>
      </w:r>
    </w:p>
    <w:p w14:paraId="3FB5B7EA"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jeżeli przewożone są luźne rury, to przy ich układaniu w stosy na samochodzie wysokość ładunku nie powinna przekraczać 1m.</w:t>
      </w:r>
    </w:p>
    <w:p w14:paraId="395D7522"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podczas transportu rury powinny być zabezpieczone przed uszkodzeniem przez części środków transportu takie jak śruby, łańcuchy itp.</w:t>
      </w:r>
    </w:p>
    <w:p w14:paraId="51636D1F"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podczas transportu rury powinny być trwale zabezpieczone przed przemieszczeniem.</w:t>
      </w:r>
    </w:p>
    <w:p w14:paraId="6E5E1AF2"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do rozładunku należy stosować urządzenia podnoszące o odpowiednim udźwigu.</w:t>
      </w:r>
    </w:p>
    <w:p w14:paraId="2B3CAA34" w14:textId="77777777" w:rsidR="00D33C82" w:rsidRDefault="00D33C82" w:rsidP="00FA7059">
      <w:pPr>
        <w:overflowPunct w:val="0"/>
        <w:autoSpaceDE w:val="0"/>
        <w:autoSpaceDN w:val="0"/>
        <w:adjustRightInd w:val="0"/>
        <w:spacing w:after="200"/>
        <w:jc w:val="both"/>
        <w:rPr>
          <w:rFonts w:ascii="Times New Roman" w:hAnsi="Times New Roman" w:cs="Times New Roman"/>
          <w:b/>
        </w:rPr>
      </w:pPr>
    </w:p>
    <w:p w14:paraId="515A6322" w14:textId="77777777" w:rsidR="00D33C82" w:rsidRPr="00CD7AE5" w:rsidRDefault="00D33C82" w:rsidP="00FA7059">
      <w:pPr>
        <w:overflowPunct w:val="0"/>
        <w:autoSpaceDE w:val="0"/>
        <w:autoSpaceDN w:val="0"/>
        <w:adjustRightInd w:val="0"/>
        <w:spacing w:after="200"/>
        <w:jc w:val="both"/>
        <w:rPr>
          <w:rFonts w:ascii="Times New Roman" w:hAnsi="Times New Roman" w:cs="Times New Roman"/>
        </w:rPr>
      </w:pPr>
      <w:r w:rsidRPr="00CD7AE5">
        <w:rPr>
          <w:rFonts w:ascii="Times New Roman" w:hAnsi="Times New Roman" w:cs="Times New Roman"/>
          <w:b/>
        </w:rPr>
        <w:t>4.2.3.</w:t>
      </w:r>
      <w:r w:rsidRPr="00CD7AE5">
        <w:rPr>
          <w:rFonts w:ascii="Times New Roman" w:hAnsi="Times New Roman" w:cs="Times New Roman"/>
        </w:rPr>
        <w:t xml:space="preserve"> Transport uszczelnienia końców przepustu rurowego</w:t>
      </w:r>
    </w:p>
    <w:p w14:paraId="1399EBD1"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lastRenderedPageBreak/>
        <w:tab/>
        <w:t>Manszety uszczelniające przewozić należy w sposób niepowodujący ich uszkodzenia.</w:t>
      </w:r>
    </w:p>
    <w:p w14:paraId="12F869F3"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4.3. Transport kruszyw</w:t>
      </w:r>
    </w:p>
    <w:p w14:paraId="5F054B85"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Kruszywa mogą być przewożone dowolnymi środkami transportu, w sposób zabezpieczający je przed zanieczyszczen</w:t>
      </w:r>
      <w:r w:rsidR="00BF5EB5">
        <w:rPr>
          <w:rFonts w:ascii="Times New Roman" w:hAnsi="Times New Roman" w:cs="Times New Roman"/>
        </w:rPr>
        <w:t>iem i nadmiernym zawilgoceniem.</w:t>
      </w:r>
    </w:p>
    <w:p w14:paraId="692F08A7"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t>5. WYKONANIE ROBÓT</w:t>
      </w:r>
    </w:p>
    <w:p w14:paraId="4C6BD89E"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5.1. Ogólne zasady wykonania robót</w:t>
      </w:r>
    </w:p>
    <w:p w14:paraId="6061F91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Ogólne zasady wykonania robót podano w ST D.00.00.00 „Wymagania ogólne” pkt 5.</w:t>
      </w:r>
    </w:p>
    <w:p w14:paraId="299DE370"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5.2. Roboty przygotowawcze</w:t>
      </w:r>
    </w:p>
    <w:p w14:paraId="292B11BC"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Przed przystąpieniem do robót Wykonawca dokona ich wytyczenia i trwale oznaczy je </w:t>
      </w:r>
      <w:r w:rsidRPr="00CD7AE5">
        <w:rPr>
          <w:rFonts w:ascii="Times New Roman" w:hAnsi="Times New Roman" w:cs="Times New Roman"/>
        </w:rPr>
        <w:br/>
        <w:t>w terenie za pomocą kołków osiowych, kołków świadków i kołków krawędziowych.</w:t>
      </w:r>
    </w:p>
    <w:p w14:paraId="74542F2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 przypadku niedostatecznej ilości reperów stałych, Wykonawca wbuduje repery tymczasowe (z rzędnymi sprawdzonymi przez służby geodezyjne), a szkice sytuacyjne reperów i ich rzędne przekaże Inżynierowi.</w:t>
      </w:r>
    </w:p>
    <w:p w14:paraId="5CA23E3D"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5.3. Roboty ziemne</w:t>
      </w:r>
    </w:p>
    <w:p w14:paraId="573A9E3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Wykopy należy wykonać jako wykopy otwarte obudowane. Metody wykonania robót - wykopu (ręcznie lub mechanicznie) powinny być dostosowane do głębokości wykopu, danych geotechnicznych oraz posiadanego sprzętu mechanicznego.</w:t>
      </w:r>
    </w:p>
    <w:p w14:paraId="7ED4D86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Szerokość wykopu uwarunkowana jest zewnętrznymi wymiarami kanału, do których dodaje się obustronnie minimum 0,3 m jako zapas potrzebny na deskowanie ścian i uszczelnienie styków. Deskowanie ścian należy prowadzić w miarę jego głębienia. Wydobyty grunt z wykopu powinien być wywieziony przez Wykonawcę na odkład.</w:t>
      </w:r>
    </w:p>
    <w:p w14:paraId="467EF69B"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Dno wykopu powinno być równe i wykonane ze spadkiem ustalonym w dokumentacji projektowej, przy czym dno wykopu Wykonawca wykona na poziomie wyższym od rzędnej projektowanej o </w:t>
      </w:r>
      <w:smartTag w:uri="urn:schemas-microsoft-com:office:smarttags" w:element="metricconverter">
        <w:smartTagPr>
          <w:attr w:name="ProductID" w:val="0,20 m"/>
        </w:smartTagPr>
        <w:r w:rsidRPr="00CD7AE5">
          <w:rPr>
            <w:rFonts w:ascii="Times New Roman" w:hAnsi="Times New Roman" w:cs="Times New Roman"/>
          </w:rPr>
          <w:t>0,20 m</w:t>
        </w:r>
      </w:smartTag>
      <w:r w:rsidRPr="00CD7AE5">
        <w:rPr>
          <w:rFonts w:ascii="Times New Roman" w:hAnsi="Times New Roman" w:cs="Times New Roman"/>
        </w:rPr>
        <w:t>.</w:t>
      </w:r>
    </w:p>
    <w:p w14:paraId="0FC776A6" w14:textId="77777777" w:rsidR="00D33C82" w:rsidRPr="00CD7AE5" w:rsidRDefault="00D33C82" w:rsidP="00FA7059">
      <w:pPr>
        <w:overflowPunct w:val="0"/>
        <w:autoSpaceDE w:val="0"/>
        <w:autoSpaceDN w:val="0"/>
        <w:adjustRightInd w:val="0"/>
        <w:ind w:firstLine="709"/>
        <w:jc w:val="both"/>
        <w:rPr>
          <w:rFonts w:ascii="Times New Roman" w:hAnsi="Times New Roman" w:cs="Times New Roman"/>
        </w:rPr>
      </w:pPr>
      <w:r w:rsidRPr="00CD7AE5">
        <w:rPr>
          <w:rFonts w:ascii="Times New Roman" w:hAnsi="Times New Roman" w:cs="Times New Roman"/>
        </w:rPr>
        <w:t xml:space="preserve">Zdjęcie pozostawionej warstwy </w:t>
      </w:r>
      <w:smartTag w:uri="urn:schemas-microsoft-com:office:smarttags" w:element="metricconverter">
        <w:smartTagPr>
          <w:attr w:name="ProductID" w:val="0,20 m"/>
        </w:smartTagPr>
        <w:r w:rsidRPr="00CD7AE5">
          <w:rPr>
            <w:rFonts w:ascii="Times New Roman" w:hAnsi="Times New Roman" w:cs="Times New Roman"/>
          </w:rPr>
          <w:t>0,20 m</w:t>
        </w:r>
      </w:smartTag>
      <w:r w:rsidRPr="00CD7AE5">
        <w:rPr>
          <w:rFonts w:ascii="Times New Roman" w:hAnsi="Times New Roman" w:cs="Times New Roman"/>
        </w:rPr>
        <w:t xml:space="preserve"> gruntu powinno być wykonane bezpośrednio przed ułożeniem przewodów rurowych. Zdjęcie tej warstwy Wykonawca wykona ręcznie lub w sposób uzgodniony z Inżynierem.</w:t>
      </w:r>
    </w:p>
    <w:p w14:paraId="721F65B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W gruntach skalistych dno wykopu powinno być wykonane od  0,10 do </w:t>
      </w:r>
      <w:smartTag w:uri="urn:schemas-microsoft-com:office:smarttags" w:element="metricconverter">
        <w:smartTagPr>
          <w:attr w:name="ProductID" w:val="0,15 m"/>
        </w:smartTagPr>
        <w:r w:rsidRPr="00CD7AE5">
          <w:rPr>
            <w:rFonts w:ascii="Times New Roman" w:hAnsi="Times New Roman" w:cs="Times New Roman"/>
          </w:rPr>
          <w:t>0,15 m</w:t>
        </w:r>
      </w:smartTag>
      <w:r w:rsidRPr="00CD7AE5">
        <w:rPr>
          <w:rFonts w:ascii="Times New Roman" w:hAnsi="Times New Roman" w:cs="Times New Roman"/>
        </w:rPr>
        <w:t xml:space="preserve"> głębiej od projektowanego poziomu dna.</w:t>
      </w:r>
    </w:p>
    <w:p w14:paraId="398E0C26"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5.4. Przygotowanie podłoża</w:t>
      </w:r>
    </w:p>
    <w:p w14:paraId="1974F296"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Rurociągi posadowić na warstwie podsypki piaskowej o grubości 20 cm. Każda warstwa powinna być zagęszczona w stopniu odpowiadającym wskaźnikowi Proctora na poziomie Pr=0,98. Przy zagęszczaniu należy zachować optymalną wilgotność gruntu.</w:t>
      </w:r>
    </w:p>
    <w:p w14:paraId="368B23BC"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b/>
        </w:rPr>
      </w:pPr>
      <w:r w:rsidRPr="00CD7AE5">
        <w:rPr>
          <w:rFonts w:ascii="Times New Roman" w:hAnsi="Times New Roman" w:cs="Times New Roman"/>
          <w:b/>
        </w:rPr>
        <w:t>5.5. Roboty montażowe</w:t>
      </w:r>
    </w:p>
    <w:p w14:paraId="12E6A277" w14:textId="77777777" w:rsidR="00D33C82" w:rsidRPr="00CD7AE5" w:rsidRDefault="00D33C82" w:rsidP="00FA7059">
      <w:pPr>
        <w:overflowPunct w:val="0"/>
        <w:autoSpaceDE w:val="0"/>
        <w:autoSpaceDN w:val="0"/>
        <w:adjustRightInd w:val="0"/>
        <w:spacing w:after="240"/>
        <w:jc w:val="both"/>
        <w:rPr>
          <w:rFonts w:ascii="Times New Roman" w:hAnsi="Times New Roman" w:cs="Times New Roman"/>
        </w:rPr>
      </w:pPr>
      <w:r w:rsidRPr="00CD7AE5">
        <w:rPr>
          <w:rFonts w:ascii="Times New Roman" w:hAnsi="Times New Roman" w:cs="Times New Roman"/>
        </w:rPr>
        <w:tab/>
        <w:t>Głębokość przykrycia dla analizowanego terenu wynosi 1,0 m (do wierzchu rury przewodowej).Przy mniejszych zagłębieniach zachodzi konieczność odpowiedniego ocieplenia kanału. Trasę kanału oznakować należy taśmą lokalizacyjno-ostrzegawczą koloru brązowego z wtopką metalową. Taśmę układać 30 cm ponad grzbietem rury.</w:t>
      </w:r>
    </w:p>
    <w:p w14:paraId="34F3676D"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lastRenderedPageBreak/>
        <w:t>5.5.1.</w:t>
      </w:r>
      <w:r w:rsidRPr="00CD7AE5">
        <w:rPr>
          <w:rFonts w:ascii="Times New Roman" w:hAnsi="Times New Roman" w:cs="Times New Roman"/>
        </w:rPr>
        <w:t xml:space="preserve"> Rury kanałowe</w:t>
      </w:r>
    </w:p>
    <w:p w14:paraId="78D3A346"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Kanały należy układać w gotowym wykopie na 30 cm podsypce piaskowej oraz wykonać warstwę obsypkową o grubości 30 cm ponad wierzch przewodu. Następnie wykonać należy uzupełnienie wykopu do spodu koryta piaskiem średnim. Zagęszczenie gruntu w nasypie należy wykonać warstwami. Każda warstwa powinna być zagęszczona w stopniu odpowiadającym wskaźnikowi Proctora na poziomie Pr=0,98. Przy zagęszczaniu należy zachować optymalną wilgotność gruntu.</w:t>
      </w:r>
    </w:p>
    <w:p w14:paraId="6A2BBD19" w14:textId="77777777" w:rsidR="00D33C82" w:rsidRPr="00CD7AE5" w:rsidRDefault="00D33C82" w:rsidP="00904E6C">
      <w:pPr>
        <w:pStyle w:val="Nagwek1"/>
        <w:keepLines/>
        <w:numPr>
          <w:ilvl w:val="2"/>
          <w:numId w:val="80"/>
        </w:numPr>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after="240" w:line="240" w:lineRule="auto"/>
        <w:ind w:left="567" w:hanging="567"/>
        <w:jc w:val="both"/>
        <w:rPr>
          <w:b w:val="0"/>
          <w:caps w:val="0"/>
          <w:kern w:val="0"/>
          <w:sz w:val="22"/>
          <w:szCs w:val="22"/>
        </w:rPr>
      </w:pPr>
      <w:bookmarkStart w:id="324" w:name="_Toc82502060"/>
      <w:r w:rsidRPr="00CD7AE5">
        <w:rPr>
          <w:b w:val="0"/>
          <w:caps w:val="0"/>
          <w:kern w:val="0"/>
          <w:sz w:val="22"/>
          <w:szCs w:val="22"/>
        </w:rPr>
        <w:t>Próby szczelności</w:t>
      </w:r>
      <w:bookmarkEnd w:id="324"/>
    </w:p>
    <w:p w14:paraId="2B024DE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Celem sprawdzenia szczelności i wytrzymałości połączeń przewodów ciśnieniowych, należy przeprowadzić próby szczelności. Próby szczelności wykonywać należy dla kolejnych odbieranych odcinków przewodu. Odcinki poddawane próbie szczelności mogą mieć długość ca 300 m. Wszystkie złącza powinny być odkryte, w pełni widoczne i dostępne. Odcinek przewodu powinien być na całej swojej długości stabilny, zabezpieczony przed przesunięciami. Wszystkie badane połączenia winny być sprawdzone wizualnie. Przewód nie może być nasłoneczniony, a zimą temperatura jego powierzchni zewnętrznej nie może być niższa niż 1°C, napełnienie przewodu odbywać się winno powoli od najniższego punktu, temperatura wody wykorzystywanej przy próbie ciśnienia nie powinna przekraczać 20°C. Próbę szczelności wykonać  zgodnie z normą PN-B-10725 Wodociągi. Przewody zewnętrzne. Wymagania i badania i instrukcją producenta rur ciśnieniowych.</w:t>
      </w:r>
    </w:p>
    <w:p w14:paraId="1273B7B8" w14:textId="77777777" w:rsidR="00D33C82" w:rsidRPr="00CD7AE5" w:rsidRDefault="00D33C82" w:rsidP="00FA7059">
      <w:pPr>
        <w:keepNext/>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5.5.3.</w:t>
      </w:r>
      <w:r w:rsidRPr="00CD7AE5">
        <w:rPr>
          <w:rFonts w:ascii="Times New Roman" w:hAnsi="Times New Roman" w:cs="Times New Roman"/>
        </w:rPr>
        <w:t xml:space="preserve"> Zasypanie wykopów i ich zagęszczenie</w:t>
      </w:r>
    </w:p>
    <w:p w14:paraId="7C5BB9AC"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Przewody obsypać należy warstwą opsypki piaskowej o zagęszczeniu MPD 95-100%. Ponad warstwę obsypki, wykopy zasypywać gruntem o właściwościach niespoistych lub piaskiem budowlanym, warstwami o grubości 20-30 cm. Warstwy te należy zagęszczać ręcznie lub mechanicznie, o ile nie spowoduje to uszkodzenia przewodu.</w:t>
      </w:r>
    </w:p>
    <w:p w14:paraId="65EF05A6"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Wskaźnik zagęszczenia gruntu zasypowego wynosić powinien:</w:t>
      </w:r>
    </w:p>
    <w:p w14:paraId="1DB8AF69"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warstwy do głębokości 1,2 m od niwelety drogi: 1,0 (wg normalnej próby Proctora),</w:t>
      </w:r>
    </w:p>
    <w:p w14:paraId="512E1D85"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warstwy do głębokości poniżej 1,2 m od niwelety drogi: 0,97 (wg normalnej próby Proctora),</w:t>
      </w:r>
    </w:p>
    <w:p w14:paraId="712F5101"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warstwy zasypowe na całej głębokości na terenach zielonych: 0,95 (wg normalnej próby Proctora). </w:t>
      </w:r>
    </w:p>
    <w:p w14:paraId="3F437D76" w14:textId="77777777" w:rsidR="00D33C82" w:rsidRPr="00CD7AE5" w:rsidRDefault="00D33C82" w:rsidP="00FA7059">
      <w:pPr>
        <w:keepNext/>
        <w:overflowPunct w:val="0"/>
        <w:autoSpaceDE w:val="0"/>
        <w:autoSpaceDN w:val="0"/>
        <w:adjustRightInd w:val="0"/>
        <w:spacing w:before="200" w:after="200"/>
        <w:jc w:val="both"/>
        <w:rPr>
          <w:rFonts w:ascii="Times New Roman" w:hAnsi="Times New Roman" w:cs="Times New Roman"/>
          <w:b/>
        </w:rPr>
      </w:pPr>
      <w:r w:rsidRPr="00CD7AE5">
        <w:rPr>
          <w:rFonts w:ascii="Times New Roman" w:hAnsi="Times New Roman" w:cs="Times New Roman"/>
          <w:b/>
        </w:rPr>
        <w:t>5.5.3.</w:t>
      </w:r>
      <w:r w:rsidRPr="00CD7AE5">
        <w:rPr>
          <w:rFonts w:ascii="Times New Roman" w:hAnsi="Times New Roman" w:cs="Times New Roman"/>
        </w:rPr>
        <w:t xml:space="preserve"> Roboty demontażowe</w:t>
      </w:r>
    </w:p>
    <w:p w14:paraId="1B30F980" w14:textId="77777777" w:rsidR="00D33C82" w:rsidRPr="00CD7AE5" w:rsidRDefault="00D33C82" w:rsidP="00FA7059">
      <w:pPr>
        <w:keepNext/>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Wyłączone z eksploatacji (zgodnie z Dokumentacją Projektową) odcinki, po włączeniu nowobudowanych odcinków – wyłączyć z eksploatacji. Roboty te wykonywać za zgodą i pod nadzorem Gestora sieci. </w:t>
      </w:r>
    </w:p>
    <w:p w14:paraId="40E070FA" w14:textId="77777777" w:rsidR="00D33C82" w:rsidRPr="00952024" w:rsidRDefault="00D33C82" w:rsidP="00904E6C">
      <w:pPr>
        <w:pStyle w:val="Akapitzlist"/>
        <w:numPr>
          <w:ilvl w:val="2"/>
          <w:numId w:val="352"/>
        </w:numPr>
        <w:rPr>
          <w:sz w:val="22"/>
          <w:szCs w:val="22"/>
        </w:rPr>
      </w:pPr>
      <w:r w:rsidRPr="00952024">
        <w:rPr>
          <w:sz w:val="22"/>
          <w:szCs w:val="22"/>
        </w:rPr>
        <w:t>Uwagi dotyczące robót na czynnej sieci</w:t>
      </w:r>
    </w:p>
    <w:p w14:paraId="7D5AF99D" w14:textId="77777777" w:rsidR="00D33C82" w:rsidRPr="00CD7AE5" w:rsidRDefault="00D33C82" w:rsidP="00FA7059">
      <w:pPr>
        <w:overflowPunct w:val="0"/>
        <w:autoSpaceDE w:val="0"/>
        <w:autoSpaceDN w:val="0"/>
        <w:adjustRightInd w:val="0"/>
        <w:ind w:left="504"/>
        <w:jc w:val="both"/>
        <w:textAlignment w:val="baseline"/>
        <w:rPr>
          <w:rFonts w:ascii="Times New Roman" w:hAnsi="Times New Roman" w:cs="Times New Roman"/>
        </w:rPr>
      </w:pPr>
    </w:p>
    <w:p w14:paraId="2626F13A" w14:textId="77777777" w:rsidR="00BF5EB5" w:rsidRDefault="00D33C82" w:rsidP="00FA7059">
      <w:pPr>
        <w:keepNext/>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Wszelkie pracę na czynnej sieci mogą być wykonywane tylko i wyłącznie za zgodą i pod nadzorem przedstawiciela Gestora sieci. Przy przełączaniu nowobudowanych przewodów należy, z co</w:t>
      </w:r>
      <w:r w:rsidR="00BF5EB5">
        <w:rPr>
          <w:rFonts w:ascii="Times New Roman" w:hAnsi="Times New Roman" w:cs="Times New Roman"/>
        </w:rPr>
        <w:t xml:space="preserve"> </w:t>
      </w:r>
      <w:r w:rsidRPr="00CD7AE5">
        <w:rPr>
          <w:rFonts w:ascii="Times New Roman" w:hAnsi="Times New Roman" w:cs="Times New Roman"/>
        </w:rPr>
        <w:t>najmniej 14-dniowym wyprzedzeniem powiadomić Gestora sieci o zamierzonym t</w:t>
      </w:r>
      <w:r w:rsidR="00BF5EB5">
        <w:rPr>
          <w:rFonts w:ascii="Times New Roman" w:hAnsi="Times New Roman" w:cs="Times New Roman"/>
        </w:rPr>
        <w:t>erminie rozpoczęcia robót.</w:t>
      </w:r>
    </w:p>
    <w:p w14:paraId="3F00F4D8" w14:textId="77777777" w:rsidR="007F373E" w:rsidRPr="00CD7AE5" w:rsidRDefault="007F373E" w:rsidP="00FA7059">
      <w:pPr>
        <w:keepNext/>
        <w:overflowPunct w:val="0"/>
        <w:autoSpaceDE w:val="0"/>
        <w:autoSpaceDN w:val="0"/>
        <w:adjustRightInd w:val="0"/>
        <w:jc w:val="both"/>
        <w:rPr>
          <w:rFonts w:ascii="Times New Roman" w:hAnsi="Times New Roman" w:cs="Times New Roman"/>
        </w:rPr>
      </w:pPr>
    </w:p>
    <w:p w14:paraId="22BDD3D8" w14:textId="77777777" w:rsidR="00D33C82" w:rsidRPr="00CD7AE5" w:rsidRDefault="00BF5EB5" w:rsidP="00FA7059">
      <w:pPr>
        <w:overflowPunct w:val="0"/>
        <w:autoSpaceDE w:val="0"/>
        <w:autoSpaceDN w:val="0"/>
        <w:adjustRightInd w:val="0"/>
        <w:jc w:val="both"/>
        <w:rPr>
          <w:rFonts w:ascii="Times New Roman" w:hAnsi="Times New Roman" w:cs="Times New Roman"/>
          <w:b/>
          <w:caps/>
          <w:kern w:val="28"/>
        </w:rPr>
      </w:pPr>
      <w:r>
        <w:rPr>
          <w:rFonts w:ascii="Times New Roman" w:hAnsi="Times New Roman" w:cs="Times New Roman"/>
          <w:b/>
          <w:caps/>
          <w:kern w:val="28"/>
        </w:rPr>
        <w:t>6. KONTROLA JAKOŚCI ROBÓT</w:t>
      </w:r>
    </w:p>
    <w:p w14:paraId="6774C2FC" w14:textId="77777777" w:rsidR="00D33C82" w:rsidRPr="00CD7AE5" w:rsidRDefault="00D33C82" w:rsidP="00FA7059">
      <w:pPr>
        <w:keepNext/>
        <w:overflowPunct w:val="0"/>
        <w:autoSpaceDE w:val="0"/>
        <w:autoSpaceDN w:val="0"/>
        <w:adjustRightInd w:val="0"/>
        <w:spacing w:after="200"/>
        <w:jc w:val="both"/>
        <w:outlineLvl w:val="1"/>
        <w:rPr>
          <w:rFonts w:ascii="Times New Roman" w:hAnsi="Times New Roman" w:cs="Times New Roman"/>
          <w:b/>
        </w:rPr>
      </w:pPr>
      <w:r w:rsidRPr="00CD7AE5">
        <w:rPr>
          <w:rFonts w:ascii="Times New Roman" w:hAnsi="Times New Roman" w:cs="Times New Roman"/>
          <w:b/>
        </w:rPr>
        <w:t>6.1. Ogólne zasady kontroli jakości robót</w:t>
      </w:r>
    </w:p>
    <w:p w14:paraId="05691C43"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Ogólne zasady kontroli jakości robót podano w ST D.00.00.00 „Wymagania ogólne” pkt 6.</w:t>
      </w:r>
    </w:p>
    <w:p w14:paraId="2C6DDA3B"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lastRenderedPageBreak/>
        <w:t>6.2. Kontrola, pomiary i badania</w:t>
      </w:r>
    </w:p>
    <w:p w14:paraId="0D59E380"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6.2.1.</w:t>
      </w:r>
      <w:r w:rsidRPr="00CD7AE5">
        <w:rPr>
          <w:rFonts w:ascii="Times New Roman" w:hAnsi="Times New Roman" w:cs="Times New Roman"/>
        </w:rPr>
        <w:t xml:space="preserve"> Badania przed przystąpieniem do robót</w:t>
      </w:r>
    </w:p>
    <w:p w14:paraId="4C7965B7"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Przed przystąpieniem do robót Wykonawca powinien:</w:t>
      </w:r>
    </w:p>
    <w:p w14:paraId="683FEA81" w14:textId="77777777" w:rsidR="00D33C82" w:rsidRPr="00CD7AE5" w:rsidRDefault="00D33C82" w:rsidP="00FA7059">
      <w:pPr>
        <w:numPr>
          <w:ilvl w:val="0"/>
          <w:numId w:val="23"/>
        </w:numPr>
        <w:tabs>
          <w:tab w:val="num" w:pos="567"/>
        </w:tabs>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uzyskać wymagane dokumenty, dopuszczające wyroby budowlane do obrotu (aprobaty techniczne, certyfikaty zgodności, deklaracje zgodności, ew. badania materiałów wykonane przez dostawców itp.) [15],</w:t>
      </w:r>
    </w:p>
    <w:p w14:paraId="77144C93"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Wszystkie dokumenty oraz wyniki badań Wykonawca przedstawia Inżynierowi do akceptacji.</w:t>
      </w:r>
    </w:p>
    <w:p w14:paraId="60CA8AF4"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6.2.2.</w:t>
      </w:r>
      <w:r w:rsidRPr="00CD7AE5">
        <w:rPr>
          <w:rFonts w:ascii="Times New Roman" w:hAnsi="Times New Roman" w:cs="Times New Roman"/>
        </w:rPr>
        <w:t xml:space="preserve"> Kontrola, pomiary i badania w czasie robót</w:t>
      </w:r>
    </w:p>
    <w:p w14:paraId="55418DAD"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Wykonawca jest zobowiązany do stałej i systematycznej kontroli prowadzonych robót </w:t>
      </w:r>
      <w:r w:rsidRPr="00CD7AE5">
        <w:rPr>
          <w:rFonts w:ascii="Times New Roman" w:hAnsi="Times New Roman" w:cs="Times New Roman"/>
        </w:rPr>
        <w:br/>
        <w:t>w zakresie i z częstotliwością określoną w niniejszej ST i zaakceptowaną przez Inżyniera.</w:t>
      </w:r>
    </w:p>
    <w:p w14:paraId="4EE51A4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W szczególności kontrola powinna obejmować:</w:t>
      </w:r>
    </w:p>
    <w:p w14:paraId="462E46B3"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sprawdzenie rzędnych założonych ław celowniczych w nawiązaniu do podanych stałych punktów wysokościowych z dokładnością do </w:t>
      </w:r>
      <w:smartTag w:uri="urn:schemas-microsoft-com:office:smarttags" w:element="metricconverter">
        <w:smartTagPr>
          <w:attr w:name="ProductID" w:val="1 cm"/>
        </w:smartTagPr>
        <w:r w:rsidRPr="00CD7AE5">
          <w:rPr>
            <w:rFonts w:ascii="Times New Roman" w:hAnsi="Times New Roman" w:cs="Times New Roman"/>
          </w:rPr>
          <w:t>1 cm</w:t>
        </w:r>
      </w:smartTag>
      <w:r w:rsidRPr="00CD7AE5">
        <w:rPr>
          <w:rFonts w:ascii="Times New Roman" w:hAnsi="Times New Roman" w:cs="Times New Roman"/>
        </w:rPr>
        <w:t>,</w:t>
      </w:r>
    </w:p>
    <w:p w14:paraId="785B153E"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zabezpieczenia wykopów przed zalaniem wodą,</w:t>
      </w:r>
    </w:p>
    <w:p w14:paraId="594AF205"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i pomiary szerokości, grubości i zagęszczenia wykonanej warstwy podłoża z kruszywa mineralnego lub betonu,</w:t>
      </w:r>
    </w:p>
    <w:p w14:paraId="2B338575"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odchylenia osi kolektora,</w:t>
      </w:r>
    </w:p>
    <w:p w14:paraId="72939299"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sprawdzenie zgodności z dokumentacją projektową założenia przewodów,</w:t>
      </w:r>
    </w:p>
    <w:p w14:paraId="226BE128"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odchylenia spadku kolektora sanitarnego,</w:t>
      </w:r>
    </w:p>
    <w:p w14:paraId="1FA992D3"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sprawdzenie prawidłowości ułożenia kanałów,</w:t>
      </w:r>
    </w:p>
    <w:p w14:paraId="47727395"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sprawdzenie prawidłowości uszczelniania kanałów,</w:t>
      </w:r>
    </w:p>
    <w:p w14:paraId="0CC8E72F"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wskaźników zagęszczenia poszczególnych warstw zasypu,</w:t>
      </w:r>
    </w:p>
    <w:p w14:paraId="1259B791" w14:textId="77777777" w:rsidR="00D33C82" w:rsidRPr="00CD7AE5" w:rsidRDefault="00D33C82" w:rsidP="00FA7059">
      <w:pPr>
        <w:keepNext/>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6.2.3.</w:t>
      </w:r>
      <w:r w:rsidRPr="00CD7AE5">
        <w:rPr>
          <w:rFonts w:ascii="Times New Roman" w:hAnsi="Times New Roman" w:cs="Times New Roman"/>
        </w:rPr>
        <w:t xml:space="preserve"> Dopuszczalne tolerancje i wymagania</w:t>
      </w:r>
    </w:p>
    <w:p w14:paraId="16E3DFB7"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odchylenie odległości krawędzi wykopu w dnie od ustalonej w planie osi wykopu nie powinno wynosić więcej niż </w:t>
      </w:r>
      <w:r w:rsidRPr="00CD7AE5">
        <w:rPr>
          <w:rFonts w:ascii="Times New Roman" w:hAnsi="Times New Roman" w:cs="Times New Roman"/>
        </w:rPr>
        <w:sym w:font="Symbol" w:char="F0B1"/>
      </w:r>
      <w:r w:rsidRPr="00CD7AE5">
        <w:rPr>
          <w:rFonts w:ascii="Times New Roman" w:hAnsi="Times New Roman" w:cs="Times New Roman"/>
        </w:rPr>
        <w:t xml:space="preserve"> </w:t>
      </w:r>
      <w:smartTag w:uri="urn:schemas-microsoft-com:office:smarttags" w:element="metricconverter">
        <w:smartTagPr>
          <w:attr w:name="ProductID" w:val="5 cm"/>
        </w:smartTagPr>
        <w:r w:rsidRPr="00CD7AE5">
          <w:rPr>
            <w:rFonts w:ascii="Times New Roman" w:hAnsi="Times New Roman" w:cs="Times New Roman"/>
          </w:rPr>
          <w:t>5 cm</w:t>
        </w:r>
      </w:smartTag>
      <w:r w:rsidRPr="00CD7AE5">
        <w:rPr>
          <w:rFonts w:ascii="Times New Roman" w:hAnsi="Times New Roman" w:cs="Times New Roman"/>
        </w:rPr>
        <w:t>,</w:t>
      </w:r>
    </w:p>
    <w:p w14:paraId="3F0A1F23"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odchylenie wymiarów w planie nie powinno być większe niż </w:t>
      </w:r>
      <w:smartTag w:uri="urn:schemas-microsoft-com:office:smarttags" w:element="metricconverter">
        <w:smartTagPr>
          <w:attr w:name="ProductID" w:val="0,1 m"/>
        </w:smartTagPr>
        <w:r w:rsidRPr="00CD7AE5">
          <w:rPr>
            <w:rFonts w:ascii="Times New Roman" w:hAnsi="Times New Roman" w:cs="Times New Roman"/>
          </w:rPr>
          <w:t>0,1 m</w:t>
        </w:r>
      </w:smartTag>
      <w:r w:rsidRPr="00CD7AE5">
        <w:rPr>
          <w:rFonts w:ascii="Times New Roman" w:hAnsi="Times New Roman" w:cs="Times New Roman"/>
        </w:rPr>
        <w:t>,</w:t>
      </w:r>
    </w:p>
    <w:p w14:paraId="02594947"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odchylenie grubości warstwy podłoża nie powinno przekraczać </w:t>
      </w:r>
      <w:r w:rsidRPr="00CD7AE5">
        <w:rPr>
          <w:rFonts w:ascii="Times New Roman" w:hAnsi="Times New Roman" w:cs="Times New Roman"/>
        </w:rPr>
        <w:sym w:font="Symbol" w:char="F0B1"/>
      </w:r>
      <w:r w:rsidRPr="00CD7AE5">
        <w:rPr>
          <w:rFonts w:ascii="Times New Roman" w:hAnsi="Times New Roman" w:cs="Times New Roman"/>
        </w:rPr>
        <w:t xml:space="preserve"> </w:t>
      </w:r>
      <w:smartTag w:uri="urn:schemas-microsoft-com:office:smarttags" w:element="metricconverter">
        <w:smartTagPr>
          <w:attr w:name="ProductID" w:val="3 cm"/>
        </w:smartTagPr>
        <w:r w:rsidRPr="00CD7AE5">
          <w:rPr>
            <w:rFonts w:ascii="Times New Roman" w:hAnsi="Times New Roman" w:cs="Times New Roman"/>
          </w:rPr>
          <w:t>3 cm</w:t>
        </w:r>
      </w:smartTag>
      <w:r w:rsidRPr="00CD7AE5">
        <w:rPr>
          <w:rFonts w:ascii="Times New Roman" w:hAnsi="Times New Roman" w:cs="Times New Roman"/>
        </w:rPr>
        <w:t>,</w:t>
      </w:r>
    </w:p>
    <w:p w14:paraId="365CC7D0"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odchylenie szerokości warstwy podłoża nie powinno przekraczać </w:t>
      </w:r>
      <w:r w:rsidRPr="00CD7AE5">
        <w:rPr>
          <w:rFonts w:ascii="Times New Roman" w:hAnsi="Times New Roman" w:cs="Times New Roman"/>
        </w:rPr>
        <w:sym w:font="Symbol" w:char="F0B1"/>
      </w:r>
      <w:r w:rsidRPr="00CD7AE5">
        <w:rPr>
          <w:rFonts w:ascii="Times New Roman" w:hAnsi="Times New Roman" w:cs="Times New Roman"/>
        </w:rPr>
        <w:t xml:space="preserve"> </w:t>
      </w:r>
      <w:smartTag w:uri="urn:schemas-microsoft-com:office:smarttags" w:element="metricconverter">
        <w:smartTagPr>
          <w:attr w:name="ProductID" w:val="5 cm"/>
        </w:smartTagPr>
        <w:r w:rsidRPr="00CD7AE5">
          <w:rPr>
            <w:rFonts w:ascii="Times New Roman" w:hAnsi="Times New Roman" w:cs="Times New Roman"/>
          </w:rPr>
          <w:t>5 cm</w:t>
        </w:r>
      </w:smartTag>
      <w:r w:rsidRPr="00CD7AE5">
        <w:rPr>
          <w:rFonts w:ascii="Times New Roman" w:hAnsi="Times New Roman" w:cs="Times New Roman"/>
        </w:rPr>
        <w:t>,</w:t>
      </w:r>
    </w:p>
    <w:p w14:paraId="206A580C"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odchylenie kolektora rurowego w planie, odchylenie odległości osi ułożonego kolektora od osi przewodu ustalonej na ławach celowniczych nie powinna przekraczać </w:t>
      </w:r>
      <w:r w:rsidRPr="00CD7AE5">
        <w:rPr>
          <w:rFonts w:ascii="Times New Roman" w:hAnsi="Times New Roman" w:cs="Times New Roman"/>
        </w:rPr>
        <w:sym w:font="Symbol" w:char="F0B1"/>
      </w:r>
      <w:r w:rsidRPr="00CD7AE5">
        <w:rPr>
          <w:rFonts w:ascii="Times New Roman" w:hAnsi="Times New Roman" w:cs="Times New Roman"/>
        </w:rPr>
        <w:t xml:space="preserve"> </w:t>
      </w:r>
      <w:smartTag w:uri="urn:schemas-microsoft-com:office:smarttags" w:element="metricconverter">
        <w:smartTagPr>
          <w:attr w:name="ProductID" w:val="5 mm"/>
        </w:smartTagPr>
        <w:r w:rsidRPr="00CD7AE5">
          <w:rPr>
            <w:rFonts w:ascii="Times New Roman" w:hAnsi="Times New Roman" w:cs="Times New Roman"/>
          </w:rPr>
          <w:t>5 mm</w:t>
        </w:r>
      </w:smartTag>
      <w:r w:rsidRPr="00CD7AE5">
        <w:rPr>
          <w:rFonts w:ascii="Times New Roman" w:hAnsi="Times New Roman" w:cs="Times New Roman"/>
        </w:rPr>
        <w:t>,</w:t>
      </w:r>
    </w:p>
    <w:p w14:paraId="2AC09AE7"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odchylenie spadku ułożonego kolektora od przewidzianego w projekcie nie powinno przekraczać -5% projektowanego spadku (przy zmniejszonym spadku) i +10% projektowanego spadku (przy zwiększonym spadku),</w:t>
      </w:r>
    </w:p>
    <w:p w14:paraId="3A0361E4"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 xml:space="preserve">wskaźnik zagęszczenia zasypki wykopów określony w trzech miejscach na długości </w:t>
      </w:r>
      <w:smartTag w:uri="urn:schemas-microsoft-com:office:smarttags" w:element="metricconverter">
        <w:smartTagPr>
          <w:attr w:name="ProductID" w:val="100 m"/>
        </w:smartTagPr>
        <w:r w:rsidRPr="00CD7AE5">
          <w:rPr>
            <w:rFonts w:ascii="Times New Roman" w:hAnsi="Times New Roman" w:cs="Times New Roman"/>
          </w:rPr>
          <w:t>100 m</w:t>
        </w:r>
      </w:smartTag>
      <w:r w:rsidRPr="00CD7AE5">
        <w:rPr>
          <w:rFonts w:ascii="Times New Roman" w:hAnsi="Times New Roman" w:cs="Times New Roman"/>
        </w:rPr>
        <w:t xml:space="preserve"> powinien być zgodny z pkt 5.4</w:t>
      </w:r>
    </w:p>
    <w:p w14:paraId="2ECF36BB" w14:textId="77777777" w:rsidR="00D33C82" w:rsidRPr="00CD7AE5" w:rsidRDefault="00D33C82" w:rsidP="00FA7059">
      <w:pPr>
        <w:overflowPunct w:val="0"/>
        <w:autoSpaceDE w:val="0"/>
        <w:autoSpaceDN w:val="0"/>
        <w:adjustRightInd w:val="0"/>
        <w:ind w:left="283"/>
        <w:jc w:val="both"/>
        <w:rPr>
          <w:rFonts w:ascii="Times New Roman" w:hAnsi="Times New Roman" w:cs="Times New Roman"/>
        </w:rPr>
      </w:pPr>
    </w:p>
    <w:p w14:paraId="5E7361AC"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t>7. OBMIAR ROBÓT</w:t>
      </w:r>
    </w:p>
    <w:p w14:paraId="0B76F71A" w14:textId="77777777" w:rsidR="00D33C82" w:rsidRPr="00CD7AE5" w:rsidRDefault="00D33C82" w:rsidP="00FA7059">
      <w:pPr>
        <w:keepNext/>
        <w:overflowPunct w:val="0"/>
        <w:autoSpaceDE w:val="0"/>
        <w:autoSpaceDN w:val="0"/>
        <w:adjustRightInd w:val="0"/>
        <w:spacing w:before="120" w:after="120"/>
        <w:jc w:val="both"/>
        <w:outlineLvl w:val="1"/>
        <w:rPr>
          <w:rFonts w:ascii="Times New Roman" w:hAnsi="Times New Roman" w:cs="Times New Roman"/>
          <w:b/>
        </w:rPr>
      </w:pPr>
      <w:r w:rsidRPr="00CD7AE5">
        <w:rPr>
          <w:rFonts w:ascii="Times New Roman" w:hAnsi="Times New Roman" w:cs="Times New Roman"/>
          <w:b/>
        </w:rPr>
        <w:t>7.1. Ogólne zasady obmiaru robót</w:t>
      </w:r>
    </w:p>
    <w:p w14:paraId="6DF25E55"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rPr>
        <w:tab/>
        <w:t>Ogólne zasady obmiaru robót podano w ST D.00.00.00 „Wymagania ogólne” pkt 7.</w:t>
      </w:r>
    </w:p>
    <w:p w14:paraId="0619E46F" w14:textId="77777777" w:rsidR="00D33C82" w:rsidRPr="00CD7AE5" w:rsidRDefault="00D33C82" w:rsidP="00FA7059">
      <w:pPr>
        <w:keepNext/>
        <w:overflowPunct w:val="0"/>
        <w:autoSpaceDE w:val="0"/>
        <w:autoSpaceDN w:val="0"/>
        <w:adjustRightInd w:val="0"/>
        <w:spacing w:before="120" w:after="120"/>
        <w:jc w:val="both"/>
        <w:outlineLvl w:val="1"/>
        <w:rPr>
          <w:rFonts w:ascii="Times New Roman" w:hAnsi="Times New Roman" w:cs="Times New Roman"/>
          <w:b/>
        </w:rPr>
      </w:pPr>
      <w:r w:rsidRPr="00CD7AE5">
        <w:rPr>
          <w:rFonts w:ascii="Times New Roman" w:hAnsi="Times New Roman" w:cs="Times New Roman"/>
          <w:b/>
        </w:rPr>
        <w:t>7.2. Jednostka obmiarowa</w:t>
      </w:r>
    </w:p>
    <w:p w14:paraId="2A5D2C0D"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Elementy składowe robót będą obmierzane według poniższych jednostek: </w:t>
      </w:r>
    </w:p>
    <w:p w14:paraId="536FAB44"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lastRenderedPageBreak/>
        <w:t xml:space="preserve">mb  (metr  bieżący)  –  kompletna  sieć kanalizacyjna  (wykonana  i  odebrana),  demontaż  istniejącej sieci; </w:t>
      </w:r>
    </w:p>
    <w:p w14:paraId="7E0A208C"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t>8. ODBIÓR ROBÓT</w:t>
      </w:r>
    </w:p>
    <w:p w14:paraId="658F9AAF"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8.1. Ogólne zasady odbioru robót</w:t>
      </w:r>
    </w:p>
    <w:p w14:paraId="512E2748"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Ogólne zasady odbioru robót podano w ST D.00.00.00 „Wymagania ogólne” pkt 8.</w:t>
      </w:r>
    </w:p>
    <w:p w14:paraId="72A5CAB9"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Roboty uznaje się za wykonane zgodnie z dokumentacją projektową, SST i wymaganiami Inżyniera, jeżeli wszystkie pomiary i badania z zachowaniem tolerancji wg pkt 6 dały wyniki pozytywne.</w:t>
      </w:r>
    </w:p>
    <w:p w14:paraId="5D5F05AE" w14:textId="77777777" w:rsidR="00D33C82" w:rsidRPr="00CD7AE5" w:rsidRDefault="007F373E" w:rsidP="00FA7059">
      <w:pPr>
        <w:pStyle w:val="Nagwek2"/>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Pr>
          <w:sz w:val="22"/>
          <w:szCs w:val="22"/>
        </w:rPr>
        <w:t>8.2.</w:t>
      </w:r>
      <w:r w:rsidR="00D33C82" w:rsidRPr="00CD7AE5">
        <w:rPr>
          <w:sz w:val="22"/>
          <w:szCs w:val="22"/>
        </w:rPr>
        <w:t>Odbiór robót zanikających i ulegających zakryciu</w:t>
      </w:r>
    </w:p>
    <w:p w14:paraId="2169C266" w14:textId="77777777" w:rsidR="00D33C82" w:rsidRPr="00CD7AE5" w:rsidRDefault="00D33C82" w:rsidP="00FA7059">
      <w:pPr>
        <w:pStyle w:val="Nagwek2"/>
        <w:spacing w:before="0" w:after="0"/>
        <w:ind w:left="432"/>
        <w:jc w:val="both"/>
        <w:textAlignment w:val="baseline"/>
        <w:rPr>
          <w:sz w:val="22"/>
          <w:szCs w:val="22"/>
          <w:highlight w:val="green"/>
        </w:rPr>
      </w:pPr>
    </w:p>
    <w:p w14:paraId="715382E4"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Odbiorowi robót zanikających i ulegających zakryciu podlegają:</w:t>
      </w:r>
    </w:p>
    <w:p w14:paraId="2BD15BBE"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jakość materiałów wbudowywanych,</w:t>
      </w:r>
    </w:p>
    <w:p w14:paraId="19B945B1"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roboty montażowe wykonania połączeń rur z kształtkami,</w:t>
      </w:r>
    </w:p>
    <w:p w14:paraId="73B35D95"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ułożenie kanałów na podłożu,</w:t>
      </w:r>
    </w:p>
    <w:p w14:paraId="431A0581"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ułożenie taśmy  lokalizacyjno-ostrzegawczej,</w:t>
      </w:r>
    </w:p>
    <w:p w14:paraId="585200C0"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szczelność kanałów.</w:t>
      </w:r>
    </w:p>
    <w:p w14:paraId="5CF3AC40"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Odbiór robót zanikających powinien być dokonany w czasie umożliwiającym wykonanie korekt i poprawek, bez hamowania ogólnego postępu robót.</w:t>
      </w:r>
    </w:p>
    <w:p w14:paraId="0B23FFAD"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Długość odcinka robót ziemnych poddana odbiorowi nie powinna być mniejsza od </w:t>
      </w:r>
      <w:smartTag w:uri="urn:schemas-microsoft-com:office:smarttags" w:element="metricconverter">
        <w:smartTagPr>
          <w:attr w:name="ProductID" w:val="50 m"/>
        </w:smartTagPr>
        <w:r w:rsidRPr="00CD7AE5">
          <w:rPr>
            <w:rFonts w:ascii="Times New Roman" w:hAnsi="Times New Roman" w:cs="Times New Roman"/>
          </w:rPr>
          <w:t>50 m</w:t>
        </w:r>
      </w:smartTag>
      <w:r w:rsidRPr="00CD7AE5">
        <w:rPr>
          <w:rFonts w:ascii="Times New Roman" w:hAnsi="Times New Roman" w:cs="Times New Roman"/>
        </w:rPr>
        <w:t>. Wyniki przeprowadzonych badań powinny być ujęte w formie protokołów i wpisane do Dziennika Budowy. Inwentaryzację geodezyjną i branżową należy wykonać przed zgłoszeniem do odbioru próby ciśnienia wodociągu. Do odbioru przedłożyć dokumenty pomiarowe (szkice polowe i potwierdzenie pomiaru branżowego).</w:t>
      </w:r>
    </w:p>
    <w:p w14:paraId="7F143CF3" w14:textId="77777777" w:rsidR="00D33C82" w:rsidRPr="00CD7AE5" w:rsidRDefault="00D33C82" w:rsidP="00FA7059">
      <w:pPr>
        <w:overflowPunct w:val="0"/>
        <w:autoSpaceDE w:val="0"/>
        <w:autoSpaceDN w:val="0"/>
        <w:adjustRightInd w:val="0"/>
        <w:jc w:val="both"/>
        <w:rPr>
          <w:rFonts w:ascii="Times New Roman" w:hAnsi="Times New Roman" w:cs="Times New Roman"/>
          <w:highlight w:val="green"/>
        </w:rPr>
      </w:pPr>
    </w:p>
    <w:p w14:paraId="467343D1" w14:textId="77777777" w:rsidR="00D33C82" w:rsidRPr="00CD7AE5" w:rsidRDefault="007F373E" w:rsidP="00FA7059">
      <w:pPr>
        <w:pStyle w:val="Nagwek2"/>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both"/>
        <w:textAlignment w:val="baseline"/>
        <w:rPr>
          <w:sz w:val="22"/>
          <w:szCs w:val="22"/>
        </w:rPr>
      </w:pPr>
      <w:r>
        <w:rPr>
          <w:sz w:val="22"/>
          <w:szCs w:val="22"/>
        </w:rPr>
        <w:t>8.3.</w:t>
      </w:r>
      <w:r w:rsidR="00D33C82" w:rsidRPr="00CD7AE5">
        <w:rPr>
          <w:sz w:val="22"/>
          <w:szCs w:val="22"/>
        </w:rPr>
        <w:t>Odbiór końcowy</w:t>
      </w:r>
    </w:p>
    <w:p w14:paraId="4EFD8769" w14:textId="77777777" w:rsidR="00D33C82" w:rsidRPr="00CD7AE5" w:rsidRDefault="00D33C82" w:rsidP="00FA7059">
      <w:pPr>
        <w:jc w:val="both"/>
        <w:rPr>
          <w:rFonts w:ascii="Times New Roman" w:hAnsi="Times New Roman" w:cs="Times New Roman"/>
          <w:highlight w:val="green"/>
        </w:rPr>
      </w:pPr>
    </w:p>
    <w:p w14:paraId="6F40A2DB"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Odbiorowi końcowemu podlega:</w:t>
      </w:r>
    </w:p>
    <w:p w14:paraId="1DB491FD"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sprawdzenie kompletności dokumentacji do odbioru technicznego końcowego (polegające na sprawdzeniu protokołów badań przeprowadzonych przy odbiorach technicznych częściowych),</w:t>
      </w:r>
    </w:p>
    <w:p w14:paraId="33515613"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badanie szczelności całego przewodu (przeprowadzone przy całkowicie ukończonym i zasypanym przewodzie.</w:t>
      </w:r>
    </w:p>
    <w:p w14:paraId="525FF576"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Wyniki przeprowadzonych badań podczas odbioru powinny być ujęte w formie protokołu, szczegółowo omówione, wpisane do dziennika budowy i podpisane przez nadzór techniczny oraz członków komisji przeprowadzającej badania. Wyniki badań przeprowadzonych podczas odbioru końcowego należy uznać za dokładne, jeżeli wszystkie wymagania (badanie dokumentacji i szczelności całego przewodu) zostały spełnione. Jeżeli któreś z wymagań przy odbiorze technicznym końcowym nie zostało spełnione, należy ocenić jego wpływ na stopień sprawności działania przewodu i w zależności od tego określić konieczne dalsze postępowanie.</w:t>
      </w:r>
    </w:p>
    <w:p w14:paraId="4658928C" w14:textId="77777777" w:rsidR="00D33C82" w:rsidRPr="00CD7AE5" w:rsidRDefault="00D33C82" w:rsidP="00FA7059">
      <w:pPr>
        <w:jc w:val="both"/>
        <w:rPr>
          <w:rFonts w:ascii="Times New Roman" w:hAnsi="Times New Roman" w:cs="Times New Roman"/>
        </w:rPr>
      </w:pPr>
      <w:r w:rsidRPr="00CD7AE5">
        <w:rPr>
          <w:rFonts w:ascii="Times New Roman" w:hAnsi="Times New Roman" w:cs="Times New Roman"/>
        </w:rPr>
        <w:t>Odbiory: częściowy i końcowy powinien być dokonany komisyjnie przy udziale przedstawicieli wykonawcy, nadzoru inwestycyjnego i użytkownika oraz potwierdzony właściwymi protokołami.</w:t>
      </w:r>
    </w:p>
    <w:p w14:paraId="4EFAE72A" w14:textId="77777777" w:rsidR="00D33C82" w:rsidRPr="00CD7AE5" w:rsidRDefault="00D33C82" w:rsidP="00FA7059">
      <w:pPr>
        <w:jc w:val="both"/>
        <w:rPr>
          <w:rFonts w:ascii="Times New Roman" w:hAnsi="Times New Roman" w:cs="Times New Roman"/>
        </w:rPr>
      </w:pPr>
    </w:p>
    <w:p w14:paraId="0A831C17" w14:textId="77777777" w:rsidR="00D33C82" w:rsidRPr="00CD7AE5" w:rsidRDefault="00D33C82" w:rsidP="00FA7059">
      <w:pPr>
        <w:keepNext/>
        <w:keepLines/>
        <w:suppressAutoHyphens/>
        <w:overflowPunct w:val="0"/>
        <w:autoSpaceDE w:val="0"/>
        <w:autoSpaceDN w:val="0"/>
        <w:adjustRightInd w:val="0"/>
        <w:spacing w:before="200" w:after="200"/>
        <w:jc w:val="both"/>
        <w:outlineLvl w:val="0"/>
        <w:rPr>
          <w:rFonts w:ascii="Times New Roman" w:hAnsi="Times New Roman" w:cs="Times New Roman"/>
          <w:b/>
          <w:caps/>
          <w:kern w:val="28"/>
        </w:rPr>
      </w:pPr>
      <w:r w:rsidRPr="00CD7AE5">
        <w:rPr>
          <w:rFonts w:ascii="Times New Roman" w:hAnsi="Times New Roman" w:cs="Times New Roman"/>
          <w:b/>
          <w:caps/>
          <w:kern w:val="28"/>
        </w:rPr>
        <w:lastRenderedPageBreak/>
        <w:t>9. PODSTAWA PŁATNOŚCI</w:t>
      </w:r>
    </w:p>
    <w:p w14:paraId="62D94C0F" w14:textId="77777777" w:rsidR="00D33C82" w:rsidRPr="00CD7AE5" w:rsidRDefault="00D33C82" w:rsidP="00FA7059">
      <w:pPr>
        <w:keepNext/>
        <w:overflowPunct w:val="0"/>
        <w:autoSpaceDE w:val="0"/>
        <w:autoSpaceDN w:val="0"/>
        <w:adjustRightInd w:val="0"/>
        <w:spacing w:before="200" w:after="200"/>
        <w:jc w:val="both"/>
        <w:outlineLvl w:val="1"/>
        <w:rPr>
          <w:rFonts w:ascii="Times New Roman" w:hAnsi="Times New Roman" w:cs="Times New Roman"/>
          <w:b/>
        </w:rPr>
      </w:pPr>
      <w:r w:rsidRPr="00CD7AE5">
        <w:rPr>
          <w:rFonts w:ascii="Times New Roman" w:hAnsi="Times New Roman" w:cs="Times New Roman"/>
          <w:b/>
        </w:rPr>
        <w:t>9.1. Ogólne ustalenia dotyczące podstawy płatności</w:t>
      </w:r>
    </w:p>
    <w:p w14:paraId="4547D402"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Ogólne ustalenia dotyczące podstawy płatności podano w ST D.00.00.00 „Wymagania ogólne” pkt 9.</w:t>
      </w:r>
    </w:p>
    <w:p w14:paraId="6F9D3487" w14:textId="77777777" w:rsidR="00D33C82" w:rsidRPr="00CD7AE5" w:rsidRDefault="00D33C82" w:rsidP="00FA7059">
      <w:pPr>
        <w:overflowPunct w:val="0"/>
        <w:autoSpaceDE w:val="0"/>
        <w:autoSpaceDN w:val="0"/>
        <w:adjustRightInd w:val="0"/>
        <w:spacing w:before="200" w:after="200"/>
        <w:jc w:val="both"/>
        <w:rPr>
          <w:rFonts w:ascii="Times New Roman" w:hAnsi="Times New Roman" w:cs="Times New Roman"/>
        </w:rPr>
      </w:pPr>
      <w:r w:rsidRPr="00CD7AE5">
        <w:rPr>
          <w:rFonts w:ascii="Times New Roman" w:hAnsi="Times New Roman" w:cs="Times New Roman"/>
          <w:b/>
        </w:rPr>
        <w:t>9.2. Cena jednostki obmiarowej</w:t>
      </w:r>
    </w:p>
    <w:p w14:paraId="7CF51D25" w14:textId="77777777" w:rsidR="00D33C82" w:rsidRPr="00CD7AE5" w:rsidRDefault="00D33C82" w:rsidP="00FA7059">
      <w:pPr>
        <w:overflowPunct w:val="0"/>
        <w:autoSpaceDE w:val="0"/>
        <w:autoSpaceDN w:val="0"/>
        <w:adjustRightInd w:val="0"/>
        <w:jc w:val="both"/>
        <w:rPr>
          <w:rFonts w:ascii="Times New Roman" w:hAnsi="Times New Roman" w:cs="Times New Roman"/>
        </w:rPr>
      </w:pPr>
      <w:r w:rsidRPr="00CD7AE5">
        <w:rPr>
          <w:rFonts w:ascii="Times New Roman" w:hAnsi="Times New Roman" w:cs="Times New Roman"/>
        </w:rPr>
        <w:tab/>
        <w:t xml:space="preserve">Cena </w:t>
      </w:r>
      <w:smartTag w:uri="urn:schemas-microsoft-com:office:smarttags" w:element="metricconverter">
        <w:smartTagPr>
          <w:attr w:name="ProductID" w:val="1 m"/>
        </w:smartTagPr>
        <w:r w:rsidRPr="00CD7AE5">
          <w:rPr>
            <w:rFonts w:ascii="Times New Roman" w:hAnsi="Times New Roman" w:cs="Times New Roman"/>
          </w:rPr>
          <w:t>1 m</w:t>
        </w:r>
      </w:smartTag>
      <w:r w:rsidRPr="00CD7AE5">
        <w:rPr>
          <w:rFonts w:ascii="Times New Roman" w:hAnsi="Times New Roman" w:cs="Times New Roman"/>
        </w:rPr>
        <w:t xml:space="preserve"> wykonanej i odebranej kanalizacji obejmuje:</w:t>
      </w:r>
    </w:p>
    <w:p w14:paraId="626C0941"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oznakowanie robót;</w:t>
      </w:r>
    </w:p>
    <w:p w14:paraId="65ABE358"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wykonanie robót przygotowawczych w tym roboty pomiarowe;</w:t>
      </w:r>
    </w:p>
    <w:p w14:paraId="0E3D93EB"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wykonanie wykopów wraz z ich zabezpieczeniem i pryzmowaniem gruntu na zasypkę oraz odwodnieniem;</w:t>
      </w:r>
    </w:p>
    <w:p w14:paraId="6B6055E4"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załadunek i transport nadmiaru gruntu na składowisko Wykonawcy;</w:t>
      </w:r>
    </w:p>
    <w:p w14:paraId="69CBFC85"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zakup kształtek, kanałów oraz pozostałych materiałów i ich transport na miejsce wbudowania;</w:t>
      </w:r>
    </w:p>
    <w:p w14:paraId="51A35B59"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układanie kanałów wraz z pracami przygotowawczymi, wykonaniem podsypki, obsypki oraz zasypki rurociągów;</w:t>
      </w:r>
    </w:p>
    <w:p w14:paraId="02F447CB"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wykonanie wymiany gruntu w tym zakup i transport gruntu niewysadzinowego;</w:t>
      </w:r>
    </w:p>
    <w:p w14:paraId="7072DDC8"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przeprowadzenie pomiarów i badań wymaganych w specyfikacji technicznej;</w:t>
      </w:r>
    </w:p>
    <w:p w14:paraId="01B333DA"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zasypanie i zagęszczenie wykopu;</w:t>
      </w:r>
    </w:p>
    <w:p w14:paraId="52D8F5DB"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wykonanie próby szczelności kanałów;</w:t>
      </w:r>
    </w:p>
    <w:p w14:paraId="685CAD39"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demontaż istniejącej sieci kanalizacyjnej wraz z utylizacją materiałów;</w:t>
      </w:r>
    </w:p>
    <w:p w14:paraId="466E4C4F"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oznakowanie trasy kanałów taśmą lokalizacyjno-ostrzegawczą;</w:t>
      </w:r>
    </w:p>
    <w:p w14:paraId="10723C0F" w14:textId="77777777" w:rsidR="00D33C82" w:rsidRPr="00CD7AE5" w:rsidRDefault="00D33C82" w:rsidP="00FA7059">
      <w:pPr>
        <w:pStyle w:val="Akapitzlist"/>
        <w:numPr>
          <w:ilvl w:val="0"/>
          <w:numId w:val="23"/>
        </w:numPr>
        <w:contextualSpacing w:val="0"/>
        <w:textAlignment w:val="auto"/>
        <w:rPr>
          <w:sz w:val="22"/>
          <w:szCs w:val="22"/>
        </w:rPr>
      </w:pPr>
      <w:r w:rsidRPr="00CD7AE5">
        <w:rPr>
          <w:sz w:val="22"/>
          <w:szCs w:val="22"/>
        </w:rPr>
        <w:t>koszty czasowego zajęcia terenu podczas wykonywania robót ponosi Wykonawca;</w:t>
      </w:r>
    </w:p>
    <w:p w14:paraId="0976B843" w14:textId="77777777" w:rsidR="00D33C82" w:rsidRPr="00CD7AE5" w:rsidRDefault="00D33C82" w:rsidP="00FA7059">
      <w:pPr>
        <w:numPr>
          <w:ilvl w:val="0"/>
          <w:numId w:val="23"/>
        </w:numPr>
        <w:overflowPunct w:val="0"/>
        <w:autoSpaceDE w:val="0"/>
        <w:autoSpaceDN w:val="0"/>
        <w:adjustRightInd w:val="0"/>
        <w:spacing w:after="0" w:line="240" w:lineRule="auto"/>
        <w:jc w:val="both"/>
        <w:rPr>
          <w:rFonts w:ascii="Times New Roman" w:hAnsi="Times New Roman" w:cs="Times New Roman"/>
        </w:rPr>
      </w:pPr>
      <w:r w:rsidRPr="00CD7AE5">
        <w:rPr>
          <w:rFonts w:ascii="Times New Roman" w:hAnsi="Times New Roman" w:cs="Times New Roman"/>
        </w:rPr>
        <w:t>uporządkowanie miejsca prowadzonych robót.</w:t>
      </w:r>
    </w:p>
    <w:p w14:paraId="2A878748" w14:textId="77777777" w:rsidR="00D33C82" w:rsidRPr="00CD7AE5" w:rsidRDefault="00D33C82" w:rsidP="00FA7059">
      <w:pPr>
        <w:spacing w:after="200" w:line="276" w:lineRule="auto"/>
        <w:jc w:val="both"/>
        <w:rPr>
          <w:rFonts w:ascii="Times New Roman" w:hAnsi="Times New Roman" w:cs="Times New Roman"/>
        </w:rPr>
      </w:pPr>
      <w:r w:rsidRPr="00CD7AE5">
        <w:rPr>
          <w:rFonts w:ascii="Times New Roman" w:hAnsi="Times New Roman" w:cs="Times New Roman"/>
        </w:rPr>
        <w:br w:type="page"/>
      </w:r>
    </w:p>
    <w:p w14:paraId="2C5D9DB0" w14:textId="77777777" w:rsidR="00D33C82" w:rsidRPr="00CD7AE5" w:rsidRDefault="00D33C82" w:rsidP="00D33C82">
      <w:pPr>
        <w:keepNext/>
        <w:keepLines/>
        <w:suppressAutoHyphens/>
        <w:overflowPunct w:val="0"/>
        <w:autoSpaceDE w:val="0"/>
        <w:autoSpaceDN w:val="0"/>
        <w:adjustRightInd w:val="0"/>
        <w:spacing w:before="200" w:after="200"/>
        <w:outlineLvl w:val="0"/>
        <w:rPr>
          <w:rFonts w:ascii="Times New Roman" w:hAnsi="Times New Roman" w:cs="Times New Roman"/>
          <w:b/>
          <w:caps/>
          <w:kern w:val="28"/>
        </w:rPr>
      </w:pPr>
      <w:r w:rsidRPr="00CD7AE5">
        <w:rPr>
          <w:rFonts w:ascii="Times New Roman" w:hAnsi="Times New Roman" w:cs="Times New Roman"/>
          <w:b/>
          <w:caps/>
          <w:kern w:val="28"/>
        </w:rPr>
        <w:lastRenderedPageBreak/>
        <w:t>10. PRZEPISY ZWIĄZANE</w:t>
      </w:r>
    </w:p>
    <w:p w14:paraId="1E773C2F" w14:textId="77777777" w:rsidR="00D33C82" w:rsidRPr="00CD7AE5" w:rsidRDefault="00D33C82" w:rsidP="00D33C82">
      <w:pPr>
        <w:keepNext/>
        <w:overflowPunct w:val="0"/>
        <w:autoSpaceDE w:val="0"/>
        <w:autoSpaceDN w:val="0"/>
        <w:adjustRightInd w:val="0"/>
        <w:spacing w:before="200" w:after="200"/>
        <w:outlineLvl w:val="1"/>
        <w:rPr>
          <w:rFonts w:ascii="Times New Roman" w:hAnsi="Times New Roman" w:cs="Times New Roman"/>
          <w:b/>
        </w:rPr>
      </w:pPr>
      <w:r w:rsidRPr="00CD7AE5">
        <w:rPr>
          <w:rFonts w:ascii="Times New Roman" w:hAnsi="Times New Roman" w:cs="Times New Roman"/>
          <w:b/>
        </w:rPr>
        <w:t>10.1. Normy</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6"/>
        <w:gridCol w:w="2409"/>
        <w:gridCol w:w="5742"/>
      </w:tblGrid>
      <w:tr w:rsidR="00D33C82" w:rsidRPr="00CD7AE5" w14:paraId="18A5DBB2" w14:textId="77777777" w:rsidTr="00D33C82">
        <w:trPr>
          <w:trHeight w:val="420"/>
        </w:trPr>
        <w:tc>
          <w:tcPr>
            <w:tcW w:w="496" w:type="dxa"/>
            <w:hideMark/>
          </w:tcPr>
          <w:p w14:paraId="5F4CA958"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1.</w:t>
            </w:r>
          </w:p>
        </w:tc>
        <w:tc>
          <w:tcPr>
            <w:tcW w:w="2409" w:type="dxa"/>
            <w:hideMark/>
          </w:tcPr>
          <w:p w14:paraId="1B097FBF"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PN-B- 10736: 1999</w:t>
            </w:r>
          </w:p>
        </w:tc>
        <w:tc>
          <w:tcPr>
            <w:tcW w:w="5742" w:type="dxa"/>
            <w:hideMark/>
          </w:tcPr>
          <w:p w14:paraId="56766FA4"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shd w:val="clear" w:color="auto" w:fill="FFFFFF"/>
              </w:rPr>
              <w:t>Roboty ziemne -- Wykopy otwarte dla przewodów wodociągowych i kanalizacyjnych -- Warunki techniczne wykonania</w:t>
            </w:r>
          </w:p>
        </w:tc>
      </w:tr>
      <w:tr w:rsidR="00D33C82" w:rsidRPr="00CD7AE5" w14:paraId="4D3EE503" w14:textId="77777777" w:rsidTr="00D33C82">
        <w:tc>
          <w:tcPr>
            <w:tcW w:w="496" w:type="dxa"/>
            <w:hideMark/>
          </w:tcPr>
          <w:p w14:paraId="2DE9EB78"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2.</w:t>
            </w:r>
          </w:p>
        </w:tc>
        <w:tc>
          <w:tcPr>
            <w:tcW w:w="2409" w:type="dxa"/>
            <w:hideMark/>
          </w:tcPr>
          <w:p w14:paraId="01FB3017" w14:textId="77777777" w:rsidR="00D33C82" w:rsidRPr="00CD7AE5" w:rsidRDefault="00D33C82" w:rsidP="00D33C82">
            <w:pPr>
              <w:pStyle w:val="Nagwek1"/>
              <w:rPr>
                <w:sz w:val="22"/>
                <w:szCs w:val="22"/>
              </w:rPr>
            </w:pPr>
            <w:r w:rsidRPr="00CD7AE5">
              <w:rPr>
                <w:b w:val="0"/>
                <w:caps w:val="0"/>
                <w:kern w:val="0"/>
                <w:sz w:val="22"/>
                <w:szCs w:val="22"/>
              </w:rPr>
              <w:t>PN-EN 752:2017-06</w:t>
            </w:r>
          </w:p>
          <w:p w14:paraId="1C709F80" w14:textId="77777777" w:rsidR="00D33C82" w:rsidRPr="00CD7AE5" w:rsidRDefault="00D33C82" w:rsidP="00D33C82">
            <w:pPr>
              <w:overflowPunct w:val="0"/>
              <w:autoSpaceDE w:val="0"/>
              <w:autoSpaceDN w:val="0"/>
              <w:adjustRightInd w:val="0"/>
              <w:rPr>
                <w:rFonts w:ascii="Times New Roman" w:hAnsi="Times New Roman" w:cs="Times New Roman"/>
              </w:rPr>
            </w:pPr>
          </w:p>
        </w:tc>
        <w:tc>
          <w:tcPr>
            <w:tcW w:w="5742" w:type="dxa"/>
            <w:hideMark/>
          </w:tcPr>
          <w:p w14:paraId="27A3AD5F" w14:textId="77777777" w:rsidR="00D33C82" w:rsidRPr="00CD7AE5" w:rsidRDefault="00D33C82" w:rsidP="00D33C82">
            <w:pPr>
              <w:overflowPunct w:val="0"/>
              <w:autoSpaceDE w:val="0"/>
              <w:autoSpaceDN w:val="0"/>
              <w:adjustRightInd w:val="0"/>
              <w:rPr>
                <w:rFonts w:ascii="Times New Roman" w:hAnsi="Times New Roman" w:cs="Times New Roman"/>
                <w:shd w:val="clear" w:color="auto" w:fill="FFFFFF"/>
              </w:rPr>
            </w:pPr>
            <w:r w:rsidRPr="00CD7AE5">
              <w:rPr>
                <w:rFonts w:ascii="Times New Roman" w:hAnsi="Times New Roman" w:cs="Times New Roman"/>
              </w:rPr>
              <w:t>Zewnętrzne systemy odwadniające i kanalizacyjne -- Zarządzanie systemem kanalizacyjnym</w:t>
            </w:r>
          </w:p>
        </w:tc>
      </w:tr>
      <w:tr w:rsidR="00D33C82" w:rsidRPr="00CD7AE5" w14:paraId="788EDFB7" w14:textId="77777777" w:rsidTr="00D33C82">
        <w:tc>
          <w:tcPr>
            <w:tcW w:w="496" w:type="dxa"/>
            <w:hideMark/>
          </w:tcPr>
          <w:p w14:paraId="00E47338"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3.</w:t>
            </w:r>
          </w:p>
        </w:tc>
        <w:tc>
          <w:tcPr>
            <w:tcW w:w="2409" w:type="dxa"/>
            <w:hideMark/>
          </w:tcPr>
          <w:p w14:paraId="5724D7A0" w14:textId="77777777" w:rsidR="00D33C82" w:rsidRPr="00CD7AE5" w:rsidRDefault="00D33C82" w:rsidP="00D33C82">
            <w:pPr>
              <w:rPr>
                <w:rFonts w:ascii="Times New Roman" w:hAnsi="Times New Roman" w:cs="Times New Roman"/>
              </w:rPr>
            </w:pPr>
            <w:r w:rsidRPr="00CD7AE5">
              <w:rPr>
                <w:rFonts w:ascii="Times New Roman" w:hAnsi="Times New Roman" w:cs="Times New Roman"/>
              </w:rPr>
              <w:t>PN EN 1610: 2015-10</w:t>
            </w:r>
          </w:p>
        </w:tc>
        <w:tc>
          <w:tcPr>
            <w:tcW w:w="5742" w:type="dxa"/>
            <w:hideMark/>
          </w:tcPr>
          <w:p w14:paraId="3B70FC61"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shd w:val="clear" w:color="auto" w:fill="FFFFFF"/>
              </w:rPr>
              <w:t>Budowa i badania przewodów kanalizacyjnych</w:t>
            </w:r>
          </w:p>
        </w:tc>
      </w:tr>
      <w:tr w:rsidR="00D33C82" w:rsidRPr="00CD7AE5" w14:paraId="0E42B6E8" w14:textId="77777777" w:rsidTr="00D33C82">
        <w:trPr>
          <w:trHeight w:val="1150"/>
        </w:trPr>
        <w:tc>
          <w:tcPr>
            <w:tcW w:w="496" w:type="dxa"/>
            <w:hideMark/>
          </w:tcPr>
          <w:p w14:paraId="1C295E74"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4.</w:t>
            </w:r>
          </w:p>
        </w:tc>
        <w:tc>
          <w:tcPr>
            <w:tcW w:w="2409" w:type="dxa"/>
            <w:hideMark/>
          </w:tcPr>
          <w:p w14:paraId="7A193C10" w14:textId="77777777" w:rsidR="00D33C82" w:rsidRPr="00CD7AE5" w:rsidRDefault="00D33C82" w:rsidP="00D33C82">
            <w:pPr>
              <w:rPr>
                <w:rFonts w:ascii="Times New Roman" w:hAnsi="Times New Roman" w:cs="Times New Roman"/>
              </w:rPr>
            </w:pPr>
            <w:r w:rsidRPr="00CD7AE5">
              <w:rPr>
                <w:rFonts w:ascii="Times New Roman" w:hAnsi="Times New Roman" w:cs="Times New Roman"/>
              </w:rPr>
              <w:t>PN-EN 12201-1:2012</w:t>
            </w:r>
          </w:p>
          <w:p w14:paraId="35222D4C" w14:textId="77777777" w:rsidR="00D33C82" w:rsidRPr="00CD7AE5" w:rsidRDefault="00D33C82" w:rsidP="00D33C82">
            <w:pPr>
              <w:overflowPunct w:val="0"/>
              <w:autoSpaceDE w:val="0"/>
              <w:autoSpaceDN w:val="0"/>
              <w:adjustRightInd w:val="0"/>
              <w:rPr>
                <w:rFonts w:ascii="Times New Roman" w:hAnsi="Times New Roman" w:cs="Times New Roman"/>
              </w:rPr>
            </w:pPr>
          </w:p>
        </w:tc>
        <w:tc>
          <w:tcPr>
            <w:tcW w:w="5742" w:type="dxa"/>
            <w:hideMark/>
          </w:tcPr>
          <w:p w14:paraId="7B307D45" w14:textId="77777777" w:rsidR="00D33C82" w:rsidRPr="00CD7AE5" w:rsidRDefault="00D33C82" w:rsidP="00D33C82">
            <w:pPr>
              <w:overflowPunct w:val="0"/>
              <w:autoSpaceDE w:val="0"/>
              <w:autoSpaceDN w:val="0"/>
              <w:adjustRightInd w:val="0"/>
              <w:rPr>
                <w:rFonts w:ascii="Times New Roman" w:hAnsi="Times New Roman" w:cs="Times New Roman"/>
                <w:b/>
                <w:caps/>
              </w:rPr>
            </w:pPr>
            <w:r w:rsidRPr="00CD7AE5">
              <w:rPr>
                <w:rFonts w:ascii="Times New Roman" w:hAnsi="Times New Roman" w:cs="Times New Roman"/>
                <w:shd w:val="clear" w:color="auto" w:fill="FFFFFF"/>
              </w:rPr>
              <w:t>Systemy przewodów rurowych z tworzyw sztucznych do przesyłania wody oraz do ciśnieniowej kanalizacji deszczowej i sanitarnej -- polietylen (pe) -- część 1: postanowienia ogólne</w:t>
            </w:r>
          </w:p>
        </w:tc>
      </w:tr>
      <w:tr w:rsidR="00D33C82" w:rsidRPr="00CD7AE5" w14:paraId="0D5E8150" w14:textId="77777777" w:rsidTr="00D33C82">
        <w:tc>
          <w:tcPr>
            <w:tcW w:w="496" w:type="dxa"/>
            <w:hideMark/>
          </w:tcPr>
          <w:p w14:paraId="306F990E"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5.</w:t>
            </w:r>
          </w:p>
        </w:tc>
        <w:tc>
          <w:tcPr>
            <w:tcW w:w="2409" w:type="dxa"/>
            <w:hideMark/>
          </w:tcPr>
          <w:p w14:paraId="444F7F75"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PN-EN 476:2012</w:t>
            </w:r>
          </w:p>
        </w:tc>
        <w:tc>
          <w:tcPr>
            <w:tcW w:w="5742" w:type="dxa"/>
            <w:hideMark/>
          </w:tcPr>
          <w:p w14:paraId="38D98F62" w14:textId="77777777" w:rsidR="00D33C82" w:rsidRPr="00CD7AE5" w:rsidRDefault="00D33C82" w:rsidP="00D33C82">
            <w:pPr>
              <w:overflowPunct w:val="0"/>
              <w:autoSpaceDE w:val="0"/>
              <w:autoSpaceDN w:val="0"/>
              <w:adjustRightInd w:val="0"/>
              <w:rPr>
                <w:rFonts w:ascii="Times New Roman" w:hAnsi="Times New Roman" w:cs="Times New Roman"/>
                <w:strike/>
              </w:rPr>
            </w:pPr>
            <w:r w:rsidRPr="00CD7AE5">
              <w:rPr>
                <w:rFonts w:ascii="Times New Roman" w:hAnsi="Times New Roman" w:cs="Times New Roman"/>
                <w:shd w:val="clear" w:color="auto" w:fill="FFFFFF"/>
              </w:rPr>
              <w:t>Wymagania ogólne dotyczące elementów stosowanych w systemach kanalizacji deszczowej i sanitarnej</w:t>
            </w:r>
          </w:p>
        </w:tc>
      </w:tr>
      <w:tr w:rsidR="00D33C82" w:rsidRPr="00CD7AE5" w14:paraId="1C05CCAE" w14:textId="77777777" w:rsidTr="00D33C82">
        <w:tc>
          <w:tcPr>
            <w:tcW w:w="496" w:type="dxa"/>
            <w:hideMark/>
          </w:tcPr>
          <w:p w14:paraId="7D93A450"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6.</w:t>
            </w:r>
          </w:p>
        </w:tc>
        <w:tc>
          <w:tcPr>
            <w:tcW w:w="2409" w:type="dxa"/>
            <w:hideMark/>
          </w:tcPr>
          <w:p w14:paraId="2413917E"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xml:space="preserve">PN-EN 12620+A1:2010 </w:t>
            </w:r>
          </w:p>
        </w:tc>
        <w:tc>
          <w:tcPr>
            <w:tcW w:w="5742" w:type="dxa"/>
            <w:hideMark/>
          </w:tcPr>
          <w:p w14:paraId="1DC14F24"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shd w:val="clear" w:color="auto" w:fill="FFFFFF"/>
              </w:rPr>
              <w:t>Kruszywa do betonu</w:t>
            </w:r>
          </w:p>
        </w:tc>
      </w:tr>
      <w:tr w:rsidR="00D33C82" w:rsidRPr="00CD7AE5" w14:paraId="42223E2A" w14:textId="77777777" w:rsidTr="00D33C82">
        <w:tc>
          <w:tcPr>
            <w:tcW w:w="496" w:type="dxa"/>
            <w:hideMark/>
          </w:tcPr>
          <w:p w14:paraId="2589F652"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7.</w:t>
            </w:r>
          </w:p>
        </w:tc>
        <w:tc>
          <w:tcPr>
            <w:tcW w:w="2409" w:type="dxa"/>
            <w:hideMark/>
          </w:tcPr>
          <w:p w14:paraId="38BB69BA"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PN-EN 206+A1:2016-12</w:t>
            </w:r>
          </w:p>
        </w:tc>
        <w:tc>
          <w:tcPr>
            <w:tcW w:w="5742" w:type="dxa"/>
            <w:hideMark/>
          </w:tcPr>
          <w:p w14:paraId="08D3D86B"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shd w:val="clear" w:color="auto" w:fill="FFFFFF"/>
              </w:rPr>
              <w:t>Beton -- Wymagania, właściwości, produkcja i zgodność</w:t>
            </w:r>
          </w:p>
        </w:tc>
      </w:tr>
      <w:tr w:rsidR="00D33C82" w:rsidRPr="00CD7AE5" w14:paraId="553F0FB2" w14:textId="77777777" w:rsidTr="00D33C82">
        <w:tc>
          <w:tcPr>
            <w:tcW w:w="496" w:type="dxa"/>
            <w:hideMark/>
          </w:tcPr>
          <w:p w14:paraId="36B79B10" w14:textId="77777777" w:rsidR="00D33C82" w:rsidRPr="00CD7AE5" w:rsidRDefault="00D33C82" w:rsidP="00D33C82">
            <w:pPr>
              <w:overflowPunct w:val="0"/>
              <w:autoSpaceDE w:val="0"/>
              <w:autoSpaceDN w:val="0"/>
              <w:adjustRightInd w:val="0"/>
              <w:jc w:val="center"/>
              <w:rPr>
                <w:rFonts w:ascii="Times New Roman" w:hAnsi="Times New Roman" w:cs="Times New Roman"/>
              </w:rPr>
            </w:pPr>
            <w:r w:rsidRPr="00CD7AE5">
              <w:rPr>
                <w:rFonts w:ascii="Times New Roman" w:hAnsi="Times New Roman" w:cs="Times New Roman"/>
              </w:rPr>
              <w:t>8.</w:t>
            </w:r>
          </w:p>
        </w:tc>
        <w:tc>
          <w:tcPr>
            <w:tcW w:w="2409" w:type="dxa"/>
            <w:hideMark/>
          </w:tcPr>
          <w:p w14:paraId="3CC48B6E"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xml:space="preserve">PN–B-14501 </w:t>
            </w:r>
          </w:p>
        </w:tc>
        <w:tc>
          <w:tcPr>
            <w:tcW w:w="5742" w:type="dxa"/>
            <w:hideMark/>
          </w:tcPr>
          <w:p w14:paraId="5B25D3E6"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shd w:val="clear" w:color="auto" w:fill="FFFFFF"/>
              </w:rPr>
              <w:t>Zaprawy budowlane zwykłe</w:t>
            </w:r>
          </w:p>
        </w:tc>
      </w:tr>
    </w:tbl>
    <w:p w14:paraId="6F4A0424" w14:textId="77777777" w:rsidR="00D33C82" w:rsidRPr="00CD7AE5" w:rsidRDefault="00D33C82" w:rsidP="00D33C82">
      <w:pPr>
        <w:keepNext/>
        <w:overflowPunct w:val="0"/>
        <w:autoSpaceDE w:val="0"/>
        <w:autoSpaceDN w:val="0"/>
        <w:adjustRightInd w:val="0"/>
        <w:spacing w:before="120" w:after="120"/>
        <w:outlineLvl w:val="1"/>
        <w:rPr>
          <w:rFonts w:ascii="Times New Roman" w:hAnsi="Times New Roman" w:cs="Times New Roman"/>
          <w:b/>
        </w:rPr>
      </w:pPr>
    </w:p>
    <w:p w14:paraId="058DC92D" w14:textId="77777777" w:rsidR="00D33C82" w:rsidRPr="00CD7AE5" w:rsidRDefault="00D33C82" w:rsidP="00D33C82">
      <w:pPr>
        <w:keepNext/>
        <w:overflowPunct w:val="0"/>
        <w:autoSpaceDE w:val="0"/>
        <w:autoSpaceDN w:val="0"/>
        <w:adjustRightInd w:val="0"/>
        <w:spacing w:before="200" w:after="200"/>
        <w:outlineLvl w:val="1"/>
        <w:rPr>
          <w:rFonts w:ascii="Times New Roman" w:hAnsi="Times New Roman" w:cs="Times New Roman"/>
          <w:b/>
        </w:rPr>
      </w:pPr>
      <w:r w:rsidRPr="00CD7AE5">
        <w:rPr>
          <w:rFonts w:ascii="Times New Roman" w:hAnsi="Times New Roman" w:cs="Times New Roman"/>
          <w:b/>
        </w:rPr>
        <w:t>10.2. Inne dokumenty</w:t>
      </w:r>
    </w:p>
    <w:tbl>
      <w:tblPr>
        <w:tblW w:w="0" w:type="auto"/>
        <w:tblCellMar>
          <w:left w:w="70" w:type="dxa"/>
          <w:right w:w="70" w:type="dxa"/>
        </w:tblCellMar>
        <w:tblLook w:val="04A0" w:firstRow="1" w:lastRow="0" w:firstColumn="1" w:lastColumn="0" w:noHBand="0" w:noVBand="1"/>
      </w:tblPr>
      <w:tblGrid>
        <w:gridCol w:w="496"/>
        <w:gridCol w:w="8151"/>
      </w:tblGrid>
      <w:tr w:rsidR="00D33C82" w:rsidRPr="00CD7AE5" w14:paraId="74F35E69" w14:textId="77777777" w:rsidTr="00D33C82">
        <w:tc>
          <w:tcPr>
            <w:tcW w:w="496" w:type="dxa"/>
            <w:hideMark/>
          </w:tcPr>
          <w:p w14:paraId="2B6B6CA2"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1.</w:t>
            </w:r>
          </w:p>
        </w:tc>
        <w:tc>
          <w:tcPr>
            <w:tcW w:w="8151" w:type="dxa"/>
            <w:hideMark/>
          </w:tcPr>
          <w:p w14:paraId="53335FE9"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xml:space="preserve">Wymagania techniczne COBRTI Instal Zeszyt 9: </w:t>
            </w:r>
            <w:r w:rsidRPr="00CD7AE5">
              <w:rPr>
                <w:rFonts w:ascii="Times New Roman" w:hAnsi="Times New Roman" w:cs="Times New Roman"/>
                <w:i/>
              </w:rPr>
              <w:t>Warunki techniczne wykonania i odbioru sieci kanalizacyjnych</w:t>
            </w:r>
            <w:r w:rsidRPr="00CD7AE5">
              <w:rPr>
                <w:rFonts w:ascii="Times New Roman" w:hAnsi="Times New Roman" w:cs="Times New Roman"/>
              </w:rPr>
              <w:t>, Warszawa, sierpień 2003 r.</w:t>
            </w:r>
          </w:p>
        </w:tc>
      </w:tr>
      <w:tr w:rsidR="00D33C82" w:rsidRPr="00CD7AE5" w14:paraId="5B325F11" w14:textId="77777777" w:rsidTr="00D33C82">
        <w:tc>
          <w:tcPr>
            <w:tcW w:w="496" w:type="dxa"/>
            <w:hideMark/>
          </w:tcPr>
          <w:p w14:paraId="3779CA25"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2.</w:t>
            </w:r>
          </w:p>
        </w:tc>
        <w:tc>
          <w:tcPr>
            <w:tcW w:w="8151" w:type="dxa"/>
            <w:hideMark/>
          </w:tcPr>
          <w:p w14:paraId="564CCBC6"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xml:space="preserve">Obwieszczenie Marszałka Sejmu Rzeczypospolitej Polskiej z dnia 8 września 2016 r. </w:t>
            </w:r>
            <w:r w:rsidRPr="00CD7AE5">
              <w:rPr>
                <w:rFonts w:ascii="Times New Roman" w:hAnsi="Times New Roman" w:cs="Times New Roman"/>
              </w:rPr>
              <w:br/>
              <w:t>w sprawie ogłoszenia jednolitego tekstu ustawy o wyrobach budowlanych (Dz. U. 2016 poz. 1570).</w:t>
            </w:r>
          </w:p>
        </w:tc>
      </w:tr>
      <w:tr w:rsidR="00D33C82" w:rsidRPr="00CD7AE5" w14:paraId="57B1010C" w14:textId="77777777" w:rsidTr="00D33C82">
        <w:tc>
          <w:tcPr>
            <w:tcW w:w="496" w:type="dxa"/>
            <w:hideMark/>
          </w:tcPr>
          <w:p w14:paraId="3675FDD9"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3.</w:t>
            </w:r>
          </w:p>
        </w:tc>
        <w:tc>
          <w:tcPr>
            <w:tcW w:w="8151" w:type="dxa"/>
            <w:hideMark/>
          </w:tcPr>
          <w:p w14:paraId="67982C2C"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„Katalog powtarzalnych elementów drogowych”. „Transprojekt” - Warszawa, </w:t>
            </w:r>
          </w:p>
          <w:p w14:paraId="53E3729E"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1979-1982 r.</w:t>
            </w:r>
          </w:p>
        </w:tc>
      </w:tr>
      <w:tr w:rsidR="00D33C82" w:rsidRPr="00CD7AE5" w14:paraId="3246B494" w14:textId="77777777" w:rsidTr="00D33C82">
        <w:tc>
          <w:tcPr>
            <w:tcW w:w="496" w:type="dxa"/>
            <w:hideMark/>
          </w:tcPr>
          <w:p w14:paraId="3C82078B"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4.</w:t>
            </w:r>
          </w:p>
        </w:tc>
        <w:tc>
          <w:tcPr>
            <w:tcW w:w="8151" w:type="dxa"/>
            <w:hideMark/>
          </w:tcPr>
          <w:p w14:paraId="636845B2" w14:textId="77777777" w:rsidR="00D33C82" w:rsidRPr="00CD7AE5" w:rsidRDefault="00D33C82" w:rsidP="00D33C82">
            <w:pPr>
              <w:overflowPunct w:val="0"/>
              <w:autoSpaceDE w:val="0"/>
              <w:autoSpaceDN w:val="0"/>
              <w:adjustRightInd w:val="0"/>
              <w:rPr>
                <w:rFonts w:ascii="Times New Roman" w:hAnsi="Times New Roman" w:cs="Times New Roman"/>
              </w:rPr>
            </w:pPr>
            <w:r w:rsidRPr="00CD7AE5">
              <w:rPr>
                <w:rFonts w:ascii="Times New Roman" w:hAnsi="Times New Roman" w:cs="Times New Roman"/>
              </w:rPr>
              <w:t xml:space="preserve">Obwieszczenie Ministra Infrastruktury i Budownictwa z dnia 23 grudnia 2015 r. w sprawie ogłoszenia jednolitego tekstu rozporządzenia Ministra Transportu i Gospodarki Morskiej </w:t>
            </w:r>
            <w:r w:rsidRPr="00CD7AE5">
              <w:rPr>
                <w:rFonts w:ascii="Times New Roman" w:hAnsi="Times New Roman" w:cs="Times New Roman"/>
              </w:rPr>
              <w:br/>
              <w:t>w sprawie warunków technicznych, jakim powinny odpowiadać drogi publiczne i ich usytuowanie (Dz. U. 2016 poz. 124).</w:t>
            </w:r>
          </w:p>
        </w:tc>
      </w:tr>
    </w:tbl>
    <w:p w14:paraId="5D8A4F5B" w14:textId="77777777" w:rsidR="007F373E" w:rsidRDefault="007F373E" w:rsidP="00500186">
      <w:pPr>
        <w:ind w:left="1416" w:hanging="1416"/>
        <w:rPr>
          <w:rFonts w:ascii="Times New Roman" w:eastAsia="Times New Roman" w:hAnsi="Times New Roman" w:cs="Times New Roman"/>
          <w:b/>
          <w:color w:val="000000" w:themeColor="text1"/>
          <w:lang w:eastAsia="pl-PL"/>
        </w:rPr>
      </w:pPr>
    </w:p>
    <w:p w14:paraId="1E133BBD" w14:textId="77777777" w:rsidR="007F373E" w:rsidRDefault="007F373E">
      <w:pPr>
        <w:rPr>
          <w:rFonts w:ascii="Times New Roman" w:eastAsia="Times New Roman" w:hAnsi="Times New Roman" w:cs="Times New Roman"/>
          <w:b/>
          <w:color w:val="000000" w:themeColor="text1"/>
          <w:lang w:eastAsia="pl-PL"/>
        </w:rPr>
      </w:pPr>
      <w:r>
        <w:rPr>
          <w:rFonts w:ascii="Times New Roman" w:eastAsia="Times New Roman" w:hAnsi="Times New Roman" w:cs="Times New Roman"/>
          <w:b/>
          <w:color w:val="000000" w:themeColor="text1"/>
          <w:lang w:eastAsia="pl-PL"/>
        </w:rPr>
        <w:br w:type="page"/>
      </w:r>
    </w:p>
    <w:p w14:paraId="62E787CB" w14:textId="77777777" w:rsidR="00955A27" w:rsidRPr="001667DB" w:rsidRDefault="00F45BFE" w:rsidP="00500186">
      <w:pPr>
        <w:ind w:left="1416" w:hanging="1416"/>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lastRenderedPageBreak/>
        <w:t>D-04.01.01</w:t>
      </w:r>
      <w:r w:rsidRPr="001667DB">
        <w:rPr>
          <w:rFonts w:ascii="Times New Roman" w:eastAsia="Times New Roman" w:hAnsi="Times New Roman" w:cs="Times New Roman"/>
          <w:b/>
          <w:color w:val="000000" w:themeColor="text1"/>
          <w:lang w:eastAsia="pl-PL"/>
        </w:rPr>
        <w:tab/>
      </w:r>
      <w:r w:rsidR="00955A27" w:rsidRPr="001667DB">
        <w:rPr>
          <w:rFonts w:ascii="Times New Roman" w:eastAsia="Times New Roman" w:hAnsi="Times New Roman" w:cs="Times New Roman"/>
          <w:b/>
          <w:color w:val="000000" w:themeColor="text1"/>
          <w:lang w:eastAsia="pl-PL"/>
        </w:rPr>
        <w:t>KORYTO  WRAZ  Z  PRO</w:t>
      </w:r>
      <w:r w:rsidR="00500186" w:rsidRPr="001667DB">
        <w:rPr>
          <w:rFonts w:ascii="Times New Roman" w:eastAsia="Times New Roman" w:hAnsi="Times New Roman" w:cs="Times New Roman"/>
          <w:b/>
          <w:color w:val="000000" w:themeColor="text1"/>
          <w:lang w:eastAsia="pl-PL"/>
        </w:rPr>
        <w:t xml:space="preserve">FILOWANIEM </w:t>
      </w:r>
      <w:r w:rsidR="00955A27" w:rsidRPr="001667DB">
        <w:rPr>
          <w:rFonts w:ascii="Times New Roman" w:eastAsia="Times New Roman" w:hAnsi="Times New Roman" w:cs="Times New Roman"/>
          <w:b/>
          <w:color w:val="000000" w:themeColor="text1"/>
          <w:lang w:eastAsia="pl-PL"/>
        </w:rPr>
        <w:t>I  ZAGĘSZCZANIEM  PODŁOŻA</w:t>
      </w:r>
    </w:p>
    <w:p w14:paraId="6751512F"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25" w:name="_1._WST%C4%98P"/>
      <w:bookmarkEnd w:id="325"/>
      <w:r w:rsidRPr="001667DB">
        <w:rPr>
          <w:rFonts w:ascii="Times New Roman" w:eastAsia="Times New Roman" w:hAnsi="Times New Roman" w:cs="Times New Roman"/>
          <w:b/>
          <w:caps/>
          <w:color w:val="000000" w:themeColor="text1"/>
          <w:kern w:val="2"/>
          <w:lang w:eastAsia="pl-PL"/>
        </w:rPr>
        <w:t>1. WSTĘP</w:t>
      </w:r>
    </w:p>
    <w:p w14:paraId="35A45B21" w14:textId="77777777" w:rsidR="00955A27" w:rsidRPr="001667DB" w:rsidRDefault="00955A27" w:rsidP="00955A27">
      <w:pPr>
        <w:keepNext/>
        <w:overflowPunct w:val="0"/>
        <w:autoSpaceDE w:val="0"/>
        <w:spacing w:before="120" w:after="120" w:line="360" w:lineRule="auto"/>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1.1. Przedmiot ST</w:t>
      </w:r>
    </w:p>
    <w:p w14:paraId="7D48DFC5" w14:textId="77777777" w:rsidR="00955A27" w:rsidRPr="00326BBF" w:rsidRDefault="00955A27" w:rsidP="00FA7059">
      <w:pPr>
        <w:pStyle w:val="Tekstkomentarza1"/>
        <w:spacing w:after="120" w:line="360" w:lineRule="auto"/>
        <w:rPr>
          <w:b w:val="0"/>
          <w:color w:val="000000" w:themeColor="text1"/>
          <w:sz w:val="22"/>
          <w:szCs w:val="22"/>
          <w:lang w:val="pl-PL"/>
        </w:rPr>
      </w:pPr>
      <w:r w:rsidRPr="00326BBF">
        <w:rPr>
          <w:color w:val="000000" w:themeColor="text1"/>
          <w:sz w:val="22"/>
          <w:szCs w:val="22"/>
          <w:lang w:val="pl-PL"/>
        </w:rPr>
        <w:tab/>
        <w:t xml:space="preserve">Przedmiotem niniejszej specyfikacji technicznej (ST) są wymagania dotyczące wykonania i odbioru robót związanych z wykonywaniem koryta wraz z profilowaniem i zagęszczaniem podłoża gruntowego w związku z </w:t>
      </w:r>
      <w:r w:rsidR="00FD3B41" w:rsidRPr="00FD3B41">
        <w:rPr>
          <w:b w:val="0"/>
          <w:color w:val="000000" w:themeColor="text1"/>
          <w:sz w:val="22"/>
          <w:szCs w:val="22"/>
        </w:rPr>
        <w:t>„Rozbudowa drogi wojewódzkiej nr 461 w m. Dąbrówka Łubniańska i Łubniany” – Etap I ( km od 9+741,88 do 10+371,13)</w:t>
      </w:r>
    </w:p>
    <w:p w14:paraId="6FBD8026" w14:textId="77777777" w:rsidR="00955A27" w:rsidRPr="00326BBF" w:rsidRDefault="00955A27" w:rsidP="00FA7059">
      <w:pPr>
        <w:pStyle w:val="Tekstkomentarza1"/>
        <w:spacing w:after="120" w:line="360" w:lineRule="auto"/>
        <w:rPr>
          <w:color w:val="000000" w:themeColor="text1"/>
          <w:sz w:val="22"/>
          <w:szCs w:val="22"/>
          <w:lang w:val="pl-PL"/>
        </w:rPr>
      </w:pPr>
      <w:r w:rsidRPr="00326BBF">
        <w:rPr>
          <w:b w:val="0"/>
          <w:color w:val="000000" w:themeColor="text1"/>
          <w:sz w:val="22"/>
          <w:szCs w:val="22"/>
          <w:lang w:val="pl-PL" w:eastAsia="pl-PL"/>
        </w:rPr>
        <w:t>1.2. Zakres stosowania ST</w:t>
      </w:r>
    </w:p>
    <w:p w14:paraId="53EA2E1C"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r>
      <w:r w:rsidRPr="001667DB">
        <w:rPr>
          <w:rFonts w:ascii="Times New Roman" w:hAnsi="Times New Roman" w:cs="Times New Roman"/>
          <w:color w:val="000000" w:themeColor="text1"/>
        </w:rPr>
        <w:t xml:space="preserve">ST jest stosowana jako dokument przetargowy i kontraktowy przy zlecaniu i realizacji robót wymienionych w pkt.1.1. </w:t>
      </w:r>
    </w:p>
    <w:p w14:paraId="59F7CF32"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1.3. Zakres robót objętych ST</w:t>
      </w:r>
    </w:p>
    <w:p w14:paraId="12D4A801"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Ustalenia zawarte w niniejszej specyfikacji dotyczą zasad prowadzenia robót związanych z wykonaniem koryta przeznaczonego do ułożenia konstrukcji nawierzchni. </w:t>
      </w:r>
    </w:p>
    <w:p w14:paraId="033DE4FD"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bookmarkStart w:id="326" w:name="OLE_LINK1"/>
      <w:r w:rsidRPr="001667DB">
        <w:rPr>
          <w:rFonts w:ascii="Times New Roman" w:hAnsi="Times New Roman" w:cs="Times New Roman"/>
          <w:color w:val="000000" w:themeColor="text1"/>
        </w:rPr>
        <w:t xml:space="preserve">Zakres robót obejmuje  </w:t>
      </w:r>
    </w:p>
    <w:p w14:paraId="78868158" w14:textId="77777777" w:rsidR="00955A27" w:rsidRPr="001667DB" w:rsidRDefault="00955A27" w:rsidP="00904E6C">
      <w:pPr>
        <w:numPr>
          <w:ilvl w:val="0"/>
          <w:numId w:val="81"/>
        </w:numPr>
        <w:suppressAutoHyphen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profilowanie, zagęszczenie podłoża </w:t>
      </w:r>
      <w:bookmarkEnd w:id="326"/>
    </w:p>
    <w:p w14:paraId="5B1CF917"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018CDC53"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1.4. Określenia podstawowe</w:t>
      </w:r>
    </w:p>
    <w:p w14:paraId="13ECFE06"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Określenia podstawowe są zgodne z obowiązującymi, odpowiednimi polskimi normami i definicjami podanymi w ST D-00.00.00 „Wymagania ogólne” pkt 1.4.</w:t>
      </w:r>
    </w:p>
    <w:p w14:paraId="05D9E38F"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1.5. Ogólne wymagania dotyczące robót</w:t>
      </w:r>
    </w:p>
    <w:p w14:paraId="12FB867C"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wymagania dotyczące robót podano w ST D-00.00.00 „Wymagania ogólne” pkt 1.5.</w:t>
      </w:r>
    </w:p>
    <w:p w14:paraId="5662EE3E" w14:textId="77777777" w:rsidR="00955A27" w:rsidRPr="001667DB" w:rsidRDefault="00955A27" w:rsidP="00FA7059">
      <w:pPr>
        <w:keepNext/>
        <w:keepLines/>
        <w:overflowPunct w:val="0"/>
        <w:autoSpaceDE w:val="0"/>
        <w:spacing w:before="240" w:after="120" w:line="360" w:lineRule="auto"/>
        <w:jc w:val="both"/>
        <w:rPr>
          <w:rFonts w:ascii="Times New Roman" w:hAnsi="Times New Roman" w:cs="Times New Roman"/>
          <w:color w:val="000000" w:themeColor="text1"/>
        </w:rPr>
      </w:pPr>
      <w:bookmarkStart w:id="327" w:name="_2._materia%C5%82y"/>
      <w:bookmarkEnd w:id="327"/>
      <w:r w:rsidRPr="001667DB">
        <w:rPr>
          <w:rFonts w:ascii="Times New Roman" w:eastAsia="Times New Roman" w:hAnsi="Times New Roman" w:cs="Times New Roman"/>
          <w:b/>
          <w:caps/>
          <w:color w:val="000000" w:themeColor="text1"/>
          <w:kern w:val="2"/>
          <w:lang w:eastAsia="pl-PL"/>
        </w:rPr>
        <w:t>2. materiały</w:t>
      </w:r>
    </w:p>
    <w:p w14:paraId="2C5AA2A5"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Nie występują.</w:t>
      </w:r>
    </w:p>
    <w:p w14:paraId="2C1E5521" w14:textId="77777777" w:rsidR="00955A27" w:rsidRPr="001667DB" w:rsidRDefault="00955A27" w:rsidP="00FA7059">
      <w:pPr>
        <w:keepNext/>
        <w:keepLines/>
        <w:overflowPunct w:val="0"/>
        <w:autoSpaceDE w:val="0"/>
        <w:spacing w:before="240" w:after="120" w:line="360" w:lineRule="auto"/>
        <w:jc w:val="both"/>
        <w:rPr>
          <w:rFonts w:ascii="Times New Roman" w:hAnsi="Times New Roman" w:cs="Times New Roman"/>
          <w:color w:val="000000" w:themeColor="text1"/>
        </w:rPr>
      </w:pPr>
      <w:bookmarkStart w:id="328" w:name="_3._sprz%C4%99t"/>
      <w:bookmarkEnd w:id="328"/>
      <w:r w:rsidRPr="001667DB">
        <w:rPr>
          <w:rFonts w:ascii="Times New Roman" w:eastAsia="Times New Roman" w:hAnsi="Times New Roman" w:cs="Times New Roman"/>
          <w:b/>
          <w:caps/>
          <w:color w:val="000000" w:themeColor="text1"/>
          <w:kern w:val="2"/>
          <w:lang w:eastAsia="pl-PL"/>
        </w:rPr>
        <w:t>3. sprzęt</w:t>
      </w:r>
    </w:p>
    <w:p w14:paraId="22B4ADE1"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3.1. Ogólne wymagania dotyczące sprzętu</w:t>
      </w:r>
    </w:p>
    <w:p w14:paraId="087F50E1"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wymagania dotyczące sprzętu podano w ST D-00.00.00 „Wymagania ogólne” pkt 3.</w:t>
      </w:r>
    </w:p>
    <w:p w14:paraId="174E8DCD"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3.2. Sprzęt do wykonania robót</w:t>
      </w:r>
    </w:p>
    <w:p w14:paraId="3BA29E95"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Wykonawca przystępujący do wykonania koryta i profilowania podłoża powinien wykazać się możliwością korzystania z następującego sprzętu:</w:t>
      </w:r>
    </w:p>
    <w:p w14:paraId="68AA7AF1" w14:textId="77777777" w:rsidR="00955A27" w:rsidRPr="001667DB" w:rsidRDefault="00955A27" w:rsidP="00904E6C">
      <w:pPr>
        <w:pStyle w:val="Akapitzlist"/>
        <w:numPr>
          <w:ilvl w:val="0"/>
          <w:numId w:val="316"/>
        </w:numPr>
        <w:spacing w:after="120" w:line="360" w:lineRule="auto"/>
        <w:rPr>
          <w:color w:val="000000" w:themeColor="text1"/>
          <w:sz w:val="22"/>
          <w:szCs w:val="22"/>
        </w:rPr>
      </w:pPr>
      <w:r w:rsidRPr="001667DB">
        <w:rPr>
          <w:color w:val="000000" w:themeColor="text1"/>
          <w:sz w:val="22"/>
          <w:szCs w:val="22"/>
        </w:rPr>
        <w:lastRenderedPageBreak/>
        <w:t>równiarek lub spycharek uniwersalnych z ukośnie ustawianym lemieszem; Inżynier może dopuścić wykonanie koryta i profilowanie podłoża z zastosowaniem spycharki z lemieszem ustawionym prostopadle do kierunku pracy maszyny,</w:t>
      </w:r>
    </w:p>
    <w:p w14:paraId="6F3B4DF5" w14:textId="77777777" w:rsidR="00955A27" w:rsidRPr="001667DB" w:rsidRDefault="00955A27" w:rsidP="00904E6C">
      <w:pPr>
        <w:pStyle w:val="Akapitzlist"/>
        <w:numPr>
          <w:ilvl w:val="0"/>
          <w:numId w:val="316"/>
        </w:numPr>
        <w:spacing w:after="120" w:line="360" w:lineRule="auto"/>
        <w:rPr>
          <w:color w:val="000000" w:themeColor="text1"/>
          <w:sz w:val="22"/>
          <w:szCs w:val="22"/>
        </w:rPr>
      </w:pPr>
      <w:r w:rsidRPr="001667DB">
        <w:rPr>
          <w:color w:val="000000" w:themeColor="text1"/>
          <w:sz w:val="22"/>
          <w:szCs w:val="22"/>
        </w:rPr>
        <w:t xml:space="preserve"> koparek z czerpakami profilowymi (przy wykonywaniu wąskich koryt),</w:t>
      </w:r>
    </w:p>
    <w:p w14:paraId="512AAB1C" w14:textId="77777777" w:rsidR="00955A27" w:rsidRPr="001667DB" w:rsidRDefault="00955A27" w:rsidP="00904E6C">
      <w:pPr>
        <w:pStyle w:val="Akapitzlist"/>
        <w:numPr>
          <w:ilvl w:val="0"/>
          <w:numId w:val="316"/>
        </w:numPr>
        <w:spacing w:after="120" w:line="360" w:lineRule="auto"/>
        <w:rPr>
          <w:color w:val="000000" w:themeColor="text1"/>
          <w:sz w:val="22"/>
          <w:szCs w:val="22"/>
        </w:rPr>
      </w:pPr>
      <w:r w:rsidRPr="001667DB">
        <w:rPr>
          <w:color w:val="000000" w:themeColor="text1"/>
          <w:sz w:val="22"/>
          <w:szCs w:val="22"/>
        </w:rPr>
        <w:t>walców statycznych, wibracyjnych lub płyt wibracyjnych.</w:t>
      </w:r>
    </w:p>
    <w:p w14:paraId="6CF33BCB"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Stosowany sprzęt nie może spowodować niekorzystnego wpływu na właściwości gruntu podłoża.</w:t>
      </w:r>
    </w:p>
    <w:p w14:paraId="4A49C6CB" w14:textId="77777777" w:rsidR="00955A27" w:rsidRPr="001667DB" w:rsidRDefault="00955A27" w:rsidP="00FA7059">
      <w:pPr>
        <w:keepNext/>
        <w:keepLines/>
        <w:overflowPunct w:val="0"/>
        <w:autoSpaceDE w:val="0"/>
        <w:spacing w:before="240" w:after="120" w:line="360" w:lineRule="auto"/>
        <w:jc w:val="both"/>
        <w:rPr>
          <w:rFonts w:ascii="Times New Roman" w:hAnsi="Times New Roman" w:cs="Times New Roman"/>
          <w:color w:val="000000" w:themeColor="text1"/>
        </w:rPr>
      </w:pPr>
      <w:bookmarkStart w:id="329" w:name="_4._transport"/>
      <w:bookmarkEnd w:id="329"/>
      <w:r w:rsidRPr="001667DB">
        <w:rPr>
          <w:rFonts w:ascii="Times New Roman" w:eastAsia="Times New Roman" w:hAnsi="Times New Roman" w:cs="Times New Roman"/>
          <w:b/>
          <w:caps/>
          <w:color w:val="000000" w:themeColor="text1"/>
          <w:kern w:val="2"/>
          <w:lang w:eastAsia="pl-PL"/>
        </w:rPr>
        <w:t>4. transport</w:t>
      </w:r>
    </w:p>
    <w:p w14:paraId="0B5C30E4"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4.1. Ogólne wymagania dotyczące transportu</w:t>
      </w:r>
    </w:p>
    <w:p w14:paraId="6ACC57D1"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wymagania dotyczące transportu podano w ST D-00.00.00 „Wymagania ogólne” pkt 4.</w:t>
      </w:r>
    </w:p>
    <w:p w14:paraId="3C51E795" w14:textId="77777777" w:rsidR="00955A27" w:rsidRPr="001667DB" w:rsidRDefault="00955A27" w:rsidP="00FA7059">
      <w:pPr>
        <w:keepNext/>
        <w:keepLines/>
        <w:overflowPunct w:val="0"/>
        <w:autoSpaceDE w:val="0"/>
        <w:spacing w:before="240" w:after="120" w:line="360" w:lineRule="auto"/>
        <w:jc w:val="both"/>
        <w:rPr>
          <w:rFonts w:ascii="Times New Roman" w:hAnsi="Times New Roman" w:cs="Times New Roman"/>
          <w:color w:val="000000" w:themeColor="text1"/>
        </w:rPr>
      </w:pPr>
      <w:bookmarkStart w:id="330" w:name="_5._wykonanie_rob%C3%B3t"/>
      <w:bookmarkEnd w:id="330"/>
      <w:r w:rsidRPr="001667DB">
        <w:rPr>
          <w:rFonts w:ascii="Times New Roman" w:eastAsia="Times New Roman" w:hAnsi="Times New Roman" w:cs="Times New Roman"/>
          <w:b/>
          <w:caps/>
          <w:color w:val="000000" w:themeColor="text1"/>
          <w:kern w:val="2"/>
          <w:lang w:eastAsia="pl-PL"/>
        </w:rPr>
        <w:t>5. wykonanie robót</w:t>
      </w:r>
    </w:p>
    <w:p w14:paraId="2D2E264E"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5.1. Ogólne zasady wykonania robót</w:t>
      </w:r>
    </w:p>
    <w:p w14:paraId="5E805CBE"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zasady wykonania robót podano w ST D-00.00.00 „Wymagania ogólne” pkt 5.</w:t>
      </w:r>
    </w:p>
    <w:p w14:paraId="7D72E021"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5.2. Warunki przystąpienia do robót</w:t>
      </w:r>
    </w:p>
    <w:p w14:paraId="3B0D3C89"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Wykonawca powinien przystąpić do wykonania koryta oraz profilowania i zagęszczenia podłoża bezpośrednio przed rozpoczęciem robót związanych z wykonaniem warstw nawierzchni. Wcześniejsze przystąpienie do wykonania koryta oraz profilowania i zagęszczania podłoża jest możliwe wyłącznie za zgodą Inżyniera, w korzystnych warunkach atmosferycznych.</w:t>
      </w:r>
    </w:p>
    <w:p w14:paraId="05D83900"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W wykonanym korycie oraz po wyprofilowanym i zagęszczonym podłożu nie może odbywać się ruch budowlany, niezwiązany bezpośrednio z wykonaniem pierwszej warstwy nawierzchni.</w:t>
      </w:r>
    </w:p>
    <w:p w14:paraId="530F77AF" w14:textId="77777777" w:rsidR="00955A27" w:rsidRPr="001667DB" w:rsidRDefault="00955A27" w:rsidP="00FA7059">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5.3. Wykonanie koryta</w:t>
      </w:r>
    </w:p>
    <w:p w14:paraId="136F67BE"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Paliki lub szpilki do prawidłowego ukształtowania koryta w planie i profilu powinny być wcześniej przygotowane.</w:t>
      </w:r>
    </w:p>
    <w:p w14:paraId="33EB9E78"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Paliki lub szpilki należy ustawiać w osi drogi i w rzędach równoległych do osi drogi lub w inny sposób zaakceptowany przez Inżyniera. Rozmieszczenie palików lub szpilek powinno umożliwiać naciągnięcie sznurków lub linek do wytyczenia robót w odstępach nie większych niż co 10 metrów.</w:t>
      </w:r>
    </w:p>
    <w:p w14:paraId="712B2F24"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Rodzaj sprzętu, a w szczególności jego moc należy dostosować do rodzaju gruntu, w którym prowadzone są roboty i do trudności jego odspojenia. </w:t>
      </w:r>
    </w:p>
    <w:p w14:paraId="20BC7835"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Koryto można wykonywać ręcznie, gdy jego szerokość nie pozwala na zastosowanie maszyn, na przykład na poszerzeniach lub w przypadku robót o małym zakresie. Sposób wykonania musi być zaakceptowany przez Inżyniera.</w:t>
      </w:r>
    </w:p>
    <w:p w14:paraId="795C541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lastRenderedPageBreak/>
        <w:tab/>
        <w:t>Grunt odspojony w czasie wykonywania koryta powinien być wykorzystany zgodnie z ustaleniami dokumentacji projektowej i ST, tj. wbudowany w nasyp lub odwieziony na odkład w miejsce wskazane przez Inżyniera.</w:t>
      </w:r>
    </w:p>
    <w:p w14:paraId="66137B4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Profilowanie i zagęszczenie podłoża należy wykonać zgodnie z zasadami określonymi w pkt 5.4.</w:t>
      </w:r>
    </w:p>
    <w:p w14:paraId="146C58BD"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5.4. Profilowanie i zagęszczanie i nośność podłoża</w:t>
      </w:r>
    </w:p>
    <w:p w14:paraId="1B95024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Przed przystąpieniem do profilowania podłoże powinno być oczyszczone ze wszelkich zanieczyszczeń.</w:t>
      </w:r>
    </w:p>
    <w:p w14:paraId="3E846F4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w:t>
      </w:r>
    </w:p>
    <w:p w14:paraId="79ADAD5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Jeżeli powyższy warunek nie jest spełniony 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 do uzyskania wartości wskaźnika zagęszczenia, określonych w tablicy 1.</w:t>
      </w:r>
    </w:p>
    <w:p w14:paraId="16DFC570" w14:textId="77777777" w:rsidR="00955A27" w:rsidRPr="001667DB" w:rsidRDefault="00955A27" w:rsidP="00955A27">
      <w:pPr>
        <w:autoSpaceDE w:val="0"/>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Do profilowania podłoża należy stosować równiarki. Ścięty grunt powinien być wykorzystany w robotach ziemnych lub w inny sposób zaakceptowany przez Inżyniera.</w:t>
      </w:r>
    </w:p>
    <w:p w14:paraId="21A623A5" w14:textId="77777777" w:rsidR="00955A27" w:rsidRPr="001667DB" w:rsidRDefault="00955A27" w:rsidP="00955A27">
      <w:pPr>
        <w:autoSpaceDE w:val="0"/>
        <w:spacing w:after="12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 xml:space="preserve">Uzyskanie przez grunty w budowli ziemnej wymaganych cech nośności sprawdza się przez badanie wskaźnika zagęszczenia oraz badanie wtórnego modułu odkształcenia. Wskaźnik zagęszczenia należy określać zgodnie z normą BN-77/8931-12 [5]. </w:t>
      </w:r>
    </w:p>
    <w:p w14:paraId="7DB22F21" w14:textId="77777777" w:rsidR="00955A27" w:rsidRPr="001667DB" w:rsidRDefault="00955A27" w:rsidP="00955A27">
      <w:pPr>
        <w:autoSpaceDE w:val="0"/>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Badania należy wykonywać jedną z wymienionych metod: </w:t>
      </w:r>
    </w:p>
    <w:p w14:paraId="37C6FC0D" w14:textId="77777777" w:rsidR="00955A27" w:rsidRPr="001667DB" w:rsidRDefault="00955A27" w:rsidP="00955A27">
      <w:pPr>
        <w:autoSpaceDE w:val="0"/>
        <w:spacing w:after="120" w:line="360" w:lineRule="auto"/>
        <w:ind w:left="454"/>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a) przy użyciu objętościomierza piaskowego; </w:t>
      </w:r>
    </w:p>
    <w:p w14:paraId="67C04A53" w14:textId="77777777" w:rsidR="00955A27" w:rsidRPr="001667DB" w:rsidRDefault="00955A27" w:rsidP="00955A27">
      <w:pPr>
        <w:autoSpaceDE w:val="0"/>
        <w:spacing w:after="120" w:line="360" w:lineRule="auto"/>
        <w:ind w:left="454"/>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b) przy użyciu objętościomierza wodnego; </w:t>
      </w:r>
    </w:p>
    <w:p w14:paraId="56F0368E" w14:textId="77777777" w:rsidR="00955A27" w:rsidRPr="001667DB" w:rsidRDefault="00955A27" w:rsidP="00955A27">
      <w:pPr>
        <w:autoSpaceDE w:val="0"/>
        <w:spacing w:after="120" w:line="360" w:lineRule="auto"/>
        <w:ind w:left="454"/>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 przy użyciu wciskanego cylindra lub pierścienia.</w:t>
      </w:r>
    </w:p>
    <w:p w14:paraId="5869CEB6" w14:textId="77777777" w:rsidR="00955A27" w:rsidRPr="001667DB" w:rsidRDefault="00955A27" w:rsidP="00955A27">
      <w:pPr>
        <w:autoSpaceDE w:val="0"/>
        <w:spacing w:after="120" w:line="360" w:lineRule="auto"/>
        <w:ind w:left="454"/>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d) alternatywnie wszystkimi metodami</w:t>
      </w:r>
    </w:p>
    <w:p w14:paraId="6E2BEFE2" w14:textId="77777777" w:rsidR="00955A27" w:rsidRPr="001667DB" w:rsidRDefault="00955A27" w:rsidP="00955A27">
      <w:pPr>
        <w:autoSpaceDE w:val="0"/>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Objętościomierz piaskowy i wodny stosuje się do wszystkich gruntów o uziarnieniu d</w:t>
      </w:r>
      <w:r w:rsidRPr="001667DB">
        <w:rPr>
          <w:rFonts w:ascii="Times New Roman" w:eastAsia="Times New Roman" w:hAnsi="Times New Roman" w:cs="Times New Roman"/>
          <w:color w:val="000000" w:themeColor="text1"/>
          <w:vertAlign w:val="subscript"/>
          <w:lang w:eastAsia="pl-PL"/>
        </w:rPr>
        <w:t>90</w:t>
      </w:r>
      <w:r w:rsidRPr="001667DB">
        <w:rPr>
          <w:rFonts w:ascii="Times New Roman" w:eastAsia="Times New Roman" w:hAnsi="Times New Roman" w:cs="Times New Roman"/>
          <w:color w:val="000000" w:themeColor="text1"/>
          <w:lang w:eastAsia="pl-PL"/>
        </w:rPr>
        <w:t xml:space="preserve"> ≤ 20 mm, a cylinder (pierścień) wciskany – do gruntów drobnoziarnistych ( d</w:t>
      </w:r>
      <w:r w:rsidRPr="001667DB">
        <w:rPr>
          <w:rFonts w:ascii="Times New Roman" w:eastAsia="Times New Roman" w:hAnsi="Times New Roman" w:cs="Times New Roman"/>
          <w:color w:val="000000" w:themeColor="text1"/>
          <w:vertAlign w:val="subscript"/>
          <w:lang w:eastAsia="pl-PL"/>
        </w:rPr>
        <w:t>90</w:t>
      </w:r>
      <w:r w:rsidRPr="001667DB">
        <w:rPr>
          <w:rFonts w:ascii="Times New Roman" w:eastAsia="Times New Roman" w:hAnsi="Times New Roman" w:cs="Times New Roman"/>
          <w:color w:val="000000" w:themeColor="text1"/>
          <w:lang w:eastAsia="pl-PL"/>
        </w:rPr>
        <w:t xml:space="preserve"> ≤ 2 mm ), gdzie d</w:t>
      </w:r>
      <w:r w:rsidRPr="001667DB">
        <w:rPr>
          <w:rFonts w:ascii="Times New Roman" w:eastAsia="Times New Roman" w:hAnsi="Times New Roman" w:cs="Times New Roman"/>
          <w:color w:val="000000" w:themeColor="text1"/>
          <w:vertAlign w:val="subscript"/>
          <w:lang w:eastAsia="pl-PL"/>
        </w:rPr>
        <w:t>90</w:t>
      </w:r>
      <w:r w:rsidRPr="001667DB">
        <w:rPr>
          <w:rFonts w:ascii="Times New Roman" w:eastAsia="Times New Roman" w:hAnsi="Times New Roman" w:cs="Times New Roman"/>
          <w:color w:val="000000" w:themeColor="text1"/>
          <w:lang w:eastAsia="pl-PL"/>
        </w:rPr>
        <w:t xml:space="preserve"> oznacza średnicę zastępczą ziarna, poniżej której w gruncie zawarte jest wagowo 90 % ziarn. Objętościomierza wodnego nie zaleca się stosować do gruntów ściśliwych. </w:t>
      </w:r>
    </w:p>
    <w:p w14:paraId="269EB42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lastRenderedPageBreak/>
        <w:tab/>
        <w:t>Alternatywnie zagęszczenie gruntu, zwłaszcza zawierającego kamienie, z wyjątkiem gruntów o wskaźniku plastyczności I</w:t>
      </w:r>
      <w:r w:rsidRPr="001667DB">
        <w:rPr>
          <w:rFonts w:ascii="Times New Roman" w:eastAsia="Times New Roman" w:hAnsi="Times New Roman" w:cs="Times New Roman"/>
          <w:color w:val="000000" w:themeColor="text1"/>
          <w:vertAlign w:val="subscript"/>
          <w:lang w:eastAsia="pl-PL"/>
        </w:rPr>
        <w:t>p</w:t>
      </w:r>
      <w:r w:rsidRPr="001667DB">
        <w:rPr>
          <w:rFonts w:ascii="Times New Roman" w:eastAsia="Times New Roman" w:hAnsi="Times New Roman" w:cs="Times New Roman"/>
          <w:color w:val="000000" w:themeColor="text1"/>
          <w:lang w:eastAsia="pl-PL"/>
        </w:rPr>
        <w:t>≥10 i wilgotności znacznie mniejszej od optymalnej, można ocenić na podstawie wartości wskaźnika odkształcenia I</w:t>
      </w:r>
      <w:r w:rsidRPr="001667DB">
        <w:rPr>
          <w:rFonts w:ascii="Times New Roman" w:eastAsia="Times New Roman" w:hAnsi="Times New Roman" w:cs="Times New Roman"/>
          <w:color w:val="000000" w:themeColor="text1"/>
          <w:vertAlign w:val="subscript"/>
          <w:lang w:eastAsia="pl-PL"/>
        </w:rPr>
        <w:t>0</w:t>
      </w:r>
      <w:r w:rsidRPr="001667DB">
        <w:rPr>
          <w:rFonts w:ascii="Times New Roman" w:eastAsia="Times New Roman" w:hAnsi="Times New Roman" w:cs="Times New Roman"/>
          <w:color w:val="000000" w:themeColor="text1"/>
          <w:lang w:eastAsia="pl-PL"/>
        </w:rPr>
        <w:t xml:space="preserve"> </w:t>
      </w:r>
    </w:p>
    <w:p w14:paraId="31720A2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Podłoże przed ułożeniem warstw konstrukcyjnych musi być doprowadzone do grupy nośności G1 oraz odpowiedniej nośności. Zagęszczenie podłoża musi mieć wskaźnik zagęszczenia co najmniej 1,00. W przypadku gdy konieczne jest wykonanie skarp wówczas powierzchniowa warstwa gruntu grubości do 20 cm powinna mieć wskaźnik zagęszczenia Is &gt;=0,95. Z zagęszczania gruntu na skarpach można zrezygnować pod warunkiem układania warstw nasypu z poszerzeniem o co najmniej 50 cm, a następnie zebrania tego nadkładu. </w:t>
      </w:r>
    </w:p>
    <w:p w14:paraId="7EFCF0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Jeżeli grunty rodzime w wykopach i miejscach zerowych nie spełniają wymaganego wskaźnika zagęszczenia, to przed ułożeniem konstrukcji nawierzchni należy je dogęścić do wartości Is, podanych powyżej. Jeżeli wartości wskaźnika zagęszczenia nie mogą być osiągnięte przez bezpośrednie zagęszczanie gruntów rodzimych, to należy podjąć środki w celu ulepszenia gruntu podłoża, umożliwiającego uzyskanie wymaganych wartości wskaźnika zagęszczenia np. </w:t>
      </w:r>
    </w:p>
    <w:p w14:paraId="48AFF3B8"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wymiana gruntu </w:t>
      </w:r>
    </w:p>
    <w:p w14:paraId="2125B9AE"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doziarnienie </w:t>
      </w:r>
    </w:p>
    <w:p w14:paraId="3F5107E6"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dodatkowe wzmocnienie stabilizacją na bazie cementu lub spoiw hydraulicznych </w:t>
      </w:r>
    </w:p>
    <w:p w14:paraId="22A8EB88"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wibrowanie wgłębne </w:t>
      </w:r>
    </w:p>
    <w:p w14:paraId="4560863D"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iniekcje cementowe </w:t>
      </w:r>
    </w:p>
    <w:p w14:paraId="230AB717"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drenowanie pionowe </w:t>
      </w:r>
    </w:p>
    <w:p w14:paraId="6D1EBA87"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dociążenia tymczasowe </w:t>
      </w:r>
    </w:p>
    <w:p w14:paraId="4EE6D0B1" w14:textId="77777777" w:rsidR="00955A27" w:rsidRPr="001667DB" w:rsidRDefault="00955A27" w:rsidP="00904E6C">
      <w:pPr>
        <w:numPr>
          <w:ilvl w:val="0"/>
          <w:numId w:val="82"/>
        </w:numPr>
        <w:suppressAutoHyphens/>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ułożenie geowłókniny itp. </w:t>
      </w:r>
    </w:p>
    <w:p w14:paraId="07E0F5B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Możliwe do zastosowania środki, o ile nie są określone w specyfikacjach technicznych, proponuje Wykonawca i przedstawia do akceptacji Inżynierowi wraz poniesieniem kosztów dodatkowych wykonania ewentualnego wzmocnienia podłoża gruntowego. </w:t>
      </w:r>
    </w:p>
    <w:p w14:paraId="5C3E1D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Ocenę wymaganego zagęszczenia można dokonać również poprzez określenie wartość wskaźnika odkształcenia I0, równego stosunkowi modułu odkształcenia wtórnego (E2) do pierwotnego (E1). </w:t>
      </w:r>
    </w:p>
    <w:p w14:paraId="55F2490C" w14:textId="77777777" w:rsidR="00955A27" w:rsidRPr="001667DB" w:rsidRDefault="00955A27" w:rsidP="00955A27">
      <w:pPr>
        <w:spacing w:after="12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 xml:space="preserve">Ocenę nośności dokonuje się poprzez pomiar modułu wtórnego odkształcenia poprzez zastosowanie płyty statycznej – badanie wg załącznika B normy PN-S 02205. </w:t>
      </w:r>
    </w:p>
    <w:p w14:paraId="4AE93B4F" w14:textId="77777777" w:rsidR="00955A27" w:rsidRPr="001667DB" w:rsidRDefault="00955A27" w:rsidP="00955A27">
      <w:pPr>
        <w:spacing w:after="120" w:line="360" w:lineRule="auto"/>
        <w:ind w:firstLine="708"/>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 xml:space="preserve">W przypadku, gdy gruboziarnisty materiał tworzący podłoże uniemożliwia przeprowadzenie badania zagęszczenia, kontrolę zagęszczenia należy oprzeć na metodzie obciążeń płytowych. Należy </w:t>
      </w:r>
      <w:r w:rsidRPr="001667DB">
        <w:rPr>
          <w:rFonts w:ascii="Times New Roman" w:eastAsia="Times New Roman" w:hAnsi="Times New Roman" w:cs="Times New Roman"/>
          <w:color w:val="000000" w:themeColor="text1"/>
          <w:lang w:eastAsia="pl-PL"/>
        </w:rPr>
        <w:lastRenderedPageBreak/>
        <w:t>określić pierwotny i wtórny moduł odkształcenia podłoża według BN-64/8931-02 [3]. Stosunek wtórnego i pierwotnego modułu odkształcenia nie powinien przekraczać 2,2.</w:t>
      </w:r>
    </w:p>
    <w:p w14:paraId="70951964" w14:textId="77777777" w:rsidR="00955A27" w:rsidRPr="001667DB" w:rsidRDefault="00955A27" w:rsidP="00955A27">
      <w:pPr>
        <w:spacing w:after="120" w:line="360" w:lineRule="auto"/>
        <w:ind w:firstLine="708"/>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Wskaźnik odkształcenia oraz minimalne wartości wtórnego modułu odkształcenia E2 należy przyjąć zgodnie z normą PN-S 02205.</w:t>
      </w:r>
    </w:p>
    <w:p w14:paraId="22FC0D6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Bezpośrednio po profilowaniu podłoża należy przystąpić do jego zagęszczania. Zagęszczanie podłoża należy kontynuować do osiągnięcia wskaźnika zagęszczenia nie mniejszego od podanego w tablicy 1. Wskaźnik zagęszczenia należy określać zgodnie z BN-77/8931-12 [5].</w:t>
      </w:r>
    </w:p>
    <w:p w14:paraId="3A9B4731"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Tablica 1. Minimalne wartości wskaźnika zagęszczenia podłoża (I</w:t>
      </w:r>
      <w:r w:rsidRPr="001667DB">
        <w:rPr>
          <w:rFonts w:ascii="Times New Roman" w:eastAsia="Times New Roman" w:hAnsi="Times New Roman" w:cs="Times New Roman"/>
          <w:color w:val="000000" w:themeColor="text1"/>
          <w:vertAlign w:val="subscript"/>
          <w:lang w:eastAsia="pl-PL"/>
        </w:rPr>
        <w:t>s</w:t>
      </w:r>
      <w:r w:rsidRPr="001667DB">
        <w:rPr>
          <w:rFonts w:ascii="Times New Roman" w:hAnsi="Times New Roman" w:cs="Times New Roman"/>
          <w:color w:val="000000" w:themeColor="text1"/>
        </w:rPr>
        <w:t>)</w:t>
      </w:r>
    </w:p>
    <w:tbl>
      <w:tblPr>
        <w:tblW w:w="0" w:type="auto"/>
        <w:jc w:val="center"/>
        <w:tblLayout w:type="fixed"/>
        <w:tblCellMar>
          <w:left w:w="70" w:type="dxa"/>
          <w:right w:w="70" w:type="dxa"/>
        </w:tblCellMar>
        <w:tblLook w:val="0000" w:firstRow="0" w:lastRow="0" w:firstColumn="0" w:lastColumn="0" w:noHBand="0" w:noVBand="0"/>
      </w:tblPr>
      <w:tblGrid>
        <w:gridCol w:w="2905"/>
        <w:gridCol w:w="1521"/>
        <w:gridCol w:w="1539"/>
        <w:gridCol w:w="25"/>
      </w:tblGrid>
      <w:tr w:rsidR="00955A27" w:rsidRPr="001667DB" w14:paraId="639E1182" w14:textId="77777777" w:rsidTr="001B4B8F">
        <w:trPr>
          <w:jc w:val="center"/>
        </w:trPr>
        <w:tc>
          <w:tcPr>
            <w:tcW w:w="2905" w:type="dxa"/>
            <w:tcBorders>
              <w:top w:val="single" w:sz="6" w:space="0" w:color="000000"/>
              <w:left w:val="single" w:sz="6" w:space="0" w:color="000000"/>
            </w:tcBorders>
            <w:shd w:val="clear" w:color="auto" w:fill="auto"/>
          </w:tcPr>
          <w:p w14:paraId="7206F8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w:t>
            </w:r>
          </w:p>
        </w:tc>
        <w:tc>
          <w:tcPr>
            <w:tcW w:w="3085" w:type="dxa"/>
            <w:gridSpan w:val="3"/>
            <w:tcBorders>
              <w:top w:val="single" w:sz="6" w:space="0" w:color="000000"/>
              <w:left w:val="single" w:sz="6" w:space="0" w:color="000000"/>
              <w:bottom w:val="single" w:sz="6" w:space="0" w:color="000000"/>
              <w:right w:val="single" w:sz="6" w:space="0" w:color="000000"/>
            </w:tcBorders>
            <w:shd w:val="clear" w:color="auto" w:fill="auto"/>
          </w:tcPr>
          <w:p w14:paraId="107E981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Minimalna wartość I</w:t>
            </w:r>
            <w:r w:rsidRPr="001667DB">
              <w:rPr>
                <w:rFonts w:ascii="Times New Roman" w:eastAsia="Times New Roman" w:hAnsi="Times New Roman" w:cs="Times New Roman"/>
                <w:color w:val="000000" w:themeColor="text1"/>
                <w:vertAlign w:val="subscript"/>
                <w:lang w:eastAsia="pl-PL"/>
              </w:rPr>
              <w:t>s</w:t>
            </w:r>
            <w:r w:rsidRPr="001667DB">
              <w:rPr>
                <w:rFonts w:ascii="Times New Roman" w:eastAsia="Times New Roman" w:hAnsi="Times New Roman" w:cs="Times New Roman"/>
                <w:color w:val="000000" w:themeColor="text1"/>
                <w:lang w:eastAsia="pl-PL"/>
              </w:rPr>
              <w:t xml:space="preserve"> dla:</w:t>
            </w:r>
          </w:p>
        </w:tc>
      </w:tr>
      <w:tr w:rsidR="00955A27" w:rsidRPr="001667DB" w14:paraId="70F4BEFE" w14:textId="77777777" w:rsidTr="001B4B8F">
        <w:trPr>
          <w:gridAfter w:val="1"/>
          <w:wAfter w:w="25" w:type="dxa"/>
          <w:jc w:val="center"/>
        </w:trPr>
        <w:tc>
          <w:tcPr>
            <w:tcW w:w="2905" w:type="dxa"/>
            <w:tcBorders>
              <w:left w:val="single" w:sz="6" w:space="0" w:color="000000"/>
            </w:tcBorders>
            <w:shd w:val="clear" w:color="auto" w:fill="auto"/>
          </w:tcPr>
          <w:p w14:paraId="42128FE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Strefa</w:t>
            </w:r>
          </w:p>
        </w:tc>
        <w:tc>
          <w:tcPr>
            <w:tcW w:w="3060" w:type="dxa"/>
            <w:gridSpan w:val="2"/>
            <w:tcBorders>
              <w:top w:val="single" w:sz="6" w:space="0" w:color="000000"/>
              <w:left w:val="single" w:sz="6" w:space="0" w:color="000000"/>
              <w:bottom w:val="single" w:sz="6" w:space="0" w:color="000000"/>
              <w:right w:val="single" w:sz="6" w:space="0" w:color="000000"/>
            </w:tcBorders>
            <w:shd w:val="clear" w:color="auto" w:fill="auto"/>
          </w:tcPr>
          <w:p w14:paraId="5D285FE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Innych dróg</w:t>
            </w:r>
          </w:p>
        </w:tc>
      </w:tr>
      <w:tr w:rsidR="00955A27" w:rsidRPr="001667DB" w14:paraId="0565214A" w14:textId="77777777" w:rsidTr="001B4B8F">
        <w:trPr>
          <w:gridAfter w:val="1"/>
          <w:wAfter w:w="25" w:type="dxa"/>
          <w:jc w:val="center"/>
        </w:trPr>
        <w:tc>
          <w:tcPr>
            <w:tcW w:w="2905" w:type="dxa"/>
            <w:tcBorders>
              <w:left w:val="single" w:sz="6" w:space="0" w:color="000000"/>
              <w:bottom w:val="double" w:sz="6" w:space="0" w:color="000000"/>
            </w:tcBorders>
            <w:shd w:val="clear" w:color="auto" w:fill="auto"/>
          </w:tcPr>
          <w:p w14:paraId="7850037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korpusu</w:t>
            </w:r>
          </w:p>
        </w:tc>
        <w:tc>
          <w:tcPr>
            <w:tcW w:w="1521" w:type="dxa"/>
            <w:tcBorders>
              <w:top w:val="single" w:sz="6" w:space="0" w:color="000000"/>
              <w:left w:val="single" w:sz="6" w:space="0" w:color="000000"/>
              <w:bottom w:val="double" w:sz="6" w:space="0" w:color="000000"/>
            </w:tcBorders>
            <w:shd w:val="clear" w:color="auto" w:fill="auto"/>
          </w:tcPr>
          <w:p w14:paraId="30A0F8EB" w14:textId="77777777" w:rsidR="00955A27" w:rsidRPr="001667DB" w:rsidRDefault="00955A27" w:rsidP="00955A27">
            <w:pPr>
              <w:spacing w:after="120" w:line="360" w:lineRule="auto"/>
              <w:ind w:left="213" w:right="317"/>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Ruch ciężki</w:t>
            </w:r>
          </w:p>
          <w:p w14:paraId="2A7A1462" w14:textId="77777777" w:rsidR="00955A27" w:rsidRPr="001667DB" w:rsidRDefault="00955A27" w:rsidP="00955A27">
            <w:pPr>
              <w:spacing w:after="120" w:line="360" w:lineRule="auto"/>
              <w:ind w:left="71" w:right="34"/>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i bardzo ciężki</w:t>
            </w:r>
          </w:p>
        </w:tc>
        <w:tc>
          <w:tcPr>
            <w:tcW w:w="1539" w:type="dxa"/>
            <w:tcBorders>
              <w:top w:val="single" w:sz="6" w:space="0" w:color="000000"/>
              <w:left w:val="single" w:sz="6" w:space="0" w:color="000000"/>
              <w:bottom w:val="double" w:sz="6" w:space="0" w:color="000000"/>
              <w:right w:val="single" w:sz="6" w:space="0" w:color="000000"/>
            </w:tcBorders>
            <w:shd w:val="clear" w:color="auto" w:fill="auto"/>
          </w:tcPr>
          <w:p w14:paraId="286CB23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Ruch mniejszy</w:t>
            </w:r>
          </w:p>
          <w:p w14:paraId="6CFEC8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od ciężkiego</w:t>
            </w:r>
          </w:p>
        </w:tc>
      </w:tr>
      <w:tr w:rsidR="00955A27" w:rsidRPr="001667DB" w14:paraId="4D40109F" w14:textId="77777777" w:rsidTr="001B4B8F">
        <w:trPr>
          <w:gridAfter w:val="1"/>
          <w:wAfter w:w="25" w:type="dxa"/>
          <w:jc w:val="center"/>
        </w:trPr>
        <w:tc>
          <w:tcPr>
            <w:tcW w:w="2905" w:type="dxa"/>
            <w:tcBorders>
              <w:left w:val="single" w:sz="6" w:space="0" w:color="000000"/>
              <w:bottom w:val="single" w:sz="6" w:space="0" w:color="000000"/>
            </w:tcBorders>
            <w:shd w:val="clear" w:color="auto" w:fill="auto"/>
          </w:tcPr>
          <w:p w14:paraId="13BACD5B"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Górna warstwa o grubości 20 cm</w:t>
            </w:r>
          </w:p>
        </w:tc>
        <w:tc>
          <w:tcPr>
            <w:tcW w:w="1521" w:type="dxa"/>
            <w:tcBorders>
              <w:left w:val="single" w:sz="6" w:space="0" w:color="000000"/>
              <w:bottom w:val="single" w:sz="6" w:space="0" w:color="000000"/>
            </w:tcBorders>
            <w:shd w:val="clear" w:color="auto" w:fill="auto"/>
          </w:tcPr>
          <w:p w14:paraId="0064DBC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1,00</w:t>
            </w:r>
          </w:p>
        </w:tc>
        <w:tc>
          <w:tcPr>
            <w:tcW w:w="1539" w:type="dxa"/>
            <w:tcBorders>
              <w:left w:val="single" w:sz="6" w:space="0" w:color="000000"/>
              <w:bottom w:val="single" w:sz="6" w:space="0" w:color="000000"/>
              <w:right w:val="single" w:sz="6" w:space="0" w:color="000000"/>
            </w:tcBorders>
            <w:shd w:val="clear" w:color="auto" w:fill="auto"/>
          </w:tcPr>
          <w:p w14:paraId="384F175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1,00</w:t>
            </w:r>
          </w:p>
        </w:tc>
      </w:tr>
      <w:tr w:rsidR="00955A27" w:rsidRPr="001667DB" w14:paraId="4A0660BE" w14:textId="77777777" w:rsidTr="001B4B8F">
        <w:trPr>
          <w:gridAfter w:val="1"/>
          <w:wAfter w:w="25" w:type="dxa"/>
          <w:jc w:val="center"/>
        </w:trPr>
        <w:tc>
          <w:tcPr>
            <w:tcW w:w="2905" w:type="dxa"/>
            <w:tcBorders>
              <w:top w:val="single" w:sz="6" w:space="0" w:color="000000"/>
              <w:left w:val="single" w:sz="6" w:space="0" w:color="000000"/>
              <w:bottom w:val="single" w:sz="6" w:space="0" w:color="000000"/>
            </w:tcBorders>
            <w:shd w:val="clear" w:color="auto" w:fill="auto"/>
          </w:tcPr>
          <w:p w14:paraId="2DCA70B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Na głębokości od 20 do 50 cm od powierzchni podłoża</w:t>
            </w:r>
          </w:p>
        </w:tc>
        <w:tc>
          <w:tcPr>
            <w:tcW w:w="1521" w:type="dxa"/>
            <w:tcBorders>
              <w:top w:val="single" w:sz="6" w:space="0" w:color="000000"/>
              <w:left w:val="single" w:sz="6" w:space="0" w:color="000000"/>
              <w:bottom w:val="single" w:sz="6" w:space="0" w:color="000000"/>
            </w:tcBorders>
            <w:shd w:val="clear" w:color="auto" w:fill="auto"/>
          </w:tcPr>
          <w:p w14:paraId="4A52E4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w:t>
            </w:r>
          </w:p>
          <w:p w14:paraId="6922B7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1,00</w:t>
            </w:r>
          </w:p>
        </w:tc>
        <w:tc>
          <w:tcPr>
            <w:tcW w:w="1539" w:type="dxa"/>
            <w:tcBorders>
              <w:top w:val="single" w:sz="6" w:space="0" w:color="000000"/>
              <w:left w:val="single" w:sz="6" w:space="0" w:color="000000"/>
              <w:bottom w:val="single" w:sz="6" w:space="0" w:color="000000"/>
              <w:right w:val="single" w:sz="6" w:space="0" w:color="000000"/>
            </w:tcBorders>
            <w:shd w:val="clear" w:color="auto" w:fill="auto"/>
          </w:tcPr>
          <w:p w14:paraId="73EA1CB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w:t>
            </w:r>
          </w:p>
          <w:p w14:paraId="775D1BF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0,97</w:t>
            </w:r>
          </w:p>
        </w:tc>
      </w:tr>
    </w:tbl>
    <w:p w14:paraId="71BA31A9" w14:textId="77777777" w:rsidR="00955A27" w:rsidRPr="001667DB" w:rsidRDefault="00955A27" w:rsidP="00955A27">
      <w:pPr>
        <w:overflowPunct w:val="0"/>
        <w:autoSpaceDE w:val="0"/>
        <w:spacing w:after="120" w:line="360" w:lineRule="auto"/>
        <w:jc w:val="both"/>
        <w:rPr>
          <w:rFonts w:ascii="Times New Roman" w:hAnsi="Times New Roman" w:cs="Times New Roman"/>
          <w:color w:val="000000" w:themeColor="text1"/>
        </w:rPr>
      </w:pPr>
    </w:p>
    <w:p w14:paraId="0F101C08" w14:textId="77777777" w:rsidR="00955A27" w:rsidRPr="001667DB" w:rsidRDefault="00955A27" w:rsidP="00955A27">
      <w:pPr>
        <w:overflowPunct w:val="0"/>
        <w:autoSpaceDE w:val="0"/>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Wilgotność gruntu zagęszczanego w danej warstwie winna być zbliżona do wilgotności optymalnej. W przypadku wilgotności mniejszej niż 0,8 optymalnej grunt należy polewać wodą, a w przypadku wilgotności większej niż 1,25 optymalnej należy przesuszyć. </w:t>
      </w:r>
    </w:p>
    <w:p w14:paraId="7810074A"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5.5. Utrzymanie koryta oraz wyprofilowanego i zagęszczonego podłoża</w:t>
      </w:r>
    </w:p>
    <w:p w14:paraId="19F49E6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Podłoże (koryto) po wyprofilowaniu i zagęszczeniu powinno być utrzymywane w dobrym stanie.</w:t>
      </w:r>
    </w:p>
    <w:p w14:paraId="586E1E2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Jeżeli po wykonaniu robót związanych z profilowaniem i zagęszczeniem podłoża nastąpi przerwa w robotach i Wykonawca nie przystąpi natychmiast do układania warstw nawierzchni, to powinien on zabezpieczyć podłoże przed nadmiernym zawilgoceniem, na przykład przez rozłożenie folii lub w inny sposób zaakceptowany przez Inżyniera.</w:t>
      </w:r>
    </w:p>
    <w:p w14:paraId="1387894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Jeżeli wyprofilowane i zagęszczone podłoże uległo nadmiernemu zawilgoceniu, to do układania kolejnej warstwy można przystąpić dopiero po jego naturalnym osuszeniu.</w:t>
      </w:r>
    </w:p>
    <w:p w14:paraId="51A90FE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lastRenderedPageBreak/>
        <w:tab/>
        <w:t>Po osuszeniu podłoża Inżynier oceni jego stan i ewentualnie zaleci wykonanie niezbędnych napraw. Jeżeli zawilgocenie nastąpiło wskutek zaniedbania Wykonawcy, to naprawę wykona on na własny koszt.</w:t>
      </w:r>
    </w:p>
    <w:p w14:paraId="5DD2E3FB"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31" w:name="_6._kontrola_jako%C5%9Bci"/>
      <w:bookmarkEnd w:id="331"/>
      <w:r w:rsidRPr="001667DB">
        <w:rPr>
          <w:rFonts w:ascii="Times New Roman" w:eastAsia="Times New Roman" w:hAnsi="Times New Roman" w:cs="Times New Roman"/>
          <w:b/>
          <w:caps/>
          <w:color w:val="000000" w:themeColor="text1"/>
          <w:kern w:val="2"/>
          <w:lang w:eastAsia="pl-PL"/>
        </w:rPr>
        <w:t>6. kontrola jakości robót</w:t>
      </w:r>
    </w:p>
    <w:p w14:paraId="7E810BB1"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6.1. Ogólne zasady kontroli jakości robót</w:t>
      </w:r>
    </w:p>
    <w:p w14:paraId="37AA7AA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zasady kontroli jakości robót podano w ST D-00.00.00 „Wymagania ogólne” pkt 6.</w:t>
      </w:r>
    </w:p>
    <w:p w14:paraId="222FAA70"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6.2. Badania w czasie robót</w:t>
      </w:r>
    </w:p>
    <w:p w14:paraId="19AA61C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6.2.1. </w:t>
      </w:r>
      <w:r w:rsidRPr="001667DB">
        <w:rPr>
          <w:rFonts w:ascii="Times New Roman" w:eastAsia="Times New Roman" w:hAnsi="Times New Roman" w:cs="Times New Roman"/>
          <w:color w:val="000000" w:themeColor="text1"/>
          <w:lang w:eastAsia="pl-PL"/>
        </w:rPr>
        <w:t>Częstotliwość oraz zakres badań i pomiarów</w:t>
      </w:r>
    </w:p>
    <w:p w14:paraId="3875058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Częstotliwość oraz zakres badań i pomiarów dotyczących cech geometrycznych i zagęszczenia koryta i wyprofilowanego podłoża podaje tablica 2.</w:t>
      </w:r>
    </w:p>
    <w:p w14:paraId="7C60D7E9" w14:textId="77777777" w:rsidR="00955A27" w:rsidRPr="001667DB" w:rsidRDefault="00955A27" w:rsidP="00955A27">
      <w:pPr>
        <w:spacing w:before="120" w:after="120" w:line="360" w:lineRule="auto"/>
        <w:ind w:left="1134" w:hanging="1134"/>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Tablica 2.</w:t>
      </w:r>
      <w:r w:rsidRPr="001667DB">
        <w:rPr>
          <w:rFonts w:ascii="Times New Roman" w:eastAsia="Times New Roman" w:hAnsi="Times New Roman" w:cs="Times New Roman"/>
          <w:color w:val="000000" w:themeColor="text1"/>
          <w:lang w:eastAsia="pl-PL"/>
        </w:rPr>
        <w:tab/>
        <w:t>Częstotliwość oraz zakres badań i pomiarów wykonanego koryta i wyprofilowanego podłoża</w:t>
      </w:r>
    </w:p>
    <w:tbl>
      <w:tblPr>
        <w:tblW w:w="0" w:type="auto"/>
        <w:tblInd w:w="70" w:type="dxa"/>
        <w:tblLayout w:type="fixed"/>
        <w:tblCellMar>
          <w:left w:w="70" w:type="dxa"/>
          <w:right w:w="70" w:type="dxa"/>
        </w:tblCellMar>
        <w:tblLook w:val="0000" w:firstRow="0" w:lastRow="0" w:firstColumn="0" w:lastColumn="0" w:noHBand="0" w:noVBand="0"/>
      </w:tblPr>
      <w:tblGrid>
        <w:gridCol w:w="489"/>
        <w:gridCol w:w="2511"/>
        <w:gridCol w:w="2727"/>
        <w:gridCol w:w="3055"/>
      </w:tblGrid>
      <w:tr w:rsidR="00955A27" w:rsidRPr="001667DB" w14:paraId="41B047E9" w14:textId="77777777" w:rsidTr="00702E6F">
        <w:tc>
          <w:tcPr>
            <w:tcW w:w="489" w:type="dxa"/>
            <w:tcBorders>
              <w:top w:val="single" w:sz="6" w:space="0" w:color="000000"/>
              <w:left w:val="single" w:sz="6" w:space="0" w:color="000000"/>
              <w:bottom w:val="double" w:sz="6" w:space="0" w:color="000000"/>
            </w:tcBorders>
            <w:shd w:val="clear" w:color="auto" w:fill="auto"/>
          </w:tcPr>
          <w:p w14:paraId="2A4812B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Lp.</w:t>
            </w:r>
          </w:p>
        </w:tc>
        <w:tc>
          <w:tcPr>
            <w:tcW w:w="2511" w:type="dxa"/>
            <w:tcBorders>
              <w:top w:val="single" w:sz="6" w:space="0" w:color="000000"/>
              <w:left w:val="single" w:sz="6" w:space="0" w:color="000000"/>
              <w:bottom w:val="double" w:sz="6" w:space="0" w:color="000000"/>
            </w:tcBorders>
            <w:shd w:val="clear" w:color="auto" w:fill="auto"/>
          </w:tcPr>
          <w:p w14:paraId="2A03915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Wyszczególnienie badań</w:t>
            </w:r>
          </w:p>
          <w:p w14:paraId="65EB5E5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i pomiarów</w:t>
            </w:r>
          </w:p>
        </w:tc>
        <w:tc>
          <w:tcPr>
            <w:tcW w:w="2727" w:type="dxa"/>
            <w:tcBorders>
              <w:top w:val="single" w:sz="6" w:space="0" w:color="000000"/>
              <w:left w:val="single" w:sz="6" w:space="0" w:color="000000"/>
              <w:bottom w:val="double" w:sz="6" w:space="0" w:color="000000"/>
            </w:tcBorders>
            <w:shd w:val="clear" w:color="auto" w:fill="auto"/>
          </w:tcPr>
          <w:p w14:paraId="118E2D9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Minimalna częstotliwość</w:t>
            </w:r>
          </w:p>
          <w:p w14:paraId="1678678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badań i pomiarów</w:t>
            </w:r>
          </w:p>
        </w:tc>
        <w:tc>
          <w:tcPr>
            <w:tcW w:w="3055" w:type="dxa"/>
            <w:tcBorders>
              <w:top w:val="single" w:sz="6" w:space="0" w:color="000000"/>
              <w:left w:val="single" w:sz="6" w:space="0" w:color="000000"/>
              <w:bottom w:val="double" w:sz="6" w:space="0" w:color="000000"/>
              <w:right w:val="single" w:sz="6" w:space="0" w:color="000000"/>
            </w:tcBorders>
            <w:shd w:val="clear" w:color="auto" w:fill="auto"/>
          </w:tcPr>
          <w:p w14:paraId="2428862E"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Tolerancja w stosunku do projektowanych </w:t>
            </w:r>
          </w:p>
        </w:tc>
      </w:tr>
      <w:tr w:rsidR="00955A27" w:rsidRPr="001667DB" w14:paraId="06E8324B" w14:textId="77777777" w:rsidTr="00702E6F">
        <w:tc>
          <w:tcPr>
            <w:tcW w:w="489" w:type="dxa"/>
            <w:tcBorders>
              <w:left w:val="single" w:sz="6" w:space="0" w:color="000000"/>
              <w:bottom w:val="single" w:sz="6" w:space="0" w:color="000000"/>
            </w:tcBorders>
            <w:shd w:val="clear" w:color="auto" w:fill="auto"/>
          </w:tcPr>
          <w:p w14:paraId="22C38E2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1</w:t>
            </w:r>
          </w:p>
        </w:tc>
        <w:tc>
          <w:tcPr>
            <w:tcW w:w="2511" w:type="dxa"/>
            <w:tcBorders>
              <w:left w:val="single" w:sz="6" w:space="0" w:color="000000"/>
              <w:bottom w:val="single" w:sz="6" w:space="0" w:color="000000"/>
            </w:tcBorders>
            <w:shd w:val="clear" w:color="auto" w:fill="auto"/>
          </w:tcPr>
          <w:p w14:paraId="43309C0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Szerokość koryta</w:t>
            </w:r>
          </w:p>
        </w:tc>
        <w:tc>
          <w:tcPr>
            <w:tcW w:w="2727" w:type="dxa"/>
            <w:tcBorders>
              <w:left w:val="single" w:sz="6" w:space="0" w:color="000000"/>
              <w:bottom w:val="single" w:sz="6" w:space="0" w:color="000000"/>
            </w:tcBorders>
            <w:shd w:val="clear" w:color="auto" w:fill="auto"/>
          </w:tcPr>
          <w:p w14:paraId="3ADF4F34"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co 100 m</w:t>
            </w:r>
          </w:p>
        </w:tc>
        <w:tc>
          <w:tcPr>
            <w:tcW w:w="3055" w:type="dxa"/>
            <w:tcBorders>
              <w:left w:val="single" w:sz="6" w:space="0" w:color="000000"/>
              <w:bottom w:val="single" w:sz="6" w:space="0" w:color="000000"/>
              <w:right w:val="single" w:sz="6" w:space="0" w:color="000000"/>
            </w:tcBorders>
            <w:shd w:val="clear" w:color="auto" w:fill="auto"/>
          </w:tcPr>
          <w:p w14:paraId="23EE4560"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+10 cm i -5 cm </w:t>
            </w:r>
          </w:p>
        </w:tc>
      </w:tr>
      <w:tr w:rsidR="00955A27" w:rsidRPr="001667DB" w14:paraId="22ACA3AB" w14:textId="77777777" w:rsidTr="00702E6F">
        <w:tc>
          <w:tcPr>
            <w:tcW w:w="489" w:type="dxa"/>
            <w:tcBorders>
              <w:top w:val="single" w:sz="6" w:space="0" w:color="000000"/>
              <w:left w:val="single" w:sz="6" w:space="0" w:color="000000"/>
              <w:bottom w:val="single" w:sz="6" w:space="0" w:color="000000"/>
            </w:tcBorders>
            <w:shd w:val="clear" w:color="auto" w:fill="auto"/>
          </w:tcPr>
          <w:p w14:paraId="14DE267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2</w:t>
            </w:r>
          </w:p>
        </w:tc>
        <w:tc>
          <w:tcPr>
            <w:tcW w:w="2511" w:type="dxa"/>
            <w:tcBorders>
              <w:top w:val="single" w:sz="6" w:space="0" w:color="000000"/>
              <w:left w:val="single" w:sz="6" w:space="0" w:color="000000"/>
              <w:bottom w:val="single" w:sz="6" w:space="0" w:color="000000"/>
            </w:tcBorders>
            <w:shd w:val="clear" w:color="auto" w:fill="auto"/>
          </w:tcPr>
          <w:p w14:paraId="29774894"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Równość podłużna</w:t>
            </w:r>
          </w:p>
        </w:tc>
        <w:tc>
          <w:tcPr>
            <w:tcW w:w="2727" w:type="dxa"/>
            <w:tcBorders>
              <w:top w:val="single" w:sz="6" w:space="0" w:color="000000"/>
              <w:left w:val="single" w:sz="6" w:space="0" w:color="000000"/>
              <w:bottom w:val="single" w:sz="6" w:space="0" w:color="000000"/>
            </w:tcBorders>
            <w:shd w:val="clear" w:color="auto" w:fill="auto"/>
          </w:tcPr>
          <w:p w14:paraId="60280DF6"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co 20 m na każdym pasie ruchu</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7BAC790B"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Nierówności nie mogą przekraczać 20 mm. (pomiar łatą 4 m) </w:t>
            </w:r>
          </w:p>
        </w:tc>
      </w:tr>
      <w:tr w:rsidR="00955A27" w:rsidRPr="001667DB" w14:paraId="1DF17F85" w14:textId="77777777" w:rsidTr="00702E6F">
        <w:tc>
          <w:tcPr>
            <w:tcW w:w="489" w:type="dxa"/>
            <w:tcBorders>
              <w:top w:val="single" w:sz="6" w:space="0" w:color="000000"/>
              <w:left w:val="single" w:sz="6" w:space="0" w:color="000000"/>
              <w:bottom w:val="single" w:sz="6" w:space="0" w:color="000000"/>
            </w:tcBorders>
            <w:shd w:val="clear" w:color="auto" w:fill="auto"/>
          </w:tcPr>
          <w:p w14:paraId="540F969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3</w:t>
            </w:r>
          </w:p>
        </w:tc>
        <w:tc>
          <w:tcPr>
            <w:tcW w:w="2511" w:type="dxa"/>
            <w:tcBorders>
              <w:top w:val="single" w:sz="6" w:space="0" w:color="000000"/>
              <w:left w:val="single" w:sz="6" w:space="0" w:color="000000"/>
              <w:bottom w:val="single" w:sz="6" w:space="0" w:color="000000"/>
            </w:tcBorders>
            <w:shd w:val="clear" w:color="auto" w:fill="auto"/>
          </w:tcPr>
          <w:p w14:paraId="7510CC8F"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Równość poprzeczna</w:t>
            </w:r>
          </w:p>
        </w:tc>
        <w:tc>
          <w:tcPr>
            <w:tcW w:w="2727" w:type="dxa"/>
            <w:tcBorders>
              <w:top w:val="single" w:sz="6" w:space="0" w:color="000000"/>
              <w:left w:val="single" w:sz="6" w:space="0" w:color="000000"/>
              <w:bottom w:val="single" w:sz="6" w:space="0" w:color="000000"/>
            </w:tcBorders>
            <w:shd w:val="clear" w:color="auto" w:fill="auto"/>
          </w:tcPr>
          <w:p w14:paraId="20848283"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co 100 m</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168F991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jw.</w:t>
            </w:r>
          </w:p>
        </w:tc>
      </w:tr>
      <w:tr w:rsidR="00955A27" w:rsidRPr="001667DB" w14:paraId="50C7659A" w14:textId="77777777" w:rsidTr="00702E6F">
        <w:tc>
          <w:tcPr>
            <w:tcW w:w="489" w:type="dxa"/>
            <w:tcBorders>
              <w:top w:val="single" w:sz="6" w:space="0" w:color="000000"/>
              <w:left w:val="single" w:sz="6" w:space="0" w:color="000000"/>
              <w:bottom w:val="single" w:sz="6" w:space="0" w:color="000000"/>
            </w:tcBorders>
            <w:shd w:val="clear" w:color="auto" w:fill="auto"/>
          </w:tcPr>
          <w:p w14:paraId="54B5DB9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4</w:t>
            </w:r>
          </w:p>
        </w:tc>
        <w:tc>
          <w:tcPr>
            <w:tcW w:w="2511" w:type="dxa"/>
            <w:tcBorders>
              <w:top w:val="single" w:sz="6" w:space="0" w:color="000000"/>
              <w:left w:val="single" w:sz="6" w:space="0" w:color="000000"/>
              <w:bottom w:val="single" w:sz="6" w:space="0" w:color="000000"/>
            </w:tcBorders>
            <w:shd w:val="clear" w:color="auto" w:fill="auto"/>
          </w:tcPr>
          <w:p w14:paraId="5FB54A1A"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Spadki poprzeczne </w:t>
            </w:r>
            <w:r w:rsidRPr="001667DB">
              <w:rPr>
                <w:rFonts w:ascii="Times New Roman" w:eastAsia="Times New Roman" w:hAnsi="Times New Roman" w:cs="Times New Roman"/>
                <w:color w:val="000000" w:themeColor="text1"/>
                <w:vertAlign w:val="superscript"/>
                <w:lang w:eastAsia="pl-PL"/>
              </w:rPr>
              <w:t>*)</w:t>
            </w:r>
          </w:p>
        </w:tc>
        <w:tc>
          <w:tcPr>
            <w:tcW w:w="2727" w:type="dxa"/>
            <w:tcBorders>
              <w:top w:val="single" w:sz="6" w:space="0" w:color="000000"/>
              <w:left w:val="single" w:sz="6" w:space="0" w:color="000000"/>
              <w:bottom w:val="single" w:sz="6" w:space="0" w:color="000000"/>
            </w:tcBorders>
            <w:shd w:val="clear" w:color="auto" w:fill="auto"/>
          </w:tcPr>
          <w:p w14:paraId="48E8AE06"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co 100 m</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2168E935" w14:textId="77777777" w:rsidR="00955A27" w:rsidRPr="001667DB" w:rsidRDefault="003C704A"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955A27" w:rsidRPr="001667DB">
              <w:rPr>
                <w:rFonts w:ascii="Times New Roman" w:eastAsia="Times New Roman" w:hAnsi="Times New Roman" w:cs="Times New Roman"/>
                <w:color w:val="000000" w:themeColor="text1"/>
                <w:lang w:eastAsia="pl-PL"/>
              </w:rPr>
              <w:t xml:space="preserve"> 0,5%. </w:t>
            </w:r>
          </w:p>
        </w:tc>
      </w:tr>
      <w:tr w:rsidR="00955A27" w:rsidRPr="001667DB" w14:paraId="4CB3C465" w14:textId="77777777" w:rsidTr="00702E6F">
        <w:tc>
          <w:tcPr>
            <w:tcW w:w="489" w:type="dxa"/>
            <w:tcBorders>
              <w:top w:val="single" w:sz="6" w:space="0" w:color="000000"/>
              <w:left w:val="single" w:sz="6" w:space="0" w:color="000000"/>
              <w:bottom w:val="single" w:sz="6" w:space="0" w:color="000000"/>
            </w:tcBorders>
            <w:shd w:val="clear" w:color="auto" w:fill="auto"/>
          </w:tcPr>
          <w:p w14:paraId="0C91AC8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5</w:t>
            </w:r>
          </w:p>
        </w:tc>
        <w:tc>
          <w:tcPr>
            <w:tcW w:w="2511" w:type="dxa"/>
            <w:tcBorders>
              <w:top w:val="single" w:sz="6" w:space="0" w:color="000000"/>
              <w:left w:val="single" w:sz="6" w:space="0" w:color="000000"/>
              <w:bottom w:val="single" w:sz="6" w:space="0" w:color="000000"/>
            </w:tcBorders>
            <w:shd w:val="clear" w:color="auto" w:fill="auto"/>
          </w:tcPr>
          <w:p w14:paraId="4B935F06"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Rzędne wysokościowe</w:t>
            </w:r>
          </w:p>
        </w:tc>
        <w:tc>
          <w:tcPr>
            <w:tcW w:w="2727" w:type="dxa"/>
            <w:tcBorders>
              <w:top w:val="single" w:sz="6" w:space="0" w:color="000000"/>
              <w:left w:val="single" w:sz="6" w:space="0" w:color="000000"/>
              <w:bottom w:val="single" w:sz="6" w:space="0" w:color="000000"/>
            </w:tcBorders>
            <w:shd w:val="clear" w:color="auto" w:fill="auto"/>
          </w:tcPr>
          <w:p w14:paraId="6FB14FAE"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co 25 m –w przypadku chodników, w miejscach charakterystycznych wjazdów </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004AB2A3"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+1 cm, -2 cm. </w:t>
            </w:r>
          </w:p>
        </w:tc>
      </w:tr>
      <w:tr w:rsidR="00955A27" w:rsidRPr="001667DB" w14:paraId="55A4C9A8" w14:textId="77777777" w:rsidTr="00702E6F">
        <w:tc>
          <w:tcPr>
            <w:tcW w:w="489" w:type="dxa"/>
            <w:tcBorders>
              <w:top w:val="single" w:sz="6" w:space="0" w:color="000000"/>
              <w:left w:val="single" w:sz="6" w:space="0" w:color="000000"/>
              <w:bottom w:val="single" w:sz="6" w:space="0" w:color="000000"/>
            </w:tcBorders>
            <w:shd w:val="clear" w:color="auto" w:fill="auto"/>
          </w:tcPr>
          <w:p w14:paraId="278244D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6</w:t>
            </w:r>
          </w:p>
        </w:tc>
        <w:tc>
          <w:tcPr>
            <w:tcW w:w="2511" w:type="dxa"/>
            <w:tcBorders>
              <w:top w:val="single" w:sz="6" w:space="0" w:color="000000"/>
              <w:left w:val="single" w:sz="6" w:space="0" w:color="000000"/>
              <w:bottom w:val="single" w:sz="6" w:space="0" w:color="000000"/>
            </w:tcBorders>
            <w:shd w:val="clear" w:color="auto" w:fill="auto"/>
          </w:tcPr>
          <w:p w14:paraId="4B97AE6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Ukształtowanie osi w planie </w:t>
            </w:r>
            <w:r w:rsidRPr="001667DB">
              <w:rPr>
                <w:rFonts w:ascii="Times New Roman" w:eastAsia="Times New Roman" w:hAnsi="Times New Roman" w:cs="Times New Roman"/>
                <w:color w:val="000000" w:themeColor="text1"/>
                <w:vertAlign w:val="superscript"/>
                <w:lang w:eastAsia="pl-PL"/>
              </w:rPr>
              <w:t>*)</w:t>
            </w:r>
          </w:p>
        </w:tc>
        <w:tc>
          <w:tcPr>
            <w:tcW w:w="2727" w:type="dxa"/>
            <w:tcBorders>
              <w:top w:val="single" w:sz="6" w:space="0" w:color="000000"/>
              <w:left w:val="single" w:sz="6" w:space="0" w:color="000000"/>
              <w:bottom w:val="single" w:sz="6" w:space="0" w:color="000000"/>
            </w:tcBorders>
            <w:shd w:val="clear" w:color="auto" w:fill="auto"/>
          </w:tcPr>
          <w:p w14:paraId="150B0F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co 100 m</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6452C036" w14:textId="77777777" w:rsidR="00955A27" w:rsidRPr="001667DB" w:rsidRDefault="003C704A"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955A27" w:rsidRPr="001667DB">
              <w:rPr>
                <w:rFonts w:ascii="Times New Roman" w:eastAsia="Times New Roman" w:hAnsi="Times New Roman" w:cs="Times New Roman"/>
                <w:color w:val="000000" w:themeColor="text1"/>
                <w:lang w:eastAsia="pl-PL"/>
              </w:rPr>
              <w:t xml:space="preserve"> 3 cm. </w:t>
            </w:r>
          </w:p>
        </w:tc>
      </w:tr>
      <w:tr w:rsidR="00955A27" w:rsidRPr="001667DB" w14:paraId="44B574F9" w14:textId="77777777" w:rsidTr="00702E6F">
        <w:tc>
          <w:tcPr>
            <w:tcW w:w="489" w:type="dxa"/>
            <w:tcBorders>
              <w:top w:val="single" w:sz="6" w:space="0" w:color="000000"/>
              <w:left w:val="single" w:sz="6" w:space="0" w:color="000000"/>
              <w:bottom w:val="single" w:sz="6" w:space="0" w:color="000000"/>
            </w:tcBorders>
            <w:shd w:val="clear" w:color="auto" w:fill="auto"/>
          </w:tcPr>
          <w:p w14:paraId="2DD91D6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7</w:t>
            </w:r>
          </w:p>
        </w:tc>
        <w:tc>
          <w:tcPr>
            <w:tcW w:w="2511" w:type="dxa"/>
            <w:tcBorders>
              <w:top w:val="single" w:sz="6" w:space="0" w:color="000000"/>
              <w:left w:val="single" w:sz="6" w:space="0" w:color="000000"/>
              <w:bottom w:val="single" w:sz="6" w:space="0" w:color="000000"/>
            </w:tcBorders>
            <w:shd w:val="clear" w:color="auto" w:fill="auto"/>
          </w:tcPr>
          <w:p w14:paraId="7D49DD6B"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Zagęszczenie, wilgotność gruntu podłoża, nośność</w:t>
            </w:r>
          </w:p>
        </w:tc>
        <w:tc>
          <w:tcPr>
            <w:tcW w:w="2727" w:type="dxa"/>
            <w:tcBorders>
              <w:top w:val="single" w:sz="6" w:space="0" w:color="000000"/>
              <w:left w:val="single" w:sz="6" w:space="0" w:color="000000"/>
              <w:bottom w:val="single" w:sz="6" w:space="0" w:color="000000"/>
            </w:tcBorders>
            <w:shd w:val="clear" w:color="auto" w:fill="auto"/>
          </w:tcPr>
          <w:p w14:paraId="15C04C62"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w 2 punktach na dziennej działce roboczej, lecz nie rzadziej niż raz na 600 m</w:t>
            </w:r>
            <w:r w:rsidRPr="001667DB">
              <w:rPr>
                <w:rFonts w:ascii="Times New Roman" w:eastAsia="Times New Roman" w:hAnsi="Times New Roman" w:cs="Times New Roman"/>
                <w:color w:val="000000" w:themeColor="text1"/>
                <w:vertAlign w:val="superscript"/>
                <w:lang w:eastAsia="pl-PL"/>
              </w:rPr>
              <w:t>2</w:t>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0D3EFE7B"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Zagęszczenie i nośność zgodnie ze specyfikacją Wilgotność </w:t>
            </w:r>
            <w:r w:rsidRPr="001667DB">
              <w:rPr>
                <w:rFonts w:ascii="Times New Roman" w:eastAsia="Times New Roman" w:hAnsi="Times New Roman" w:cs="Times New Roman"/>
                <w:color w:val="000000" w:themeColor="text1"/>
                <w:lang w:eastAsia="pl-PL"/>
              </w:rPr>
              <w:lastRenderedPageBreak/>
              <w:t xml:space="preserve">zgodnie ze specyfikacją dot. robót ziemnych </w:t>
            </w:r>
          </w:p>
        </w:tc>
      </w:tr>
      <w:tr w:rsidR="00955A27" w:rsidRPr="001667DB" w14:paraId="60DCDF13" w14:textId="77777777">
        <w:tc>
          <w:tcPr>
            <w:tcW w:w="5727" w:type="dxa"/>
            <w:gridSpan w:val="3"/>
            <w:tcBorders>
              <w:top w:val="single" w:sz="6" w:space="0" w:color="000000"/>
              <w:left w:val="single" w:sz="6" w:space="0" w:color="000000"/>
              <w:bottom w:val="single" w:sz="6" w:space="0" w:color="000000"/>
            </w:tcBorders>
            <w:shd w:val="clear" w:color="auto" w:fill="auto"/>
          </w:tcPr>
          <w:p w14:paraId="00554875"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lastRenderedPageBreak/>
              <w:t>*) Dodatkowe pomiary spadków poprzecznych i ukształtowania osi w planie należy wykonać w punktach głównych łuków poziomych</w:t>
            </w:r>
            <w:r w:rsidRPr="001667DB">
              <w:rPr>
                <w:rFonts w:ascii="Times New Roman" w:eastAsia="Times New Roman" w:hAnsi="Times New Roman" w:cs="Times New Roman"/>
                <w:color w:val="000000" w:themeColor="text1"/>
                <w:lang w:eastAsia="pl-PL"/>
              </w:rPr>
              <w:tab/>
            </w:r>
          </w:p>
        </w:tc>
        <w:tc>
          <w:tcPr>
            <w:tcW w:w="3055" w:type="dxa"/>
            <w:tcBorders>
              <w:top w:val="single" w:sz="6" w:space="0" w:color="000000"/>
              <w:left w:val="single" w:sz="6" w:space="0" w:color="000000"/>
              <w:bottom w:val="single" w:sz="6" w:space="0" w:color="000000"/>
              <w:right w:val="single" w:sz="6" w:space="0" w:color="000000"/>
            </w:tcBorders>
            <w:shd w:val="clear" w:color="auto" w:fill="auto"/>
          </w:tcPr>
          <w:p w14:paraId="62C9555E" w14:textId="77777777" w:rsidR="00955A27" w:rsidRPr="001667DB" w:rsidRDefault="00955A27" w:rsidP="00955A27">
            <w:pPr>
              <w:spacing w:before="20" w:after="120" w:line="360" w:lineRule="auto"/>
              <w:rPr>
                <w:rFonts w:ascii="Times New Roman" w:eastAsia="Times New Roman" w:hAnsi="Times New Roman" w:cs="Times New Roman"/>
                <w:color w:val="000000" w:themeColor="text1"/>
                <w:lang w:eastAsia="pl-PL"/>
              </w:rPr>
            </w:pPr>
          </w:p>
        </w:tc>
      </w:tr>
    </w:tbl>
    <w:p w14:paraId="1466C1A8" w14:textId="77777777" w:rsidR="00955A27" w:rsidRPr="001667DB" w:rsidRDefault="00955A27" w:rsidP="00955A27">
      <w:pPr>
        <w:spacing w:before="24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6.2.2. </w:t>
      </w:r>
      <w:r w:rsidRPr="001667DB">
        <w:rPr>
          <w:rFonts w:ascii="Times New Roman" w:eastAsia="Times New Roman" w:hAnsi="Times New Roman" w:cs="Times New Roman"/>
          <w:color w:val="000000" w:themeColor="text1"/>
          <w:lang w:eastAsia="pl-PL"/>
        </w:rPr>
        <w:t>Szerokość koryta (profilowanego podłoża)</w:t>
      </w:r>
    </w:p>
    <w:p w14:paraId="4520172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Szerokość koryta i profilowanego podłoża nie może różnić się od szerokości projektowanej o więcej niż +10 cm i -5 cm.</w:t>
      </w:r>
    </w:p>
    <w:p w14:paraId="7B2449AA" w14:textId="77777777" w:rsidR="00955A27" w:rsidRPr="001667DB" w:rsidRDefault="00955A27" w:rsidP="00955A27">
      <w:pPr>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6.2.3. </w:t>
      </w:r>
      <w:r w:rsidRPr="001667DB">
        <w:rPr>
          <w:rFonts w:ascii="Times New Roman" w:eastAsia="Times New Roman" w:hAnsi="Times New Roman" w:cs="Times New Roman"/>
          <w:color w:val="000000" w:themeColor="text1"/>
          <w:lang w:eastAsia="pl-PL"/>
        </w:rPr>
        <w:t>Równość koryta (profilowanego podłoża)</w:t>
      </w:r>
    </w:p>
    <w:p w14:paraId="3A2B088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Nierówności podłużne koryta i profilowanego podłoża należy mierzyć 4-metrową łatą zgodnie z normą BN-68/8931-04 [4].</w:t>
      </w:r>
    </w:p>
    <w:p w14:paraId="1FF3E49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Nierówności poprzeczne należy mierzyć 4-metrową łatą.</w:t>
      </w:r>
    </w:p>
    <w:p w14:paraId="6A942BE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Nierówności nie mogą przekraczać 20 mm.</w:t>
      </w:r>
    </w:p>
    <w:p w14:paraId="5164EA40" w14:textId="77777777" w:rsidR="00955A27" w:rsidRPr="001667DB" w:rsidRDefault="00955A27" w:rsidP="00955A27">
      <w:pPr>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6.2.4. </w:t>
      </w:r>
      <w:r w:rsidRPr="001667DB">
        <w:rPr>
          <w:rFonts w:ascii="Times New Roman" w:eastAsia="Times New Roman" w:hAnsi="Times New Roman" w:cs="Times New Roman"/>
          <w:color w:val="000000" w:themeColor="text1"/>
          <w:lang w:eastAsia="pl-PL"/>
        </w:rPr>
        <w:t>Spadki poprzeczne</w:t>
      </w:r>
    </w:p>
    <w:p w14:paraId="277B6EF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Spadki poprzeczne koryta i profilowanego podłoża powinny być zgodne z dokumentacją projektową z tolerancją  0,5%.</w:t>
      </w:r>
    </w:p>
    <w:p w14:paraId="455CF224" w14:textId="77777777" w:rsidR="00955A27" w:rsidRPr="001667DB" w:rsidRDefault="00955A27" w:rsidP="00955A27">
      <w:pPr>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6.2.5. </w:t>
      </w:r>
      <w:r w:rsidRPr="001667DB">
        <w:rPr>
          <w:rFonts w:ascii="Times New Roman" w:eastAsia="Times New Roman" w:hAnsi="Times New Roman" w:cs="Times New Roman"/>
          <w:color w:val="000000" w:themeColor="text1"/>
          <w:lang w:eastAsia="pl-PL"/>
        </w:rPr>
        <w:t>Rzędne wysokościowe</w:t>
      </w:r>
    </w:p>
    <w:p w14:paraId="19C224F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Różnice pomiędzy rzędnymi wysokościowymi koryta lub wyprofilowanego podłoża i rzędnymi projektowanymi nie powinny przekraczać +1 cm, -2 cm.</w:t>
      </w:r>
    </w:p>
    <w:p w14:paraId="481037E6" w14:textId="77777777" w:rsidR="00955A27" w:rsidRPr="001667DB" w:rsidRDefault="00955A27" w:rsidP="00955A27">
      <w:pPr>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6.2.6. </w:t>
      </w:r>
      <w:r w:rsidRPr="001667DB">
        <w:rPr>
          <w:rFonts w:ascii="Times New Roman" w:eastAsia="Times New Roman" w:hAnsi="Times New Roman" w:cs="Times New Roman"/>
          <w:color w:val="000000" w:themeColor="text1"/>
          <w:lang w:eastAsia="pl-PL"/>
        </w:rPr>
        <w:t>Ukształtowanie osi w planie</w:t>
      </w:r>
    </w:p>
    <w:p w14:paraId="313D40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Oś w planie nie może być przesunięta w stosunku do osi projektowanej o więcej niż  5 cm </w:t>
      </w:r>
    </w:p>
    <w:p w14:paraId="15D40572" w14:textId="77777777" w:rsidR="00955A27" w:rsidRPr="001667DB" w:rsidRDefault="00955A27" w:rsidP="00955A27">
      <w:pPr>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 xml:space="preserve">6.2.7. </w:t>
      </w:r>
      <w:r w:rsidRPr="001667DB">
        <w:rPr>
          <w:rFonts w:ascii="Times New Roman" w:eastAsia="Times New Roman" w:hAnsi="Times New Roman" w:cs="Times New Roman"/>
          <w:color w:val="000000" w:themeColor="text1"/>
          <w:lang w:eastAsia="pl-PL"/>
        </w:rPr>
        <w:t>Zagęszczenie koryta (profilowanego podłoża)</w:t>
      </w:r>
    </w:p>
    <w:p w14:paraId="01E1AD0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Wskaźnik zagęszczenia koryta i wyprofilowanego podłoża określony wg BN-77/8931-12 [5] nie powinien być mniejszy od podanego w tablicy 1.</w:t>
      </w:r>
    </w:p>
    <w:p w14:paraId="49B6908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Jeśli jako kryterium dobrego zagęszczenia stosuje się porównanie wartości modułów odkształcenia, to wartość stosunku wtórnego do pierwotnego modułu odkształcenia, określonych zgodnie z załącznikiem B normy PN-S-02205: 1998.</w:t>
      </w:r>
    </w:p>
    <w:p w14:paraId="7BD32F0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 xml:space="preserve">Wilgotność gruntu zagęszczanego w danej warstwie winna być zbliżona do wilgotności optymalnej. W przypadku wilgotności mniejszej niż 0,8 optymalnej grunt należy polewać wodą, a w przypadku wilgotności większej niż 1,25 optymalnej należy przesuszyć. </w:t>
      </w:r>
    </w:p>
    <w:p w14:paraId="6FBF57C2" w14:textId="77777777" w:rsidR="00955A27" w:rsidRPr="001667DB" w:rsidRDefault="00955A27" w:rsidP="00955A27">
      <w:pPr>
        <w:keepNext/>
        <w:overflowPunct w:val="0"/>
        <w:autoSpaceDE w:val="0"/>
        <w:spacing w:before="120" w:after="120" w:line="360" w:lineRule="auto"/>
        <w:ind w:left="426" w:hanging="426"/>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lastRenderedPageBreak/>
        <w:t>6.3. Zasady postępowania z wadliwie wykonanymi odcinkami koryta (profilowanego podłoża)</w:t>
      </w:r>
    </w:p>
    <w:p w14:paraId="1A96AD6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ab/>
      </w:r>
      <w:r w:rsidRPr="001667DB">
        <w:rPr>
          <w:rFonts w:ascii="Times New Roman" w:eastAsia="Times New Roman" w:hAnsi="Times New Roman" w:cs="Times New Roman"/>
          <w:color w:val="000000" w:themeColor="text1"/>
          <w:lang w:eastAsia="pl-PL"/>
        </w:rPr>
        <w:t>Wszystkie powierzchnie, które wykazują większe odchylenia cech geometrycznych od określonych w punkcie 6.2 powinny być naprawione przez spulchnienie do głębokości co najmniej 10 cm, wyrównanie i powtórne zagęszczenie. Dodanie nowego materiału bez spulchnienia wykonanej warstwy jest niedopuszczalne.</w:t>
      </w:r>
    </w:p>
    <w:p w14:paraId="21863E7A"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32" w:name="_7._obmiar_rob%C3%B3t"/>
      <w:bookmarkEnd w:id="332"/>
      <w:r w:rsidRPr="001667DB">
        <w:rPr>
          <w:rFonts w:ascii="Times New Roman" w:eastAsia="Times New Roman" w:hAnsi="Times New Roman" w:cs="Times New Roman"/>
          <w:b/>
          <w:caps/>
          <w:color w:val="000000" w:themeColor="text1"/>
          <w:kern w:val="2"/>
          <w:lang w:eastAsia="pl-PL"/>
        </w:rPr>
        <w:t>7. obmiar robót</w:t>
      </w:r>
    </w:p>
    <w:p w14:paraId="361798CD"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7.1. Ogólne zasady obmiaru robót</w:t>
      </w:r>
    </w:p>
    <w:p w14:paraId="424DB91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zasady obmiaru robót podano w ST D-00.00.00 „Wymagania ogólne” pkt 7.</w:t>
      </w:r>
    </w:p>
    <w:p w14:paraId="3AC20E7B"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7.2. Jednostka obmiarowa</w:t>
      </w:r>
    </w:p>
    <w:p w14:paraId="41B252D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Jednostką obmiarową jest m</w:t>
      </w:r>
      <w:r w:rsidRPr="001667DB">
        <w:rPr>
          <w:rFonts w:ascii="Times New Roman" w:eastAsia="Times New Roman" w:hAnsi="Times New Roman" w:cs="Times New Roman"/>
          <w:color w:val="000000" w:themeColor="text1"/>
          <w:vertAlign w:val="superscript"/>
          <w:lang w:eastAsia="pl-PL"/>
        </w:rPr>
        <w:t>2</w:t>
      </w:r>
      <w:r w:rsidRPr="001667DB">
        <w:rPr>
          <w:rFonts w:ascii="Times New Roman" w:eastAsia="Times New Roman" w:hAnsi="Times New Roman" w:cs="Times New Roman"/>
          <w:color w:val="000000" w:themeColor="text1"/>
          <w:lang w:eastAsia="pl-PL"/>
        </w:rPr>
        <w:t xml:space="preserve"> (metr kwadratowy) wykonanego i odebranego koryta.</w:t>
      </w:r>
    </w:p>
    <w:p w14:paraId="7120A086"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33" w:name="_8._odbi%C3%B3r_rob%C3%B3t"/>
      <w:bookmarkEnd w:id="333"/>
      <w:r w:rsidRPr="001667DB">
        <w:rPr>
          <w:rFonts w:ascii="Times New Roman" w:eastAsia="Times New Roman" w:hAnsi="Times New Roman" w:cs="Times New Roman"/>
          <w:b/>
          <w:caps/>
          <w:color w:val="000000" w:themeColor="text1"/>
          <w:kern w:val="2"/>
          <w:lang w:eastAsia="pl-PL"/>
        </w:rPr>
        <w:t>8. odbiór robót</w:t>
      </w:r>
    </w:p>
    <w:p w14:paraId="0BBB2B2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zasady odbioru robót podano w ST D-00.00.00 „Wymagania ogólne” pkt 8.</w:t>
      </w:r>
    </w:p>
    <w:p w14:paraId="2672E4A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Roboty uznaje się za wykonane zgodnie z dokumentacja projektową, ST i wymaganiami Inżyniera, jeżeli wszystkie pomiary i badania z zachowaniem tolerancji wg punktu 6 dały wyniki pozytywne.</w:t>
      </w:r>
    </w:p>
    <w:p w14:paraId="20BB0668"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34" w:name="_9._podstawa_p%C5%82atno%C5%9Bci"/>
      <w:bookmarkEnd w:id="334"/>
      <w:r w:rsidRPr="001667DB">
        <w:rPr>
          <w:rFonts w:ascii="Times New Roman" w:eastAsia="Times New Roman" w:hAnsi="Times New Roman" w:cs="Times New Roman"/>
          <w:b/>
          <w:caps/>
          <w:color w:val="000000" w:themeColor="text1"/>
          <w:kern w:val="2"/>
          <w:lang w:eastAsia="pl-PL"/>
        </w:rPr>
        <w:t>9. podstawa płatności</w:t>
      </w:r>
    </w:p>
    <w:p w14:paraId="41F1838C"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9.1. Ogólne ustalenia dotyczące podstawy płatności</w:t>
      </w:r>
    </w:p>
    <w:p w14:paraId="69505B7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Ogólne ustalenia dotyczące podstawy płatności podano w ST D-00.00.00 „Wymagania ogólne” pkt 9.</w:t>
      </w:r>
    </w:p>
    <w:p w14:paraId="4AD0BFC3"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9.2. Cena jednostki obmiarowej</w:t>
      </w:r>
    </w:p>
    <w:p w14:paraId="4559812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ab/>
        <w:t>Cena wykonania 1 m</w:t>
      </w:r>
      <w:r w:rsidRPr="001667DB">
        <w:rPr>
          <w:rFonts w:ascii="Times New Roman" w:eastAsia="Times New Roman" w:hAnsi="Times New Roman" w:cs="Times New Roman"/>
          <w:color w:val="000000" w:themeColor="text1"/>
          <w:vertAlign w:val="superscript"/>
          <w:lang w:eastAsia="pl-PL"/>
        </w:rPr>
        <w:t>2</w:t>
      </w:r>
      <w:r w:rsidRPr="001667DB">
        <w:rPr>
          <w:rFonts w:ascii="Times New Roman" w:eastAsia="Times New Roman" w:hAnsi="Times New Roman" w:cs="Times New Roman"/>
          <w:color w:val="000000" w:themeColor="text1"/>
          <w:lang w:eastAsia="pl-PL"/>
        </w:rPr>
        <w:t xml:space="preserve"> koryta obejmuje:</w:t>
      </w:r>
    </w:p>
    <w:p w14:paraId="15BC3219"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prace pomiarowe i roboty przygotowawcze,</w:t>
      </w:r>
    </w:p>
    <w:p w14:paraId="6FDAB1C3"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odspojenie gruntu z przerzutem na pobocze i rozplantowaniem,</w:t>
      </w:r>
    </w:p>
    <w:p w14:paraId="33E26706"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załadunek nadmiaru odspojonego gruntu na środki transportowe i odwiezienie na odkład lub nasyp,</w:t>
      </w:r>
    </w:p>
    <w:p w14:paraId="0F971B49"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profilowanie dna koryta lub podłoża,</w:t>
      </w:r>
    </w:p>
    <w:p w14:paraId="32FE8BA6"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zagęszczenie,</w:t>
      </w:r>
    </w:p>
    <w:p w14:paraId="6A4027C2"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utrzymanie koryta lub podłoża,</w:t>
      </w:r>
    </w:p>
    <w:p w14:paraId="3A42301E" w14:textId="77777777" w:rsidR="00955A27" w:rsidRPr="001667DB" w:rsidRDefault="007F373E" w:rsidP="00955A27">
      <w:pPr>
        <w:spacing w:after="120" w:line="360" w:lineRule="auto"/>
        <w:ind w:left="283"/>
        <w:jc w:val="both"/>
        <w:rPr>
          <w:rFonts w:ascii="Times New Roman" w:hAnsi="Times New Roman" w:cs="Times New Roman"/>
          <w:color w:val="000000" w:themeColor="text1"/>
        </w:rPr>
      </w:pPr>
      <w:r>
        <w:rPr>
          <w:rFonts w:ascii="Times New Roman" w:eastAsia="Times New Roman" w:hAnsi="Times New Roman" w:cs="Times New Roman"/>
          <w:color w:val="000000" w:themeColor="text1"/>
          <w:lang w:eastAsia="pl-PL"/>
        </w:rPr>
        <w:t>-</w:t>
      </w:r>
      <w:r w:rsidR="00955A27" w:rsidRPr="001667DB">
        <w:rPr>
          <w:rFonts w:ascii="Times New Roman" w:eastAsia="Times New Roman" w:hAnsi="Times New Roman" w:cs="Times New Roman"/>
          <w:color w:val="000000" w:themeColor="text1"/>
          <w:lang w:eastAsia="pl-PL"/>
        </w:rPr>
        <w:t>      przeprowadzenie pomiarów i badań laboratoryjnych, wymaganych w specyfikacji technicznej.</w:t>
      </w:r>
    </w:p>
    <w:p w14:paraId="183CC54B" w14:textId="77777777" w:rsidR="00955A27" w:rsidRPr="001667DB" w:rsidRDefault="00955A27" w:rsidP="00955A27">
      <w:pPr>
        <w:keepNext/>
        <w:keepLines/>
        <w:overflowPunct w:val="0"/>
        <w:autoSpaceDE w:val="0"/>
        <w:spacing w:before="240" w:after="120" w:line="360" w:lineRule="auto"/>
        <w:jc w:val="both"/>
        <w:rPr>
          <w:rFonts w:ascii="Times New Roman" w:hAnsi="Times New Roman" w:cs="Times New Roman"/>
          <w:color w:val="000000" w:themeColor="text1"/>
        </w:rPr>
      </w:pPr>
      <w:bookmarkStart w:id="335" w:name="_10._przepisy_zwi%C4%85zane"/>
      <w:bookmarkEnd w:id="335"/>
      <w:r w:rsidRPr="001667DB">
        <w:rPr>
          <w:rFonts w:ascii="Times New Roman" w:eastAsia="Times New Roman" w:hAnsi="Times New Roman" w:cs="Times New Roman"/>
          <w:b/>
          <w:caps/>
          <w:color w:val="000000" w:themeColor="text1"/>
          <w:kern w:val="2"/>
          <w:lang w:eastAsia="pl-PL"/>
        </w:rPr>
        <w:lastRenderedPageBreak/>
        <w:t>10. przepisy związane</w:t>
      </w:r>
    </w:p>
    <w:p w14:paraId="6E699247" w14:textId="77777777" w:rsidR="00955A27" w:rsidRPr="001667DB" w:rsidRDefault="00955A27" w:rsidP="00955A27">
      <w:pPr>
        <w:keepNext/>
        <w:overflowPunct w:val="0"/>
        <w:autoSpaceDE w:val="0"/>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Normy</w:t>
      </w:r>
    </w:p>
    <w:tbl>
      <w:tblPr>
        <w:tblW w:w="0" w:type="auto"/>
        <w:tblLayout w:type="fixed"/>
        <w:tblCellMar>
          <w:left w:w="70" w:type="dxa"/>
          <w:right w:w="70" w:type="dxa"/>
        </w:tblCellMar>
        <w:tblLook w:val="0000" w:firstRow="0" w:lastRow="0" w:firstColumn="0" w:lastColumn="0" w:noHBand="0" w:noVBand="0"/>
      </w:tblPr>
      <w:tblGrid>
        <w:gridCol w:w="496"/>
        <w:gridCol w:w="1701"/>
        <w:gridCol w:w="6255"/>
      </w:tblGrid>
      <w:tr w:rsidR="00955A27" w:rsidRPr="001667DB" w14:paraId="4A68FC2C" w14:textId="77777777">
        <w:tc>
          <w:tcPr>
            <w:tcW w:w="496" w:type="dxa"/>
            <w:shd w:val="clear" w:color="auto" w:fill="auto"/>
          </w:tcPr>
          <w:p w14:paraId="631DAB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1.</w:t>
            </w:r>
          </w:p>
        </w:tc>
        <w:tc>
          <w:tcPr>
            <w:tcW w:w="1701" w:type="dxa"/>
            <w:shd w:val="clear" w:color="auto" w:fill="auto"/>
          </w:tcPr>
          <w:p w14:paraId="044166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PN-B-04481</w:t>
            </w:r>
          </w:p>
        </w:tc>
        <w:tc>
          <w:tcPr>
            <w:tcW w:w="6255" w:type="dxa"/>
            <w:shd w:val="clear" w:color="auto" w:fill="auto"/>
          </w:tcPr>
          <w:p w14:paraId="5BF468E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Grunty budowlane. Badania próbek gruntu</w:t>
            </w:r>
          </w:p>
        </w:tc>
      </w:tr>
      <w:tr w:rsidR="00955A27" w:rsidRPr="001667DB" w14:paraId="6771933F" w14:textId="77777777">
        <w:tc>
          <w:tcPr>
            <w:tcW w:w="496" w:type="dxa"/>
            <w:shd w:val="clear" w:color="auto" w:fill="auto"/>
          </w:tcPr>
          <w:p w14:paraId="389EFBC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2.</w:t>
            </w:r>
          </w:p>
        </w:tc>
        <w:tc>
          <w:tcPr>
            <w:tcW w:w="1701" w:type="dxa"/>
            <w:shd w:val="clear" w:color="auto" w:fill="auto"/>
          </w:tcPr>
          <w:p w14:paraId="462EBCD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PN-/B-06714-17</w:t>
            </w:r>
          </w:p>
        </w:tc>
        <w:tc>
          <w:tcPr>
            <w:tcW w:w="6255" w:type="dxa"/>
            <w:shd w:val="clear" w:color="auto" w:fill="auto"/>
          </w:tcPr>
          <w:p w14:paraId="0A0E737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Kruszywa mineralne. Badania. Oznaczanie wilgotności</w:t>
            </w:r>
          </w:p>
        </w:tc>
      </w:tr>
      <w:tr w:rsidR="00955A27" w:rsidRPr="001667DB" w14:paraId="5927DFCA" w14:textId="77777777">
        <w:tc>
          <w:tcPr>
            <w:tcW w:w="496" w:type="dxa"/>
            <w:shd w:val="clear" w:color="auto" w:fill="auto"/>
          </w:tcPr>
          <w:p w14:paraId="0B2AB60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3.</w:t>
            </w:r>
          </w:p>
        </w:tc>
        <w:tc>
          <w:tcPr>
            <w:tcW w:w="1701" w:type="dxa"/>
            <w:shd w:val="clear" w:color="auto" w:fill="auto"/>
          </w:tcPr>
          <w:p w14:paraId="0094D6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PN-S-02205: 1998</w:t>
            </w:r>
          </w:p>
        </w:tc>
        <w:tc>
          <w:tcPr>
            <w:tcW w:w="6255" w:type="dxa"/>
            <w:shd w:val="clear" w:color="auto" w:fill="auto"/>
          </w:tcPr>
          <w:p w14:paraId="6903FDA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 xml:space="preserve">Drogi Samochodowe. Roboty ziemne. Wymagania i badania </w:t>
            </w:r>
          </w:p>
        </w:tc>
      </w:tr>
      <w:tr w:rsidR="00955A27" w:rsidRPr="001667DB" w14:paraId="4762974E" w14:textId="77777777">
        <w:tc>
          <w:tcPr>
            <w:tcW w:w="496" w:type="dxa"/>
            <w:shd w:val="clear" w:color="auto" w:fill="auto"/>
          </w:tcPr>
          <w:p w14:paraId="69C13D0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4.</w:t>
            </w:r>
          </w:p>
        </w:tc>
        <w:tc>
          <w:tcPr>
            <w:tcW w:w="1701" w:type="dxa"/>
            <w:shd w:val="clear" w:color="auto" w:fill="auto"/>
          </w:tcPr>
          <w:p w14:paraId="354FC81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BN-68/8931-04</w:t>
            </w:r>
          </w:p>
        </w:tc>
        <w:tc>
          <w:tcPr>
            <w:tcW w:w="6255" w:type="dxa"/>
            <w:shd w:val="clear" w:color="auto" w:fill="auto"/>
          </w:tcPr>
          <w:p w14:paraId="50BB957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Drogi samochodowe. Pomiar równości nawierzchni planografem i łatą</w:t>
            </w:r>
          </w:p>
        </w:tc>
      </w:tr>
      <w:tr w:rsidR="00955A27" w:rsidRPr="001667DB" w14:paraId="55C3658D" w14:textId="77777777">
        <w:tc>
          <w:tcPr>
            <w:tcW w:w="496" w:type="dxa"/>
            <w:shd w:val="clear" w:color="auto" w:fill="auto"/>
          </w:tcPr>
          <w:p w14:paraId="2C535C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5.</w:t>
            </w:r>
          </w:p>
        </w:tc>
        <w:tc>
          <w:tcPr>
            <w:tcW w:w="1701" w:type="dxa"/>
            <w:shd w:val="clear" w:color="auto" w:fill="auto"/>
          </w:tcPr>
          <w:p w14:paraId="150A10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BN-77/8931-12</w:t>
            </w:r>
          </w:p>
        </w:tc>
        <w:tc>
          <w:tcPr>
            <w:tcW w:w="6255" w:type="dxa"/>
            <w:shd w:val="clear" w:color="auto" w:fill="auto"/>
          </w:tcPr>
          <w:p w14:paraId="3E1F671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eastAsia="Times New Roman" w:hAnsi="Times New Roman" w:cs="Times New Roman"/>
                <w:color w:val="000000" w:themeColor="text1"/>
                <w:lang w:eastAsia="pl-PL"/>
              </w:rPr>
              <w:t>Oznaczanie wskaźnika zagęszczenia gruntu</w:t>
            </w:r>
          </w:p>
        </w:tc>
      </w:tr>
    </w:tbl>
    <w:p w14:paraId="441BBDE5" w14:textId="77777777" w:rsidR="00A714E1" w:rsidRPr="001667DB" w:rsidRDefault="00A714E1" w:rsidP="00A714E1">
      <w:pPr>
        <w:rPr>
          <w:rFonts w:ascii="Times New Roman" w:hAnsi="Times New Roman" w:cs="Times New Roman"/>
          <w:b/>
          <w:color w:val="000000" w:themeColor="text1"/>
        </w:rPr>
      </w:pPr>
      <w:bookmarkStart w:id="336" w:name="_Toc344981393"/>
    </w:p>
    <w:p w14:paraId="7750D4B4" w14:textId="77777777" w:rsidR="00A714E1" w:rsidRPr="001667DB" w:rsidRDefault="00A714E1">
      <w:pPr>
        <w:rPr>
          <w:rFonts w:ascii="Times New Roman" w:hAnsi="Times New Roman" w:cs="Times New Roman"/>
          <w:b/>
          <w:color w:val="000000" w:themeColor="text1"/>
        </w:rPr>
      </w:pPr>
      <w:r w:rsidRPr="001667DB">
        <w:rPr>
          <w:rFonts w:ascii="Times New Roman" w:hAnsi="Times New Roman" w:cs="Times New Roman"/>
          <w:b/>
          <w:color w:val="000000" w:themeColor="text1"/>
        </w:rPr>
        <w:br w:type="page"/>
      </w:r>
    </w:p>
    <w:p w14:paraId="72FCE769" w14:textId="77777777" w:rsidR="00955A27" w:rsidRPr="001667DB" w:rsidRDefault="00955A27" w:rsidP="00A714E1">
      <w:pPr>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D.04.03.01. </w:t>
      </w:r>
      <w:bookmarkStart w:id="337" w:name="_Toc407084258"/>
      <w:bookmarkStart w:id="338" w:name="_Toc407085377"/>
      <w:bookmarkStart w:id="339" w:name="_Toc407085520"/>
      <w:bookmarkStart w:id="340" w:name="_Toc407085663"/>
      <w:bookmarkStart w:id="341" w:name="_Toc407086111"/>
      <w:bookmarkStart w:id="342" w:name="_Toc407069660"/>
      <w:bookmarkStart w:id="343" w:name="_Toc407081625"/>
      <w:bookmarkStart w:id="344" w:name="_Toc407081768"/>
      <w:bookmarkStart w:id="345" w:name="_Toc407083424"/>
      <w:r w:rsidRPr="001667DB">
        <w:rPr>
          <w:rFonts w:ascii="Times New Roman" w:hAnsi="Times New Roman" w:cs="Times New Roman"/>
          <w:b/>
          <w:color w:val="000000" w:themeColor="text1"/>
        </w:rPr>
        <w:tab/>
        <w:t>OCZYSZCZENIE  I  SKROPIENIE WARSTW KONSTRUKCYJNYCH</w:t>
      </w:r>
      <w:bookmarkEnd w:id="337"/>
      <w:bookmarkEnd w:id="338"/>
      <w:bookmarkEnd w:id="339"/>
      <w:bookmarkEnd w:id="340"/>
      <w:bookmarkEnd w:id="341"/>
      <w:bookmarkEnd w:id="342"/>
      <w:bookmarkEnd w:id="343"/>
      <w:bookmarkEnd w:id="344"/>
      <w:bookmarkEnd w:id="345"/>
    </w:p>
    <w:p w14:paraId="6B46A83E" w14:textId="77777777" w:rsidR="00955A27" w:rsidRPr="00326BBF" w:rsidRDefault="00955A27" w:rsidP="00955A27">
      <w:pPr>
        <w:pStyle w:val="Nagwek1"/>
        <w:spacing w:line="360" w:lineRule="auto"/>
        <w:rPr>
          <w:color w:val="000000" w:themeColor="text1"/>
          <w:sz w:val="22"/>
          <w:szCs w:val="22"/>
          <w:lang w:val="pl-PL"/>
        </w:rPr>
      </w:pPr>
      <w:r w:rsidRPr="00326BBF">
        <w:rPr>
          <w:color w:val="000000" w:themeColor="text1"/>
          <w:sz w:val="22"/>
          <w:szCs w:val="22"/>
          <w:lang w:val="pl-PL"/>
        </w:rPr>
        <w:t>1. Wstęp</w:t>
      </w:r>
      <w:bookmarkEnd w:id="336"/>
    </w:p>
    <w:p w14:paraId="10B15188"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1.1. Przedmiot ST</w:t>
      </w:r>
    </w:p>
    <w:p w14:paraId="7D917D62" w14:textId="77777777" w:rsidR="00955A27" w:rsidRPr="001667DB" w:rsidRDefault="00955A27" w:rsidP="00955A27">
      <w:pPr>
        <w:pStyle w:val="Standardowytekst0"/>
        <w:spacing w:after="120" w:line="360" w:lineRule="auto"/>
        <w:rPr>
          <w:color w:val="000000" w:themeColor="text1"/>
          <w:sz w:val="22"/>
          <w:szCs w:val="22"/>
        </w:rPr>
      </w:pPr>
      <w:r w:rsidRPr="001667DB">
        <w:rPr>
          <w:color w:val="000000" w:themeColor="text1"/>
          <w:sz w:val="22"/>
          <w:szCs w:val="22"/>
        </w:rPr>
        <w:tab/>
        <w:t>Przedmiotem niniejszej specyfikacji technicznej (ST) są wymagania dotyczące wykonania i odbioru robót związanych z oczyszczeniem i skropieniem warstw konstrukcyjnych nawierzchni w związku z </w:t>
      </w:r>
      <w:r w:rsidR="00FD3B41" w:rsidRPr="00FD3B41">
        <w:rPr>
          <w:b/>
          <w:color w:val="000000" w:themeColor="text1"/>
          <w:sz w:val="22"/>
          <w:szCs w:val="22"/>
        </w:rPr>
        <w:t>„Rozbudowa drogi wojewódzkiej nr 461 w m. Dąbrówka Łubniańska i Łubniany” – Etap I ( km od 9+741,88 do 10+371,13)</w:t>
      </w:r>
    </w:p>
    <w:p w14:paraId="51841488"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1.2. Zakres stosowania ST</w:t>
      </w:r>
    </w:p>
    <w:p w14:paraId="531490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Specyfikacje Techniczne stanowią część Dokumentów Przetargowych i Kontraktowych i należy je stosowa</w:t>
      </w:r>
      <w:r w:rsidRPr="001667DB">
        <w:rPr>
          <w:rFonts w:ascii="Times New Roman" w:hAnsi="Times New Roman" w:cs="Times New Roman"/>
          <w:color w:val="000000" w:themeColor="text1"/>
        </w:rPr>
        <w:sym w:font="Times New Roman" w:char="0107"/>
      </w:r>
      <w:r w:rsidRPr="001667DB">
        <w:rPr>
          <w:rFonts w:ascii="Times New Roman" w:hAnsi="Times New Roman" w:cs="Times New Roman"/>
          <w:color w:val="000000" w:themeColor="text1"/>
        </w:rPr>
        <w:t xml:space="preserve"> w zlecaniu i wykonaniu robót opisanych w podpunkcie 1.1.</w:t>
      </w:r>
    </w:p>
    <w:p w14:paraId="56E64897"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1.3. Zakres robót objętych ST</w:t>
      </w:r>
    </w:p>
    <w:p w14:paraId="5B7B9F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Zakres robót obejmuje:</w:t>
      </w:r>
    </w:p>
    <w:p w14:paraId="30B01D40" w14:textId="77777777" w:rsidR="00955A27" w:rsidRPr="001667DB" w:rsidRDefault="00955A27" w:rsidP="00904E6C">
      <w:pPr>
        <w:numPr>
          <w:ilvl w:val="1"/>
          <w:numId w:val="88"/>
        </w:numPr>
        <w:tabs>
          <w:tab w:val="clear" w:pos="2367"/>
          <w:tab w:val="left" w:pos="851"/>
          <w:tab w:val="num" w:pos="1100"/>
          <w:tab w:val="left" w:pos="1134"/>
          <w:tab w:val="left" w:pos="1701"/>
        </w:tabs>
        <w:spacing w:after="120" w:line="360" w:lineRule="auto"/>
        <w:ind w:left="1100" w:hanging="20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oczyszczenie mechaniczne i skropienie emulsją asfaltową warstw konstrukcyjnych. </w:t>
      </w:r>
    </w:p>
    <w:p w14:paraId="6F5EFCC9"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1.4. Określenia podstawowe</w:t>
      </w:r>
    </w:p>
    <w:p w14:paraId="2A149160" w14:textId="77777777" w:rsidR="00955A27" w:rsidRPr="001667DB" w:rsidRDefault="00955A27" w:rsidP="00955A27">
      <w:pPr>
        <w:spacing w:before="120"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Określenia podstawowe są zgodne z obowiązującymi, odpowiednimi polskimi normami i z definicjami podanymi w ST D-M-00.00.00 „Wymagania ogólne”[1] pkt 1.4.</w:t>
      </w:r>
    </w:p>
    <w:p w14:paraId="7219C825"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1.5. Ogólne wymagania dotyczące robót</w:t>
      </w:r>
    </w:p>
    <w:p w14:paraId="62201D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D-M-00.00.00 „Wymagania ogólne” [1] pkt 1.5.</w:t>
      </w:r>
    </w:p>
    <w:p w14:paraId="0508D9B2" w14:textId="77777777" w:rsidR="00955A27" w:rsidRPr="00326BBF" w:rsidRDefault="00955A27" w:rsidP="00955A27">
      <w:pPr>
        <w:pStyle w:val="Nagwek1"/>
        <w:spacing w:line="360" w:lineRule="auto"/>
        <w:rPr>
          <w:color w:val="000000" w:themeColor="text1"/>
          <w:sz w:val="22"/>
          <w:szCs w:val="22"/>
          <w:lang w:val="pl-PL"/>
        </w:rPr>
      </w:pPr>
      <w:bookmarkStart w:id="346" w:name="_Toc344981394"/>
      <w:r w:rsidRPr="00326BBF">
        <w:rPr>
          <w:color w:val="000000" w:themeColor="text1"/>
          <w:sz w:val="22"/>
          <w:szCs w:val="22"/>
          <w:lang w:val="pl-PL"/>
        </w:rPr>
        <w:t>2. Materiały</w:t>
      </w:r>
      <w:bookmarkEnd w:id="346"/>
    </w:p>
    <w:p w14:paraId="3F942914" w14:textId="77777777" w:rsidR="00955A27" w:rsidRPr="001667DB" w:rsidRDefault="00955A27" w:rsidP="00955A27">
      <w:pPr>
        <w:pStyle w:val="Nagwek2"/>
        <w:spacing w:line="360" w:lineRule="auto"/>
        <w:rPr>
          <w:color w:val="000000" w:themeColor="text1"/>
          <w:sz w:val="22"/>
          <w:szCs w:val="22"/>
        </w:rPr>
      </w:pPr>
      <w:bookmarkStart w:id="347" w:name="_Toc344981395"/>
      <w:r w:rsidRPr="001667DB">
        <w:rPr>
          <w:color w:val="000000" w:themeColor="text1"/>
          <w:sz w:val="22"/>
          <w:szCs w:val="22"/>
        </w:rPr>
        <w:t>2.1. Ogólne wymagania dotyczące materiałów</w:t>
      </w:r>
    </w:p>
    <w:p w14:paraId="31F8AC9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D-M-00.00.00 „Wymagania ogólne” [1] pkt 2.</w:t>
      </w:r>
    </w:p>
    <w:p w14:paraId="2C0141BF"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2.2. Materiały do wykonania robót</w:t>
      </w:r>
    </w:p>
    <w:p w14:paraId="4743F4A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2.2.1. Zgodność materiałów z dokumentacją projektową</w:t>
      </w:r>
      <w:r w:rsidRPr="001667DB">
        <w:rPr>
          <w:rFonts w:ascii="Times New Roman" w:hAnsi="Times New Roman" w:cs="Times New Roman"/>
          <w:color w:val="000000" w:themeColor="text1"/>
        </w:rPr>
        <w:t xml:space="preserve"> </w:t>
      </w:r>
    </w:p>
    <w:p w14:paraId="150DBAAF"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Materiały do wykonania robót powinny być zgodne z ustaleniami dokumentacji projektowej lub ST.</w:t>
      </w:r>
    </w:p>
    <w:p w14:paraId="4ABF8365" w14:textId="77777777" w:rsidR="00955A27" w:rsidRPr="001667DB" w:rsidRDefault="00955A27" w:rsidP="00955A27">
      <w:pPr>
        <w:spacing w:before="120"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2.2.2. Rodzaje materiałów do wykonania skropienia</w:t>
      </w:r>
    </w:p>
    <w:p w14:paraId="30209FE5"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Do połączeń międzywarstwowych należy stosować następujące materiały: </w:t>
      </w:r>
    </w:p>
    <w:p w14:paraId="6EA2E4BD"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kationowe emulsje asfaltowe niemodyfikowane wg Załącznika Krajowego NA do PN-EN 13808 [3] – do warstw asfaltowych dróg kategorii KR 1-2 i do podbudów z mieszanek niezwiązanych i związanych hydraulicznie, </w:t>
      </w:r>
    </w:p>
    <w:p w14:paraId="7A2E0A9C"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kationowe emulsje asfaltowe modyfikowane polimerami wg Załącznika Krajowego NA do PN-EN 13808 [3] – do warstw asfaltowych dróg kategorii KR 3-7. </w:t>
      </w:r>
    </w:p>
    <w:p w14:paraId="535A0EDD"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Spośród rodzajów emulsji wymienionych w Załączniku Krajowym NA do normy PN-EN 13808 [3], należy stosować emulsje oznaczone kodem ZM. Należy stosować emulsje według aktualnego wydania Załącznika Krajowego.</w:t>
      </w:r>
    </w:p>
    <w:p w14:paraId="40F9086E"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3. Sprzęt</w:t>
      </w:r>
      <w:bookmarkEnd w:id="347"/>
    </w:p>
    <w:p w14:paraId="2CC53D21"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48" w:name="_Toc344981396"/>
      <w:r w:rsidRPr="001667DB">
        <w:rPr>
          <w:color w:val="000000" w:themeColor="text1"/>
          <w:sz w:val="22"/>
          <w:szCs w:val="22"/>
        </w:rPr>
        <w:t>3.1. Ogólne wymagania dotyczące sprzętu</w:t>
      </w:r>
    </w:p>
    <w:p w14:paraId="25C6D44F"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D-M-00.00.00 „Wymagania ogólne” [1] pkt 3.</w:t>
      </w:r>
    </w:p>
    <w:p w14:paraId="57CBB2D0"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3.2. Sprzęt stosowany do wykonania robót</w:t>
      </w:r>
    </w:p>
    <w:p w14:paraId="3C97C6C8"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Przy wykonywaniu robót Wykonawca w zależności od potrzeb, powinien wykazać się możliwością korzystania ze sprzętu dostosowanego do przyjętej metody robót, jak:</w:t>
      </w:r>
    </w:p>
    <w:p w14:paraId="25B1ABBE" w14:textId="77777777" w:rsidR="00955A27" w:rsidRPr="001667DB" w:rsidRDefault="00955A27" w:rsidP="00904E6C">
      <w:pPr>
        <w:numPr>
          <w:ilvl w:val="0"/>
          <w:numId w:val="8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 do oczyszczenia warstw nawierzchni - szczotki mechaniczne,</w:t>
      </w:r>
    </w:p>
    <w:p w14:paraId="2C165DA2" w14:textId="77777777" w:rsidR="00955A27" w:rsidRPr="001667DB" w:rsidRDefault="00955A27" w:rsidP="00904E6C">
      <w:pPr>
        <w:numPr>
          <w:ilvl w:val="0"/>
          <w:numId w:val="8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 do skrapiania emulsją asfaltową warstw nawierzchni – skrapiarki.</w:t>
      </w:r>
    </w:p>
    <w:p w14:paraId="7112DFDF" w14:textId="77777777" w:rsidR="00955A27" w:rsidRPr="001667DB" w:rsidRDefault="00955A27" w:rsidP="00FA7059">
      <w:pPr>
        <w:spacing w:after="120" w:line="360" w:lineRule="auto"/>
        <w:ind w:left="360" w:firstLine="349"/>
        <w:jc w:val="both"/>
        <w:rPr>
          <w:rFonts w:ascii="Times New Roman" w:hAnsi="Times New Roman" w:cs="Times New Roman"/>
          <w:color w:val="000000" w:themeColor="text1"/>
        </w:rPr>
      </w:pPr>
      <w:r w:rsidRPr="001667DB">
        <w:rPr>
          <w:rFonts w:ascii="Times New Roman" w:hAnsi="Times New Roman" w:cs="Times New Roman"/>
          <w:color w:val="000000" w:themeColor="text1"/>
        </w:rPr>
        <w:t>Należy używać skrapiarki wyposażonej w urządzenia pomiarowo-kontrolne pozwalające na sprawdzanie i regulowanie następujących parametrów:</w:t>
      </w:r>
    </w:p>
    <w:p w14:paraId="7C236DE9" w14:textId="77777777" w:rsidR="00955A27" w:rsidRPr="001667DB" w:rsidRDefault="00955A27" w:rsidP="00904E6C">
      <w:pPr>
        <w:numPr>
          <w:ilvl w:val="1"/>
          <w:numId w:val="83"/>
        </w:numPr>
        <w:tabs>
          <w:tab w:val="clear" w:pos="1477"/>
          <w:tab w:val="num" w:pos="360"/>
        </w:tabs>
        <w:overflowPunct w:val="0"/>
        <w:autoSpaceDE w:val="0"/>
        <w:autoSpaceDN w:val="0"/>
        <w:adjustRightInd w:val="0"/>
        <w:spacing w:after="120" w:line="360" w:lineRule="auto"/>
        <w:ind w:left="360" w:firstLine="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temperatury rozkładanego lepiszcza,</w:t>
      </w:r>
    </w:p>
    <w:p w14:paraId="763C863E" w14:textId="77777777" w:rsidR="00955A27" w:rsidRPr="001667DB" w:rsidRDefault="00955A27" w:rsidP="00904E6C">
      <w:pPr>
        <w:numPr>
          <w:ilvl w:val="1"/>
          <w:numId w:val="83"/>
        </w:numPr>
        <w:tabs>
          <w:tab w:val="clear" w:pos="1477"/>
          <w:tab w:val="num" w:pos="360"/>
        </w:tabs>
        <w:overflowPunct w:val="0"/>
        <w:autoSpaceDE w:val="0"/>
        <w:autoSpaceDN w:val="0"/>
        <w:adjustRightInd w:val="0"/>
        <w:spacing w:after="120" w:line="360" w:lineRule="auto"/>
        <w:ind w:left="360" w:firstLine="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ciśnienia lepiszcza w kolektorze,</w:t>
      </w:r>
    </w:p>
    <w:p w14:paraId="0AF6E972" w14:textId="77777777" w:rsidR="00955A27" w:rsidRPr="001667DB" w:rsidRDefault="00955A27" w:rsidP="00904E6C">
      <w:pPr>
        <w:numPr>
          <w:ilvl w:val="1"/>
          <w:numId w:val="83"/>
        </w:numPr>
        <w:tabs>
          <w:tab w:val="clear" w:pos="1477"/>
          <w:tab w:val="num" w:pos="360"/>
        </w:tabs>
        <w:overflowPunct w:val="0"/>
        <w:autoSpaceDE w:val="0"/>
        <w:autoSpaceDN w:val="0"/>
        <w:adjustRightInd w:val="0"/>
        <w:spacing w:after="120" w:line="360" w:lineRule="auto"/>
        <w:ind w:left="360" w:firstLine="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obrotów pompy dozującej emulsję,</w:t>
      </w:r>
    </w:p>
    <w:p w14:paraId="3D6663B3" w14:textId="77777777" w:rsidR="00955A27" w:rsidRPr="001667DB" w:rsidRDefault="00955A27" w:rsidP="00904E6C">
      <w:pPr>
        <w:numPr>
          <w:ilvl w:val="1"/>
          <w:numId w:val="83"/>
        </w:numPr>
        <w:tabs>
          <w:tab w:val="clear" w:pos="1477"/>
          <w:tab w:val="num" w:pos="360"/>
        </w:tabs>
        <w:overflowPunct w:val="0"/>
        <w:autoSpaceDE w:val="0"/>
        <w:autoSpaceDN w:val="0"/>
        <w:adjustRightInd w:val="0"/>
        <w:spacing w:after="120" w:line="360" w:lineRule="auto"/>
        <w:ind w:left="360" w:firstLine="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prędkości poruszania się skrapiarki,</w:t>
      </w:r>
    </w:p>
    <w:p w14:paraId="1C0BA717" w14:textId="77777777" w:rsidR="00955A27" w:rsidRPr="001667DB" w:rsidRDefault="00955A27" w:rsidP="00904E6C">
      <w:pPr>
        <w:numPr>
          <w:ilvl w:val="1"/>
          <w:numId w:val="83"/>
        </w:numPr>
        <w:tabs>
          <w:tab w:val="clear" w:pos="1477"/>
          <w:tab w:val="num" w:pos="360"/>
        </w:tabs>
        <w:overflowPunct w:val="0"/>
        <w:autoSpaceDE w:val="0"/>
        <w:autoSpaceDN w:val="0"/>
        <w:adjustRightInd w:val="0"/>
        <w:spacing w:after="120" w:line="360" w:lineRule="auto"/>
        <w:ind w:left="360" w:firstLine="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wysokości i długości kolektora,</w:t>
      </w:r>
    </w:p>
    <w:p w14:paraId="0615E7C3" w14:textId="77777777" w:rsidR="00955A27" w:rsidRPr="001667DB" w:rsidRDefault="00955A27" w:rsidP="00904E6C">
      <w:pPr>
        <w:numPr>
          <w:ilvl w:val="1"/>
          <w:numId w:val="83"/>
        </w:numPr>
        <w:tabs>
          <w:tab w:val="clear" w:pos="1477"/>
          <w:tab w:val="num" w:pos="720"/>
        </w:tabs>
        <w:overflowPunct w:val="0"/>
        <w:autoSpaceDE w:val="0"/>
        <w:autoSpaceDN w:val="0"/>
        <w:adjustRightInd w:val="0"/>
        <w:spacing w:after="120" w:line="360" w:lineRule="auto"/>
        <w:ind w:left="720" w:hanging="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ilości dozowanej emulsji (dozator), przy czym skrapiarka powinna zapewnić  rozkładanie emulsji z tolerancją ± 10% od ilości założonej.</w:t>
      </w:r>
    </w:p>
    <w:p w14:paraId="1168E57B"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Zbiornik na lepiszcze skrapiarki powinien być izolowany termicznie tak, aby było możliwe zachowanie stałej temperatury lepiszcza.</w:t>
      </w:r>
    </w:p>
    <w:p w14:paraId="003857A9"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Wykonawca powinien posiadać aktualne świadectwo cechowania skrapiarki (kopię protokołu kalibracji skrapiarki – równomierności skrapiania oraz wydatku emulsji przy ustalonej prędkości przejazdu.) Skrapiarka, dla której nie wykonano kalibracji nie może zostać dopuszczona do wykonania skropienia.</w:t>
      </w:r>
    </w:p>
    <w:p w14:paraId="0C8795CF"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Sprzęt powinien odpowiadać wymaganiom określonym w dokumentacji projektowej, ST, instrukcjach producentów lub propozycji Wykonawcy i powinien być zaakceptowany przez Inżyniera.</w:t>
      </w:r>
    </w:p>
    <w:p w14:paraId="488AEE82"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skrapianie ręczne lancą w miejscach trudno dostępnych oraz przy urządzeniach usytuowanych w nawierzchni lub ją ograniczających.</w:t>
      </w:r>
    </w:p>
    <w:p w14:paraId="14ECBDF2"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4. Transport</w:t>
      </w:r>
      <w:bookmarkEnd w:id="348"/>
    </w:p>
    <w:p w14:paraId="593FB777"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49" w:name="_Toc344981397"/>
      <w:r w:rsidRPr="001667DB">
        <w:rPr>
          <w:color w:val="000000" w:themeColor="text1"/>
          <w:sz w:val="22"/>
          <w:szCs w:val="22"/>
        </w:rPr>
        <w:t>4.1. Ogólne wymagania dotyczące transportu</w:t>
      </w:r>
    </w:p>
    <w:p w14:paraId="7C6E462A"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transportu podano w ST D-M-00.00.00 „Wymagania ogólne” [1] pkt 4.</w:t>
      </w:r>
      <w:r w:rsidRPr="001667DB">
        <w:rPr>
          <w:rFonts w:ascii="Times New Roman" w:hAnsi="Times New Roman" w:cs="Times New Roman"/>
          <w:color w:val="000000" w:themeColor="text1"/>
        </w:rPr>
        <w:tab/>
      </w:r>
    </w:p>
    <w:p w14:paraId="2D86B5B7"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 xml:space="preserve">4.2. Transport materiałów </w:t>
      </w:r>
    </w:p>
    <w:p w14:paraId="23F5FC15"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Emulsja asfaltowa może być transportowana w cysternach, autocysternach, skrapiarkach, beczkach i innych opakowaniach pod warunkiem, że nie będą korodowały pod wpływem emulsji i nie będą powodowały jej rozpadu. Zbiorniki przeznaczone do transportu emulsji powinny być czyste i nie powinny zawierać resztek innych lepiszczy.</w:t>
      </w:r>
    </w:p>
    <w:p w14:paraId="2ED479DC"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5. Wykonanie robót</w:t>
      </w:r>
      <w:bookmarkEnd w:id="349"/>
    </w:p>
    <w:p w14:paraId="2853CAA9"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50" w:name="_Toc344981398"/>
      <w:r w:rsidRPr="001667DB">
        <w:rPr>
          <w:color w:val="000000" w:themeColor="text1"/>
          <w:sz w:val="22"/>
          <w:szCs w:val="22"/>
        </w:rPr>
        <w:t>5.1. Ogólne zasady wykonania robót</w:t>
      </w:r>
    </w:p>
    <w:p w14:paraId="319271CA"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D-M-00.00.00 „Wymagania ogólne” [1] pkt 5.</w:t>
      </w:r>
    </w:p>
    <w:p w14:paraId="5A24154B"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5.2. Zasady wykonywania robót</w:t>
      </w:r>
    </w:p>
    <w:p w14:paraId="3551BFF4"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Sposób wykonania robót powinien być zgodny z dokumentacją projektową i ST. W przypadku braku wystarczających danych można korzystać z ustaleń podanych w niniejszej specyfikacji.</w:t>
      </w:r>
    </w:p>
    <w:p w14:paraId="1C3DC816"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Uzyskanie wymaganej trwałości nawierzchni jest uzależnione od zapewnienia połączenia między warstwami oraz ich współpracy w przenoszeniu obciążeń nawierzchni wywołanych ruchem pojazdów. </w:t>
      </w:r>
    </w:p>
    <w:p w14:paraId="0931C2AC"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połączenia międzywarstwowego wymaga starannego przygotowania podłoża, na którym będą układane kolejne warstwy asfaltowe, zastosowania odpowiedniej emulsji asfaltowej oraz właściwego wykonania skropienia. </w:t>
      </w:r>
    </w:p>
    <w:p w14:paraId="5505E952"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Skropienie emulsją asfaltową ma na celu zwiększenie siły połączenia pomiędzy warstwami konstrukcyjnymi oraz zabezpieczenie przed wnikaniem i zaleganiem wody pomiędzy warstwami.</w:t>
      </w:r>
    </w:p>
    <w:p w14:paraId="5ED4C867" w14:textId="77777777" w:rsidR="00955A27" w:rsidRPr="001667DB" w:rsidRDefault="00955A27" w:rsidP="00955A27">
      <w:pPr>
        <w:spacing w:after="120" w:line="360" w:lineRule="auto"/>
        <w:ind w:firstLine="360"/>
        <w:rPr>
          <w:rFonts w:ascii="Times New Roman" w:hAnsi="Times New Roman" w:cs="Times New Roman"/>
          <w:color w:val="000000" w:themeColor="text1"/>
        </w:rPr>
      </w:pPr>
    </w:p>
    <w:p w14:paraId="2418FA8D" w14:textId="77777777" w:rsidR="00955A27" w:rsidRPr="001667DB" w:rsidRDefault="00955A27" w:rsidP="00FA7059">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Można odstąpić od wykonania skropienia w następujących przypadkach: </w:t>
      </w:r>
    </w:p>
    <w:p w14:paraId="6D50B29C" w14:textId="77777777" w:rsidR="00955A27" w:rsidRPr="001667DB" w:rsidRDefault="00955A27" w:rsidP="00FA7059">
      <w:pPr>
        <w:spacing w:after="120" w:line="360" w:lineRule="auto"/>
        <w:ind w:left="360"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przy rozkładaniu dwóch warstw asfaltowych w jednym cyklu technologicznym nie wykonuje się skropienia lepiszczem (tzw. połączenie gorące na gorące – technologia asfaltowych warstw kompaktowych), </w:t>
      </w:r>
    </w:p>
    <w:p w14:paraId="4BE0FE23" w14:textId="77777777" w:rsidR="00955A27" w:rsidRPr="001667DB" w:rsidRDefault="00955A27" w:rsidP="00FA7059">
      <w:pPr>
        <w:spacing w:after="120" w:line="360" w:lineRule="auto"/>
        <w:ind w:left="360"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nie stosuje się skropienia przed ułożeniem mieszanki asfaltu lanego, chyba że technologia w sposób jednoznaczny tego wymaga lub z przyczyn technologicznych jest to zalecane.</w:t>
      </w:r>
    </w:p>
    <w:p w14:paraId="11825B1C"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5.3. Roboty przygotowawcze</w:t>
      </w:r>
    </w:p>
    <w:p w14:paraId="50EE0535"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564A9965"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ustalić lokalizację terenu robót,</w:t>
      </w:r>
    </w:p>
    <w:p w14:paraId="06EB9B0D"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przeprowadzić szczegółowe  wytyczenie robót,</w:t>
      </w:r>
    </w:p>
    <w:p w14:paraId="17A7EFA8"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usunąć przeszkody utrudniające wykonanie robót,</w:t>
      </w:r>
    </w:p>
    <w:p w14:paraId="20A1C0C6"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wprowadzić oznakowanie drogi na okres robót,</w:t>
      </w:r>
    </w:p>
    <w:p w14:paraId="786D1D01"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zgromadzić materiały i sprzęt potrzebne do rozpoczęcia robót.</w:t>
      </w:r>
    </w:p>
    <w:p w14:paraId="0CFEAE98" w14:textId="77777777" w:rsidR="00955A27" w:rsidRPr="001667DB" w:rsidRDefault="00955A27" w:rsidP="00FA7059">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5.4. Oczyszczenie warstwy przed skropieniem</w:t>
      </w:r>
    </w:p>
    <w:p w14:paraId="217CC12E" w14:textId="77777777" w:rsidR="00955A27" w:rsidRPr="001667DB" w:rsidRDefault="00955A27" w:rsidP="00FA7059">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5.4.1. Przygotowanie podłoża z mieszanki mineralno-asfaltowej</w:t>
      </w:r>
    </w:p>
    <w:p w14:paraId="4A0BD1E2"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Oczyszczenie warstwy nawierzchni przed skropieniem polega na usunięciu luźnego materiału, brudu, błota, kurzu, plam oleju itp. przy użyciu szczotek mechanicznych, a w razie potrzeby wody pod ciśnieniem i ew. absorbentów. W miejscach trudno dostępnych należy używać szczotek ręcznych. Na terenach niezabudowanych, bezpośrednio przed skropieniem warstwę nawierzchni można oczyścić przy użyciu sprężonego powietrza.</w:t>
      </w:r>
    </w:p>
    <w:p w14:paraId="427FB29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używaniu szczotek mechanicznych należy zwrócić uwagę, aby nie została uszkodzona warstwa błonki asfaltowej na powierzchni ziaren kruszyw stanowiących górną powierzchnię warstwy. W przypadku zanieczyszczenia podłoża olejami, paliwem lub chemikaliami należy użyć specjalnych absorbentów do zebrania zanieczyszczeń, a następnie zmyć powierzchnie wodą pod ciśnieniem</w:t>
      </w:r>
    </w:p>
    <w:p w14:paraId="37F2ABB0" w14:textId="77777777" w:rsidR="00955A27" w:rsidRPr="001667DB" w:rsidRDefault="00955A27" w:rsidP="00FA7059">
      <w:pPr>
        <w:pStyle w:val="Nagwek2"/>
        <w:spacing w:line="360" w:lineRule="auto"/>
        <w:jc w:val="both"/>
        <w:rPr>
          <w:b w:val="0"/>
          <w:color w:val="000000" w:themeColor="text1"/>
          <w:sz w:val="22"/>
          <w:szCs w:val="22"/>
        </w:rPr>
      </w:pPr>
      <w:r w:rsidRPr="001667DB">
        <w:rPr>
          <w:color w:val="000000" w:themeColor="text1"/>
          <w:sz w:val="22"/>
          <w:szCs w:val="22"/>
        </w:rPr>
        <w:t>5.4.2. Przygotowanie podłoża z mieszanki mineralnej niezwiązanej i związanej hydraulicznie</w:t>
      </w:r>
    </w:p>
    <w:p w14:paraId="73B14332"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podłoża musi być oczyszczona z wszelkiego obcego materiału innego niż mieszanka mineralna, z której została wykonana warstwa.</w:t>
      </w:r>
    </w:p>
    <w:p w14:paraId="726BC135"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 przypadku podbudowy bardzo suchej, bezpośrednio przed wykonanie skropienia emulsją asfaltową podłoże należy zwilżyć wodą, tak aby powierzchnię podłoża doprowadzić do stanu matowo-wilgotnego, bez zastoisk wodnych i bez zjawiska nasączania warstwy wodą.</w:t>
      </w:r>
    </w:p>
    <w:p w14:paraId="2AE00BC3"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skrapiania warstwy niezwiązanej nasiąkniętej wodą po opadach atmosferycznych należy opóźnić skropienie do momentu częściowego przesuszenia powierzchniowego warstwy (do stanu matowo-wilgotnego).</w:t>
      </w:r>
    </w:p>
    <w:p w14:paraId="702FF4E7" w14:textId="77777777" w:rsidR="00955A27" w:rsidRPr="001667DB" w:rsidRDefault="00955A27" w:rsidP="00FA7059">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5.4.3. Przygotowanie podłoża na obiektach inżynierskich</w:t>
      </w:r>
    </w:p>
    <w:p w14:paraId="7AD3438A"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podłoża, które stanowi izolacja przeciwwodna na obiektach mostowych, należy postępować wg wskazań producenta izolacji lub zapisów normach lub aprobatach technicznych.</w:t>
      </w:r>
    </w:p>
    <w:p w14:paraId="15D30EA1" w14:textId="77777777" w:rsidR="00955A27" w:rsidRPr="001667DB" w:rsidRDefault="00955A27" w:rsidP="00FA7059">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5.6. Odcinek próbny</w:t>
      </w:r>
    </w:p>
    <w:p w14:paraId="5CE4F5F3"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Jeżeli w ST przewidziano potrzebę wykonania odcinka próbnego, to przed rozpoczęciem robót, w terminie uzgodnionym z Inżynierem, Wykonawca powinien wykonać odcinek próbny w celu:</w:t>
      </w:r>
    </w:p>
    <w:p w14:paraId="56BC65B6" w14:textId="77777777" w:rsidR="00955A27" w:rsidRPr="001667DB" w:rsidRDefault="00955A27" w:rsidP="00904E6C">
      <w:pPr>
        <w:numPr>
          <w:ilvl w:val="0"/>
          <w:numId w:val="8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stwierdzenia czy właściwy jest sprzęt do skropienia emulsją asfaltową,</w:t>
      </w:r>
    </w:p>
    <w:p w14:paraId="1496C951" w14:textId="77777777" w:rsidR="00955A27" w:rsidRPr="001667DB" w:rsidRDefault="00955A27" w:rsidP="00904E6C">
      <w:pPr>
        <w:numPr>
          <w:ilvl w:val="0"/>
          <w:numId w:val="8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określenia poprawności dozowania emulsji.</w:t>
      </w:r>
    </w:p>
    <w:p w14:paraId="77B5E5DD"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 odcinku próbnym Wykonawca powinien użyć takich materiałów oraz sprzętu jakie będą stosowane do wykonania skropienia warstwy.</w:t>
      </w:r>
    </w:p>
    <w:p w14:paraId="18404D6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odcinka próbnego powinna być uzgodniona z Inżynierem.</w:t>
      </w:r>
    </w:p>
    <w:p w14:paraId="75E5C3C6"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Odcinek próbny powinien być zlokalizowany w miejscu wskazanym przez Inżyniera.</w:t>
      </w:r>
    </w:p>
    <w:p w14:paraId="0A9489F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może przystąpić do wykonywania skropienia po zaakceptowaniu wyników prób na odcinku próbnym przez Inżyniera.</w:t>
      </w:r>
    </w:p>
    <w:p w14:paraId="7F7D1567"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 xml:space="preserve">5.7. Wykonanie skropienia </w:t>
      </w:r>
    </w:p>
    <w:p w14:paraId="7CAB005C"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podłoża w czasie skrapiania powinna wynosić nie mniej niż +5°C. Nie dopuszcza się wykonywania skrapiania podczas opadów atmosferycznych lub tuż przed spodziewanymi opadami. Czasookres skropienia należy tak zaplanować, aby nie wystąpiły opady atmosferyczne wcześniej niż po całkowitym rozpadzie emulsji. </w:t>
      </w:r>
    </w:p>
    <w:p w14:paraId="4739B1A6"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przekaże Inspektorowi Nadzoru kopię protokołu kalibracji skrapiarki (równomierności skrapiania oraz wydatku emulsji przy ustalonej prędkości przejazdu). Skrapiarka powinna zapewniać rozkładanie lepiszcza z tolerancją ±10 % w stosunku do ilości założonej. Skrapiarka, dla której nie wykonano kalibracji nie może zostać dopuszczona do wykonana skropienia. </w:t>
      </w:r>
    </w:p>
    <w:p w14:paraId="0B60FA42"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Skrapianie należy wykonywać równomiernie na całej powierzchni przeznaczonej do skropienia, przy użyciu skrapiarek samochodowych, ewentualnie ciągnionych - wyposażonych w rampy spryskujące oraz automatyczne systemy kontroli wydatku skropienia. Dopuszcza się skrapianie ręczne </w:t>
      </w:r>
      <w:r w:rsidRPr="001667DB">
        <w:rPr>
          <w:rFonts w:ascii="Times New Roman" w:hAnsi="Times New Roman" w:cs="Times New Roman"/>
          <w:color w:val="000000" w:themeColor="text1"/>
        </w:rPr>
        <w:lastRenderedPageBreak/>
        <w:t xml:space="preserve">lancą tylko w miejscach trudno dostępnych (np. ścieki uliczne) oraz przy urządzeniach usytuowanych w nawierzchni lub ją ograniczających. Skropione podłoże należy wyłączyć z ruchu publicznego i technologicznego przez zmianę organizacji ruchu. Po wykonanej warstwie skropienia powinien odbywać się wyłącznie ruch pojazdów związanych z układaniem następnej warstwy z mieszanki mineralno-asfaltowej. </w:t>
      </w:r>
    </w:p>
    <w:p w14:paraId="226D7E5C"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rozpoczęciem skrapiania należy strefy przyległe do skrapianych powierzchni jak np.: krawężniki, ścieki, wpusty itp. odpowiednio osłonić, zabezpieczając przed zabrudzeniem lub zalaniem emulsją. </w:t>
      </w:r>
    </w:p>
    <w:p w14:paraId="5D9554BB"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Podłoże powinno być skropione z odpowiednim wyprzedzeniem przed układaniem następnej warstwy asfaltowej w celu rozpadu emulsji z wydzieleniem asfaltu i odparowania wody. O rozpadzie emulsji świadczy zmiana koloru skropionej powierzchni z brązowego na czarny. </w:t>
      </w:r>
    </w:p>
    <w:p w14:paraId="44E06472"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wykonaniem następnego zabiegu technologicznego należy odczekać minimum 30 minut od momentu zmiany koloru pokrytej lepiszczem warstwy na czarny.</w:t>
      </w:r>
    </w:p>
    <w:p w14:paraId="6F7A536F"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 Temperatury stosowania emulsji asfaltowych</w:t>
      </w:r>
    </w:p>
    <w:tbl>
      <w:tblPr>
        <w:tblW w:w="4820"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846"/>
      </w:tblGrid>
      <w:tr w:rsidR="00955A27" w:rsidRPr="001667DB" w14:paraId="4B17BF69" w14:textId="77777777" w:rsidTr="001B4B8F">
        <w:tc>
          <w:tcPr>
            <w:tcW w:w="2974" w:type="dxa"/>
          </w:tcPr>
          <w:p w14:paraId="42DFCA5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emulsji</w:t>
            </w:r>
          </w:p>
        </w:tc>
        <w:tc>
          <w:tcPr>
            <w:tcW w:w="1846" w:type="dxa"/>
          </w:tcPr>
          <w:p w14:paraId="1E62B07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Temperatury (°C)</w:t>
            </w:r>
          </w:p>
        </w:tc>
      </w:tr>
      <w:tr w:rsidR="00955A27" w:rsidRPr="001667DB" w14:paraId="08F139B3" w14:textId="77777777" w:rsidTr="001B4B8F">
        <w:tc>
          <w:tcPr>
            <w:tcW w:w="2974" w:type="dxa"/>
          </w:tcPr>
          <w:p w14:paraId="6916E93F"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Emulsja asfaltowa</w:t>
            </w:r>
          </w:p>
        </w:tc>
        <w:tc>
          <w:tcPr>
            <w:tcW w:w="1846" w:type="dxa"/>
          </w:tcPr>
          <w:p w14:paraId="2EFF086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50 do 85</w:t>
            </w:r>
          </w:p>
        </w:tc>
      </w:tr>
      <w:tr w:rsidR="00955A27" w:rsidRPr="001667DB" w14:paraId="59DEA3F3" w14:textId="77777777" w:rsidTr="001B4B8F">
        <w:tc>
          <w:tcPr>
            <w:tcW w:w="2974" w:type="dxa"/>
          </w:tcPr>
          <w:p w14:paraId="293F2DF1"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Emulsja asfaltowa modyfikowana polimerem</w:t>
            </w:r>
          </w:p>
        </w:tc>
        <w:tc>
          <w:tcPr>
            <w:tcW w:w="1846" w:type="dxa"/>
          </w:tcPr>
          <w:p w14:paraId="77D24CF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60 do 85</w:t>
            </w:r>
          </w:p>
        </w:tc>
      </w:tr>
    </w:tbl>
    <w:p w14:paraId="4D44786B" w14:textId="77777777" w:rsidR="00955A27" w:rsidRPr="001667DB" w:rsidRDefault="00955A27" w:rsidP="00955A27">
      <w:pPr>
        <w:spacing w:after="120" w:line="360" w:lineRule="auto"/>
        <w:rPr>
          <w:rFonts w:ascii="Times New Roman" w:hAnsi="Times New Roman" w:cs="Times New Roman"/>
          <w:color w:val="000000" w:themeColor="text1"/>
        </w:rPr>
      </w:pPr>
    </w:p>
    <w:p w14:paraId="56CC843A" w14:textId="77777777" w:rsidR="00955A27" w:rsidRPr="001667DB" w:rsidRDefault="00955A27" w:rsidP="00955A27">
      <w:pPr>
        <w:keepNext/>
        <w:spacing w:before="120"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5.7.2.</w:t>
      </w:r>
      <w:r w:rsidRPr="001667DB">
        <w:rPr>
          <w:rFonts w:ascii="Times New Roman" w:hAnsi="Times New Roman" w:cs="Times New Roman"/>
          <w:color w:val="000000" w:themeColor="text1"/>
        </w:rPr>
        <w:t xml:space="preserve"> </w:t>
      </w:r>
      <w:r w:rsidRPr="001667DB">
        <w:rPr>
          <w:rFonts w:ascii="Times New Roman" w:hAnsi="Times New Roman" w:cs="Times New Roman"/>
          <w:b/>
          <w:color w:val="000000" w:themeColor="text1"/>
        </w:rPr>
        <w:t>Określenie ilości skropienia emulsją</w:t>
      </w:r>
    </w:p>
    <w:p w14:paraId="7EF9795C" w14:textId="77777777" w:rsidR="00955A27" w:rsidRPr="001667DB" w:rsidRDefault="00955A27" w:rsidP="00FA7059">
      <w:pPr>
        <w:keepNext/>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5.7.2.1. Skropienie warstwy z mieszanki mineralno-asfaltowej</w:t>
      </w:r>
    </w:p>
    <w:p w14:paraId="43B1CBE3"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Skropienie lepiszczem powinno być wykonane w ilości podanej w tablicy 2.</w:t>
      </w:r>
    </w:p>
    <w:p w14:paraId="16E79AE9"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Kontrolę  ilości skropienia emulsją należy wykonać według PN-EN 12272-1 [2].</w:t>
      </w:r>
    </w:p>
    <w:p w14:paraId="4E2E8F25" w14:textId="77777777" w:rsidR="00955A27" w:rsidRPr="001667DB" w:rsidRDefault="00955A27" w:rsidP="00FA7059">
      <w:pPr>
        <w:spacing w:before="120" w:after="120" w:line="360" w:lineRule="auto"/>
        <w:ind w:left="1077" w:hanging="1077"/>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 Zalecane ilości pozostałego lepiszcza (po odparowaniu wody) do skropienia emulsją asfaltową podłoża z mieszanki mineralno-asfaltowej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(uwaga- przyjęto dla emulsji kationowej o zawartości asfaltu 60%, wg Załącznika krajowego NA do normy PN-EN 13808 [3], rodzaje C60B3 ZM, C60BP3ZM)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55A27" w:rsidRPr="001667DB" w14:paraId="505B3192" w14:textId="77777777" w:rsidTr="001B4B8F">
        <w:tc>
          <w:tcPr>
            <w:tcW w:w="3570" w:type="dxa"/>
            <w:gridSpan w:val="2"/>
            <w:vAlign w:val="center"/>
          </w:tcPr>
          <w:p w14:paraId="6B36689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Podłoże pod układaną warstwę asfaltową</w:t>
            </w:r>
          </w:p>
        </w:tc>
        <w:tc>
          <w:tcPr>
            <w:tcW w:w="5357" w:type="dxa"/>
            <w:gridSpan w:val="3"/>
            <w:vAlign w:val="center"/>
          </w:tcPr>
          <w:p w14:paraId="215837A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Układana warstwa</w:t>
            </w:r>
          </w:p>
        </w:tc>
      </w:tr>
      <w:tr w:rsidR="00955A27" w:rsidRPr="001667DB" w14:paraId="5DDB9980" w14:textId="77777777" w:rsidTr="001B4B8F">
        <w:tc>
          <w:tcPr>
            <w:tcW w:w="1785" w:type="dxa"/>
            <w:vAlign w:val="center"/>
          </w:tcPr>
          <w:p w14:paraId="5589813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Rodzaj</w:t>
            </w:r>
          </w:p>
        </w:tc>
        <w:tc>
          <w:tcPr>
            <w:tcW w:w="1785" w:type="dxa"/>
            <w:vAlign w:val="center"/>
          </w:tcPr>
          <w:p w14:paraId="172EBFE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cecha</w:t>
            </w:r>
          </w:p>
        </w:tc>
        <w:tc>
          <w:tcPr>
            <w:tcW w:w="1785" w:type="dxa"/>
            <w:vAlign w:val="center"/>
          </w:tcPr>
          <w:p w14:paraId="7785894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Podbudowa asfaltowa</w:t>
            </w:r>
          </w:p>
        </w:tc>
        <w:tc>
          <w:tcPr>
            <w:tcW w:w="1786" w:type="dxa"/>
            <w:vAlign w:val="center"/>
          </w:tcPr>
          <w:p w14:paraId="58EFC8F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wiążąca</w:t>
            </w:r>
          </w:p>
        </w:tc>
        <w:tc>
          <w:tcPr>
            <w:tcW w:w="1786" w:type="dxa"/>
            <w:vAlign w:val="center"/>
          </w:tcPr>
          <w:p w14:paraId="01FCE4A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Ścieralna z SMA lub z AC</w:t>
            </w:r>
          </w:p>
        </w:tc>
      </w:tr>
      <w:tr w:rsidR="00955A27" w:rsidRPr="001667DB" w14:paraId="33800AEA" w14:textId="77777777" w:rsidTr="001B4B8F">
        <w:tc>
          <w:tcPr>
            <w:tcW w:w="8927" w:type="dxa"/>
            <w:gridSpan w:val="5"/>
          </w:tcPr>
          <w:p w14:paraId="4C9CB95D"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Dla dróg kategorii ruchu od KR3 do KR7 – rodzaj emulsji C60BP3 ZM*</w:t>
            </w:r>
          </w:p>
        </w:tc>
      </w:tr>
      <w:tr w:rsidR="00955A27" w:rsidRPr="001667DB" w14:paraId="5812777F" w14:textId="77777777" w:rsidTr="001B4B8F">
        <w:tc>
          <w:tcPr>
            <w:tcW w:w="1785" w:type="dxa"/>
            <w:vMerge w:val="restart"/>
          </w:tcPr>
          <w:p w14:paraId="522F7C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podbudowy asfaltowej</w:t>
            </w:r>
          </w:p>
        </w:tc>
        <w:tc>
          <w:tcPr>
            <w:tcW w:w="1785" w:type="dxa"/>
          </w:tcPr>
          <w:p w14:paraId="02CB6E9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Nowo wykonana</w:t>
            </w:r>
          </w:p>
        </w:tc>
        <w:tc>
          <w:tcPr>
            <w:tcW w:w="1785" w:type="dxa"/>
          </w:tcPr>
          <w:p w14:paraId="515D95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0,2÷0,4</w:t>
            </w:r>
          </w:p>
        </w:tc>
        <w:tc>
          <w:tcPr>
            <w:tcW w:w="1786" w:type="dxa"/>
          </w:tcPr>
          <w:p w14:paraId="0E4F87D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1C1B22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X</w:t>
            </w:r>
          </w:p>
        </w:tc>
      </w:tr>
      <w:tr w:rsidR="00955A27" w:rsidRPr="001667DB" w14:paraId="1FDEEB56" w14:textId="77777777" w:rsidTr="001B4B8F">
        <w:tc>
          <w:tcPr>
            <w:tcW w:w="1785" w:type="dxa"/>
            <w:vMerge/>
          </w:tcPr>
          <w:p w14:paraId="577F345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46084C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Frezowana</w:t>
            </w:r>
          </w:p>
        </w:tc>
        <w:tc>
          <w:tcPr>
            <w:tcW w:w="1785" w:type="dxa"/>
          </w:tcPr>
          <w:p w14:paraId="475DED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795BDB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540A07E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X</w:t>
            </w:r>
          </w:p>
        </w:tc>
      </w:tr>
      <w:tr w:rsidR="00955A27" w:rsidRPr="001667DB" w14:paraId="0D22CCA1" w14:textId="77777777" w:rsidTr="001B4B8F">
        <w:tc>
          <w:tcPr>
            <w:tcW w:w="1785" w:type="dxa"/>
            <w:vMerge/>
          </w:tcPr>
          <w:p w14:paraId="45F70CB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31AFDDD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Porowata lub w złym stanie</w:t>
            </w:r>
          </w:p>
        </w:tc>
        <w:tc>
          <w:tcPr>
            <w:tcW w:w="1785" w:type="dxa"/>
          </w:tcPr>
          <w:p w14:paraId="42DD4E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0,3÷0,6</w:t>
            </w:r>
          </w:p>
        </w:tc>
        <w:tc>
          <w:tcPr>
            <w:tcW w:w="1786" w:type="dxa"/>
          </w:tcPr>
          <w:p w14:paraId="3F23F6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0,3÷0,7</w:t>
            </w:r>
          </w:p>
        </w:tc>
        <w:tc>
          <w:tcPr>
            <w:tcW w:w="1786" w:type="dxa"/>
          </w:tcPr>
          <w:p w14:paraId="61B2383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X</w:t>
            </w:r>
          </w:p>
        </w:tc>
      </w:tr>
      <w:tr w:rsidR="00955A27" w:rsidRPr="001667DB" w14:paraId="08B2C359" w14:textId="77777777" w:rsidTr="001B4B8F">
        <w:tc>
          <w:tcPr>
            <w:tcW w:w="1785" w:type="dxa"/>
            <w:vMerge w:val="restart"/>
          </w:tcPr>
          <w:p w14:paraId="0B10F6A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wiążąca</w:t>
            </w:r>
          </w:p>
        </w:tc>
        <w:tc>
          <w:tcPr>
            <w:tcW w:w="1785" w:type="dxa"/>
          </w:tcPr>
          <w:p w14:paraId="24D27CE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Nowo wykonana</w:t>
            </w:r>
          </w:p>
        </w:tc>
        <w:tc>
          <w:tcPr>
            <w:tcW w:w="1785" w:type="dxa"/>
          </w:tcPr>
          <w:p w14:paraId="3A0E211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4B17C57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X</w:t>
            </w:r>
          </w:p>
        </w:tc>
        <w:tc>
          <w:tcPr>
            <w:tcW w:w="1786" w:type="dxa"/>
          </w:tcPr>
          <w:p w14:paraId="69FF783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0,2÷0,4</w:t>
            </w:r>
          </w:p>
        </w:tc>
      </w:tr>
      <w:tr w:rsidR="00955A27" w:rsidRPr="001667DB" w14:paraId="5885CC28" w14:textId="77777777" w:rsidTr="001B4B8F">
        <w:tc>
          <w:tcPr>
            <w:tcW w:w="1785" w:type="dxa"/>
            <w:vMerge/>
          </w:tcPr>
          <w:p w14:paraId="4CFCF51D"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1F5433D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frezowana</w:t>
            </w:r>
          </w:p>
        </w:tc>
        <w:tc>
          <w:tcPr>
            <w:tcW w:w="1785" w:type="dxa"/>
          </w:tcPr>
          <w:p w14:paraId="7C54FAC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63253E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26DF1DC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7A34402B" w14:textId="77777777" w:rsidTr="001B4B8F">
        <w:tc>
          <w:tcPr>
            <w:tcW w:w="1785" w:type="dxa"/>
            <w:vMerge/>
          </w:tcPr>
          <w:p w14:paraId="1FF6003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3B72DDC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Porowata lub w złym stanie</w:t>
            </w:r>
          </w:p>
        </w:tc>
        <w:tc>
          <w:tcPr>
            <w:tcW w:w="1785" w:type="dxa"/>
          </w:tcPr>
          <w:p w14:paraId="40B1E93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044BB97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0,3÷0,7</w:t>
            </w:r>
          </w:p>
        </w:tc>
        <w:tc>
          <w:tcPr>
            <w:tcW w:w="1786" w:type="dxa"/>
          </w:tcPr>
          <w:p w14:paraId="6817F58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1B52C995" w14:textId="77777777" w:rsidTr="001B4B8F">
        <w:tc>
          <w:tcPr>
            <w:tcW w:w="1785" w:type="dxa"/>
            <w:vMerge w:val="restart"/>
          </w:tcPr>
          <w:p w14:paraId="418EAD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Stara nawierzchnia asfaltowa</w:t>
            </w:r>
          </w:p>
        </w:tc>
        <w:tc>
          <w:tcPr>
            <w:tcW w:w="1785" w:type="dxa"/>
          </w:tcPr>
          <w:p w14:paraId="19B344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frezowana</w:t>
            </w:r>
          </w:p>
        </w:tc>
        <w:tc>
          <w:tcPr>
            <w:tcW w:w="1785" w:type="dxa"/>
          </w:tcPr>
          <w:p w14:paraId="0D49501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5092AC1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25DFF1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2617D45B" w14:textId="77777777" w:rsidTr="001B4B8F">
        <w:tc>
          <w:tcPr>
            <w:tcW w:w="1785" w:type="dxa"/>
            <w:vMerge/>
          </w:tcPr>
          <w:p w14:paraId="520C10B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33EA80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Porowata lub w złym stanie</w:t>
            </w:r>
          </w:p>
        </w:tc>
        <w:tc>
          <w:tcPr>
            <w:tcW w:w="1785" w:type="dxa"/>
          </w:tcPr>
          <w:p w14:paraId="465EA18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0,3÷0,6</w:t>
            </w:r>
          </w:p>
        </w:tc>
        <w:tc>
          <w:tcPr>
            <w:tcW w:w="1786" w:type="dxa"/>
          </w:tcPr>
          <w:p w14:paraId="3768CDC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0,3÷0,7</w:t>
            </w:r>
          </w:p>
        </w:tc>
        <w:tc>
          <w:tcPr>
            <w:tcW w:w="1786" w:type="dxa"/>
          </w:tcPr>
          <w:p w14:paraId="4AAB3B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0DAF31E5" w14:textId="77777777" w:rsidTr="001B4B8F">
        <w:tc>
          <w:tcPr>
            <w:tcW w:w="8927" w:type="dxa"/>
            <w:gridSpan w:val="5"/>
          </w:tcPr>
          <w:p w14:paraId="7B3A7BE0"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Dla dróg kategorii ruchu od KR1 do KR2 – rodzaj emulsji C60B3ZM</w:t>
            </w:r>
          </w:p>
        </w:tc>
      </w:tr>
      <w:tr w:rsidR="00955A27" w:rsidRPr="001667DB" w14:paraId="6FCFBB67" w14:textId="77777777" w:rsidTr="001B4B8F">
        <w:tc>
          <w:tcPr>
            <w:tcW w:w="1785" w:type="dxa"/>
            <w:vMerge w:val="restart"/>
          </w:tcPr>
          <w:p w14:paraId="1519D8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podbudowy asfaltowej lub stara nawierzchnia asfaltowa</w:t>
            </w:r>
          </w:p>
        </w:tc>
        <w:tc>
          <w:tcPr>
            <w:tcW w:w="1785" w:type="dxa"/>
          </w:tcPr>
          <w:p w14:paraId="1BA152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Nowo wykonana podbudowa lub stara nawierzchnia szczelna</w:t>
            </w:r>
          </w:p>
        </w:tc>
        <w:tc>
          <w:tcPr>
            <w:tcW w:w="1785" w:type="dxa"/>
          </w:tcPr>
          <w:p w14:paraId="16E220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0,2÷0,4</w:t>
            </w:r>
          </w:p>
        </w:tc>
        <w:tc>
          <w:tcPr>
            <w:tcW w:w="1786" w:type="dxa"/>
          </w:tcPr>
          <w:p w14:paraId="7C0AFF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4CF50BB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0,2÷0,4</w:t>
            </w:r>
          </w:p>
        </w:tc>
      </w:tr>
      <w:tr w:rsidR="00955A27" w:rsidRPr="001667DB" w14:paraId="1FFE0F6B" w14:textId="77777777" w:rsidTr="001B4B8F">
        <w:tc>
          <w:tcPr>
            <w:tcW w:w="1785" w:type="dxa"/>
            <w:vMerge/>
          </w:tcPr>
          <w:p w14:paraId="0F5560A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596968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Frezowana</w:t>
            </w:r>
          </w:p>
        </w:tc>
        <w:tc>
          <w:tcPr>
            <w:tcW w:w="1785" w:type="dxa"/>
          </w:tcPr>
          <w:p w14:paraId="3BCB25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7B6A95F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4307DEE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788CB31C" w14:textId="77777777" w:rsidTr="001B4B8F">
        <w:tc>
          <w:tcPr>
            <w:tcW w:w="1785" w:type="dxa"/>
            <w:vMerge/>
          </w:tcPr>
          <w:p w14:paraId="70A23FC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1B74BEA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Porowata lub w złym stanie</w:t>
            </w:r>
          </w:p>
        </w:tc>
        <w:tc>
          <w:tcPr>
            <w:tcW w:w="1785" w:type="dxa"/>
          </w:tcPr>
          <w:p w14:paraId="68C404E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0,3÷0,6</w:t>
            </w:r>
          </w:p>
        </w:tc>
        <w:tc>
          <w:tcPr>
            <w:tcW w:w="1786" w:type="dxa"/>
          </w:tcPr>
          <w:p w14:paraId="42FC2C9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0,3÷0,7</w:t>
            </w:r>
          </w:p>
        </w:tc>
        <w:tc>
          <w:tcPr>
            <w:tcW w:w="1786" w:type="dxa"/>
          </w:tcPr>
          <w:p w14:paraId="5F486D0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2B63AA8B" w14:textId="77777777" w:rsidTr="001B4B8F">
        <w:tc>
          <w:tcPr>
            <w:tcW w:w="1785" w:type="dxa"/>
            <w:vMerge w:val="restart"/>
          </w:tcPr>
          <w:p w14:paraId="48C0312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wiążąca</w:t>
            </w:r>
          </w:p>
        </w:tc>
        <w:tc>
          <w:tcPr>
            <w:tcW w:w="1785" w:type="dxa"/>
          </w:tcPr>
          <w:p w14:paraId="1029B7D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Nowo wykonana</w:t>
            </w:r>
          </w:p>
        </w:tc>
        <w:tc>
          <w:tcPr>
            <w:tcW w:w="1785" w:type="dxa"/>
          </w:tcPr>
          <w:p w14:paraId="2B7ED9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3C5D4E1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X</w:t>
            </w:r>
          </w:p>
        </w:tc>
        <w:tc>
          <w:tcPr>
            <w:tcW w:w="1786" w:type="dxa"/>
          </w:tcPr>
          <w:p w14:paraId="62888BA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0,2÷0,4</w:t>
            </w:r>
          </w:p>
        </w:tc>
      </w:tr>
      <w:tr w:rsidR="00955A27" w:rsidRPr="001667DB" w14:paraId="053AFA1E" w14:textId="77777777" w:rsidTr="001B4B8F">
        <w:tc>
          <w:tcPr>
            <w:tcW w:w="1785" w:type="dxa"/>
            <w:vMerge/>
          </w:tcPr>
          <w:p w14:paraId="2992548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6DC1F4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Frezowana</w:t>
            </w:r>
          </w:p>
        </w:tc>
        <w:tc>
          <w:tcPr>
            <w:tcW w:w="1785" w:type="dxa"/>
          </w:tcPr>
          <w:p w14:paraId="44DCC8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651662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c>
          <w:tcPr>
            <w:tcW w:w="1786" w:type="dxa"/>
          </w:tcPr>
          <w:p w14:paraId="26C240C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r w:rsidR="00955A27" w:rsidRPr="001667DB" w14:paraId="346244AC" w14:textId="77777777" w:rsidTr="001B4B8F">
        <w:tc>
          <w:tcPr>
            <w:tcW w:w="1785" w:type="dxa"/>
            <w:vMerge/>
          </w:tcPr>
          <w:p w14:paraId="429A07B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85" w:type="dxa"/>
          </w:tcPr>
          <w:p w14:paraId="2A2802B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Porowata lub w złym stanie</w:t>
            </w:r>
          </w:p>
        </w:tc>
        <w:tc>
          <w:tcPr>
            <w:tcW w:w="1785" w:type="dxa"/>
          </w:tcPr>
          <w:p w14:paraId="5BFD79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86" w:type="dxa"/>
          </w:tcPr>
          <w:p w14:paraId="26246A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0,3÷0,6</w:t>
            </w:r>
          </w:p>
        </w:tc>
        <w:tc>
          <w:tcPr>
            <w:tcW w:w="1786" w:type="dxa"/>
          </w:tcPr>
          <w:p w14:paraId="5E1A5C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0,3÷0,5</w:t>
            </w:r>
          </w:p>
        </w:tc>
      </w:tr>
    </w:tbl>
    <w:p w14:paraId="38F13C9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 złączenia dwóch warstw asfaltowych, gdy obydwie warstwy wykonane są z zastosowaniem asfaltów niemodyfikowanych dopuszcza się zastosowanie emulsji C60B3 ZM</w:t>
      </w:r>
    </w:p>
    <w:p w14:paraId="19AD8ED3"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Uwaga: w celu określenia ilości pozostałego lepiszcza asfaltowego, należy ilość emulsji asfaltowej podaną w tablicy pomnożyć przez 0,6</w:t>
      </w:r>
    </w:p>
    <w:p w14:paraId="324CE9B4" w14:textId="77777777" w:rsidR="00955A27" w:rsidRPr="001667DB" w:rsidRDefault="00955A27" w:rsidP="00FA7059">
      <w:pPr>
        <w:spacing w:after="120" w:line="360" w:lineRule="auto"/>
        <w:jc w:val="both"/>
        <w:rPr>
          <w:rFonts w:ascii="Times New Roman" w:hAnsi="Times New Roman" w:cs="Times New Roman"/>
          <w:color w:val="000000" w:themeColor="text1"/>
          <w:u w:val="single"/>
        </w:rPr>
      </w:pPr>
      <w:r w:rsidRPr="001667DB">
        <w:rPr>
          <w:rFonts w:ascii="Times New Roman" w:hAnsi="Times New Roman" w:cs="Times New Roman"/>
          <w:color w:val="000000" w:themeColor="text1"/>
          <w:u w:val="single"/>
        </w:rPr>
        <w:t>Objaśnienia:</w:t>
      </w:r>
    </w:p>
    <w:p w14:paraId="4BAE68F2"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„X” – nie dotyczy </w:t>
      </w:r>
    </w:p>
    <w:p w14:paraId="7CFCDB7C"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 rozwiązanie nie występuje</w:t>
      </w:r>
    </w:p>
    <w:p w14:paraId="0B7D2082" w14:textId="77777777" w:rsidR="00955A27" w:rsidRPr="001667DB" w:rsidRDefault="00955A27" w:rsidP="00FA7059">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Pod warstwę ścieralną wykonywaną z mieszanki typu:</w:t>
      </w:r>
    </w:p>
    <w:p w14:paraId="5A54C376" w14:textId="77777777" w:rsidR="00955A27" w:rsidRPr="001667DB" w:rsidRDefault="00955A27" w:rsidP="00904E6C">
      <w:pPr>
        <w:numPr>
          <w:ilvl w:val="0"/>
          <w:numId w:val="85"/>
        </w:numPr>
        <w:overflowPunct w:val="0"/>
        <w:autoSpaceDE w:val="0"/>
        <w:autoSpaceDN w:val="0"/>
        <w:adjustRightInd w:val="0"/>
        <w:spacing w:after="120" w:line="360" w:lineRule="auto"/>
        <w:ind w:left="284" w:hanging="284"/>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BBTM</w:t>
      </w:r>
      <w:r w:rsidRPr="001667DB">
        <w:rPr>
          <w:rFonts w:ascii="Times New Roman" w:hAnsi="Times New Roman" w:cs="Times New Roman"/>
          <w:color w:val="000000" w:themeColor="text1"/>
        </w:rPr>
        <w:tab/>
        <w:t>należy stosować ilość skropienia odpowiadającą górnej granicy wg tablicy 2, jak dla mieszanki typu SMA, AC,</w:t>
      </w:r>
    </w:p>
    <w:p w14:paraId="00DB7477" w14:textId="77777777" w:rsidR="00955A27" w:rsidRPr="001667DB" w:rsidRDefault="00955A27" w:rsidP="00904E6C">
      <w:pPr>
        <w:numPr>
          <w:ilvl w:val="0"/>
          <w:numId w:val="85"/>
        </w:numPr>
        <w:overflowPunct w:val="0"/>
        <w:autoSpaceDE w:val="0"/>
        <w:autoSpaceDN w:val="0"/>
        <w:adjustRightInd w:val="0"/>
        <w:spacing w:after="120" w:line="360" w:lineRule="auto"/>
        <w:ind w:left="284" w:hanging="284"/>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PA (asfalt porowaty) należy wykonać specjalne skropienie w sposób opisany w punkcie 7.2. WT2 2016 część II,</w:t>
      </w:r>
    </w:p>
    <w:p w14:paraId="7E0FB099" w14:textId="77777777" w:rsidR="00955A27" w:rsidRPr="001667DB" w:rsidRDefault="00955A27" w:rsidP="00904E6C">
      <w:pPr>
        <w:numPr>
          <w:ilvl w:val="0"/>
          <w:numId w:val="85"/>
        </w:numPr>
        <w:overflowPunct w:val="0"/>
        <w:autoSpaceDE w:val="0"/>
        <w:autoSpaceDN w:val="0"/>
        <w:adjustRightInd w:val="0"/>
        <w:spacing w:after="120" w:line="360" w:lineRule="auto"/>
        <w:ind w:left="284" w:hanging="284"/>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SMA LA należy wykonać specjalne skropienie kationową emulsją modyfikowaną 60% szybkorozpadową w ilości 0,4-0,5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 przypadku zawartości wolnych przestrzeni w niżej leżącej warstwie 5-7%. Niższe lub wyższe od  wymienionego przedziału zawartości wolnych przestrzeni wymagają zadozowania zmniejszonej lub zwiększonej ilości emulsji. </w:t>
      </w:r>
    </w:p>
    <w:p w14:paraId="3AF6E6B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Optymalną ilość emulsji asfaltowej do skropienia należy ustalić na odcinku próbnym układania mieszanki mineralno-asfaltowej. Ocenę należy dokonać na podstawie wytrzymałości na ścinanie, wymagania wg kryterium podanego w WT-2 2016 – część II. W uzasadnionych przypadkach (brak szczepności), zakresy dozowania podane w tablicy 2 mogą zostać rozszerzone.</w:t>
      </w:r>
    </w:p>
    <w:p w14:paraId="2CFD55D8" w14:textId="77777777" w:rsidR="00955A27" w:rsidRPr="001667DB" w:rsidRDefault="00955A27" w:rsidP="00FA7059">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5.7.2.2. Skropienie warstwy z mieszanki niezwiązanej lub związanej hydraulicznie</w:t>
      </w:r>
    </w:p>
    <w:p w14:paraId="0DD2F9C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skrapiania warstwy z mieszanki niezwiązanej lub związanej hydraulicznie po okresie długotrwałych opadów deszczu, Inżynier dopuszcza powierzchnię, która ma być skrapiana i charakteryzuje się odpowiednią wilgotnością (patrz pkt.5.4.2). Jeśli poziom zawilgocenia warstwy jest zbyt duży, należy wstrzymać się ze skrapianiem do momentu przesuszenia powierzchni warstwy.</w:t>
      </w:r>
    </w:p>
    <w:p w14:paraId="71C493D1"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Skropienie lepiszczem powinno być wykonane w ilości podanej w tablicy 3. Kontrolę ilości lepiszcza w trakcie skrapiania należy dokonać wg PN-EN 12272-1 [2]. Skrapiarka powinna zapewniać rozkładanie lepiszcza z tolerancją ±10% w stosunku do ilości założonej. </w:t>
      </w:r>
    </w:p>
    <w:p w14:paraId="1D679AEF" w14:textId="77777777" w:rsidR="00955A27" w:rsidRPr="001667DB" w:rsidRDefault="00955A27" w:rsidP="00FA7059">
      <w:pPr>
        <w:spacing w:before="240" w:after="120" w:line="360" w:lineRule="auto"/>
        <w:ind w:left="1134" w:hanging="1134"/>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3.</w:t>
      </w:r>
      <w:r w:rsidRPr="001667DB">
        <w:rPr>
          <w:rFonts w:ascii="Times New Roman" w:hAnsi="Times New Roman" w:cs="Times New Roman"/>
          <w:color w:val="000000" w:themeColor="text1"/>
        </w:rPr>
        <w:tab/>
        <w:t>Zalecane ilości emulsji asfaltowej do skropienia podłoża  z mieszanki niezwiązanej i związanej hydraulicznie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(uwaga – przyjęto dla emulsji kationowej o zawartości asfaltu równej 60% wg Załącznika krajowego NA do PN-EN 13808 [3], rodzaj C60B10 ZM/R)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1276"/>
        <w:gridCol w:w="1985"/>
      </w:tblGrid>
      <w:tr w:rsidR="00955A27" w:rsidRPr="001667DB" w14:paraId="62E65F87" w14:textId="77777777" w:rsidTr="001B4B8F">
        <w:tc>
          <w:tcPr>
            <w:tcW w:w="2551" w:type="dxa"/>
            <w:vMerge w:val="restart"/>
            <w:vAlign w:val="center"/>
          </w:tcPr>
          <w:p w14:paraId="2AAF8CC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podłoża</w:t>
            </w:r>
          </w:p>
        </w:tc>
        <w:tc>
          <w:tcPr>
            <w:tcW w:w="3261" w:type="dxa"/>
            <w:gridSpan w:val="2"/>
            <w:vAlign w:val="center"/>
          </w:tcPr>
          <w:p w14:paraId="2BB892D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Emulsja asfaltowa</w:t>
            </w:r>
          </w:p>
        </w:tc>
      </w:tr>
      <w:tr w:rsidR="00955A27" w:rsidRPr="001667DB" w14:paraId="75665440" w14:textId="77777777" w:rsidTr="001B4B8F">
        <w:tc>
          <w:tcPr>
            <w:tcW w:w="2551" w:type="dxa"/>
            <w:vMerge/>
            <w:vAlign w:val="center"/>
          </w:tcPr>
          <w:p w14:paraId="3AEBAFE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p>
        </w:tc>
        <w:tc>
          <w:tcPr>
            <w:tcW w:w="1276" w:type="dxa"/>
            <w:vAlign w:val="center"/>
          </w:tcPr>
          <w:p w14:paraId="7EC9414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Ilość</w:t>
            </w:r>
          </w:p>
        </w:tc>
        <w:tc>
          <w:tcPr>
            <w:tcW w:w="1985" w:type="dxa"/>
            <w:vAlign w:val="center"/>
          </w:tcPr>
          <w:p w14:paraId="09D96E3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w:t>
            </w:r>
          </w:p>
        </w:tc>
      </w:tr>
      <w:tr w:rsidR="00955A27" w:rsidRPr="001667DB" w14:paraId="0E9B97A8" w14:textId="77777777" w:rsidTr="001B4B8F">
        <w:tc>
          <w:tcPr>
            <w:tcW w:w="2551" w:type="dxa"/>
          </w:tcPr>
          <w:p w14:paraId="71BB096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podbudowy z mieszanki niezwiązanej</w:t>
            </w:r>
          </w:p>
        </w:tc>
        <w:tc>
          <w:tcPr>
            <w:tcW w:w="1276" w:type="dxa"/>
          </w:tcPr>
          <w:p w14:paraId="2F64422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0,5÷0,7</w:t>
            </w:r>
          </w:p>
        </w:tc>
        <w:tc>
          <w:tcPr>
            <w:tcW w:w="1985" w:type="dxa"/>
          </w:tcPr>
          <w:p w14:paraId="3449CF1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C60B10 ZM/R</w:t>
            </w:r>
          </w:p>
        </w:tc>
      </w:tr>
      <w:tr w:rsidR="00955A27" w:rsidRPr="001667DB" w14:paraId="10672567" w14:textId="77777777" w:rsidTr="001B4B8F">
        <w:tc>
          <w:tcPr>
            <w:tcW w:w="2551" w:type="dxa"/>
          </w:tcPr>
          <w:p w14:paraId="0215AEC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podbudowy z mieszanki związanej spoiwem hydraulicznym</w:t>
            </w:r>
          </w:p>
        </w:tc>
        <w:tc>
          <w:tcPr>
            <w:tcW w:w="1276" w:type="dxa"/>
          </w:tcPr>
          <w:p w14:paraId="14DE91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0,3÷0,7</w:t>
            </w:r>
          </w:p>
        </w:tc>
        <w:tc>
          <w:tcPr>
            <w:tcW w:w="1985" w:type="dxa"/>
          </w:tcPr>
          <w:p w14:paraId="398F6E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C60B10 ZM/R</w:t>
            </w:r>
          </w:p>
          <w:p w14:paraId="4E9049A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Zalecane pH≥3,5</w:t>
            </w:r>
          </w:p>
        </w:tc>
      </w:tr>
    </w:tbl>
    <w:p w14:paraId="601292B1" w14:textId="77777777" w:rsidR="00955A27" w:rsidRPr="001667DB" w:rsidRDefault="00955A27" w:rsidP="00955A27">
      <w:pPr>
        <w:spacing w:after="120" w:line="360" w:lineRule="auto"/>
        <w:rPr>
          <w:rFonts w:ascii="Times New Roman" w:hAnsi="Times New Roman" w:cs="Times New Roman"/>
          <w:color w:val="000000" w:themeColor="text1"/>
        </w:rPr>
      </w:pPr>
    </w:p>
    <w:p w14:paraId="43928BEF" w14:textId="77777777" w:rsidR="00955A27" w:rsidRPr="001667DB" w:rsidRDefault="00955A27" w:rsidP="00FA7059">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5.7.3. Wykonanie skropienia emulsją</w:t>
      </w:r>
    </w:p>
    <w:p w14:paraId="680F1E6C"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Skrapianie podłoża należy wykonywać równomiernie na całej powierzchni przeznaczonej do skropienia, przy użyciu skrapiarek samochodowych, ewentualnie ciągnionych – wyposażonych w rampy spryskujące oraz automatyczne systemy kontroli wydatku skropienia. Dopuszcza się skrapianie ręczne lancą w miejscach trudno dostępnych (np. przy ściekach ulicznych) oraz przy urządzeniach usytuowanych w nawierzchni lub ją ograniczających (np. studzienki, krawężniki). W razie potrzeby urządzenia te należy zabezpieczyć przed zabrudzeniem.</w:t>
      </w:r>
    </w:p>
    <w:p w14:paraId="270F03D5"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wypadku dużej ilości pozostałej emulsji, np. powyżej 0,5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może być konieczne wykonanie skropienia w kilku warstwach, aby zapobiec spłynięciu i powstaniu kałuż lepiszcza.</w:t>
      </w:r>
    </w:p>
    <w:p w14:paraId="0612B9C1"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rozpoczęciem skrapiania należy strefy przyległe do skrapianych powierzchni jak np.: krawężniki, ścieki, wpusty itp. odpowiednio osłonić, zabezpieczając przed zabrudzeniem lub zalaniem emulsją.</w:t>
      </w:r>
    </w:p>
    <w:p w14:paraId="176CDD82"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Podłoże powinno być skropione z odpowiednim wyprzedzeniem przed układaniem następnej warstwy asfaltowej w celu rozpadu emulsji z wydzieleniem asfaltu i odparowani wody. O rozpadzie emulsji świadczy zmiana koloru skropionej powierzchni z brązowej na czarny. Przed wykonaniem następnego zabiegu  technologicznego należy odczekać minimum 30 minut od momentu zmiany koloru pokrytej lepiszczem warstwy na czarny.</w:t>
      </w:r>
    </w:p>
    <w:p w14:paraId="467A8723"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Skropioną warstwę Wykonawca powinien wyłączyć z ruchu publicznego i technologicznego przez zmianę organizacji ruchu lub  odpowiednią ochronę skropienia przez pokrycie specjalną warstwą osłonową.</w:t>
      </w:r>
    </w:p>
    <w:p w14:paraId="659F2B6B" w14:textId="77777777" w:rsidR="00955A27" w:rsidRPr="001667DB" w:rsidRDefault="00955A27" w:rsidP="00FA7059">
      <w:pPr>
        <w:pStyle w:val="Nagwek2"/>
        <w:spacing w:line="360" w:lineRule="auto"/>
        <w:jc w:val="both"/>
        <w:rPr>
          <w:color w:val="000000" w:themeColor="text1"/>
          <w:sz w:val="22"/>
          <w:szCs w:val="22"/>
        </w:rPr>
      </w:pPr>
      <w:r w:rsidRPr="001667DB">
        <w:rPr>
          <w:color w:val="000000" w:themeColor="text1"/>
          <w:sz w:val="22"/>
          <w:szCs w:val="22"/>
        </w:rPr>
        <w:t>5.8. Ochrona wykonanego skropienia</w:t>
      </w:r>
    </w:p>
    <w:p w14:paraId="2651A2AE"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warstwy ochronnej emulsji przez dodatkowe skropienie z użyciem mleczka wapiennego należy stosować dla dróg o kategorii KR 4-7. Skropienie mleczkiem wapiennym wykonuje się dopiero wtedy, gdy nastąpi rozpad emulsji i odparuje woda.</w:t>
      </w:r>
    </w:p>
    <w:p w14:paraId="24DABBE3"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Stężenie roztworu roboczego mleczka wapiennego należy przygotować tak, by w 100 g próbki zawartość wodorotlenku wapnia wyrażona w gramach, a otrzymana przez wysuszenie próbki w suszarce w temp. 110±5°C do stałej masy (jednak nie dłużej niż 5 godz.) była:</w:t>
      </w:r>
    </w:p>
    <w:p w14:paraId="7666C2A9" w14:textId="77777777" w:rsidR="00955A27" w:rsidRPr="001667DB" w:rsidRDefault="00955A27" w:rsidP="00904E6C">
      <w:pPr>
        <w:numPr>
          <w:ilvl w:val="0"/>
          <w:numId w:val="8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nie mniejsza niż 16,0% i nie większa niż 28,0% - do skropienia podbudowy z mieszanki niezwiązanej lub związanej hydraulicznie,</w:t>
      </w:r>
    </w:p>
    <w:p w14:paraId="5F46CD5F" w14:textId="77777777" w:rsidR="00955A27" w:rsidRPr="001667DB" w:rsidRDefault="00955A27" w:rsidP="00904E6C">
      <w:pPr>
        <w:numPr>
          <w:ilvl w:val="0"/>
          <w:numId w:val="8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nie mniejsza niż 9,0 % i nie większa niż 16,0% - do skropienia warstw mineralno-asfaltowych.</w:t>
      </w:r>
    </w:p>
    <w:p w14:paraId="3A4198A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Dozowana na nawierzchnię dawka roztworu mleczka wapiennego powinna zawierać się w przedziale 250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 20 g.</w:t>
      </w:r>
    </w:p>
    <w:p w14:paraId="0189B156"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Dalsze prace budowlane na zabezpieczonej nawierzchni można prowadzić po odparowaniu wody z zaaplikowanego roztworu mleczka wapiennego wg oceny wizualnej (powstanie suchego filmu wodorotlenku wapnia na powierzchni).</w:t>
      </w:r>
    </w:p>
    <w:p w14:paraId="1A64D6FC"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Ze względu na osiadanie wodorotlenku wapnia na dnie zbiornika skrapiarki lub opryskiwacza, urządzenia te powinny być wyposażone w system obiegu zamkniętego lub mieszadło obrotowe. Jeśli producent mieszaniny gwarantuje  jednorodność w określonym czasie, mieszadło nie jest wymagane. Mleczko wapienne należy przechowywać w odpowiednich zbiornikach homogenizacyjnych z zastosowaniem mechanizmów zabezpieczających. Produkt nie może być przechowywany ani transportowany w pojemnikach aluminiowych oraz przechowywany w temperaturach poniżej 5°C. </w:t>
      </w:r>
    </w:p>
    <w:p w14:paraId="29983181"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6. Kontrola jakości robót</w:t>
      </w:r>
      <w:bookmarkEnd w:id="350"/>
    </w:p>
    <w:p w14:paraId="4EAFEA6E"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51" w:name="_Toc344981399"/>
      <w:r w:rsidRPr="001667DB">
        <w:rPr>
          <w:color w:val="000000" w:themeColor="text1"/>
          <w:sz w:val="22"/>
          <w:szCs w:val="22"/>
        </w:rPr>
        <w:t>6.1. Ogólne zasady kontroli jakości robót</w:t>
      </w:r>
    </w:p>
    <w:p w14:paraId="4DC167DF"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D-M-00.00.00 „Wymagania ogólne” [1] pkt 6.</w:t>
      </w:r>
    </w:p>
    <w:p w14:paraId="0FBAB95F" w14:textId="77777777" w:rsidR="00955A27" w:rsidRPr="001667DB" w:rsidRDefault="00955A27" w:rsidP="00FA7059">
      <w:pPr>
        <w:pStyle w:val="Nagwek2"/>
        <w:numPr>
          <w:ilvl w:val="12"/>
          <w:numId w:val="0"/>
        </w:numPr>
        <w:spacing w:line="360" w:lineRule="auto"/>
        <w:jc w:val="both"/>
        <w:rPr>
          <w:color w:val="000000" w:themeColor="text1"/>
          <w:sz w:val="22"/>
          <w:szCs w:val="22"/>
        </w:rPr>
      </w:pPr>
      <w:r w:rsidRPr="001667DB">
        <w:rPr>
          <w:color w:val="000000" w:themeColor="text1"/>
          <w:sz w:val="22"/>
          <w:szCs w:val="22"/>
        </w:rPr>
        <w:t>6.2. Badania przed przystąpieniem do robót</w:t>
      </w:r>
    </w:p>
    <w:p w14:paraId="09661F72"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2DD11927"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9BEC49C" w14:textId="77777777" w:rsidR="00955A27" w:rsidRPr="001667DB" w:rsidRDefault="00955A27" w:rsidP="00FA7059">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przez Inżyniera.</w:t>
      </w:r>
    </w:p>
    <w:p w14:paraId="36896D8A"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513C0AF1" w14:textId="77777777" w:rsidR="00955A27" w:rsidRPr="001667DB" w:rsidRDefault="00955A27" w:rsidP="00FA7059">
      <w:pPr>
        <w:pStyle w:val="Nagwek2"/>
        <w:numPr>
          <w:ilvl w:val="12"/>
          <w:numId w:val="0"/>
        </w:numPr>
        <w:spacing w:line="360" w:lineRule="auto"/>
        <w:jc w:val="both"/>
        <w:rPr>
          <w:color w:val="000000" w:themeColor="text1"/>
          <w:sz w:val="22"/>
          <w:szCs w:val="22"/>
        </w:rPr>
      </w:pPr>
      <w:r w:rsidRPr="001667DB">
        <w:rPr>
          <w:color w:val="000000" w:themeColor="text1"/>
          <w:sz w:val="22"/>
          <w:szCs w:val="22"/>
        </w:rPr>
        <w:lastRenderedPageBreak/>
        <w:t>6.3. Badania w czasie robót</w:t>
      </w:r>
    </w:p>
    <w:p w14:paraId="077CA828" w14:textId="77777777" w:rsidR="00955A27" w:rsidRPr="001667DB" w:rsidRDefault="00955A27" w:rsidP="00FA7059">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6.2.1. Badania emulsji </w:t>
      </w:r>
    </w:p>
    <w:p w14:paraId="544BA986"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emulsji powinna być dokonana na podstawie dokumentów dostarczonych przez producenta lepiszcza określonych w pkt. 6.1. </w:t>
      </w:r>
    </w:p>
    <w:p w14:paraId="75B34CD9" w14:textId="77777777" w:rsidR="00955A27" w:rsidRPr="001667DB" w:rsidRDefault="00955A27" w:rsidP="00FA7059">
      <w:pPr>
        <w:spacing w:before="24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6.2.2. Sprawdzenie jednorodności skropienia i zużycia emulsji (pozostałego asfaltu) </w:t>
      </w:r>
    </w:p>
    <w:p w14:paraId="7A98127F"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Należy przeprowadzić kontrolę ilości rozkładanego lepiszcza według normy PN-EN 12272-1. Dopuszcza się tolerancję ±10 % w stosunku do ilości założonej. </w:t>
      </w:r>
    </w:p>
    <w:p w14:paraId="370A811B"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Miejsce pobrania próbek powinno znajdować się co najmniej 30 m od miejsca, w którym rozpoczęto skropienie. </w:t>
      </w:r>
    </w:p>
    <w:p w14:paraId="2907C319"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Oznaczanie dokładności dozowania emulsji zgodnie z normą PN-EN 12272-1 pkt. 6. </w:t>
      </w:r>
    </w:p>
    <w:p w14:paraId="29D46B34" w14:textId="77777777" w:rsidR="00955A27" w:rsidRPr="001667DB" w:rsidRDefault="00955A27" w:rsidP="00FA7059">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Jakość wykonanego skropienia na warstwach asfaltowych, należy dokonać na podstawie pomiaru wytrzymałość na ścinanie połączenia pomiędzy warstwami asfaltowymi i spełniania wymagań określonych w pkt. 5.4.1.</w:t>
      </w:r>
    </w:p>
    <w:p w14:paraId="55216A8E"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7. Obmiar robót</w:t>
      </w:r>
      <w:bookmarkEnd w:id="351"/>
    </w:p>
    <w:p w14:paraId="7E019A0E"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52" w:name="_Toc344981400"/>
      <w:r w:rsidRPr="001667DB">
        <w:rPr>
          <w:color w:val="000000" w:themeColor="text1"/>
          <w:sz w:val="22"/>
          <w:szCs w:val="22"/>
        </w:rPr>
        <w:t>7.1. Ogólne zasady obmiaru robót</w:t>
      </w:r>
    </w:p>
    <w:p w14:paraId="1E800E70"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D-M-00.00.00 „Wymagania ogólne” [1] pkt 7.</w:t>
      </w:r>
    </w:p>
    <w:p w14:paraId="31B6A233" w14:textId="77777777" w:rsidR="00955A27" w:rsidRPr="001667DB" w:rsidRDefault="00955A27" w:rsidP="00FA7059">
      <w:pPr>
        <w:pStyle w:val="Nagwek2"/>
        <w:numPr>
          <w:ilvl w:val="12"/>
          <w:numId w:val="0"/>
        </w:numPr>
        <w:spacing w:line="360" w:lineRule="auto"/>
        <w:jc w:val="both"/>
        <w:rPr>
          <w:color w:val="000000" w:themeColor="text1"/>
          <w:sz w:val="22"/>
          <w:szCs w:val="22"/>
        </w:rPr>
      </w:pPr>
      <w:r w:rsidRPr="001667DB">
        <w:rPr>
          <w:color w:val="000000" w:themeColor="text1"/>
          <w:sz w:val="22"/>
          <w:szCs w:val="22"/>
        </w:rPr>
        <w:t>7.2. Jednostka obmiarowa</w:t>
      </w:r>
    </w:p>
    <w:p w14:paraId="46794B41" w14:textId="77777777" w:rsidR="00955A27" w:rsidRPr="001667DB" w:rsidRDefault="00955A27" w:rsidP="00FA7059">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oczyszczonej i skropionej powierzchni warstwy.</w:t>
      </w:r>
    </w:p>
    <w:p w14:paraId="3648D674"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8. Odbiór robót</w:t>
      </w:r>
      <w:bookmarkEnd w:id="352"/>
    </w:p>
    <w:p w14:paraId="2357F1D1"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bookmarkStart w:id="353" w:name="_Toc344981401"/>
      <w:r w:rsidRPr="001667DB">
        <w:rPr>
          <w:rFonts w:ascii="Times New Roman" w:hAnsi="Times New Roman" w:cs="Times New Roman"/>
          <w:color w:val="000000" w:themeColor="text1"/>
        </w:rPr>
        <w:tab/>
        <w:t>Ogólne zasady odbioru robót podano w ST  D-M-00.00.00 „Wymagania ogólne” [1] pkt 8.</w:t>
      </w:r>
    </w:p>
    <w:p w14:paraId="7FE491F3"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pktu 6 dały wyniki pozytywne.</w:t>
      </w:r>
    </w:p>
    <w:p w14:paraId="7EC00BDD" w14:textId="77777777" w:rsidR="00955A27" w:rsidRPr="00326BBF" w:rsidRDefault="00955A27" w:rsidP="00FA7059">
      <w:pPr>
        <w:pStyle w:val="Nagwek1"/>
        <w:spacing w:line="360" w:lineRule="auto"/>
        <w:jc w:val="both"/>
        <w:rPr>
          <w:color w:val="000000" w:themeColor="text1"/>
          <w:sz w:val="22"/>
          <w:szCs w:val="22"/>
          <w:lang w:val="pl-PL"/>
        </w:rPr>
      </w:pPr>
      <w:r w:rsidRPr="00326BBF">
        <w:rPr>
          <w:color w:val="000000" w:themeColor="text1"/>
          <w:sz w:val="22"/>
          <w:szCs w:val="22"/>
          <w:lang w:val="pl-PL"/>
        </w:rPr>
        <w:t>9. Podstawa płatności</w:t>
      </w:r>
      <w:bookmarkEnd w:id="353"/>
    </w:p>
    <w:p w14:paraId="28940F67" w14:textId="77777777" w:rsidR="00955A27" w:rsidRPr="001667DB" w:rsidRDefault="00955A27" w:rsidP="00FA7059">
      <w:pPr>
        <w:pStyle w:val="Nagwek2"/>
        <w:numPr>
          <w:ilvl w:val="12"/>
          <w:numId w:val="0"/>
        </w:numPr>
        <w:spacing w:line="360" w:lineRule="auto"/>
        <w:jc w:val="both"/>
        <w:rPr>
          <w:color w:val="000000" w:themeColor="text1"/>
          <w:sz w:val="22"/>
          <w:szCs w:val="22"/>
        </w:rPr>
      </w:pPr>
      <w:bookmarkStart w:id="354" w:name="_Toc344981402"/>
      <w:r w:rsidRPr="001667DB">
        <w:rPr>
          <w:color w:val="000000" w:themeColor="text1"/>
          <w:sz w:val="22"/>
          <w:szCs w:val="22"/>
        </w:rPr>
        <w:t>9.1. Ogólne ustalenia dotyczące podstawy płatności</w:t>
      </w:r>
    </w:p>
    <w:p w14:paraId="531FAE78" w14:textId="77777777" w:rsidR="00955A27" w:rsidRPr="001667DB" w:rsidRDefault="00955A27" w:rsidP="00FA7059">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D-M-00.00.00 „Wymagania ogólne” [1] pkt 9.</w:t>
      </w:r>
    </w:p>
    <w:p w14:paraId="01751973" w14:textId="77777777" w:rsidR="00955A27" w:rsidRPr="00326BBF" w:rsidRDefault="00955A27" w:rsidP="00955A27">
      <w:pPr>
        <w:pStyle w:val="Nagwek1"/>
        <w:spacing w:line="360" w:lineRule="auto"/>
        <w:rPr>
          <w:color w:val="000000" w:themeColor="text1"/>
          <w:sz w:val="22"/>
          <w:szCs w:val="22"/>
          <w:lang w:val="pl-PL"/>
        </w:rPr>
      </w:pPr>
      <w:r w:rsidRPr="00326BBF">
        <w:rPr>
          <w:color w:val="000000" w:themeColor="text1"/>
          <w:sz w:val="22"/>
          <w:szCs w:val="22"/>
          <w:lang w:val="pl-PL"/>
        </w:rPr>
        <w:lastRenderedPageBreak/>
        <w:t>10. Przepisy związane</w:t>
      </w:r>
      <w:bookmarkEnd w:id="354"/>
    </w:p>
    <w:p w14:paraId="045DFAD1"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Specyfikacje techniczne (ST)</w:t>
      </w:r>
    </w:p>
    <w:tbl>
      <w:tblPr>
        <w:tblW w:w="0" w:type="auto"/>
        <w:tblLayout w:type="fixed"/>
        <w:tblCellMar>
          <w:left w:w="70" w:type="dxa"/>
          <w:right w:w="70" w:type="dxa"/>
        </w:tblCellMar>
        <w:tblLook w:val="0000" w:firstRow="0" w:lastRow="0" w:firstColumn="0" w:lastColumn="0" w:noHBand="0" w:noVBand="0"/>
      </w:tblPr>
      <w:tblGrid>
        <w:gridCol w:w="637"/>
        <w:gridCol w:w="1833"/>
        <w:gridCol w:w="6360"/>
      </w:tblGrid>
      <w:tr w:rsidR="00955A27" w:rsidRPr="001667DB" w14:paraId="1A957BDC" w14:textId="77777777">
        <w:tc>
          <w:tcPr>
            <w:tcW w:w="637" w:type="dxa"/>
          </w:tcPr>
          <w:p w14:paraId="246BD39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833" w:type="dxa"/>
          </w:tcPr>
          <w:p w14:paraId="57A0CE2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D-M-00.00.00</w:t>
            </w:r>
          </w:p>
        </w:tc>
        <w:tc>
          <w:tcPr>
            <w:tcW w:w="6360" w:type="dxa"/>
          </w:tcPr>
          <w:p w14:paraId="4F12AD7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bl>
    <w:p w14:paraId="73BD614A"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Normy</w:t>
      </w:r>
    </w:p>
    <w:tbl>
      <w:tblPr>
        <w:tblW w:w="0" w:type="auto"/>
        <w:tblLook w:val="01E0" w:firstRow="1" w:lastRow="1" w:firstColumn="1" w:lastColumn="1" w:noHBand="0" w:noVBand="0"/>
      </w:tblPr>
      <w:tblGrid>
        <w:gridCol w:w="675"/>
        <w:gridCol w:w="1833"/>
        <w:gridCol w:w="6360"/>
      </w:tblGrid>
      <w:tr w:rsidR="00955A27" w:rsidRPr="001667DB" w14:paraId="1B645FB4" w14:textId="77777777">
        <w:tc>
          <w:tcPr>
            <w:tcW w:w="675" w:type="dxa"/>
          </w:tcPr>
          <w:p w14:paraId="434A40D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833" w:type="dxa"/>
          </w:tcPr>
          <w:p w14:paraId="12A5E30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12272-1</w:t>
            </w:r>
          </w:p>
        </w:tc>
        <w:tc>
          <w:tcPr>
            <w:tcW w:w="6360" w:type="dxa"/>
          </w:tcPr>
          <w:p w14:paraId="010441F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Powierzchniowe utrwalanie – Metody badań – Część 1: Dozowanie i poprzeczny rozkład lepiszcza i kruszywa</w:t>
            </w:r>
          </w:p>
        </w:tc>
      </w:tr>
      <w:tr w:rsidR="00955A27" w:rsidRPr="001667DB" w14:paraId="1AA5924F" w14:textId="77777777">
        <w:tc>
          <w:tcPr>
            <w:tcW w:w="675" w:type="dxa"/>
          </w:tcPr>
          <w:p w14:paraId="74B8393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833" w:type="dxa"/>
          </w:tcPr>
          <w:p w14:paraId="5A7884A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13808</w:t>
            </w:r>
          </w:p>
        </w:tc>
        <w:tc>
          <w:tcPr>
            <w:tcW w:w="6360" w:type="dxa"/>
          </w:tcPr>
          <w:p w14:paraId="5C85F8C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klasyfikacji kationowych emulsji asfaltowych</w:t>
            </w:r>
          </w:p>
        </w:tc>
      </w:tr>
      <w:tr w:rsidR="00955A27" w:rsidRPr="001667DB" w14:paraId="2103A813" w14:textId="77777777">
        <w:tc>
          <w:tcPr>
            <w:tcW w:w="675" w:type="dxa"/>
          </w:tcPr>
          <w:p w14:paraId="5CEA940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833" w:type="dxa"/>
          </w:tcPr>
          <w:p w14:paraId="2E3D94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12272-3</w:t>
            </w:r>
          </w:p>
        </w:tc>
        <w:tc>
          <w:tcPr>
            <w:tcW w:w="6360" w:type="dxa"/>
          </w:tcPr>
          <w:p w14:paraId="0B6E496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Powierzchniowe utrwalenie. Wymagania techniczne. Część 3. Dozowanie i dokładność dozowania lepiszcza i kruszywa.</w:t>
            </w:r>
          </w:p>
        </w:tc>
      </w:tr>
    </w:tbl>
    <w:p w14:paraId="2453B3B3"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Inne dokumenty</w:t>
      </w:r>
    </w:p>
    <w:p w14:paraId="3A21A8DA" w14:textId="77777777" w:rsidR="00955A27" w:rsidRPr="001667DB" w:rsidRDefault="00955A27" w:rsidP="00904E6C">
      <w:pPr>
        <w:numPr>
          <w:ilvl w:val="0"/>
          <w:numId w:val="87"/>
        </w:numPr>
        <w:tabs>
          <w:tab w:val="left" w:pos="426"/>
        </w:tabs>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Katalog typowych konstrukcji nawierzchni podatnych i półsztywnych. Załącznik do Zarządzenia nr 31 Generalnego Dyrektora Dróg Krajowych i Autostrad z dnia 16 czerwca 2014 r. </w:t>
      </w:r>
    </w:p>
    <w:p w14:paraId="38579055" w14:textId="77777777" w:rsidR="00955A27" w:rsidRPr="001667DB" w:rsidRDefault="00955A27" w:rsidP="00904E6C">
      <w:pPr>
        <w:numPr>
          <w:ilvl w:val="0"/>
          <w:numId w:val="87"/>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bookmarkStart w:id="355" w:name="_Toc344981403"/>
      <w:r w:rsidRPr="001667DB">
        <w:rPr>
          <w:rFonts w:ascii="Times New Roman" w:hAnsi="Times New Roman" w:cs="Times New Roman"/>
          <w:color w:val="000000" w:themeColor="text1"/>
        </w:rPr>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1248DE41" w14:textId="77777777" w:rsidR="00955A27" w:rsidRPr="001667DB" w:rsidRDefault="00955A27" w:rsidP="00904E6C">
      <w:pPr>
        <w:numPr>
          <w:ilvl w:val="0"/>
          <w:numId w:val="87"/>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10832122" w14:textId="77777777" w:rsidR="00955A27" w:rsidRPr="001667DB" w:rsidRDefault="00955A27" w:rsidP="00904E6C">
      <w:pPr>
        <w:numPr>
          <w:ilvl w:val="0"/>
          <w:numId w:val="87"/>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Instrukcja laboratoryjnego badania sczepności międzywarstwowej warstw asfaltowych wg metody Leutnera i wymagania techniczne sczepności”, GDDKiA, Gdańsk, 2014.</w:t>
      </w:r>
      <w:r w:rsidRPr="001667DB">
        <w:rPr>
          <w:rFonts w:ascii="Times New Roman" w:hAnsi="Times New Roman" w:cs="Times New Roman"/>
          <w:color w:val="000000" w:themeColor="text1"/>
        </w:rPr>
        <w:br/>
      </w:r>
      <w:bookmarkEnd w:id="355"/>
    </w:p>
    <w:p w14:paraId="119ACDB3" w14:textId="77777777" w:rsidR="007A593C" w:rsidRPr="001667DB" w:rsidRDefault="007A593C" w:rsidP="007A593C">
      <w:p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p>
    <w:p w14:paraId="7AD21647" w14:textId="77777777" w:rsidR="007A593C" w:rsidRPr="001667DB" w:rsidRDefault="007A593C" w:rsidP="007A593C">
      <w:p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p>
    <w:p w14:paraId="68ADA238" w14:textId="77777777" w:rsidR="007A593C" w:rsidRPr="001667DB" w:rsidRDefault="007A593C" w:rsidP="007A593C">
      <w:p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p>
    <w:p w14:paraId="68352511" w14:textId="77777777" w:rsidR="00EE0962" w:rsidRPr="001667DB" w:rsidRDefault="00EE0962">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59DBFE80" w14:textId="77777777" w:rsidR="00955A27" w:rsidRPr="001667DB" w:rsidRDefault="00955A27" w:rsidP="00904E6C">
      <w:pPr>
        <w:pStyle w:val="Nagwek2"/>
        <w:numPr>
          <w:ilvl w:val="8"/>
          <w:numId w:val="8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1985"/>
        </w:tabs>
        <w:suppressAutoHyphens/>
        <w:spacing w:before="0" w:line="360" w:lineRule="auto"/>
        <w:ind w:left="2127" w:hanging="2127"/>
        <w:rPr>
          <w:color w:val="000000" w:themeColor="text1"/>
          <w:sz w:val="22"/>
          <w:szCs w:val="22"/>
          <w:u w:val="none"/>
        </w:rPr>
      </w:pPr>
      <w:r w:rsidRPr="00E617E3">
        <w:rPr>
          <w:color w:val="000000" w:themeColor="text1"/>
          <w:sz w:val="22"/>
          <w:szCs w:val="22"/>
          <w:u w:val="none"/>
        </w:rPr>
        <w:lastRenderedPageBreak/>
        <w:t>D.04.04.02a</w:t>
      </w:r>
      <w:r w:rsidRPr="001667DB">
        <w:rPr>
          <w:color w:val="000000" w:themeColor="text1"/>
          <w:sz w:val="22"/>
          <w:szCs w:val="22"/>
          <w:u w:val="none"/>
        </w:rPr>
        <w:tab/>
      </w:r>
      <w:r w:rsidRPr="001667DB">
        <w:rPr>
          <w:color w:val="000000" w:themeColor="text1"/>
          <w:sz w:val="22"/>
          <w:szCs w:val="22"/>
          <w:u w:val="none"/>
        </w:rPr>
        <w:tab/>
      </w:r>
      <w:r w:rsidRPr="001667DB">
        <w:rPr>
          <w:bCs/>
          <w:color w:val="000000" w:themeColor="text1"/>
          <w:sz w:val="22"/>
          <w:szCs w:val="22"/>
          <w:u w:val="none"/>
        </w:rPr>
        <w:t>POB</w:t>
      </w:r>
      <w:r w:rsidR="00AC7753">
        <w:rPr>
          <w:bCs/>
          <w:color w:val="000000" w:themeColor="text1"/>
          <w:sz w:val="22"/>
          <w:szCs w:val="22"/>
          <w:u w:val="none"/>
        </w:rPr>
        <w:t>UDOWA  POMOCNICZA Z MIESZANKI  NIEZWIĄZANEJ</w:t>
      </w:r>
    </w:p>
    <w:p w14:paraId="67BF61F8" w14:textId="77777777" w:rsidR="00955A27" w:rsidRPr="001667DB" w:rsidRDefault="00955A27" w:rsidP="00955A27">
      <w:pPr>
        <w:pStyle w:val="Tekstpodstawowy"/>
        <w:spacing w:after="120"/>
        <w:rPr>
          <w:color w:val="000000" w:themeColor="text1"/>
          <w:sz w:val="22"/>
          <w:szCs w:val="22"/>
        </w:rPr>
      </w:pPr>
    </w:p>
    <w:p w14:paraId="341E4F65"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lang w:val="pl-PL"/>
        </w:rPr>
      </w:pPr>
      <w:r w:rsidRPr="001667DB">
        <w:rPr>
          <w:color w:val="000000" w:themeColor="text1"/>
          <w:sz w:val="22"/>
          <w:szCs w:val="22"/>
          <w:lang w:val="pl-PL"/>
        </w:rPr>
        <w:t>1.</w:t>
      </w:r>
      <w:r w:rsidRPr="001667DB">
        <w:rPr>
          <w:color w:val="000000" w:themeColor="text1"/>
          <w:sz w:val="22"/>
          <w:szCs w:val="22"/>
          <w:lang w:val="pl-PL"/>
        </w:rPr>
        <w:tab/>
        <w:t>WSTĘP</w:t>
      </w:r>
    </w:p>
    <w:p w14:paraId="09D8A98A"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1.1. Przedmiot Specyfikacji Technicznej</w:t>
      </w:r>
    </w:p>
    <w:p w14:paraId="57ECD06C" w14:textId="77777777" w:rsidR="00955A27" w:rsidRPr="001667DB" w:rsidRDefault="00955A27" w:rsidP="00955A27">
      <w:pPr>
        <w:pStyle w:val="Standardowytekst0"/>
        <w:spacing w:after="120" w:line="360" w:lineRule="auto"/>
        <w:rPr>
          <w:color w:val="000000" w:themeColor="text1"/>
          <w:sz w:val="22"/>
          <w:szCs w:val="22"/>
        </w:rPr>
      </w:pPr>
      <w:r w:rsidRPr="001667DB">
        <w:rPr>
          <w:color w:val="000000" w:themeColor="text1"/>
          <w:sz w:val="22"/>
          <w:szCs w:val="22"/>
        </w:rPr>
        <w:tab/>
        <w:t>Przedmiotem niniejszej ogólnej specyfikacji technicznej (ST) są wymagania dotyczące wyk</w:t>
      </w:r>
      <w:r w:rsidR="00747AD3">
        <w:rPr>
          <w:color w:val="000000" w:themeColor="text1"/>
          <w:sz w:val="22"/>
          <w:szCs w:val="22"/>
        </w:rPr>
        <w:t>onania</w:t>
      </w:r>
      <w:r w:rsidRPr="001667DB">
        <w:rPr>
          <w:color w:val="000000" w:themeColor="text1"/>
          <w:sz w:val="22"/>
          <w:szCs w:val="22"/>
        </w:rPr>
        <w:t xml:space="preserve"> i odbioru robót związanych z wykonaniem podbudowy pomocniczej z mieszanki kruszywa</w:t>
      </w:r>
      <w:r w:rsidR="00747AD3">
        <w:rPr>
          <w:color w:val="000000" w:themeColor="text1"/>
          <w:sz w:val="22"/>
          <w:szCs w:val="22"/>
        </w:rPr>
        <w:t xml:space="preserve"> niezwiązanego </w:t>
      </w:r>
      <w:r w:rsidRPr="001667DB">
        <w:rPr>
          <w:color w:val="000000" w:themeColor="text1"/>
          <w:sz w:val="22"/>
          <w:szCs w:val="22"/>
        </w:rPr>
        <w:t xml:space="preserve">w ramach realizacji zadania: </w:t>
      </w:r>
      <w:r w:rsidR="00747AD3" w:rsidRPr="00FD3B41">
        <w:rPr>
          <w:b/>
          <w:color w:val="000000" w:themeColor="text1"/>
          <w:sz w:val="22"/>
          <w:szCs w:val="22"/>
        </w:rPr>
        <w:t>„Rozbudowa drogi wojewódzkiej nr 461 w m. Dąbrówka Łubniańska i Łubniany” – Etap I ( km od 9+741,88 do 10+371,13)</w:t>
      </w:r>
    </w:p>
    <w:p w14:paraId="3304AF6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1.2. Zakres stosowania ST</w:t>
      </w:r>
    </w:p>
    <w:p w14:paraId="55C9D90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ST jest stosowana jako dokument przetargowy i kontraktowy przy zlecaniu i realizacji robót wymienionych w pkt.1.1.</w:t>
      </w:r>
    </w:p>
    <w:p w14:paraId="3B98073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1.3. Zakres robót objętych ST</w:t>
      </w:r>
    </w:p>
    <w:p w14:paraId="52596D6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wykonaniem i odbiorem podbudowy pomocniczej z mieszanki kruszywa niezwiązanego, tj. ziarnistego materiału o określonym składzie, w procesie technologicznym, polegającym na odpowiednim zagęszczeniu przy optymalnej wilgotności mieszanki.</w:t>
      </w:r>
    </w:p>
    <w:p w14:paraId="4BC6A02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Mieszanka niezwiązana może być wytworzona z kruszyw naturalnych, sztucznych, kruszyw z recyklingu oraz mieszanin tych kruszyw w określonych proporcjach.</w:t>
      </w:r>
    </w:p>
    <w:p w14:paraId="1DFB81B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Podbudowa pomocnicza, stanowiąca dolną część konstrukcji nawierzchni drogowej, zapewnia przenoszenie obciążeń z podbudowy zasadniczej na podłoże.</w:t>
      </w:r>
    </w:p>
    <w:p w14:paraId="54AC1921"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robót obejmuje:</w:t>
      </w:r>
    </w:p>
    <w:p w14:paraId="694CE40C"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podbudowy pomocniczej z mieszanka niezwiązana kruszywa łamanego stabilizowanego mechanicznie 0</w:t>
      </w:r>
      <w:r w:rsidRPr="001667DB">
        <w:rPr>
          <w:rFonts w:ascii="Times New Roman" w:hAnsi="Times New Roman" w:cs="Times New Roman"/>
          <w:b/>
          <w:iCs/>
          <w:color w:val="000000" w:themeColor="text1"/>
        </w:rPr>
        <w:t>/63 CBR≥35%, gr 0,30- je</w:t>
      </w:r>
      <w:r w:rsidR="009F4306" w:rsidRPr="001667DB">
        <w:rPr>
          <w:rFonts w:ascii="Times New Roman" w:hAnsi="Times New Roman" w:cs="Times New Roman"/>
          <w:b/>
          <w:iCs/>
          <w:color w:val="000000" w:themeColor="text1"/>
        </w:rPr>
        <w:t>z</w:t>
      </w:r>
      <w:r w:rsidRPr="001667DB">
        <w:rPr>
          <w:rFonts w:ascii="Times New Roman" w:hAnsi="Times New Roman" w:cs="Times New Roman"/>
          <w:b/>
          <w:iCs/>
          <w:color w:val="000000" w:themeColor="text1"/>
        </w:rPr>
        <w:t>dnia</w:t>
      </w:r>
      <w:r w:rsidRPr="001667DB">
        <w:rPr>
          <w:rFonts w:ascii="Times New Roman" w:hAnsi="Times New Roman" w:cs="Times New Roman"/>
          <w:color w:val="000000" w:themeColor="text1"/>
        </w:rPr>
        <w:t xml:space="preserve"> </w:t>
      </w:r>
    </w:p>
    <w:p w14:paraId="45D59120"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iCs/>
          <w:color w:val="000000" w:themeColor="text1"/>
        </w:rPr>
      </w:pPr>
      <w:r w:rsidRPr="001667DB">
        <w:rPr>
          <w:rFonts w:ascii="Times New Roman" w:hAnsi="Times New Roman" w:cs="Times New Roman"/>
          <w:color w:val="000000" w:themeColor="text1"/>
        </w:rPr>
        <w:t xml:space="preserve">Wykonanie podbudowy pomocniczej z mieszanki niezwiązanej kruszywem </w:t>
      </w:r>
      <w:r w:rsidRPr="001667DB">
        <w:rPr>
          <w:rFonts w:ascii="Times New Roman" w:hAnsi="Times New Roman" w:cs="Times New Roman"/>
          <w:iCs/>
          <w:color w:val="000000" w:themeColor="text1"/>
        </w:rPr>
        <w:t>C</w:t>
      </w:r>
      <w:r w:rsidRPr="001667DB">
        <w:rPr>
          <w:rFonts w:ascii="Times New Roman" w:hAnsi="Times New Roman" w:cs="Times New Roman"/>
          <w:iCs/>
          <w:color w:val="000000" w:themeColor="text1"/>
          <w:vertAlign w:val="subscript"/>
        </w:rPr>
        <w:t>50/30</w:t>
      </w:r>
      <w:r w:rsidRPr="001667DB">
        <w:rPr>
          <w:rFonts w:ascii="Times New Roman" w:hAnsi="Times New Roman" w:cs="Times New Roman"/>
          <w:iCs/>
          <w:color w:val="000000" w:themeColor="text1"/>
        </w:rPr>
        <w:t xml:space="preserve"> o uziarnieniu (0/31,5) </w:t>
      </w:r>
      <w:r w:rsidRPr="001667DB">
        <w:rPr>
          <w:rFonts w:ascii="Times New Roman" w:hAnsi="Times New Roman" w:cs="Times New Roman"/>
          <w:b/>
          <w:iCs/>
          <w:color w:val="000000" w:themeColor="text1"/>
        </w:rPr>
        <w:t xml:space="preserve">gr. 0,20m – ciąg pieszo-rowerowy </w:t>
      </w:r>
    </w:p>
    <w:p w14:paraId="2D2D60A0"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iCs/>
          <w:color w:val="000000" w:themeColor="text1"/>
        </w:rPr>
      </w:pPr>
      <w:r w:rsidRPr="001667DB">
        <w:rPr>
          <w:rFonts w:ascii="Times New Roman" w:hAnsi="Times New Roman" w:cs="Times New Roman"/>
          <w:color w:val="000000" w:themeColor="text1"/>
        </w:rPr>
        <w:t xml:space="preserve">Wykonanie podbudowy pomocniczej z mieszanki niezwiązanej kruszywem </w:t>
      </w:r>
      <w:r w:rsidRPr="001667DB">
        <w:rPr>
          <w:rFonts w:ascii="Times New Roman" w:hAnsi="Times New Roman" w:cs="Times New Roman"/>
          <w:iCs/>
          <w:color w:val="000000" w:themeColor="text1"/>
        </w:rPr>
        <w:t>C</w:t>
      </w:r>
      <w:r w:rsidRPr="001667DB">
        <w:rPr>
          <w:rFonts w:ascii="Times New Roman" w:hAnsi="Times New Roman" w:cs="Times New Roman"/>
          <w:iCs/>
          <w:color w:val="000000" w:themeColor="text1"/>
          <w:vertAlign w:val="subscript"/>
        </w:rPr>
        <w:t>50/30</w:t>
      </w:r>
      <w:r w:rsidRPr="001667DB">
        <w:rPr>
          <w:rFonts w:ascii="Times New Roman" w:hAnsi="Times New Roman" w:cs="Times New Roman"/>
          <w:iCs/>
          <w:color w:val="000000" w:themeColor="text1"/>
        </w:rPr>
        <w:t xml:space="preserve"> o uziarnieniu (0/31,5) </w:t>
      </w:r>
      <w:r w:rsidRPr="001667DB">
        <w:rPr>
          <w:rFonts w:ascii="Times New Roman" w:hAnsi="Times New Roman" w:cs="Times New Roman"/>
          <w:b/>
          <w:iCs/>
          <w:color w:val="000000" w:themeColor="text1"/>
        </w:rPr>
        <w:t>gr. 0,30m – ciąg pieszo-rowerowy na zjazdach</w:t>
      </w:r>
    </w:p>
    <w:p w14:paraId="40E0B876" w14:textId="77777777" w:rsidR="00955A27" w:rsidRPr="001667DB" w:rsidRDefault="00955A27" w:rsidP="00955A27">
      <w:pPr>
        <w:spacing w:after="120" w:line="360" w:lineRule="auto"/>
        <w:ind w:left="1429"/>
        <w:jc w:val="both"/>
        <w:rPr>
          <w:rFonts w:ascii="Times New Roman" w:hAnsi="Times New Roman" w:cs="Times New Roman"/>
          <w:iCs/>
          <w:color w:val="000000" w:themeColor="text1"/>
        </w:rPr>
      </w:pPr>
    </w:p>
    <w:p w14:paraId="081154A6"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1BE90640"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lastRenderedPageBreak/>
        <w:t>1.4. Określenia podstawowe</w:t>
      </w:r>
    </w:p>
    <w:p w14:paraId="55A1839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w:t>
      </w:r>
      <w:r w:rsidRPr="001667DB">
        <w:rPr>
          <w:rFonts w:ascii="Times New Roman" w:hAnsi="Times New Roman" w:cs="Times New Roman"/>
          <w:color w:val="000000" w:themeColor="text1"/>
          <w:sz w:val="22"/>
          <w:szCs w:val="22"/>
        </w:rPr>
        <w:t xml:space="preserve"> Mieszanka niezwiązana –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3042167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1.4.2.</w:t>
      </w:r>
      <w:r w:rsidRPr="001667DB">
        <w:rPr>
          <w:rFonts w:ascii="Times New Roman" w:hAnsi="Times New Roman" w:cs="Times New Roman"/>
          <w:color w:val="000000" w:themeColor="text1"/>
          <w:sz w:val="22"/>
          <w:szCs w:val="22"/>
        </w:rPr>
        <w:t xml:space="preserve"> Kategoria – charakterystyczny poziom właściwości kruszywa lub mieszanki niezwiązanej, wyrażony, jako przedział wartości lub wartość graniczna. Nie ma zależności pomiędzy kategoriami różnych właściwości.</w:t>
      </w:r>
    </w:p>
    <w:p w14:paraId="7265A30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1.4.3.</w:t>
      </w:r>
      <w:r w:rsidRPr="001667DB">
        <w:rPr>
          <w:rFonts w:ascii="Times New Roman" w:hAnsi="Times New Roman" w:cs="Times New Roman"/>
          <w:color w:val="000000" w:themeColor="text1"/>
          <w:sz w:val="22"/>
          <w:szCs w:val="22"/>
        </w:rPr>
        <w:t xml:space="preserve"> Kruszywo – materiał ziarnisty stosowany w budownictwie, który może być naturalny, sztuczny lub z recyklingu.</w:t>
      </w:r>
    </w:p>
    <w:p w14:paraId="402D54A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1.4.4.</w:t>
      </w:r>
      <w:r w:rsidRPr="001667DB">
        <w:rPr>
          <w:rFonts w:ascii="Times New Roman" w:hAnsi="Times New Roman" w:cs="Times New Roman"/>
          <w:color w:val="000000" w:themeColor="text1"/>
          <w:sz w:val="22"/>
          <w:szCs w:val="22"/>
        </w:rPr>
        <w:t xml:space="preserve">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14:paraId="2614B12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1.4.5.</w:t>
      </w:r>
      <w:r w:rsidRPr="001667DB">
        <w:rPr>
          <w:rFonts w:ascii="Times New Roman" w:hAnsi="Times New Roman" w:cs="Times New Roman"/>
          <w:color w:val="000000" w:themeColor="text1"/>
          <w:sz w:val="22"/>
          <w:szCs w:val="22"/>
        </w:rPr>
        <w:t xml:space="preserve"> Kruszywo sztuczne – kruszywo pochodzenia mineralnego, uzyskiwane w wyniku procesu przemysłowego obejmującego obróbkę termiczną lub inną modyfikację. Do kruszywa sztucznego zalicza się w szczególności kruszywo z żużli: wielkopiecowych, stalowniczych i pomiedziowych.</w:t>
      </w:r>
    </w:p>
    <w:p w14:paraId="02DC168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1.4.6.</w:t>
      </w:r>
      <w:r w:rsidRPr="001667DB">
        <w:rPr>
          <w:rFonts w:ascii="Times New Roman" w:hAnsi="Times New Roman" w:cs="Times New Roman"/>
          <w:color w:val="000000" w:themeColor="text1"/>
          <w:sz w:val="22"/>
          <w:szCs w:val="22"/>
        </w:rPr>
        <w:t xml:space="preserve"> Kruszywo z recyklingu – kruszywo powstałe w wyniku przeróbki materiału zastosowanego uprzednio w budownictwie.</w:t>
      </w:r>
    </w:p>
    <w:p w14:paraId="505832B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1.4.7.</w:t>
      </w:r>
      <w:r w:rsidRPr="001667DB">
        <w:rPr>
          <w:rFonts w:ascii="Times New Roman" w:hAnsi="Times New Roman" w:cs="Times New Roman"/>
          <w:color w:val="000000" w:themeColor="text1"/>
          <w:sz w:val="22"/>
          <w:szCs w:val="22"/>
        </w:rPr>
        <w:t xml:space="preserve"> Kruszywo kamienne – kruszywo z mineralnych surowców jak żwir kruszony, mechanicznie rozdrobnione skały, nadziarno żwirowe.</w:t>
      </w:r>
    </w:p>
    <w:p w14:paraId="629DBCB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1.4.8.</w:t>
      </w:r>
      <w:r w:rsidRPr="001667DB">
        <w:rPr>
          <w:rFonts w:ascii="Times New Roman" w:hAnsi="Times New Roman" w:cs="Times New Roman"/>
          <w:color w:val="000000" w:themeColor="text1"/>
          <w:sz w:val="22"/>
          <w:szCs w:val="22"/>
        </w:rPr>
        <w:t xml:space="preserve">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585DB87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1.4.9.</w:t>
      </w:r>
      <w:r w:rsidRPr="001667DB">
        <w:rPr>
          <w:rFonts w:ascii="Times New Roman" w:hAnsi="Times New Roman" w:cs="Times New Roman"/>
          <w:color w:val="000000" w:themeColor="text1"/>
          <w:sz w:val="22"/>
          <w:szCs w:val="22"/>
        </w:rPr>
        <w:t xml:space="preserve"> Kruszywo żużlowe z żużla stalowniczego – kruszywo składające się głównie ze skrystalizowanego krzemianu wapnia i ferrytu zawierającego CaO, SiO</w:t>
      </w:r>
      <w:r w:rsidRPr="001667DB">
        <w:rPr>
          <w:rFonts w:ascii="Times New Roman" w:hAnsi="Times New Roman" w:cs="Times New Roman"/>
          <w:color w:val="000000" w:themeColor="text1"/>
          <w:sz w:val="22"/>
          <w:szCs w:val="22"/>
          <w:vertAlign w:val="subscript"/>
        </w:rPr>
        <w:t>2</w:t>
      </w:r>
      <w:r w:rsidRPr="001667DB">
        <w:rPr>
          <w:rFonts w:ascii="Times New Roman" w:hAnsi="Times New Roman" w:cs="Times New Roman"/>
          <w:color w:val="000000" w:themeColor="text1"/>
          <w:sz w:val="22"/>
          <w:szCs w:val="22"/>
        </w:rPr>
        <w:t xml:space="preserve">, MgO oraz tlenek żelaza. Kruszywo otrzymuje się przez powolne schładzanie powietrzem ciekłego żużla stalowniczego. Proces chłodzenia może odbywać się przy kontrolowanym dodawaniu wody. </w:t>
      </w:r>
    </w:p>
    <w:p w14:paraId="1E7A43A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1.4.10.</w:t>
      </w:r>
      <w:r w:rsidRPr="001667DB">
        <w:rPr>
          <w:rFonts w:ascii="Times New Roman" w:hAnsi="Times New Roman" w:cs="Times New Roman"/>
          <w:color w:val="000000" w:themeColor="text1"/>
          <w:sz w:val="22"/>
          <w:szCs w:val="22"/>
        </w:rPr>
        <w:t xml:space="preserve"> Kategoria ruchu (KR1 ÷ KR6) – obciążenie drogi ruchem samochodowym, wyrażone w osiach obliczeniowych (100 kN) według „Katalogu typowych konstrukcji nawierzchni podatnych i półsztywnych”. Generalna Dyrekcja Dróg Publicznych – Instytut Badawczy Dróg i Mostów, Warszawa 1997 [26].</w:t>
      </w:r>
    </w:p>
    <w:p w14:paraId="5381839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lastRenderedPageBreak/>
        <w:t>1.4.11</w:t>
      </w:r>
      <w:r w:rsidRPr="001667DB">
        <w:rPr>
          <w:rFonts w:ascii="Times New Roman" w:hAnsi="Times New Roman" w:cs="Times New Roman"/>
          <w:color w:val="000000" w:themeColor="text1"/>
          <w:sz w:val="22"/>
          <w:szCs w:val="22"/>
        </w:rPr>
        <w:t>. Kruszywo grube (wg PN-EN 13242) – oznaczenie kruszywa o wymiarach ziaren d (dolnego) równym lub większym niż 1 mm oraz D (górnego) większym niż 2 mm.</w:t>
      </w:r>
    </w:p>
    <w:p w14:paraId="2AA29E6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1.4.12.</w:t>
      </w:r>
      <w:r w:rsidRPr="001667DB">
        <w:rPr>
          <w:rFonts w:ascii="Times New Roman" w:hAnsi="Times New Roman" w:cs="Times New Roman"/>
          <w:color w:val="000000" w:themeColor="text1"/>
          <w:sz w:val="22"/>
          <w:szCs w:val="22"/>
        </w:rPr>
        <w:t xml:space="preserve"> Kruszywo drobne (wg PN-EN 13242) – oznaczenie kruszywa o wymiarach ziaren d równym 0 oraz D równym 6,3 mm lub mniejszym. </w:t>
      </w:r>
    </w:p>
    <w:p w14:paraId="3BA3F87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1.4.13.</w:t>
      </w:r>
      <w:r w:rsidRPr="001667DB">
        <w:rPr>
          <w:rFonts w:ascii="Times New Roman" w:hAnsi="Times New Roman" w:cs="Times New Roman"/>
          <w:color w:val="000000" w:themeColor="text1"/>
          <w:sz w:val="22"/>
          <w:szCs w:val="22"/>
        </w:rPr>
        <w:t xml:space="preserve"> Kruszywo o ciągłym uziarnieniu (wg PN-EN 13242) – kruszywo stanowiące mieszankę kruszyw grubych i drobnych, w której D jest większe niż 6,3 mm.</w:t>
      </w:r>
    </w:p>
    <w:p w14:paraId="1C7FAA4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1.4.14.</w:t>
      </w:r>
      <w:r w:rsidRPr="001667DB">
        <w:rPr>
          <w:rFonts w:ascii="Times New Roman" w:hAnsi="Times New Roman" w:cs="Times New Roman"/>
          <w:color w:val="000000" w:themeColor="text1"/>
          <w:sz w:val="22"/>
          <w:szCs w:val="22"/>
        </w:rPr>
        <w:t xml:space="preserve"> Destrukt asfaltowy –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 niezwiązanej).</w:t>
      </w:r>
    </w:p>
    <w:p w14:paraId="68B500D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1.4.15.</w:t>
      </w:r>
      <w:r w:rsidRPr="001667DB">
        <w:rPr>
          <w:rFonts w:ascii="Times New Roman" w:hAnsi="Times New Roman" w:cs="Times New Roman"/>
          <w:color w:val="000000" w:themeColor="text1"/>
          <w:sz w:val="22"/>
          <w:szCs w:val="22"/>
        </w:rPr>
        <w:t xml:space="preserve"> Kruszywa słabe –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OST. O zakwalifikowaniu kruszywa do kruszyw słabych decyduje największa różnica wartości przesiewów na jednym z sit kontrolnych. </w:t>
      </w:r>
    </w:p>
    <w:p w14:paraId="02EF4DF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1.4.16.</w:t>
      </w:r>
      <w:r w:rsidRPr="001667DB">
        <w:rPr>
          <w:rFonts w:ascii="Times New Roman" w:hAnsi="Times New Roman" w:cs="Times New Roman"/>
          <w:color w:val="000000" w:themeColor="text1"/>
          <w:sz w:val="22"/>
          <w:szCs w:val="22"/>
        </w:rPr>
        <w:t xml:space="preserve"> Podbudowa – dolna część konstrukcji nawierzchni drogi, służąca do przenoszenia obciążeń z ruchu na podłoże. Podbudowa może składać się z podbudowy zasadniczej i pomocniczej, które mogą być wykonywane w kilku warstwach technologicznych.</w:t>
      </w:r>
    </w:p>
    <w:p w14:paraId="318FE11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 przypadku wzmacniania, konstrukcję istniejącej nawierzchni drogi uważa się za podbudowę.</w:t>
      </w:r>
    </w:p>
    <w:p w14:paraId="77BB04B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1.4.17.</w:t>
      </w:r>
      <w:r w:rsidRPr="001667DB">
        <w:rPr>
          <w:rFonts w:ascii="Times New Roman" w:hAnsi="Times New Roman" w:cs="Times New Roman"/>
          <w:color w:val="000000" w:themeColor="text1"/>
          <w:sz w:val="22"/>
          <w:szCs w:val="22"/>
        </w:rPr>
        <w:t xml:space="preserve"> Podbudowa pomocnicza – warstwa zapewniająca przenoszenie obciążeń z warstwy podbudowy zasadniczej na warstwę podłoża. Podbudowa pomocnicza może składać się z kilku warstw o różnych właściwościach.</w:t>
      </w:r>
    </w:p>
    <w:p w14:paraId="5CB0339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1.4.18.</w:t>
      </w:r>
      <w:r w:rsidRPr="001667DB">
        <w:rPr>
          <w:rFonts w:ascii="Times New Roman" w:hAnsi="Times New Roman" w:cs="Times New Roman"/>
          <w:color w:val="000000" w:themeColor="text1"/>
          <w:sz w:val="22"/>
          <w:szCs w:val="22"/>
        </w:rPr>
        <w:t xml:space="preserve"> Symbole i skróty dodatkowe</w:t>
      </w:r>
    </w:p>
    <w:p w14:paraId="6EB8561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m/m   procent masy,</w:t>
      </w:r>
    </w:p>
    <w:p w14:paraId="30CA89B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NR         brak konieczności badania danej cechy,</w:t>
      </w:r>
    </w:p>
    <w:p w14:paraId="65120C8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CRB       kalifornijski wskaźnik nośności, %</w:t>
      </w:r>
    </w:p>
    <w:p w14:paraId="00771865"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SDV   obszar  uziarnienia,  w  którym  powinna  się mieścić  krzywa  uziarnienia mieszanki (S)  deklarowana przez dostawcę/producenta,</w:t>
      </w:r>
    </w:p>
    <w:p w14:paraId="73EF988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            współczynnik filtracji, oznaczony wg ISO/TS 17892-11:2004 [23],</w:t>
      </w:r>
    </w:p>
    <w:p w14:paraId="49BA8772" w14:textId="77777777" w:rsidR="00955A27" w:rsidRPr="001667DB" w:rsidRDefault="00955A27" w:rsidP="00955A27">
      <w:pPr>
        <w:pStyle w:val="Bezodstpw"/>
        <w:tabs>
          <w:tab w:val="left" w:pos="840"/>
        </w:tabs>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D</w:t>
      </w:r>
      <w:r w:rsidRPr="001667DB">
        <w:rPr>
          <w:rFonts w:ascii="Times New Roman" w:hAnsi="Times New Roman" w:cs="Times New Roman"/>
          <w:color w:val="000000" w:themeColor="text1"/>
          <w:sz w:val="22"/>
          <w:szCs w:val="22"/>
          <w:vertAlign w:val="subscript"/>
        </w:rPr>
        <w:t>15</w:t>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tab/>
        <w:t>wymiar boku oczka sita w mm, przez które przechodzi 15% (m/m) ziaren mieszanki, z której wykonano warstwę podłoża lub nawierzchni,</w:t>
      </w:r>
    </w:p>
    <w:p w14:paraId="13EB0C17"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w:t>
      </w:r>
      <w:r w:rsidRPr="001667DB">
        <w:rPr>
          <w:rFonts w:ascii="Times New Roman" w:hAnsi="Times New Roman" w:cs="Times New Roman"/>
          <w:color w:val="000000" w:themeColor="text1"/>
          <w:sz w:val="22"/>
          <w:szCs w:val="22"/>
          <w:vertAlign w:val="subscript"/>
        </w:rPr>
        <w:t>85</w:t>
      </w:r>
      <w:r w:rsidRPr="001667DB">
        <w:rPr>
          <w:rFonts w:ascii="Times New Roman" w:hAnsi="Times New Roman" w:cs="Times New Roman"/>
          <w:color w:val="000000" w:themeColor="text1"/>
          <w:sz w:val="22"/>
          <w:szCs w:val="22"/>
        </w:rPr>
        <w:t xml:space="preserve">       wymiar boku oczka sita w mm, przez które przechodzi 85% (m/m) ziaren gruntu podłoża,</w:t>
      </w:r>
    </w:p>
    <w:p w14:paraId="3B3B8282"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w:t>
      </w:r>
      <w:r w:rsidRPr="001667DB">
        <w:rPr>
          <w:rFonts w:ascii="Times New Roman" w:hAnsi="Times New Roman" w:cs="Times New Roman"/>
          <w:color w:val="000000" w:themeColor="text1"/>
          <w:sz w:val="22"/>
          <w:szCs w:val="22"/>
          <w:vertAlign w:val="subscript"/>
        </w:rPr>
        <w:t>50</w:t>
      </w:r>
      <w:r w:rsidRPr="001667DB">
        <w:rPr>
          <w:rFonts w:ascii="Times New Roman" w:hAnsi="Times New Roman" w:cs="Times New Roman"/>
          <w:color w:val="000000" w:themeColor="text1"/>
          <w:sz w:val="22"/>
          <w:szCs w:val="22"/>
        </w:rPr>
        <w:t xml:space="preserve">       wymiar boku oczka sita w mm, przez które przechodzi 50% (m/m) ziaren gruntu podłoża,</w:t>
      </w:r>
    </w:p>
    <w:p w14:paraId="750A78E2"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w:t>
      </w:r>
      <w:r w:rsidRPr="001667DB">
        <w:rPr>
          <w:rFonts w:ascii="Times New Roman" w:hAnsi="Times New Roman" w:cs="Times New Roman"/>
          <w:color w:val="000000" w:themeColor="text1"/>
          <w:sz w:val="22"/>
          <w:szCs w:val="22"/>
          <w:vertAlign w:val="subscript"/>
        </w:rPr>
        <w:t>90</w:t>
      </w:r>
      <w:r w:rsidRPr="001667DB">
        <w:rPr>
          <w:rFonts w:ascii="Times New Roman" w:hAnsi="Times New Roman" w:cs="Times New Roman"/>
          <w:color w:val="000000" w:themeColor="text1"/>
          <w:sz w:val="22"/>
          <w:szCs w:val="22"/>
        </w:rPr>
        <w:t xml:space="preserve">        umowna  średnica porów geowłókniny lub geotkaniny,  odpowiadająca wymiarom frakcji gruntu (podłoża), zatrzymującego się na geowłókninie/geotkaninie w ilości 90% (m/m); wartość parametru O</w:t>
      </w:r>
      <w:r w:rsidRPr="001667DB">
        <w:rPr>
          <w:rFonts w:ascii="Times New Roman" w:hAnsi="Times New Roman" w:cs="Times New Roman"/>
          <w:color w:val="000000" w:themeColor="text1"/>
          <w:sz w:val="22"/>
          <w:szCs w:val="22"/>
          <w:vertAlign w:val="subscript"/>
        </w:rPr>
        <w:t>90</w:t>
      </w:r>
      <w:r w:rsidRPr="001667DB">
        <w:rPr>
          <w:rFonts w:ascii="Times New Roman" w:hAnsi="Times New Roman" w:cs="Times New Roman"/>
          <w:color w:val="000000" w:themeColor="text1"/>
          <w:sz w:val="22"/>
          <w:szCs w:val="22"/>
        </w:rPr>
        <w:t xml:space="preserve"> powinna być podawana przez producenta geowłókniny,</w:t>
      </w:r>
    </w:p>
    <w:p w14:paraId="2DCC7721"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ZKP</w:t>
      </w:r>
      <w:r w:rsidRPr="001667DB">
        <w:rPr>
          <w:rFonts w:ascii="Times New Roman" w:hAnsi="Times New Roman" w:cs="Times New Roman"/>
          <w:color w:val="000000" w:themeColor="text1"/>
          <w:sz w:val="22"/>
          <w:szCs w:val="22"/>
        </w:rPr>
        <w:tab/>
        <w:t>zakładowa kontrola produkcji.</w:t>
      </w:r>
    </w:p>
    <w:p w14:paraId="1802FEBD"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1.4.19. </w:t>
      </w:r>
      <w:r w:rsidRPr="001667DB">
        <w:rPr>
          <w:rFonts w:ascii="Times New Roman" w:hAnsi="Times New Roman"/>
          <w:color w:val="000000" w:themeColor="text1"/>
          <w:sz w:val="22"/>
          <w:szCs w:val="22"/>
        </w:rPr>
        <w:t>Pozostałe określenia podstawowe są zgodne z obowiązującymi, odpowiednimi polskimi n</w:t>
      </w:r>
      <w:r w:rsidR="001C05D3" w:rsidRPr="001667DB">
        <w:rPr>
          <w:rFonts w:ascii="Times New Roman" w:hAnsi="Times New Roman"/>
          <w:color w:val="000000" w:themeColor="text1"/>
          <w:sz w:val="22"/>
          <w:szCs w:val="22"/>
        </w:rPr>
        <w:t xml:space="preserve">ormami i z definicjami podanymi w </w:t>
      </w:r>
      <w:r w:rsidRPr="001667DB">
        <w:rPr>
          <w:rFonts w:ascii="Times New Roman" w:hAnsi="Times New Roman"/>
          <w:color w:val="000000" w:themeColor="text1"/>
          <w:sz w:val="22"/>
          <w:szCs w:val="22"/>
        </w:rPr>
        <w:t>ST D-M-00.00.00 „Wymagania ogólne” [1], pkt 1.4</w:t>
      </w:r>
    </w:p>
    <w:p w14:paraId="45F352A8" w14:textId="77777777" w:rsidR="00955A27" w:rsidRPr="001667DB" w:rsidRDefault="00955A27" w:rsidP="00955A27">
      <w:pPr>
        <w:pStyle w:val="Default"/>
        <w:spacing w:after="120" w:line="360" w:lineRule="auto"/>
        <w:jc w:val="both"/>
        <w:rPr>
          <w:rFonts w:ascii="Times New Roman" w:hAnsi="Times New Roman" w:cs="Times New Roman"/>
          <w:b/>
          <w:color w:val="000000" w:themeColor="text1"/>
          <w:sz w:val="22"/>
          <w:szCs w:val="22"/>
        </w:rPr>
      </w:pPr>
      <w:r w:rsidRPr="001667DB">
        <w:rPr>
          <w:rFonts w:ascii="Times New Roman" w:hAnsi="Times New Roman" w:cs="Times New Roman"/>
          <w:b/>
          <w:color w:val="000000" w:themeColor="text1"/>
          <w:sz w:val="22"/>
          <w:szCs w:val="22"/>
        </w:rPr>
        <w:t xml:space="preserve">1.4.21. </w:t>
      </w:r>
      <w:r w:rsidRPr="001667DB">
        <w:rPr>
          <w:rFonts w:ascii="Times New Roman" w:hAnsi="Times New Roman" w:cs="Times New Roman"/>
          <w:color w:val="000000" w:themeColor="text1"/>
          <w:sz w:val="22"/>
          <w:szCs w:val="22"/>
        </w:rPr>
        <w:t>Geosyntetyk – płaski materiał o postaci ciągłej, wytwarzany z tworzyw sztucznych stosowany w kontakcie z gruntem lub kruszywem.</w:t>
      </w:r>
    </w:p>
    <w:p w14:paraId="22B6C123"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1.4.22. </w:t>
      </w:r>
      <w:r w:rsidRPr="001667DB">
        <w:rPr>
          <w:rFonts w:ascii="Times New Roman" w:hAnsi="Times New Roman" w:cs="Times New Roman"/>
          <w:color w:val="000000" w:themeColor="text1"/>
          <w:sz w:val="22"/>
          <w:szCs w:val="22"/>
        </w:rPr>
        <w:t>Geosiatka ekstrudowana</w:t>
      </w:r>
      <w:r w:rsidRPr="001667DB">
        <w:rPr>
          <w:rFonts w:ascii="Times New Roman" w:hAnsi="Times New Roman" w:cs="Times New Roman"/>
          <w:b/>
          <w:color w:val="000000" w:themeColor="text1"/>
          <w:sz w:val="22"/>
          <w:szCs w:val="22"/>
        </w:rPr>
        <w:t xml:space="preserve"> </w:t>
      </w:r>
      <w:r w:rsidRPr="001667DB">
        <w:rPr>
          <w:rFonts w:ascii="Times New Roman" w:hAnsi="Times New Roman" w:cs="Times New Roman"/>
          <w:color w:val="000000" w:themeColor="text1"/>
          <w:sz w:val="22"/>
          <w:szCs w:val="22"/>
        </w:rPr>
        <w:t>– dwuosiowa płaska struktura w postaci siatki, z otworami o kształcie kwadratu lub prostokąta znacznie większymi niż elementy składowe, i żebrami połączonymi w węzłach w procesie ekstruzji. Wiodące parametry opisujące geosiatkę to wytrzymałość na rozciąganie i odkształcenie przy zerwaniu.</w:t>
      </w:r>
    </w:p>
    <w:p w14:paraId="581C27D7"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1.4.23. </w:t>
      </w:r>
      <w:r w:rsidRPr="001667DB">
        <w:rPr>
          <w:rFonts w:ascii="Times New Roman" w:hAnsi="Times New Roman" w:cs="Times New Roman"/>
          <w:color w:val="000000" w:themeColor="text1"/>
          <w:sz w:val="22"/>
          <w:szCs w:val="22"/>
        </w:rPr>
        <w:t>Geosiatka zgrzewana</w:t>
      </w:r>
      <w:r w:rsidRPr="001667DB">
        <w:rPr>
          <w:rFonts w:ascii="Times New Roman" w:hAnsi="Times New Roman" w:cs="Times New Roman"/>
          <w:b/>
          <w:color w:val="000000" w:themeColor="text1"/>
          <w:sz w:val="22"/>
          <w:szCs w:val="22"/>
        </w:rPr>
        <w:t xml:space="preserve"> </w:t>
      </w:r>
      <w:r w:rsidRPr="001667DB">
        <w:rPr>
          <w:rFonts w:ascii="Times New Roman" w:hAnsi="Times New Roman" w:cs="Times New Roman"/>
          <w:color w:val="000000" w:themeColor="text1"/>
          <w:sz w:val="22"/>
          <w:szCs w:val="22"/>
        </w:rPr>
        <w:t>– dwuosiowa płaska struktura w postaci siatki, z otworami o kształcie kwadratu lub prostokąta znacznie większymi niż elementy składowe, i żebrami połączonymi w węzłach w procesie zgrzewania lub spawania. Wiodące parametry opisujące geosiatkę to wytrzymałość na rozciąganie i odkształcenie przy zerwaniu.</w:t>
      </w:r>
    </w:p>
    <w:p w14:paraId="4B3151ED"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1.4.24. </w:t>
      </w:r>
      <w:r w:rsidRPr="001667DB">
        <w:rPr>
          <w:rFonts w:ascii="Times New Roman" w:hAnsi="Times New Roman" w:cs="Times New Roman"/>
          <w:color w:val="000000" w:themeColor="text1"/>
          <w:sz w:val="22"/>
          <w:szCs w:val="22"/>
        </w:rPr>
        <w:t>Geosiatka przeplatana</w:t>
      </w:r>
      <w:r w:rsidRPr="001667DB">
        <w:rPr>
          <w:rFonts w:ascii="Times New Roman" w:hAnsi="Times New Roman" w:cs="Times New Roman"/>
          <w:b/>
          <w:color w:val="000000" w:themeColor="text1"/>
          <w:sz w:val="22"/>
          <w:szCs w:val="22"/>
        </w:rPr>
        <w:t xml:space="preserve"> </w:t>
      </w:r>
      <w:r w:rsidRPr="001667DB">
        <w:rPr>
          <w:rFonts w:ascii="Times New Roman" w:hAnsi="Times New Roman" w:cs="Times New Roman"/>
          <w:color w:val="000000" w:themeColor="text1"/>
          <w:sz w:val="22"/>
          <w:szCs w:val="22"/>
        </w:rPr>
        <w:t>– dwuosiowa płaska struktura w postaci siatki, z otworami o kształcie kwadratu lub prostokąta znacznie większymi niż elementy składowe, i żebrami połączonymi w węzłach w procesie przeplatania. Wiodące parametry opisujące geosiatkę to wytrzymałość na rozciąganie i odkształcenie przy zerwaniu.</w:t>
      </w:r>
    </w:p>
    <w:p w14:paraId="3E20BD60"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1.4.25. </w:t>
      </w:r>
      <w:r w:rsidRPr="001667DB">
        <w:rPr>
          <w:rFonts w:ascii="Times New Roman" w:hAnsi="Times New Roman" w:cs="Times New Roman"/>
          <w:color w:val="000000" w:themeColor="text1"/>
          <w:sz w:val="22"/>
          <w:szCs w:val="22"/>
        </w:rPr>
        <w:t>Georuszt dwuosiowy</w:t>
      </w:r>
      <w:r w:rsidRPr="001667DB">
        <w:rPr>
          <w:rFonts w:ascii="Times New Roman" w:hAnsi="Times New Roman" w:cs="Times New Roman"/>
          <w:b/>
          <w:color w:val="000000" w:themeColor="text1"/>
          <w:sz w:val="22"/>
          <w:szCs w:val="22"/>
        </w:rPr>
        <w:t xml:space="preserve"> </w:t>
      </w:r>
      <w:r w:rsidRPr="001667DB">
        <w:rPr>
          <w:rFonts w:ascii="Times New Roman" w:hAnsi="Times New Roman" w:cs="Times New Roman"/>
          <w:color w:val="000000" w:themeColor="text1"/>
          <w:sz w:val="22"/>
          <w:szCs w:val="22"/>
        </w:rPr>
        <w:t>– płaska struktura w postaci rusztu, z otworami o kształcie kwadratu lub prostokąta znacznie większymi niż elementy składowe, o strukturze powstałej w wyniku rozciągania w dwóch kierunkach w podwyższonej temperaturze perforowanej taśmy polimeru, bez połączeń w węzłach w formie plecionej, zgrzewanej czy ekstrudowanej. Wiodące parametry opisujące Georuszt dwuosiowy to wytrzymałość na rozciąganie i odkształcenie przy zerwaniu.</w:t>
      </w:r>
    </w:p>
    <w:p w14:paraId="090DE245" w14:textId="77777777" w:rsidR="00955A27" w:rsidRPr="001667DB" w:rsidRDefault="00955A27" w:rsidP="00955A27">
      <w:pPr>
        <w:pStyle w:val="Default"/>
        <w:spacing w:after="120" w:line="360" w:lineRule="auto"/>
        <w:jc w:val="both"/>
        <w:rPr>
          <w:rFonts w:ascii="Times New Roman" w:hAnsi="Times New Roman" w:cs="Times New Roman"/>
          <w:b/>
          <w:bCs/>
          <w:color w:val="000000" w:themeColor="text1"/>
          <w:sz w:val="22"/>
          <w:szCs w:val="22"/>
        </w:rPr>
      </w:pPr>
      <w:r w:rsidRPr="001667DB">
        <w:rPr>
          <w:rFonts w:ascii="Times New Roman" w:hAnsi="Times New Roman" w:cs="Times New Roman"/>
          <w:b/>
          <w:color w:val="000000" w:themeColor="text1"/>
          <w:sz w:val="22"/>
          <w:szCs w:val="22"/>
        </w:rPr>
        <w:t xml:space="preserve">1.4.26. </w:t>
      </w:r>
      <w:r w:rsidRPr="001667DB">
        <w:rPr>
          <w:rFonts w:ascii="Times New Roman" w:hAnsi="Times New Roman" w:cs="Times New Roman"/>
          <w:color w:val="000000" w:themeColor="text1"/>
          <w:sz w:val="22"/>
          <w:szCs w:val="22"/>
        </w:rPr>
        <w:t>Georuszt trójosiowy(heksagonalny)</w:t>
      </w:r>
      <w:r w:rsidRPr="001667DB">
        <w:rPr>
          <w:rFonts w:ascii="Times New Roman" w:hAnsi="Times New Roman" w:cs="Times New Roman"/>
          <w:b/>
          <w:color w:val="000000" w:themeColor="text1"/>
          <w:sz w:val="22"/>
          <w:szCs w:val="22"/>
        </w:rPr>
        <w:t xml:space="preserve"> </w:t>
      </w:r>
      <w:r w:rsidRPr="001667DB">
        <w:rPr>
          <w:rFonts w:ascii="Times New Roman" w:hAnsi="Times New Roman" w:cs="Times New Roman"/>
          <w:color w:val="000000" w:themeColor="text1"/>
          <w:sz w:val="22"/>
          <w:szCs w:val="22"/>
        </w:rPr>
        <w:t xml:space="preserve">– płaska struktura w postaci rusztu, z otworami o kształcie trójkąta równobocznego, tworzącymi układ sześciokątów foremnych, o strukturze powstałej w wyniku rozciągania w trzech kierunkach w podwyższonej temperaturze perforowanej taśmy polimeru, bez </w:t>
      </w:r>
      <w:r w:rsidRPr="001667DB">
        <w:rPr>
          <w:rFonts w:ascii="Times New Roman" w:hAnsi="Times New Roman" w:cs="Times New Roman"/>
          <w:color w:val="000000" w:themeColor="text1"/>
          <w:sz w:val="22"/>
          <w:szCs w:val="22"/>
        </w:rPr>
        <w:lastRenderedPageBreak/>
        <w:t>połączeń w węzłach w formie plecionej, zgrzewanej czy ekstrudowanej. Wiodące parametry opisujące georuszt to sztywność radialna i współczynnik izotropii sztywności.</w:t>
      </w:r>
    </w:p>
    <w:p w14:paraId="74AE3519"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
          <w:bCs/>
          <w:color w:val="000000" w:themeColor="text1"/>
          <w:sz w:val="22"/>
          <w:szCs w:val="22"/>
        </w:rPr>
        <w:t xml:space="preserve">1.4.27. </w:t>
      </w:r>
      <w:r w:rsidRPr="001667DB">
        <w:rPr>
          <w:rFonts w:ascii="Times New Roman" w:hAnsi="Times New Roman" w:cs="Times New Roman"/>
          <w:bCs/>
          <w:color w:val="000000" w:themeColor="text1"/>
          <w:sz w:val="22"/>
          <w:szCs w:val="22"/>
        </w:rPr>
        <w:t>Geotkanina separacyjna (rozdzielająca)</w:t>
      </w:r>
      <w:r w:rsidRPr="001667DB">
        <w:rPr>
          <w:rFonts w:ascii="Times New Roman" w:hAnsi="Times New Roman" w:cs="Times New Roman"/>
          <w:b/>
          <w:bCs/>
          <w:color w:val="000000" w:themeColor="text1"/>
          <w:sz w:val="22"/>
          <w:szCs w:val="22"/>
        </w:rPr>
        <w:t xml:space="preserve"> </w:t>
      </w:r>
      <w:r w:rsidRPr="001667DB">
        <w:rPr>
          <w:rFonts w:ascii="Times New Roman" w:hAnsi="Times New Roman" w:cs="Times New Roman"/>
          <w:bCs/>
          <w:color w:val="000000" w:themeColor="text1"/>
          <w:sz w:val="22"/>
          <w:szCs w:val="22"/>
        </w:rPr>
        <w:t>– materiał geotekstylny, w którym można wyodrębnić wątek oraz osnowę, powstały z przeplecenia ciągłych tasiemek z polimeru.</w:t>
      </w:r>
    </w:p>
    <w:p w14:paraId="5A37FD96"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bCs/>
          <w:color w:val="000000" w:themeColor="text1"/>
          <w:sz w:val="22"/>
          <w:szCs w:val="22"/>
        </w:rPr>
        <w:t xml:space="preserve">1.4.28. </w:t>
      </w:r>
      <w:r w:rsidRPr="001667DB">
        <w:rPr>
          <w:rFonts w:ascii="Times New Roman" w:hAnsi="Times New Roman" w:cs="Times New Roman"/>
          <w:bCs/>
          <w:color w:val="000000" w:themeColor="text1"/>
          <w:sz w:val="22"/>
          <w:szCs w:val="22"/>
        </w:rPr>
        <w:t>Geowłóknina separacyjna (rozdzielająca)</w:t>
      </w:r>
      <w:r w:rsidRPr="001667DB">
        <w:rPr>
          <w:rFonts w:ascii="Times New Roman" w:hAnsi="Times New Roman" w:cs="Times New Roman"/>
          <w:b/>
          <w:bCs/>
          <w:color w:val="000000" w:themeColor="text1"/>
          <w:sz w:val="22"/>
          <w:szCs w:val="22"/>
        </w:rPr>
        <w:t xml:space="preserve"> </w:t>
      </w:r>
      <w:r w:rsidRPr="001667DB">
        <w:rPr>
          <w:rFonts w:ascii="Times New Roman" w:hAnsi="Times New Roman" w:cs="Times New Roman"/>
          <w:bCs/>
          <w:color w:val="000000" w:themeColor="text1"/>
          <w:sz w:val="22"/>
          <w:szCs w:val="22"/>
        </w:rPr>
        <w:t xml:space="preserve">– </w:t>
      </w:r>
      <w:r w:rsidRPr="001667DB">
        <w:rPr>
          <w:rFonts w:ascii="Times New Roman" w:hAnsi="Times New Roman" w:cs="Times New Roman"/>
          <w:color w:val="000000" w:themeColor="text1"/>
          <w:sz w:val="22"/>
          <w:szCs w:val="22"/>
        </w:rPr>
        <w:t xml:space="preserve">materiał geotekstylny, wykonany z włókien polimerowych połączonych mechanicznie - w wyniku igłowania (lub przeszywania) lub termicznie w wyniku </w:t>
      </w:r>
      <w:hyperlink r:id="rId20" w:tooltip="Zgrzewanie" w:history="1">
        <w:r w:rsidRPr="001667DB">
          <w:rPr>
            <w:rFonts w:ascii="Times New Roman" w:hAnsi="Times New Roman" w:cs="Times New Roman"/>
            <w:color w:val="000000" w:themeColor="text1"/>
            <w:sz w:val="22"/>
            <w:szCs w:val="22"/>
          </w:rPr>
          <w:t>zgrzewania</w:t>
        </w:r>
      </w:hyperlink>
      <w:r w:rsidRPr="001667DB">
        <w:rPr>
          <w:rFonts w:ascii="Times New Roman" w:hAnsi="Times New Roman" w:cs="Times New Roman"/>
          <w:color w:val="000000" w:themeColor="text1"/>
          <w:sz w:val="22"/>
          <w:szCs w:val="22"/>
        </w:rPr>
        <w:t>.</w:t>
      </w:r>
    </w:p>
    <w:p w14:paraId="310846EC"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1.4.29. </w:t>
      </w:r>
      <w:r w:rsidRPr="001667DB">
        <w:rPr>
          <w:rFonts w:ascii="Times New Roman" w:hAnsi="Times New Roman" w:cs="Times New Roman"/>
          <w:color w:val="000000" w:themeColor="text1"/>
          <w:sz w:val="22"/>
          <w:szCs w:val="22"/>
        </w:rPr>
        <w:t>Funkcja stabilizacyjna – wykorzystanie georusztu trójosiowego (heksagonalnego) do ograniczenia możliwości przemieszczania się ziaren zaklinowanych w jego oczkach. Skuteczność stabilizacji związana jest ze sztywnością georusztu w płaszczyźnie kontaktu z ziarnami kruszywa. Istotne parametry georusztu trójosiowego pełniącego funkcję stabilizacyjną to sztywność radialna i współczynnik izotropii sztywności.</w:t>
      </w:r>
    </w:p>
    <w:p w14:paraId="2595A700" w14:textId="77777777" w:rsidR="00955A27" w:rsidRPr="001667DB" w:rsidRDefault="00955A27" w:rsidP="00955A27">
      <w:pPr>
        <w:pStyle w:val="Default"/>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1.4.30. </w:t>
      </w:r>
      <w:r w:rsidRPr="001667DB">
        <w:rPr>
          <w:rFonts w:ascii="Times New Roman" w:hAnsi="Times New Roman" w:cs="Times New Roman"/>
          <w:color w:val="000000" w:themeColor="text1"/>
          <w:sz w:val="22"/>
          <w:szCs w:val="22"/>
        </w:rPr>
        <w:t>Funkcja zbrojeniowa – wykorzystanie geosyntetyku do nadania warstwie gruntu będącej z nim w interakcji wytrzymałości na rozciąganie. Interakcja z gruntem może się odbywać poprzez przenikanie ziaren lub poprzez mobilizację sił tarcia i zależy od indywidualnych właściwości geosyntetyku. Istotne parametry geosyntetyku pełniącego funkcję zbrojeniową to wytrzymałość na rozciąganie i odkształcenie przy zerwaniu.</w:t>
      </w:r>
    </w:p>
    <w:p w14:paraId="7934679D" w14:textId="77777777" w:rsidR="00955A27" w:rsidRPr="001667DB" w:rsidDel="001608CA"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
          <w:bCs/>
          <w:color w:val="000000" w:themeColor="text1"/>
          <w:sz w:val="22"/>
          <w:szCs w:val="22"/>
        </w:rPr>
        <w:t xml:space="preserve">1.4.31 </w:t>
      </w:r>
      <w:r w:rsidRPr="001667DB">
        <w:rPr>
          <w:rFonts w:ascii="Times New Roman" w:hAnsi="Times New Roman" w:cs="Times New Roman"/>
          <w:bCs/>
          <w:color w:val="000000" w:themeColor="text1"/>
          <w:sz w:val="22"/>
          <w:szCs w:val="22"/>
        </w:rPr>
        <w:t xml:space="preserve">Funkcja separacyjna (rozdzielająca) – wykorzystanie geotkaniny do odseparowania od siebie dwóch warstw różniących się od siebie uziarnieniem. Funkcja separacyjna obejmuje zarówno zapobieganie migracji drobnych cząstek przenoszonych w wyniku przepływu wody (np. zmiana poziomu wód gruntowych) jak i w wyniku oddziaływań dynamicznych (np. pompowanie drobnych frakcji w wyniku cyklicznych oddziaływań dynamicznych od ruchu). </w:t>
      </w:r>
    </w:p>
    <w:p w14:paraId="6A77F036"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p>
    <w:p w14:paraId="16474354"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1.5. Ogólne wymagania dotyczące robót</w:t>
      </w:r>
    </w:p>
    <w:p w14:paraId="46EE9CB8"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ab/>
      </w:r>
      <w:r w:rsidRPr="001667DB">
        <w:rPr>
          <w:rFonts w:ascii="Times New Roman" w:hAnsi="Times New Roman"/>
          <w:color w:val="000000" w:themeColor="text1"/>
          <w:sz w:val="22"/>
          <w:szCs w:val="22"/>
        </w:rPr>
        <w:t>Ogólne wymagania dotyczące robót podano w ST D-00.00.00 „Wymagania ogólne” [1], pkt 1.5.</w:t>
      </w:r>
    </w:p>
    <w:p w14:paraId="4AFF2951"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p>
    <w:p w14:paraId="39E0E689"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56" w:name="_Toc348096807"/>
      <w:r w:rsidRPr="001667DB">
        <w:rPr>
          <w:color w:val="000000" w:themeColor="text1"/>
          <w:sz w:val="22"/>
          <w:szCs w:val="22"/>
        </w:rPr>
        <w:t>2. MATERIAŁY</w:t>
      </w:r>
      <w:bookmarkEnd w:id="356"/>
      <w:r w:rsidRPr="001667DB">
        <w:rPr>
          <w:color w:val="000000" w:themeColor="text1"/>
          <w:sz w:val="22"/>
          <w:szCs w:val="22"/>
        </w:rPr>
        <w:t xml:space="preserve"> </w:t>
      </w:r>
    </w:p>
    <w:p w14:paraId="03F8F502"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2.1. Ogólne wymagania dotyczące materiałów</w:t>
      </w:r>
    </w:p>
    <w:p w14:paraId="00DBFC09"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ab/>
      </w:r>
      <w:r w:rsidRPr="001667DB">
        <w:rPr>
          <w:rFonts w:ascii="Times New Roman" w:hAnsi="Times New Roman"/>
          <w:color w:val="000000" w:themeColor="text1"/>
          <w:sz w:val="22"/>
          <w:szCs w:val="22"/>
        </w:rPr>
        <w:t>Ogólne wymagania dotyczące materiałów, ich pozyskiwania i składowania, podano w ST D-00.00.00 „Wymagania ogólne” [1], pkt 2.</w:t>
      </w:r>
    </w:p>
    <w:p w14:paraId="1260A27D"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2.2. Materiały do wykonania robót</w:t>
      </w:r>
    </w:p>
    <w:p w14:paraId="2046584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2.2.1. </w:t>
      </w:r>
      <w:r w:rsidRPr="001667DB">
        <w:rPr>
          <w:rFonts w:ascii="Times New Roman" w:hAnsi="Times New Roman" w:cs="Times New Roman"/>
          <w:color w:val="000000" w:themeColor="text1"/>
        </w:rPr>
        <w:t xml:space="preserve"> Zgodność materiałów z dokumentacją projektową </w:t>
      </w:r>
    </w:p>
    <w:p w14:paraId="45B44F2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wykonania robót powinny być zgodne z ustaleniami dokumentacji projektowej lub ST.</w:t>
      </w:r>
    </w:p>
    <w:p w14:paraId="314C65D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2.2.2. </w:t>
      </w:r>
      <w:r w:rsidRPr="001667DB">
        <w:rPr>
          <w:rFonts w:ascii="Times New Roman" w:hAnsi="Times New Roman" w:cs="Times New Roman"/>
          <w:color w:val="000000" w:themeColor="text1"/>
        </w:rPr>
        <w:t>Materiały wchodzące w skład mieszanki</w:t>
      </w:r>
    </w:p>
    <w:p w14:paraId="5AEBB7C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t>Materiałami stosowanymi do wytwarzania mieszanek z kruszywa niezwiązanego są:</w:t>
      </w:r>
    </w:p>
    <w:p w14:paraId="1FF642DC" w14:textId="77777777" w:rsidR="00955A27" w:rsidRPr="001667DB" w:rsidRDefault="00955A27" w:rsidP="00904E6C">
      <w:pPr>
        <w:pStyle w:val="Bezodstpw"/>
        <w:numPr>
          <w:ilvl w:val="0"/>
          <w:numId w:val="90"/>
        </w:numPr>
        <w:suppressAutoHyphens w:val="0"/>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w:t>
      </w:r>
    </w:p>
    <w:p w14:paraId="456FA52C" w14:textId="77777777" w:rsidR="00955A27" w:rsidRPr="001667DB" w:rsidRDefault="00955A27" w:rsidP="00904E6C">
      <w:pPr>
        <w:pStyle w:val="Bezodstpw"/>
        <w:numPr>
          <w:ilvl w:val="0"/>
          <w:numId w:val="90"/>
        </w:numPr>
        <w:suppressAutoHyphens w:val="0"/>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woda do zraszania kruszywa.</w:t>
      </w:r>
    </w:p>
    <w:p w14:paraId="67206C1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2.2.3</w:t>
      </w:r>
      <w:r w:rsidRPr="001667DB">
        <w:rPr>
          <w:rFonts w:ascii="Times New Roman" w:hAnsi="Times New Roman" w:cs="Times New Roman"/>
          <w:color w:val="000000" w:themeColor="text1"/>
          <w:sz w:val="22"/>
          <w:szCs w:val="22"/>
        </w:rPr>
        <w:t>. Kruszywa</w:t>
      </w:r>
    </w:p>
    <w:p w14:paraId="61E07A49" w14:textId="77777777" w:rsidR="00955A27" w:rsidRPr="001667DB" w:rsidRDefault="00955A27" w:rsidP="00955A27">
      <w:pPr>
        <w:tabs>
          <w:tab w:val="left" w:pos="60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mieszanek można stosować następujące rodzaje kruszyw:</w:t>
      </w:r>
    </w:p>
    <w:p w14:paraId="7BC035FB"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naturalne lub sztuczne,</w:t>
      </w:r>
    </w:p>
    <w:p w14:paraId="17E3DADE"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z recyklingu,</w:t>
      </w:r>
    </w:p>
    <w:p w14:paraId="1B5033B8"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połączenie kruszyw wymienionych w punktach a) i b) z określeniem proporcji kruszyw z a) i b)                                   z dokładnością ± 5% m/m.</w:t>
      </w:r>
    </w:p>
    <w:p w14:paraId="6EDCCEBE" w14:textId="77777777" w:rsidR="00955A27" w:rsidRPr="001667DB" w:rsidRDefault="00955A27" w:rsidP="00955A27">
      <w:pPr>
        <w:spacing w:after="120" w:line="360" w:lineRule="auto"/>
        <w:ind w:firstLine="600"/>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wobec kruszywa do warstwy podłoża ulepszonego przedstawia tablica 1.</w:t>
      </w:r>
    </w:p>
    <w:p w14:paraId="27F43201" w14:textId="77777777" w:rsidR="00955A27" w:rsidRPr="001667DB" w:rsidRDefault="00955A27" w:rsidP="00955A27">
      <w:pPr>
        <w:spacing w:after="120" w:line="360" w:lineRule="auto"/>
        <w:ind w:firstLine="600"/>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o górnym wymiarze ziaren (D) większym niż 80 mm nie są objęte normą</w:t>
      </w:r>
      <w:r w:rsidR="00C73A21">
        <w:rPr>
          <w:rFonts w:ascii="Times New Roman" w:hAnsi="Times New Roman" w:cs="Times New Roman"/>
          <w:color w:val="000000" w:themeColor="text1"/>
        </w:rPr>
        <w:t xml:space="preserve"> PN-EN 13285 [20] </w:t>
      </w:r>
      <w:r w:rsidRPr="001667DB">
        <w:rPr>
          <w:rFonts w:ascii="Times New Roman" w:hAnsi="Times New Roman" w:cs="Times New Roman"/>
          <w:color w:val="000000" w:themeColor="text1"/>
        </w:rPr>
        <w:t>i niniejszą ST.</w:t>
      </w:r>
    </w:p>
    <w:p w14:paraId="5E2F2841" w14:textId="77777777" w:rsidR="00955A27" w:rsidRPr="001667DB" w:rsidRDefault="00955A27" w:rsidP="00955A27">
      <w:pPr>
        <w:pStyle w:val="Bezodstpw"/>
        <w:spacing w:after="120" w:line="360" w:lineRule="auto"/>
        <w:ind w:left="1200" w:hanging="120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Tablica 1. Wymagania według WT-4 [24] i PN-EN 13242 [19] wobec kruszyw do mieszanek niezwiązanych w warstwie podbudowy pomocniczej </w:t>
      </w:r>
    </w:p>
    <w:p w14:paraId="522821E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Skróty użyte w tablicy: Kat. – kategoria właściwości,  Dekl – Deklarowana, wsk. – wskaźnik, wsp. – współczynnik, roz. -rozdział</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851"/>
        <w:gridCol w:w="3969"/>
      </w:tblGrid>
      <w:tr w:rsidR="00955A27" w:rsidRPr="001667DB" w14:paraId="73F4D862" w14:textId="77777777" w:rsidTr="001B4B8F">
        <w:tc>
          <w:tcPr>
            <w:tcW w:w="3085" w:type="dxa"/>
            <w:vMerge w:val="restart"/>
            <w:vAlign w:val="center"/>
          </w:tcPr>
          <w:p w14:paraId="68AA528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Właściwość</w:t>
            </w:r>
          </w:p>
          <w:p w14:paraId="692D895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kruszywa</w:t>
            </w:r>
          </w:p>
        </w:tc>
        <w:tc>
          <w:tcPr>
            <w:tcW w:w="992" w:type="dxa"/>
            <w:vMerge w:val="restart"/>
            <w:vAlign w:val="center"/>
          </w:tcPr>
          <w:p w14:paraId="12FACF8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Metoda</w:t>
            </w:r>
          </w:p>
          <w:p w14:paraId="3AF96B9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badania</w:t>
            </w:r>
          </w:p>
          <w:p w14:paraId="0DA0E35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w:t>
            </w:r>
          </w:p>
        </w:tc>
        <w:tc>
          <w:tcPr>
            <w:tcW w:w="4820" w:type="dxa"/>
            <w:gridSpan w:val="2"/>
          </w:tcPr>
          <w:p w14:paraId="703D1FA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kruszywa do mieszanek niezwiązanych, przeznaczonych do zastosowania w warstwie podbudowy pomocniczej pod nawierzchnią drogi obciążonej ruchem  kategorii KR1 ÷ KR6</w:t>
            </w:r>
          </w:p>
        </w:tc>
      </w:tr>
      <w:tr w:rsidR="00955A27" w:rsidRPr="001667DB" w14:paraId="65645077" w14:textId="77777777" w:rsidTr="001B4B8F">
        <w:trPr>
          <w:trHeight w:val="476"/>
        </w:trPr>
        <w:tc>
          <w:tcPr>
            <w:tcW w:w="3085" w:type="dxa"/>
            <w:vMerge/>
          </w:tcPr>
          <w:p w14:paraId="131E0BC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992" w:type="dxa"/>
            <w:vMerge/>
          </w:tcPr>
          <w:p w14:paraId="02B6CBF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851" w:type="dxa"/>
            <w:vAlign w:val="center"/>
          </w:tcPr>
          <w:p w14:paraId="39BB106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Punkt</w:t>
            </w:r>
          </w:p>
          <w:p w14:paraId="587030A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6308731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13242</w:t>
            </w:r>
          </w:p>
        </w:tc>
        <w:tc>
          <w:tcPr>
            <w:tcW w:w="3969" w:type="dxa"/>
            <w:vAlign w:val="center"/>
          </w:tcPr>
          <w:p w14:paraId="5633A75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w:t>
            </w:r>
          </w:p>
          <w:p w14:paraId="16A8D0F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5D2F4FCB" w14:textId="77777777" w:rsidTr="001B4B8F">
        <w:tc>
          <w:tcPr>
            <w:tcW w:w="3085" w:type="dxa"/>
          </w:tcPr>
          <w:p w14:paraId="546FD7C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Zestaw sit #</w:t>
            </w:r>
          </w:p>
        </w:tc>
        <w:tc>
          <w:tcPr>
            <w:tcW w:w="992" w:type="dxa"/>
          </w:tcPr>
          <w:p w14:paraId="61B67C8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851" w:type="dxa"/>
          </w:tcPr>
          <w:p w14:paraId="30D45BE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4.1-4.2</w:t>
            </w:r>
          </w:p>
        </w:tc>
        <w:tc>
          <w:tcPr>
            <w:tcW w:w="3969" w:type="dxa"/>
          </w:tcPr>
          <w:p w14:paraId="5DD769D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0,063; 0,5; 1; 2; 4; 5,6; 8; 11,2; 16; 22,4; 31,5; 45; 63 i 90 mm (zestaw podstawowy plus zestaw 1) </w:t>
            </w:r>
          </w:p>
          <w:p w14:paraId="2C052A2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Wszystkie frakcje dozwolone</w:t>
            </w:r>
          </w:p>
        </w:tc>
      </w:tr>
      <w:tr w:rsidR="00955A27" w:rsidRPr="001667DB" w14:paraId="66D2B16A" w14:textId="77777777" w:rsidTr="001B4B8F">
        <w:tc>
          <w:tcPr>
            <w:tcW w:w="3085" w:type="dxa"/>
          </w:tcPr>
          <w:p w14:paraId="7B1503F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w:t>
            </w:r>
          </w:p>
        </w:tc>
        <w:tc>
          <w:tcPr>
            <w:tcW w:w="992" w:type="dxa"/>
          </w:tcPr>
          <w:p w14:paraId="7046508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548B582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933-1[8]</w:t>
            </w:r>
          </w:p>
          <w:p w14:paraId="00C2A52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851" w:type="dxa"/>
          </w:tcPr>
          <w:p w14:paraId="46472EE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4.3.1</w:t>
            </w:r>
          </w:p>
        </w:tc>
        <w:tc>
          <w:tcPr>
            <w:tcW w:w="3969" w:type="dxa"/>
          </w:tcPr>
          <w:p w14:paraId="33DF03F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 grube: kat. G</w:t>
            </w:r>
            <w:r w:rsidRPr="001667DB">
              <w:rPr>
                <w:rFonts w:ascii="Times New Roman" w:hAnsi="Times New Roman" w:cs="Times New Roman"/>
                <w:color w:val="000000" w:themeColor="text1"/>
                <w:sz w:val="22"/>
                <w:szCs w:val="22"/>
                <w:vertAlign w:val="subscript"/>
              </w:rPr>
              <w:t>C</w:t>
            </w:r>
            <w:r w:rsidRPr="001667DB">
              <w:rPr>
                <w:rFonts w:ascii="Times New Roman" w:hAnsi="Times New Roman" w:cs="Times New Roman"/>
                <w:color w:val="000000" w:themeColor="text1"/>
                <w:sz w:val="22"/>
                <w:szCs w:val="22"/>
              </w:rPr>
              <w:t>85/15,   kruszywo drobne: kat. G</w:t>
            </w:r>
            <w:r w:rsidRPr="001667DB">
              <w:rPr>
                <w:rFonts w:ascii="Times New Roman" w:hAnsi="Times New Roman" w:cs="Times New Roman"/>
                <w:color w:val="000000" w:themeColor="text1"/>
                <w:sz w:val="22"/>
                <w:szCs w:val="22"/>
                <w:vertAlign w:val="subscript"/>
              </w:rPr>
              <w:t>F</w:t>
            </w:r>
            <w:r w:rsidRPr="001667DB">
              <w:rPr>
                <w:rFonts w:ascii="Times New Roman" w:hAnsi="Times New Roman" w:cs="Times New Roman"/>
                <w:color w:val="000000" w:themeColor="text1"/>
                <w:sz w:val="22"/>
                <w:szCs w:val="22"/>
              </w:rPr>
              <w:t>85,   kruszywo o ciągłym uziarnieniu: kat. G</w:t>
            </w:r>
            <w:r w:rsidRPr="001667DB">
              <w:rPr>
                <w:rFonts w:ascii="Times New Roman" w:hAnsi="Times New Roman" w:cs="Times New Roman"/>
                <w:color w:val="000000" w:themeColor="text1"/>
                <w:sz w:val="22"/>
                <w:szCs w:val="22"/>
                <w:vertAlign w:val="subscript"/>
              </w:rPr>
              <w:t>A</w:t>
            </w:r>
            <w:r w:rsidRPr="001667DB">
              <w:rPr>
                <w:rFonts w:ascii="Times New Roman" w:hAnsi="Times New Roman" w:cs="Times New Roman"/>
                <w:color w:val="000000" w:themeColor="text1"/>
                <w:sz w:val="22"/>
                <w:szCs w:val="22"/>
              </w:rPr>
              <w:t xml:space="preserve">85.   </w:t>
            </w:r>
          </w:p>
          <w:p w14:paraId="0DA750C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 mieszanek kruszywa wg rysunków 1÷3</w:t>
            </w:r>
          </w:p>
        </w:tc>
      </w:tr>
      <w:tr w:rsidR="00955A27" w:rsidRPr="001667DB" w14:paraId="3F83D29C" w14:textId="77777777" w:rsidTr="001B4B8F">
        <w:trPr>
          <w:trHeight w:val="433"/>
        </w:trPr>
        <w:tc>
          <w:tcPr>
            <w:tcW w:w="3085" w:type="dxa"/>
          </w:tcPr>
          <w:p w14:paraId="3BED288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Ogólne granice i tolerancje uziarnienia kruszywa grubego na sitach pośrednich</w:t>
            </w:r>
          </w:p>
          <w:p w14:paraId="1438373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992" w:type="dxa"/>
          </w:tcPr>
          <w:p w14:paraId="4BAAAB4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6D7946B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 [8]</w:t>
            </w:r>
          </w:p>
          <w:p w14:paraId="6099B8D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851" w:type="dxa"/>
          </w:tcPr>
          <w:p w14:paraId="0455B18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3969" w:type="dxa"/>
          </w:tcPr>
          <w:p w14:paraId="6689620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GT</w:t>
            </w:r>
            <w:r w:rsidRPr="001667DB">
              <w:rPr>
                <w:rFonts w:ascii="Times New Roman" w:hAnsi="Times New Roman" w:cs="Times New Roman"/>
                <w:color w:val="000000" w:themeColor="text1"/>
                <w:sz w:val="22"/>
                <w:szCs w:val="22"/>
                <w:vertAlign w:val="subscript"/>
              </w:rPr>
              <w:t>C</w:t>
            </w:r>
            <w:r w:rsidRPr="001667DB">
              <w:rPr>
                <w:rFonts w:ascii="Times New Roman" w:hAnsi="Times New Roman" w:cs="Times New Roman"/>
                <w:color w:val="000000" w:themeColor="text1"/>
                <w:sz w:val="22"/>
                <w:szCs w:val="22"/>
              </w:rPr>
              <w:t>NR (tj. brak wymagania)</w:t>
            </w:r>
          </w:p>
        </w:tc>
      </w:tr>
      <w:tr w:rsidR="00955A27" w:rsidRPr="001667DB" w14:paraId="42AA1255" w14:textId="77777777" w:rsidTr="001B4B8F">
        <w:tc>
          <w:tcPr>
            <w:tcW w:w="3085" w:type="dxa"/>
          </w:tcPr>
          <w:p w14:paraId="3F33797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Tolerancje typowego uziarnienia kruszywa drobnego i kruszywa o ciągłym uziarnieniu</w:t>
            </w:r>
            <w:r w:rsidRPr="001667DB">
              <w:rPr>
                <w:rFonts w:ascii="Times New Roman" w:hAnsi="Times New Roman" w:cs="Times New Roman"/>
                <w:color w:val="000000" w:themeColor="text1"/>
                <w:sz w:val="22"/>
                <w:szCs w:val="22"/>
              </w:rPr>
              <w:br/>
            </w:r>
          </w:p>
        </w:tc>
        <w:tc>
          <w:tcPr>
            <w:tcW w:w="992" w:type="dxa"/>
          </w:tcPr>
          <w:p w14:paraId="34C8DA4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186A80C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 [8]</w:t>
            </w:r>
          </w:p>
          <w:p w14:paraId="48DC1C5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851" w:type="dxa"/>
          </w:tcPr>
          <w:p w14:paraId="3F38876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4.3.3</w:t>
            </w:r>
          </w:p>
        </w:tc>
        <w:tc>
          <w:tcPr>
            <w:tcW w:w="3969" w:type="dxa"/>
          </w:tcPr>
          <w:p w14:paraId="76AF6B0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 drobne: kat. GT</w:t>
            </w:r>
            <w:r w:rsidRPr="001667DB">
              <w:rPr>
                <w:rFonts w:ascii="Times New Roman" w:hAnsi="Times New Roman" w:cs="Times New Roman"/>
                <w:color w:val="000000" w:themeColor="text1"/>
                <w:sz w:val="22"/>
                <w:szCs w:val="22"/>
                <w:vertAlign w:val="subscript"/>
              </w:rPr>
              <w:t>F</w:t>
            </w:r>
            <w:r w:rsidRPr="001667DB">
              <w:rPr>
                <w:rFonts w:ascii="Times New Roman" w:hAnsi="Times New Roman" w:cs="Times New Roman"/>
                <w:color w:val="000000" w:themeColor="text1"/>
                <w:sz w:val="22"/>
                <w:szCs w:val="22"/>
              </w:rPr>
              <w:t>NR (tj. brak wymagania), kruszywo o ciągłym uziarnieniu: kat. GT</w:t>
            </w:r>
            <w:r w:rsidRPr="001667DB">
              <w:rPr>
                <w:rFonts w:ascii="Times New Roman" w:hAnsi="Times New Roman" w:cs="Times New Roman"/>
                <w:color w:val="000000" w:themeColor="text1"/>
                <w:sz w:val="22"/>
                <w:szCs w:val="22"/>
                <w:vertAlign w:val="subscript"/>
              </w:rPr>
              <w:t>A</w:t>
            </w:r>
            <w:r w:rsidRPr="001667DB">
              <w:rPr>
                <w:rFonts w:ascii="Times New Roman" w:hAnsi="Times New Roman" w:cs="Times New Roman"/>
                <w:color w:val="000000" w:themeColor="text1"/>
                <w:sz w:val="22"/>
                <w:szCs w:val="22"/>
              </w:rPr>
              <w:t>NR (tj. brak wymagania)</w:t>
            </w:r>
          </w:p>
        </w:tc>
      </w:tr>
      <w:tr w:rsidR="00955A27" w:rsidRPr="001667DB" w14:paraId="2ED2D4C8" w14:textId="77777777" w:rsidTr="001B4B8F">
        <w:trPr>
          <w:trHeight w:val="671"/>
        </w:trPr>
        <w:tc>
          <w:tcPr>
            <w:tcW w:w="3085" w:type="dxa"/>
          </w:tcPr>
          <w:p w14:paraId="16786E4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Kształt kruszywa grubego – maksymalne wartości wskaź</w:t>
            </w:r>
            <w:r w:rsidRPr="001667DB">
              <w:rPr>
                <w:rFonts w:ascii="Times New Roman" w:hAnsi="Times New Roman" w:cs="Times New Roman"/>
                <w:color w:val="000000" w:themeColor="text1"/>
                <w:sz w:val="22"/>
                <w:szCs w:val="22"/>
              </w:rPr>
              <w:softHyphen/>
              <w:t>nika płaskości</w:t>
            </w:r>
          </w:p>
        </w:tc>
        <w:tc>
          <w:tcPr>
            <w:tcW w:w="992" w:type="dxa"/>
          </w:tcPr>
          <w:p w14:paraId="252B3A8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0671821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933-3  [9]</w:t>
            </w:r>
          </w:p>
        </w:tc>
        <w:tc>
          <w:tcPr>
            <w:tcW w:w="851" w:type="dxa"/>
          </w:tcPr>
          <w:p w14:paraId="4B97C06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w:t>
            </w:r>
          </w:p>
        </w:tc>
        <w:tc>
          <w:tcPr>
            <w:tcW w:w="3969" w:type="dxa"/>
          </w:tcPr>
          <w:p w14:paraId="17BC534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FI</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w:t>
            </w:r>
            <w:r w:rsidRPr="001667DB">
              <w:rPr>
                <w:rFonts w:ascii="Times New Roman" w:hAnsi="Times New Roman" w:cs="Times New Roman"/>
                <w:color w:val="000000" w:themeColor="text1"/>
                <w:sz w:val="22"/>
                <w:szCs w:val="22"/>
              </w:rPr>
              <w:softHyphen/>
              <w:t xml:space="preserve">nia) </w:t>
            </w:r>
          </w:p>
        </w:tc>
      </w:tr>
      <w:tr w:rsidR="00955A27" w:rsidRPr="001667DB" w14:paraId="21918F9B" w14:textId="77777777" w:rsidTr="001B4B8F">
        <w:tc>
          <w:tcPr>
            <w:tcW w:w="3085" w:type="dxa"/>
          </w:tcPr>
          <w:p w14:paraId="6939D34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Kształt kruszywa grubego – maksymalne wartości wskaźnika kształtu</w:t>
            </w:r>
          </w:p>
        </w:tc>
        <w:tc>
          <w:tcPr>
            <w:tcW w:w="992" w:type="dxa"/>
          </w:tcPr>
          <w:p w14:paraId="6A6AFD5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2586F04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933-4  [10]</w:t>
            </w:r>
          </w:p>
        </w:tc>
        <w:tc>
          <w:tcPr>
            <w:tcW w:w="851" w:type="dxa"/>
          </w:tcPr>
          <w:p w14:paraId="44BD2B5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w:t>
            </w:r>
          </w:p>
        </w:tc>
        <w:tc>
          <w:tcPr>
            <w:tcW w:w="3969" w:type="dxa"/>
          </w:tcPr>
          <w:p w14:paraId="2835588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SI</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w:t>
            </w:r>
            <w:r w:rsidRPr="001667DB">
              <w:rPr>
                <w:rFonts w:ascii="Times New Roman" w:hAnsi="Times New Roman" w:cs="Times New Roman"/>
                <w:color w:val="000000" w:themeColor="text1"/>
                <w:sz w:val="22"/>
                <w:szCs w:val="22"/>
              </w:rPr>
              <w:softHyphen/>
              <w:t>nia)</w:t>
            </w:r>
          </w:p>
        </w:tc>
      </w:tr>
      <w:tr w:rsidR="00955A27" w:rsidRPr="001667DB" w14:paraId="0770E811" w14:textId="77777777" w:rsidTr="001B4B8F">
        <w:tc>
          <w:tcPr>
            <w:tcW w:w="3085" w:type="dxa"/>
          </w:tcPr>
          <w:p w14:paraId="683EE40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Kategorie procentowych zawartości ziaren o powierzchni przekruszonej lub łamanych oraz ziaren całkowicie za</w:t>
            </w:r>
            <w:r w:rsidRPr="001667DB">
              <w:rPr>
                <w:rFonts w:ascii="Times New Roman" w:hAnsi="Times New Roman" w:cs="Times New Roman"/>
                <w:color w:val="000000" w:themeColor="text1"/>
                <w:sz w:val="22"/>
                <w:szCs w:val="22"/>
              </w:rPr>
              <w:softHyphen/>
              <w:t>okrąglonych w kruszywie grubym</w:t>
            </w:r>
          </w:p>
        </w:tc>
        <w:tc>
          <w:tcPr>
            <w:tcW w:w="992" w:type="dxa"/>
          </w:tcPr>
          <w:p w14:paraId="4FBDEB2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43F238F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933-5 [11]</w:t>
            </w:r>
          </w:p>
        </w:tc>
        <w:tc>
          <w:tcPr>
            <w:tcW w:w="851" w:type="dxa"/>
          </w:tcPr>
          <w:p w14:paraId="3E81203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3969" w:type="dxa"/>
          </w:tcPr>
          <w:p w14:paraId="7ABEDEA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C</w:t>
            </w:r>
            <w:r w:rsidRPr="001667DB">
              <w:rPr>
                <w:rFonts w:ascii="Times New Roman" w:hAnsi="Times New Roman" w:cs="Times New Roman"/>
                <w:color w:val="000000" w:themeColor="text1"/>
                <w:sz w:val="22"/>
                <w:szCs w:val="22"/>
                <w:vertAlign w:val="subscript"/>
              </w:rPr>
              <w:t>NR</w:t>
            </w:r>
            <w:r w:rsidRPr="001667DB">
              <w:rPr>
                <w:rFonts w:ascii="Times New Roman" w:hAnsi="Times New Roman" w:cs="Times New Roman"/>
                <w:color w:val="000000" w:themeColor="text1"/>
                <w:sz w:val="22"/>
                <w:szCs w:val="22"/>
              </w:rPr>
              <w:t xml:space="preserve"> (tj. brak wymagania)</w:t>
            </w:r>
          </w:p>
        </w:tc>
      </w:tr>
      <w:tr w:rsidR="00955A27" w:rsidRPr="001667DB" w14:paraId="7ED9C0FD" w14:textId="77777777" w:rsidTr="001B4B8F">
        <w:tc>
          <w:tcPr>
            <w:tcW w:w="3085" w:type="dxa"/>
          </w:tcPr>
          <w:p w14:paraId="1183929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Zawartość pyłów w kruszywie grubym</w:t>
            </w:r>
            <w:r w:rsidRPr="001667DB">
              <w:rPr>
                <w:rFonts w:ascii="Times New Roman" w:hAnsi="Times New Roman" w:cs="Times New Roman"/>
                <w:color w:val="000000" w:themeColor="text1"/>
                <w:sz w:val="22"/>
                <w:szCs w:val="22"/>
                <w:vertAlign w:val="superscript"/>
              </w:rPr>
              <w:t>*)</w:t>
            </w:r>
          </w:p>
        </w:tc>
        <w:tc>
          <w:tcPr>
            <w:tcW w:w="992" w:type="dxa"/>
          </w:tcPr>
          <w:p w14:paraId="7F9B907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0E01BE0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933-1 [8]</w:t>
            </w:r>
          </w:p>
        </w:tc>
        <w:tc>
          <w:tcPr>
            <w:tcW w:w="851" w:type="dxa"/>
          </w:tcPr>
          <w:p w14:paraId="73E4178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4.6</w:t>
            </w:r>
          </w:p>
        </w:tc>
        <w:tc>
          <w:tcPr>
            <w:tcW w:w="3969" w:type="dxa"/>
          </w:tcPr>
          <w:p w14:paraId="1067F2C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w:t>
            </w:r>
            <w:r w:rsidRPr="001667DB">
              <w:rPr>
                <w:rFonts w:ascii="Times New Roman" w:hAnsi="Times New Roman" w:cs="Times New Roman"/>
                <w:color w:val="000000" w:themeColor="text1"/>
                <w:sz w:val="22"/>
                <w:szCs w:val="22"/>
                <w:vertAlign w:val="subscript"/>
              </w:rPr>
              <w:t>Dekl</w:t>
            </w:r>
            <w:r w:rsidRPr="001667DB">
              <w:rPr>
                <w:rFonts w:ascii="Times New Roman" w:hAnsi="Times New Roman" w:cs="Times New Roman"/>
                <w:color w:val="000000" w:themeColor="text1"/>
                <w:sz w:val="22"/>
                <w:szCs w:val="22"/>
              </w:rPr>
              <w:t xml:space="preserve">  (tj. masa frakcji przechodzącej przez sito 0,063 mm jest &gt; 4)</w:t>
            </w:r>
          </w:p>
        </w:tc>
      </w:tr>
      <w:tr w:rsidR="00955A27" w:rsidRPr="001667DB" w14:paraId="3EC86C17" w14:textId="77777777" w:rsidTr="001B4B8F">
        <w:tc>
          <w:tcPr>
            <w:tcW w:w="3085" w:type="dxa"/>
          </w:tcPr>
          <w:p w14:paraId="02CD9E0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Zawartość pyłów</w:t>
            </w:r>
            <w:r w:rsidRPr="001667DB">
              <w:rPr>
                <w:rFonts w:ascii="Times New Roman" w:hAnsi="Times New Roman" w:cs="Times New Roman"/>
                <w:color w:val="000000" w:themeColor="text1"/>
                <w:sz w:val="22"/>
                <w:szCs w:val="22"/>
                <w:vertAlign w:val="superscript"/>
              </w:rPr>
              <w:t xml:space="preserve">  </w:t>
            </w:r>
            <w:r w:rsidRPr="001667DB">
              <w:rPr>
                <w:rFonts w:ascii="Times New Roman" w:hAnsi="Times New Roman" w:cs="Times New Roman"/>
                <w:color w:val="000000" w:themeColor="text1"/>
                <w:sz w:val="22"/>
                <w:szCs w:val="22"/>
              </w:rPr>
              <w:t xml:space="preserve"> w  kruszywie drob</w:t>
            </w:r>
            <w:r w:rsidRPr="001667DB">
              <w:rPr>
                <w:rFonts w:ascii="Times New Roman" w:hAnsi="Times New Roman" w:cs="Times New Roman"/>
                <w:color w:val="000000" w:themeColor="text1"/>
                <w:sz w:val="22"/>
                <w:szCs w:val="22"/>
              </w:rPr>
              <w:softHyphen/>
              <w:t>nym</w:t>
            </w:r>
            <w:r w:rsidRPr="001667DB">
              <w:rPr>
                <w:rFonts w:ascii="Times New Roman" w:hAnsi="Times New Roman" w:cs="Times New Roman"/>
                <w:color w:val="000000" w:themeColor="text1"/>
                <w:sz w:val="22"/>
                <w:szCs w:val="22"/>
                <w:vertAlign w:val="superscript"/>
              </w:rPr>
              <w:t>*)</w:t>
            </w:r>
          </w:p>
        </w:tc>
        <w:tc>
          <w:tcPr>
            <w:tcW w:w="992" w:type="dxa"/>
          </w:tcPr>
          <w:p w14:paraId="2535212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0246ADF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933-1 [8] </w:t>
            </w:r>
          </w:p>
        </w:tc>
        <w:tc>
          <w:tcPr>
            <w:tcW w:w="851" w:type="dxa"/>
          </w:tcPr>
          <w:p w14:paraId="6C8DB04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4.6</w:t>
            </w:r>
          </w:p>
        </w:tc>
        <w:tc>
          <w:tcPr>
            <w:tcW w:w="3969" w:type="dxa"/>
          </w:tcPr>
          <w:p w14:paraId="12B181A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w:t>
            </w:r>
            <w:r w:rsidRPr="001667DB">
              <w:rPr>
                <w:rFonts w:ascii="Times New Roman" w:hAnsi="Times New Roman" w:cs="Times New Roman"/>
                <w:color w:val="000000" w:themeColor="text1"/>
                <w:sz w:val="22"/>
                <w:szCs w:val="22"/>
                <w:vertAlign w:val="subscript"/>
              </w:rPr>
              <w:t>Dekl</w:t>
            </w:r>
            <w:r w:rsidRPr="001667DB">
              <w:rPr>
                <w:rFonts w:ascii="Times New Roman" w:hAnsi="Times New Roman" w:cs="Times New Roman"/>
                <w:color w:val="000000" w:themeColor="text1"/>
                <w:sz w:val="22"/>
                <w:szCs w:val="22"/>
              </w:rPr>
              <w:t xml:space="preserve">  (tj. masa frakcji przechodzącej przez sito 0,063 mm jest &gt; 22)</w:t>
            </w:r>
          </w:p>
        </w:tc>
      </w:tr>
      <w:tr w:rsidR="00955A27" w:rsidRPr="001667DB" w14:paraId="6E8AD26F" w14:textId="77777777" w:rsidTr="001B4B8F">
        <w:tc>
          <w:tcPr>
            <w:tcW w:w="3085" w:type="dxa"/>
          </w:tcPr>
          <w:p w14:paraId="29E7889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Jakość pyłów</w:t>
            </w:r>
          </w:p>
        </w:tc>
        <w:tc>
          <w:tcPr>
            <w:tcW w:w="992" w:type="dxa"/>
          </w:tcPr>
          <w:p w14:paraId="326F173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851" w:type="dxa"/>
          </w:tcPr>
          <w:p w14:paraId="6AD9779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4.7</w:t>
            </w:r>
          </w:p>
        </w:tc>
        <w:tc>
          <w:tcPr>
            <w:tcW w:w="3969" w:type="dxa"/>
          </w:tcPr>
          <w:p w14:paraId="33CD859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Właściwość niebadana na pojedynczych frakcjach, a tylko w mieszankach wg wymagań dla mieszanek</w:t>
            </w:r>
          </w:p>
        </w:tc>
      </w:tr>
      <w:tr w:rsidR="00955A27" w:rsidRPr="001667DB" w14:paraId="2DA71A88" w14:textId="77777777" w:rsidTr="001B4B8F">
        <w:tc>
          <w:tcPr>
            <w:tcW w:w="3085" w:type="dxa"/>
          </w:tcPr>
          <w:p w14:paraId="5EB7F1B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rozdrabnianie kruszywa grubego</w:t>
            </w:r>
          </w:p>
        </w:tc>
        <w:tc>
          <w:tcPr>
            <w:tcW w:w="992" w:type="dxa"/>
          </w:tcPr>
          <w:p w14:paraId="51C01FC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5290785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1097-2 [13] </w:t>
            </w:r>
          </w:p>
        </w:tc>
        <w:tc>
          <w:tcPr>
            <w:tcW w:w="851" w:type="dxa"/>
          </w:tcPr>
          <w:p w14:paraId="0B64F03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5.2</w:t>
            </w:r>
          </w:p>
        </w:tc>
        <w:tc>
          <w:tcPr>
            <w:tcW w:w="3969" w:type="dxa"/>
          </w:tcPr>
          <w:p w14:paraId="3A60C66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LA</w:t>
            </w:r>
            <w:r w:rsidRPr="001667DB">
              <w:rPr>
                <w:rFonts w:ascii="Times New Roman" w:hAnsi="Times New Roman" w:cs="Times New Roman"/>
                <w:color w:val="000000" w:themeColor="text1"/>
                <w:sz w:val="22"/>
                <w:szCs w:val="22"/>
                <w:vertAlign w:val="subscript"/>
              </w:rPr>
              <w:t>50</w:t>
            </w:r>
            <w:r w:rsidRPr="001667DB">
              <w:rPr>
                <w:rFonts w:ascii="Times New Roman" w:hAnsi="Times New Roman" w:cs="Times New Roman"/>
                <w:color w:val="000000" w:themeColor="text1"/>
                <w:sz w:val="22"/>
                <w:szCs w:val="22"/>
              </w:rPr>
              <w:t xml:space="preserve"> (tj. maksymalna wartość współczynnika Los Angeles ≤ 50)</w:t>
            </w:r>
          </w:p>
        </w:tc>
      </w:tr>
      <w:tr w:rsidR="00955A27" w:rsidRPr="001667DB" w14:paraId="10FE7CDA" w14:textId="77777777" w:rsidTr="001B4B8F">
        <w:tc>
          <w:tcPr>
            <w:tcW w:w="3085" w:type="dxa"/>
          </w:tcPr>
          <w:p w14:paraId="7EB19C1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ścieranie kruszywa grubego</w:t>
            </w:r>
          </w:p>
        </w:tc>
        <w:tc>
          <w:tcPr>
            <w:tcW w:w="992" w:type="dxa"/>
          </w:tcPr>
          <w:p w14:paraId="7EBDD92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54415D7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1097-1 [12] </w:t>
            </w:r>
          </w:p>
        </w:tc>
        <w:tc>
          <w:tcPr>
            <w:tcW w:w="851" w:type="dxa"/>
          </w:tcPr>
          <w:p w14:paraId="6AAAF75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5.3</w:t>
            </w:r>
          </w:p>
        </w:tc>
        <w:tc>
          <w:tcPr>
            <w:tcW w:w="3969" w:type="dxa"/>
          </w:tcPr>
          <w:p w14:paraId="3BDFBA6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M</w:t>
            </w:r>
            <w:r w:rsidRPr="001667DB">
              <w:rPr>
                <w:rFonts w:ascii="Times New Roman" w:hAnsi="Times New Roman" w:cs="Times New Roman"/>
                <w:color w:val="000000" w:themeColor="text1"/>
                <w:sz w:val="22"/>
                <w:szCs w:val="22"/>
                <w:vertAlign w:val="subscript"/>
              </w:rPr>
              <w:t>DE</w:t>
            </w:r>
            <w:r w:rsidRPr="001667DB">
              <w:rPr>
                <w:rFonts w:ascii="Times New Roman" w:hAnsi="Times New Roman" w:cs="Times New Roman"/>
                <w:color w:val="000000" w:themeColor="text1"/>
                <w:sz w:val="22"/>
                <w:szCs w:val="22"/>
              </w:rPr>
              <w:t>Deklarowana (tj. współczynnik mikro-Devala &gt;50))</w:t>
            </w:r>
          </w:p>
        </w:tc>
      </w:tr>
      <w:tr w:rsidR="00955A27" w:rsidRPr="001667DB" w14:paraId="33DC1AFE" w14:textId="77777777" w:rsidTr="001B4B8F">
        <w:tc>
          <w:tcPr>
            <w:tcW w:w="3085" w:type="dxa"/>
          </w:tcPr>
          <w:p w14:paraId="0E08679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Gęstość ziaren</w:t>
            </w:r>
          </w:p>
        </w:tc>
        <w:tc>
          <w:tcPr>
            <w:tcW w:w="992" w:type="dxa"/>
          </w:tcPr>
          <w:p w14:paraId="737B3F7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1097-6, roz. 7, 8 i 9  [14]</w:t>
            </w:r>
          </w:p>
        </w:tc>
        <w:tc>
          <w:tcPr>
            <w:tcW w:w="851" w:type="dxa"/>
          </w:tcPr>
          <w:p w14:paraId="5A3E546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5.4</w:t>
            </w:r>
          </w:p>
        </w:tc>
        <w:tc>
          <w:tcPr>
            <w:tcW w:w="3969" w:type="dxa"/>
          </w:tcPr>
          <w:p w14:paraId="2438D8A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Deklarowana</w:t>
            </w:r>
          </w:p>
        </w:tc>
      </w:tr>
      <w:tr w:rsidR="00955A27" w:rsidRPr="001667DB" w14:paraId="509ACFFC" w14:textId="77777777" w:rsidTr="001B4B8F">
        <w:tc>
          <w:tcPr>
            <w:tcW w:w="3085" w:type="dxa"/>
          </w:tcPr>
          <w:p w14:paraId="1E044F1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Nasiąkliwość</w:t>
            </w:r>
          </w:p>
        </w:tc>
        <w:tc>
          <w:tcPr>
            <w:tcW w:w="992" w:type="dxa"/>
          </w:tcPr>
          <w:p w14:paraId="265A6CB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1097-6, roz. 7, 8 i 9 [14] </w:t>
            </w:r>
          </w:p>
        </w:tc>
        <w:tc>
          <w:tcPr>
            <w:tcW w:w="851" w:type="dxa"/>
          </w:tcPr>
          <w:p w14:paraId="76094FA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5.5 i</w:t>
            </w:r>
          </w:p>
          <w:p w14:paraId="5E422CE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7.3.2</w:t>
            </w:r>
          </w:p>
        </w:tc>
        <w:tc>
          <w:tcPr>
            <w:tcW w:w="3969" w:type="dxa"/>
          </w:tcPr>
          <w:p w14:paraId="2BC0CB5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W</w:t>
            </w:r>
            <w:r w:rsidRPr="001667DB">
              <w:rPr>
                <w:rFonts w:ascii="Times New Roman" w:hAnsi="Times New Roman" w:cs="Times New Roman"/>
                <w:color w:val="000000" w:themeColor="text1"/>
                <w:sz w:val="22"/>
                <w:szCs w:val="22"/>
                <w:vertAlign w:val="subscript"/>
              </w:rPr>
              <w:t>cm</w:t>
            </w:r>
            <w:r w:rsidRPr="001667DB">
              <w:rPr>
                <w:rFonts w:ascii="Times New Roman" w:hAnsi="Times New Roman" w:cs="Times New Roman"/>
                <w:color w:val="000000" w:themeColor="text1"/>
                <w:sz w:val="22"/>
                <w:szCs w:val="22"/>
              </w:rPr>
              <w:t>NR (tj. brak wymagania)</w:t>
            </w:r>
          </w:p>
          <w:p w14:paraId="1E44CDE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WA</w:t>
            </w:r>
            <w:r w:rsidRPr="001667DB">
              <w:rPr>
                <w:rFonts w:ascii="Times New Roman" w:hAnsi="Times New Roman" w:cs="Times New Roman"/>
                <w:color w:val="000000" w:themeColor="text1"/>
                <w:sz w:val="22"/>
                <w:szCs w:val="22"/>
                <w:vertAlign w:val="subscript"/>
              </w:rPr>
              <w:t>24</w:t>
            </w:r>
            <w:r w:rsidRPr="001667DB">
              <w:rPr>
                <w:rFonts w:ascii="Times New Roman" w:hAnsi="Times New Roman" w:cs="Times New Roman"/>
                <w:color w:val="000000" w:themeColor="text1"/>
                <w:sz w:val="22"/>
                <w:szCs w:val="22"/>
              </w:rPr>
              <w:t>2</w:t>
            </w:r>
            <w:r w:rsidRPr="001667DB">
              <w:rPr>
                <w:rFonts w:ascii="Times New Roman" w:hAnsi="Times New Roman" w:cs="Times New Roman"/>
                <w:color w:val="000000" w:themeColor="text1"/>
                <w:sz w:val="22"/>
                <w:szCs w:val="22"/>
                <w:vertAlign w:val="superscript"/>
              </w:rPr>
              <w:t xml:space="preserve">**) </w:t>
            </w:r>
            <w:r w:rsidRPr="001667DB">
              <w:rPr>
                <w:rFonts w:ascii="Times New Roman" w:hAnsi="Times New Roman" w:cs="Times New Roman"/>
                <w:color w:val="000000" w:themeColor="text1"/>
                <w:sz w:val="22"/>
                <w:szCs w:val="22"/>
              </w:rPr>
              <w:t xml:space="preserve"> (tj. maksymalna wartość nasiąkliwości  </w:t>
            </w:r>
            <w:r w:rsidRPr="001667DB">
              <w:rPr>
                <w:rFonts w:ascii="Times New Roman" w:hAnsi="Times New Roman" w:cs="Times New Roman"/>
                <w:color w:val="000000" w:themeColor="text1"/>
                <w:sz w:val="22"/>
                <w:szCs w:val="22"/>
              </w:rPr>
              <w:br/>
              <w:t>≤ 2% masy)</w:t>
            </w:r>
          </w:p>
        </w:tc>
      </w:tr>
      <w:tr w:rsidR="00955A27" w:rsidRPr="001667DB" w14:paraId="03097DC2" w14:textId="77777777" w:rsidTr="001B4B8F">
        <w:tc>
          <w:tcPr>
            <w:tcW w:w="3085" w:type="dxa"/>
          </w:tcPr>
          <w:p w14:paraId="5E29C69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Siarczany rozpuszczalne w kwasie</w:t>
            </w:r>
          </w:p>
        </w:tc>
        <w:tc>
          <w:tcPr>
            <w:tcW w:w="992" w:type="dxa"/>
          </w:tcPr>
          <w:p w14:paraId="03B3A89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1E5711E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1744-1 [17] </w:t>
            </w:r>
          </w:p>
        </w:tc>
        <w:tc>
          <w:tcPr>
            <w:tcW w:w="851" w:type="dxa"/>
          </w:tcPr>
          <w:p w14:paraId="0D579AF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6.2</w:t>
            </w:r>
          </w:p>
        </w:tc>
        <w:tc>
          <w:tcPr>
            <w:tcW w:w="3969" w:type="dxa"/>
          </w:tcPr>
          <w:p w14:paraId="74E10F2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AS</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wymagania)</w:t>
            </w:r>
          </w:p>
          <w:p w14:paraId="791057E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7A67CAE8" w14:textId="77777777" w:rsidTr="001B4B8F">
        <w:tc>
          <w:tcPr>
            <w:tcW w:w="3085" w:type="dxa"/>
          </w:tcPr>
          <w:p w14:paraId="1E2A358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Całkowita zawartość siarki</w:t>
            </w:r>
          </w:p>
        </w:tc>
        <w:tc>
          <w:tcPr>
            <w:tcW w:w="992" w:type="dxa"/>
          </w:tcPr>
          <w:p w14:paraId="54550CE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5DDE0BD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1744-1 [17] </w:t>
            </w:r>
          </w:p>
        </w:tc>
        <w:tc>
          <w:tcPr>
            <w:tcW w:w="851" w:type="dxa"/>
          </w:tcPr>
          <w:p w14:paraId="2A78D08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6.3</w:t>
            </w:r>
          </w:p>
        </w:tc>
        <w:tc>
          <w:tcPr>
            <w:tcW w:w="3969" w:type="dxa"/>
          </w:tcPr>
          <w:p w14:paraId="77E3D4C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w:t>
            </w:r>
            <w:r w:rsidRPr="001667DB">
              <w:rPr>
                <w:rFonts w:ascii="Times New Roman" w:hAnsi="Times New Roman" w:cs="Times New Roman"/>
                <w:color w:val="000000" w:themeColor="text1"/>
                <w:sz w:val="22"/>
                <w:szCs w:val="22"/>
                <w:vertAlign w:val="subscript"/>
              </w:rPr>
              <w:t>NR</w:t>
            </w:r>
            <w:r w:rsidRPr="001667DB">
              <w:rPr>
                <w:rFonts w:ascii="Times New Roman" w:hAnsi="Times New Roman" w:cs="Times New Roman"/>
                <w:color w:val="000000" w:themeColor="text1"/>
                <w:sz w:val="22"/>
                <w:szCs w:val="22"/>
              </w:rPr>
              <w:t xml:space="preserve"> (tj. brak wymagania)</w:t>
            </w:r>
          </w:p>
        </w:tc>
      </w:tr>
      <w:tr w:rsidR="00955A27" w:rsidRPr="001667DB" w14:paraId="3CA3E6DA" w14:textId="77777777" w:rsidTr="001B4B8F">
        <w:tc>
          <w:tcPr>
            <w:tcW w:w="3085" w:type="dxa"/>
          </w:tcPr>
          <w:p w14:paraId="7AE0320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Stałość objętości żużla stalowniczego</w:t>
            </w:r>
            <w:r w:rsidRPr="001667DB">
              <w:rPr>
                <w:rFonts w:ascii="Times New Roman" w:hAnsi="Times New Roman" w:cs="Times New Roman"/>
                <w:color w:val="000000" w:themeColor="text1"/>
                <w:sz w:val="22"/>
                <w:szCs w:val="22"/>
              </w:rPr>
              <w:br/>
            </w:r>
          </w:p>
        </w:tc>
        <w:tc>
          <w:tcPr>
            <w:tcW w:w="992" w:type="dxa"/>
          </w:tcPr>
          <w:p w14:paraId="05EBE0E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w:t>
            </w:r>
            <w:r w:rsidRPr="001667DB">
              <w:rPr>
                <w:rFonts w:ascii="Times New Roman" w:hAnsi="Times New Roman" w:cs="Times New Roman"/>
                <w:color w:val="000000" w:themeColor="text1"/>
                <w:sz w:val="22"/>
                <w:szCs w:val="22"/>
              </w:rPr>
              <w:lastRenderedPageBreak/>
              <w:t xml:space="preserve">roz. 19.3 [17]  </w:t>
            </w:r>
          </w:p>
        </w:tc>
        <w:tc>
          <w:tcPr>
            <w:tcW w:w="851" w:type="dxa"/>
          </w:tcPr>
          <w:p w14:paraId="451EE35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6.4.2.1</w:t>
            </w:r>
          </w:p>
        </w:tc>
        <w:tc>
          <w:tcPr>
            <w:tcW w:w="3969" w:type="dxa"/>
          </w:tcPr>
          <w:p w14:paraId="4D04650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V</w:t>
            </w:r>
            <w:r w:rsidRPr="001667DB">
              <w:rPr>
                <w:rFonts w:ascii="Times New Roman" w:hAnsi="Times New Roman" w:cs="Times New Roman"/>
                <w:color w:val="000000" w:themeColor="text1"/>
                <w:sz w:val="22"/>
                <w:szCs w:val="22"/>
                <w:vertAlign w:val="subscript"/>
              </w:rPr>
              <w:t>5</w:t>
            </w:r>
            <w:r w:rsidRPr="001667DB">
              <w:rPr>
                <w:rFonts w:ascii="Times New Roman" w:hAnsi="Times New Roman" w:cs="Times New Roman"/>
                <w:color w:val="000000" w:themeColor="text1"/>
                <w:sz w:val="22"/>
                <w:szCs w:val="22"/>
              </w:rPr>
              <w:t xml:space="preserve"> (tj. pęcznienie ≤ 5 % objętości). Dotyczy żużla z klasycznego pieca tlenowego i elektrycznego pieca łukowego</w:t>
            </w:r>
          </w:p>
        </w:tc>
      </w:tr>
      <w:tr w:rsidR="00955A27" w:rsidRPr="001667DB" w14:paraId="48AD9CEB" w14:textId="77777777" w:rsidTr="001B4B8F">
        <w:tc>
          <w:tcPr>
            <w:tcW w:w="3085" w:type="dxa"/>
          </w:tcPr>
          <w:p w14:paraId="76DC0CF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Rozpad krzemianowy w żużlu wielko- piecowym kawałkowym</w:t>
            </w:r>
          </w:p>
        </w:tc>
        <w:tc>
          <w:tcPr>
            <w:tcW w:w="992" w:type="dxa"/>
          </w:tcPr>
          <w:p w14:paraId="72EA3C6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p. 19.1 [17]  </w:t>
            </w:r>
          </w:p>
        </w:tc>
        <w:tc>
          <w:tcPr>
            <w:tcW w:w="851" w:type="dxa"/>
          </w:tcPr>
          <w:p w14:paraId="1F1CA2E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6.4.2.2</w:t>
            </w:r>
          </w:p>
        </w:tc>
        <w:tc>
          <w:tcPr>
            <w:tcW w:w="3969" w:type="dxa"/>
          </w:tcPr>
          <w:p w14:paraId="28A1224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rozpadu</w:t>
            </w:r>
          </w:p>
        </w:tc>
      </w:tr>
      <w:tr w:rsidR="00955A27" w:rsidRPr="001667DB" w14:paraId="699CB2A3" w14:textId="77777777" w:rsidTr="001B4B8F">
        <w:tc>
          <w:tcPr>
            <w:tcW w:w="3085" w:type="dxa"/>
          </w:tcPr>
          <w:p w14:paraId="4769BF0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Rozpad żelazawy w żużlu wielkopieco- wym kawałkowym</w:t>
            </w:r>
          </w:p>
        </w:tc>
        <w:tc>
          <w:tcPr>
            <w:tcW w:w="992" w:type="dxa"/>
          </w:tcPr>
          <w:p w14:paraId="3ED18F3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p.19.2[17] </w:t>
            </w:r>
          </w:p>
        </w:tc>
        <w:tc>
          <w:tcPr>
            <w:tcW w:w="851" w:type="dxa"/>
          </w:tcPr>
          <w:p w14:paraId="086EE7A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6.4.2.3</w:t>
            </w:r>
          </w:p>
        </w:tc>
        <w:tc>
          <w:tcPr>
            <w:tcW w:w="3969" w:type="dxa"/>
          </w:tcPr>
          <w:p w14:paraId="21B9A28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rozpadu</w:t>
            </w:r>
          </w:p>
        </w:tc>
      </w:tr>
      <w:tr w:rsidR="00955A27" w:rsidRPr="001667DB" w14:paraId="4184F374" w14:textId="77777777" w:rsidTr="001B4B8F">
        <w:tc>
          <w:tcPr>
            <w:tcW w:w="3085" w:type="dxa"/>
          </w:tcPr>
          <w:p w14:paraId="3B7E0DC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Składniki rozpuszczalne w wodzie</w:t>
            </w:r>
          </w:p>
        </w:tc>
        <w:tc>
          <w:tcPr>
            <w:tcW w:w="992" w:type="dxa"/>
          </w:tcPr>
          <w:p w14:paraId="6DE2663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1744-3 [18]</w:t>
            </w:r>
          </w:p>
        </w:tc>
        <w:tc>
          <w:tcPr>
            <w:tcW w:w="851" w:type="dxa"/>
          </w:tcPr>
          <w:p w14:paraId="217892F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6.4.3</w:t>
            </w:r>
          </w:p>
        </w:tc>
        <w:tc>
          <w:tcPr>
            <w:tcW w:w="3969" w:type="dxa"/>
          </w:tcPr>
          <w:p w14:paraId="29ABDE8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substancji szkodliwych w stosunku do środowiska wg odrębnych przepisów</w:t>
            </w:r>
          </w:p>
        </w:tc>
      </w:tr>
      <w:tr w:rsidR="00955A27" w:rsidRPr="001667DB" w14:paraId="6BAE4297" w14:textId="77777777" w:rsidTr="001B4B8F">
        <w:tc>
          <w:tcPr>
            <w:tcW w:w="3085" w:type="dxa"/>
          </w:tcPr>
          <w:p w14:paraId="247C802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Zanieczyszczenia</w:t>
            </w:r>
          </w:p>
        </w:tc>
        <w:tc>
          <w:tcPr>
            <w:tcW w:w="992" w:type="dxa"/>
          </w:tcPr>
          <w:p w14:paraId="574C6DC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851" w:type="dxa"/>
          </w:tcPr>
          <w:p w14:paraId="2A1BFB1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6.4.4</w:t>
            </w:r>
          </w:p>
        </w:tc>
        <w:tc>
          <w:tcPr>
            <w:tcW w:w="3969" w:type="dxa"/>
          </w:tcPr>
          <w:p w14:paraId="0E7CFAC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ciał obcych takich jak drewno, szkło i plastik, mogących pogorszyć wyrób końcowy</w:t>
            </w:r>
          </w:p>
        </w:tc>
      </w:tr>
      <w:tr w:rsidR="00955A27" w:rsidRPr="001667DB" w14:paraId="5A17F72B" w14:textId="77777777" w:rsidTr="001B4B8F">
        <w:tc>
          <w:tcPr>
            <w:tcW w:w="3085" w:type="dxa"/>
          </w:tcPr>
          <w:p w14:paraId="173D9CE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Zgorzel słoneczna bazaltu</w:t>
            </w:r>
          </w:p>
        </w:tc>
        <w:tc>
          <w:tcPr>
            <w:tcW w:w="992" w:type="dxa"/>
          </w:tcPr>
          <w:p w14:paraId="31BA3CE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1367-3[16]  i PN-EN 1097-2 [13]</w:t>
            </w:r>
          </w:p>
        </w:tc>
        <w:tc>
          <w:tcPr>
            <w:tcW w:w="851" w:type="dxa"/>
          </w:tcPr>
          <w:p w14:paraId="50BEB5E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7.2</w:t>
            </w:r>
          </w:p>
        </w:tc>
        <w:tc>
          <w:tcPr>
            <w:tcW w:w="3969" w:type="dxa"/>
          </w:tcPr>
          <w:p w14:paraId="3F55CFF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SB</w:t>
            </w:r>
            <w:r w:rsidRPr="001667DB">
              <w:rPr>
                <w:rFonts w:ascii="Times New Roman" w:hAnsi="Times New Roman" w:cs="Times New Roman"/>
                <w:color w:val="000000" w:themeColor="text1"/>
                <w:sz w:val="22"/>
                <w:szCs w:val="22"/>
                <w:vertAlign w:val="subscript"/>
              </w:rPr>
              <w:t xml:space="preserve">LA </w:t>
            </w:r>
            <w:r w:rsidRPr="001667DB">
              <w:rPr>
                <w:rFonts w:ascii="Times New Roman" w:hAnsi="Times New Roman" w:cs="Times New Roman"/>
                <w:color w:val="000000" w:themeColor="text1"/>
                <w:sz w:val="22"/>
                <w:szCs w:val="22"/>
              </w:rPr>
              <w:t>(tj. wzrost współczynnika Los Angeles po gotowaniu ≤ 8%)</w:t>
            </w:r>
          </w:p>
        </w:tc>
      </w:tr>
      <w:tr w:rsidR="00955A27" w:rsidRPr="001667DB" w14:paraId="679FEAE2" w14:textId="77777777" w:rsidTr="001B4B8F">
        <w:tc>
          <w:tcPr>
            <w:tcW w:w="3085" w:type="dxa"/>
          </w:tcPr>
          <w:p w14:paraId="64720E8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Mrozoodporność na frakcji kruszy-</w:t>
            </w:r>
            <w:r w:rsidRPr="001667DB">
              <w:rPr>
                <w:rFonts w:ascii="Times New Roman" w:hAnsi="Times New Roman" w:cs="Times New Roman"/>
                <w:color w:val="000000" w:themeColor="text1"/>
                <w:sz w:val="22"/>
                <w:szCs w:val="22"/>
              </w:rPr>
              <w:br/>
              <w:t xml:space="preserve">wa  8/16 mm  </w:t>
            </w:r>
          </w:p>
        </w:tc>
        <w:tc>
          <w:tcPr>
            <w:tcW w:w="992" w:type="dxa"/>
          </w:tcPr>
          <w:p w14:paraId="06A5209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1367-1 [15]</w:t>
            </w:r>
          </w:p>
        </w:tc>
        <w:tc>
          <w:tcPr>
            <w:tcW w:w="851" w:type="dxa"/>
          </w:tcPr>
          <w:p w14:paraId="07DF69B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7.3.3</w:t>
            </w:r>
          </w:p>
        </w:tc>
        <w:tc>
          <w:tcPr>
            <w:tcW w:w="3969" w:type="dxa"/>
          </w:tcPr>
          <w:p w14:paraId="20E761C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Skały magmowe i przeobrażone: kat. F</w:t>
            </w:r>
            <w:r w:rsidRPr="001667DB">
              <w:rPr>
                <w:rFonts w:ascii="Times New Roman" w:hAnsi="Times New Roman" w:cs="Times New Roman"/>
                <w:color w:val="000000" w:themeColor="text1"/>
                <w:sz w:val="22"/>
                <w:szCs w:val="22"/>
                <w:vertAlign w:val="subscript"/>
              </w:rPr>
              <w:t>4</w:t>
            </w:r>
            <w:r w:rsidRPr="001667DB">
              <w:rPr>
                <w:rFonts w:ascii="Times New Roman" w:hAnsi="Times New Roman" w:cs="Times New Roman"/>
                <w:color w:val="000000" w:themeColor="text1"/>
                <w:sz w:val="22"/>
                <w:szCs w:val="22"/>
              </w:rPr>
              <w:t xml:space="preserve"> (tj. zamrażanie-rozmrażanie ≤ 4% masy), skały osadowe: kat. F</w:t>
            </w:r>
            <w:r w:rsidRPr="001667DB">
              <w:rPr>
                <w:rFonts w:ascii="Times New Roman" w:hAnsi="Times New Roman" w:cs="Times New Roman"/>
                <w:color w:val="000000" w:themeColor="text1"/>
                <w:sz w:val="22"/>
                <w:szCs w:val="22"/>
                <w:vertAlign w:val="subscript"/>
              </w:rPr>
              <w:t>10</w:t>
            </w:r>
            <w:r w:rsidRPr="001667DB">
              <w:rPr>
                <w:rFonts w:ascii="Times New Roman" w:hAnsi="Times New Roman" w:cs="Times New Roman"/>
                <w:color w:val="000000" w:themeColor="text1"/>
                <w:sz w:val="22"/>
                <w:szCs w:val="22"/>
              </w:rPr>
              <w:t>, kruszywa z recyklingu: kat. F</w:t>
            </w:r>
            <w:r w:rsidRPr="001667DB">
              <w:rPr>
                <w:rFonts w:ascii="Times New Roman" w:hAnsi="Times New Roman" w:cs="Times New Roman"/>
                <w:color w:val="000000" w:themeColor="text1"/>
                <w:sz w:val="22"/>
                <w:szCs w:val="22"/>
                <w:vertAlign w:val="subscript"/>
              </w:rPr>
              <w:t>10</w:t>
            </w:r>
            <w:r w:rsidRPr="001667DB">
              <w:rPr>
                <w:rFonts w:ascii="Times New Roman" w:hAnsi="Times New Roman" w:cs="Times New Roman"/>
                <w:color w:val="000000" w:themeColor="text1"/>
                <w:sz w:val="22"/>
                <w:szCs w:val="22"/>
              </w:rPr>
              <w:t xml:space="preserve"> (F</w:t>
            </w:r>
            <w:r w:rsidRPr="001667DB">
              <w:rPr>
                <w:rFonts w:ascii="Times New Roman" w:hAnsi="Times New Roman" w:cs="Times New Roman"/>
                <w:color w:val="000000" w:themeColor="text1"/>
                <w:sz w:val="22"/>
                <w:szCs w:val="22"/>
                <w:vertAlign w:val="subscript"/>
              </w:rPr>
              <w:t>25</w:t>
            </w:r>
            <w:r w:rsidRPr="001667DB">
              <w:rPr>
                <w:rFonts w:ascii="Times New Roman" w:hAnsi="Times New Roman" w:cs="Times New Roman"/>
                <w:color w:val="000000" w:themeColor="text1"/>
                <w:sz w:val="22"/>
                <w:szCs w:val="22"/>
              </w:rPr>
              <w:t>***)</w:t>
            </w:r>
          </w:p>
        </w:tc>
      </w:tr>
      <w:tr w:rsidR="00955A27" w:rsidRPr="001667DB" w14:paraId="62371966" w14:textId="77777777" w:rsidTr="001B4B8F">
        <w:tc>
          <w:tcPr>
            <w:tcW w:w="3085" w:type="dxa"/>
          </w:tcPr>
          <w:p w14:paraId="7D02D22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Skład materiałowy</w:t>
            </w:r>
          </w:p>
        </w:tc>
        <w:tc>
          <w:tcPr>
            <w:tcW w:w="992" w:type="dxa"/>
          </w:tcPr>
          <w:p w14:paraId="70449A7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851" w:type="dxa"/>
          </w:tcPr>
          <w:p w14:paraId="12E612D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Zał. C</w:t>
            </w:r>
          </w:p>
        </w:tc>
        <w:tc>
          <w:tcPr>
            <w:tcW w:w="3969" w:type="dxa"/>
          </w:tcPr>
          <w:p w14:paraId="1F6E36C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Deklarowany</w:t>
            </w:r>
          </w:p>
        </w:tc>
      </w:tr>
    </w:tbl>
    <w:p w14:paraId="76D639FD"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137B9A3F" w14:textId="77777777" w:rsidR="00955A27" w:rsidRPr="001667DB" w:rsidRDefault="00955A27" w:rsidP="00955A27">
      <w:pPr>
        <w:spacing w:after="120" w:line="360" w:lineRule="auto"/>
        <w:jc w:val="both"/>
        <w:rPr>
          <w:rFonts w:ascii="Times New Roman" w:hAnsi="Times New Roman" w:cs="Times New Roman"/>
          <w:color w:val="000000" w:themeColor="text1"/>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851"/>
        <w:gridCol w:w="3969"/>
      </w:tblGrid>
      <w:tr w:rsidR="00955A27" w:rsidRPr="001667DB" w14:paraId="33DCC618" w14:textId="77777777" w:rsidTr="001B4B8F">
        <w:tc>
          <w:tcPr>
            <w:tcW w:w="3085" w:type="dxa"/>
          </w:tcPr>
          <w:p w14:paraId="07D915C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Istotne cechy środowiskowe</w:t>
            </w:r>
          </w:p>
        </w:tc>
        <w:tc>
          <w:tcPr>
            <w:tcW w:w="992" w:type="dxa"/>
          </w:tcPr>
          <w:p w14:paraId="2E24C07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851" w:type="dxa"/>
          </w:tcPr>
          <w:p w14:paraId="52F975C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Zał. C</w:t>
            </w:r>
          </w:p>
          <w:p w14:paraId="4727D1C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pkt</w:t>
            </w:r>
          </w:p>
          <w:p w14:paraId="5DA840A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C.3.4</w:t>
            </w:r>
          </w:p>
        </w:tc>
        <w:tc>
          <w:tcPr>
            <w:tcW w:w="3969" w:type="dxa"/>
          </w:tcPr>
          <w:p w14:paraId="1AC5DDD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Większość substancji niebezpiecznych określonych w dyrektywie Rady 76/769/EWG zazwyczaj nie występuje w źródłach kruszywa pochodzenia </w:t>
            </w:r>
            <w:r w:rsidRPr="001667DB">
              <w:rPr>
                <w:rFonts w:ascii="Times New Roman" w:hAnsi="Times New Roman" w:cs="Times New Roman"/>
                <w:color w:val="000000" w:themeColor="text1"/>
                <w:sz w:val="22"/>
                <w:szCs w:val="22"/>
              </w:rPr>
              <w:lastRenderedPageBreak/>
              <w:t>mineralnego. Jednak w odniesieniu do kruszyw sztucznych i odpadowych należy badać czy zawartość substancji niebezpiecznych nie przekracza wartości dopuszczalnych wg odrębnych przepisów</w:t>
            </w:r>
          </w:p>
        </w:tc>
      </w:tr>
      <w:tr w:rsidR="00955A27" w:rsidRPr="001667DB" w14:paraId="2D84F5EF" w14:textId="77777777" w:rsidTr="001B4B8F">
        <w:tc>
          <w:tcPr>
            <w:tcW w:w="8897" w:type="dxa"/>
            <w:gridSpan w:val="4"/>
          </w:tcPr>
          <w:p w14:paraId="37A84EA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       Łączna zawartość pyłów w mieszance powinna się mieścić w wybranych krzywych granicznych</w:t>
            </w:r>
          </w:p>
          <w:p w14:paraId="4EDE1E8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W przypadku, gdy wymaganie nie jest spełnione , należy sprawdzić mrozoodporność</w:t>
            </w:r>
          </w:p>
          <w:p w14:paraId="3A46144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Pod warunkiem, gdy zawartość w mieszance nie przekracza 50% m/m</w:t>
            </w:r>
          </w:p>
        </w:tc>
      </w:tr>
    </w:tbl>
    <w:p w14:paraId="60DB9B41"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3DFE6C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2.2.4. </w:t>
      </w:r>
      <w:r w:rsidRPr="001667DB">
        <w:rPr>
          <w:rFonts w:ascii="Times New Roman" w:hAnsi="Times New Roman" w:cs="Times New Roman"/>
          <w:color w:val="000000" w:themeColor="text1"/>
          <w:sz w:val="22"/>
          <w:szCs w:val="22"/>
        </w:rPr>
        <w:t>Woda do zraszania kruszywa</w:t>
      </w:r>
    </w:p>
    <w:p w14:paraId="1FA4414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t>Do zraszania kruszywa należy stosować wodę nie zawierającą składników wpływających szkodliwie na mieszankę kruszywa, ale umożliwiającą właściwe zagęszczenie mieszanki niezwiązanej.</w:t>
      </w:r>
    </w:p>
    <w:p w14:paraId="7B69C983" w14:textId="77777777" w:rsidR="00955A27" w:rsidRPr="001667DB" w:rsidRDefault="00955A27" w:rsidP="00955A27">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2.2.5. Georuszt trójosiowy (heksagonalny)</w:t>
      </w:r>
    </w:p>
    <w:p w14:paraId="24649CAE"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 xml:space="preserve">Do wykonania robót należy zastosować georuszt trójosiowy (heksagonalny), </w:t>
      </w:r>
      <w:r w:rsidRPr="001667DB">
        <w:rPr>
          <w:rFonts w:ascii="Times New Roman" w:hAnsi="Times New Roman" w:cs="Times New Roman"/>
          <w:color w:val="000000" w:themeColor="text1"/>
          <w:sz w:val="22"/>
          <w:szCs w:val="22"/>
        </w:rPr>
        <w:t>z otworami o kształcie trójkąta równobocznego, tworzącymi układ sześciokątów foremnych, wykonany z polipropylenu (PP)</w:t>
      </w:r>
      <w:r w:rsidRPr="001667DB">
        <w:rPr>
          <w:rFonts w:ascii="Times New Roman" w:hAnsi="Times New Roman" w:cs="Times New Roman"/>
          <w:bCs/>
          <w:color w:val="000000" w:themeColor="text1"/>
          <w:sz w:val="22"/>
          <w:szCs w:val="22"/>
        </w:rPr>
        <w:t>. Georuszt powinien być wyprodukowany w procesie perforacji i rozciągania w trzech kierunkach podgrzanej do odpowiedniej temperatury taśmy polipropylenowej. Węzły i żebra georusztu powinny stanowić integralną całość – nie dopuszcza się stosowania materiałów przeplatanych, zgrzewanych, spawanych, ekstrudowanych itp. w węzłach zgodnie z określeniami zawartymi w p. 1.4.</w:t>
      </w:r>
    </w:p>
    <w:p w14:paraId="42DB7CE1"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p>
    <w:p w14:paraId="79528A05"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Georuszt trójosiowy powinien spełniać istotne dla funkcji stabilizacyjnej parametry podane w Tablicy 2. Sztywność radialna i podobne właściwości fizyczne powinny być deklarowane w takie sposób, że wartość nominalna +/- tolerancja reprezentuje 99,7% populacji, tj. 99,7% „przedziału tolerancji”.</w:t>
      </w:r>
    </w:p>
    <w:p w14:paraId="6E85CA30" w14:textId="77777777" w:rsidR="00955A27" w:rsidRPr="001667DB" w:rsidRDefault="00955A27" w:rsidP="00955A27">
      <w:pPr>
        <w:pStyle w:val="Default"/>
        <w:spacing w:after="120" w:line="360" w:lineRule="auto"/>
        <w:jc w:val="both"/>
        <w:rPr>
          <w:rFonts w:ascii="Times New Roman" w:hAnsi="Times New Roman" w:cs="Times New Roman"/>
          <w:iCs/>
          <w:color w:val="000000" w:themeColor="text1"/>
          <w:sz w:val="22"/>
          <w:szCs w:val="22"/>
        </w:rPr>
      </w:pPr>
      <w:r w:rsidRPr="001667DB">
        <w:rPr>
          <w:rFonts w:ascii="Times New Roman" w:hAnsi="Times New Roman" w:cs="Times New Roman"/>
          <w:b/>
          <w:iCs/>
          <w:color w:val="000000" w:themeColor="text1"/>
          <w:sz w:val="22"/>
          <w:szCs w:val="22"/>
        </w:rPr>
        <w:t>Tablica 2.</w:t>
      </w:r>
      <w:r w:rsidRPr="001667DB">
        <w:rPr>
          <w:rFonts w:ascii="Times New Roman" w:hAnsi="Times New Roman" w:cs="Times New Roman"/>
          <w:iCs/>
          <w:color w:val="000000" w:themeColor="text1"/>
          <w:sz w:val="22"/>
          <w:szCs w:val="22"/>
        </w:rPr>
        <w:t xml:space="preserve"> Wymagania wobec georusztu do warstwy ulepszonego podłoża</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3"/>
        <w:gridCol w:w="3088"/>
        <w:gridCol w:w="1547"/>
        <w:gridCol w:w="1133"/>
        <w:gridCol w:w="1414"/>
        <w:gridCol w:w="1274"/>
      </w:tblGrid>
      <w:tr w:rsidR="00955A27" w:rsidRPr="001667DB" w14:paraId="7F73E238" w14:textId="77777777" w:rsidTr="007A593C">
        <w:trPr>
          <w:jc w:val="center"/>
        </w:trPr>
        <w:tc>
          <w:tcPr>
            <w:tcW w:w="583" w:type="dxa"/>
            <w:vAlign w:val="center"/>
          </w:tcPr>
          <w:p w14:paraId="1DAA94B1"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L.P.</w:t>
            </w:r>
          </w:p>
        </w:tc>
        <w:tc>
          <w:tcPr>
            <w:tcW w:w="3088" w:type="dxa"/>
            <w:vAlign w:val="center"/>
          </w:tcPr>
          <w:p w14:paraId="34170A84"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Parametr</w:t>
            </w:r>
          </w:p>
        </w:tc>
        <w:tc>
          <w:tcPr>
            <w:tcW w:w="1547" w:type="dxa"/>
            <w:vAlign w:val="center"/>
          </w:tcPr>
          <w:p w14:paraId="72FB36FA"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Metoda badania</w:t>
            </w:r>
          </w:p>
        </w:tc>
        <w:tc>
          <w:tcPr>
            <w:tcW w:w="1133" w:type="dxa"/>
            <w:vAlign w:val="center"/>
          </w:tcPr>
          <w:p w14:paraId="2A790A89"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Jednostka</w:t>
            </w:r>
          </w:p>
        </w:tc>
        <w:tc>
          <w:tcPr>
            <w:tcW w:w="1414" w:type="dxa"/>
            <w:vAlign w:val="center"/>
          </w:tcPr>
          <w:p w14:paraId="0095EB09"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Wymagana wartość</w:t>
            </w:r>
          </w:p>
        </w:tc>
        <w:tc>
          <w:tcPr>
            <w:tcW w:w="1274" w:type="dxa"/>
            <w:vAlign w:val="center"/>
          </w:tcPr>
          <w:p w14:paraId="126673C4"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Tolerancja</w:t>
            </w:r>
          </w:p>
        </w:tc>
      </w:tr>
      <w:tr w:rsidR="00955A27" w:rsidRPr="001667DB" w14:paraId="10037EF8" w14:textId="77777777" w:rsidTr="007A593C">
        <w:trPr>
          <w:jc w:val="center"/>
        </w:trPr>
        <w:tc>
          <w:tcPr>
            <w:tcW w:w="583" w:type="dxa"/>
          </w:tcPr>
          <w:p w14:paraId="1BBA76A5"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w:t>
            </w:r>
          </w:p>
        </w:tc>
        <w:tc>
          <w:tcPr>
            <w:tcW w:w="3088" w:type="dxa"/>
          </w:tcPr>
          <w:p w14:paraId="5B665036"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Sztywność radialna przy odkształceniu 0,5%</w:t>
            </w:r>
          </w:p>
        </w:tc>
        <w:tc>
          <w:tcPr>
            <w:tcW w:w="1547" w:type="dxa"/>
          </w:tcPr>
          <w:p w14:paraId="7F201143"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TR 041 B.1</w:t>
            </w:r>
          </w:p>
        </w:tc>
        <w:tc>
          <w:tcPr>
            <w:tcW w:w="1133" w:type="dxa"/>
          </w:tcPr>
          <w:p w14:paraId="0C433BE4"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kN/m</w:t>
            </w:r>
          </w:p>
        </w:tc>
        <w:tc>
          <w:tcPr>
            <w:tcW w:w="1414" w:type="dxa"/>
          </w:tcPr>
          <w:p w14:paraId="0A5D59BF"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365</w:t>
            </w:r>
          </w:p>
        </w:tc>
        <w:tc>
          <w:tcPr>
            <w:tcW w:w="1274" w:type="dxa"/>
          </w:tcPr>
          <w:p w14:paraId="3A48A58A"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-90</w:t>
            </w:r>
          </w:p>
        </w:tc>
      </w:tr>
      <w:tr w:rsidR="00955A27" w:rsidRPr="001667DB" w14:paraId="1594D20D" w14:textId="77777777" w:rsidTr="007A593C">
        <w:trPr>
          <w:jc w:val="center"/>
        </w:trPr>
        <w:tc>
          <w:tcPr>
            <w:tcW w:w="583" w:type="dxa"/>
          </w:tcPr>
          <w:p w14:paraId="712AAFC8"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2</w:t>
            </w:r>
          </w:p>
        </w:tc>
        <w:tc>
          <w:tcPr>
            <w:tcW w:w="3088" w:type="dxa"/>
          </w:tcPr>
          <w:p w14:paraId="0DA674A2"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Współczynnik izotropii sztywności</w:t>
            </w:r>
          </w:p>
        </w:tc>
        <w:tc>
          <w:tcPr>
            <w:tcW w:w="1547" w:type="dxa"/>
          </w:tcPr>
          <w:p w14:paraId="45D530C2"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TR 041 B.1</w:t>
            </w:r>
          </w:p>
        </w:tc>
        <w:tc>
          <w:tcPr>
            <w:tcW w:w="1133" w:type="dxa"/>
          </w:tcPr>
          <w:p w14:paraId="1EBC6E60"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t>
            </w:r>
          </w:p>
        </w:tc>
        <w:tc>
          <w:tcPr>
            <w:tcW w:w="1414" w:type="dxa"/>
          </w:tcPr>
          <w:p w14:paraId="3DE321EE"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0,75</w:t>
            </w:r>
          </w:p>
        </w:tc>
        <w:tc>
          <w:tcPr>
            <w:tcW w:w="1274" w:type="dxa"/>
          </w:tcPr>
          <w:p w14:paraId="4D99851F"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-0,15</w:t>
            </w:r>
          </w:p>
        </w:tc>
      </w:tr>
      <w:tr w:rsidR="00955A27" w:rsidRPr="001667DB" w14:paraId="61F4D58A" w14:textId="77777777" w:rsidTr="007A593C">
        <w:trPr>
          <w:jc w:val="center"/>
        </w:trPr>
        <w:tc>
          <w:tcPr>
            <w:tcW w:w="583" w:type="dxa"/>
          </w:tcPr>
          <w:p w14:paraId="094B03C2"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lastRenderedPageBreak/>
              <w:t>3</w:t>
            </w:r>
          </w:p>
        </w:tc>
        <w:tc>
          <w:tcPr>
            <w:tcW w:w="3088" w:type="dxa"/>
          </w:tcPr>
          <w:p w14:paraId="1DDBE473"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Efektywność węzła</w:t>
            </w:r>
          </w:p>
        </w:tc>
        <w:tc>
          <w:tcPr>
            <w:tcW w:w="1547" w:type="dxa"/>
          </w:tcPr>
          <w:p w14:paraId="17D7C162"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TR 041 B.2</w:t>
            </w:r>
          </w:p>
        </w:tc>
        <w:tc>
          <w:tcPr>
            <w:tcW w:w="1133" w:type="dxa"/>
          </w:tcPr>
          <w:p w14:paraId="4B228985"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t>
            </w:r>
          </w:p>
        </w:tc>
        <w:tc>
          <w:tcPr>
            <w:tcW w:w="1414" w:type="dxa"/>
          </w:tcPr>
          <w:p w14:paraId="070280A5"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100</w:t>
            </w:r>
          </w:p>
        </w:tc>
        <w:tc>
          <w:tcPr>
            <w:tcW w:w="1274" w:type="dxa"/>
          </w:tcPr>
          <w:p w14:paraId="060DFECE"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-10</w:t>
            </w:r>
          </w:p>
        </w:tc>
      </w:tr>
      <w:tr w:rsidR="00955A27" w:rsidRPr="001667DB" w14:paraId="10829DD1" w14:textId="77777777" w:rsidTr="007A593C">
        <w:trPr>
          <w:jc w:val="center"/>
        </w:trPr>
        <w:tc>
          <w:tcPr>
            <w:tcW w:w="583" w:type="dxa"/>
          </w:tcPr>
          <w:p w14:paraId="08B0EB86"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4</w:t>
            </w:r>
          </w:p>
        </w:tc>
        <w:tc>
          <w:tcPr>
            <w:tcW w:w="3088" w:type="dxa"/>
          </w:tcPr>
          <w:p w14:paraId="064825BC"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Rozmiar sześcioboku</w:t>
            </w:r>
          </w:p>
        </w:tc>
        <w:tc>
          <w:tcPr>
            <w:tcW w:w="1547" w:type="dxa"/>
          </w:tcPr>
          <w:p w14:paraId="18DC5DAA"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TR 041 B.4</w:t>
            </w:r>
          </w:p>
        </w:tc>
        <w:tc>
          <w:tcPr>
            <w:tcW w:w="1133" w:type="dxa"/>
          </w:tcPr>
          <w:p w14:paraId="5901F75B"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Mm</w:t>
            </w:r>
          </w:p>
        </w:tc>
        <w:tc>
          <w:tcPr>
            <w:tcW w:w="1414" w:type="dxa"/>
          </w:tcPr>
          <w:p w14:paraId="3B7B4B88"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120</w:t>
            </w:r>
          </w:p>
        </w:tc>
        <w:tc>
          <w:tcPr>
            <w:tcW w:w="1274" w:type="dxa"/>
          </w:tcPr>
          <w:p w14:paraId="040D6259" w14:textId="77777777" w:rsidR="00955A27" w:rsidRPr="001667DB" w:rsidRDefault="00955A27" w:rsidP="00955A27">
            <w:pPr>
              <w:pStyle w:val="Default"/>
              <w:spacing w:after="120" w:line="360" w:lineRule="auto"/>
              <w:jc w:val="center"/>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+/-6</w:t>
            </w:r>
          </w:p>
        </w:tc>
      </w:tr>
    </w:tbl>
    <w:p w14:paraId="7DED1837"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p>
    <w:p w14:paraId="0BC6E627"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Metody badań podane w Tablicy 2 opisane są w Raporcie Technicznym Europejskiej Organizacji Aprobat Technicznych EOTA nr TR41 z października 2012.</w:t>
      </w:r>
    </w:p>
    <w:p w14:paraId="6878167F"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 związku z tym, że wymagania dla funkcji stabilizacyjnej geosyntetyku nie są objęte normami zharmonizowanymi, wymagane jest, aby georuszt zastosowany do wykonania warstwy ulepszonego podłoża z kruszywa stabilizowanego georusztem posiadał Europejską Aprobatę Techniczną, potwierdzającą możliwość jego zastosowania w funkcji stabilizacyjnej. Wyrób dostarczony na budowę powinien posiadać oznakowanie CE.</w:t>
      </w:r>
    </w:p>
    <w:p w14:paraId="6203E60B" w14:textId="77777777" w:rsidR="00955A27" w:rsidRPr="001667DB" w:rsidRDefault="00955A27" w:rsidP="00955A27">
      <w:pPr>
        <w:spacing w:after="120" w:line="360" w:lineRule="auto"/>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Rozwiązania równoważne</w:t>
      </w:r>
    </w:p>
    <w:p w14:paraId="4A9D2104" w14:textId="77777777" w:rsidR="00955A27" w:rsidRPr="001667DB" w:rsidRDefault="00955A27" w:rsidP="00955A27">
      <w:pPr>
        <w:spacing w:after="120" w:line="360" w:lineRule="auto"/>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Zgodnie z art. 29 ust. 2 ustawy „Prawo zamówień publicznych” Zamawiający dopuszcza stosowanie rozwiązań równoważnych opisanych poniżej. Rozwiązaniem równoważnym dla niniejszego zadania jest zastosowanie georusztów dwuosiowych w funkcji zbrojeniowej, spełniających następujące wymagania:</w:t>
      </w:r>
    </w:p>
    <w:p w14:paraId="09087B4F" w14:textId="77777777" w:rsidR="00955A27" w:rsidRPr="001667DB" w:rsidRDefault="00955A27" w:rsidP="00904E6C">
      <w:pPr>
        <w:numPr>
          <w:ilvl w:val="0"/>
          <w:numId w:val="102"/>
        </w:numPr>
        <w:tabs>
          <w:tab w:val="clear" w:pos="1429"/>
          <w:tab w:val="num" w:pos="284"/>
        </w:tabs>
        <w:spacing w:after="120" w:line="360" w:lineRule="auto"/>
        <w:ind w:left="284" w:hanging="284"/>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Georuszty o sztywnych węzłach powinny być wyprodukowane z pasma polipropylenu. Węzły georusztów powinny być sztywne i stanowić integralny element struktury georusztów. Oczka georusztów powinny być sztywne, tj. zachowywać kształt po przyłożeniu siły ukośnej w stosunku do kierunku produkcji georusztów. Nie dopuszcza się stosowania geosiatek/georusztów o węzłach przeplatanych, zgrzewanych, klejonych itp.</w:t>
      </w:r>
    </w:p>
    <w:p w14:paraId="256F4BE9" w14:textId="77777777" w:rsidR="00955A27" w:rsidRPr="001667DB" w:rsidRDefault="00955A27" w:rsidP="00904E6C">
      <w:pPr>
        <w:numPr>
          <w:ilvl w:val="0"/>
          <w:numId w:val="102"/>
        </w:numPr>
        <w:tabs>
          <w:tab w:val="clear" w:pos="1429"/>
          <w:tab w:val="num" w:pos="284"/>
        </w:tabs>
        <w:spacing w:after="120" w:line="360" w:lineRule="auto"/>
        <w:ind w:left="284" w:hanging="284"/>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Georuszty powinny być odporne na związki chemiczne naturalnie występujące w gruncie oraz rozpuszczalniki w temperaturze otoczenia. Nie powinny być wrażliwe na hydrolizę, powinny być odporne na działanie wodnych roztworów soli, kwasów i zasad oraz nie podlega biodegradacji. Polimer tworzący georuszty powinien być odporny na działanie promieniowania ultrafioletowego.</w:t>
      </w:r>
    </w:p>
    <w:p w14:paraId="39BFE4B0" w14:textId="77777777" w:rsidR="00955A27" w:rsidRPr="001667DB" w:rsidRDefault="00955A27" w:rsidP="00904E6C">
      <w:pPr>
        <w:numPr>
          <w:ilvl w:val="0"/>
          <w:numId w:val="102"/>
        </w:numPr>
        <w:tabs>
          <w:tab w:val="clear" w:pos="1429"/>
          <w:tab w:val="num" w:pos="284"/>
        </w:tabs>
        <w:spacing w:after="120" w:line="360" w:lineRule="auto"/>
        <w:ind w:left="284" w:hanging="284"/>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Właściwości georusztów zostały podane w Tablicy 3.</w:t>
      </w:r>
    </w:p>
    <w:p w14:paraId="11B512E0"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
          <w:bCs/>
          <w:color w:val="000000" w:themeColor="text1"/>
          <w:sz w:val="22"/>
          <w:szCs w:val="22"/>
        </w:rPr>
        <w:t>Tablica 3.</w:t>
      </w:r>
      <w:r w:rsidRPr="001667DB">
        <w:rPr>
          <w:rFonts w:ascii="Times New Roman" w:hAnsi="Times New Roman" w:cs="Times New Roman"/>
          <w:bCs/>
          <w:color w:val="000000" w:themeColor="text1"/>
          <w:sz w:val="22"/>
          <w:szCs w:val="22"/>
        </w:rPr>
        <w:t xml:space="preserve">  Właściwości georusztów dwuosiowych.</w:t>
      </w:r>
    </w:p>
    <w:p w14:paraId="6AA1D42B"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p>
    <w:tbl>
      <w:tblPr>
        <w:tblW w:w="7867" w:type="dxa"/>
        <w:jc w:val="center"/>
        <w:tblBorders>
          <w:top w:val="single" w:sz="2" w:space="0" w:color="auto"/>
          <w:left w:val="single" w:sz="2" w:space="0" w:color="auto"/>
          <w:bottom w:val="single" w:sz="2" w:space="0" w:color="auto"/>
          <w:right w:val="single" w:sz="2" w:space="0" w:color="auto"/>
          <w:insideH w:val="single" w:sz="2"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4252"/>
        <w:gridCol w:w="1701"/>
        <w:gridCol w:w="1418"/>
      </w:tblGrid>
      <w:tr w:rsidR="00955A27" w:rsidRPr="001667DB" w14:paraId="6F991B54" w14:textId="77777777" w:rsidTr="001B4B8F">
        <w:trPr>
          <w:trHeight w:val="570"/>
          <w:jc w:val="center"/>
        </w:trPr>
        <w:tc>
          <w:tcPr>
            <w:tcW w:w="496" w:type="dxa"/>
            <w:vAlign w:val="center"/>
          </w:tcPr>
          <w:p w14:paraId="5D5569AF"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L.P.</w:t>
            </w:r>
          </w:p>
        </w:tc>
        <w:tc>
          <w:tcPr>
            <w:tcW w:w="4252" w:type="dxa"/>
            <w:vAlign w:val="center"/>
          </w:tcPr>
          <w:p w14:paraId="30C44647"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Parametr</w:t>
            </w:r>
          </w:p>
        </w:tc>
        <w:tc>
          <w:tcPr>
            <w:tcW w:w="1701" w:type="dxa"/>
            <w:vAlign w:val="center"/>
          </w:tcPr>
          <w:p w14:paraId="74C8D440"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Wartość/Rodzaj</w:t>
            </w:r>
          </w:p>
        </w:tc>
        <w:tc>
          <w:tcPr>
            <w:tcW w:w="1418" w:type="dxa"/>
            <w:vAlign w:val="center"/>
          </w:tcPr>
          <w:p w14:paraId="57839FDF"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Metoda badania</w:t>
            </w:r>
          </w:p>
        </w:tc>
      </w:tr>
      <w:tr w:rsidR="00955A27" w:rsidRPr="001667DB" w14:paraId="4E6CE5E8" w14:textId="77777777" w:rsidTr="001B4B8F">
        <w:trPr>
          <w:trHeight w:val="397"/>
          <w:jc w:val="center"/>
        </w:trPr>
        <w:tc>
          <w:tcPr>
            <w:tcW w:w="496" w:type="dxa"/>
            <w:vAlign w:val="center"/>
          </w:tcPr>
          <w:p w14:paraId="5FBA663E"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w:t>
            </w:r>
          </w:p>
        </w:tc>
        <w:tc>
          <w:tcPr>
            <w:tcW w:w="4252" w:type="dxa"/>
            <w:vAlign w:val="center"/>
          </w:tcPr>
          <w:p w14:paraId="0CF134C3"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Polimer</w:t>
            </w:r>
          </w:p>
        </w:tc>
        <w:tc>
          <w:tcPr>
            <w:tcW w:w="1701" w:type="dxa"/>
            <w:vAlign w:val="center"/>
          </w:tcPr>
          <w:p w14:paraId="1C81E752"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Polipropylen</w:t>
            </w:r>
          </w:p>
        </w:tc>
        <w:tc>
          <w:tcPr>
            <w:tcW w:w="1418" w:type="dxa"/>
            <w:vAlign w:val="center"/>
          </w:tcPr>
          <w:p w14:paraId="3E93FD65"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t>
            </w:r>
          </w:p>
        </w:tc>
      </w:tr>
      <w:tr w:rsidR="00955A27" w:rsidRPr="001667DB" w14:paraId="1FB62676" w14:textId="77777777" w:rsidTr="001B4B8F">
        <w:trPr>
          <w:jc w:val="center"/>
        </w:trPr>
        <w:tc>
          <w:tcPr>
            <w:tcW w:w="496" w:type="dxa"/>
            <w:vAlign w:val="center"/>
          </w:tcPr>
          <w:p w14:paraId="42BCC36E"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2</w:t>
            </w:r>
          </w:p>
        </w:tc>
        <w:tc>
          <w:tcPr>
            <w:tcW w:w="4252" w:type="dxa"/>
            <w:vAlign w:val="center"/>
          </w:tcPr>
          <w:p w14:paraId="5EA23E1B"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Wytrzymałość na rozciąganie, nie mniej niż [kN/m]:</w:t>
            </w:r>
          </w:p>
          <w:p w14:paraId="11358846"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lastRenderedPageBreak/>
              <w:t>- wzdłuż pasma</w:t>
            </w:r>
          </w:p>
          <w:p w14:paraId="4DB99F93"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 w poprzek pasma</w:t>
            </w:r>
          </w:p>
        </w:tc>
        <w:tc>
          <w:tcPr>
            <w:tcW w:w="1701" w:type="dxa"/>
            <w:vAlign w:val="center"/>
          </w:tcPr>
          <w:p w14:paraId="652BA271"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p>
          <w:p w14:paraId="5603B34C"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lastRenderedPageBreak/>
              <w:t>40</w:t>
            </w:r>
          </w:p>
          <w:p w14:paraId="67025A2D"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40</w:t>
            </w:r>
          </w:p>
        </w:tc>
        <w:tc>
          <w:tcPr>
            <w:tcW w:w="1418" w:type="dxa"/>
            <w:vAlign w:val="center"/>
          </w:tcPr>
          <w:p w14:paraId="604A5BF1"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lastRenderedPageBreak/>
              <w:t>EN ISO 10319</w:t>
            </w:r>
          </w:p>
        </w:tc>
      </w:tr>
      <w:tr w:rsidR="00955A27" w:rsidRPr="001667DB" w14:paraId="540CAAB2" w14:textId="77777777" w:rsidTr="001B4B8F">
        <w:trPr>
          <w:jc w:val="center"/>
        </w:trPr>
        <w:tc>
          <w:tcPr>
            <w:tcW w:w="496" w:type="dxa"/>
            <w:vAlign w:val="center"/>
          </w:tcPr>
          <w:p w14:paraId="29EE44A6"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3</w:t>
            </w:r>
          </w:p>
        </w:tc>
        <w:tc>
          <w:tcPr>
            <w:tcW w:w="4252" w:type="dxa"/>
            <w:vAlign w:val="center"/>
          </w:tcPr>
          <w:p w14:paraId="34CC6E98"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Odkształcenie przy zerwaniu, nie więcej niż [%]:</w:t>
            </w:r>
          </w:p>
          <w:p w14:paraId="21BB9257"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 w obu kierunkach:</w:t>
            </w:r>
          </w:p>
        </w:tc>
        <w:tc>
          <w:tcPr>
            <w:tcW w:w="1701" w:type="dxa"/>
            <w:vAlign w:val="center"/>
          </w:tcPr>
          <w:p w14:paraId="33E9D445"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p>
          <w:p w14:paraId="2C812B8A"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12</w:t>
            </w:r>
          </w:p>
        </w:tc>
        <w:tc>
          <w:tcPr>
            <w:tcW w:w="1418" w:type="dxa"/>
            <w:vAlign w:val="center"/>
          </w:tcPr>
          <w:p w14:paraId="72702A1E" w14:textId="77777777" w:rsidR="00955A27" w:rsidRPr="001667DB" w:rsidRDefault="00955A27" w:rsidP="00955A27">
            <w:pPr>
              <w:pStyle w:val="Default"/>
              <w:spacing w:after="120" w:line="360" w:lineRule="auto"/>
              <w:jc w:val="both"/>
              <w:rPr>
                <w:rFonts w:ascii="Times New Roman" w:hAnsi="Times New Roman" w:cs="Times New Roman"/>
                <w:bCs/>
                <w:color w:val="000000" w:themeColor="text1"/>
                <w:sz w:val="22"/>
                <w:szCs w:val="22"/>
              </w:rPr>
            </w:pPr>
            <w:r w:rsidRPr="001667DB">
              <w:rPr>
                <w:rFonts w:ascii="Times New Roman" w:hAnsi="Times New Roman" w:cs="Times New Roman"/>
                <w:bCs/>
                <w:color w:val="000000" w:themeColor="text1"/>
                <w:sz w:val="22"/>
                <w:szCs w:val="22"/>
              </w:rPr>
              <w:t>EN ISO 10319</w:t>
            </w:r>
          </w:p>
        </w:tc>
      </w:tr>
    </w:tbl>
    <w:p w14:paraId="04FD5ACA" w14:textId="77777777" w:rsidR="00955A27" w:rsidRPr="001667DB" w:rsidRDefault="00955A27" w:rsidP="00955A27">
      <w:pPr>
        <w:spacing w:after="120" w:line="360" w:lineRule="auto"/>
        <w:jc w:val="both"/>
        <w:rPr>
          <w:rFonts w:ascii="Times New Roman" w:hAnsi="Times New Roman" w:cs="Times New Roman"/>
          <w:bCs/>
          <w:color w:val="000000" w:themeColor="text1"/>
        </w:rPr>
      </w:pPr>
    </w:p>
    <w:p w14:paraId="0690AEFC" w14:textId="77777777" w:rsidR="00955A27" w:rsidRPr="001667DB" w:rsidRDefault="00955A27" w:rsidP="00955A27">
      <w:pPr>
        <w:spacing w:after="120" w:line="360" w:lineRule="auto"/>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W przypadku zastosowania georusztów dwuosiowych grubość </w:t>
      </w:r>
      <w:r w:rsidRPr="001667DB">
        <w:rPr>
          <w:rFonts w:ascii="Times New Roman" w:hAnsi="Times New Roman" w:cs="Times New Roman"/>
          <w:b/>
          <w:bCs/>
          <w:color w:val="000000" w:themeColor="text1"/>
        </w:rPr>
        <w:t xml:space="preserve">warstwy mieszanki niezwiązanej C90/3 0/31,5 </w:t>
      </w:r>
      <w:r w:rsidRPr="001667DB">
        <w:rPr>
          <w:rFonts w:ascii="Times New Roman" w:hAnsi="Times New Roman" w:cs="Times New Roman"/>
          <w:bCs/>
          <w:color w:val="000000" w:themeColor="text1"/>
        </w:rPr>
        <w:t>należy zwiększyć o 10 cm.</w:t>
      </w:r>
    </w:p>
    <w:p w14:paraId="7795A47A"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57" w:name="_Toc348096808"/>
      <w:r w:rsidRPr="001667DB">
        <w:rPr>
          <w:color w:val="000000" w:themeColor="text1"/>
          <w:sz w:val="22"/>
          <w:szCs w:val="22"/>
        </w:rPr>
        <w:t>3. SPRZĘT</w:t>
      </w:r>
      <w:bookmarkEnd w:id="357"/>
    </w:p>
    <w:p w14:paraId="42D3DF98" w14:textId="77777777" w:rsidR="00955A27" w:rsidRPr="001667DB" w:rsidRDefault="00955A27" w:rsidP="00955A27">
      <w:pPr>
        <w:pStyle w:val="Nagwek2"/>
        <w:numPr>
          <w:ilvl w:val="12"/>
          <w:numId w:val="0"/>
        </w:numPr>
        <w:spacing w:before="0" w:line="360" w:lineRule="auto"/>
        <w:jc w:val="both"/>
        <w:rPr>
          <w:color w:val="000000" w:themeColor="text1"/>
          <w:sz w:val="22"/>
          <w:szCs w:val="22"/>
          <w:u w:val="none"/>
        </w:rPr>
      </w:pPr>
      <w:r w:rsidRPr="001667DB">
        <w:rPr>
          <w:color w:val="000000" w:themeColor="text1"/>
          <w:sz w:val="22"/>
          <w:szCs w:val="22"/>
          <w:u w:val="none"/>
        </w:rPr>
        <w:t>3.1. Ogólne wymagania dotyczące sprzętu</w:t>
      </w:r>
    </w:p>
    <w:p w14:paraId="5535AD0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sprzętu podano w ST  D-00.00.00 „Wymagania ogólne” [1], pkt 3.</w:t>
      </w:r>
    </w:p>
    <w:p w14:paraId="073C959B"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3.2. Sprzęt stosowany do wykonania robót</w:t>
      </w:r>
    </w:p>
    <w:p w14:paraId="3A441288" w14:textId="77777777" w:rsidR="00955A27" w:rsidRPr="001667DB" w:rsidRDefault="00955A27" w:rsidP="00955A27">
      <w:pPr>
        <w:spacing w:after="120" w:line="360" w:lineRule="auto"/>
        <w:rPr>
          <w:rFonts w:ascii="Times New Roman" w:hAnsi="Times New Roman" w:cs="Times New Roman"/>
          <w:color w:val="000000" w:themeColor="text1"/>
          <w:lang w:val="x-none"/>
        </w:rPr>
      </w:pPr>
    </w:p>
    <w:p w14:paraId="6087C03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52E63C39"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mieszarki do wytwarzania mieszanki kruszywa, wyposażone w urządzenia dozujące wodę, które powinny zapewnić wytworzenie jednorodnej mieszanki o wilgotności optymalnej,</w:t>
      </w:r>
    </w:p>
    <w:p w14:paraId="65A137AA"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układarki lub równiarki do rozkładania mieszanki kruszywa niezwiązanego,</w:t>
      </w:r>
    </w:p>
    <w:p w14:paraId="74E1503E"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walce ogumione i stalowe wibracyjne lub statyczne do zagęszczania mieszanki,</w:t>
      </w:r>
    </w:p>
    <w:p w14:paraId="02D0526A"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zagęszczarki płytowe, ubijaki mechaniczne lub małe walce wibracyjne, do stosowania w miejscach trudno dostępnych.</w:t>
      </w:r>
    </w:p>
    <w:p w14:paraId="0CF6519A"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Sprzęt powinien odpowiadać wymaganiom określonym w dokumentacji projektowej, ST, instrukcjach producentów lub propozycji Wykonawcy i powinien być zaakceptowany przez Inżyniera.</w:t>
      </w:r>
    </w:p>
    <w:p w14:paraId="60A5310D"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3C57A1B8"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58" w:name="_Toc348096809"/>
      <w:r w:rsidRPr="001667DB">
        <w:rPr>
          <w:color w:val="000000" w:themeColor="text1"/>
          <w:sz w:val="22"/>
          <w:szCs w:val="22"/>
        </w:rPr>
        <w:t>4. TRANSPORT</w:t>
      </w:r>
      <w:bookmarkEnd w:id="358"/>
    </w:p>
    <w:p w14:paraId="08E3F0E1"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 xml:space="preserve">4.1. Ogólne wymagania dotyczące transportu </w:t>
      </w:r>
    </w:p>
    <w:p w14:paraId="2B9CA3D5" w14:textId="77777777" w:rsidR="00955A27" w:rsidRPr="001667DB" w:rsidRDefault="00955A27" w:rsidP="00955A27">
      <w:pPr>
        <w:tabs>
          <w:tab w:val="left" w:pos="284"/>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Ogólne wymagania dotyczące transportu podano w ST D-00.00.00 „Wymagania ogólne” [1],  pkt 4.</w:t>
      </w:r>
    </w:p>
    <w:p w14:paraId="3345EFC8"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lastRenderedPageBreak/>
        <w:t>4.2. Transport materiałów</w:t>
      </w:r>
    </w:p>
    <w:p w14:paraId="1D0C977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sypkie (kruszywa) można przewozić dowolnymi środkami transportu, w warunkach zabezpieczających je przed  zanieczyszczeniem, zmieszaniem z innymi materiałami i nadmiernym zawilgoceniem.</w:t>
      </w:r>
    </w:p>
    <w:p w14:paraId="071C42F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Woda może być dostarczana wodociągiem lub przewoźnymi zbiornikami wody.</w:t>
      </w:r>
    </w:p>
    <w:p w14:paraId="6242E708" w14:textId="77777777" w:rsidR="007A593C" w:rsidRPr="001667DB" w:rsidRDefault="007A593C" w:rsidP="00955A27">
      <w:pPr>
        <w:spacing w:after="120" w:line="360" w:lineRule="auto"/>
        <w:jc w:val="both"/>
        <w:rPr>
          <w:rFonts w:ascii="Times New Roman" w:hAnsi="Times New Roman" w:cs="Times New Roman"/>
          <w:color w:val="000000" w:themeColor="text1"/>
        </w:rPr>
      </w:pPr>
    </w:p>
    <w:p w14:paraId="3BA6192A"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59" w:name="_Toc348096810"/>
      <w:r w:rsidRPr="001667DB">
        <w:rPr>
          <w:color w:val="000000" w:themeColor="text1"/>
          <w:sz w:val="22"/>
          <w:szCs w:val="22"/>
        </w:rPr>
        <w:t>5. WYKONANIE ROBÓT</w:t>
      </w:r>
      <w:bookmarkEnd w:id="359"/>
    </w:p>
    <w:p w14:paraId="6E203260" w14:textId="77777777" w:rsidR="00955A27" w:rsidRPr="001667DB" w:rsidRDefault="00955A27" w:rsidP="00955A27">
      <w:pPr>
        <w:spacing w:after="120" w:line="360" w:lineRule="auto"/>
        <w:rPr>
          <w:rFonts w:ascii="Times New Roman" w:hAnsi="Times New Roman" w:cs="Times New Roman"/>
          <w:color w:val="000000" w:themeColor="text1"/>
          <w:lang w:val="x-none"/>
        </w:rPr>
      </w:pPr>
    </w:p>
    <w:p w14:paraId="64399013"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5.1. Ogólne zasady wykonania robót</w:t>
      </w:r>
    </w:p>
    <w:p w14:paraId="0F5904D8" w14:textId="77777777" w:rsidR="00955A27" w:rsidRPr="001667DB" w:rsidRDefault="00955A27" w:rsidP="00955A27">
      <w:pPr>
        <w:tabs>
          <w:tab w:val="left" w:pos="0"/>
          <w:tab w:val="left" w:pos="567"/>
          <w:tab w:val="left" w:pos="851"/>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Ogólne zasady wykonania robót podano w ST D-00.00.00 „Wymagania ogólne” [1], pkt 5.</w:t>
      </w:r>
    </w:p>
    <w:p w14:paraId="651B8112"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5.2. Zasady wykonywania robót</w:t>
      </w:r>
    </w:p>
    <w:p w14:paraId="6B338EFD"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Sposób wykonania robót powinien być zgodny z dokumentacją projektową i ST. W przypadku braku wystarczających danych można korzystać z ustaleń podanych w niniejszej specyfikacji oraz z informacji podanych w załącznikach.</w:t>
      </w:r>
    </w:p>
    <w:p w14:paraId="34017EF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wykonaniu robót obejmują:</w:t>
      </w:r>
    </w:p>
    <w:p w14:paraId="38718C26"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771A5848"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projektowanie mieszanki,</w:t>
      </w:r>
    </w:p>
    <w:p w14:paraId="48B9B120"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wbudowanie mieszanki,</w:t>
      </w:r>
    </w:p>
    <w:p w14:paraId="16CCF2EB"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4F8FD020"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5B3042A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5.3. Roboty przygotowawcze</w:t>
      </w:r>
    </w:p>
    <w:p w14:paraId="6579D12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0D592F11"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ustalić lokalizację robót,</w:t>
      </w:r>
    </w:p>
    <w:p w14:paraId="316F629D"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przeprowadzić obliczenia i pomiary niezbędne do szczegółowego wytyczenia robót oraz ustalenia danych wysokościowych,</w:t>
      </w:r>
    </w:p>
    <w:p w14:paraId="1926E6CC"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usunąć przeszkody utrudniające wykonanie robót,</w:t>
      </w:r>
    </w:p>
    <w:p w14:paraId="0470D7B6"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wprowadzić oznakowanie drogi na okres robót,</w:t>
      </w:r>
    </w:p>
    <w:p w14:paraId="78100C0C"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zgromadzić materiały i sprzęt potrzebne do rozpoczęcia robót.</w:t>
      </w:r>
    </w:p>
    <w:p w14:paraId="1AAB2BA3"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Można dodatkowo korzystać z ST D-01.00.00 [2] przy robotach przygotowawczych oraz z OST D-02.00.00 [3] przy występowaniu robót ziemnych. </w:t>
      </w:r>
    </w:p>
    <w:p w14:paraId="33B5C8AF"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5FE0AB74"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5.4. Projektowanie mieszanki kruszywa niezwiązanego</w:t>
      </w:r>
    </w:p>
    <w:p w14:paraId="491E5EB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5.4.1. </w:t>
      </w:r>
      <w:r w:rsidRPr="001667DB">
        <w:rPr>
          <w:rFonts w:ascii="Times New Roman" w:hAnsi="Times New Roman" w:cs="Times New Roman"/>
          <w:color w:val="000000" w:themeColor="text1"/>
        </w:rPr>
        <w:t xml:space="preserve">Postanowienia ogólne </w:t>
      </w:r>
    </w:p>
    <w:p w14:paraId="2D24DA64"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przystąpieniem do robót, w terminie uzgodnionym z Inżynierem, Wykonawca dostarczy Inżynierowi do akceptacji projekt składu mieszanki kruszywa niezwiązanego oraz wyniki badań laboratoryjnych poszczególnych składników i próbki materiałów pobrane w obecności Inżyniera do wykonania badań kontrolnych przez Inżyniera.</w:t>
      </w:r>
    </w:p>
    <w:p w14:paraId="79DAF97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 pomocniczej.</w:t>
      </w:r>
    </w:p>
    <w:p w14:paraId="60A1C4A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 mieszanki projektuje się zgodnie z wymaganiami wobec mieszanek niezwiązanych do podbudowy pomocniczej, określonych w tablicy 4. Wartości graniczne i tolerancje zawierają rozrzut wynikający z pobierania i dzielenia próbki, przedział ufności (precyzja w porównywalnych warunkach) oraz nierównomierności warunków wykonawczych.</w:t>
      </w:r>
    </w:p>
    <w:p w14:paraId="3901A33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Mieszanki kruszyw powinny być tak produkowane i składowane, aby wykazywały zachowanie jednakowych właściwości, spełniając wymagania z tablicy 4. Mieszanki kruszyw powinny być jednorodnie wymieszane i powinny charakteryzować się równomierną wilgotnością. Kruszywa powinny odpowiadać wymaganiom tablicy 1, przy czym w mieszankach wyprodukowanych z różnych kruszyw, każdy ze składników musi spełniać wymagania tablicy 1.</w:t>
      </w:r>
    </w:p>
    <w:p w14:paraId="0EDF547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projektowaniu mieszanek kruszyw z recyklingu można ustalać skład  mieszanek, wzorując się na przykładach podanych w załączniku 1.</w:t>
      </w:r>
    </w:p>
    <w:p w14:paraId="28B7364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5.4.2. </w:t>
      </w:r>
      <w:r w:rsidRPr="001667DB">
        <w:rPr>
          <w:rFonts w:ascii="Times New Roman" w:hAnsi="Times New Roman" w:cs="Times New Roman"/>
          <w:color w:val="000000" w:themeColor="text1"/>
        </w:rPr>
        <w:t>Wymagania wobec mieszanek</w:t>
      </w:r>
    </w:p>
    <w:p w14:paraId="17A97F8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warstwach podbudowy pomocniczej można stosować następujące mieszanki kruszyw:</w:t>
      </w:r>
    </w:p>
    <w:p w14:paraId="5C8F54E8"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0/31,5 mm,</w:t>
      </w:r>
    </w:p>
    <w:p w14:paraId="01B93ED2"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0/45 mm,</w:t>
      </w:r>
    </w:p>
    <w:p w14:paraId="3AABBF67"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0/63 mm.</w:t>
      </w:r>
    </w:p>
    <w:p w14:paraId="69DAA656" w14:textId="77777777" w:rsidR="00955A27" w:rsidRPr="001667DB" w:rsidRDefault="00955A27" w:rsidP="00955A27">
      <w:pPr>
        <w:pStyle w:val="Bezodstpw"/>
        <w:tabs>
          <w:tab w:val="num" w:pos="480"/>
        </w:tabs>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r>
      <w:r w:rsidRPr="001667DB">
        <w:rPr>
          <w:rFonts w:ascii="Times New Roman" w:hAnsi="Times New Roman" w:cs="Times New Roman"/>
          <w:color w:val="000000" w:themeColor="text1"/>
          <w:sz w:val="22"/>
          <w:szCs w:val="22"/>
        </w:rPr>
        <w:tab/>
        <w:t>Wymagania wobec mieszanek przeznaczonych do podbudowy pomocniczej, podane w tablicy 4, odnośnie wrażliwości na mróz warstw z mieszanek kruszyw, dotyczą badania materiału po pięciokrotnym zagęszczeniu w aparacie Proctora według PN-EN 13286-2 [21].</w:t>
      </w:r>
    </w:p>
    <w:p w14:paraId="042C32DF"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Zawartość pyłów w mieszankach kruszyw do warstwy podbudowy pomocniczej, określana wg PN-EN 933-1 [8], powinna być zgodna z wymaganiami tablicy 4. W przypadku słabych kruszyw, zawartość pyłów w mieszance kruszyw należy również badać i deklarować, po pięciokrotnym zagęszczeniu metodą Proctora. Zawartość pyłów w takiej mieszance po pięciokrotnym zagęszczeniu metodą Proctora powinna również spełniać wymagania podane w tablicy 4. Nie określa się wymagania wobec minimalnej zawartości pyłów &lt; 0,063 mm w mieszankach kruszyw do warstwy podbudowy pomocniczej.</w:t>
      </w:r>
    </w:p>
    <w:p w14:paraId="2EA851A1"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nadziarna w mieszankach kruszyw, określana według PN-EN 933-1 [8] powinna spełniać wymagania podane w tablicy 4. W przypadku słabych kruszyw decyduje zawartość nadziarna w mieszance kruszyw po pięciokrotnym zagęszczeniu metodą Proctora.</w:t>
      </w:r>
    </w:p>
    <w:p w14:paraId="0A50654F"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Uziarnienie mieszanek kruszyw o wymiarach ziaren D od 0 do 63 mm należy określić według PN-EN 933-1 [8]. Krzywe uziarnienia mieszanki kruszyw do podbudowy pomocniczej powinny zawierać się w obszarze między krzywymi granicznymi uziarnienia przedstawionymi na rysunkach 1÷3, odpowiednio dla każdego rodzaju mieszanki. Na rysunkach 1÷3 pokazano również (liniami przerywanymi SDV) obszar uziarnienia, w którym powinna się mieścić krzywa uziarnienia mieszanki (S) deklarowana przez dostawcę/producenta. W przypadku słabych kruszyw uziarnienie mieszanki kruszyw należy również badać i deklarować, po pięciokrotnym zagęszczeniu metodą Proctora. Kryterium przydatności takiej mieszanki, pod względem uziarnienia, jest spełnione, jeżeli uziarnienie mieszanki po pięciokrotnym zagęszczeniu metodą Proctora mieści się w krzywych granicznych podanych na odpowiednich rysunkach 1÷3.  </w:t>
      </w:r>
    </w:p>
    <w:p w14:paraId="494B36AE"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p>
    <w:p w14:paraId="657D86C7" w14:textId="77777777" w:rsidR="00955A27" w:rsidRPr="001667DB" w:rsidRDefault="00AB678D" w:rsidP="00955A27">
      <w:pPr>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pict w14:anchorId="7606D0DB">
          <v:shape id="_x0000_i1025" type="#_x0000_t75" style="width:439.5pt;height:193.5pt">
            <v:imagedata r:id="rId21" o:title="WT4str21r1"/>
          </v:shape>
        </w:pict>
      </w:r>
    </w:p>
    <w:p w14:paraId="1BA86AC5"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2714BF51"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t>Rys. 1. Krzywe graniczne uziarnienia mieszanki kruszywa niezwiązanego 0/31,5 mm do warstw podbudowy pomocniczej</w:t>
      </w:r>
    </w:p>
    <w:p w14:paraId="61FC3F4B"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p>
    <w:p w14:paraId="25151B48"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p>
    <w:p w14:paraId="35C45660" w14:textId="77777777" w:rsidR="00955A27" w:rsidRPr="001667DB" w:rsidRDefault="00AB678D" w:rsidP="00955A27">
      <w:pPr>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pict w14:anchorId="7E875E29">
          <v:shape id="_x0000_i1026" type="#_x0000_t75" style="width:439.5pt;height:193.5pt">
            <v:imagedata r:id="rId22" o:title="WT4str21r2"/>
          </v:shape>
        </w:pict>
      </w:r>
    </w:p>
    <w:p w14:paraId="483263B6"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502817DB"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t>Rys. 2. Krzywe graniczne uziarnienia mieszanki kruszywa niezwiązanego 0/45 mm do warstw podbudowy pomocniczej</w:t>
      </w:r>
    </w:p>
    <w:p w14:paraId="2D280520"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3596AEC" w14:textId="77777777" w:rsidR="00955A27" w:rsidRPr="001667DB" w:rsidRDefault="00AB678D"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Pr>
          <w:color w:val="000000" w:themeColor="text1"/>
          <w:sz w:val="22"/>
          <w:szCs w:val="22"/>
        </w:rPr>
        <w:pict w14:anchorId="2A344DCC">
          <v:shape id="_x0000_i1027" type="#_x0000_t75" style="width:439.5pt;height:194.25pt">
            <v:imagedata r:id="rId23" o:title="WT4str22"/>
          </v:shape>
        </w:pict>
      </w:r>
    </w:p>
    <w:p w14:paraId="4867D8D1"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t>Rys. 3. Krzywe graniczne uziarnienia mieszanki kruszywa niezwiązanego 0/63 mm do warstw podbudowy pomocniczej</w:t>
      </w:r>
    </w:p>
    <w:p w14:paraId="52F5B82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37A644B3"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Oprócz wymagań podanych na rysunkach od 1 do 3, wymaga się aby 90% uziarnień mieszanek zbadanych w ramach ZKP w okresie 6 miesięcy spełniało wymagania kategorii podanych w tablicach 2 i 3, aby zapewnić jednorodność i ciągłość uziarnienia mieszanek.</w:t>
      </w:r>
    </w:p>
    <w:p w14:paraId="00A6580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Tablica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Proctora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754"/>
        <w:gridCol w:w="754"/>
        <w:gridCol w:w="754"/>
        <w:gridCol w:w="754"/>
        <w:gridCol w:w="754"/>
        <w:gridCol w:w="754"/>
        <w:gridCol w:w="754"/>
        <w:gridCol w:w="754"/>
        <w:gridCol w:w="754"/>
        <w:gridCol w:w="754"/>
      </w:tblGrid>
      <w:tr w:rsidR="00955A27" w:rsidRPr="001667DB" w14:paraId="6778AC95" w14:textId="77777777" w:rsidTr="001B4B8F">
        <w:tc>
          <w:tcPr>
            <w:tcW w:w="1463" w:type="dxa"/>
            <w:vMerge w:val="restart"/>
            <w:tcBorders>
              <w:bottom w:val="double" w:sz="4" w:space="0" w:color="auto"/>
            </w:tcBorders>
          </w:tcPr>
          <w:p w14:paraId="088BC59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Mieszanka niezwiązana, mm</w:t>
            </w:r>
          </w:p>
        </w:tc>
        <w:tc>
          <w:tcPr>
            <w:tcW w:w="7540" w:type="dxa"/>
            <w:gridSpan w:val="10"/>
            <w:tcBorders>
              <w:bottom w:val="single" w:sz="4" w:space="0" w:color="auto"/>
            </w:tcBorders>
          </w:tcPr>
          <w:p w14:paraId="7527B21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Porównanie z deklarowaną przez producenta wartością (S)</w:t>
            </w:r>
          </w:p>
          <w:p w14:paraId="0EE7A38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Tolerancje przesiewu przez sito (mm), % (m/m)</w:t>
            </w:r>
          </w:p>
        </w:tc>
      </w:tr>
      <w:tr w:rsidR="00955A27" w:rsidRPr="001667DB" w14:paraId="436980AD" w14:textId="77777777" w:rsidTr="001B4B8F">
        <w:tc>
          <w:tcPr>
            <w:tcW w:w="1463" w:type="dxa"/>
            <w:vMerge/>
            <w:tcBorders>
              <w:bottom w:val="double" w:sz="4" w:space="0" w:color="auto"/>
            </w:tcBorders>
          </w:tcPr>
          <w:p w14:paraId="1B81C1B9"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754" w:type="dxa"/>
            <w:tcBorders>
              <w:bottom w:val="double" w:sz="4" w:space="0" w:color="auto"/>
            </w:tcBorders>
            <w:shd w:val="clear" w:color="auto" w:fill="auto"/>
          </w:tcPr>
          <w:p w14:paraId="5BF197C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0,5</w:t>
            </w:r>
          </w:p>
        </w:tc>
        <w:tc>
          <w:tcPr>
            <w:tcW w:w="754" w:type="dxa"/>
            <w:tcBorders>
              <w:bottom w:val="double" w:sz="4" w:space="0" w:color="auto"/>
            </w:tcBorders>
            <w:shd w:val="clear" w:color="auto" w:fill="auto"/>
          </w:tcPr>
          <w:p w14:paraId="5E5837E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754" w:type="dxa"/>
            <w:tcBorders>
              <w:bottom w:val="double" w:sz="4" w:space="0" w:color="auto"/>
            </w:tcBorders>
            <w:shd w:val="clear" w:color="auto" w:fill="auto"/>
          </w:tcPr>
          <w:p w14:paraId="79669DB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754" w:type="dxa"/>
            <w:tcBorders>
              <w:bottom w:val="double" w:sz="4" w:space="0" w:color="auto"/>
            </w:tcBorders>
            <w:shd w:val="clear" w:color="auto" w:fill="auto"/>
          </w:tcPr>
          <w:p w14:paraId="70BD8A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54" w:type="dxa"/>
            <w:tcBorders>
              <w:bottom w:val="double" w:sz="4" w:space="0" w:color="auto"/>
            </w:tcBorders>
            <w:shd w:val="clear" w:color="auto" w:fill="auto"/>
          </w:tcPr>
          <w:p w14:paraId="326948F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754" w:type="dxa"/>
            <w:tcBorders>
              <w:bottom w:val="double" w:sz="4" w:space="0" w:color="auto"/>
            </w:tcBorders>
            <w:shd w:val="clear" w:color="auto" w:fill="auto"/>
          </w:tcPr>
          <w:p w14:paraId="0C20128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754" w:type="dxa"/>
            <w:tcBorders>
              <w:bottom w:val="double" w:sz="4" w:space="0" w:color="auto"/>
            </w:tcBorders>
            <w:shd w:val="clear" w:color="auto" w:fill="auto"/>
          </w:tcPr>
          <w:p w14:paraId="4572A73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11,2</w:t>
            </w:r>
          </w:p>
        </w:tc>
        <w:tc>
          <w:tcPr>
            <w:tcW w:w="754" w:type="dxa"/>
            <w:tcBorders>
              <w:bottom w:val="double" w:sz="4" w:space="0" w:color="auto"/>
            </w:tcBorders>
            <w:shd w:val="clear" w:color="auto" w:fill="auto"/>
          </w:tcPr>
          <w:p w14:paraId="5A86E13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754" w:type="dxa"/>
            <w:tcBorders>
              <w:bottom w:val="double" w:sz="4" w:space="0" w:color="auto"/>
            </w:tcBorders>
            <w:shd w:val="clear" w:color="auto" w:fill="auto"/>
          </w:tcPr>
          <w:p w14:paraId="037A15A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22,4</w:t>
            </w:r>
          </w:p>
        </w:tc>
        <w:tc>
          <w:tcPr>
            <w:tcW w:w="754" w:type="dxa"/>
            <w:tcBorders>
              <w:bottom w:val="double" w:sz="4" w:space="0" w:color="auto"/>
            </w:tcBorders>
            <w:shd w:val="clear" w:color="auto" w:fill="auto"/>
          </w:tcPr>
          <w:p w14:paraId="7D9E77D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31,5</w:t>
            </w:r>
          </w:p>
        </w:tc>
      </w:tr>
      <w:tr w:rsidR="00955A27" w:rsidRPr="001667DB" w14:paraId="07CEF419" w14:textId="77777777" w:rsidTr="001B4B8F">
        <w:tc>
          <w:tcPr>
            <w:tcW w:w="1463" w:type="dxa"/>
            <w:tcBorders>
              <w:top w:val="double" w:sz="4" w:space="0" w:color="auto"/>
            </w:tcBorders>
          </w:tcPr>
          <w:p w14:paraId="417A3E9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0/31,5</w:t>
            </w:r>
          </w:p>
        </w:tc>
        <w:tc>
          <w:tcPr>
            <w:tcW w:w="754" w:type="dxa"/>
            <w:tcBorders>
              <w:top w:val="double" w:sz="4" w:space="0" w:color="auto"/>
            </w:tcBorders>
            <w:shd w:val="clear" w:color="auto" w:fill="auto"/>
          </w:tcPr>
          <w:p w14:paraId="09C02D9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tcBorders>
              <w:top w:val="double" w:sz="4" w:space="0" w:color="auto"/>
            </w:tcBorders>
            <w:shd w:val="clear" w:color="auto" w:fill="auto"/>
          </w:tcPr>
          <w:p w14:paraId="2CA150D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tcBorders>
              <w:top w:val="double" w:sz="4" w:space="0" w:color="auto"/>
            </w:tcBorders>
            <w:shd w:val="clear" w:color="auto" w:fill="auto"/>
          </w:tcPr>
          <w:p w14:paraId="43A8472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tcBorders>
              <w:top w:val="double" w:sz="4" w:space="0" w:color="auto"/>
            </w:tcBorders>
            <w:shd w:val="clear" w:color="auto" w:fill="auto"/>
          </w:tcPr>
          <w:p w14:paraId="29BDF88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77F46C0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tcBorders>
              <w:top w:val="double" w:sz="4" w:space="0" w:color="auto"/>
            </w:tcBorders>
            <w:shd w:val="clear" w:color="auto" w:fill="auto"/>
          </w:tcPr>
          <w:p w14:paraId="76E1DEC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522B563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tcBorders>
              <w:top w:val="double" w:sz="4" w:space="0" w:color="auto"/>
            </w:tcBorders>
            <w:shd w:val="clear" w:color="auto" w:fill="auto"/>
          </w:tcPr>
          <w:p w14:paraId="6397A6E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4BEA5F08"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754" w:type="dxa"/>
            <w:tcBorders>
              <w:top w:val="double" w:sz="4" w:space="0" w:color="auto"/>
            </w:tcBorders>
            <w:shd w:val="clear" w:color="auto" w:fill="auto"/>
          </w:tcPr>
          <w:p w14:paraId="794C8673"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r w:rsidR="00955A27" w:rsidRPr="001667DB" w14:paraId="16DD95C9" w14:textId="77777777" w:rsidTr="001B4B8F">
        <w:tc>
          <w:tcPr>
            <w:tcW w:w="1463" w:type="dxa"/>
          </w:tcPr>
          <w:p w14:paraId="2977228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0/45</w:t>
            </w:r>
          </w:p>
        </w:tc>
        <w:tc>
          <w:tcPr>
            <w:tcW w:w="754" w:type="dxa"/>
            <w:shd w:val="clear" w:color="auto" w:fill="auto"/>
          </w:tcPr>
          <w:p w14:paraId="5A7528E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5BB004A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0AAF84D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shd w:val="clear" w:color="auto" w:fill="auto"/>
          </w:tcPr>
          <w:p w14:paraId="0A87DD7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1948AC6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140B84E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18F73BD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5FBF3C0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466E0C9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06E4E97A"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r w:rsidR="00955A27" w:rsidRPr="001667DB" w14:paraId="61E4E58E" w14:textId="77777777" w:rsidTr="001B4B8F">
        <w:tc>
          <w:tcPr>
            <w:tcW w:w="1463" w:type="dxa"/>
          </w:tcPr>
          <w:p w14:paraId="4DC7F6C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0/63</w:t>
            </w:r>
          </w:p>
        </w:tc>
        <w:tc>
          <w:tcPr>
            <w:tcW w:w="754" w:type="dxa"/>
            <w:shd w:val="clear" w:color="auto" w:fill="auto"/>
          </w:tcPr>
          <w:p w14:paraId="0B539B1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2172B1C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481AFE0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4E8F369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shd w:val="clear" w:color="auto" w:fill="auto"/>
          </w:tcPr>
          <w:p w14:paraId="672F257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16BD067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6CAD107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465C8E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67CFC6A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2905E31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r>
    </w:tbl>
    <w:p w14:paraId="25476562"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3F09308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Krzywa uziarnienia (S) deklarowana przez producenta mieszanek powinna nie tylko mieścić się w odpowiednich krzywych uziarnienia (rys. 1÷3) ograniczonych przerywanymi liniami (SDV) z uwzględnieniem dopuszczalnych tolerancji podanych w tablicy 2, ale powinna spełniać także wymagania ciągłości uziarnienia zawarte w tablicy 3.</w:t>
      </w:r>
    </w:p>
    <w:p w14:paraId="5E9863CB" w14:textId="77777777" w:rsidR="00955A27" w:rsidRPr="001667DB" w:rsidRDefault="00955A27" w:rsidP="00955A27">
      <w:pPr>
        <w:spacing w:after="120" w:line="360" w:lineRule="auto"/>
        <w:ind w:left="1202" w:hanging="1202"/>
        <w:jc w:val="both"/>
        <w:rPr>
          <w:rFonts w:ascii="Times New Roman" w:hAnsi="Times New Roman" w:cs="Times New Roman"/>
          <w:color w:val="000000" w:themeColor="text1"/>
        </w:rPr>
      </w:pPr>
    </w:p>
    <w:p w14:paraId="17394308" w14:textId="77777777" w:rsidR="00955A27" w:rsidRPr="001667DB" w:rsidRDefault="00955A27" w:rsidP="00955A27">
      <w:pPr>
        <w:spacing w:after="120" w:line="360" w:lineRule="auto"/>
        <w:ind w:left="1202" w:hanging="1202"/>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3. Wymagania wobec ciągłości uziarnienia na sitach kontrolnych – różnice w przesiewach podczas badań kontrolnych produkowanych mieszanek</w:t>
      </w: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532"/>
        <w:gridCol w:w="517"/>
        <w:gridCol w:w="532"/>
        <w:gridCol w:w="517"/>
        <w:gridCol w:w="532"/>
        <w:gridCol w:w="518"/>
        <w:gridCol w:w="533"/>
        <w:gridCol w:w="518"/>
        <w:gridCol w:w="533"/>
        <w:gridCol w:w="518"/>
        <w:gridCol w:w="533"/>
        <w:gridCol w:w="518"/>
        <w:gridCol w:w="533"/>
        <w:gridCol w:w="518"/>
        <w:gridCol w:w="533"/>
        <w:gridCol w:w="518"/>
      </w:tblGrid>
      <w:tr w:rsidR="00955A27" w:rsidRPr="001667DB" w14:paraId="453778E5" w14:textId="77777777" w:rsidTr="001B4B8F">
        <w:tc>
          <w:tcPr>
            <w:tcW w:w="703" w:type="dxa"/>
            <w:vMerge w:val="restart"/>
          </w:tcPr>
          <w:p w14:paraId="0ACD4D0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Mie-szan-ka, mm</w:t>
            </w:r>
          </w:p>
        </w:tc>
        <w:tc>
          <w:tcPr>
            <w:tcW w:w="8285" w:type="dxa"/>
            <w:gridSpan w:val="16"/>
          </w:tcPr>
          <w:p w14:paraId="01116F4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i maksymalna zawartość frakcji w mieszankach;</w:t>
            </w:r>
          </w:p>
          <w:p w14:paraId="14E58BF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[różnice przesiewów w % (m/m) przez sito (mm)]</w:t>
            </w:r>
          </w:p>
        </w:tc>
      </w:tr>
      <w:tr w:rsidR="00955A27" w:rsidRPr="001667DB" w14:paraId="5166BF43" w14:textId="77777777" w:rsidTr="001B4B8F">
        <w:tc>
          <w:tcPr>
            <w:tcW w:w="703" w:type="dxa"/>
            <w:vMerge/>
          </w:tcPr>
          <w:p w14:paraId="7C25B953"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997" w:type="dxa"/>
            <w:gridSpan w:val="2"/>
            <w:tcBorders>
              <w:bottom w:val="single" w:sz="4" w:space="0" w:color="auto"/>
            </w:tcBorders>
          </w:tcPr>
          <w:p w14:paraId="4E439C4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1030" w:type="dxa"/>
            <w:gridSpan w:val="2"/>
            <w:tcBorders>
              <w:bottom w:val="single" w:sz="4" w:space="0" w:color="auto"/>
            </w:tcBorders>
          </w:tcPr>
          <w:p w14:paraId="12CF958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997" w:type="dxa"/>
            <w:gridSpan w:val="2"/>
            <w:tcBorders>
              <w:bottom w:val="single" w:sz="4" w:space="0" w:color="auto"/>
            </w:tcBorders>
          </w:tcPr>
          <w:p w14:paraId="40A8434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2/5,6</w:t>
            </w:r>
          </w:p>
        </w:tc>
        <w:tc>
          <w:tcPr>
            <w:tcW w:w="997" w:type="dxa"/>
            <w:gridSpan w:val="2"/>
            <w:tcBorders>
              <w:bottom w:val="single" w:sz="4" w:space="0" w:color="auto"/>
            </w:tcBorders>
          </w:tcPr>
          <w:p w14:paraId="122A79A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4/8</w:t>
            </w:r>
          </w:p>
        </w:tc>
        <w:tc>
          <w:tcPr>
            <w:tcW w:w="1071" w:type="dxa"/>
            <w:gridSpan w:val="2"/>
            <w:tcBorders>
              <w:bottom w:val="single" w:sz="4" w:space="0" w:color="auto"/>
            </w:tcBorders>
          </w:tcPr>
          <w:p w14:paraId="0288BFC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5,6/11,2</w:t>
            </w:r>
          </w:p>
        </w:tc>
        <w:tc>
          <w:tcPr>
            <w:tcW w:w="1071" w:type="dxa"/>
            <w:gridSpan w:val="2"/>
            <w:tcBorders>
              <w:bottom w:val="single" w:sz="4" w:space="0" w:color="auto"/>
            </w:tcBorders>
          </w:tcPr>
          <w:p w14:paraId="5330ED4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8/16</w:t>
            </w:r>
          </w:p>
        </w:tc>
        <w:tc>
          <w:tcPr>
            <w:tcW w:w="1123" w:type="dxa"/>
            <w:gridSpan w:val="2"/>
            <w:tcBorders>
              <w:bottom w:val="single" w:sz="4" w:space="0" w:color="auto"/>
            </w:tcBorders>
          </w:tcPr>
          <w:p w14:paraId="170CD14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11,2/22,4</w:t>
            </w:r>
          </w:p>
        </w:tc>
        <w:tc>
          <w:tcPr>
            <w:tcW w:w="999" w:type="dxa"/>
            <w:gridSpan w:val="2"/>
            <w:tcBorders>
              <w:bottom w:val="single" w:sz="4" w:space="0" w:color="auto"/>
            </w:tcBorders>
          </w:tcPr>
          <w:p w14:paraId="61C4AE7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16/31,5</w:t>
            </w:r>
          </w:p>
        </w:tc>
      </w:tr>
      <w:tr w:rsidR="00955A27" w:rsidRPr="001667DB" w14:paraId="73FA905F" w14:textId="77777777" w:rsidTr="001B4B8F">
        <w:tc>
          <w:tcPr>
            <w:tcW w:w="703" w:type="dxa"/>
            <w:vMerge/>
            <w:tcBorders>
              <w:bottom w:val="double" w:sz="4" w:space="0" w:color="auto"/>
            </w:tcBorders>
          </w:tcPr>
          <w:p w14:paraId="6DC43C9D"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505" w:type="dxa"/>
            <w:tcBorders>
              <w:bottom w:val="double" w:sz="4" w:space="0" w:color="auto"/>
            </w:tcBorders>
            <w:shd w:val="clear" w:color="auto" w:fill="auto"/>
          </w:tcPr>
          <w:p w14:paraId="1C56339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3207137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21" w:type="dxa"/>
            <w:tcBorders>
              <w:bottom w:val="double" w:sz="4" w:space="0" w:color="auto"/>
            </w:tcBorders>
            <w:shd w:val="clear" w:color="auto" w:fill="auto"/>
          </w:tcPr>
          <w:p w14:paraId="548342C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09" w:type="dxa"/>
            <w:tcBorders>
              <w:bottom w:val="double" w:sz="4" w:space="0" w:color="auto"/>
            </w:tcBorders>
            <w:shd w:val="clear" w:color="auto" w:fill="auto"/>
          </w:tcPr>
          <w:p w14:paraId="4AA5B81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529518F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3CEC5D5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52C53AE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7372870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0BB2740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66" w:type="dxa"/>
            <w:tcBorders>
              <w:bottom w:val="double" w:sz="4" w:space="0" w:color="auto"/>
            </w:tcBorders>
            <w:shd w:val="clear" w:color="auto" w:fill="auto"/>
          </w:tcPr>
          <w:p w14:paraId="581A06C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7983297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66" w:type="dxa"/>
            <w:tcBorders>
              <w:bottom w:val="double" w:sz="4" w:space="0" w:color="auto"/>
            </w:tcBorders>
            <w:shd w:val="clear" w:color="auto" w:fill="auto"/>
          </w:tcPr>
          <w:p w14:paraId="37DB331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45" w:type="dxa"/>
            <w:tcBorders>
              <w:bottom w:val="double" w:sz="4" w:space="0" w:color="auto"/>
            </w:tcBorders>
            <w:shd w:val="clear" w:color="auto" w:fill="auto"/>
          </w:tcPr>
          <w:p w14:paraId="6F42F5D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78" w:type="dxa"/>
            <w:tcBorders>
              <w:bottom w:val="double" w:sz="4" w:space="0" w:color="auto"/>
            </w:tcBorders>
            <w:shd w:val="clear" w:color="auto" w:fill="auto"/>
          </w:tcPr>
          <w:p w14:paraId="76DEB4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7" w:type="dxa"/>
            <w:tcBorders>
              <w:bottom w:val="double" w:sz="4" w:space="0" w:color="auto"/>
            </w:tcBorders>
            <w:shd w:val="clear" w:color="auto" w:fill="auto"/>
          </w:tcPr>
          <w:p w14:paraId="58CD681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5B1FF4A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r>
      <w:tr w:rsidR="00955A27" w:rsidRPr="001667DB" w14:paraId="02733618" w14:textId="77777777" w:rsidTr="001B4B8F">
        <w:tc>
          <w:tcPr>
            <w:tcW w:w="703" w:type="dxa"/>
            <w:tcBorders>
              <w:top w:val="double" w:sz="4" w:space="0" w:color="auto"/>
            </w:tcBorders>
          </w:tcPr>
          <w:p w14:paraId="6E81928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0/31,5</w:t>
            </w:r>
          </w:p>
        </w:tc>
        <w:tc>
          <w:tcPr>
            <w:tcW w:w="505" w:type="dxa"/>
            <w:tcBorders>
              <w:top w:val="double" w:sz="4" w:space="0" w:color="auto"/>
            </w:tcBorders>
            <w:shd w:val="clear" w:color="auto" w:fill="auto"/>
          </w:tcPr>
          <w:p w14:paraId="7BE050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492" w:type="dxa"/>
            <w:tcBorders>
              <w:top w:val="double" w:sz="4" w:space="0" w:color="auto"/>
            </w:tcBorders>
            <w:shd w:val="clear" w:color="auto" w:fill="auto"/>
          </w:tcPr>
          <w:p w14:paraId="676F46F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21" w:type="dxa"/>
            <w:tcBorders>
              <w:top w:val="double" w:sz="4" w:space="0" w:color="auto"/>
            </w:tcBorders>
            <w:shd w:val="clear" w:color="auto" w:fill="auto"/>
          </w:tcPr>
          <w:p w14:paraId="3302AC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509" w:type="dxa"/>
            <w:tcBorders>
              <w:top w:val="double" w:sz="4" w:space="0" w:color="auto"/>
            </w:tcBorders>
            <w:shd w:val="clear" w:color="auto" w:fill="auto"/>
          </w:tcPr>
          <w:p w14:paraId="08AD09D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tcBorders>
              <w:top w:val="double" w:sz="4" w:space="0" w:color="auto"/>
            </w:tcBorders>
            <w:shd w:val="clear" w:color="auto" w:fill="auto"/>
          </w:tcPr>
          <w:p w14:paraId="715F929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tcBorders>
              <w:top w:val="double" w:sz="4" w:space="0" w:color="auto"/>
            </w:tcBorders>
            <w:shd w:val="clear" w:color="auto" w:fill="auto"/>
          </w:tcPr>
          <w:p w14:paraId="7A876CA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tcBorders>
              <w:top w:val="double" w:sz="4" w:space="0" w:color="auto"/>
            </w:tcBorders>
            <w:shd w:val="clear" w:color="auto" w:fill="auto"/>
          </w:tcPr>
          <w:p w14:paraId="385FBC0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492" w:type="dxa"/>
            <w:tcBorders>
              <w:top w:val="double" w:sz="4" w:space="0" w:color="auto"/>
            </w:tcBorders>
            <w:shd w:val="clear" w:color="auto" w:fill="auto"/>
          </w:tcPr>
          <w:p w14:paraId="4BBC1F8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5" w:type="dxa"/>
            <w:tcBorders>
              <w:top w:val="double" w:sz="4" w:space="0" w:color="auto"/>
            </w:tcBorders>
            <w:shd w:val="clear" w:color="auto" w:fill="auto"/>
          </w:tcPr>
          <w:p w14:paraId="0B1305A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tcBorders>
              <w:top w:val="double" w:sz="4" w:space="0" w:color="auto"/>
            </w:tcBorders>
            <w:shd w:val="clear" w:color="auto" w:fill="auto"/>
          </w:tcPr>
          <w:p w14:paraId="73CC3E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tcBorders>
              <w:top w:val="double" w:sz="4" w:space="0" w:color="auto"/>
            </w:tcBorders>
            <w:shd w:val="clear" w:color="auto" w:fill="auto"/>
          </w:tcPr>
          <w:p w14:paraId="7D949FC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tcBorders>
              <w:top w:val="double" w:sz="4" w:space="0" w:color="auto"/>
            </w:tcBorders>
            <w:shd w:val="clear" w:color="auto" w:fill="auto"/>
          </w:tcPr>
          <w:p w14:paraId="49C2093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45" w:type="dxa"/>
            <w:tcBorders>
              <w:top w:val="double" w:sz="4" w:space="0" w:color="auto"/>
            </w:tcBorders>
            <w:shd w:val="clear" w:color="auto" w:fill="auto"/>
          </w:tcPr>
          <w:p w14:paraId="33E8ECF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78" w:type="dxa"/>
            <w:tcBorders>
              <w:top w:val="double" w:sz="4" w:space="0" w:color="auto"/>
            </w:tcBorders>
            <w:shd w:val="clear" w:color="auto" w:fill="auto"/>
          </w:tcPr>
          <w:p w14:paraId="09D83D2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7" w:type="dxa"/>
            <w:tcBorders>
              <w:top w:val="double" w:sz="4" w:space="0" w:color="auto"/>
            </w:tcBorders>
            <w:shd w:val="clear" w:color="auto" w:fill="auto"/>
          </w:tcPr>
          <w:p w14:paraId="47AE4D6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tcBorders>
              <w:top w:val="double" w:sz="4" w:space="0" w:color="auto"/>
            </w:tcBorders>
            <w:shd w:val="clear" w:color="auto" w:fill="auto"/>
          </w:tcPr>
          <w:p w14:paraId="04DBE1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2F2A5A2D" w14:textId="77777777" w:rsidTr="001B4B8F">
        <w:tc>
          <w:tcPr>
            <w:tcW w:w="703" w:type="dxa"/>
          </w:tcPr>
          <w:p w14:paraId="18EEF36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0/45</w:t>
            </w:r>
          </w:p>
        </w:tc>
        <w:tc>
          <w:tcPr>
            <w:tcW w:w="505" w:type="dxa"/>
            <w:shd w:val="clear" w:color="auto" w:fill="auto"/>
          </w:tcPr>
          <w:p w14:paraId="21FCE1E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492" w:type="dxa"/>
            <w:shd w:val="clear" w:color="auto" w:fill="auto"/>
          </w:tcPr>
          <w:p w14:paraId="7D744FA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21" w:type="dxa"/>
            <w:shd w:val="clear" w:color="auto" w:fill="auto"/>
          </w:tcPr>
          <w:p w14:paraId="7221DFD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9" w:type="dxa"/>
            <w:shd w:val="clear" w:color="auto" w:fill="auto"/>
          </w:tcPr>
          <w:p w14:paraId="1894167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042F90D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492" w:type="dxa"/>
            <w:shd w:val="clear" w:color="auto" w:fill="auto"/>
          </w:tcPr>
          <w:p w14:paraId="2FD4D41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shd w:val="clear" w:color="auto" w:fill="auto"/>
          </w:tcPr>
          <w:p w14:paraId="12D82DA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0A5B155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634F5A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shd w:val="clear" w:color="auto" w:fill="auto"/>
          </w:tcPr>
          <w:p w14:paraId="7641EA3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5" w:type="dxa"/>
            <w:shd w:val="clear" w:color="auto" w:fill="auto"/>
          </w:tcPr>
          <w:p w14:paraId="59C4648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shd w:val="clear" w:color="auto" w:fill="auto"/>
          </w:tcPr>
          <w:p w14:paraId="5E52643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45" w:type="dxa"/>
            <w:shd w:val="clear" w:color="auto" w:fill="auto"/>
          </w:tcPr>
          <w:p w14:paraId="19DA860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78" w:type="dxa"/>
            <w:shd w:val="clear" w:color="auto" w:fill="auto"/>
          </w:tcPr>
          <w:p w14:paraId="6F54159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7" w:type="dxa"/>
            <w:shd w:val="clear" w:color="auto" w:fill="auto"/>
          </w:tcPr>
          <w:p w14:paraId="07CDA01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768388F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7D249FB7" w14:textId="77777777" w:rsidTr="001B4B8F">
        <w:tc>
          <w:tcPr>
            <w:tcW w:w="703" w:type="dxa"/>
          </w:tcPr>
          <w:p w14:paraId="06D2404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0/63</w:t>
            </w:r>
          </w:p>
        </w:tc>
        <w:tc>
          <w:tcPr>
            <w:tcW w:w="505" w:type="dxa"/>
            <w:shd w:val="clear" w:color="auto" w:fill="auto"/>
          </w:tcPr>
          <w:p w14:paraId="4AF976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5F37A2F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21" w:type="dxa"/>
            <w:shd w:val="clear" w:color="auto" w:fill="auto"/>
          </w:tcPr>
          <w:p w14:paraId="7474D3C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509" w:type="dxa"/>
            <w:shd w:val="clear" w:color="auto" w:fill="auto"/>
          </w:tcPr>
          <w:p w14:paraId="40ED23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05" w:type="dxa"/>
            <w:shd w:val="clear" w:color="auto" w:fill="auto"/>
          </w:tcPr>
          <w:p w14:paraId="646B63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06E3126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5046536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492" w:type="dxa"/>
            <w:shd w:val="clear" w:color="auto" w:fill="auto"/>
          </w:tcPr>
          <w:p w14:paraId="34F9BF8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shd w:val="clear" w:color="auto" w:fill="auto"/>
          </w:tcPr>
          <w:p w14:paraId="6C3476B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shd w:val="clear" w:color="auto" w:fill="auto"/>
          </w:tcPr>
          <w:p w14:paraId="33BBA69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40F3EEB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shd w:val="clear" w:color="auto" w:fill="auto"/>
          </w:tcPr>
          <w:p w14:paraId="6919AAD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45" w:type="dxa"/>
            <w:shd w:val="clear" w:color="auto" w:fill="auto"/>
          </w:tcPr>
          <w:p w14:paraId="18BCA59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78" w:type="dxa"/>
            <w:shd w:val="clear" w:color="auto" w:fill="auto"/>
          </w:tcPr>
          <w:p w14:paraId="182992B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7" w:type="dxa"/>
            <w:shd w:val="clear" w:color="auto" w:fill="auto"/>
          </w:tcPr>
          <w:p w14:paraId="0DEEF9F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492" w:type="dxa"/>
            <w:shd w:val="clear" w:color="auto" w:fill="auto"/>
          </w:tcPr>
          <w:p w14:paraId="23F806A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r>
    </w:tbl>
    <w:p w14:paraId="01102845"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63E58B0C" w14:textId="77777777" w:rsidR="00955A27" w:rsidRPr="001667DB" w:rsidRDefault="00955A27" w:rsidP="00955A27">
      <w:pPr>
        <w:spacing w:after="120" w:line="360" w:lineRule="auto"/>
        <w:ind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r>
      <w:r w:rsidRPr="001667DB">
        <w:rPr>
          <w:rFonts w:ascii="Times New Roman" w:hAnsi="Times New Roman" w:cs="Times New Roman"/>
          <w:color w:val="000000" w:themeColor="text1"/>
        </w:rPr>
        <w:tab/>
        <w:t>Mieszanki kruszyw stosowane do warstw podbudów pomocniczych powinny spełniać wymagania wg tablicy 4. Wymagania wobec mieszanek przeznaczonych do warstw podbudowy pomocniczej odnośnie wrażliwości na mróz (wskaźnik SE), dotyczą badania materiału po pięciokrotnym zagęszczeniu metoda Proctora według PN-EN 13286-2 [21]. Nie stawia się wymagań wobec wodoprzepuszczalności zagęszczonej mieszanki niezwiązanej do podbudowy pomocniczej, o ile szczegółowe rozwiązania konstrukcyjne nie przewidują tego.</w:t>
      </w:r>
    </w:p>
    <w:p w14:paraId="78143D1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Zawartość wody w mieszankach kruszyw i gruntach powinna odpowiadać wymaganej zawartości wody w trakcie wbudowywania i zagęszczania określonej według  PN-EN 13286-2 [21], w granicach podanych w tablicy 4.</w:t>
      </w:r>
    </w:p>
    <w:p w14:paraId="3B78E96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Badanie CBR mieszanek do podbudowy pomocniczej należy wykonać na mieszance zagęszczonej do wskaźnika zagęszczenia Is = 1,0 i po 96 godzinach przechowywania jej w wodzie. CBR należy oznaczyć wg PN-EN 13286-47 [22], a wymaganie przyjąć wg tablicy 4.</w:t>
      </w:r>
    </w:p>
    <w:p w14:paraId="289F286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Istotne cechy środowiskowe</w:t>
      </w:r>
    </w:p>
    <w:p w14:paraId="7CDDC74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Zgodnie z dotychczasowymi doświadczeniami, dotyczącymi stosowania w drogownictwie mieszanek z kruszyw naturalnych oraz gruntów, można je zaliczyć do wyrobów budowlanych, które nie 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ostrożności. Przydatność takich kruszyw, jeśli jest to wymagane, może być oceniona zgodnie z wymaganiami w miejscu ich stosowania. W przypadkach wątpliwych należy uzyskać ocenę ekologiczną takiej mieszanki przez właściwe jednostki. </w:t>
      </w:r>
    </w:p>
    <w:p w14:paraId="633353D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wobec mieszanek</w:t>
      </w:r>
    </w:p>
    <w:p w14:paraId="4324905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tablicy 4 przedstawia się zbiorcze zestawienie wymagań wobec mieszanek kruszywa niezwiązanego w warstwie podbudowy pomocniczej.</w:t>
      </w:r>
    </w:p>
    <w:p w14:paraId="6CC116CA"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46943965" w14:textId="77777777" w:rsidR="00955A27" w:rsidRPr="001667DB" w:rsidRDefault="00955A27" w:rsidP="00955A27">
      <w:pPr>
        <w:pStyle w:val="Bezodstpw"/>
        <w:spacing w:after="120" w:line="360" w:lineRule="auto"/>
        <w:ind w:left="1321" w:hanging="1321"/>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Tablica 4. Wymagania wobec  mieszanek kruszywa niezwiązanego w warstwie podbudowy pomocniczej</w:t>
      </w:r>
    </w:p>
    <w:p w14:paraId="3F6AB4D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Skróty użyte w tablicy: Kat. – kategoria właściwości,   wsk. – wskaźnik, wsp. – współczynnik</w:t>
      </w:r>
    </w:p>
    <w:p w14:paraId="7BA7FA62" w14:textId="77777777" w:rsidR="00955A27" w:rsidRPr="001667DB" w:rsidRDefault="00955A27" w:rsidP="00955A27">
      <w:pPr>
        <w:pStyle w:val="Bezodstpw"/>
        <w:spacing w:after="120" w:line="360" w:lineRule="auto"/>
        <w:jc w:val="both"/>
        <w:rPr>
          <w:rFonts w:ascii="Times New Roman" w:hAnsi="Times New Roman" w:cs="Times New Roman"/>
          <w:color w:val="000000" w:themeColor="text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709"/>
        <w:gridCol w:w="5103"/>
      </w:tblGrid>
      <w:tr w:rsidR="00955A27" w:rsidRPr="001667DB" w14:paraId="7FCEF98D" w14:textId="77777777" w:rsidTr="001B4B8F">
        <w:tc>
          <w:tcPr>
            <w:tcW w:w="3085" w:type="dxa"/>
            <w:vMerge w:val="restart"/>
            <w:vAlign w:val="center"/>
          </w:tcPr>
          <w:p w14:paraId="763D8BD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Właściwość</w:t>
            </w:r>
          </w:p>
          <w:p w14:paraId="322ABC4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kruszywa</w:t>
            </w:r>
          </w:p>
        </w:tc>
        <w:tc>
          <w:tcPr>
            <w:tcW w:w="5812" w:type="dxa"/>
            <w:gridSpan w:val="2"/>
          </w:tcPr>
          <w:p w14:paraId="2C84DAE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mieszanek kruszywa niezwiązanego w warstwie podbudowy pomocniczej pod nawierzchnią drogi obciążonej ruchem  kategorii KR1 ÷ KR6</w:t>
            </w:r>
          </w:p>
        </w:tc>
      </w:tr>
      <w:tr w:rsidR="00955A27" w:rsidRPr="001667DB" w14:paraId="227C3EBD" w14:textId="77777777" w:rsidTr="001B4B8F">
        <w:trPr>
          <w:trHeight w:val="476"/>
        </w:trPr>
        <w:tc>
          <w:tcPr>
            <w:tcW w:w="3085" w:type="dxa"/>
            <w:vMerge/>
          </w:tcPr>
          <w:p w14:paraId="42489F6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vAlign w:val="center"/>
          </w:tcPr>
          <w:p w14:paraId="771895D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Punkt</w:t>
            </w:r>
          </w:p>
          <w:p w14:paraId="0538A43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6900561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13285</w:t>
            </w:r>
          </w:p>
        </w:tc>
        <w:tc>
          <w:tcPr>
            <w:tcW w:w="5103" w:type="dxa"/>
            <w:vAlign w:val="center"/>
          </w:tcPr>
          <w:p w14:paraId="4CF3FCE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w:t>
            </w:r>
          </w:p>
          <w:p w14:paraId="473A4BD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48F7539A" w14:textId="77777777" w:rsidTr="001B4B8F">
        <w:tc>
          <w:tcPr>
            <w:tcW w:w="3085" w:type="dxa"/>
          </w:tcPr>
          <w:p w14:paraId="137FA50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 mieszanek</w:t>
            </w:r>
          </w:p>
        </w:tc>
        <w:tc>
          <w:tcPr>
            <w:tcW w:w="709" w:type="dxa"/>
          </w:tcPr>
          <w:p w14:paraId="22EA417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4.3.1</w:t>
            </w:r>
          </w:p>
        </w:tc>
        <w:tc>
          <w:tcPr>
            <w:tcW w:w="5103" w:type="dxa"/>
          </w:tcPr>
          <w:p w14:paraId="0FDDBF0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0/31,5; 0/45; 0/63 mm</w:t>
            </w:r>
          </w:p>
        </w:tc>
      </w:tr>
      <w:tr w:rsidR="00955A27" w:rsidRPr="001667DB" w14:paraId="5D247350" w14:textId="77777777" w:rsidTr="001B4B8F">
        <w:trPr>
          <w:trHeight w:val="433"/>
        </w:trPr>
        <w:tc>
          <w:tcPr>
            <w:tcW w:w="3085" w:type="dxa"/>
          </w:tcPr>
          <w:p w14:paraId="534F1AC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Maksymalna zawartość pyłów:</w:t>
            </w:r>
          </w:p>
          <w:p w14:paraId="1CC32A5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Kat.UF</w:t>
            </w:r>
          </w:p>
        </w:tc>
        <w:tc>
          <w:tcPr>
            <w:tcW w:w="709" w:type="dxa"/>
          </w:tcPr>
          <w:p w14:paraId="063C5AF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5103" w:type="dxa"/>
          </w:tcPr>
          <w:p w14:paraId="5479BBB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UF</w:t>
            </w:r>
            <w:r w:rsidRPr="001667DB">
              <w:rPr>
                <w:rFonts w:ascii="Times New Roman" w:hAnsi="Times New Roman" w:cs="Times New Roman"/>
                <w:color w:val="000000" w:themeColor="text1"/>
                <w:sz w:val="22"/>
                <w:szCs w:val="22"/>
                <w:vertAlign w:val="subscript"/>
              </w:rPr>
              <w:t>12</w:t>
            </w:r>
            <w:r w:rsidRPr="001667DB">
              <w:rPr>
                <w:rFonts w:ascii="Times New Roman" w:hAnsi="Times New Roman" w:cs="Times New Roman"/>
                <w:color w:val="000000" w:themeColor="text1"/>
                <w:sz w:val="22"/>
                <w:szCs w:val="22"/>
              </w:rPr>
              <w:t xml:space="preserve">  (tj. masa frakcji przechodzącej przez sito 0,063 mm powinna być ≤ 12%)</w:t>
            </w:r>
          </w:p>
        </w:tc>
      </w:tr>
      <w:tr w:rsidR="00955A27" w:rsidRPr="001667DB" w14:paraId="4125B8DA" w14:textId="77777777" w:rsidTr="001B4B8F">
        <w:tc>
          <w:tcPr>
            <w:tcW w:w="3085" w:type="dxa"/>
          </w:tcPr>
          <w:p w14:paraId="5A68B79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Minimalna zawartość pyłów:</w:t>
            </w:r>
          </w:p>
          <w:p w14:paraId="7E586C3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Kat. LF </w:t>
            </w:r>
          </w:p>
        </w:tc>
        <w:tc>
          <w:tcPr>
            <w:tcW w:w="709" w:type="dxa"/>
          </w:tcPr>
          <w:p w14:paraId="213CF2B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5103" w:type="dxa"/>
          </w:tcPr>
          <w:p w14:paraId="3A393EA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LF</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wymagań)</w:t>
            </w:r>
          </w:p>
        </w:tc>
      </w:tr>
      <w:tr w:rsidR="00955A27" w:rsidRPr="001667DB" w14:paraId="21A08D89" w14:textId="77777777" w:rsidTr="001B4B8F">
        <w:trPr>
          <w:trHeight w:val="671"/>
        </w:trPr>
        <w:tc>
          <w:tcPr>
            <w:tcW w:w="3085" w:type="dxa"/>
          </w:tcPr>
          <w:p w14:paraId="5F316CC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nadziarna:</w:t>
            </w:r>
          </w:p>
          <w:p w14:paraId="062698C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Kat.OC</w:t>
            </w:r>
          </w:p>
        </w:tc>
        <w:tc>
          <w:tcPr>
            <w:tcW w:w="709" w:type="dxa"/>
          </w:tcPr>
          <w:p w14:paraId="11C01AF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4.3.3</w:t>
            </w:r>
          </w:p>
        </w:tc>
        <w:tc>
          <w:tcPr>
            <w:tcW w:w="5103" w:type="dxa"/>
          </w:tcPr>
          <w:p w14:paraId="11D7DF5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OC</w:t>
            </w:r>
            <w:r w:rsidRPr="001667DB">
              <w:rPr>
                <w:rFonts w:ascii="Times New Roman" w:hAnsi="Times New Roman" w:cs="Times New Roman"/>
                <w:color w:val="000000" w:themeColor="text1"/>
                <w:sz w:val="22"/>
                <w:szCs w:val="22"/>
                <w:vertAlign w:val="subscript"/>
              </w:rPr>
              <w:t>90</w:t>
            </w:r>
            <w:r w:rsidRPr="001667DB">
              <w:rPr>
                <w:rFonts w:ascii="Times New Roman" w:hAnsi="Times New Roman" w:cs="Times New Roman"/>
                <w:color w:val="000000" w:themeColor="text1"/>
                <w:sz w:val="22"/>
                <w:szCs w:val="22"/>
              </w:rPr>
              <w:t xml:space="preserve"> (tj. procent przechodzącej masy przez sito 1,4D</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xml:space="preserve"> powinien wynosić 100%, a przechodzącej przez sito D</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xml:space="preserve"> powinien wynosić 90-99%)</w:t>
            </w:r>
          </w:p>
        </w:tc>
      </w:tr>
      <w:tr w:rsidR="00955A27" w:rsidRPr="001667DB" w14:paraId="5DEB60A1" w14:textId="77777777" w:rsidTr="001B4B8F">
        <w:tc>
          <w:tcPr>
            <w:tcW w:w="3085" w:type="dxa"/>
          </w:tcPr>
          <w:p w14:paraId="276294B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uziarnienia</w:t>
            </w:r>
          </w:p>
        </w:tc>
        <w:tc>
          <w:tcPr>
            <w:tcW w:w="709" w:type="dxa"/>
          </w:tcPr>
          <w:p w14:paraId="0BEF0E9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4.4.1</w:t>
            </w:r>
          </w:p>
        </w:tc>
        <w:tc>
          <w:tcPr>
            <w:tcW w:w="5103" w:type="dxa"/>
          </w:tcPr>
          <w:p w14:paraId="6D0E6FF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Krzywe graniczne uziarnienia według rys. 1÷3</w:t>
            </w:r>
          </w:p>
        </w:tc>
      </w:tr>
      <w:tr w:rsidR="00955A27" w:rsidRPr="001667DB" w14:paraId="2632F37B" w14:textId="77777777" w:rsidTr="001B4B8F">
        <w:tc>
          <w:tcPr>
            <w:tcW w:w="3085" w:type="dxa"/>
          </w:tcPr>
          <w:p w14:paraId="29E6D5F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jednorodności uziarnienia poszczególnych partii – porównanie z deklarowaną przez producenta wartością (S)</w:t>
            </w:r>
          </w:p>
        </w:tc>
        <w:tc>
          <w:tcPr>
            <w:tcW w:w="709" w:type="dxa"/>
          </w:tcPr>
          <w:p w14:paraId="17ABE1B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4.4.2</w:t>
            </w:r>
          </w:p>
        </w:tc>
        <w:tc>
          <w:tcPr>
            <w:tcW w:w="5103" w:type="dxa"/>
          </w:tcPr>
          <w:p w14:paraId="37FDFF2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 tab. 2</w:t>
            </w:r>
          </w:p>
        </w:tc>
      </w:tr>
      <w:tr w:rsidR="00955A27" w:rsidRPr="001667DB" w14:paraId="23B2D4C3" w14:textId="77777777" w:rsidTr="001B4B8F">
        <w:tc>
          <w:tcPr>
            <w:tcW w:w="3085" w:type="dxa"/>
          </w:tcPr>
          <w:p w14:paraId="0BB38DE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jednorodności uziarnienia na sitach kontrolnych – różnice w przesiewach</w:t>
            </w:r>
          </w:p>
        </w:tc>
        <w:tc>
          <w:tcPr>
            <w:tcW w:w="709" w:type="dxa"/>
          </w:tcPr>
          <w:p w14:paraId="02569C3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4.4.2</w:t>
            </w:r>
          </w:p>
        </w:tc>
        <w:tc>
          <w:tcPr>
            <w:tcW w:w="5103" w:type="dxa"/>
          </w:tcPr>
          <w:p w14:paraId="4FB3117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 tab. 3</w:t>
            </w:r>
          </w:p>
        </w:tc>
      </w:tr>
      <w:tr w:rsidR="00955A27" w:rsidRPr="001667DB" w14:paraId="73209F7C" w14:textId="77777777" w:rsidTr="001B4B8F">
        <w:tc>
          <w:tcPr>
            <w:tcW w:w="3085" w:type="dxa"/>
          </w:tcPr>
          <w:p w14:paraId="1E98F9F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Wrażliwość na mróz; wskaźnik piaskowy SE</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co najmniej</w:t>
            </w:r>
          </w:p>
        </w:tc>
        <w:tc>
          <w:tcPr>
            <w:tcW w:w="709" w:type="dxa"/>
          </w:tcPr>
          <w:p w14:paraId="6DBAF46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03" w:type="dxa"/>
          </w:tcPr>
          <w:p w14:paraId="383F655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40</w:t>
            </w:r>
          </w:p>
        </w:tc>
      </w:tr>
      <w:tr w:rsidR="00955A27" w:rsidRPr="001667DB" w14:paraId="6CD988A6" w14:textId="77777777" w:rsidTr="001B4B8F">
        <w:tc>
          <w:tcPr>
            <w:tcW w:w="3085" w:type="dxa"/>
          </w:tcPr>
          <w:p w14:paraId="45935E2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rozdrabnianie (dotyczy frakcji 10/14 mm odsianej z mieszanki) wg PN-EN 1097-1 [12], kat. nie wyższa niż</w:t>
            </w:r>
          </w:p>
        </w:tc>
        <w:tc>
          <w:tcPr>
            <w:tcW w:w="709" w:type="dxa"/>
          </w:tcPr>
          <w:p w14:paraId="419076D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03" w:type="dxa"/>
          </w:tcPr>
          <w:p w14:paraId="5E2C843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LA</w:t>
            </w:r>
            <w:r w:rsidRPr="001667DB">
              <w:rPr>
                <w:rFonts w:ascii="Times New Roman" w:hAnsi="Times New Roman" w:cs="Times New Roman"/>
                <w:color w:val="000000" w:themeColor="text1"/>
                <w:sz w:val="22"/>
                <w:szCs w:val="22"/>
                <w:vertAlign w:val="subscript"/>
              </w:rPr>
              <w:t>40</w:t>
            </w:r>
            <w:r w:rsidRPr="001667DB">
              <w:rPr>
                <w:rFonts w:ascii="Times New Roman" w:hAnsi="Times New Roman" w:cs="Times New Roman"/>
                <w:color w:val="000000" w:themeColor="text1"/>
                <w:sz w:val="22"/>
                <w:szCs w:val="22"/>
              </w:rPr>
              <w:t xml:space="preserve">  (tj. współczynnik Los Angeles ≤ 40)</w:t>
            </w:r>
          </w:p>
        </w:tc>
      </w:tr>
      <w:tr w:rsidR="00955A27" w:rsidRPr="001667DB" w14:paraId="0744E7C4" w14:textId="77777777" w:rsidTr="001B4B8F">
        <w:tc>
          <w:tcPr>
            <w:tcW w:w="3085" w:type="dxa"/>
          </w:tcPr>
          <w:p w14:paraId="705C318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bscript"/>
              </w:rPr>
            </w:pPr>
            <w:r w:rsidRPr="001667DB">
              <w:rPr>
                <w:rFonts w:ascii="Times New Roman" w:hAnsi="Times New Roman" w:cs="Times New Roman"/>
                <w:color w:val="000000" w:themeColor="text1"/>
                <w:sz w:val="22"/>
                <w:szCs w:val="22"/>
              </w:rPr>
              <w:lastRenderedPageBreak/>
              <w:t>Odporność na ścieranie (dotyczy frakcji 10/14 mm odsianej z mieszanki) wg PN-EN 1097-1 [12], kat. M</w:t>
            </w:r>
            <w:r w:rsidRPr="001667DB">
              <w:rPr>
                <w:rFonts w:ascii="Times New Roman" w:hAnsi="Times New Roman" w:cs="Times New Roman"/>
                <w:color w:val="000000" w:themeColor="text1"/>
                <w:sz w:val="22"/>
                <w:szCs w:val="22"/>
                <w:vertAlign w:val="subscript"/>
              </w:rPr>
              <w:t>DE</w:t>
            </w:r>
          </w:p>
        </w:tc>
        <w:tc>
          <w:tcPr>
            <w:tcW w:w="709" w:type="dxa"/>
          </w:tcPr>
          <w:p w14:paraId="1BE3FC9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03" w:type="dxa"/>
          </w:tcPr>
          <w:p w14:paraId="145E789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Deklarowana</w:t>
            </w:r>
          </w:p>
        </w:tc>
      </w:tr>
      <w:tr w:rsidR="00955A27" w:rsidRPr="001667DB" w14:paraId="637C2195" w14:textId="77777777" w:rsidTr="001B4B8F">
        <w:tc>
          <w:tcPr>
            <w:tcW w:w="3085" w:type="dxa"/>
          </w:tcPr>
          <w:p w14:paraId="797BF27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Mrozoodporność (dotyczy frakcji kruszywa 8/16 mm odsianej z mieszanki) wg PN-EN 1367-1 [15]</w:t>
            </w:r>
          </w:p>
        </w:tc>
        <w:tc>
          <w:tcPr>
            <w:tcW w:w="709" w:type="dxa"/>
          </w:tcPr>
          <w:p w14:paraId="2310A14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03" w:type="dxa"/>
          </w:tcPr>
          <w:p w14:paraId="500824E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F7  (tj. zamrażanie-rozmrażanie, procent masy ≤ 7)</w:t>
            </w:r>
          </w:p>
        </w:tc>
      </w:tr>
      <w:tr w:rsidR="00955A27" w:rsidRPr="001667DB" w14:paraId="4E355C37" w14:textId="77777777" w:rsidTr="001B4B8F">
        <w:tc>
          <w:tcPr>
            <w:tcW w:w="3085" w:type="dxa"/>
          </w:tcPr>
          <w:p w14:paraId="2C213A6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Wartość CBR po zagęszczeniu do wskaźnika zagęszczenia I</w:t>
            </w:r>
            <w:r w:rsidRPr="001667DB">
              <w:rPr>
                <w:rFonts w:ascii="Times New Roman" w:hAnsi="Times New Roman" w:cs="Times New Roman"/>
                <w:color w:val="000000" w:themeColor="text1"/>
                <w:sz w:val="22"/>
                <w:szCs w:val="22"/>
                <w:vertAlign w:val="subscript"/>
              </w:rPr>
              <w:t>S</w:t>
            </w:r>
            <w:r w:rsidRPr="001667DB">
              <w:rPr>
                <w:rFonts w:ascii="Times New Roman" w:hAnsi="Times New Roman" w:cs="Times New Roman"/>
                <w:color w:val="000000" w:themeColor="text1"/>
                <w:sz w:val="22"/>
                <w:szCs w:val="22"/>
              </w:rPr>
              <w:t>=1,0 i moczeniu w wodzie 96 h, co najmniej</w:t>
            </w:r>
          </w:p>
        </w:tc>
        <w:tc>
          <w:tcPr>
            <w:tcW w:w="709" w:type="dxa"/>
          </w:tcPr>
          <w:p w14:paraId="11CA632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03" w:type="dxa"/>
          </w:tcPr>
          <w:p w14:paraId="1C49971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 60</w:t>
            </w:r>
          </w:p>
        </w:tc>
      </w:tr>
      <w:tr w:rsidR="00955A27" w:rsidRPr="001667DB" w14:paraId="4F8861E9" w14:textId="77777777" w:rsidTr="001B4B8F">
        <w:tc>
          <w:tcPr>
            <w:tcW w:w="3085" w:type="dxa"/>
          </w:tcPr>
          <w:p w14:paraId="701F792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Wodoprzepuszczalność mieszanki w warstwie odsączającej po zagęszczeniu metodą Proctora do wskaźnika zagęszczenia I</w:t>
            </w:r>
            <w:r w:rsidRPr="001667DB">
              <w:rPr>
                <w:rFonts w:ascii="Times New Roman" w:hAnsi="Times New Roman" w:cs="Times New Roman"/>
                <w:color w:val="000000" w:themeColor="text1"/>
                <w:sz w:val="22"/>
                <w:szCs w:val="22"/>
                <w:vertAlign w:val="subscript"/>
              </w:rPr>
              <w:t>S</w:t>
            </w:r>
            <w:r w:rsidRPr="001667DB">
              <w:rPr>
                <w:rFonts w:ascii="Times New Roman" w:hAnsi="Times New Roman" w:cs="Times New Roman"/>
                <w:color w:val="000000" w:themeColor="text1"/>
                <w:sz w:val="22"/>
                <w:szCs w:val="22"/>
              </w:rPr>
              <w:t>=1,0; wsp. filtracji ”k”, co najmniej cm/s</w:t>
            </w:r>
          </w:p>
        </w:tc>
        <w:tc>
          <w:tcPr>
            <w:tcW w:w="709" w:type="dxa"/>
          </w:tcPr>
          <w:p w14:paraId="0278B35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03" w:type="dxa"/>
          </w:tcPr>
          <w:p w14:paraId="6B845A4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wymagań</w:t>
            </w:r>
          </w:p>
        </w:tc>
      </w:tr>
      <w:tr w:rsidR="00955A27" w:rsidRPr="001667DB" w14:paraId="26525F01" w14:textId="77777777" w:rsidTr="001B4B8F">
        <w:tc>
          <w:tcPr>
            <w:tcW w:w="3085" w:type="dxa"/>
          </w:tcPr>
          <w:p w14:paraId="3E210BD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wody w mieszance zagęszczanej; % (m/m) wilgotności optymalnej wg metody Proctora</w:t>
            </w:r>
          </w:p>
        </w:tc>
        <w:tc>
          <w:tcPr>
            <w:tcW w:w="709" w:type="dxa"/>
          </w:tcPr>
          <w:p w14:paraId="14CF71E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03" w:type="dxa"/>
          </w:tcPr>
          <w:p w14:paraId="7550582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80-100</w:t>
            </w:r>
          </w:p>
        </w:tc>
      </w:tr>
    </w:tbl>
    <w:p w14:paraId="41138201" w14:textId="77777777" w:rsidR="00955A27" w:rsidRPr="001667DB" w:rsidRDefault="00955A27" w:rsidP="00955A27">
      <w:pPr>
        <w:spacing w:after="120" w:line="360" w:lineRule="auto"/>
        <w:jc w:val="both"/>
        <w:rPr>
          <w:rFonts w:ascii="Times New Roman" w:hAnsi="Times New Roman" w:cs="Times New Roman"/>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709"/>
        <w:gridCol w:w="5103"/>
      </w:tblGrid>
      <w:tr w:rsidR="00955A27" w:rsidRPr="001667DB" w14:paraId="117EE240" w14:textId="77777777" w:rsidTr="001B4B8F">
        <w:tc>
          <w:tcPr>
            <w:tcW w:w="3085" w:type="dxa"/>
          </w:tcPr>
          <w:p w14:paraId="246F35A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Inne cechy środowiskowe</w:t>
            </w:r>
          </w:p>
        </w:tc>
        <w:tc>
          <w:tcPr>
            <w:tcW w:w="709" w:type="dxa"/>
          </w:tcPr>
          <w:p w14:paraId="5969567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03" w:type="dxa"/>
          </w:tcPr>
          <w:p w14:paraId="3926685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14:paraId="4BBA6DA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w:t>
      </w:r>
      <w:r w:rsidRPr="001667DB">
        <w:rPr>
          <w:rFonts w:ascii="Times New Roman" w:hAnsi="Times New Roman" w:cs="Times New Roman"/>
          <w:color w:val="000000" w:themeColor="text1"/>
        </w:rPr>
        <w:t xml:space="preserve"> Gdy wartości obliczone z 1,4D oraz d/2 nie są dokładnymi wymiarami sit serii ISO 565/R20, należy przyjąć następny niższy wymiar sita. Jeśli D=90 mm należy przyjąć wymiar sita 125 mm jako wartość nadziarna.</w:t>
      </w:r>
    </w:p>
    <w:p w14:paraId="4A0D15D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lastRenderedPageBreak/>
        <w:t>**)</w:t>
      </w:r>
      <w:r w:rsidRPr="001667DB">
        <w:rPr>
          <w:rFonts w:ascii="Times New Roman" w:hAnsi="Times New Roman" w:cs="Times New Roman"/>
          <w:color w:val="000000" w:themeColor="text1"/>
        </w:rPr>
        <w:t xml:space="preserve"> Procentowa zawartość ziaren przechodzących przez sito D może być większa niż 99% masy, ale w takich przypadkach dostawca powinien zadeklarować typowe uziarnienie.</w:t>
      </w:r>
    </w:p>
    <w:p w14:paraId="730C2DE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 xml:space="preserve">***) </w:t>
      </w:r>
      <w:r w:rsidRPr="001667DB">
        <w:rPr>
          <w:rFonts w:ascii="Times New Roman" w:hAnsi="Times New Roman" w:cs="Times New Roman"/>
          <w:color w:val="000000" w:themeColor="text1"/>
        </w:rPr>
        <w:t>Badanie wskaźnika piaskowego SE należy wykonać na mieszance po pięciokrotnym zagęszczeniu metodą Proctora wg PN-EN 13286-2 [21].</w:t>
      </w:r>
    </w:p>
    <w:p w14:paraId="3549CB5D"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B0B7D88"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5.5. Odcinek próbny</w:t>
      </w:r>
    </w:p>
    <w:p w14:paraId="32DBC6F0"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 ST przewidziano potrzebę wykonania odcinka próbnego, to przed rozpoczęciem robót, w terminie uzgodnionym z Inżynierem, Wykonawca powinien wykonać odcinek próbny w celu: </w:t>
      </w:r>
    </w:p>
    <w:p w14:paraId="346BBAD5"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stwierdzenia czy właściwy jest sprzęt budowlany do produkcji mieszanki oraz jej rozkładania i zagęszczania,</w:t>
      </w:r>
    </w:p>
    <w:p w14:paraId="23EB4876"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określenia grubości wykonywanej warstwy w stanie luźnym, koniecznej do uzyskania wymaganej grubości warstwy po zagęszczeniu,</w:t>
      </w:r>
    </w:p>
    <w:p w14:paraId="14478A7F"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określenia liczby przejść sprzętu zagęszczającego, potrzebnej do uzyskania wymaganego wskaźnika zagęszczenia wykonywanej warstwy.</w:t>
      </w:r>
    </w:p>
    <w:p w14:paraId="1798E362"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 odcinku próbnym Wykonawca powinien użyć takich materiałów oraz sprzętu do mieszania, rozkładania i zagęszczania, jakie będą stosowane do wykonania warstwy.</w:t>
      </w:r>
    </w:p>
    <w:p w14:paraId="5F57F7BF"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odcinka próbnego powinna wynosić od 400  do 800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4CC84FB9"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Odcinek próbny powinien być zlokalizowany w miejscu wskazanym przez Inżyniera.</w:t>
      </w:r>
    </w:p>
    <w:p w14:paraId="3BA75748"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może przystąpić do wykonywania warstwy po zaakceptowaniu odcinka próbnego przez Inżyniera.</w:t>
      </w:r>
    </w:p>
    <w:p w14:paraId="1DCC2E4A"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3D188B2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5.6. Przygotowanie podłoża pod podbudowę pomocniczą</w:t>
      </w:r>
    </w:p>
    <w:p w14:paraId="719F087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5.6.1. </w:t>
      </w:r>
      <w:r w:rsidRPr="001667DB">
        <w:rPr>
          <w:rFonts w:ascii="Times New Roman" w:hAnsi="Times New Roman" w:cs="Times New Roman"/>
          <w:color w:val="000000" w:themeColor="text1"/>
        </w:rPr>
        <w:t>Rodzaje podłoża pod podbudową pomocniczą z kruszywa niezwiązanego</w:t>
      </w:r>
    </w:p>
    <w:p w14:paraId="7D14D15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zależności od ustaleń dokumentacji projektowej, podbudowę pomocniczą z kruszywa niezwiązanego można układać na:</w:t>
      </w:r>
    </w:p>
    <w:p w14:paraId="22B0BAAC" w14:textId="77777777" w:rsidR="00955A27" w:rsidRPr="001667DB" w:rsidRDefault="00955A27" w:rsidP="00904E6C">
      <w:pPr>
        <w:numPr>
          <w:ilvl w:val="0"/>
          <w:numId w:val="9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podłożu gruntowym,</w:t>
      </w:r>
    </w:p>
    <w:p w14:paraId="70F622E3" w14:textId="77777777" w:rsidR="00955A27" w:rsidRPr="001667DB" w:rsidRDefault="00955A27" w:rsidP="00904E6C">
      <w:pPr>
        <w:numPr>
          <w:ilvl w:val="0"/>
          <w:numId w:val="9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warstwie odsączającej,</w:t>
      </w:r>
    </w:p>
    <w:p w14:paraId="2DA54677" w14:textId="77777777" w:rsidR="00955A27" w:rsidRPr="001667DB" w:rsidRDefault="00955A27" w:rsidP="00904E6C">
      <w:pPr>
        <w:numPr>
          <w:ilvl w:val="0"/>
          <w:numId w:val="9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podłożu ulepszonym.</w:t>
      </w:r>
    </w:p>
    <w:p w14:paraId="388D2191" w14:textId="77777777" w:rsidR="00955A27" w:rsidRPr="001667DB" w:rsidRDefault="00955A27" w:rsidP="00955A27">
      <w:pPr>
        <w:spacing w:after="120" w:line="360" w:lineRule="auto"/>
        <w:ind w:left="-120" w:firstLin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zależności od potrzeb może wystąpić jeszcze potrzeba wykonania warstwy odcinającej.</w:t>
      </w:r>
    </w:p>
    <w:p w14:paraId="194D857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5.6.2.  </w:t>
      </w:r>
      <w:r w:rsidRPr="001667DB">
        <w:rPr>
          <w:rFonts w:ascii="Times New Roman" w:hAnsi="Times New Roman" w:cs="Times New Roman"/>
          <w:color w:val="000000" w:themeColor="text1"/>
        </w:rPr>
        <w:t>Przygotowanie podłoża gruntowego</w:t>
      </w:r>
    </w:p>
    <w:p w14:paraId="4E057B7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Jeśli dokumentacja projektowa przewiduje ułożenie podbudowy pomocniczej na podłożu gruntowym, to powinno ono spełniać wymagania określone w ST D-04.01.01 „Koryto wraz z profilowaniem i zagęszczeniem podłoża” [4] i OST D-02.00.00 „Roboty ziemne” [3]. Podłoże powinno być przygotowane zgodnie z wymaganiami określonymi w dokumentacji projektowej i ST.</w:t>
      </w:r>
    </w:p>
    <w:p w14:paraId="435DA91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przystąpić do wykonania koryta oraz profilowania i zagęszczania podłoża gruntowego bezpośrednio przed rozpoczęciem robót związanych z wykonaniem warstw nawierzchni. Wcześniejsze przystąpienie do wykonania koryta oraz profilowania i zagęszczania podłoża jest możliwe za zgodą Inżyniera, w korzystnych warunkach atmosferycznych.</w:t>
      </w:r>
    </w:p>
    <w:p w14:paraId="7B2DC28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Rodzaj sprzętu należy dostosować do rodzaju gruntu, w którym prowadzone są roboty i do trudności jego odspojenia.</w:t>
      </w:r>
    </w:p>
    <w:p w14:paraId="258CC50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Grunt odspojony w czasie wykonywania koryta powinien być wykorzystany zgodnie z ustaleniami dokumentacji projektowej i ST.</w:t>
      </w:r>
    </w:p>
    <w:p w14:paraId="2470886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wykonanym korycie, po wyprofilowaniu i zagęszczeniu podłoża nie może odbywać się ruch budowlany, niezwiązany bezpośrednio z wykonaniem podbudowy.</w:t>
      </w:r>
    </w:p>
    <w:p w14:paraId="0C2E650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 wyprofilowaniu i zagęszczeniu podłoże (koryto) powinno być utrzymywane w dobrym stanie. Jeśli uległo ono nadmiernemu zawilgoceniu, to do układania podbudowy pomocniczej można przystąpić dopiero po jego naturalnym osuszeniu. Po osuszeniu podłoża Inżynier oceni jego stan i ewentualnie zaleci wykonanie niezbędnych napraw.</w:t>
      </w:r>
    </w:p>
    <w:p w14:paraId="6AE5EC6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Mieszanki niezwiązane przeznaczone do wykonania podbudowy pomocniczej powinny spełniać wymagania dotyczące nieprzenikania cząstek pomiędzy warstwą podbudowy oraz podłożem gruntowym, zgodnie z zależnością:</w:t>
      </w:r>
    </w:p>
    <w:p w14:paraId="11AAC3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D</w:t>
      </w:r>
      <w:r w:rsidRPr="001667DB">
        <w:rPr>
          <w:rFonts w:ascii="Times New Roman" w:hAnsi="Times New Roman" w:cs="Times New Roman"/>
          <w:color w:val="000000" w:themeColor="text1"/>
          <w:vertAlign w:val="subscript"/>
        </w:rPr>
        <w:t>15</w:t>
      </w: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85</w:t>
      </w:r>
      <w:r w:rsidRPr="001667DB">
        <w:rPr>
          <w:rFonts w:ascii="Times New Roman" w:hAnsi="Times New Roman" w:cs="Times New Roman"/>
          <w:color w:val="000000" w:themeColor="text1"/>
        </w:rPr>
        <w:t xml:space="preserve"> ≤ 5</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(1)</w:t>
      </w:r>
    </w:p>
    <w:p w14:paraId="5F16D85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 której:</w:t>
      </w:r>
    </w:p>
    <w:p w14:paraId="0A75D1CE" w14:textId="77777777" w:rsidR="00955A27" w:rsidRPr="001667DB" w:rsidRDefault="00955A27" w:rsidP="00955A27">
      <w:pPr>
        <w:spacing w:after="120" w:line="360" w:lineRule="auto"/>
        <w:ind w:left="600" w:hanging="600"/>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 xml:space="preserve">15 </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vertAlign w:val="subscript"/>
        </w:rPr>
        <w:t xml:space="preserve">  </w:t>
      </w:r>
      <w:r w:rsidRPr="001667DB">
        <w:rPr>
          <w:rFonts w:ascii="Times New Roman" w:hAnsi="Times New Roman" w:cs="Times New Roman"/>
          <w:color w:val="000000" w:themeColor="text1"/>
        </w:rPr>
        <w:t>wymiar boku oczka sita w mm, przez które przechodzi 15% (m/m) ziaren mieszanki, z której jest wykonana warstwa podbudowy,</w:t>
      </w:r>
    </w:p>
    <w:p w14:paraId="64FE83A8" w14:textId="77777777" w:rsidR="00955A27" w:rsidRPr="001667DB" w:rsidRDefault="00955A27" w:rsidP="00955A27">
      <w:pPr>
        <w:spacing w:after="120" w:line="360" w:lineRule="auto"/>
        <w:ind w:left="601" w:hanging="601"/>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85</w:t>
      </w:r>
      <w:r w:rsidRPr="001667DB">
        <w:rPr>
          <w:rFonts w:ascii="Times New Roman" w:hAnsi="Times New Roman" w:cs="Times New Roman"/>
          <w:color w:val="000000" w:themeColor="text1"/>
        </w:rPr>
        <w:t xml:space="preserve"> - wymiar boku oczka sita w mm, przez które przechodzi 85% (m/m) ziaren gruntu podłoża.</w:t>
      </w:r>
    </w:p>
    <w:p w14:paraId="130DAA3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Jeżeli warunek (1) nie może być spełniony, to na podłożu gruntowym należy ułożyć warstwę odcinającą z drobnego kruszywa lub geowłókniny (geotkaniny). Ochronne właściwości geowłókniny /geotkaniny przeciw przenikaniu drobnych ziaren gruntu podłoża, wyznacza się z warunku:</w:t>
      </w:r>
    </w:p>
    <w:p w14:paraId="0E48905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d</w:t>
      </w:r>
      <w:r w:rsidRPr="001667DB">
        <w:rPr>
          <w:rFonts w:ascii="Times New Roman" w:hAnsi="Times New Roman" w:cs="Times New Roman"/>
          <w:color w:val="000000" w:themeColor="text1"/>
          <w:vertAlign w:val="subscript"/>
        </w:rPr>
        <w:t>50</w:t>
      </w:r>
      <w:r w:rsidRPr="001667DB">
        <w:rPr>
          <w:rFonts w:ascii="Times New Roman" w:hAnsi="Times New Roman" w:cs="Times New Roman"/>
          <w:color w:val="000000" w:themeColor="text1"/>
        </w:rPr>
        <w:t xml:space="preserve"> / 0</w:t>
      </w:r>
      <w:r w:rsidRPr="001667DB">
        <w:rPr>
          <w:rFonts w:ascii="Times New Roman" w:hAnsi="Times New Roman" w:cs="Times New Roman"/>
          <w:color w:val="000000" w:themeColor="text1"/>
          <w:vertAlign w:val="subscript"/>
        </w:rPr>
        <w:t>90</w:t>
      </w:r>
      <w:r w:rsidRPr="001667DB">
        <w:rPr>
          <w:rFonts w:ascii="Times New Roman" w:hAnsi="Times New Roman" w:cs="Times New Roman"/>
          <w:color w:val="000000" w:themeColor="text1"/>
        </w:rPr>
        <w:t xml:space="preserve"> ≥ 1,2</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(2)</w:t>
      </w:r>
    </w:p>
    <w:p w14:paraId="10D663E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 której:</w:t>
      </w:r>
    </w:p>
    <w:p w14:paraId="0BC43A6A" w14:textId="77777777" w:rsidR="00955A27" w:rsidRPr="001667DB" w:rsidRDefault="00955A27" w:rsidP="00955A27">
      <w:pPr>
        <w:spacing w:after="120" w:line="360" w:lineRule="auto"/>
        <w:ind w:left="720"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vertAlign w:val="subscript"/>
        </w:rPr>
        <w:t xml:space="preserve">50 </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vertAlign w:val="subscript"/>
        </w:rPr>
        <w:t xml:space="preserve">  </w:t>
      </w:r>
      <w:r w:rsidRPr="001667DB">
        <w:rPr>
          <w:rFonts w:ascii="Times New Roman" w:hAnsi="Times New Roman" w:cs="Times New Roman"/>
          <w:color w:val="000000" w:themeColor="text1"/>
        </w:rPr>
        <w:t>wymiar boku oczka sita w mm, przez które przechodzi 50% (m/m) ziaren gruntu podłoża,</w:t>
      </w:r>
    </w:p>
    <w:p w14:paraId="0201BAA5" w14:textId="77777777" w:rsidR="00955A27" w:rsidRPr="001667DB" w:rsidRDefault="00955A27" w:rsidP="00955A27">
      <w:pPr>
        <w:spacing w:after="120" w:line="360" w:lineRule="auto"/>
        <w:ind w:left="720"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0</w:t>
      </w:r>
      <w:r w:rsidRPr="001667DB">
        <w:rPr>
          <w:rFonts w:ascii="Times New Roman" w:hAnsi="Times New Roman" w:cs="Times New Roman"/>
          <w:color w:val="000000" w:themeColor="text1"/>
          <w:vertAlign w:val="subscript"/>
        </w:rPr>
        <w:t>90</w:t>
      </w:r>
      <w:r w:rsidRPr="001667DB">
        <w:rPr>
          <w:rFonts w:ascii="Times New Roman" w:hAnsi="Times New Roman" w:cs="Times New Roman"/>
          <w:color w:val="000000" w:themeColor="text1"/>
        </w:rPr>
        <w:t xml:space="preserve">  - umowna średnica porów geowłókniny odpowiadająca wymiarom frakcji gruntu podłoża zatrzymującego się na geowłókninie w ilości 90% (m/m); wartość parametru 0</w:t>
      </w:r>
      <w:r w:rsidRPr="001667DB">
        <w:rPr>
          <w:rFonts w:ascii="Times New Roman" w:hAnsi="Times New Roman" w:cs="Times New Roman"/>
          <w:color w:val="000000" w:themeColor="text1"/>
          <w:vertAlign w:val="subscript"/>
        </w:rPr>
        <w:t>90</w:t>
      </w:r>
      <w:r w:rsidRPr="001667DB">
        <w:rPr>
          <w:rFonts w:ascii="Times New Roman" w:hAnsi="Times New Roman" w:cs="Times New Roman"/>
          <w:color w:val="000000" w:themeColor="text1"/>
        </w:rPr>
        <w:t xml:space="preserve"> powinna być podana przez producenta geowłókniny; masa powierzchniowa geowłókniny nie powinna być mniejsza od 200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17620005"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Warstwa odcinająca zabezpiecza przed przenikaniem drobnych cząstek podłoża gruntowego do warstwy położonej wyżej. Drobne cząstki powodują wymieszanie gruntu podłoża z warstwą kruszywa, uplastyczniając ją i wpływając na utratę jej nośności przy zawilgoceniu.</w:t>
      </w:r>
    </w:p>
    <w:p w14:paraId="25A77C83"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Warstwa odcinająca może być wykonana jako warstwa z miału kamiennego, odsiewek, drobnego kruszywa itp. grubości np. 5÷10 cm, według OST D-04.02.01 „Warstwy odsączające i odcinające” [5] lub z geowłókniny (geotkaniny) według OST D-04.02.01a „Warstwa odcinająca z geowłókniny” [6].</w:t>
      </w:r>
    </w:p>
    <w:p w14:paraId="25607D04"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kruszywo przeznaczone do wykonania warstwy odcinającej nie jest wbudowane bezpośrednio po dostarczeniu na budowę i zachodzi potrzeba jego okresowego składowania, to Wykonawca robót powinien zabezpieczyć kruszywo przed zanieczyszczeniem i zmieszaniem z innymi materiałami. Podłoże w miejscu składowania powinno być równe, utwardzone i dobrze odwodnione. Geowłókniny przeznaczone do robót należy przechowywać w opakowaniach fabrycznych w pomieszczeniach czystych, suchych i wentylowanych.</w:t>
      </w:r>
    </w:p>
    <w:p w14:paraId="01A8CA9D" w14:textId="77777777" w:rsidR="00955A27" w:rsidRPr="001667DB" w:rsidRDefault="00955A27" w:rsidP="00955A27">
      <w:pPr>
        <w:spacing w:after="120" w:line="360" w:lineRule="auto"/>
        <w:ind w:left="720" w:hanging="7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5.6.3. </w:t>
      </w:r>
      <w:r w:rsidRPr="001667DB">
        <w:rPr>
          <w:rFonts w:ascii="Times New Roman" w:hAnsi="Times New Roman" w:cs="Times New Roman"/>
          <w:color w:val="000000" w:themeColor="text1"/>
        </w:rPr>
        <w:t>Wykonanie warstwy odsączającej</w:t>
      </w:r>
    </w:p>
    <w:p w14:paraId="4371997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Jeśli dokumentacja projektowa przewiduje warstwę odsączającą to należy wykonać ją zgodnie z podanymi ustaleniami. Warstwa odsączająca jest warstwą położoną pod podbudową pomocniczą, a w przypadku występującej warstwy odcinającej, ułożona jest bezpośrednio nad nią. </w:t>
      </w:r>
    </w:p>
    <w:p w14:paraId="78184490"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odsączająca zapewnia odwodnienie konstrukcji nawierzchni i powinna charakteryzować się wodoprzepuszczalnością określoną współczynnikiem filtracji k ≥ 8 m/dobę (≥ 0,0093 cm/s). </w:t>
      </w:r>
    </w:p>
    <w:p w14:paraId="560B3CA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Warstwa odsączająca może być wykonana jako warstwa z pia</w:t>
      </w:r>
      <w:r w:rsidR="001A6B61">
        <w:rPr>
          <w:rFonts w:ascii="Times New Roman" w:hAnsi="Times New Roman" w:cs="Times New Roman"/>
          <w:color w:val="000000" w:themeColor="text1"/>
        </w:rPr>
        <w:t xml:space="preserve">sku, żwiru, geowłókniny według </w:t>
      </w:r>
      <w:r w:rsidRPr="001667DB">
        <w:rPr>
          <w:rFonts w:ascii="Times New Roman" w:hAnsi="Times New Roman" w:cs="Times New Roman"/>
          <w:color w:val="000000" w:themeColor="text1"/>
        </w:rPr>
        <w:t>ST D-04.02.01 „Warstwy odsączające i odcinające” [5].</w:t>
      </w:r>
    </w:p>
    <w:p w14:paraId="082396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5.6.4.  </w:t>
      </w:r>
      <w:r w:rsidRPr="001667DB">
        <w:rPr>
          <w:rFonts w:ascii="Times New Roman" w:hAnsi="Times New Roman" w:cs="Times New Roman"/>
          <w:color w:val="000000" w:themeColor="text1"/>
        </w:rPr>
        <w:t>Ułożenie podbudowy pomocniczej na podłożu ulepszonym</w:t>
      </w:r>
    </w:p>
    <w:p w14:paraId="584375A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podłoże gruntowe nie spełnia warunku nośności lub mrozoodporności, wówczas wykonuje się w górnej jego warstwie podłoże ulepszone, stanowiące warstwę lub zespół warstw leżących pod konstrukcją nawierzchni drogowej.</w:t>
      </w:r>
    </w:p>
    <w:p w14:paraId="2F05B00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przypadku wykonywania podbudowy pomocniczej z mieszanki kruszywa niezwiązanego, najkorzystniejszą konstrukcją podłoża ulepszonego jest również mieszanka kruszywa niezwiązanego. Wykonanie podłoża ulepszonego powinno odpowiadać wymaganiom zawartym w OST D-04.04.00a </w:t>
      </w:r>
      <w:r w:rsidRPr="001667DB">
        <w:rPr>
          <w:rFonts w:ascii="Times New Roman" w:hAnsi="Times New Roman" w:cs="Times New Roman"/>
          <w:color w:val="000000" w:themeColor="text1"/>
        </w:rPr>
        <w:lastRenderedPageBreak/>
        <w:t>„Podłoże ulepszone z mieszanki kruszywa niezwiązanego” [7]. Wszystkie niezbędne cechy geometryczne podłoża ulepszonego powinny być zgodne z ustaleniami dokumentacji projektowej.</w:t>
      </w:r>
    </w:p>
    <w:p w14:paraId="083F025E"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44A935B"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5.7. Wytwarzanie mieszanki kruszywa na warstwę podbudowy pomocniczej</w:t>
      </w:r>
    </w:p>
    <w:p w14:paraId="6C0407A3"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Mieszankę kruszywa o ściśle określonym uziarnieniu i wilgotności optymalnej należy wytwarzać w mieszarkach, gwarantujących otrzymanie jednorodnej mieszanki. Mieszarki (wytwórnie mieszanek kruszywa) stacjonarne lub mobilne powinny zapewnić ciągłość produkcji zgodną z receptą laboratoryjną.</w:t>
      </w:r>
    </w:p>
    <w:p w14:paraId="71A5E28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Ze względu na konieczność zapewnienia mieszance jednorodności nie zaleca się wytwarzania mieszanki przez mieszanie poszczególnych frakcji kruszywa na drodze.</w:t>
      </w:r>
    </w:p>
    <w:p w14:paraId="03F0986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produkcji mieszanki kruszywa należy prowadzić zakładową kontrolę produkcji mieszanek niezwiązanych, zgodnie z  WT-4 [24] załącznik C, a przy dostarczaniu mieszanki przez producenta/dostawcę należy stosować się do zasad deklarowania w odniesieniu do zakresu uziarnienia podanych w WT-4 [24] załącznik B.</w:t>
      </w:r>
    </w:p>
    <w:p w14:paraId="4012AFC2"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27ED7C3F"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5.8. Wbudowanie mieszanki kruszywa w warstwę podbudowy pomocniczej</w:t>
      </w:r>
    </w:p>
    <w:p w14:paraId="5CC43D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w:t>
      </w:r>
    </w:p>
    <w:p w14:paraId="6F745AF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Grubość pojedynczo układanej warstwy nie może przekraczać 20 cm po zagęszczeniu. Jeżeli układana konstrukcja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Inżyniera.</w:t>
      </w:r>
    </w:p>
    <w:p w14:paraId="5DD227D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Wilgotność mieszanki kruszywa podczas zagęszczania powinna odpowiadać wilgotności optymalnej, określonej według próby Proctora. Mieszanka o większej wilgotności powinna zostać osuszona przez mieszanie i napowietrzanie, np. przemieszanie jej mieszarką, kilkakrotne przesuwanie mieszanki równiarką.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14:paraId="625058C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Rozścieloną mieszankę kruszywa należy sprofilować równiarką lub ciężkim szablonem, do spadków poprzecznych i pochyleń podłużnych ustalonych w dokumentacji projektowej. W czasie profilowania należy wyrównać lokalne wgłębienia.</w:t>
      </w:r>
    </w:p>
    <w:p w14:paraId="3F6A77B3"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5.9. Zagęszczanie mieszanki kruszywa</w:t>
      </w:r>
    </w:p>
    <w:p w14:paraId="727EEAB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 wyprofilowaniu mieszanki kruszywa należy rozpocząć jej zagęszczanie, które należy kontynuować aż do osiągnięcia wymaganego w ST wskaźnika zagęszczenia.</w:t>
      </w:r>
    </w:p>
    <w:p w14:paraId="09FF3C6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1FBD380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Zagęszczenie powinno być równomierne na całej szerokości warstwy.</w:t>
      </w:r>
    </w:p>
    <w:p w14:paraId="391B1AA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Zaleca się, aby grubość zagęszczanej warstwy nie przekraczała przy walcach statycznych gładkich 15 cm, a przy walcach ogumionych lub wibracyjnych 20 cm.</w:t>
      </w:r>
    </w:p>
    <w:p w14:paraId="5FD9E4F6"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453193F9"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1667DB">
        <w:rPr>
          <w:color w:val="000000" w:themeColor="text1"/>
          <w:sz w:val="22"/>
          <w:szCs w:val="22"/>
          <w:u w:val="none"/>
        </w:rPr>
        <w:t>5.10. Utrzymanie wykonanej warstwy</w:t>
      </w:r>
    </w:p>
    <w:p w14:paraId="1A0692C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Zagęszczona warstwa, przed ułożeniem następnej warstwy, powinna być utrzymywana w dobrym stanie. Jeżeli po wykonanej warstwie będzie się odbywał ruch budowlany, to Wykonawca jest obowiązany naprawić wszelkie uszkodzenia, spowodowane przez ten ruch.</w:t>
      </w:r>
    </w:p>
    <w:p w14:paraId="093A5FB3"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1F76035C" w14:textId="77777777" w:rsidR="00955A27" w:rsidRPr="00C73A21"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u w:val="none"/>
        </w:rPr>
      </w:pPr>
      <w:r w:rsidRPr="00C73A21">
        <w:rPr>
          <w:color w:val="000000" w:themeColor="text1"/>
          <w:sz w:val="22"/>
          <w:szCs w:val="22"/>
          <w:u w:val="none"/>
        </w:rPr>
        <w:t>5.11. Roboty wykończeniowe</w:t>
      </w:r>
    </w:p>
    <w:p w14:paraId="0D6BB625"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 zgodne z dokumentacją projektową, ST lub wskazaniami Inżyniera dotyczą prac związanych z dostosowaniem wykonanych  robót do istniejących warunków terenowych, takie jak:</w:t>
      </w:r>
    </w:p>
    <w:p w14:paraId="7837551F" w14:textId="77777777" w:rsidR="00955A27" w:rsidRPr="001667DB" w:rsidRDefault="00955A27" w:rsidP="00904E6C">
      <w:pPr>
        <w:numPr>
          <w:ilvl w:val="0"/>
          <w:numId w:val="99"/>
        </w:numPr>
        <w:tabs>
          <w:tab w:val="clear" w:pos="397"/>
          <w:tab w:val="num" w:pos="284"/>
        </w:tabs>
        <w:overflowPunct w:val="0"/>
        <w:autoSpaceDE w:val="0"/>
        <w:autoSpaceDN w:val="0"/>
        <w:adjustRightInd w:val="0"/>
        <w:spacing w:after="120" w:line="360" w:lineRule="auto"/>
        <w:ind w:left="284" w:hanging="284"/>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odtworzenie przeszkód czasowo usuniętych,</w:t>
      </w:r>
    </w:p>
    <w:p w14:paraId="7DC9827D" w14:textId="77777777" w:rsidR="00955A27" w:rsidRPr="001667DB" w:rsidRDefault="00955A27" w:rsidP="00904E6C">
      <w:pPr>
        <w:numPr>
          <w:ilvl w:val="0"/>
          <w:numId w:val="9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uzupełnienie zniszczonych w czasie robót istniejących elementów drogowych lub terenowych,</w:t>
      </w:r>
    </w:p>
    <w:p w14:paraId="369FFBE8"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porządkujące otoczenie terenu robót,</w:t>
      </w:r>
    </w:p>
    <w:p w14:paraId="328FCEEB"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usunięcie oznakowania drogi wprowadzonego na okres robót.</w:t>
      </w:r>
    </w:p>
    <w:p w14:paraId="5201ECD4"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2EE76A97"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60" w:name="_Toc348096811"/>
      <w:r w:rsidRPr="001667DB">
        <w:rPr>
          <w:color w:val="000000" w:themeColor="text1"/>
          <w:sz w:val="22"/>
          <w:szCs w:val="22"/>
        </w:rPr>
        <w:lastRenderedPageBreak/>
        <w:t>6. KONTROLA JAKOŚCI ROBÓT</w:t>
      </w:r>
      <w:bookmarkEnd w:id="360"/>
    </w:p>
    <w:p w14:paraId="7EF0FA12" w14:textId="77777777" w:rsidR="00955A27" w:rsidRPr="001667DB" w:rsidRDefault="00955A27" w:rsidP="00955A27">
      <w:pPr>
        <w:pStyle w:val="Nagwek2"/>
        <w:numPr>
          <w:ilvl w:val="12"/>
          <w:numId w:val="0"/>
        </w:numPr>
        <w:spacing w:before="0" w:line="360" w:lineRule="auto"/>
        <w:jc w:val="both"/>
        <w:rPr>
          <w:i/>
          <w:color w:val="000000" w:themeColor="text1"/>
          <w:sz w:val="22"/>
          <w:szCs w:val="22"/>
          <w:u w:val="none"/>
        </w:rPr>
      </w:pPr>
      <w:r w:rsidRPr="001667DB">
        <w:rPr>
          <w:i/>
          <w:color w:val="000000" w:themeColor="text1"/>
          <w:sz w:val="22"/>
          <w:szCs w:val="22"/>
          <w:u w:val="none"/>
        </w:rPr>
        <w:t>6.1. Ogólne zasady kontroli jakości robót</w:t>
      </w:r>
    </w:p>
    <w:p w14:paraId="7DB66ED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[1], pkt 6.</w:t>
      </w:r>
    </w:p>
    <w:p w14:paraId="5AC7E488"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6.2. Badania przed przystąpieniem do robót</w:t>
      </w:r>
    </w:p>
    <w:p w14:paraId="419723E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5E4A11DD"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5A9C3229"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wykonać badania kruszyw przeznaczonych do wykonania robót, obejmujące wszystkie właściwości określone w tablicy 1 niniejszej ST.</w:t>
      </w:r>
    </w:p>
    <w:p w14:paraId="353D37C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08924BF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p>
    <w:p w14:paraId="6F797881"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6.3. Badania w czasie robót</w:t>
      </w:r>
    </w:p>
    <w:p w14:paraId="2210E00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Częstotliwość oraz zakres badań i pomiarów, które należy wykonać w czasie robót podaje tablica 5. </w:t>
      </w:r>
    </w:p>
    <w:p w14:paraId="7C6F4D6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5. Częstotliwość oraz zakres badań i pomiarów w czasie robót</w:t>
      </w:r>
    </w:p>
    <w:tbl>
      <w:tblPr>
        <w:tblW w:w="89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34"/>
        <w:gridCol w:w="2204"/>
        <w:gridCol w:w="2693"/>
      </w:tblGrid>
      <w:tr w:rsidR="00955A27" w:rsidRPr="001667DB" w14:paraId="1638A6F1" w14:textId="77777777" w:rsidTr="001B4B8F">
        <w:tc>
          <w:tcPr>
            <w:tcW w:w="496" w:type="dxa"/>
            <w:tcBorders>
              <w:bottom w:val="single" w:sz="4" w:space="0" w:color="auto"/>
            </w:tcBorders>
          </w:tcPr>
          <w:p w14:paraId="54FA231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534" w:type="dxa"/>
            <w:tcBorders>
              <w:bottom w:val="single" w:sz="4" w:space="0" w:color="auto"/>
            </w:tcBorders>
          </w:tcPr>
          <w:p w14:paraId="1B220B8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Wyszczególnienie robót</w:t>
            </w:r>
          </w:p>
        </w:tc>
        <w:tc>
          <w:tcPr>
            <w:tcW w:w="2204" w:type="dxa"/>
            <w:tcBorders>
              <w:bottom w:val="single" w:sz="4" w:space="0" w:color="auto"/>
            </w:tcBorders>
          </w:tcPr>
          <w:p w14:paraId="04219E9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Częstotliwość badań</w:t>
            </w:r>
          </w:p>
        </w:tc>
        <w:tc>
          <w:tcPr>
            <w:tcW w:w="2693" w:type="dxa"/>
            <w:tcBorders>
              <w:bottom w:val="single" w:sz="4" w:space="0" w:color="auto"/>
            </w:tcBorders>
          </w:tcPr>
          <w:p w14:paraId="18CD476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dopuszczalne</w:t>
            </w:r>
          </w:p>
        </w:tc>
      </w:tr>
      <w:tr w:rsidR="00955A27" w:rsidRPr="001667DB" w14:paraId="5EE28156" w14:textId="77777777" w:rsidTr="001B4B8F">
        <w:tc>
          <w:tcPr>
            <w:tcW w:w="496" w:type="dxa"/>
            <w:tcBorders>
              <w:top w:val="single" w:sz="4" w:space="0" w:color="auto"/>
            </w:tcBorders>
            <w:vAlign w:val="center"/>
          </w:tcPr>
          <w:p w14:paraId="1669165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34" w:type="dxa"/>
            <w:tcBorders>
              <w:top w:val="single" w:sz="4" w:space="0" w:color="auto"/>
            </w:tcBorders>
            <w:vAlign w:val="center"/>
          </w:tcPr>
          <w:p w14:paraId="588AB037"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Lokalizacja i zgodność granic terenu robót z dokumentacją projektową</w:t>
            </w:r>
          </w:p>
        </w:tc>
        <w:tc>
          <w:tcPr>
            <w:tcW w:w="2204" w:type="dxa"/>
            <w:tcBorders>
              <w:top w:val="single" w:sz="4" w:space="0" w:color="auto"/>
            </w:tcBorders>
            <w:vAlign w:val="center"/>
          </w:tcPr>
          <w:p w14:paraId="5B97190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 raz</w:t>
            </w:r>
          </w:p>
        </w:tc>
        <w:tc>
          <w:tcPr>
            <w:tcW w:w="2693" w:type="dxa"/>
            <w:tcBorders>
              <w:top w:val="single" w:sz="4" w:space="0" w:color="auto"/>
            </w:tcBorders>
            <w:vAlign w:val="center"/>
          </w:tcPr>
          <w:p w14:paraId="4EA8F737"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pktu 5 </w:t>
            </w:r>
          </w:p>
          <w:p w14:paraId="4320DD9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 dokumentacji projektowej </w:t>
            </w:r>
          </w:p>
        </w:tc>
      </w:tr>
      <w:tr w:rsidR="00955A27" w:rsidRPr="001667DB" w14:paraId="00185500" w14:textId="77777777" w:rsidTr="001B4B8F">
        <w:tc>
          <w:tcPr>
            <w:tcW w:w="496" w:type="dxa"/>
            <w:vAlign w:val="center"/>
          </w:tcPr>
          <w:p w14:paraId="3288AE0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34" w:type="dxa"/>
            <w:vAlign w:val="center"/>
          </w:tcPr>
          <w:p w14:paraId="408886E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tc>
        <w:tc>
          <w:tcPr>
            <w:tcW w:w="2204" w:type="dxa"/>
            <w:vAlign w:val="center"/>
          </w:tcPr>
          <w:p w14:paraId="50AC0F47"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693" w:type="dxa"/>
            <w:vAlign w:val="center"/>
          </w:tcPr>
          <w:p w14:paraId="73D2FBF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pktu 5.3</w:t>
            </w:r>
          </w:p>
        </w:tc>
      </w:tr>
      <w:tr w:rsidR="00955A27" w:rsidRPr="001667DB" w14:paraId="01079EDD" w14:textId="77777777" w:rsidTr="001B4B8F">
        <w:tc>
          <w:tcPr>
            <w:tcW w:w="496" w:type="dxa"/>
            <w:vAlign w:val="center"/>
          </w:tcPr>
          <w:p w14:paraId="40818BA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34" w:type="dxa"/>
            <w:vAlign w:val="center"/>
          </w:tcPr>
          <w:p w14:paraId="44D6AD4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2204" w:type="dxa"/>
            <w:vAlign w:val="center"/>
          </w:tcPr>
          <w:p w14:paraId="7AC1713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Dla każdej partii kruszywa  i przy każdej zmianie kruszywa</w:t>
            </w:r>
          </w:p>
        </w:tc>
        <w:tc>
          <w:tcPr>
            <w:tcW w:w="2693" w:type="dxa"/>
            <w:vAlign w:val="center"/>
          </w:tcPr>
          <w:p w14:paraId="6A20A28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tablicy 1</w:t>
            </w:r>
          </w:p>
        </w:tc>
      </w:tr>
      <w:tr w:rsidR="00955A27" w:rsidRPr="001667DB" w14:paraId="79577267" w14:textId="77777777" w:rsidTr="001B4B8F">
        <w:tc>
          <w:tcPr>
            <w:tcW w:w="496" w:type="dxa"/>
            <w:vAlign w:val="center"/>
          </w:tcPr>
          <w:p w14:paraId="1C662FE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34" w:type="dxa"/>
            <w:vAlign w:val="center"/>
          </w:tcPr>
          <w:p w14:paraId="1748331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Uziarnienie mieszanki</w:t>
            </w:r>
          </w:p>
        </w:tc>
        <w:tc>
          <w:tcPr>
            <w:tcW w:w="2204" w:type="dxa"/>
            <w:vAlign w:val="center"/>
          </w:tcPr>
          <w:p w14:paraId="47DCE8F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2 razy na dziennej działce roboczej  </w:t>
            </w:r>
          </w:p>
        </w:tc>
        <w:tc>
          <w:tcPr>
            <w:tcW w:w="2693" w:type="dxa"/>
            <w:vAlign w:val="center"/>
          </w:tcPr>
          <w:p w14:paraId="00E2014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tablicy 4</w:t>
            </w:r>
          </w:p>
        </w:tc>
      </w:tr>
      <w:tr w:rsidR="00955A27" w:rsidRPr="001667DB" w14:paraId="0FEB598E" w14:textId="77777777" w:rsidTr="001B4B8F">
        <w:tc>
          <w:tcPr>
            <w:tcW w:w="496" w:type="dxa"/>
            <w:vAlign w:val="center"/>
          </w:tcPr>
          <w:p w14:paraId="2ACCDE6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534" w:type="dxa"/>
            <w:vAlign w:val="center"/>
          </w:tcPr>
          <w:p w14:paraId="107D7DC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Wilgotność mieszanki</w:t>
            </w:r>
          </w:p>
        </w:tc>
        <w:tc>
          <w:tcPr>
            <w:tcW w:w="2204" w:type="dxa"/>
            <w:vAlign w:val="center"/>
          </w:tcPr>
          <w:p w14:paraId="394ED2A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1FF4DDB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64A24066" w14:textId="77777777" w:rsidTr="001B4B8F">
        <w:tc>
          <w:tcPr>
            <w:tcW w:w="496" w:type="dxa"/>
            <w:vAlign w:val="center"/>
          </w:tcPr>
          <w:p w14:paraId="52D7516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534" w:type="dxa"/>
            <w:vAlign w:val="center"/>
          </w:tcPr>
          <w:p w14:paraId="295B052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 mieszance</w:t>
            </w:r>
          </w:p>
        </w:tc>
        <w:tc>
          <w:tcPr>
            <w:tcW w:w="2204" w:type="dxa"/>
            <w:vAlign w:val="center"/>
          </w:tcPr>
          <w:p w14:paraId="23E1AB7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237BEF9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0AEE4D20" w14:textId="77777777" w:rsidTr="001B4B8F">
        <w:tc>
          <w:tcPr>
            <w:tcW w:w="496" w:type="dxa"/>
            <w:vAlign w:val="center"/>
          </w:tcPr>
          <w:p w14:paraId="3F8D882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w:t>
            </w:r>
          </w:p>
        </w:tc>
        <w:tc>
          <w:tcPr>
            <w:tcW w:w="3534" w:type="dxa"/>
            <w:vAlign w:val="center"/>
          </w:tcPr>
          <w:p w14:paraId="33AC5C97"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nadziarna w mieszance</w:t>
            </w:r>
          </w:p>
        </w:tc>
        <w:tc>
          <w:tcPr>
            <w:tcW w:w="2204" w:type="dxa"/>
            <w:vAlign w:val="center"/>
          </w:tcPr>
          <w:p w14:paraId="7668D75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2F19C6D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65DE1B70" w14:textId="77777777" w:rsidTr="001B4B8F">
        <w:tc>
          <w:tcPr>
            <w:tcW w:w="496" w:type="dxa"/>
            <w:vAlign w:val="center"/>
          </w:tcPr>
          <w:p w14:paraId="7311736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534" w:type="dxa"/>
            <w:vAlign w:val="center"/>
          </w:tcPr>
          <w:p w14:paraId="7F84374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Wrażliwość mieszanki na mróz, wskaźnik piaskowy</w:t>
            </w:r>
          </w:p>
        </w:tc>
        <w:tc>
          <w:tcPr>
            <w:tcW w:w="2204" w:type="dxa"/>
            <w:vAlign w:val="center"/>
          </w:tcPr>
          <w:p w14:paraId="0E48FC4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2102074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36A3645F" w14:textId="77777777" w:rsidTr="001B4B8F">
        <w:tc>
          <w:tcPr>
            <w:tcW w:w="496" w:type="dxa"/>
            <w:vAlign w:val="center"/>
          </w:tcPr>
          <w:p w14:paraId="14CF801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534" w:type="dxa"/>
            <w:vAlign w:val="center"/>
          </w:tcPr>
          <w:p w14:paraId="7770C09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wody w mieszance</w:t>
            </w:r>
          </w:p>
        </w:tc>
        <w:tc>
          <w:tcPr>
            <w:tcW w:w="2204" w:type="dxa"/>
            <w:vAlign w:val="center"/>
          </w:tcPr>
          <w:p w14:paraId="3B9A99A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3505B2A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3F839FFA" w14:textId="77777777" w:rsidTr="001B4B8F">
        <w:tc>
          <w:tcPr>
            <w:tcW w:w="496" w:type="dxa"/>
            <w:vAlign w:val="center"/>
          </w:tcPr>
          <w:p w14:paraId="354E50B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534" w:type="dxa"/>
            <w:vAlign w:val="center"/>
          </w:tcPr>
          <w:p w14:paraId="187BBC9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Wartość CBR po zagęszczeniu mieszanki</w:t>
            </w:r>
          </w:p>
        </w:tc>
        <w:tc>
          <w:tcPr>
            <w:tcW w:w="2204" w:type="dxa"/>
            <w:vAlign w:val="center"/>
          </w:tcPr>
          <w:p w14:paraId="5DFF08E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 xml:space="preserve">10 próbek </w:t>
            </w:r>
            <w:r w:rsidRPr="001667DB">
              <w:rPr>
                <w:rFonts w:ascii="Times New Roman" w:hAnsi="Times New Roman" w:cs="Times New Roman"/>
                <w:color w:val="000000" w:themeColor="text1"/>
              </w:rPr>
              <w:br/>
              <w:t>na 10 000 m</w:t>
            </w:r>
            <w:r w:rsidRPr="001667DB">
              <w:rPr>
                <w:rFonts w:ascii="Times New Roman" w:hAnsi="Times New Roman" w:cs="Times New Roman"/>
                <w:color w:val="000000" w:themeColor="text1"/>
                <w:vertAlign w:val="superscript"/>
              </w:rPr>
              <w:t>2</w:t>
            </w:r>
          </w:p>
        </w:tc>
        <w:tc>
          <w:tcPr>
            <w:tcW w:w="2693" w:type="dxa"/>
            <w:vAlign w:val="center"/>
          </w:tcPr>
          <w:p w14:paraId="1C067A0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3C488808" w14:textId="77777777" w:rsidTr="001B4B8F">
        <w:tc>
          <w:tcPr>
            <w:tcW w:w="496" w:type="dxa"/>
            <w:vAlign w:val="center"/>
          </w:tcPr>
          <w:p w14:paraId="379D205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534" w:type="dxa"/>
            <w:vAlign w:val="center"/>
          </w:tcPr>
          <w:p w14:paraId="21EDD63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Inne właściwości mieszanki</w:t>
            </w:r>
          </w:p>
        </w:tc>
        <w:tc>
          <w:tcPr>
            <w:tcW w:w="2204" w:type="dxa"/>
            <w:vAlign w:val="center"/>
          </w:tcPr>
          <w:p w14:paraId="3C3FA91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ustalenia Inżyniera</w:t>
            </w:r>
          </w:p>
        </w:tc>
        <w:tc>
          <w:tcPr>
            <w:tcW w:w="2693" w:type="dxa"/>
            <w:vAlign w:val="center"/>
          </w:tcPr>
          <w:p w14:paraId="7146982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7D9A4289" w14:textId="77777777" w:rsidTr="001B4B8F">
        <w:tc>
          <w:tcPr>
            <w:tcW w:w="496" w:type="dxa"/>
            <w:vAlign w:val="center"/>
          </w:tcPr>
          <w:p w14:paraId="45976FA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534" w:type="dxa"/>
            <w:vAlign w:val="center"/>
          </w:tcPr>
          <w:p w14:paraId="5DA31DD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Cechy środowiskowe</w:t>
            </w:r>
          </w:p>
        </w:tc>
        <w:tc>
          <w:tcPr>
            <w:tcW w:w="2204" w:type="dxa"/>
            <w:vAlign w:val="center"/>
          </w:tcPr>
          <w:p w14:paraId="55BD194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ustalenia Inżyniera</w:t>
            </w:r>
          </w:p>
        </w:tc>
        <w:tc>
          <w:tcPr>
            <w:tcW w:w="2693" w:type="dxa"/>
            <w:vAlign w:val="center"/>
          </w:tcPr>
          <w:p w14:paraId="527F6D8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310F0E04" w14:textId="77777777" w:rsidTr="001B4B8F">
        <w:tc>
          <w:tcPr>
            <w:tcW w:w="496" w:type="dxa"/>
            <w:vAlign w:val="center"/>
          </w:tcPr>
          <w:p w14:paraId="21F7883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3534" w:type="dxa"/>
            <w:vAlign w:val="center"/>
          </w:tcPr>
          <w:p w14:paraId="3030948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tc>
        <w:tc>
          <w:tcPr>
            <w:tcW w:w="2204" w:type="dxa"/>
            <w:vAlign w:val="center"/>
          </w:tcPr>
          <w:p w14:paraId="52BF830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693" w:type="dxa"/>
            <w:vAlign w:val="center"/>
          </w:tcPr>
          <w:p w14:paraId="1813221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pktu 5.11</w:t>
            </w:r>
          </w:p>
        </w:tc>
      </w:tr>
    </w:tbl>
    <w:p w14:paraId="29998480"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p>
    <w:p w14:paraId="017CDC33"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6.4. Wymagania dotyczące cech geometrycznych podbudowy pomocniczej</w:t>
      </w:r>
    </w:p>
    <w:p w14:paraId="2E183EC2"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Częstotliwość oraz zakres badań i pomiarów dotyczących cech geometrycznych warstwy z mieszanki niezwiązanej podaje tablica 6.</w:t>
      </w:r>
    </w:p>
    <w:p w14:paraId="732C7516" w14:textId="77777777" w:rsidR="00955A27" w:rsidRPr="001667DB" w:rsidRDefault="00955A27" w:rsidP="00955A27">
      <w:pPr>
        <w:keepNext/>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6. Częstotliwość oraz zakres badań i pomiarów dotyczących cech geometrycznych</w:t>
      </w:r>
    </w:p>
    <w:tbl>
      <w:tblPr>
        <w:tblW w:w="89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414"/>
        <w:gridCol w:w="2280"/>
        <w:gridCol w:w="2760"/>
      </w:tblGrid>
      <w:tr w:rsidR="00955A27" w:rsidRPr="001667DB" w14:paraId="2671912B" w14:textId="77777777" w:rsidTr="001B4B8F">
        <w:tc>
          <w:tcPr>
            <w:tcW w:w="496" w:type="dxa"/>
            <w:tcBorders>
              <w:top w:val="single" w:sz="4" w:space="0" w:color="auto"/>
              <w:left w:val="single" w:sz="4" w:space="0" w:color="auto"/>
              <w:bottom w:val="single" w:sz="4" w:space="0" w:color="auto"/>
            </w:tcBorders>
          </w:tcPr>
          <w:p w14:paraId="0B94C5D1"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575A5A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414" w:type="dxa"/>
            <w:tcBorders>
              <w:top w:val="single" w:sz="4" w:space="0" w:color="auto"/>
              <w:bottom w:val="single" w:sz="4" w:space="0" w:color="auto"/>
              <w:right w:val="single" w:sz="4" w:space="0" w:color="auto"/>
            </w:tcBorders>
          </w:tcPr>
          <w:p w14:paraId="6D6224B4" w14:textId="77777777" w:rsidR="00955A27" w:rsidRPr="001667DB" w:rsidRDefault="00955A27" w:rsidP="00955A27">
            <w:pPr>
              <w:spacing w:after="120" w:line="360" w:lineRule="auto"/>
              <w:ind w:left="215" w:right="312"/>
              <w:jc w:val="both"/>
              <w:rPr>
                <w:rFonts w:ascii="Times New Roman" w:hAnsi="Times New Roman" w:cs="Times New Roman"/>
                <w:color w:val="000000" w:themeColor="text1"/>
              </w:rPr>
            </w:pPr>
            <w:r w:rsidRPr="001667DB">
              <w:rPr>
                <w:rFonts w:ascii="Times New Roman" w:hAnsi="Times New Roman" w:cs="Times New Roman"/>
                <w:color w:val="000000" w:themeColor="text1"/>
              </w:rPr>
              <w:t>Wyszczególnienie badań i pomiarów</w:t>
            </w:r>
          </w:p>
        </w:tc>
        <w:tc>
          <w:tcPr>
            <w:tcW w:w="2280" w:type="dxa"/>
            <w:tcBorders>
              <w:left w:val="single" w:sz="4" w:space="0" w:color="auto"/>
            </w:tcBorders>
            <w:shd w:val="clear" w:color="auto" w:fill="auto"/>
          </w:tcPr>
          <w:p w14:paraId="6927107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częstotliwość badań i pomiarów</w:t>
            </w:r>
          </w:p>
        </w:tc>
        <w:tc>
          <w:tcPr>
            <w:tcW w:w="2760" w:type="dxa"/>
            <w:shd w:val="clear" w:color="auto" w:fill="auto"/>
          </w:tcPr>
          <w:p w14:paraId="1AAE8D0E"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356608E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Dopuszczalne odchyłki</w:t>
            </w:r>
          </w:p>
        </w:tc>
      </w:tr>
      <w:tr w:rsidR="00955A27" w:rsidRPr="001667DB" w14:paraId="7C0DA404" w14:textId="77777777" w:rsidTr="001B4B8F">
        <w:tc>
          <w:tcPr>
            <w:tcW w:w="496" w:type="dxa"/>
            <w:tcBorders>
              <w:top w:val="single" w:sz="4" w:space="0" w:color="auto"/>
            </w:tcBorders>
          </w:tcPr>
          <w:p w14:paraId="6DDAD80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414" w:type="dxa"/>
            <w:tcBorders>
              <w:top w:val="single" w:sz="4" w:space="0" w:color="auto"/>
            </w:tcBorders>
          </w:tcPr>
          <w:p w14:paraId="7F9DF08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Szerokość warstwy</w:t>
            </w:r>
          </w:p>
        </w:tc>
        <w:tc>
          <w:tcPr>
            <w:tcW w:w="2280" w:type="dxa"/>
            <w:shd w:val="clear" w:color="auto" w:fill="auto"/>
          </w:tcPr>
          <w:p w14:paraId="6921A4F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c>
          <w:tcPr>
            <w:tcW w:w="2760" w:type="dxa"/>
            <w:shd w:val="clear" w:color="auto" w:fill="auto"/>
          </w:tcPr>
          <w:p w14:paraId="4AC17E0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cm, -5 cm (różnice od szerokości projektowej)</w:t>
            </w:r>
          </w:p>
        </w:tc>
      </w:tr>
      <w:tr w:rsidR="00955A27" w:rsidRPr="001667DB" w14:paraId="43CD99B8" w14:textId="77777777" w:rsidTr="001B4B8F">
        <w:tc>
          <w:tcPr>
            <w:tcW w:w="496" w:type="dxa"/>
          </w:tcPr>
          <w:p w14:paraId="325A31D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414" w:type="dxa"/>
          </w:tcPr>
          <w:p w14:paraId="4937508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podłużna</w:t>
            </w:r>
          </w:p>
        </w:tc>
        <w:tc>
          <w:tcPr>
            <w:tcW w:w="2280" w:type="dxa"/>
            <w:shd w:val="clear" w:color="auto" w:fill="auto"/>
          </w:tcPr>
          <w:p w14:paraId="6A19778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c>
          <w:tcPr>
            <w:tcW w:w="2760" w:type="dxa"/>
            <w:shd w:val="clear" w:color="auto" w:fill="auto"/>
          </w:tcPr>
          <w:p w14:paraId="6E0B552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r>
      <w:tr w:rsidR="00955A27" w:rsidRPr="001667DB" w14:paraId="5BEC0020" w14:textId="77777777" w:rsidTr="001B4B8F">
        <w:tc>
          <w:tcPr>
            <w:tcW w:w="496" w:type="dxa"/>
          </w:tcPr>
          <w:p w14:paraId="418F13A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414" w:type="dxa"/>
          </w:tcPr>
          <w:p w14:paraId="28F2493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poprzeczna</w:t>
            </w:r>
          </w:p>
        </w:tc>
        <w:tc>
          <w:tcPr>
            <w:tcW w:w="2280" w:type="dxa"/>
            <w:shd w:val="clear" w:color="auto" w:fill="auto"/>
          </w:tcPr>
          <w:p w14:paraId="71EF580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c>
          <w:tcPr>
            <w:tcW w:w="2760" w:type="dxa"/>
            <w:shd w:val="clear" w:color="auto" w:fill="auto"/>
          </w:tcPr>
          <w:p w14:paraId="06112CB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r>
      <w:tr w:rsidR="00955A27" w:rsidRPr="001667DB" w14:paraId="0EE19B1E" w14:textId="77777777" w:rsidTr="001B4B8F">
        <w:tc>
          <w:tcPr>
            <w:tcW w:w="496" w:type="dxa"/>
          </w:tcPr>
          <w:p w14:paraId="07CDC191"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B87876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414" w:type="dxa"/>
          </w:tcPr>
          <w:p w14:paraId="19626F4F"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054EAF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w:t>
            </w:r>
            <w:r w:rsidRPr="001667DB">
              <w:rPr>
                <w:rFonts w:ascii="Times New Roman" w:hAnsi="Times New Roman" w:cs="Times New Roman"/>
                <w:color w:val="000000" w:themeColor="text1"/>
                <w:vertAlign w:val="superscript"/>
              </w:rPr>
              <w:t>*)</w:t>
            </w:r>
          </w:p>
        </w:tc>
        <w:tc>
          <w:tcPr>
            <w:tcW w:w="2280" w:type="dxa"/>
            <w:shd w:val="clear" w:color="auto" w:fill="auto"/>
          </w:tcPr>
          <w:p w14:paraId="04C6C13A"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57EF8A3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c>
          <w:tcPr>
            <w:tcW w:w="2760" w:type="dxa"/>
            <w:shd w:val="clear" w:color="auto" w:fill="auto"/>
          </w:tcPr>
          <w:p w14:paraId="1B971A8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0,5% (dopuszczalna tolerancja od spadków projektowych)</w:t>
            </w:r>
          </w:p>
        </w:tc>
      </w:tr>
      <w:tr w:rsidR="00955A27" w:rsidRPr="001667DB" w14:paraId="30B5856F" w14:textId="77777777" w:rsidTr="001B4B8F">
        <w:tc>
          <w:tcPr>
            <w:tcW w:w="496" w:type="dxa"/>
          </w:tcPr>
          <w:p w14:paraId="00087AD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414" w:type="dxa"/>
          </w:tcPr>
          <w:p w14:paraId="605DFCC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w:t>
            </w:r>
          </w:p>
        </w:tc>
        <w:tc>
          <w:tcPr>
            <w:tcW w:w="2280" w:type="dxa"/>
            <w:shd w:val="clear" w:color="auto" w:fill="auto"/>
          </w:tcPr>
          <w:p w14:paraId="10B804C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c>
          <w:tcPr>
            <w:tcW w:w="2760" w:type="dxa"/>
            <w:shd w:val="clear" w:color="auto" w:fill="auto"/>
          </w:tcPr>
          <w:p w14:paraId="7E9B8E7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[25]</w:t>
            </w:r>
          </w:p>
        </w:tc>
      </w:tr>
      <w:tr w:rsidR="00955A27" w:rsidRPr="001667DB" w14:paraId="14864E0B" w14:textId="77777777" w:rsidTr="001B4B8F">
        <w:tc>
          <w:tcPr>
            <w:tcW w:w="496" w:type="dxa"/>
          </w:tcPr>
          <w:p w14:paraId="3ECCC64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414" w:type="dxa"/>
          </w:tcPr>
          <w:p w14:paraId="50DF21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w:t>
            </w:r>
            <w:r w:rsidRPr="001667DB">
              <w:rPr>
                <w:rFonts w:ascii="Times New Roman" w:hAnsi="Times New Roman" w:cs="Times New Roman"/>
                <w:color w:val="000000" w:themeColor="text1"/>
                <w:vertAlign w:val="superscript"/>
              </w:rPr>
              <w:t>*)</w:t>
            </w:r>
          </w:p>
        </w:tc>
        <w:tc>
          <w:tcPr>
            <w:tcW w:w="2280" w:type="dxa"/>
            <w:shd w:val="clear" w:color="auto" w:fill="auto"/>
          </w:tcPr>
          <w:p w14:paraId="1B2196E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Co 100 m</w:t>
            </w:r>
          </w:p>
        </w:tc>
        <w:tc>
          <w:tcPr>
            <w:tcW w:w="2760" w:type="dxa"/>
            <w:shd w:val="clear" w:color="auto" w:fill="auto"/>
          </w:tcPr>
          <w:p w14:paraId="72A73AC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Przesunięcie od osi projektowanej ± 5 cm</w:t>
            </w:r>
          </w:p>
        </w:tc>
      </w:tr>
      <w:tr w:rsidR="00955A27" w:rsidRPr="001667DB" w14:paraId="42A2B923" w14:textId="77777777" w:rsidTr="001B4B8F">
        <w:tc>
          <w:tcPr>
            <w:tcW w:w="496" w:type="dxa"/>
          </w:tcPr>
          <w:p w14:paraId="7F6CB191"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07E5030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414" w:type="dxa"/>
          </w:tcPr>
          <w:p w14:paraId="77B13CF7"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57CB66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Grubość warstwy</w:t>
            </w:r>
          </w:p>
        </w:tc>
        <w:tc>
          <w:tcPr>
            <w:tcW w:w="2280" w:type="dxa"/>
            <w:shd w:val="clear" w:color="auto" w:fill="auto"/>
          </w:tcPr>
          <w:p w14:paraId="7C6DA1B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3 punktach na działce roboczej, lecz nie </w:t>
            </w:r>
            <w:r w:rsidRPr="001667DB">
              <w:rPr>
                <w:rFonts w:ascii="Times New Roman" w:hAnsi="Times New Roman" w:cs="Times New Roman"/>
                <w:color w:val="000000" w:themeColor="text1"/>
              </w:rPr>
              <w:lastRenderedPageBreak/>
              <w:t>rzadziej niż raz na 2000 m</w:t>
            </w:r>
            <w:r w:rsidRPr="001667DB">
              <w:rPr>
                <w:rFonts w:ascii="Times New Roman" w:hAnsi="Times New Roman" w:cs="Times New Roman"/>
                <w:color w:val="000000" w:themeColor="text1"/>
                <w:vertAlign w:val="superscript"/>
              </w:rPr>
              <w:t>2</w:t>
            </w:r>
          </w:p>
        </w:tc>
        <w:tc>
          <w:tcPr>
            <w:tcW w:w="2760" w:type="dxa"/>
            <w:shd w:val="clear" w:color="auto" w:fill="auto"/>
          </w:tcPr>
          <w:p w14:paraId="14E2F58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Różnice od grubości projektowanej +10%,</w:t>
            </w:r>
            <w:r w:rsidRPr="001667DB">
              <w:rPr>
                <w:rFonts w:ascii="Times New Roman" w:hAnsi="Times New Roman" w:cs="Times New Roman"/>
                <w:color w:val="000000" w:themeColor="text1"/>
              </w:rPr>
              <w:br/>
              <w:t>-15%</w:t>
            </w:r>
          </w:p>
          <w:p w14:paraId="61F3020E"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bl>
    <w:p w14:paraId="77A55CB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Dodatkowe pomiary spadków poprzecznych i ukształtowania osi w planie należy wykonać w punktach głównych łuków poziomych.</w:t>
      </w:r>
    </w:p>
    <w:p w14:paraId="1DE1B823"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761D547"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61" w:name="_Toc348096812"/>
      <w:r w:rsidRPr="001667DB">
        <w:rPr>
          <w:color w:val="000000" w:themeColor="text1"/>
          <w:sz w:val="22"/>
          <w:szCs w:val="22"/>
        </w:rPr>
        <w:t>7. OBMIAR ROBÓT</w:t>
      </w:r>
      <w:bookmarkEnd w:id="361"/>
    </w:p>
    <w:p w14:paraId="7F3FF854"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7.1. Ogólne zasady obmiaru robót</w:t>
      </w:r>
    </w:p>
    <w:p w14:paraId="5426B25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 pkt 7.</w:t>
      </w:r>
    </w:p>
    <w:p w14:paraId="6B939461"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7.2. Jednostka obmiarowa</w:t>
      </w:r>
    </w:p>
    <w:p w14:paraId="17B04DF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w:t>
      </w:r>
    </w:p>
    <w:p w14:paraId="61ABD8F7"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62" w:name="_Toc348096813"/>
      <w:r w:rsidRPr="001667DB">
        <w:rPr>
          <w:color w:val="000000" w:themeColor="text1"/>
          <w:sz w:val="22"/>
          <w:szCs w:val="22"/>
        </w:rPr>
        <w:t>8. ODBIÓR ROBÓT</w:t>
      </w:r>
      <w:bookmarkEnd w:id="362"/>
    </w:p>
    <w:p w14:paraId="18AF6C93" w14:textId="77777777" w:rsidR="00955A27" w:rsidRPr="001667DB" w:rsidRDefault="00955A27" w:rsidP="00955A27">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odbioru robót podano w ST  D-00.00.00 „Wymagania ogólne” [1], pkt 8. </w:t>
      </w:r>
    </w:p>
    <w:p w14:paraId="1CE50C0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punktu 6 dały wyniki pozytywne.</w:t>
      </w:r>
    </w:p>
    <w:p w14:paraId="1A0A82F1"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63" w:name="_Toc348096814"/>
      <w:r w:rsidRPr="001667DB">
        <w:rPr>
          <w:color w:val="000000" w:themeColor="text1"/>
          <w:sz w:val="22"/>
          <w:szCs w:val="22"/>
        </w:rPr>
        <w:t>9. PODSTAWA PŁATNOŚCI</w:t>
      </w:r>
      <w:bookmarkEnd w:id="363"/>
    </w:p>
    <w:p w14:paraId="204E25B4"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9.1. Ogólne ustalenia dotyczące podstawy płatności</w:t>
      </w:r>
    </w:p>
    <w:p w14:paraId="71092F2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[1], pkt 9.</w:t>
      </w:r>
    </w:p>
    <w:p w14:paraId="0863A173"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9.2. Cena jednostki obmiarowej</w:t>
      </w:r>
    </w:p>
    <w:p w14:paraId="713572F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jednostki obmiarowej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obejmuje:</w:t>
      </w:r>
    </w:p>
    <w:p w14:paraId="2A897FA6"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77F2C311"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3732531F"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20AB8E20"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przygotowanie mieszanki z kruszywa, zgodnie z receptą,</w:t>
      </w:r>
    </w:p>
    <w:p w14:paraId="70782E80"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mieszanki na miejsce wbudowania,</w:t>
      </w:r>
    </w:p>
    <w:p w14:paraId="4D9CCC46"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rozłożenie mieszanki,</w:t>
      </w:r>
    </w:p>
    <w:p w14:paraId="1355894D"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zagęszczenie mieszanki,</w:t>
      </w:r>
    </w:p>
    <w:p w14:paraId="538109B7"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utrzymanie warstwy w czasie robót,</w:t>
      </w:r>
    </w:p>
    <w:p w14:paraId="185E9AE8"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przeprowadzenie wymaganych  pomiarów i badań,</w:t>
      </w:r>
    </w:p>
    <w:p w14:paraId="00697F91"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 robót i jego otoczenia,</w:t>
      </w:r>
    </w:p>
    <w:p w14:paraId="6A4F8383"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07752E62"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b/>
          <w:color w:val="000000" w:themeColor="text1"/>
        </w:rPr>
      </w:pPr>
      <w:r w:rsidRPr="001667DB">
        <w:rPr>
          <w:rFonts w:ascii="Times New Roman" w:hAnsi="Times New Roman" w:cs="Times New Roman"/>
          <w:color w:val="000000" w:themeColor="text1"/>
        </w:rPr>
        <w:t>odwiezienie sprzętu.</w:t>
      </w:r>
    </w:p>
    <w:p w14:paraId="358115C8"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Wszystkie roboty powinny być wykonane według wymagań dokumentacji projektowej, ST, specyfikacji technicznej i postanowień Inżyniera.</w:t>
      </w:r>
    </w:p>
    <w:p w14:paraId="342D6BA1"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4D86CE63"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9.3. Sposób rozliczenia robót tymczasowych i prac towarzyszących</w:t>
      </w:r>
    </w:p>
    <w:p w14:paraId="47A8901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28ABCFCB"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624F5CA3"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19A1B468"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6B92AF6D"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bookmarkStart w:id="364" w:name="_Toc348096815"/>
      <w:r w:rsidRPr="001667DB">
        <w:rPr>
          <w:color w:val="000000" w:themeColor="text1"/>
          <w:sz w:val="22"/>
          <w:szCs w:val="22"/>
        </w:rPr>
        <w:t>10. PRZEPISY ZWIĄZANE</w:t>
      </w:r>
      <w:bookmarkEnd w:id="364"/>
    </w:p>
    <w:p w14:paraId="7560EAE5"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Ogólne specyfikacje techniczne (ST)</w:t>
      </w:r>
    </w:p>
    <w:tbl>
      <w:tblPr>
        <w:tblW w:w="9202" w:type="dxa"/>
        <w:tblLayout w:type="fixed"/>
        <w:tblCellMar>
          <w:left w:w="70" w:type="dxa"/>
          <w:right w:w="70" w:type="dxa"/>
        </w:tblCellMar>
        <w:tblLook w:val="0000" w:firstRow="0" w:lastRow="0" w:firstColumn="0" w:lastColumn="0" w:noHBand="0" w:noVBand="0"/>
      </w:tblPr>
      <w:tblGrid>
        <w:gridCol w:w="637"/>
        <w:gridCol w:w="2073"/>
        <w:gridCol w:w="6492"/>
      </w:tblGrid>
      <w:tr w:rsidR="00955A27" w:rsidRPr="001667DB" w14:paraId="5567217C" w14:textId="77777777" w:rsidTr="001B4B8F">
        <w:tc>
          <w:tcPr>
            <w:tcW w:w="637" w:type="dxa"/>
          </w:tcPr>
          <w:p w14:paraId="22204E9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073" w:type="dxa"/>
          </w:tcPr>
          <w:p w14:paraId="4C7423B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D-M-00.00.00</w:t>
            </w:r>
          </w:p>
        </w:tc>
        <w:tc>
          <w:tcPr>
            <w:tcW w:w="6492" w:type="dxa"/>
          </w:tcPr>
          <w:p w14:paraId="1E8AFF0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r w:rsidR="00955A27" w:rsidRPr="001667DB" w14:paraId="36FF94B7" w14:textId="77777777" w:rsidTr="001B4B8F">
        <w:tc>
          <w:tcPr>
            <w:tcW w:w="637" w:type="dxa"/>
          </w:tcPr>
          <w:p w14:paraId="707C7FB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073" w:type="dxa"/>
          </w:tcPr>
          <w:p w14:paraId="733D72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D-01.00.00</w:t>
            </w:r>
          </w:p>
        </w:tc>
        <w:tc>
          <w:tcPr>
            <w:tcW w:w="6492" w:type="dxa"/>
          </w:tcPr>
          <w:p w14:paraId="176C763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tc>
      </w:tr>
      <w:tr w:rsidR="00955A27" w:rsidRPr="001667DB" w14:paraId="48312EED" w14:textId="77777777" w:rsidTr="001B4B8F">
        <w:tc>
          <w:tcPr>
            <w:tcW w:w="637" w:type="dxa"/>
          </w:tcPr>
          <w:p w14:paraId="05F8F29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2073" w:type="dxa"/>
          </w:tcPr>
          <w:p w14:paraId="3A7E867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D-02.00.00</w:t>
            </w:r>
          </w:p>
        </w:tc>
        <w:tc>
          <w:tcPr>
            <w:tcW w:w="6492" w:type="dxa"/>
          </w:tcPr>
          <w:p w14:paraId="22F911E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ziemne</w:t>
            </w:r>
          </w:p>
        </w:tc>
      </w:tr>
      <w:tr w:rsidR="00955A27" w:rsidRPr="001667DB" w14:paraId="0A243383" w14:textId="77777777" w:rsidTr="001B4B8F">
        <w:tc>
          <w:tcPr>
            <w:tcW w:w="637" w:type="dxa"/>
          </w:tcPr>
          <w:p w14:paraId="21E209A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073" w:type="dxa"/>
          </w:tcPr>
          <w:p w14:paraId="7799E19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D-04.01.01</w:t>
            </w:r>
          </w:p>
        </w:tc>
        <w:tc>
          <w:tcPr>
            <w:tcW w:w="6492" w:type="dxa"/>
          </w:tcPr>
          <w:p w14:paraId="656FB94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Koryto wraz z profilowaniem i zagęszczeniem podłoża (zawarte w OST D-04.01.01÷04.03.01 Dolne warstwy podbudów oraz oczyszczenie i skropienie)</w:t>
            </w:r>
          </w:p>
        </w:tc>
      </w:tr>
      <w:tr w:rsidR="00955A27" w:rsidRPr="001667DB" w14:paraId="223F55A2" w14:textId="77777777" w:rsidTr="001B4B8F">
        <w:tc>
          <w:tcPr>
            <w:tcW w:w="637" w:type="dxa"/>
          </w:tcPr>
          <w:p w14:paraId="29D8E41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073" w:type="dxa"/>
          </w:tcPr>
          <w:p w14:paraId="00B2DC0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D-04.02.01</w:t>
            </w:r>
          </w:p>
        </w:tc>
        <w:tc>
          <w:tcPr>
            <w:tcW w:w="6492" w:type="dxa"/>
          </w:tcPr>
          <w:p w14:paraId="68AF258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Warstwy odsączające i odcinające  (zawarte w OST                      D-04.01.01÷04.03.01 Dolne warstwy podbudów oraz oczyszczenie i skropienie)</w:t>
            </w:r>
          </w:p>
        </w:tc>
      </w:tr>
      <w:tr w:rsidR="00955A27" w:rsidRPr="001667DB" w14:paraId="4E526F56" w14:textId="77777777" w:rsidTr="001B4B8F">
        <w:tc>
          <w:tcPr>
            <w:tcW w:w="637" w:type="dxa"/>
          </w:tcPr>
          <w:p w14:paraId="72C4DF8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073" w:type="dxa"/>
          </w:tcPr>
          <w:p w14:paraId="05BFEFF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D-04.02.01a</w:t>
            </w:r>
          </w:p>
        </w:tc>
        <w:tc>
          <w:tcPr>
            <w:tcW w:w="6492" w:type="dxa"/>
          </w:tcPr>
          <w:p w14:paraId="2F64EFD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Warstwa odcinająca z geowłókniny</w:t>
            </w:r>
          </w:p>
        </w:tc>
      </w:tr>
      <w:tr w:rsidR="00955A27" w:rsidRPr="001667DB" w14:paraId="1DFF70E1" w14:textId="77777777" w:rsidTr="001B4B8F">
        <w:tc>
          <w:tcPr>
            <w:tcW w:w="637" w:type="dxa"/>
          </w:tcPr>
          <w:p w14:paraId="4B861AB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073" w:type="dxa"/>
          </w:tcPr>
          <w:p w14:paraId="72BBF4E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D-04.04.00a</w:t>
            </w:r>
          </w:p>
        </w:tc>
        <w:tc>
          <w:tcPr>
            <w:tcW w:w="6492" w:type="dxa"/>
          </w:tcPr>
          <w:p w14:paraId="2FB06AD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Podłoże ulepszone z mieszanki kruszywa niezwiązanego</w:t>
            </w:r>
          </w:p>
        </w:tc>
      </w:tr>
    </w:tbl>
    <w:p w14:paraId="6B9A391C"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Normy</w:t>
      </w:r>
    </w:p>
    <w:tbl>
      <w:tblPr>
        <w:tblW w:w="9228" w:type="dxa"/>
        <w:tblLook w:val="01E0" w:firstRow="1" w:lastRow="1" w:firstColumn="1" w:lastColumn="1" w:noHBand="0" w:noVBand="0"/>
      </w:tblPr>
      <w:tblGrid>
        <w:gridCol w:w="675"/>
        <w:gridCol w:w="2073"/>
        <w:gridCol w:w="6480"/>
      </w:tblGrid>
      <w:tr w:rsidR="00955A27" w:rsidRPr="001667DB" w14:paraId="676DBDB8" w14:textId="77777777" w:rsidTr="001B4B8F">
        <w:tc>
          <w:tcPr>
            <w:tcW w:w="675" w:type="dxa"/>
          </w:tcPr>
          <w:p w14:paraId="168DCB0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073" w:type="dxa"/>
          </w:tcPr>
          <w:p w14:paraId="58B3908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933-1</w:t>
            </w:r>
          </w:p>
        </w:tc>
        <w:tc>
          <w:tcPr>
            <w:tcW w:w="6480" w:type="dxa"/>
          </w:tcPr>
          <w:p w14:paraId="7BBB9C7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składu ziarnowego – Metoda przesiewania</w:t>
            </w:r>
          </w:p>
        </w:tc>
      </w:tr>
      <w:tr w:rsidR="00955A27" w:rsidRPr="001667DB" w14:paraId="373C4372" w14:textId="77777777" w:rsidTr="001B4B8F">
        <w:tc>
          <w:tcPr>
            <w:tcW w:w="675" w:type="dxa"/>
          </w:tcPr>
          <w:p w14:paraId="781422D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073" w:type="dxa"/>
          </w:tcPr>
          <w:p w14:paraId="378A957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933-3</w:t>
            </w:r>
          </w:p>
        </w:tc>
        <w:tc>
          <w:tcPr>
            <w:tcW w:w="6480" w:type="dxa"/>
          </w:tcPr>
          <w:p w14:paraId="5A9593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kształtu ziaren za pomocą wskaźnika płaskości</w:t>
            </w:r>
          </w:p>
        </w:tc>
      </w:tr>
      <w:tr w:rsidR="00955A27" w:rsidRPr="001667DB" w14:paraId="705A5E0A" w14:textId="77777777" w:rsidTr="001B4B8F">
        <w:tc>
          <w:tcPr>
            <w:tcW w:w="675" w:type="dxa"/>
          </w:tcPr>
          <w:p w14:paraId="1DF4504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2073" w:type="dxa"/>
          </w:tcPr>
          <w:p w14:paraId="40B92BF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933-4</w:t>
            </w:r>
          </w:p>
        </w:tc>
        <w:tc>
          <w:tcPr>
            <w:tcW w:w="6480" w:type="dxa"/>
          </w:tcPr>
          <w:p w14:paraId="1AD8204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kształtu ziaren – Wskaźnik kształtu</w:t>
            </w:r>
          </w:p>
        </w:tc>
      </w:tr>
      <w:tr w:rsidR="00955A27" w:rsidRPr="001667DB" w14:paraId="72A2ED52" w14:textId="77777777" w:rsidTr="001B4B8F">
        <w:tc>
          <w:tcPr>
            <w:tcW w:w="675" w:type="dxa"/>
          </w:tcPr>
          <w:p w14:paraId="55D68C3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073" w:type="dxa"/>
          </w:tcPr>
          <w:p w14:paraId="22CDC0B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933-5</w:t>
            </w:r>
          </w:p>
        </w:tc>
        <w:tc>
          <w:tcPr>
            <w:tcW w:w="6480" w:type="dxa"/>
          </w:tcPr>
          <w:p w14:paraId="4A67292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procentowej zawartości ziarn o powierzchniach powstałych w wyniku przekruszenia lub łamania kruszyw grubych</w:t>
            </w:r>
          </w:p>
        </w:tc>
      </w:tr>
      <w:tr w:rsidR="00955A27" w:rsidRPr="001667DB" w14:paraId="636C4210" w14:textId="77777777" w:rsidTr="001B4B8F">
        <w:tc>
          <w:tcPr>
            <w:tcW w:w="675" w:type="dxa"/>
          </w:tcPr>
          <w:p w14:paraId="6F77646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073" w:type="dxa"/>
          </w:tcPr>
          <w:p w14:paraId="525419A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1097-1</w:t>
            </w:r>
          </w:p>
        </w:tc>
        <w:tc>
          <w:tcPr>
            <w:tcW w:w="6480" w:type="dxa"/>
          </w:tcPr>
          <w:p w14:paraId="7F68680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Oznaczanie odporności na ścieranie (mikro-Deval)</w:t>
            </w:r>
          </w:p>
        </w:tc>
      </w:tr>
      <w:tr w:rsidR="00955A27" w:rsidRPr="001667DB" w14:paraId="5A99E77A" w14:textId="77777777" w:rsidTr="001B4B8F">
        <w:tc>
          <w:tcPr>
            <w:tcW w:w="675" w:type="dxa"/>
          </w:tcPr>
          <w:p w14:paraId="4B2F588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2073" w:type="dxa"/>
          </w:tcPr>
          <w:p w14:paraId="7263D80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1097-2</w:t>
            </w:r>
          </w:p>
        </w:tc>
        <w:tc>
          <w:tcPr>
            <w:tcW w:w="6480" w:type="dxa"/>
          </w:tcPr>
          <w:p w14:paraId="7B6486F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Metody oznaczania odporności na rozdrabnianie</w:t>
            </w:r>
          </w:p>
        </w:tc>
      </w:tr>
      <w:tr w:rsidR="00955A27" w:rsidRPr="001667DB" w14:paraId="0141E500" w14:textId="77777777" w:rsidTr="001B4B8F">
        <w:tc>
          <w:tcPr>
            <w:tcW w:w="675" w:type="dxa"/>
          </w:tcPr>
          <w:p w14:paraId="5D520D0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2073" w:type="dxa"/>
          </w:tcPr>
          <w:p w14:paraId="2FC9EF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1097-6</w:t>
            </w:r>
          </w:p>
        </w:tc>
        <w:tc>
          <w:tcPr>
            <w:tcW w:w="6480" w:type="dxa"/>
          </w:tcPr>
          <w:p w14:paraId="7102534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6: Oznaczanie gęstości ziarn i nasiąkliwości</w:t>
            </w:r>
          </w:p>
        </w:tc>
      </w:tr>
      <w:tr w:rsidR="00955A27" w:rsidRPr="001667DB" w14:paraId="6B6BFB8A" w14:textId="77777777" w:rsidTr="001B4B8F">
        <w:tc>
          <w:tcPr>
            <w:tcW w:w="675" w:type="dxa"/>
          </w:tcPr>
          <w:p w14:paraId="57FADD9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2073" w:type="dxa"/>
          </w:tcPr>
          <w:p w14:paraId="4E1379E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1367-1</w:t>
            </w:r>
          </w:p>
        </w:tc>
        <w:tc>
          <w:tcPr>
            <w:tcW w:w="6480" w:type="dxa"/>
          </w:tcPr>
          <w:p w14:paraId="5C38002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1: Oznaczanie mrozoodporności</w:t>
            </w:r>
          </w:p>
        </w:tc>
      </w:tr>
      <w:tr w:rsidR="00955A27" w:rsidRPr="001667DB" w14:paraId="1082692D" w14:textId="77777777" w:rsidTr="001B4B8F">
        <w:tc>
          <w:tcPr>
            <w:tcW w:w="675" w:type="dxa"/>
          </w:tcPr>
          <w:p w14:paraId="289DCFA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2073" w:type="dxa"/>
          </w:tcPr>
          <w:p w14:paraId="4932F59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1367-3</w:t>
            </w:r>
          </w:p>
        </w:tc>
        <w:tc>
          <w:tcPr>
            <w:tcW w:w="6480" w:type="dxa"/>
          </w:tcPr>
          <w:p w14:paraId="4304216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3: Badanie bazaltowej zgorzeli słonecznej metodą gotowania</w:t>
            </w:r>
          </w:p>
        </w:tc>
      </w:tr>
      <w:tr w:rsidR="00955A27" w:rsidRPr="001667DB" w14:paraId="2EFF227B" w14:textId="77777777" w:rsidTr="001B4B8F">
        <w:tc>
          <w:tcPr>
            <w:tcW w:w="675" w:type="dxa"/>
          </w:tcPr>
          <w:p w14:paraId="7609A76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2073" w:type="dxa"/>
          </w:tcPr>
          <w:p w14:paraId="6B6731B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1744-1</w:t>
            </w:r>
          </w:p>
        </w:tc>
        <w:tc>
          <w:tcPr>
            <w:tcW w:w="6480" w:type="dxa"/>
          </w:tcPr>
          <w:p w14:paraId="70EC297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Analiza chemiczna</w:t>
            </w:r>
          </w:p>
        </w:tc>
      </w:tr>
      <w:tr w:rsidR="00955A27" w:rsidRPr="001667DB" w14:paraId="51A05C33" w14:textId="77777777" w:rsidTr="001B4B8F">
        <w:tc>
          <w:tcPr>
            <w:tcW w:w="675" w:type="dxa"/>
          </w:tcPr>
          <w:p w14:paraId="0CDA8C5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2073" w:type="dxa"/>
          </w:tcPr>
          <w:p w14:paraId="3746E6A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1744-3</w:t>
            </w:r>
          </w:p>
        </w:tc>
        <w:tc>
          <w:tcPr>
            <w:tcW w:w="6480" w:type="dxa"/>
          </w:tcPr>
          <w:p w14:paraId="360AA67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Część 3: Przygotowanie wyciągów przez wymywanie kruszyw</w:t>
            </w:r>
          </w:p>
        </w:tc>
      </w:tr>
      <w:tr w:rsidR="00955A27" w:rsidRPr="001667DB" w14:paraId="4EE6EB29" w14:textId="77777777" w:rsidTr="001B4B8F">
        <w:tc>
          <w:tcPr>
            <w:tcW w:w="675" w:type="dxa"/>
          </w:tcPr>
          <w:p w14:paraId="0FFDE2E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19.</w:t>
            </w:r>
          </w:p>
        </w:tc>
        <w:tc>
          <w:tcPr>
            <w:tcW w:w="2073" w:type="dxa"/>
          </w:tcPr>
          <w:p w14:paraId="19F576C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13242</w:t>
            </w:r>
          </w:p>
        </w:tc>
        <w:tc>
          <w:tcPr>
            <w:tcW w:w="6480" w:type="dxa"/>
          </w:tcPr>
          <w:p w14:paraId="78D9999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do niezwiązanych i związanych hydraulicznie materiałów stosowanych w obiektach budowlanych i budownictwie drogowym</w:t>
            </w:r>
          </w:p>
        </w:tc>
      </w:tr>
      <w:tr w:rsidR="00955A27" w:rsidRPr="001667DB" w14:paraId="6FF7DCCE" w14:textId="77777777" w:rsidTr="001B4B8F">
        <w:tc>
          <w:tcPr>
            <w:tcW w:w="675" w:type="dxa"/>
          </w:tcPr>
          <w:p w14:paraId="0BD8568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2073" w:type="dxa"/>
          </w:tcPr>
          <w:p w14:paraId="057CD36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13285</w:t>
            </w:r>
          </w:p>
        </w:tc>
        <w:tc>
          <w:tcPr>
            <w:tcW w:w="6480" w:type="dxa"/>
          </w:tcPr>
          <w:p w14:paraId="20C63BF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Mieszanki niezwiązane – Wymagania </w:t>
            </w:r>
          </w:p>
        </w:tc>
      </w:tr>
      <w:tr w:rsidR="00955A27" w:rsidRPr="001667DB" w14:paraId="5A027319" w14:textId="77777777" w:rsidTr="001B4B8F">
        <w:tc>
          <w:tcPr>
            <w:tcW w:w="675" w:type="dxa"/>
          </w:tcPr>
          <w:p w14:paraId="12DEB5C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2073" w:type="dxa"/>
          </w:tcPr>
          <w:p w14:paraId="04EFB51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13286-2</w:t>
            </w:r>
          </w:p>
        </w:tc>
        <w:tc>
          <w:tcPr>
            <w:tcW w:w="6480" w:type="dxa"/>
          </w:tcPr>
          <w:p w14:paraId="7B03C0A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i związane spoiwem hydraulicznym – Część 2: Metody określania gęstości i zawartości wody – Zagęszczanie metodą Proctora</w:t>
            </w:r>
          </w:p>
        </w:tc>
      </w:tr>
      <w:tr w:rsidR="00955A27" w:rsidRPr="001667DB" w14:paraId="7EDC256B" w14:textId="77777777" w:rsidTr="001B4B8F">
        <w:tc>
          <w:tcPr>
            <w:tcW w:w="675" w:type="dxa"/>
          </w:tcPr>
          <w:p w14:paraId="2B067B5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22.</w:t>
            </w:r>
          </w:p>
        </w:tc>
        <w:tc>
          <w:tcPr>
            <w:tcW w:w="2073" w:type="dxa"/>
          </w:tcPr>
          <w:p w14:paraId="32B6C31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13286-47</w:t>
            </w:r>
          </w:p>
        </w:tc>
        <w:tc>
          <w:tcPr>
            <w:tcW w:w="6480" w:type="dxa"/>
          </w:tcPr>
          <w:p w14:paraId="28667D2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i związane spoiwem hydraulicznym – Część 47: Metody badań dla określenia nośności, kalifornijski wskaźnik nośności CBR, natychmiastowy wskaźnik nośności i pęcznienia liniowego</w:t>
            </w:r>
          </w:p>
        </w:tc>
      </w:tr>
      <w:tr w:rsidR="00955A27" w:rsidRPr="001667DB" w14:paraId="59BF8383" w14:textId="77777777" w:rsidTr="001B4B8F">
        <w:tc>
          <w:tcPr>
            <w:tcW w:w="675" w:type="dxa"/>
          </w:tcPr>
          <w:p w14:paraId="5E947B6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23.</w:t>
            </w:r>
          </w:p>
        </w:tc>
        <w:tc>
          <w:tcPr>
            <w:tcW w:w="2073" w:type="dxa"/>
          </w:tcPr>
          <w:p w14:paraId="014FBA5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ISO/TS 17892-11</w:t>
            </w:r>
          </w:p>
        </w:tc>
        <w:tc>
          <w:tcPr>
            <w:tcW w:w="6480" w:type="dxa"/>
          </w:tcPr>
          <w:p w14:paraId="6AABBEB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geotechniczne – Badania laboratoryjne gruntów – Część 11: Oznaczanie filtracji przy stałym i obniżającym spadku hydraulicznym</w:t>
            </w:r>
          </w:p>
        </w:tc>
      </w:tr>
    </w:tbl>
    <w:p w14:paraId="23251D85"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Inne dokumenty</w:t>
      </w:r>
    </w:p>
    <w:p w14:paraId="61EA447E" w14:textId="77777777" w:rsidR="00955A27" w:rsidRPr="001667DB" w:rsidRDefault="00955A27" w:rsidP="00904E6C">
      <w:pPr>
        <w:numPr>
          <w:ilvl w:val="0"/>
          <w:numId w:val="10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do dróg krajowych. WT-4 2010. Wymagania techniczne (zalecone do stosowania w specyfikacji technicznej na roboty budowlane na drogach krajowych wg zarządzenia nr 102 GDDKiA z dnia 19.11.2010 r.)</w:t>
      </w:r>
    </w:p>
    <w:p w14:paraId="7352730E" w14:textId="77777777" w:rsidR="00955A27" w:rsidRPr="001667DB" w:rsidRDefault="00955A27" w:rsidP="00904E6C">
      <w:pPr>
        <w:numPr>
          <w:ilvl w:val="0"/>
          <w:numId w:val="10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Transportu i Gospodarki Morskiej z dnia 2 marca 1999 r. w sprawie warunków technicznych, jakim powinny odpowiadać drogi publiczne i ich usytuowanie (Dz.U. nr 43, poz. 430)</w:t>
      </w:r>
    </w:p>
    <w:p w14:paraId="3D14E5C2" w14:textId="77777777" w:rsidR="00955A27" w:rsidRPr="001667DB" w:rsidRDefault="00955A27" w:rsidP="00904E6C">
      <w:pPr>
        <w:numPr>
          <w:ilvl w:val="0"/>
          <w:numId w:val="10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Katalog typowych konstrukcji nawierzchni podatnych i półsztywnych. Generalna Dyrekcja Dróg Publicznych – Instytut Badawczy Dróg i Mostów, Warszawa 1997</w:t>
      </w:r>
    </w:p>
    <w:p w14:paraId="65BF1F1D" w14:textId="77777777" w:rsidR="008260C6" w:rsidRPr="001667DB" w:rsidRDefault="008260C6">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70197AFE" w14:textId="77777777" w:rsidR="00955A27" w:rsidRPr="001667DB" w:rsidRDefault="00955A27" w:rsidP="00904E6C">
      <w:pPr>
        <w:pStyle w:val="Nagwek2"/>
        <w:numPr>
          <w:ilvl w:val="8"/>
          <w:numId w:val="8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1985"/>
        </w:tabs>
        <w:suppressAutoHyphens/>
        <w:spacing w:before="0" w:line="360" w:lineRule="auto"/>
        <w:ind w:left="2127" w:hanging="2127"/>
        <w:jc w:val="both"/>
        <w:rPr>
          <w:color w:val="000000" w:themeColor="text1"/>
          <w:sz w:val="22"/>
          <w:szCs w:val="22"/>
          <w:u w:val="none"/>
        </w:rPr>
      </w:pPr>
      <w:r w:rsidRPr="001667DB">
        <w:rPr>
          <w:color w:val="000000" w:themeColor="text1"/>
          <w:sz w:val="22"/>
          <w:szCs w:val="22"/>
          <w:u w:val="none"/>
        </w:rPr>
        <w:lastRenderedPageBreak/>
        <w:t>D.04.04.02b</w:t>
      </w:r>
      <w:r w:rsidRPr="001667DB">
        <w:rPr>
          <w:color w:val="000000" w:themeColor="text1"/>
          <w:sz w:val="22"/>
          <w:szCs w:val="22"/>
          <w:u w:val="none"/>
        </w:rPr>
        <w:tab/>
      </w:r>
      <w:r w:rsidRPr="001667DB">
        <w:rPr>
          <w:color w:val="000000" w:themeColor="text1"/>
          <w:sz w:val="22"/>
          <w:szCs w:val="22"/>
          <w:u w:val="none"/>
        </w:rPr>
        <w:tab/>
      </w:r>
      <w:r w:rsidRPr="001667DB">
        <w:rPr>
          <w:bCs/>
          <w:color w:val="000000" w:themeColor="text1"/>
          <w:sz w:val="22"/>
          <w:szCs w:val="22"/>
          <w:u w:val="none"/>
        </w:rPr>
        <w:t>POBUDOWA  ZASADNICZA Z MIESZANKI  KRUSZYWA NIEZWIĄZANEGO</w:t>
      </w:r>
    </w:p>
    <w:p w14:paraId="1C904BDA"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lang w:val="pl-PL"/>
        </w:rPr>
        <w:t>1.</w:t>
      </w:r>
      <w:r w:rsidRPr="001667DB">
        <w:rPr>
          <w:color w:val="000000" w:themeColor="text1"/>
          <w:sz w:val="22"/>
          <w:szCs w:val="22"/>
          <w:lang w:val="pl-PL"/>
        </w:rPr>
        <w:tab/>
      </w:r>
      <w:r w:rsidRPr="001667DB">
        <w:rPr>
          <w:color w:val="000000" w:themeColor="text1"/>
          <w:sz w:val="22"/>
          <w:szCs w:val="22"/>
        </w:rPr>
        <w:t>WSTĘP</w:t>
      </w:r>
    </w:p>
    <w:p w14:paraId="66BA9B1F" w14:textId="77777777" w:rsidR="00955A27" w:rsidRPr="00CC404C"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CC404C">
        <w:rPr>
          <w:color w:val="000000" w:themeColor="text1"/>
          <w:sz w:val="22"/>
          <w:szCs w:val="22"/>
        </w:rPr>
        <w:t>1.1. Przedmiot ST</w:t>
      </w:r>
    </w:p>
    <w:p w14:paraId="1FDDE58E" w14:textId="77777777" w:rsidR="00955A27" w:rsidRPr="001667DB" w:rsidRDefault="00955A27" w:rsidP="00955A27">
      <w:pPr>
        <w:pStyle w:val="Standardowytekst0"/>
        <w:spacing w:after="120" w:line="360" w:lineRule="auto"/>
        <w:rPr>
          <w:color w:val="000000" w:themeColor="text1"/>
          <w:sz w:val="22"/>
          <w:szCs w:val="22"/>
        </w:rPr>
      </w:pPr>
      <w:r w:rsidRPr="001667DB">
        <w:rPr>
          <w:color w:val="000000" w:themeColor="text1"/>
          <w:sz w:val="22"/>
          <w:szCs w:val="22"/>
        </w:rPr>
        <w:tab/>
        <w:t xml:space="preserve">Przedmiotem niniejszej specyfikacji technicznej (ST) są wymagania dotyczące wykonania i odbioru robót związanych z wykonaniem podbudowy zasadniczej z mieszanki kruszywa niezwiązanego w ramach realizacji zadania: </w:t>
      </w:r>
      <w:r w:rsidR="00CC404C" w:rsidRPr="00FD3B41">
        <w:rPr>
          <w:b/>
          <w:color w:val="000000" w:themeColor="text1"/>
          <w:sz w:val="22"/>
          <w:szCs w:val="22"/>
        </w:rPr>
        <w:t>„Rozbudowa drogi wojewódzkiej nr 461 w m. Dąbrówka Łubniańska i Łubniany” – Etap I ( km od 9+741,88 do 10+371,13)</w:t>
      </w:r>
    </w:p>
    <w:p w14:paraId="1EBC44A4" w14:textId="77777777" w:rsidR="00955A27" w:rsidRPr="00CC404C"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CC404C">
        <w:rPr>
          <w:color w:val="000000" w:themeColor="text1"/>
          <w:sz w:val="22"/>
          <w:szCs w:val="22"/>
        </w:rPr>
        <w:t>1.2. Zakres stosowania ST</w:t>
      </w:r>
    </w:p>
    <w:p w14:paraId="37A2091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ST jest stosowana jako dokument przetargowy i kontraktowy przy zlecaniu i realizacji robót wymienionych w pkt.1.1.</w:t>
      </w:r>
    </w:p>
    <w:p w14:paraId="5E42A193" w14:textId="77777777" w:rsidR="00955A27" w:rsidRPr="00CC404C"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CC404C">
        <w:rPr>
          <w:color w:val="000000" w:themeColor="text1"/>
          <w:sz w:val="22"/>
          <w:szCs w:val="22"/>
        </w:rPr>
        <w:t>1.3. Zakres robót objętych ST</w:t>
      </w:r>
    </w:p>
    <w:p w14:paraId="3D3D5A6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wykonaniem i odbiorem podbudowy zasadniczej z mieszanki kruszywa niezwiązanego, tj. ziarnistego materiału o określonym składzie, w procesie technologicznym, polegającym na odpowiednim zagęszczeniu przy optymalnej wilgotności mieszanki.</w:t>
      </w:r>
    </w:p>
    <w:p w14:paraId="75C2A8C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Mieszanka niezwiązana może być wytworzona z kruszyw naturalnych, sztucznych, kruszyw                                z recyklingu oraz mieszanin tych kruszyw w określonych proporcjach.</w:t>
      </w:r>
    </w:p>
    <w:p w14:paraId="47D2392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Podbudowa zasadnicza, stanowiąca górną część podbudowy w nawierzchni drogowej, zapewnia przenoszenie obciążeń z warstw wyżej leżących na warstwę podbudowy pomocniczej i podłoże.</w:t>
      </w:r>
    </w:p>
    <w:p w14:paraId="66E6889E"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robót obejmuje:</w:t>
      </w:r>
    </w:p>
    <w:p w14:paraId="3514093D"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iCs/>
          <w:color w:val="000000" w:themeColor="text1"/>
        </w:rPr>
      </w:pPr>
      <w:r w:rsidRPr="001667DB">
        <w:rPr>
          <w:rFonts w:ascii="Times New Roman" w:hAnsi="Times New Roman" w:cs="Times New Roman"/>
          <w:color w:val="000000" w:themeColor="text1"/>
        </w:rPr>
        <w:t xml:space="preserve">Wykonanie podbudowy zasadniczej z mieszanki niezwiązanej kruszywem łamanym </w:t>
      </w:r>
      <w:r w:rsidRPr="001667DB">
        <w:rPr>
          <w:rFonts w:ascii="Times New Roman" w:hAnsi="Times New Roman" w:cs="Times New Roman"/>
          <w:iCs/>
          <w:color w:val="000000" w:themeColor="text1"/>
        </w:rPr>
        <w:t>C</w:t>
      </w:r>
      <w:r w:rsidRPr="001667DB">
        <w:rPr>
          <w:rFonts w:ascii="Times New Roman" w:hAnsi="Times New Roman" w:cs="Times New Roman"/>
          <w:iCs/>
          <w:color w:val="000000" w:themeColor="text1"/>
          <w:vertAlign w:val="subscript"/>
        </w:rPr>
        <w:t>90/30</w:t>
      </w:r>
      <w:r w:rsidRPr="001667DB">
        <w:rPr>
          <w:rFonts w:ascii="Times New Roman" w:hAnsi="Times New Roman" w:cs="Times New Roman"/>
          <w:iCs/>
          <w:color w:val="000000" w:themeColor="text1"/>
        </w:rPr>
        <w:t xml:space="preserve">               </w:t>
      </w:r>
      <w:r w:rsidRPr="001667DB">
        <w:rPr>
          <w:rFonts w:ascii="Times New Roman" w:hAnsi="Times New Roman" w:cs="Times New Roman"/>
          <w:b/>
          <w:iCs/>
          <w:color w:val="000000" w:themeColor="text1"/>
        </w:rPr>
        <w:t>gr. 0,20m – jezdnia,</w:t>
      </w:r>
    </w:p>
    <w:p w14:paraId="5CB33BF4"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iCs/>
          <w:color w:val="000000" w:themeColor="text1"/>
        </w:rPr>
      </w:pPr>
      <w:r w:rsidRPr="001667DB">
        <w:rPr>
          <w:rFonts w:ascii="Times New Roman" w:hAnsi="Times New Roman" w:cs="Times New Roman"/>
          <w:color w:val="000000" w:themeColor="text1"/>
        </w:rPr>
        <w:t xml:space="preserve">Wykonanie podbudowy zasadniczej z mieszanki niezwiązanej kruszywem łamanym </w:t>
      </w:r>
      <w:r w:rsidRPr="001667DB">
        <w:rPr>
          <w:rFonts w:ascii="Times New Roman" w:hAnsi="Times New Roman" w:cs="Times New Roman"/>
          <w:iCs/>
          <w:color w:val="000000" w:themeColor="text1"/>
        </w:rPr>
        <w:t>C</w:t>
      </w:r>
      <w:r w:rsidRPr="001667DB">
        <w:rPr>
          <w:rFonts w:ascii="Times New Roman" w:hAnsi="Times New Roman" w:cs="Times New Roman"/>
          <w:iCs/>
          <w:color w:val="000000" w:themeColor="text1"/>
          <w:vertAlign w:val="subscript"/>
        </w:rPr>
        <w:t>90/30</w:t>
      </w:r>
      <w:r w:rsidRPr="001667DB">
        <w:rPr>
          <w:rFonts w:ascii="Times New Roman" w:hAnsi="Times New Roman" w:cs="Times New Roman"/>
          <w:iCs/>
          <w:color w:val="000000" w:themeColor="text1"/>
        </w:rPr>
        <w:t xml:space="preserve">               </w:t>
      </w:r>
      <w:r w:rsidRPr="001667DB">
        <w:rPr>
          <w:rFonts w:ascii="Times New Roman" w:hAnsi="Times New Roman" w:cs="Times New Roman"/>
          <w:b/>
          <w:iCs/>
          <w:color w:val="000000" w:themeColor="text1"/>
        </w:rPr>
        <w:t>gr. 0,20m – chodnik,</w:t>
      </w:r>
    </w:p>
    <w:p w14:paraId="630FF4D4" w14:textId="77777777" w:rsidR="00955A27" w:rsidRPr="001667DB" w:rsidRDefault="00955A27" w:rsidP="00904E6C">
      <w:pPr>
        <w:numPr>
          <w:ilvl w:val="0"/>
          <w:numId w:val="101"/>
        </w:numPr>
        <w:suppressAutoHyphens/>
        <w:spacing w:after="120" w:line="360" w:lineRule="auto"/>
        <w:jc w:val="both"/>
        <w:rPr>
          <w:rFonts w:ascii="Times New Roman" w:hAnsi="Times New Roman" w:cs="Times New Roman"/>
          <w:iCs/>
          <w:color w:val="000000" w:themeColor="text1"/>
        </w:rPr>
      </w:pPr>
      <w:r w:rsidRPr="001667DB">
        <w:rPr>
          <w:rFonts w:ascii="Times New Roman" w:hAnsi="Times New Roman" w:cs="Times New Roman"/>
          <w:color w:val="000000" w:themeColor="text1"/>
        </w:rPr>
        <w:t xml:space="preserve">Wykonanie podbudowy zasadniczej z mieszanki niezwiązanej kruszywem łamanym </w:t>
      </w:r>
      <w:r w:rsidRPr="001667DB">
        <w:rPr>
          <w:rFonts w:ascii="Times New Roman" w:hAnsi="Times New Roman" w:cs="Times New Roman"/>
          <w:iCs/>
          <w:color w:val="000000" w:themeColor="text1"/>
        </w:rPr>
        <w:t>C</w:t>
      </w:r>
      <w:r w:rsidRPr="001667DB">
        <w:rPr>
          <w:rFonts w:ascii="Times New Roman" w:hAnsi="Times New Roman" w:cs="Times New Roman"/>
          <w:iCs/>
          <w:color w:val="000000" w:themeColor="text1"/>
          <w:vertAlign w:val="subscript"/>
        </w:rPr>
        <w:t>90/30</w:t>
      </w:r>
      <w:r w:rsidRPr="001667DB">
        <w:rPr>
          <w:rFonts w:ascii="Times New Roman" w:hAnsi="Times New Roman" w:cs="Times New Roman"/>
          <w:iCs/>
          <w:color w:val="000000" w:themeColor="text1"/>
        </w:rPr>
        <w:t xml:space="preserve">              </w:t>
      </w:r>
      <w:r w:rsidRPr="001667DB">
        <w:rPr>
          <w:rFonts w:ascii="Times New Roman" w:hAnsi="Times New Roman" w:cs="Times New Roman"/>
          <w:b/>
          <w:iCs/>
          <w:color w:val="000000" w:themeColor="text1"/>
        </w:rPr>
        <w:t>gr. 0,30m – zjazdy</w:t>
      </w:r>
    </w:p>
    <w:p w14:paraId="76304626"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3500178B"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5F93ED29"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1.4. Określenia podstawowe</w:t>
      </w:r>
    </w:p>
    <w:p w14:paraId="48FE2A8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w:t>
      </w:r>
      <w:r w:rsidRPr="001667DB">
        <w:rPr>
          <w:rFonts w:ascii="Times New Roman" w:hAnsi="Times New Roman" w:cs="Times New Roman"/>
          <w:color w:val="000000" w:themeColor="text1"/>
          <w:sz w:val="22"/>
          <w:szCs w:val="22"/>
        </w:rPr>
        <w:t xml:space="preserve"> Mieszanka niezwiązana –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59B2D88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1.4.2.</w:t>
      </w:r>
      <w:r w:rsidRPr="001667DB">
        <w:rPr>
          <w:rFonts w:ascii="Times New Roman" w:hAnsi="Times New Roman" w:cs="Times New Roman"/>
          <w:color w:val="000000" w:themeColor="text1"/>
          <w:sz w:val="22"/>
          <w:szCs w:val="22"/>
        </w:rPr>
        <w:t xml:space="preserve"> Kategoria – charakterystyczny poziom właściwości kruszywa lub mieszanki niezwiązanej, wyrażony, jako przedział wartości lub wartość graniczna. Nie ma zależności pomiędzy kategoriami różnych właściwości.</w:t>
      </w:r>
    </w:p>
    <w:p w14:paraId="3D28CE0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1.4.3.</w:t>
      </w:r>
      <w:r w:rsidRPr="001667DB">
        <w:rPr>
          <w:rFonts w:ascii="Times New Roman" w:hAnsi="Times New Roman" w:cs="Times New Roman"/>
          <w:color w:val="000000" w:themeColor="text1"/>
          <w:sz w:val="22"/>
          <w:szCs w:val="22"/>
        </w:rPr>
        <w:t xml:space="preserve"> Kruszywo – materiał ziarnisty stosowany w budownictwie, który może być naturalny, sztuczny lub z recyklingu.</w:t>
      </w:r>
    </w:p>
    <w:p w14:paraId="6175352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1.4.4.</w:t>
      </w:r>
      <w:r w:rsidRPr="001667DB">
        <w:rPr>
          <w:rFonts w:ascii="Times New Roman" w:hAnsi="Times New Roman" w:cs="Times New Roman"/>
          <w:color w:val="000000" w:themeColor="text1"/>
          <w:sz w:val="22"/>
          <w:szCs w:val="22"/>
        </w:rPr>
        <w:t xml:space="preserve">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14:paraId="68857CC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1.4.5.</w:t>
      </w:r>
      <w:r w:rsidRPr="001667DB">
        <w:rPr>
          <w:rFonts w:ascii="Times New Roman" w:hAnsi="Times New Roman" w:cs="Times New Roman"/>
          <w:color w:val="000000" w:themeColor="text1"/>
          <w:sz w:val="22"/>
          <w:szCs w:val="22"/>
        </w:rPr>
        <w:t xml:space="preserve"> Kruszywo sztuczne – kruszywo pochodzenia mineralnego, uzyskiwane w wyniku procesu przemysłowego obejmującego obróbkę termiczną lub inną modyfikację. Do kruszywa sztucznego zalicza się w szczególności kruszywo z żużli: wielkopiecowych, stalowniczych i pomiedziowych.</w:t>
      </w:r>
    </w:p>
    <w:p w14:paraId="6411979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1.4.6.</w:t>
      </w:r>
      <w:r w:rsidRPr="001667DB">
        <w:rPr>
          <w:rFonts w:ascii="Times New Roman" w:hAnsi="Times New Roman" w:cs="Times New Roman"/>
          <w:color w:val="000000" w:themeColor="text1"/>
          <w:sz w:val="22"/>
          <w:szCs w:val="22"/>
        </w:rPr>
        <w:t xml:space="preserve"> Kruszywo z recyklingu – kruszywo powstałe w wyniku przeróbki materiału zastosowanego uprzednio w budownictwie.</w:t>
      </w:r>
    </w:p>
    <w:p w14:paraId="11F0806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1.4.7.</w:t>
      </w:r>
      <w:r w:rsidRPr="001667DB">
        <w:rPr>
          <w:rFonts w:ascii="Times New Roman" w:hAnsi="Times New Roman" w:cs="Times New Roman"/>
          <w:color w:val="000000" w:themeColor="text1"/>
          <w:sz w:val="22"/>
          <w:szCs w:val="22"/>
        </w:rPr>
        <w:t xml:space="preserve"> Kruszywo kamienne – kruszywo z mineralnych surowców jak żwir kruszony, mechanicznie rozdrobnione skały, nadziarno żwirowe.</w:t>
      </w:r>
    </w:p>
    <w:p w14:paraId="5279AF8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1.4.8.</w:t>
      </w:r>
      <w:r w:rsidRPr="001667DB">
        <w:rPr>
          <w:rFonts w:ascii="Times New Roman" w:hAnsi="Times New Roman" w:cs="Times New Roman"/>
          <w:color w:val="000000" w:themeColor="text1"/>
          <w:sz w:val="22"/>
          <w:szCs w:val="22"/>
        </w:rPr>
        <w:t xml:space="preserve">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214FA0E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1.4.9.</w:t>
      </w:r>
      <w:r w:rsidRPr="001667DB">
        <w:rPr>
          <w:rFonts w:ascii="Times New Roman" w:hAnsi="Times New Roman" w:cs="Times New Roman"/>
          <w:color w:val="000000" w:themeColor="text1"/>
          <w:sz w:val="22"/>
          <w:szCs w:val="22"/>
        </w:rPr>
        <w:t xml:space="preserve"> Kruszywo żużlowe z żużla stalowniczego – kruszywo składające się głównie ze skrystalizowanego krzemianu wapnia i ferrytu zawierającego CaO, SiO</w:t>
      </w:r>
      <w:r w:rsidRPr="001667DB">
        <w:rPr>
          <w:rFonts w:ascii="Times New Roman" w:hAnsi="Times New Roman" w:cs="Times New Roman"/>
          <w:color w:val="000000" w:themeColor="text1"/>
          <w:sz w:val="22"/>
          <w:szCs w:val="22"/>
          <w:vertAlign w:val="subscript"/>
        </w:rPr>
        <w:t>2</w:t>
      </w:r>
      <w:r w:rsidRPr="001667DB">
        <w:rPr>
          <w:rFonts w:ascii="Times New Roman" w:hAnsi="Times New Roman" w:cs="Times New Roman"/>
          <w:color w:val="000000" w:themeColor="text1"/>
          <w:sz w:val="22"/>
          <w:szCs w:val="22"/>
        </w:rPr>
        <w:t xml:space="preserve">, MgO oraz tlenek żelaza. Kruszywo otrzymuje się przez powolne schładzanie powietrzem ciekłego żużla stalowniczego. Proces chłodzenia może odbywać się przy kontrolowanym dodawaniu wody. </w:t>
      </w:r>
    </w:p>
    <w:p w14:paraId="06DD06C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1.4.10.</w:t>
      </w:r>
      <w:r w:rsidRPr="001667DB">
        <w:rPr>
          <w:rFonts w:ascii="Times New Roman" w:hAnsi="Times New Roman" w:cs="Times New Roman"/>
          <w:color w:val="000000" w:themeColor="text1"/>
          <w:sz w:val="22"/>
          <w:szCs w:val="22"/>
        </w:rPr>
        <w:t xml:space="preserve"> Kategoria ruchu (KR1÷KR6) – obciążenie drogi ruchem samochodowym, wyrażone w osiach obliczeniowych (100 kN) według „Katalogu typowych konstrukcji nawierzchni podatnych i półsztywnych”. Generalna Dyrekcja Dróg Publicznych – Instytut Badawczy Dróg i Mostów, Warszawa 1997 [22].</w:t>
      </w:r>
    </w:p>
    <w:p w14:paraId="685ABF7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lastRenderedPageBreak/>
        <w:t>1.4.11</w:t>
      </w:r>
      <w:r w:rsidRPr="001667DB">
        <w:rPr>
          <w:rFonts w:ascii="Times New Roman" w:hAnsi="Times New Roman" w:cs="Times New Roman"/>
          <w:color w:val="000000" w:themeColor="text1"/>
          <w:sz w:val="22"/>
          <w:szCs w:val="22"/>
        </w:rPr>
        <w:t>. Kruszywo grube (wg PN-EN 13242) – oznaczenie kruszywa o wymiarach ziaren d (dolnego) równym lub większym niż 1 mm oraz D (górnego) większym niż 2 mm.</w:t>
      </w:r>
    </w:p>
    <w:p w14:paraId="7C70F02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1.4.12.</w:t>
      </w:r>
      <w:r w:rsidRPr="001667DB">
        <w:rPr>
          <w:rFonts w:ascii="Times New Roman" w:hAnsi="Times New Roman" w:cs="Times New Roman"/>
          <w:color w:val="000000" w:themeColor="text1"/>
          <w:sz w:val="22"/>
          <w:szCs w:val="22"/>
        </w:rPr>
        <w:t xml:space="preserve"> Kruszywo drobne (wg PN-EN 13242) – oznaczenie kruszywa o wymiarach ziaren d równym 0 oraz D równym 6,3 mm lub mniejszym. </w:t>
      </w:r>
    </w:p>
    <w:p w14:paraId="13BA0EE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1.4.13.</w:t>
      </w:r>
      <w:r w:rsidRPr="001667DB">
        <w:rPr>
          <w:rFonts w:ascii="Times New Roman" w:hAnsi="Times New Roman" w:cs="Times New Roman"/>
          <w:color w:val="000000" w:themeColor="text1"/>
          <w:sz w:val="22"/>
          <w:szCs w:val="22"/>
        </w:rPr>
        <w:t xml:space="preserve"> Kruszywo o ciągłym uziarnieniu (wg PN-EN 13242) – kruszywo stanowiące mieszankę kruszyw grubych i drobnych, w której D jest większe niż 6,3 mm.</w:t>
      </w:r>
    </w:p>
    <w:p w14:paraId="63DA0B1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1.4.14.</w:t>
      </w:r>
      <w:r w:rsidRPr="001667DB">
        <w:rPr>
          <w:rFonts w:ascii="Times New Roman" w:hAnsi="Times New Roman" w:cs="Times New Roman"/>
          <w:color w:val="000000" w:themeColor="text1"/>
          <w:sz w:val="22"/>
          <w:szCs w:val="22"/>
        </w:rPr>
        <w:t xml:space="preserve"> Destrukt asfaltowy –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 niezwiązanej).</w:t>
      </w:r>
    </w:p>
    <w:p w14:paraId="3EE7FEB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1.4.15.</w:t>
      </w:r>
      <w:r w:rsidRPr="001667DB">
        <w:rPr>
          <w:rFonts w:ascii="Times New Roman" w:hAnsi="Times New Roman" w:cs="Times New Roman"/>
          <w:color w:val="000000" w:themeColor="text1"/>
          <w:sz w:val="22"/>
          <w:szCs w:val="22"/>
        </w:rPr>
        <w:t xml:space="preserve"> Kruszywo słabe –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OST. O zakwalifikowaniu kruszywa do kruszyw słabych decyduje największa różnica wartości przesiewów na jednym z sit kontrolnych. </w:t>
      </w:r>
    </w:p>
    <w:p w14:paraId="6522B2E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1.4.16.</w:t>
      </w:r>
      <w:r w:rsidRPr="001667DB">
        <w:rPr>
          <w:rFonts w:ascii="Times New Roman" w:hAnsi="Times New Roman" w:cs="Times New Roman"/>
          <w:color w:val="000000" w:themeColor="text1"/>
          <w:sz w:val="22"/>
          <w:szCs w:val="22"/>
        </w:rPr>
        <w:t xml:space="preserve"> Podbudowa – dolna część konstrukcji nawierzchni drogi, służąca do przenoszenia obciążeń z ruchu na podłoże. Podbudowa może składać się z podbudowy zasadniczej i pomocniczej, które mogą być wykonywane w kilku warstwach technologicznych.</w:t>
      </w:r>
    </w:p>
    <w:p w14:paraId="7F352EC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1.4.17.</w:t>
      </w:r>
      <w:r w:rsidRPr="001667DB">
        <w:rPr>
          <w:rFonts w:ascii="Times New Roman" w:hAnsi="Times New Roman" w:cs="Times New Roman"/>
          <w:color w:val="000000" w:themeColor="text1"/>
          <w:sz w:val="22"/>
          <w:szCs w:val="22"/>
        </w:rPr>
        <w:t xml:space="preserve"> Podbudowa zasadnicza – warstwa zapewniająca przenoszenie obciążeń z warstw wyżej leżących na warstwę podbudowy pomocniczej lub podłoże. </w:t>
      </w:r>
    </w:p>
    <w:p w14:paraId="364FE48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1.4.18.</w:t>
      </w:r>
      <w:r w:rsidRPr="001667DB">
        <w:rPr>
          <w:rFonts w:ascii="Times New Roman" w:hAnsi="Times New Roman" w:cs="Times New Roman"/>
          <w:color w:val="000000" w:themeColor="text1"/>
          <w:sz w:val="22"/>
          <w:szCs w:val="22"/>
        </w:rPr>
        <w:t xml:space="preserve"> Symbole i skróty dodatkowe</w:t>
      </w:r>
    </w:p>
    <w:p w14:paraId="31FFDCD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m/m   procent masy,</w:t>
      </w:r>
    </w:p>
    <w:p w14:paraId="3FC852B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NR         brak konieczności badania danej cechy,</w:t>
      </w:r>
    </w:p>
    <w:p w14:paraId="03190C5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CRB       kalifornijski wskaźnik nośności, %</w:t>
      </w:r>
    </w:p>
    <w:p w14:paraId="72FA6C38"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SDV   obszar  uziarnienia,  w  którym  powinna  się mieścić  krzywa  uziarnienia mieszanki (S)  deklarowana przez dostawcę/producenta,</w:t>
      </w:r>
    </w:p>
    <w:p w14:paraId="0C1696A9" w14:textId="77777777" w:rsidR="00955A27" w:rsidRPr="001667DB" w:rsidRDefault="00955A27" w:rsidP="00955A27">
      <w:pPr>
        <w:pStyle w:val="Bezodstpw"/>
        <w:spacing w:after="120" w:line="360" w:lineRule="auto"/>
        <w:ind w:left="840" w:hanging="84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ZKP</w:t>
      </w:r>
      <w:r w:rsidRPr="001667DB">
        <w:rPr>
          <w:rFonts w:ascii="Times New Roman" w:hAnsi="Times New Roman" w:cs="Times New Roman"/>
          <w:color w:val="000000" w:themeColor="text1"/>
          <w:sz w:val="22"/>
          <w:szCs w:val="22"/>
        </w:rPr>
        <w:tab/>
        <w:t>zakładowa kontrola produkcji.</w:t>
      </w:r>
    </w:p>
    <w:p w14:paraId="599E949B"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1.4.19. </w:t>
      </w:r>
      <w:r w:rsidRPr="001667DB">
        <w:rPr>
          <w:rFonts w:ascii="Times New Roman" w:hAnsi="Times New Roman"/>
          <w:color w:val="000000" w:themeColor="text1"/>
          <w:sz w:val="22"/>
          <w:szCs w:val="22"/>
        </w:rPr>
        <w:t>Pozostałe określenia podstawowe są zgodne z obowiązującymi, odpowiednimi polskimi normami i z definicjami podanymi w ST D-00.00.00 „Wymagania ogólne” [1], pkt 1.4.</w:t>
      </w:r>
    </w:p>
    <w:p w14:paraId="33B7D58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1.5. Ogólne wymagania dotyczące robót</w:t>
      </w:r>
    </w:p>
    <w:p w14:paraId="2E876001"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ab/>
      </w:r>
      <w:r w:rsidRPr="001667DB">
        <w:rPr>
          <w:rFonts w:ascii="Times New Roman" w:hAnsi="Times New Roman"/>
          <w:color w:val="000000" w:themeColor="text1"/>
          <w:sz w:val="22"/>
          <w:szCs w:val="22"/>
        </w:rPr>
        <w:t>Ogólne wymagania dotyczące robót podano w ST D-00.00.00 „Wymagania ogólne” [1], pkt 1.5.</w:t>
      </w:r>
    </w:p>
    <w:p w14:paraId="1A7AD68A"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2. MATERIAŁY</w:t>
      </w:r>
    </w:p>
    <w:p w14:paraId="75852D3E"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2.1. Ogólne wymagania dotyczące materiałów</w:t>
      </w:r>
    </w:p>
    <w:p w14:paraId="11259DCF"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ab/>
      </w:r>
      <w:r w:rsidRPr="001667DB">
        <w:rPr>
          <w:rFonts w:ascii="Times New Roman" w:hAnsi="Times New Roman"/>
          <w:color w:val="000000" w:themeColor="text1"/>
          <w:sz w:val="22"/>
          <w:szCs w:val="22"/>
        </w:rPr>
        <w:t>Ogólne wymagania dotyczące materiałów, ich pozyskiwania i składowania, podano w ST D-00.00.00 „Wymagania ogólne” [1], pkt 2.</w:t>
      </w:r>
    </w:p>
    <w:p w14:paraId="6B23D275"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2.2. Materiały do wykonania robót</w:t>
      </w:r>
    </w:p>
    <w:p w14:paraId="584DBE8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2.2.1. </w:t>
      </w:r>
      <w:r w:rsidRPr="001667DB">
        <w:rPr>
          <w:rFonts w:ascii="Times New Roman" w:hAnsi="Times New Roman" w:cs="Times New Roman"/>
          <w:color w:val="000000" w:themeColor="text1"/>
        </w:rPr>
        <w:t xml:space="preserve"> Zgodność materiałów z dokumentacją projektową </w:t>
      </w:r>
    </w:p>
    <w:p w14:paraId="3993FE5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wykonania robót powinny być zgodne z ustaleniami dokumentacji projektowej lub ST.</w:t>
      </w:r>
    </w:p>
    <w:p w14:paraId="7D9219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2.2.2. </w:t>
      </w:r>
      <w:r w:rsidRPr="001667DB">
        <w:rPr>
          <w:rFonts w:ascii="Times New Roman" w:hAnsi="Times New Roman" w:cs="Times New Roman"/>
          <w:color w:val="000000" w:themeColor="text1"/>
        </w:rPr>
        <w:t>Materiały wchodzące w skład mieszanki</w:t>
      </w:r>
    </w:p>
    <w:p w14:paraId="68DB4E5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t>Materiałami stosowanymi do wytwarzania mieszanek z kruszywa niezwiązanego są:</w:t>
      </w:r>
    </w:p>
    <w:p w14:paraId="405A79B0" w14:textId="77777777" w:rsidR="00955A27" w:rsidRPr="001667DB" w:rsidRDefault="00955A27" w:rsidP="00904E6C">
      <w:pPr>
        <w:pStyle w:val="Bezodstpw"/>
        <w:numPr>
          <w:ilvl w:val="0"/>
          <w:numId w:val="90"/>
        </w:numPr>
        <w:suppressAutoHyphens w:val="0"/>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w:t>
      </w:r>
    </w:p>
    <w:p w14:paraId="69FB3358" w14:textId="77777777" w:rsidR="00955A27" w:rsidRPr="001667DB" w:rsidRDefault="00955A27" w:rsidP="00904E6C">
      <w:pPr>
        <w:pStyle w:val="Bezodstpw"/>
        <w:numPr>
          <w:ilvl w:val="0"/>
          <w:numId w:val="90"/>
        </w:numPr>
        <w:suppressAutoHyphens w:val="0"/>
        <w:spacing w:after="120" w:line="360" w:lineRule="auto"/>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woda do zraszania kruszywa.</w:t>
      </w:r>
    </w:p>
    <w:p w14:paraId="64EDB21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2.2.3</w:t>
      </w:r>
      <w:r w:rsidRPr="001667DB">
        <w:rPr>
          <w:rFonts w:ascii="Times New Roman" w:hAnsi="Times New Roman" w:cs="Times New Roman"/>
          <w:color w:val="000000" w:themeColor="text1"/>
          <w:sz w:val="22"/>
          <w:szCs w:val="22"/>
        </w:rPr>
        <w:t>. Kruszywa</w:t>
      </w:r>
    </w:p>
    <w:p w14:paraId="0DD56D74" w14:textId="77777777" w:rsidR="00955A27" w:rsidRPr="001667DB" w:rsidRDefault="00955A27" w:rsidP="00955A27">
      <w:pPr>
        <w:tabs>
          <w:tab w:val="left" w:pos="600"/>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mieszanek można stosować następujące rodzaje kruszyw:</w:t>
      </w:r>
    </w:p>
    <w:p w14:paraId="4FD4B9DB"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naturalne lub sztuczne,</w:t>
      </w:r>
    </w:p>
    <w:p w14:paraId="2EEAE1AC"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z recyklingu,</w:t>
      </w:r>
    </w:p>
    <w:p w14:paraId="03E05888" w14:textId="77777777" w:rsidR="00955A27" w:rsidRPr="001667DB" w:rsidRDefault="00955A27" w:rsidP="00904E6C">
      <w:pPr>
        <w:numPr>
          <w:ilvl w:val="0"/>
          <w:numId w:val="91"/>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połączenie kruszyw wymienionych w punktach a) i b) z określeniem proporcji kruszyw z a) i b)                              z dokładnością ± 5% m/m.</w:t>
      </w:r>
    </w:p>
    <w:p w14:paraId="50B1131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Wymagania wobec kruszywa do warstwy podbudowy zasadniczej przedstawia tablica 1.</w:t>
      </w:r>
    </w:p>
    <w:p w14:paraId="3436A10A" w14:textId="77777777" w:rsidR="00955A27" w:rsidRPr="001667DB" w:rsidRDefault="00955A27" w:rsidP="00955A27">
      <w:pPr>
        <w:spacing w:after="120" w:line="360" w:lineRule="auto"/>
        <w:ind w:firstLine="600"/>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o górnym wymiarze ziaren (D) większym niż 80 mm nie są objęte normą PN-EN 13285 [17]                 i niniejszą ST.</w:t>
      </w:r>
    </w:p>
    <w:p w14:paraId="2ECCD93F"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03B70CD9" w14:textId="77777777" w:rsidR="00955A27" w:rsidRPr="001667DB" w:rsidRDefault="00955A27" w:rsidP="00955A27">
      <w:pPr>
        <w:pStyle w:val="Bezodstpw"/>
        <w:tabs>
          <w:tab w:val="left" w:pos="1134"/>
        </w:tabs>
        <w:spacing w:after="120" w:line="360" w:lineRule="auto"/>
        <w:ind w:left="1200" w:hanging="120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Tablica 1.</w:t>
      </w:r>
      <w:r w:rsidRPr="001667DB">
        <w:rPr>
          <w:rFonts w:ascii="Times New Roman" w:hAnsi="Times New Roman" w:cs="Times New Roman"/>
          <w:color w:val="000000" w:themeColor="text1"/>
          <w:sz w:val="22"/>
          <w:szCs w:val="22"/>
        </w:rPr>
        <w:tab/>
        <w:t xml:space="preserve">Wymagania według WT-4 [20] i PN-EN 13242 [16] wobec kruszyw do mieszanek niezwiązanych w warstwie podbudowy zasadniczej </w:t>
      </w:r>
    </w:p>
    <w:p w14:paraId="207494D6" w14:textId="77777777" w:rsidR="00955A27" w:rsidRPr="001667DB" w:rsidRDefault="00955A27" w:rsidP="00955A27">
      <w:pPr>
        <w:pStyle w:val="Bezodstpw"/>
        <w:spacing w:after="120" w:line="360" w:lineRule="auto"/>
        <w:ind w:left="2280" w:hanging="22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Skróty użyte w tablicy: Kat. – kategoria właściwości,  Dekl – deklarowana, wsk. – wskaźnik,                    wsp. – współczynnik, roz. -rozdział</w:t>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134"/>
        <w:gridCol w:w="709"/>
        <w:gridCol w:w="4284"/>
      </w:tblGrid>
      <w:tr w:rsidR="00955A27" w:rsidRPr="001667DB" w14:paraId="59327359" w14:textId="77777777" w:rsidTr="001B4B8F">
        <w:tc>
          <w:tcPr>
            <w:tcW w:w="3085" w:type="dxa"/>
            <w:vMerge w:val="restart"/>
            <w:vAlign w:val="center"/>
          </w:tcPr>
          <w:p w14:paraId="337E8B7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Właściwość</w:t>
            </w:r>
          </w:p>
          <w:p w14:paraId="18B9372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kruszywa</w:t>
            </w:r>
          </w:p>
        </w:tc>
        <w:tc>
          <w:tcPr>
            <w:tcW w:w="1134" w:type="dxa"/>
            <w:vMerge w:val="restart"/>
            <w:vAlign w:val="center"/>
          </w:tcPr>
          <w:p w14:paraId="14850A9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Metoda</w:t>
            </w:r>
          </w:p>
          <w:p w14:paraId="4EF30FC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badania</w:t>
            </w:r>
          </w:p>
          <w:p w14:paraId="5DB11A7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w:t>
            </w:r>
          </w:p>
        </w:tc>
        <w:tc>
          <w:tcPr>
            <w:tcW w:w="4993" w:type="dxa"/>
            <w:gridSpan w:val="2"/>
          </w:tcPr>
          <w:p w14:paraId="6E51F50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kruszywa do mieszanek niezwiązanych, przeznaczonych do zastosowania w warstwie podbudowy zasadniczej pod nawierzchnią drogi obciążonej ruchem  kategorii KR1 ÷ KR6</w:t>
            </w:r>
          </w:p>
        </w:tc>
      </w:tr>
      <w:tr w:rsidR="00955A27" w:rsidRPr="001667DB" w14:paraId="1913D182" w14:textId="77777777" w:rsidTr="001B4B8F">
        <w:trPr>
          <w:trHeight w:val="476"/>
        </w:trPr>
        <w:tc>
          <w:tcPr>
            <w:tcW w:w="3085" w:type="dxa"/>
            <w:vMerge/>
          </w:tcPr>
          <w:p w14:paraId="7F7FFAC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1134" w:type="dxa"/>
            <w:vMerge/>
          </w:tcPr>
          <w:p w14:paraId="6BC41E7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vAlign w:val="center"/>
          </w:tcPr>
          <w:p w14:paraId="5DD0F55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Punkt</w:t>
            </w:r>
          </w:p>
          <w:p w14:paraId="3460390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6A77E2F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13242</w:t>
            </w:r>
          </w:p>
        </w:tc>
        <w:tc>
          <w:tcPr>
            <w:tcW w:w="4284" w:type="dxa"/>
            <w:vAlign w:val="center"/>
          </w:tcPr>
          <w:p w14:paraId="144BAE8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w:t>
            </w:r>
          </w:p>
          <w:p w14:paraId="3673F1E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19B6F1B2" w14:textId="77777777" w:rsidTr="001B4B8F">
        <w:tc>
          <w:tcPr>
            <w:tcW w:w="3085" w:type="dxa"/>
          </w:tcPr>
          <w:p w14:paraId="2859309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Zestaw sit #</w:t>
            </w:r>
          </w:p>
        </w:tc>
        <w:tc>
          <w:tcPr>
            <w:tcW w:w="1134" w:type="dxa"/>
          </w:tcPr>
          <w:p w14:paraId="00AA95F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709" w:type="dxa"/>
          </w:tcPr>
          <w:p w14:paraId="2B4898B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4.1-4.2</w:t>
            </w:r>
          </w:p>
        </w:tc>
        <w:tc>
          <w:tcPr>
            <w:tcW w:w="4284" w:type="dxa"/>
          </w:tcPr>
          <w:p w14:paraId="1B16CEB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0,063; 0,5; 1; 2; 4; 5,6; 8; 11,2; 16; 22,4; 31,5; 45; 63 i 90 mm (zestaw podstawowy plus zestaw 1) </w:t>
            </w:r>
          </w:p>
          <w:p w14:paraId="55041C1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Wszystkie frakcje dozwolone</w:t>
            </w:r>
          </w:p>
        </w:tc>
      </w:tr>
      <w:tr w:rsidR="00955A27" w:rsidRPr="001667DB" w14:paraId="1C89EB83" w14:textId="77777777" w:rsidTr="001B4B8F">
        <w:tc>
          <w:tcPr>
            <w:tcW w:w="3085" w:type="dxa"/>
          </w:tcPr>
          <w:p w14:paraId="1A62E62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w:t>
            </w:r>
          </w:p>
        </w:tc>
        <w:tc>
          <w:tcPr>
            <w:tcW w:w="1134" w:type="dxa"/>
          </w:tcPr>
          <w:p w14:paraId="5F24FBC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28DBDA4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933-1[5]</w:t>
            </w:r>
          </w:p>
          <w:p w14:paraId="1552DA7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tcPr>
          <w:p w14:paraId="269327C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4.3.1</w:t>
            </w:r>
          </w:p>
        </w:tc>
        <w:tc>
          <w:tcPr>
            <w:tcW w:w="4284" w:type="dxa"/>
          </w:tcPr>
          <w:p w14:paraId="7669A10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 grube: kat. G</w:t>
            </w:r>
            <w:r w:rsidRPr="001667DB">
              <w:rPr>
                <w:rFonts w:ascii="Times New Roman" w:hAnsi="Times New Roman" w:cs="Times New Roman"/>
                <w:color w:val="000000" w:themeColor="text1"/>
                <w:sz w:val="22"/>
                <w:szCs w:val="22"/>
                <w:vertAlign w:val="subscript"/>
              </w:rPr>
              <w:t>C</w:t>
            </w:r>
            <w:r w:rsidRPr="001667DB">
              <w:rPr>
                <w:rFonts w:ascii="Times New Roman" w:hAnsi="Times New Roman" w:cs="Times New Roman"/>
                <w:color w:val="000000" w:themeColor="text1"/>
                <w:sz w:val="22"/>
                <w:szCs w:val="22"/>
              </w:rPr>
              <w:t>80/20,   kruszywo drobne: kat. G</w:t>
            </w:r>
            <w:r w:rsidRPr="001667DB">
              <w:rPr>
                <w:rFonts w:ascii="Times New Roman" w:hAnsi="Times New Roman" w:cs="Times New Roman"/>
                <w:color w:val="000000" w:themeColor="text1"/>
                <w:sz w:val="22"/>
                <w:szCs w:val="22"/>
                <w:vertAlign w:val="subscript"/>
              </w:rPr>
              <w:t>F</w:t>
            </w:r>
            <w:r w:rsidRPr="001667DB">
              <w:rPr>
                <w:rFonts w:ascii="Times New Roman" w:hAnsi="Times New Roman" w:cs="Times New Roman"/>
                <w:color w:val="000000" w:themeColor="text1"/>
                <w:sz w:val="22"/>
                <w:szCs w:val="22"/>
              </w:rPr>
              <w:t>80,   kruszywo o ciągłym uziarnieniu: kat. G</w:t>
            </w:r>
            <w:r w:rsidRPr="001667DB">
              <w:rPr>
                <w:rFonts w:ascii="Times New Roman" w:hAnsi="Times New Roman" w:cs="Times New Roman"/>
                <w:color w:val="000000" w:themeColor="text1"/>
                <w:sz w:val="22"/>
                <w:szCs w:val="22"/>
                <w:vertAlign w:val="subscript"/>
              </w:rPr>
              <w:t>A</w:t>
            </w:r>
            <w:r w:rsidRPr="001667DB">
              <w:rPr>
                <w:rFonts w:ascii="Times New Roman" w:hAnsi="Times New Roman" w:cs="Times New Roman"/>
                <w:color w:val="000000" w:themeColor="text1"/>
                <w:sz w:val="22"/>
                <w:szCs w:val="22"/>
              </w:rPr>
              <w:t xml:space="preserve">75.   </w:t>
            </w:r>
          </w:p>
          <w:p w14:paraId="4D53A26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 mieszanek kruszywa wg rysunków 1÷3</w:t>
            </w:r>
          </w:p>
        </w:tc>
      </w:tr>
      <w:tr w:rsidR="00955A27" w:rsidRPr="001667DB" w14:paraId="17505405" w14:textId="77777777" w:rsidTr="001B4B8F">
        <w:trPr>
          <w:trHeight w:val="433"/>
        </w:trPr>
        <w:tc>
          <w:tcPr>
            <w:tcW w:w="3085" w:type="dxa"/>
          </w:tcPr>
          <w:p w14:paraId="721CCCD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Ogólne granice i tolerancje uziarnienia kruszywa grubego na sitach pośrednich</w:t>
            </w:r>
          </w:p>
          <w:p w14:paraId="55EC370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1134" w:type="dxa"/>
          </w:tcPr>
          <w:p w14:paraId="6208651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771B9AE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 [5]</w:t>
            </w:r>
          </w:p>
          <w:p w14:paraId="7913089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tcPr>
          <w:p w14:paraId="6A3DF70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4284" w:type="dxa"/>
          </w:tcPr>
          <w:p w14:paraId="663B985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GT</w:t>
            </w:r>
            <w:r w:rsidRPr="001667DB">
              <w:rPr>
                <w:rFonts w:ascii="Times New Roman" w:hAnsi="Times New Roman" w:cs="Times New Roman"/>
                <w:color w:val="000000" w:themeColor="text1"/>
                <w:sz w:val="22"/>
                <w:szCs w:val="22"/>
                <w:vertAlign w:val="subscript"/>
              </w:rPr>
              <w:t>C</w:t>
            </w:r>
            <w:r w:rsidRPr="001667DB">
              <w:rPr>
                <w:rFonts w:ascii="Times New Roman" w:hAnsi="Times New Roman" w:cs="Times New Roman"/>
                <w:color w:val="000000" w:themeColor="text1"/>
                <w:sz w:val="22"/>
                <w:szCs w:val="22"/>
              </w:rPr>
              <w:t>20/15 (tj. dla stosunku D/d ≥2 i sita o pośrednich wymiarach D/1,4 ogólne granice wynoszą 20-70% przechodzącej masy i graniczne odchylenia od typowego uziarnienia deklarowanego przez producenta wynoszą ±15%)</w:t>
            </w:r>
          </w:p>
        </w:tc>
      </w:tr>
      <w:tr w:rsidR="00955A27" w:rsidRPr="001667DB" w14:paraId="563598B3" w14:textId="77777777" w:rsidTr="001B4B8F">
        <w:tc>
          <w:tcPr>
            <w:tcW w:w="3085" w:type="dxa"/>
          </w:tcPr>
          <w:p w14:paraId="7FB3F47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Tolerancje typowego uziarnienia kru-</w:t>
            </w:r>
            <w:r w:rsidRPr="001667DB">
              <w:rPr>
                <w:rFonts w:ascii="Times New Roman" w:hAnsi="Times New Roman" w:cs="Times New Roman"/>
                <w:color w:val="000000" w:themeColor="text1"/>
                <w:sz w:val="22"/>
                <w:szCs w:val="22"/>
              </w:rPr>
              <w:br/>
              <w:t>szywa drobnego i kruszywa o ciągłym uziarnieniu</w:t>
            </w:r>
            <w:r w:rsidRPr="001667DB">
              <w:rPr>
                <w:rFonts w:ascii="Times New Roman" w:hAnsi="Times New Roman" w:cs="Times New Roman"/>
                <w:color w:val="000000" w:themeColor="text1"/>
                <w:sz w:val="22"/>
                <w:szCs w:val="22"/>
              </w:rPr>
              <w:br/>
            </w:r>
          </w:p>
        </w:tc>
        <w:tc>
          <w:tcPr>
            <w:tcW w:w="1134" w:type="dxa"/>
          </w:tcPr>
          <w:p w14:paraId="35B58ED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11355DE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 [5]</w:t>
            </w:r>
          </w:p>
          <w:p w14:paraId="4760C05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tcPr>
          <w:p w14:paraId="65C067E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4.3.3</w:t>
            </w:r>
          </w:p>
        </w:tc>
        <w:tc>
          <w:tcPr>
            <w:tcW w:w="4284" w:type="dxa"/>
          </w:tcPr>
          <w:p w14:paraId="215F0AF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Kruszywo drobne: kat. GT</w:t>
            </w:r>
            <w:r w:rsidRPr="001667DB">
              <w:rPr>
                <w:rFonts w:ascii="Times New Roman" w:hAnsi="Times New Roman" w:cs="Times New Roman"/>
                <w:color w:val="000000" w:themeColor="text1"/>
                <w:sz w:val="22"/>
                <w:szCs w:val="22"/>
                <w:vertAlign w:val="subscript"/>
              </w:rPr>
              <w:t>F</w:t>
            </w:r>
            <w:r w:rsidRPr="001667DB">
              <w:rPr>
                <w:rFonts w:ascii="Times New Roman" w:hAnsi="Times New Roman" w:cs="Times New Roman"/>
                <w:color w:val="000000" w:themeColor="text1"/>
                <w:sz w:val="22"/>
                <w:szCs w:val="22"/>
              </w:rPr>
              <w:t>10 (tj. procent masy przechodzącej przez sito górne D: ±5%, sito D/2: ±10%, sito 0,063 mm: ±3%).Kruszywo o ciągłym uziarnieniu: kat. GT</w:t>
            </w:r>
            <w:r w:rsidRPr="001667DB">
              <w:rPr>
                <w:rFonts w:ascii="Times New Roman" w:hAnsi="Times New Roman" w:cs="Times New Roman"/>
                <w:color w:val="000000" w:themeColor="text1"/>
                <w:sz w:val="22"/>
                <w:szCs w:val="22"/>
                <w:vertAlign w:val="subscript"/>
              </w:rPr>
              <w:t>A</w:t>
            </w:r>
            <w:r w:rsidRPr="001667DB">
              <w:rPr>
                <w:rFonts w:ascii="Times New Roman" w:hAnsi="Times New Roman" w:cs="Times New Roman"/>
                <w:color w:val="000000" w:themeColor="text1"/>
                <w:sz w:val="22"/>
                <w:szCs w:val="22"/>
              </w:rPr>
              <w:t>20 (tj. procent masy przechodzącej przez sito górne D: ±5%, sito D/2: ±20%, sito 0,063 mm: ±4%)</w:t>
            </w:r>
          </w:p>
        </w:tc>
      </w:tr>
      <w:tr w:rsidR="00955A27" w:rsidRPr="001667DB" w14:paraId="45946107" w14:textId="77777777" w:rsidTr="001B4B8F">
        <w:trPr>
          <w:trHeight w:val="671"/>
        </w:trPr>
        <w:tc>
          <w:tcPr>
            <w:tcW w:w="3085" w:type="dxa"/>
          </w:tcPr>
          <w:p w14:paraId="612FF07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Kształt kruszywa grubego – maksymalne wartości wskaź</w:t>
            </w:r>
            <w:r w:rsidRPr="001667DB">
              <w:rPr>
                <w:rFonts w:ascii="Times New Roman" w:hAnsi="Times New Roman" w:cs="Times New Roman"/>
                <w:color w:val="000000" w:themeColor="text1"/>
                <w:sz w:val="22"/>
                <w:szCs w:val="22"/>
              </w:rPr>
              <w:softHyphen/>
              <w:t>nika płaskości</w:t>
            </w:r>
          </w:p>
        </w:tc>
        <w:tc>
          <w:tcPr>
            <w:tcW w:w="1134" w:type="dxa"/>
          </w:tcPr>
          <w:p w14:paraId="0729764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5CAB423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933-3  [6]</w:t>
            </w:r>
          </w:p>
        </w:tc>
        <w:tc>
          <w:tcPr>
            <w:tcW w:w="709" w:type="dxa"/>
          </w:tcPr>
          <w:p w14:paraId="3118B35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w:t>
            </w:r>
          </w:p>
        </w:tc>
        <w:tc>
          <w:tcPr>
            <w:tcW w:w="4284" w:type="dxa"/>
          </w:tcPr>
          <w:p w14:paraId="1BA5E02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FI</w:t>
            </w:r>
            <w:r w:rsidRPr="001667DB">
              <w:rPr>
                <w:rFonts w:ascii="Times New Roman" w:hAnsi="Times New Roman" w:cs="Times New Roman"/>
                <w:color w:val="000000" w:themeColor="text1"/>
                <w:sz w:val="22"/>
                <w:szCs w:val="22"/>
                <w:vertAlign w:val="subscript"/>
              </w:rPr>
              <w:t xml:space="preserve">50 </w:t>
            </w:r>
            <w:r w:rsidRPr="001667DB">
              <w:rPr>
                <w:rFonts w:ascii="Times New Roman" w:hAnsi="Times New Roman" w:cs="Times New Roman"/>
                <w:color w:val="000000" w:themeColor="text1"/>
                <w:sz w:val="22"/>
                <w:szCs w:val="22"/>
              </w:rPr>
              <w:t xml:space="preserve">(tj. maksymalna wartość wskaźnika płaskości wynosi ≤ 50) </w:t>
            </w:r>
          </w:p>
        </w:tc>
      </w:tr>
      <w:tr w:rsidR="00955A27" w:rsidRPr="001667DB" w14:paraId="6B987D9C" w14:textId="77777777" w:rsidTr="001B4B8F">
        <w:tc>
          <w:tcPr>
            <w:tcW w:w="3085" w:type="dxa"/>
          </w:tcPr>
          <w:p w14:paraId="685B19D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Kształt kruszywa grubego – maksymalne wartości wskaźnika kształtu</w:t>
            </w:r>
          </w:p>
        </w:tc>
        <w:tc>
          <w:tcPr>
            <w:tcW w:w="1134" w:type="dxa"/>
          </w:tcPr>
          <w:p w14:paraId="09FC28B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29B226B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933-4  [7]</w:t>
            </w:r>
          </w:p>
        </w:tc>
        <w:tc>
          <w:tcPr>
            <w:tcW w:w="709" w:type="dxa"/>
          </w:tcPr>
          <w:p w14:paraId="3283B2C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w:t>
            </w:r>
          </w:p>
        </w:tc>
        <w:tc>
          <w:tcPr>
            <w:tcW w:w="4284" w:type="dxa"/>
          </w:tcPr>
          <w:p w14:paraId="016DC7D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SI</w:t>
            </w:r>
            <w:r w:rsidRPr="001667DB">
              <w:rPr>
                <w:rFonts w:ascii="Times New Roman" w:hAnsi="Times New Roman" w:cs="Times New Roman"/>
                <w:color w:val="000000" w:themeColor="text1"/>
                <w:sz w:val="22"/>
                <w:szCs w:val="22"/>
                <w:vertAlign w:val="subscript"/>
              </w:rPr>
              <w:t xml:space="preserve">55 </w:t>
            </w:r>
            <w:r w:rsidRPr="001667DB">
              <w:rPr>
                <w:rFonts w:ascii="Times New Roman" w:hAnsi="Times New Roman" w:cs="Times New Roman"/>
                <w:color w:val="000000" w:themeColor="text1"/>
                <w:sz w:val="22"/>
                <w:szCs w:val="22"/>
              </w:rPr>
              <w:t>(tj. maksymalna wartość wskaźnika kształtu wynosi ≤ 55)</w:t>
            </w:r>
          </w:p>
        </w:tc>
      </w:tr>
      <w:tr w:rsidR="00955A27" w:rsidRPr="001667DB" w14:paraId="370B8E0C" w14:textId="77777777" w:rsidTr="001B4B8F">
        <w:tc>
          <w:tcPr>
            <w:tcW w:w="3085" w:type="dxa"/>
          </w:tcPr>
          <w:p w14:paraId="5417C93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Kategorie procentowych zawartości ziaren o powierzchni przekruszonej lub łamanych oraz ziaren całkowicie za</w:t>
            </w:r>
            <w:r w:rsidRPr="001667DB">
              <w:rPr>
                <w:rFonts w:ascii="Times New Roman" w:hAnsi="Times New Roman" w:cs="Times New Roman"/>
                <w:color w:val="000000" w:themeColor="text1"/>
                <w:sz w:val="22"/>
                <w:szCs w:val="22"/>
              </w:rPr>
              <w:softHyphen/>
              <w:t>okrąglonych w kruszywie grubym</w:t>
            </w:r>
          </w:p>
        </w:tc>
        <w:tc>
          <w:tcPr>
            <w:tcW w:w="1134" w:type="dxa"/>
          </w:tcPr>
          <w:p w14:paraId="2F8E94C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0BED60D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933-5 [8]</w:t>
            </w:r>
          </w:p>
        </w:tc>
        <w:tc>
          <w:tcPr>
            <w:tcW w:w="709" w:type="dxa"/>
          </w:tcPr>
          <w:p w14:paraId="2CA80E5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4284" w:type="dxa"/>
          </w:tcPr>
          <w:p w14:paraId="4639EB7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C</w:t>
            </w:r>
            <w:r w:rsidRPr="001667DB">
              <w:rPr>
                <w:rFonts w:ascii="Times New Roman" w:hAnsi="Times New Roman" w:cs="Times New Roman"/>
                <w:color w:val="000000" w:themeColor="text1"/>
                <w:sz w:val="22"/>
                <w:szCs w:val="22"/>
                <w:vertAlign w:val="subscript"/>
              </w:rPr>
              <w:t>90/3</w:t>
            </w:r>
            <w:r w:rsidRPr="001667DB">
              <w:rPr>
                <w:rFonts w:ascii="Times New Roman" w:hAnsi="Times New Roman" w:cs="Times New Roman"/>
                <w:color w:val="000000" w:themeColor="text1"/>
                <w:sz w:val="22"/>
                <w:szCs w:val="22"/>
              </w:rPr>
              <w:t xml:space="preserve"> (tj. masa ziarn przekruszonych lub łamanych wynosi 90 do 100 %, a masa ziarn całkowicie zaokrąglonych wynosi 0 do 3 %)</w:t>
            </w:r>
          </w:p>
        </w:tc>
      </w:tr>
      <w:tr w:rsidR="00955A27" w:rsidRPr="001667DB" w14:paraId="5D24EFAF" w14:textId="77777777" w:rsidTr="001B4B8F">
        <w:tc>
          <w:tcPr>
            <w:tcW w:w="3085" w:type="dxa"/>
          </w:tcPr>
          <w:p w14:paraId="51553D5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Zawartość pyłów w kruszywie grubym</w:t>
            </w:r>
            <w:r w:rsidRPr="001667DB">
              <w:rPr>
                <w:rFonts w:ascii="Times New Roman" w:hAnsi="Times New Roman" w:cs="Times New Roman"/>
                <w:color w:val="000000" w:themeColor="text1"/>
                <w:sz w:val="22"/>
                <w:szCs w:val="22"/>
                <w:vertAlign w:val="superscript"/>
              </w:rPr>
              <w:t>*)</w:t>
            </w:r>
          </w:p>
        </w:tc>
        <w:tc>
          <w:tcPr>
            <w:tcW w:w="1134" w:type="dxa"/>
          </w:tcPr>
          <w:p w14:paraId="4E1E604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7E5FAC4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933-1 [5]</w:t>
            </w:r>
          </w:p>
        </w:tc>
        <w:tc>
          <w:tcPr>
            <w:tcW w:w="709" w:type="dxa"/>
          </w:tcPr>
          <w:p w14:paraId="3760F3A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4.6</w:t>
            </w:r>
          </w:p>
        </w:tc>
        <w:tc>
          <w:tcPr>
            <w:tcW w:w="4284" w:type="dxa"/>
          </w:tcPr>
          <w:p w14:paraId="1D6F97F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w:t>
            </w:r>
            <w:r w:rsidRPr="001667DB">
              <w:rPr>
                <w:rFonts w:ascii="Times New Roman" w:hAnsi="Times New Roman" w:cs="Times New Roman"/>
                <w:color w:val="000000" w:themeColor="text1"/>
                <w:sz w:val="22"/>
                <w:szCs w:val="22"/>
                <w:vertAlign w:val="subscript"/>
              </w:rPr>
              <w:t>Dekl</w:t>
            </w:r>
            <w:r w:rsidRPr="001667DB">
              <w:rPr>
                <w:rFonts w:ascii="Times New Roman" w:hAnsi="Times New Roman" w:cs="Times New Roman"/>
                <w:color w:val="000000" w:themeColor="text1"/>
                <w:sz w:val="22"/>
                <w:szCs w:val="22"/>
              </w:rPr>
              <w:t xml:space="preserve">  (tj. masa frakcji przechodzącej przez sito 0,063 mm jest &gt; 4)</w:t>
            </w:r>
          </w:p>
        </w:tc>
      </w:tr>
      <w:tr w:rsidR="00955A27" w:rsidRPr="001667DB" w14:paraId="2BBB8CAB" w14:textId="77777777" w:rsidTr="001B4B8F">
        <w:tc>
          <w:tcPr>
            <w:tcW w:w="3085" w:type="dxa"/>
          </w:tcPr>
          <w:p w14:paraId="6D0C056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perscript"/>
              </w:rPr>
            </w:pPr>
            <w:r w:rsidRPr="001667DB">
              <w:rPr>
                <w:rFonts w:ascii="Times New Roman" w:hAnsi="Times New Roman" w:cs="Times New Roman"/>
                <w:color w:val="000000" w:themeColor="text1"/>
                <w:sz w:val="22"/>
                <w:szCs w:val="22"/>
              </w:rPr>
              <w:t>Zawartość pyłów</w:t>
            </w:r>
            <w:r w:rsidRPr="001667DB">
              <w:rPr>
                <w:rFonts w:ascii="Times New Roman" w:hAnsi="Times New Roman" w:cs="Times New Roman"/>
                <w:color w:val="000000" w:themeColor="text1"/>
                <w:sz w:val="22"/>
                <w:szCs w:val="22"/>
                <w:vertAlign w:val="superscript"/>
              </w:rPr>
              <w:t xml:space="preserve">  </w:t>
            </w:r>
            <w:r w:rsidRPr="001667DB">
              <w:rPr>
                <w:rFonts w:ascii="Times New Roman" w:hAnsi="Times New Roman" w:cs="Times New Roman"/>
                <w:color w:val="000000" w:themeColor="text1"/>
                <w:sz w:val="22"/>
                <w:szCs w:val="22"/>
              </w:rPr>
              <w:t xml:space="preserve"> w  kruszywie drob</w:t>
            </w:r>
            <w:r w:rsidRPr="001667DB">
              <w:rPr>
                <w:rFonts w:ascii="Times New Roman" w:hAnsi="Times New Roman" w:cs="Times New Roman"/>
                <w:color w:val="000000" w:themeColor="text1"/>
                <w:sz w:val="22"/>
                <w:szCs w:val="22"/>
              </w:rPr>
              <w:softHyphen/>
              <w:t>nym</w:t>
            </w:r>
            <w:r w:rsidRPr="001667DB">
              <w:rPr>
                <w:rFonts w:ascii="Times New Roman" w:hAnsi="Times New Roman" w:cs="Times New Roman"/>
                <w:color w:val="000000" w:themeColor="text1"/>
                <w:sz w:val="22"/>
                <w:szCs w:val="22"/>
                <w:vertAlign w:val="superscript"/>
              </w:rPr>
              <w:t>*)</w:t>
            </w:r>
          </w:p>
        </w:tc>
        <w:tc>
          <w:tcPr>
            <w:tcW w:w="1134" w:type="dxa"/>
          </w:tcPr>
          <w:p w14:paraId="01394CA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0E3DF6D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933-1 [5] </w:t>
            </w:r>
          </w:p>
        </w:tc>
        <w:tc>
          <w:tcPr>
            <w:tcW w:w="709" w:type="dxa"/>
          </w:tcPr>
          <w:p w14:paraId="7A333F9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4.6</w:t>
            </w:r>
          </w:p>
        </w:tc>
        <w:tc>
          <w:tcPr>
            <w:tcW w:w="4284" w:type="dxa"/>
          </w:tcPr>
          <w:p w14:paraId="1B1C678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w:t>
            </w:r>
            <w:r w:rsidRPr="001667DB">
              <w:rPr>
                <w:rFonts w:ascii="Times New Roman" w:hAnsi="Times New Roman" w:cs="Times New Roman"/>
                <w:color w:val="000000" w:themeColor="text1"/>
                <w:sz w:val="22"/>
                <w:szCs w:val="22"/>
                <w:vertAlign w:val="subscript"/>
              </w:rPr>
              <w:t>Dekl</w:t>
            </w:r>
            <w:r w:rsidRPr="001667DB">
              <w:rPr>
                <w:rFonts w:ascii="Times New Roman" w:hAnsi="Times New Roman" w:cs="Times New Roman"/>
                <w:color w:val="000000" w:themeColor="text1"/>
                <w:sz w:val="22"/>
                <w:szCs w:val="22"/>
              </w:rPr>
              <w:t xml:space="preserve">  (tj. masa frakcji przechodzącej przez sito 0,063 mm jest &gt; 22)</w:t>
            </w:r>
          </w:p>
        </w:tc>
      </w:tr>
      <w:tr w:rsidR="00955A27" w:rsidRPr="001667DB" w14:paraId="15BFF6ED" w14:textId="77777777" w:rsidTr="001B4B8F">
        <w:tc>
          <w:tcPr>
            <w:tcW w:w="3085" w:type="dxa"/>
          </w:tcPr>
          <w:p w14:paraId="5510369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Jakość pyłów</w:t>
            </w:r>
          </w:p>
        </w:tc>
        <w:tc>
          <w:tcPr>
            <w:tcW w:w="1134" w:type="dxa"/>
          </w:tcPr>
          <w:p w14:paraId="6A0A263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709" w:type="dxa"/>
          </w:tcPr>
          <w:p w14:paraId="226958D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4.7</w:t>
            </w:r>
          </w:p>
        </w:tc>
        <w:tc>
          <w:tcPr>
            <w:tcW w:w="4284" w:type="dxa"/>
          </w:tcPr>
          <w:p w14:paraId="3E81D47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Właściwość niebadana na pojedynczych frakcjach, a tylko w mieszankach wg wymagań dla mieszanek</w:t>
            </w:r>
          </w:p>
        </w:tc>
      </w:tr>
      <w:tr w:rsidR="00955A27" w:rsidRPr="001667DB" w14:paraId="41967E38" w14:textId="77777777" w:rsidTr="001B4B8F">
        <w:tc>
          <w:tcPr>
            <w:tcW w:w="3085" w:type="dxa"/>
          </w:tcPr>
          <w:p w14:paraId="0070AFF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rozdrabnianie kruszywa grubego</w:t>
            </w:r>
          </w:p>
        </w:tc>
        <w:tc>
          <w:tcPr>
            <w:tcW w:w="1134" w:type="dxa"/>
          </w:tcPr>
          <w:p w14:paraId="7E1ACC8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65261DC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1097-2 [10] </w:t>
            </w:r>
          </w:p>
        </w:tc>
        <w:tc>
          <w:tcPr>
            <w:tcW w:w="709" w:type="dxa"/>
          </w:tcPr>
          <w:p w14:paraId="0252527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5.2</w:t>
            </w:r>
          </w:p>
        </w:tc>
        <w:tc>
          <w:tcPr>
            <w:tcW w:w="4284" w:type="dxa"/>
          </w:tcPr>
          <w:p w14:paraId="2B323E8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LA</w:t>
            </w:r>
            <w:r w:rsidRPr="001667DB">
              <w:rPr>
                <w:rFonts w:ascii="Times New Roman" w:hAnsi="Times New Roman" w:cs="Times New Roman"/>
                <w:color w:val="000000" w:themeColor="text1"/>
                <w:sz w:val="22"/>
                <w:szCs w:val="22"/>
                <w:vertAlign w:val="subscript"/>
              </w:rPr>
              <w:t>40</w:t>
            </w:r>
            <w:r w:rsidRPr="001667DB">
              <w:rPr>
                <w:rFonts w:ascii="Times New Roman" w:hAnsi="Times New Roman" w:cs="Times New Roman"/>
                <w:color w:val="000000" w:themeColor="text1"/>
                <w:sz w:val="22"/>
                <w:szCs w:val="22"/>
              </w:rPr>
              <w:t xml:space="preserve"> (tj. maksymalna wartość współczynnika Los Angeles ≤ 40 </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w:t>
            </w:r>
          </w:p>
        </w:tc>
      </w:tr>
      <w:tr w:rsidR="00955A27" w:rsidRPr="001667DB" w14:paraId="37405938" w14:textId="77777777" w:rsidTr="001B4B8F">
        <w:tc>
          <w:tcPr>
            <w:tcW w:w="3085" w:type="dxa"/>
          </w:tcPr>
          <w:p w14:paraId="4574F06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ścieranie kruszywa grubego</w:t>
            </w:r>
          </w:p>
        </w:tc>
        <w:tc>
          <w:tcPr>
            <w:tcW w:w="1134" w:type="dxa"/>
          </w:tcPr>
          <w:p w14:paraId="323772E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143F55A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1097-1 [9] </w:t>
            </w:r>
          </w:p>
        </w:tc>
        <w:tc>
          <w:tcPr>
            <w:tcW w:w="709" w:type="dxa"/>
          </w:tcPr>
          <w:p w14:paraId="5CC552F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5.3</w:t>
            </w:r>
          </w:p>
        </w:tc>
        <w:tc>
          <w:tcPr>
            <w:tcW w:w="4284" w:type="dxa"/>
          </w:tcPr>
          <w:p w14:paraId="190D88A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M</w:t>
            </w:r>
            <w:r w:rsidRPr="001667DB">
              <w:rPr>
                <w:rFonts w:ascii="Times New Roman" w:hAnsi="Times New Roman" w:cs="Times New Roman"/>
                <w:color w:val="000000" w:themeColor="text1"/>
                <w:sz w:val="22"/>
                <w:szCs w:val="22"/>
                <w:vertAlign w:val="subscript"/>
              </w:rPr>
              <w:t>DE</w:t>
            </w:r>
            <w:r w:rsidRPr="001667DB">
              <w:rPr>
                <w:rFonts w:ascii="Times New Roman" w:hAnsi="Times New Roman" w:cs="Times New Roman"/>
                <w:color w:val="000000" w:themeColor="text1"/>
                <w:sz w:val="22"/>
                <w:szCs w:val="22"/>
              </w:rPr>
              <w:t>Deklarowana (tj. współczynnik mikro-Devala &gt;50))</w:t>
            </w:r>
          </w:p>
        </w:tc>
      </w:tr>
      <w:tr w:rsidR="00955A27" w:rsidRPr="001667DB" w14:paraId="148ED57F" w14:textId="77777777" w:rsidTr="001B4B8F">
        <w:tc>
          <w:tcPr>
            <w:tcW w:w="3085" w:type="dxa"/>
          </w:tcPr>
          <w:p w14:paraId="3AAB780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Gęstość ziaren</w:t>
            </w:r>
          </w:p>
        </w:tc>
        <w:tc>
          <w:tcPr>
            <w:tcW w:w="1134" w:type="dxa"/>
          </w:tcPr>
          <w:p w14:paraId="5F29B28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1097-6, roz. 7, 8 i 9  [11]</w:t>
            </w:r>
          </w:p>
        </w:tc>
        <w:tc>
          <w:tcPr>
            <w:tcW w:w="709" w:type="dxa"/>
          </w:tcPr>
          <w:p w14:paraId="5DB4135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5.4</w:t>
            </w:r>
          </w:p>
        </w:tc>
        <w:tc>
          <w:tcPr>
            <w:tcW w:w="4284" w:type="dxa"/>
          </w:tcPr>
          <w:p w14:paraId="60576A1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Deklarowana</w:t>
            </w:r>
          </w:p>
        </w:tc>
      </w:tr>
      <w:tr w:rsidR="00955A27" w:rsidRPr="001667DB" w14:paraId="3C5F34CB" w14:textId="77777777" w:rsidTr="001B4B8F">
        <w:tc>
          <w:tcPr>
            <w:tcW w:w="3085" w:type="dxa"/>
          </w:tcPr>
          <w:p w14:paraId="46A11F6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Nasiąkliwość</w:t>
            </w:r>
          </w:p>
        </w:tc>
        <w:tc>
          <w:tcPr>
            <w:tcW w:w="1134" w:type="dxa"/>
          </w:tcPr>
          <w:p w14:paraId="2E3DDFE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1097-6, </w:t>
            </w:r>
            <w:r w:rsidRPr="001667DB">
              <w:rPr>
                <w:rFonts w:ascii="Times New Roman" w:hAnsi="Times New Roman" w:cs="Times New Roman"/>
                <w:color w:val="000000" w:themeColor="text1"/>
                <w:sz w:val="22"/>
                <w:szCs w:val="22"/>
              </w:rPr>
              <w:lastRenderedPageBreak/>
              <w:t xml:space="preserve">roz. 7, 8 i 9 [11] </w:t>
            </w:r>
          </w:p>
        </w:tc>
        <w:tc>
          <w:tcPr>
            <w:tcW w:w="709" w:type="dxa"/>
          </w:tcPr>
          <w:p w14:paraId="16C43B1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5.5 i</w:t>
            </w:r>
          </w:p>
          <w:p w14:paraId="011C0A2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7.3.2</w:t>
            </w:r>
          </w:p>
        </w:tc>
        <w:tc>
          <w:tcPr>
            <w:tcW w:w="4284" w:type="dxa"/>
          </w:tcPr>
          <w:p w14:paraId="2BBEF68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W</w:t>
            </w:r>
            <w:r w:rsidRPr="001667DB">
              <w:rPr>
                <w:rFonts w:ascii="Times New Roman" w:hAnsi="Times New Roman" w:cs="Times New Roman"/>
                <w:color w:val="000000" w:themeColor="text1"/>
                <w:sz w:val="22"/>
                <w:szCs w:val="22"/>
                <w:vertAlign w:val="subscript"/>
              </w:rPr>
              <w:t>cm</w:t>
            </w:r>
            <w:r w:rsidRPr="001667DB">
              <w:rPr>
                <w:rFonts w:ascii="Times New Roman" w:hAnsi="Times New Roman" w:cs="Times New Roman"/>
                <w:color w:val="000000" w:themeColor="text1"/>
                <w:sz w:val="22"/>
                <w:szCs w:val="22"/>
              </w:rPr>
              <w:t>NR (tj. brak wymagania)</w:t>
            </w:r>
          </w:p>
          <w:p w14:paraId="580469E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kat. WA</w:t>
            </w:r>
            <w:r w:rsidRPr="001667DB">
              <w:rPr>
                <w:rFonts w:ascii="Times New Roman" w:hAnsi="Times New Roman" w:cs="Times New Roman"/>
                <w:color w:val="000000" w:themeColor="text1"/>
                <w:sz w:val="22"/>
                <w:szCs w:val="22"/>
                <w:vertAlign w:val="subscript"/>
              </w:rPr>
              <w:t>24</w:t>
            </w:r>
            <w:r w:rsidRPr="001667DB">
              <w:rPr>
                <w:rFonts w:ascii="Times New Roman" w:hAnsi="Times New Roman" w:cs="Times New Roman"/>
                <w:color w:val="000000" w:themeColor="text1"/>
                <w:sz w:val="22"/>
                <w:szCs w:val="22"/>
              </w:rPr>
              <w:t>2</w:t>
            </w:r>
            <w:r w:rsidRPr="001667DB">
              <w:rPr>
                <w:rFonts w:ascii="Times New Roman" w:hAnsi="Times New Roman" w:cs="Times New Roman"/>
                <w:color w:val="000000" w:themeColor="text1"/>
                <w:sz w:val="22"/>
                <w:szCs w:val="22"/>
                <w:vertAlign w:val="superscript"/>
              </w:rPr>
              <w:t xml:space="preserve">***) </w:t>
            </w:r>
            <w:r w:rsidRPr="001667DB">
              <w:rPr>
                <w:rFonts w:ascii="Times New Roman" w:hAnsi="Times New Roman" w:cs="Times New Roman"/>
                <w:color w:val="000000" w:themeColor="text1"/>
                <w:sz w:val="22"/>
                <w:szCs w:val="22"/>
              </w:rPr>
              <w:t xml:space="preserve"> (tj. maksymalna wartość nasiąkliwości  ≤2% masy)</w:t>
            </w:r>
          </w:p>
        </w:tc>
      </w:tr>
      <w:tr w:rsidR="00955A27" w:rsidRPr="001667DB" w14:paraId="7127CC6F" w14:textId="77777777" w:rsidTr="001B4B8F">
        <w:tc>
          <w:tcPr>
            <w:tcW w:w="3085" w:type="dxa"/>
          </w:tcPr>
          <w:p w14:paraId="2B79338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Siarczany rozpuszczalne w kwasie</w:t>
            </w:r>
          </w:p>
        </w:tc>
        <w:tc>
          <w:tcPr>
            <w:tcW w:w="1134" w:type="dxa"/>
          </w:tcPr>
          <w:p w14:paraId="63BB7FF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2B28F51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1744-1[14] </w:t>
            </w:r>
          </w:p>
        </w:tc>
        <w:tc>
          <w:tcPr>
            <w:tcW w:w="709" w:type="dxa"/>
          </w:tcPr>
          <w:p w14:paraId="5D4FE67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6.2</w:t>
            </w:r>
          </w:p>
        </w:tc>
        <w:tc>
          <w:tcPr>
            <w:tcW w:w="4284" w:type="dxa"/>
          </w:tcPr>
          <w:p w14:paraId="5D4A803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AS</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wymagania)</w:t>
            </w:r>
          </w:p>
          <w:p w14:paraId="0E265F6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499FC24C" w14:textId="77777777" w:rsidTr="001B4B8F">
        <w:tc>
          <w:tcPr>
            <w:tcW w:w="3085" w:type="dxa"/>
          </w:tcPr>
          <w:p w14:paraId="1EDAB77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Całkowita zawartość siarki</w:t>
            </w:r>
          </w:p>
        </w:tc>
        <w:tc>
          <w:tcPr>
            <w:tcW w:w="1134" w:type="dxa"/>
          </w:tcPr>
          <w:p w14:paraId="47BDDEF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w:t>
            </w:r>
          </w:p>
          <w:p w14:paraId="5A1ECE0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1744-1[14] </w:t>
            </w:r>
          </w:p>
        </w:tc>
        <w:tc>
          <w:tcPr>
            <w:tcW w:w="709" w:type="dxa"/>
          </w:tcPr>
          <w:p w14:paraId="6AD2631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6.3</w:t>
            </w:r>
          </w:p>
        </w:tc>
        <w:tc>
          <w:tcPr>
            <w:tcW w:w="4284" w:type="dxa"/>
          </w:tcPr>
          <w:p w14:paraId="242F676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w:t>
            </w:r>
            <w:r w:rsidRPr="001667DB">
              <w:rPr>
                <w:rFonts w:ascii="Times New Roman" w:hAnsi="Times New Roman" w:cs="Times New Roman"/>
                <w:color w:val="000000" w:themeColor="text1"/>
                <w:sz w:val="22"/>
                <w:szCs w:val="22"/>
                <w:vertAlign w:val="subscript"/>
              </w:rPr>
              <w:t>NR</w:t>
            </w:r>
            <w:r w:rsidRPr="001667DB">
              <w:rPr>
                <w:rFonts w:ascii="Times New Roman" w:hAnsi="Times New Roman" w:cs="Times New Roman"/>
                <w:color w:val="000000" w:themeColor="text1"/>
                <w:sz w:val="22"/>
                <w:szCs w:val="22"/>
              </w:rPr>
              <w:t xml:space="preserve"> (tj. brak wymagania)</w:t>
            </w:r>
          </w:p>
        </w:tc>
      </w:tr>
      <w:tr w:rsidR="00955A27" w:rsidRPr="001667DB" w14:paraId="182B38EC" w14:textId="77777777" w:rsidTr="001B4B8F">
        <w:tc>
          <w:tcPr>
            <w:tcW w:w="3085" w:type="dxa"/>
          </w:tcPr>
          <w:p w14:paraId="10EDC79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Stałość objętości żużla stalowniczego</w:t>
            </w:r>
            <w:r w:rsidRPr="001667DB">
              <w:rPr>
                <w:rFonts w:ascii="Times New Roman" w:hAnsi="Times New Roman" w:cs="Times New Roman"/>
                <w:color w:val="000000" w:themeColor="text1"/>
                <w:sz w:val="22"/>
                <w:szCs w:val="22"/>
              </w:rPr>
              <w:br/>
            </w:r>
          </w:p>
        </w:tc>
        <w:tc>
          <w:tcPr>
            <w:tcW w:w="1134" w:type="dxa"/>
          </w:tcPr>
          <w:p w14:paraId="0D0D8CA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roz. 19.3 [14]  </w:t>
            </w:r>
          </w:p>
        </w:tc>
        <w:tc>
          <w:tcPr>
            <w:tcW w:w="709" w:type="dxa"/>
          </w:tcPr>
          <w:p w14:paraId="5BD96BA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6.4.2.1</w:t>
            </w:r>
          </w:p>
        </w:tc>
        <w:tc>
          <w:tcPr>
            <w:tcW w:w="4284" w:type="dxa"/>
          </w:tcPr>
          <w:p w14:paraId="3F04047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V</w:t>
            </w:r>
            <w:r w:rsidRPr="001667DB">
              <w:rPr>
                <w:rFonts w:ascii="Times New Roman" w:hAnsi="Times New Roman" w:cs="Times New Roman"/>
                <w:color w:val="000000" w:themeColor="text1"/>
                <w:sz w:val="22"/>
                <w:szCs w:val="22"/>
                <w:vertAlign w:val="subscript"/>
              </w:rPr>
              <w:t>5</w:t>
            </w:r>
            <w:r w:rsidRPr="001667DB">
              <w:rPr>
                <w:rFonts w:ascii="Times New Roman" w:hAnsi="Times New Roman" w:cs="Times New Roman"/>
                <w:color w:val="000000" w:themeColor="text1"/>
                <w:sz w:val="22"/>
                <w:szCs w:val="22"/>
              </w:rPr>
              <w:t xml:space="preserve"> (tj. pęcznienie ≤ 5 % objętości). Dotyczy żużla z klasycznego pieca tlenowego i elektrycznego pieca łukowego</w:t>
            </w:r>
          </w:p>
        </w:tc>
      </w:tr>
      <w:tr w:rsidR="00955A27" w:rsidRPr="001667DB" w14:paraId="47E6EA0B" w14:textId="77777777" w:rsidTr="001B4B8F">
        <w:tc>
          <w:tcPr>
            <w:tcW w:w="3085" w:type="dxa"/>
          </w:tcPr>
          <w:p w14:paraId="4D336F5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Rozpad krzemianowy w żużlu wielko- piecowym kawałkowym</w:t>
            </w:r>
          </w:p>
        </w:tc>
        <w:tc>
          <w:tcPr>
            <w:tcW w:w="1134" w:type="dxa"/>
          </w:tcPr>
          <w:p w14:paraId="4943C3A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p. 19.1 [14]  </w:t>
            </w:r>
          </w:p>
        </w:tc>
        <w:tc>
          <w:tcPr>
            <w:tcW w:w="709" w:type="dxa"/>
          </w:tcPr>
          <w:p w14:paraId="47B6F14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6.4.2.2</w:t>
            </w:r>
          </w:p>
        </w:tc>
        <w:tc>
          <w:tcPr>
            <w:tcW w:w="4284" w:type="dxa"/>
          </w:tcPr>
          <w:p w14:paraId="50542A4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rozpadu</w:t>
            </w:r>
          </w:p>
        </w:tc>
      </w:tr>
      <w:tr w:rsidR="00955A27" w:rsidRPr="001667DB" w14:paraId="58A37F36" w14:textId="77777777" w:rsidTr="001B4B8F">
        <w:tc>
          <w:tcPr>
            <w:tcW w:w="3085" w:type="dxa"/>
          </w:tcPr>
          <w:p w14:paraId="00AD725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Rozpad żelazawy w żużlu wielkopieco- wym kawałkowym</w:t>
            </w:r>
          </w:p>
        </w:tc>
        <w:tc>
          <w:tcPr>
            <w:tcW w:w="1134" w:type="dxa"/>
          </w:tcPr>
          <w:p w14:paraId="1907BB3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PN-EN 1744-1, p.19.2[14] </w:t>
            </w:r>
          </w:p>
        </w:tc>
        <w:tc>
          <w:tcPr>
            <w:tcW w:w="709" w:type="dxa"/>
          </w:tcPr>
          <w:p w14:paraId="58A4DC8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6.4.2.3</w:t>
            </w:r>
          </w:p>
        </w:tc>
        <w:tc>
          <w:tcPr>
            <w:tcW w:w="4284" w:type="dxa"/>
          </w:tcPr>
          <w:p w14:paraId="47AD264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rozpadu</w:t>
            </w:r>
          </w:p>
        </w:tc>
      </w:tr>
      <w:tr w:rsidR="00955A27" w:rsidRPr="001667DB" w14:paraId="1509CCEC" w14:textId="77777777" w:rsidTr="001B4B8F">
        <w:tc>
          <w:tcPr>
            <w:tcW w:w="3085" w:type="dxa"/>
          </w:tcPr>
          <w:p w14:paraId="135424A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Składniki rozpuszczalne w wodzie</w:t>
            </w:r>
          </w:p>
        </w:tc>
        <w:tc>
          <w:tcPr>
            <w:tcW w:w="1134" w:type="dxa"/>
          </w:tcPr>
          <w:p w14:paraId="1E0E823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1744-3 [15]</w:t>
            </w:r>
          </w:p>
        </w:tc>
        <w:tc>
          <w:tcPr>
            <w:tcW w:w="709" w:type="dxa"/>
          </w:tcPr>
          <w:p w14:paraId="2DA7561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6.4.3</w:t>
            </w:r>
          </w:p>
        </w:tc>
        <w:tc>
          <w:tcPr>
            <w:tcW w:w="4284" w:type="dxa"/>
          </w:tcPr>
          <w:p w14:paraId="079FB5B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substancji szkodliwych w stosunku do środowiska wg odrębnych przepisów</w:t>
            </w:r>
          </w:p>
        </w:tc>
      </w:tr>
      <w:tr w:rsidR="00955A27" w:rsidRPr="001667DB" w14:paraId="118D507F" w14:textId="77777777" w:rsidTr="001B4B8F">
        <w:tc>
          <w:tcPr>
            <w:tcW w:w="3085" w:type="dxa"/>
          </w:tcPr>
          <w:p w14:paraId="3407451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Zanieczyszczenia</w:t>
            </w:r>
          </w:p>
        </w:tc>
        <w:tc>
          <w:tcPr>
            <w:tcW w:w="1134" w:type="dxa"/>
          </w:tcPr>
          <w:p w14:paraId="15F3390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709" w:type="dxa"/>
          </w:tcPr>
          <w:p w14:paraId="2EDFDD6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6.4.4</w:t>
            </w:r>
          </w:p>
        </w:tc>
        <w:tc>
          <w:tcPr>
            <w:tcW w:w="4284" w:type="dxa"/>
          </w:tcPr>
          <w:p w14:paraId="5D3D3E5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ciał obcych takich jak drewno, szkło i plastik, mogących pogorszyć wyrób końcowy</w:t>
            </w:r>
          </w:p>
        </w:tc>
      </w:tr>
      <w:tr w:rsidR="00955A27" w:rsidRPr="001667DB" w14:paraId="67302391" w14:textId="77777777" w:rsidTr="001B4B8F">
        <w:tc>
          <w:tcPr>
            <w:tcW w:w="3085" w:type="dxa"/>
          </w:tcPr>
          <w:p w14:paraId="7555D72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Zgorzel słoneczna bazaltu</w:t>
            </w:r>
          </w:p>
        </w:tc>
        <w:tc>
          <w:tcPr>
            <w:tcW w:w="1134" w:type="dxa"/>
          </w:tcPr>
          <w:p w14:paraId="792BC3C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1367-3[13] i PN-EN 1097-2 [10]</w:t>
            </w:r>
          </w:p>
        </w:tc>
        <w:tc>
          <w:tcPr>
            <w:tcW w:w="709" w:type="dxa"/>
          </w:tcPr>
          <w:p w14:paraId="1F03074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7.2</w:t>
            </w:r>
          </w:p>
        </w:tc>
        <w:tc>
          <w:tcPr>
            <w:tcW w:w="4284" w:type="dxa"/>
          </w:tcPr>
          <w:p w14:paraId="523C1CF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SB</w:t>
            </w:r>
            <w:r w:rsidRPr="001667DB">
              <w:rPr>
                <w:rFonts w:ascii="Times New Roman" w:hAnsi="Times New Roman" w:cs="Times New Roman"/>
                <w:color w:val="000000" w:themeColor="text1"/>
                <w:sz w:val="22"/>
                <w:szCs w:val="22"/>
                <w:vertAlign w:val="subscript"/>
              </w:rPr>
              <w:t>LA Deklarowana</w:t>
            </w:r>
            <w:r w:rsidRPr="001667DB">
              <w:rPr>
                <w:rFonts w:ascii="Times New Roman" w:hAnsi="Times New Roman" w:cs="Times New Roman"/>
                <w:color w:val="000000" w:themeColor="text1"/>
                <w:sz w:val="22"/>
                <w:szCs w:val="22"/>
              </w:rPr>
              <w:t xml:space="preserve"> (tj. wzrost współczynnika Los Angeles po gotowaniu &gt; 8%)</w:t>
            </w:r>
          </w:p>
        </w:tc>
      </w:tr>
      <w:tr w:rsidR="00955A27" w:rsidRPr="001667DB" w14:paraId="61B4B9B4" w14:textId="77777777" w:rsidTr="001B4B8F">
        <w:tc>
          <w:tcPr>
            <w:tcW w:w="3085" w:type="dxa"/>
          </w:tcPr>
          <w:p w14:paraId="3CD16AD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Mrozoodporność na frakcji kruszy-</w:t>
            </w:r>
            <w:r w:rsidRPr="001667DB">
              <w:rPr>
                <w:rFonts w:ascii="Times New Roman" w:hAnsi="Times New Roman" w:cs="Times New Roman"/>
                <w:color w:val="000000" w:themeColor="text1"/>
                <w:sz w:val="22"/>
                <w:szCs w:val="22"/>
              </w:rPr>
              <w:br/>
              <w:t xml:space="preserve">wa  8/16 mm  </w:t>
            </w:r>
          </w:p>
        </w:tc>
        <w:tc>
          <w:tcPr>
            <w:tcW w:w="1134" w:type="dxa"/>
          </w:tcPr>
          <w:p w14:paraId="48FC629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 1367-1 [12]</w:t>
            </w:r>
          </w:p>
        </w:tc>
        <w:tc>
          <w:tcPr>
            <w:tcW w:w="709" w:type="dxa"/>
          </w:tcPr>
          <w:p w14:paraId="155E31D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7.3.3</w:t>
            </w:r>
          </w:p>
        </w:tc>
        <w:tc>
          <w:tcPr>
            <w:tcW w:w="4284" w:type="dxa"/>
          </w:tcPr>
          <w:p w14:paraId="59A9C9E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Skały magmowe i przeobrażone: kat. F</w:t>
            </w:r>
            <w:r w:rsidRPr="001667DB">
              <w:rPr>
                <w:rFonts w:ascii="Times New Roman" w:hAnsi="Times New Roman" w:cs="Times New Roman"/>
                <w:color w:val="000000" w:themeColor="text1"/>
                <w:sz w:val="22"/>
                <w:szCs w:val="22"/>
                <w:vertAlign w:val="subscript"/>
              </w:rPr>
              <w:t>4</w:t>
            </w:r>
            <w:r w:rsidRPr="001667DB">
              <w:rPr>
                <w:rFonts w:ascii="Times New Roman" w:hAnsi="Times New Roman" w:cs="Times New Roman"/>
                <w:color w:val="000000" w:themeColor="text1"/>
                <w:sz w:val="22"/>
                <w:szCs w:val="22"/>
              </w:rPr>
              <w:t xml:space="preserve"> (tj. zamrażanie-rozmrażanie ≤ 4% masy), skały </w:t>
            </w:r>
            <w:r w:rsidRPr="001667DB">
              <w:rPr>
                <w:rFonts w:ascii="Times New Roman" w:hAnsi="Times New Roman" w:cs="Times New Roman"/>
                <w:color w:val="000000" w:themeColor="text1"/>
                <w:sz w:val="22"/>
                <w:szCs w:val="22"/>
              </w:rPr>
              <w:lastRenderedPageBreak/>
              <w:t>osadowe: kat. F</w:t>
            </w:r>
            <w:r w:rsidRPr="001667DB">
              <w:rPr>
                <w:rFonts w:ascii="Times New Roman" w:hAnsi="Times New Roman" w:cs="Times New Roman"/>
                <w:color w:val="000000" w:themeColor="text1"/>
                <w:sz w:val="22"/>
                <w:szCs w:val="22"/>
                <w:vertAlign w:val="subscript"/>
              </w:rPr>
              <w:t>10</w:t>
            </w:r>
            <w:r w:rsidRPr="001667DB">
              <w:rPr>
                <w:rFonts w:ascii="Times New Roman" w:hAnsi="Times New Roman" w:cs="Times New Roman"/>
                <w:color w:val="000000" w:themeColor="text1"/>
                <w:sz w:val="22"/>
                <w:szCs w:val="22"/>
              </w:rPr>
              <w:t>, kruszywa z recyklingu: kat. F</w:t>
            </w:r>
            <w:r w:rsidRPr="001667DB">
              <w:rPr>
                <w:rFonts w:ascii="Times New Roman" w:hAnsi="Times New Roman" w:cs="Times New Roman"/>
                <w:color w:val="000000" w:themeColor="text1"/>
                <w:sz w:val="22"/>
                <w:szCs w:val="22"/>
                <w:vertAlign w:val="subscript"/>
              </w:rPr>
              <w:t>10</w:t>
            </w:r>
            <w:r w:rsidRPr="001667DB">
              <w:rPr>
                <w:rFonts w:ascii="Times New Roman" w:hAnsi="Times New Roman" w:cs="Times New Roman"/>
                <w:color w:val="000000" w:themeColor="text1"/>
                <w:sz w:val="22"/>
                <w:szCs w:val="22"/>
              </w:rPr>
              <w:t xml:space="preserve"> (F</w:t>
            </w:r>
            <w:r w:rsidRPr="001667DB">
              <w:rPr>
                <w:rFonts w:ascii="Times New Roman" w:hAnsi="Times New Roman" w:cs="Times New Roman"/>
                <w:color w:val="000000" w:themeColor="text1"/>
                <w:sz w:val="22"/>
                <w:szCs w:val="22"/>
                <w:vertAlign w:val="subscript"/>
              </w:rPr>
              <w:t>25</w:t>
            </w:r>
            <w:r w:rsidRPr="001667DB">
              <w:rPr>
                <w:rFonts w:ascii="Times New Roman" w:hAnsi="Times New Roman" w:cs="Times New Roman"/>
                <w:color w:val="000000" w:themeColor="text1"/>
                <w:sz w:val="22"/>
                <w:szCs w:val="22"/>
              </w:rPr>
              <w:t>****)</w:t>
            </w:r>
          </w:p>
        </w:tc>
      </w:tr>
      <w:tr w:rsidR="00955A27" w:rsidRPr="001667DB" w14:paraId="30AD34C0" w14:textId="77777777" w:rsidTr="001B4B8F">
        <w:tc>
          <w:tcPr>
            <w:tcW w:w="3085" w:type="dxa"/>
          </w:tcPr>
          <w:p w14:paraId="6D450D1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Skład materiałowy</w:t>
            </w:r>
          </w:p>
        </w:tc>
        <w:tc>
          <w:tcPr>
            <w:tcW w:w="1134" w:type="dxa"/>
          </w:tcPr>
          <w:p w14:paraId="0D1468B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709" w:type="dxa"/>
          </w:tcPr>
          <w:p w14:paraId="6301752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Zał. C</w:t>
            </w:r>
          </w:p>
          <w:p w14:paraId="49F8B9C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4284" w:type="dxa"/>
          </w:tcPr>
          <w:p w14:paraId="65FCDCB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Deklarowany</w:t>
            </w:r>
          </w:p>
        </w:tc>
      </w:tr>
      <w:tr w:rsidR="00955A27" w:rsidRPr="001667DB" w14:paraId="1A0A06A8" w14:textId="77777777" w:rsidTr="001B4B8F">
        <w:tc>
          <w:tcPr>
            <w:tcW w:w="3085" w:type="dxa"/>
          </w:tcPr>
          <w:p w14:paraId="7FCD676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Istotne cechy środowiskowe</w:t>
            </w:r>
          </w:p>
        </w:tc>
        <w:tc>
          <w:tcPr>
            <w:tcW w:w="1134" w:type="dxa"/>
          </w:tcPr>
          <w:p w14:paraId="06053A2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709" w:type="dxa"/>
          </w:tcPr>
          <w:p w14:paraId="1194D2B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Zał. C</w:t>
            </w:r>
          </w:p>
          <w:p w14:paraId="1563B90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pkt</w:t>
            </w:r>
          </w:p>
          <w:p w14:paraId="2DBEFF0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C.3.4</w:t>
            </w:r>
          </w:p>
        </w:tc>
        <w:tc>
          <w:tcPr>
            <w:tcW w:w="4284" w:type="dxa"/>
          </w:tcPr>
          <w:p w14:paraId="134A076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r w:rsidR="00955A27" w:rsidRPr="001667DB" w14:paraId="1B389ABC" w14:textId="77777777" w:rsidTr="001B4B8F">
        <w:tc>
          <w:tcPr>
            <w:tcW w:w="9212" w:type="dxa"/>
            <w:gridSpan w:val="4"/>
          </w:tcPr>
          <w:p w14:paraId="0DAE1C8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Łączna zawartość pyłów w mieszance powinna się mieścić w wybranych krzywych granicznych</w:t>
            </w:r>
          </w:p>
          <w:p w14:paraId="6B88EAB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Do warstw  podbudów zasadniczych na drogach obciążonych ruchem   KR5-KR6  dopuszcza  się jedynie kruszywa</w:t>
            </w:r>
          </w:p>
          <w:p w14:paraId="7EA1447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charakteryzujące się odpornością na rozdrabnianie LA≤35   </w:t>
            </w:r>
          </w:p>
          <w:p w14:paraId="0BCDAA0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W przypadku, gdy wymaganie nie jest spełnione, należy sprawdzić mrozoodporność</w:t>
            </w:r>
          </w:p>
          <w:p w14:paraId="6C01C6E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Pod warunkiem, gdy zawartość w mieszance nie przekracza 50% m/m</w:t>
            </w:r>
          </w:p>
        </w:tc>
      </w:tr>
    </w:tbl>
    <w:p w14:paraId="6594D9DD" w14:textId="77777777" w:rsidR="00955A27" w:rsidRPr="001667DB" w:rsidRDefault="00955A27" w:rsidP="00955A27">
      <w:pPr>
        <w:pStyle w:val="Bezodstpw"/>
        <w:spacing w:after="120" w:line="360" w:lineRule="auto"/>
        <w:ind w:firstLine="0"/>
        <w:jc w:val="both"/>
        <w:rPr>
          <w:rFonts w:ascii="Times New Roman" w:hAnsi="Times New Roman" w:cs="Times New Roman"/>
          <w:b/>
          <w:color w:val="000000" w:themeColor="text1"/>
          <w:sz w:val="22"/>
          <w:szCs w:val="22"/>
        </w:rPr>
      </w:pPr>
    </w:p>
    <w:p w14:paraId="1A76DCA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b/>
          <w:color w:val="000000" w:themeColor="text1"/>
          <w:sz w:val="22"/>
          <w:szCs w:val="22"/>
        </w:rPr>
        <w:t xml:space="preserve">2.2.4. </w:t>
      </w:r>
      <w:r w:rsidRPr="001667DB">
        <w:rPr>
          <w:rFonts w:ascii="Times New Roman" w:hAnsi="Times New Roman" w:cs="Times New Roman"/>
          <w:color w:val="000000" w:themeColor="text1"/>
          <w:sz w:val="22"/>
          <w:szCs w:val="22"/>
        </w:rPr>
        <w:t>Woda do zraszania kruszywa</w:t>
      </w:r>
    </w:p>
    <w:p w14:paraId="5CFB1B8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t>Do zraszania kruszywa należy stosować wodę nie zawierającą składników wpływających szkodliwie na mieszankę kruszywa, ale umożliwiającą właściwe zagęszczenie mieszanki niezwiązanej.</w:t>
      </w:r>
    </w:p>
    <w:p w14:paraId="285BDA5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p w14:paraId="66D51732"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3. SPRZĘT</w:t>
      </w:r>
    </w:p>
    <w:p w14:paraId="17E7CB35"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3.1. Ogólne wymagania dotyczące sprzętu</w:t>
      </w:r>
    </w:p>
    <w:p w14:paraId="326B754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[1], pkt 3.</w:t>
      </w:r>
    </w:p>
    <w:p w14:paraId="5F7E705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3.2. Sprzęt stosowany do wykonania robót</w:t>
      </w:r>
    </w:p>
    <w:p w14:paraId="10A8B41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331295B3"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mieszarki do wytwarzania mieszanki kruszywa, wyposażone w urządzenia dozujące wodę, które powinny zapewnić wytworzenie jednorodnej mieszanki o wilgotności optymalnej,</w:t>
      </w:r>
    </w:p>
    <w:p w14:paraId="6B05D3B5"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układarki lub równiarki do rozkładania mieszanki kruszywa niezwiązanego,</w:t>
      </w:r>
    </w:p>
    <w:p w14:paraId="5997C53B"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walce ogumione i stalowe wibracyjne lub statyczne do zagęszczania mieszanki,</w:t>
      </w:r>
    </w:p>
    <w:p w14:paraId="2E7659A7" w14:textId="77777777" w:rsidR="00955A27" w:rsidRPr="001667DB" w:rsidRDefault="00955A27" w:rsidP="00904E6C">
      <w:pPr>
        <w:numPr>
          <w:ilvl w:val="0"/>
          <w:numId w:val="9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zagęszczarki płytowe, ubijaki mechaniczne lub małe walce wibracyjne, do stosowania w miejscach trudno dostępnych.</w:t>
      </w:r>
    </w:p>
    <w:p w14:paraId="0D5A20C1"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Sprzęt powinien odpowiadać wymaganiom określonym w dokumentacji projektowej, ST, instrukcjach producentów lub propozycji Wykonawcy i powinien być zaakceptowany przez Inżyniera.</w:t>
      </w:r>
    </w:p>
    <w:p w14:paraId="55A751B8"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0EF6F63C"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4. TRANSPORT</w:t>
      </w:r>
    </w:p>
    <w:p w14:paraId="33510EF9"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 xml:space="preserve">4.1. Ogólne wymagania dotyczące transportu </w:t>
      </w:r>
    </w:p>
    <w:p w14:paraId="47B8429E" w14:textId="77777777" w:rsidR="00955A27" w:rsidRPr="001667DB" w:rsidRDefault="00955A27" w:rsidP="00955A27">
      <w:pPr>
        <w:tabs>
          <w:tab w:val="left" w:pos="284"/>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Ogólne wymagania dotyczące transportu podano w ST D-00.00.00 „Wymagania ogólne” [1],  pkt 4.</w:t>
      </w:r>
    </w:p>
    <w:p w14:paraId="02E0914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4.2. Transport materiałów</w:t>
      </w:r>
    </w:p>
    <w:p w14:paraId="7C31F72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sypkie (kruszywa) można przewozić dowolnymi środkami transportu, w warunkach zabezpieczających je przed zanieczyszczeniem, zmieszaniem z innymi materiałami i nadmiernym zawilgoceniem.</w:t>
      </w:r>
    </w:p>
    <w:p w14:paraId="23E3936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Woda może być dostarczana wodociągiem lub przewoźnymi zbiornikami wody.</w:t>
      </w:r>
    </w:p>
    <w:p w14:paraId="6C998C2F"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5. WYKONANIE ROBÓT</w:t>
      </w:r>
    </w:p>
    <w:p w14:paraId="59A3DDC2"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5.1. Ogólne zasady wykonania robót</w:t>
      </w:r>
    </w:p>
    <w:p w14:paraId="7E7F50E3" w14:textId="77777777" w:rsidR="00955A27" w:rsidRPr="001667DB" w:rsidRDefault="00955A27" w:rsidP="00955A27">
      <w:pPr>
        <w:tabs>
          <w:tab w:val="left" w:pos="0"/>
          <w:tab w:val="left" w:pos="567"/>
          <w:tab w:val="left" w:pos="851"/>
          <w:tab w:val="right" w:leader="dot" w:pos="8505"/>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Ogólne zasady wykonania robót podano w ST D-00.00.00 „Wymagania ogólne” [1], pkt 5.</w:t>
      </w:r>
    </w:p>
    <w:p w14:paraId="754F0681"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5.2. Zasady wykonywania robót</w:t>
      </w:r>
    </w:p>
    <w:p w14:paraId="73B96E62"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Sposób wykonania robót powinien być zgodny z dokumentacją projektową i ST. W przypadku braku wystarczających danych można korzystać z ustaleń podanych w niniejszej specyfikacji oraz z informacji podanych w załącznikach.</w:t>
      </w:r>
    </w:p>
    <w:p w14:paraId="2BCC989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wykonaniu robót obejmują:</w:t>
      </w:r>
    </w:p>
    <w:p w14:paraId="6307B858"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3A37E4BB"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projektowanie mieszanki,</w:t>
      </w:r>
    </w:p>
    <w:p w14:paraId="0D4EAED5"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odcinek próbny,</w:t>
      </w:r>
    </w:p>
    <w:p w14:paraId="1E95CD24"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wbudowanie mieszanki,</w:t>
      </w:r>
    </w:p>
    <w:p w14:paraId="73EB948C" w14:textId="77777777" w:rsidR="00955A27" w:rsidRPr="001667DB" w:rsidRDefault="00955A27" w:rsidP="00904E6C">
      <w:pPr>
        <w:numPr>
          <w:ilvl w:val="0"/>
          <w:numId w:val="9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2FAEC116"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5E323724"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5.3. Roboty przygotowawcze</w:t>
      </w:r>
    </w:p>
    <w:p w14:paraId="477A4B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39A4C02B"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ustalić lokalizację robót,</w:t>
      </w:r>
    </w:p>
    <w:p w14:paraId="006D1222"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przeprowadzić obliczenia i pomiary niezbędne do szczegółowego wytyczenia robót oraz ustalenia danych wysokościowych,</w:t>
      </w:r>
    </w:p>
    <w:p w14:paraId="735D5407"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usunąć przeszkody utrudniające wykonanie robót,</w:t>
      </w:r>
    </w:p>
    <w:p w14:paraId="5E6D7ACA"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wprowadzić oznakowanie drogi na okres robót,</w:t>
      </w:r>
    </w:p>
    <w:p w14:paraId="290C927E" w14:textId="77777777" w:rsidR="00955A27" w:rsidRPr="001667DB" w:rsidRDefault="00955A27" w:rsidP="00904E6C">
      <w:pPr>
        <w:numPr>
          <w:ilvl w:val="0"/>
          <w:numId w:val="9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zgromadzić materiały i sprzęt potrzebne do rozpoczęcia robót.</w:t>
      </w:r>
    </w:p>
    <w:p w14:paraId="625CAFF5"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Można dodatkowo korzystać z ST D-01.00.00 [2] przy robotach przygotowawczych oraz z ST D-02.00.00 [3] przy występowaniu robót ziemnych. </w:t>
      </w:r>
    </w:p>
    <w:p w14:paraId="18D72F16"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p>
    <w:p w14:paraId="123613BF"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5.4. Projektowanie mieszanki kruszywa niezwiązanego</w:t>
      </w:r>
    </w:p>
    <w:p w14:paraId="3FA0351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5.4.1. </w:t>
      </w:r>
      <w:r w:rsidRPr="001667DB">
        <w:rPr>
          <w:rFonts w:ascii="Times New Roman" w:hAnsi="Times New Roman" w:cs="Times New Roman"/>
          <w:color w:val="000000" w:themeColor="text1"/>
        </w:rPr>
        <w:t xml:space="preserve">Postanowienia ogólne </w:t>
      </w:r>
    </w:p>
    <w:p w14:paraId="0020AD3D"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przystąpieniem do robót, w terminie uzgodnionym z Inżynierem, Wykonawca dostarczy Inżynierowi do akceptacji projekt składu mieszanki kruszywa niezwiązanego oraz wyniki badań laboratoryjnych poszczególnych składników i próbki materiałów pobrane w obecności Inżyniera do wykonania badań kontrolnych przez Inżyniera.</w:t>
      </w:r>
    </w:p>
    <w:p w14:paraId="00A2AB6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 zasadniczej.</w:t>
      </w:r>
    </w:p>
    <w:p w14:paraId="7B95F7F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 mieszanki projektuje się zgodnie z wymaganiami wobec mieszanek niezwiązanych do podbudowy zasadniczej, określonych w tablicy 4. Wartości graniczne i tolerancje zawierają rozrzut wynikający z pobierania i dzielenia próbki, przedział ufności (precyzja w porównywalnych warunkach) oraz nierównomierności warunków wykonawczych.</w:t>
      </w:r>
    </w:p>
    <w:p w14:paraId="4355ADE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Mieszanki kruszyw powinny być tak produkowane i składowane, aby wykazywały zachowanie jednakowych właściwości, spełniając wymagania z tablicy 4. Mieszanki kruszyw powinny być jednorodnie wymieszane i powinny charakteryzować się równomierną wilgotnością. Kruszywa powinny odpowiadać wymaganiom tablicy 1, przy czym w mieszankach wyprodukowanych z różnych kruszyw, każdy ze składników musi spełniać wymagania tablicy 1.</w:t>
      </w:r>
    </w:p>
    <w:p w14:paraId="48FC815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projektowaniu mieszanek kruszyw z recyklingu można ustalać skład  mieszanek, wzorując się na przykładach podanych w załączniku 1.</w:t>
      </w:r>
    </w:p>
    <w:p w14:paraId="19FB5A2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5.4.2. </w:t>
      </w:r>
      <w:r w:rsidRPr="001667DB">
        <w:rPr>
          <w:rFonts w:ascii="Times New Roman" w:hAnsi="Times New Roman" w:cs="Times New Roman"/>
          <w:color w:val="000000" w:themeColor="text1"/>
        </w:rPr>
        <w:t>Wymagania wobec mieszanek</w:t>
      </w:r>
    </w:p>
    <w:p w14:paraId="5ABD3DD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warstwach podbudowy zasadniczej można stosować następujące mieszanki kruszyw:</w:t>
      </w:r>
    </w:p>
    <w:p w14:paraId="28FA2E22"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0/31,5 mm,</w:t>
      </w:r>
    </w:p>
    <w:p w14:paraId="20C89DB4"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0/45 mm,</w:t>
      </w:r>
    </w:p>
    <w:p w14:paraId="4B56C394" w14:textId="77777777" w:rsidR="00955A27" w:rsidRPr="001667DB" w:rsidRDefault="00955A27" w:rsidP="00904E6C">
      <w:pPr>
        <w:pStyle w:val="Bezodstpw"/>
        <w:numPr>
          <w:ilvl w:val="0"/>
          <w:numId w:val="95"/>
        </w:numPr>
        <w:tabs>
          <w:tab w:val="clear" w:pos="720"/>
          <w:tab w:val="num" w:pos="480"/>
        </w:tabs>
        <w:suppressAutoHyphens w:val="0"/>
        <w:spacing w:after="120" w:line="360" w:lineRule="auto"/>
        <w:ind w:left="480" w:hanging="48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0/63 mm.</w:t>
      </w:r>
    </w:p>
    <w:p w14:paraId="5A99DFA7" w14:textId="77777777" w:rsidR="00955A27" w:rsidRPr="001667DB" w:rsidRDefault="00955A27" w:rsidP="00955A27">
      <w:pPr>
        <w:pStyle w:val="Bezodstpw"/>
        <w:tabs>
          <w:tab w:val="num" w:pos="480"/>
        </w:tabs>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ab/>
      </w:r>
      <w:r w:rsidRPr="001667DB">
        <w:rPr>
          <w:rFonts w:ascii="Times New Roman" w:hAnsi="Times New Roman" w:cs="Times New Roman"/>
          <w:color w:val="000000" w:themeColor="text1"/>
          <w:sz w:val="22"/>
          <w:szCs w:val="22"/>
        </w:rPr>
        <w:tab/>
        <w:t>Wymagania wobec mieszanek przeznaczonych do podbudowy zasadniczej, podane w tablicy 4, odnośnie wrażliwości na mróz mieszanek kruszyw, dotyczą badania materiału po pięciokrotnym zagęszczeniu w aparacie Proctora według PN-EN 13286-2 [18].</w:t>
      </w:r>
    </w:p>
    <w:p w14:paraId="5C25F02B"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pyłów w mieszankach kruszyw do warstwy podbudowy zasadniczej, określana wg PN-EN 933-1 [5], powinna być zgodna z wymaganiami tablicy 4. W przypadku słabych kruszyw, zawartość pyłów w mieszance kruszyw należy również badać i deklarować, po pięciokrotnym zagęszczeniu metodą Proctora. Zawartość pyłów w takiej mieszance po pięciokrotnym zagęszczeniu metodą Proctora powinna również spełniać wymagania podane w tablicy 4. Nie określa się wymagania wobec minimalnej zawartości pyłów &lt; 0,063 mm w mieszankach kruszyw do warstwy podbudowy zasadniczej.</w:t>
      </w:r>
    </w:p>
    <w:p w14:paraId="367B8E0B"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nadziarna w mieszankach kruszyw, określana według PN-EN 933-1 [5] powinna spełniać wymagania podane w tablicy 4. W przypadku słabych kruszyw decyduje zawartość nadziarna w mieszance kruszyw po pięciokrotnym zagęszczeniu metodą Proctora.</w:t>
      </w:r>
    </w:p>
    <w:p w14:paraId="3D050F77"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Uziarnienie mieszanek kruszyw o wymiarach ziaren D od 0 do 63 mm należy określić według PN-EN 933-1 [5]. Krzywe uziarnienia mieszanki kruszyw powinny zawierać się w obszarze między krzywymi granicznymi uziarnienia przedstawionymi na rysunkach 1÷3, odpowiednio dla każdego rodzaju mieszanki. Na rysunkach 1÷3 pokazano również liniami przerywanymi obszar uziarnienia SDV, w którym powinna się mieścić krzywa uziarnienia mieszanki „S” deklarowana przez dostawcę/producenta. </w:t>
      </w:r>
    </w:p>
    <w:p w14:paraId="062F2F69"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W przypadku słabych kruszyw uziarnienie mieszanki kruszyw należy również badać i deklarować po pięciokrotnym zagęszczeniu metodą Proctora. Kryterium przydatności takiej mieszanki, </w:t>
      </w:r>
      <w:r w:rsidRPr="001667DB">
        <w:rPr>
          <w:rFonts w:ascii="Times New Roman" w:hAnsi="Times New Roman" w:cs="Times New Roman"/>
          <w:color w:val="000000" w:themeColor="text1"/>
          <w:sz w:val="22"/>
          <w:szCs w:val="22"/>
        </w:rPr>
        <w:lastRenderedPageBreak/>
        <w:t xml:space="preserve">pod względem uziarnienia, jest spełnione, jeżeli uziarnienie mieszanki po pięciokrotnym zagęszczeniu metodą Proctora mieści się w krzywych granicznych podanych na odpowiednich rysunkach 1÷3.  </w:t>
      </w:r>
    </w:p>
    <w:p w14:paraId="5B3A8731" w14:textId="77777777" w:rsidR="00955A27" w:rsidRPr="001667DB" w:rsidRDefault="00955A27" w:rsidP="00955A27">
      <w:pPr>
        <w:pStyle w:val="Bezodstpw"/>
        <w:spacing w:after="120" w:line="360" w:lineRule="auto"/>
        <w:ind w:firstLine="709"/>
        <w:jc w:val="both"/>
        <w:rPr>
          <w:rFonts w:ascii="Times New Roman" w:hAnsi="Times New Roman" w:cs="Times New Roman"/>
          <w:color w:val="000000" w:themeColor="text1"/>
          <w:sz w:val="22"/>
          <w:szCs w:val="22"/>
        </w:rPr>
      </w:pPr>
    </w:p>
    <w:p w14:paraId="6F61378B" w14:textId="77777777" w:rsidR="00955A27" w:rsidRPr="001667DB" w:rsidRDefault="00AB678D" w:rsidP="00955A27">
      <w:pPr>
        <w:pStyle w:val="Bezodstpw"/>
        <w:spacing w:after="120" w:line="360" w:lineRule="auto"/>
        <w:ind w:firstLine="0"/>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pict w14:anchorId="33994B2D">
          <v:shape id="_x0000_i1028" type="#_x0000_t75" style="width:6in;height:208.5pt">
            <v:imagedata r:id="rId24" o:title="d040402br1"/>
          </v:shape>
        </w:pict>
      </w:r>
    </w:p>
    <w:p w14:paraId="7F9CBA0A" w14:textId="77777777" w:rsidR="00955A27" w:rsidRPr="001667DB" w:rsidRDefault="00955A27" w:rsidP="00955A27">
      <w:pPr>
        <w:pStyle w:val="Bezodstpw"/>
        <w:tabs>
          <w:tab w:val="left" w:pos="851"/>
        </w:tabs>
        <w:spacing w:after="120" w:line="360" w:lineRule="auto"/>
        <w:ind w:left="839" w:hanging="839"/>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Rys. 1.</w:t>
      </w:r>
      <w:r w:rsidRPr="001667DB">
        <w:rPr>
          <w:rFonts w:ascii="Times New Roman" w:hAnsi="Times New Roman" w:cs="Times New Roman"/>
          <w:color w:val="000000" w:themeColor="text1"/>
          <w:sz w:val="22"/>
          <w:szCs w:val="22"/>
        </w:rPr>
        <w:tab/>
        <w:t>Krzywe graniczne uziarnienia mieszanki kruszywa niezwiązanego 0/31,5 mm          do warstw podbudowy zasadniczej</w:t>
      </w:r>
    </w:p>
    <w:p w14:paraId="3A9A1D3A" w14:textId="77777777" w:rsidR="00955A27" w:rsidRPr="001667DB" w:rsidRDefault="00955A27" w:rsidP="00955A27">
      <w:pPr>
        <w:pStyle w:val="Bezodstpw"/>
        <w:spacing w:after="120" w:line="360" w:lineRule="auto"/>
        <w:ind w:left="839" w:hanging="839"/>
        <w:jc w:val="both"/>
        <w:rPr>
          <w:rFonts w:ascii="Times New Roman" w:hAnsi="Times New Roman" w:cs="Times New Roman"/>
          <w:color w:val="000000" w:themeColor="text1"/>
          <w:sz w:val="22"/>
          <w:szCs w:val="22"/>
        </w:rPr>
      </w:pPr>
    </w:p>
    <w:p w14:paraId="455FFCD5" w14:textId="77777777" w:rsidR="00955A27" w:rsidRPr="001667DB" w:rsidRDefault="00AB678D" w:rsidP="00955A27">
      <w:pPr>
        <w:pStyle w:val="Bezodstpw"/>
        <w:spacing w:after="120" w:line="360" w:lineRule="auto"/>
        <w:ind w:left="840" w:hanging="840"/>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pict w14:anchorId="1AE5BC71">
          <v:shape id="_x0000_i1029" type="#_x0000_t75" style="width:438.75pt;height:230.25pt">
            <v:imagedata r:id="rId25" o:title="d040402br2"/>
          </v:shape>
        </w:pict>
      </w:r>
    </w:p>
    <w:p w14:paraId="0E734B27" w14:textId="77777777" w:rsidR="00955A27" w:rsidRPr="001667DB" w:rsidRDefault="00955A27" w:rsidP="00955A27">
      <w:pPr>
        <w:pStyle w:val="Bezodstpw"/>
        <w:tabs>
          <w:tab w:val="left" w:pos="851"/>
        </w:tabs>
        <w:spacing w:after="120" w:line="360" w:lineRule="auto"/>
        <w:ind w:left="851" w:hanging="851"/>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Rys. 2.</w:t>
      </w:r>
      <w:r w:rsidRPr="001667DB">
        <w:rPr>
          <w:rFonts w:ascii="Times New Roman" w:hAnsi="Times New Roman" w:cs="Times New Roman"/>
          <w:color w:val="000000" w:themeColor="text1"/>
          <w:sz w:val="22"/>
          <w:szCs w:val="22"/>
        </w:rPr>
        <w:tab/>
        <w:t>Krzywe graniczne uziarnienia mieszanki kruszywa niezwiązanego 0/45 mm              do warstw podbudowy zasadniczej</w:t>
      </w:r>
    </w:p>
    <w:p w14:paraId="7816CD7D" w14:textId="77777777" w:rsidR="00955A27" w:rsidRPr="00326BBF"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lang w:val="pl-PL"/>
        </w:rPr>
      </w:pPr>
    </w:p>
    <w:p w14:paraId="1DD628B4" w14:textId="77777777" w:rsidR="00955A27" w:rsidRPr="001667DB" w:rsidRDefault="00AB678D" w:rsidP="00955A27">
      <w:pPr>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pict w14:anchorId="7A7AEC47">
          <v:shape id="_x0000_i1030" type="#_x0000_t75" style="width:438.75pt;height:208.5pt">
            <v:imagedata r:id="rId26" o:title="d040402br3"/>
          </v:shape>
        </w:pict>
      </w:r>
    </w:p>
    <w:p w14:paraId="3BE43145" w14:textId="77777777" w:rsidR="00955A27" w:rsidRPr="001667DB" w:rsidRDefault="00955A27" w:rsidP="00955A27">
      <w:pPr>
        <w:pStyle w:val="Bezodstpw"/>
        <w:tabs>
          <w:tab w:val="left" w:pos="851"/>
        </w:tabs>
        <w:spacing w:after="120" w:line="360" w:lineRule="auto"/>
        <w:ind w:left="851" w:hanging="851"/>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Rys. 3.</w:t>
      </w:r>
      <w:r w:rsidRPr="001667DB">
        <w:rPr>
          <w:rFonts w:ascii="Times New Roman" w:hAnsi="Times New Roman" w:cs="Times New Roman"/>
          <w:color w:val="000000" w:themeColor="text1"/>
          <w:sz w:val="22"/>
          <w:szCs w:val="22"/>
        </w:rPr>
        <w:tab/>
        <w:t>Krzywe graniczne uziarnienia mieszanki kruszywa niezwiązanego 0/63 mm              do warstw podbudowy zasadniczej</w:t>
      </w:r>
    </w:p>
    <w:p w14:paraId="3C430087"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Oprócz wymagań podanych na rysunkach od 1 do 3, wymaga się aby 90% uziarnień mieszanek zbadanych w ramach ZKP w okresie 6 miesięcy spełniało wymagania kategorii podanych w tablicach 2 i 3, aby zapewnić jednorodność i ciągłość uziarnienia mieszanek.</w:t>
      </w:r>
    </w:p>
    <w:p w14:paraId="71781A6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Proctora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754"/>
        <w:gridCol w:w="754"/>
        <w:gridCol w:w="754"/>
        <w:gridCol w:w="754"/>
        <w:gridCol w:w="754"/>
        <w:gridCol w:w="754"/>
        <w:gridCol w:w="754"/>
        <w:gridCol w:w="754"/>
        <w:gridCol w:w="754"/>
        <w:gridCol w:w="754"/>
      </w:tblGrid>
      <w:tr w:rsidR="00955A27" w:rsidRPr="001667DB" w14:paraId="3B828AA9" w14:textId="77777777" w:rsidTr="001B4B8F">
        <w:tc>
          <w:tcPr>
            <w:tcW w:w="1463" w:type="dxa"/>
            <w:vMerge w:val="restart"/>
            <w:tcBorders>
              <w:bottom w:val="double" w:sz="4" w:space="0" w:color="auto"/>
            </w:tcBorders>
          </w:tcPr>
          <w:p w14:paraId="279AAA3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Mieszanka niezwiązana, mm</w:t>
            </w:r>
          </w:p>
        </w:tc>
        <w:tc>
          <w:tcPr>
            <w:tcW w:w="7540" w:type="dxa"/>
            <w:gridSpan w:val="10"/>
            <w:tcBorders>
              <w:bottom w:val="single" w:sz="4" w:space="0" w:color="auto"/>
            </w:tcBorders>
          </w:tcPr>
          <w:p w14:paraId="738068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Porównanie z deklarowaną przez producenta wartością (S)</w:t>
            </w:r>
          </w:p>
          <w:p w14:paraId="202B630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Tolerancje przesiewu przez sito (mm), % (m/m)</w:t>
            </w:r>
          </w:p>
        </w:tc>
      </w:tr>
      <w:tr w:rsidR="00955A27" w:rsidRPr="001667DB" w14:paraId="73935795" w14:textId="77777777" w:rsidTr="001B4B8F">
        <w:tc>
          <w:tcPr>
            <w:tcW w:w="1463" w:type="dxa"/>
            <w:vMerge/>
            <w:tcBorders>
              <w:bottom w:val="double" w:sz="4" w:space="0" w:color="auto"/>
            </w:tcBorders>
          </w:tcPr>
          <w:p w14:paraId="1A0E590D"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754" w:type="dxa"/>
            <w:tcBorders>
              <w:bottom w:val="double" w:sz="4" w:space="0" w:color="auto"/>
            </w:tcBorders>
            <w:shd w:val="clear" w:color="auto" w:fill="auto"/>
          </w:tcPr>
          <w:p w14:paraId="337B118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0,5</w:t>
            </w:r>
          </w:p>
        </w:tc>
        <w:tc>
          <w:tcPr>
            <w:tcW w:w="754" w:type="dxa"/>
            <w:tcBorders>
              <w:bottom w:val="double" w:sz="4" w:space="0" w:color="auto"/>
            </w:tcBorders>
            <w:shd w:val="clear" w:color="auto" w:fill="auto"/>
          </w:tcPr>
          <w:p w14:paraId="135C3EA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754" w:type="dxa"/>
            <w:tcBorders>
              <w:bottom w:val="double" w:sz="4" w:space="0" w:color="auto"/>
            </w:tcBorders>
            <w:shd w:val="clear" w:color="auto" w:fill="auto"/>
          </w:tcPr>
          <w:p w14:paraId="54DCB25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754" w:type="dxa"/>
            <w:tcBorders>
              <w:bottom w:val="double" w:sz="4" w:space="0" w:color="auto"/>
            </w:tcBorders>
            <w:shd w:val="clear" w:color="auto" w:fill="auto"/>
          </w:tcPr>
          <w:p w14:paraId="31B2580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54" w:type="dxa"/>
            <w:tcBorders>
              <w:bottom w:val="double" w:sz="4" w:space="0" w:color="auto"/>
            </w:tcBorders>
            <w:shd w:val="clear" w:color="auto" w:fill="auto"/>
          </w:tcPr>
          <w:p w14:paraId="21E79C4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754" w:type="dxa"/>
            <w:tcBorders>
              <w:bottom w:val="double" w:sz="4" w:space="0" w:color="auto"/>
            </w:tcBorders>
            <w:shd w:val="clear" w:color="auto" w:fill="auto"/>
          </w:tcPr>
          <w:p w14:paraId="4D63D95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754" w:type="dxa"/>
            <w:tcBorders>
              <w:bottom w:val="double" w:sz="4" w:space="0" w:color="auto"/>
            </w:tcBorders>
            <w:shd w:val="clear" w:color="auto" w:fill="auto"/>
          </w:tcPr>
          <w:p w14:paraId="0A95AE4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11,2</w:t>
            </w:r>
          </w:p>
        </w:tc>
        <w:tc>
          <w:tcPr>
            <w:tcW w:w="754" w:type="dxa"/>
            <w:tcBorders>
              <w:bottom w:val="double" w:sz="4" w:space="0" w:color="auto"/>
            </w:tcBorders>
            <w:shd w:val="clear" w:color="auto" w:fill="auto"/>
          </w:tcPr>
          <w:p w14:paraId="2B4AD0A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754" w:type="dxa"/>
            <w:tcBorders>
              <w:bottom w:val="double" w:sz="4" w:space="0" w:color="auto"/>
            </w:tcBorders>
            <w:shd w:val="clear" w:color="auto" w:fill="auto"/>
          </w:tcPr>
          <w:p w14:paraId="7034474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22,4</w:t>
            </w:r>
          </w:p>
        </w:tc>
        <w:tc>
          <w:tcPr>
            <w:tcW w:w="754" w:type="dxa"/>
            <w:tcBorders>
              <w:bottom w:val="double" w:sz="4" w:space="0" w:color="auto"/>
            </w:tcBorders>
            <w:shd w:val="clear" w:color="auto" w:fill="auto"/>
          </w:tcPr>
          <w:p w14:paraId="209E4A4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31,5</w:t>
            </w:r>
          </w:p>
        </w:tc>
      </w:tr>
      <w:tr w:rsidR="00955A27" w:rsidRPr="001667DB" w14:paraId="30AE840B" w14:textId="77777777" w:rsidTr="001B4B8F">
        <w:tc>
          <w:tcPr>
            <w:tcW w:w="1463" w:type="dxa"/>
            <w:tcBorders>
              <w:top w:val="double" w:sz="4" w:space="0" w:color="auto"/>
            </w:tcBorders>
          </w:tcPr>
          <w:p w14:paraId="7693E34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0/31,5</w:t>
            </w:r>
          </w:p>
        </w:tc>
        <w:tc>
          <w:tcPr>
            <w:tcW w:w="754" w:type="dxa"/>
            <w:tcBorders>
              <w:top w:val="double" w:sz="4" w:space="0" w:color="auto"/>
            </w:tcBorders>
            <w:shd w:val="clear" w:color="auto" w:fill="auto"/>
          </w:tcPr>
          <w:p w14:paraId="2282968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tcBorders>
              <w:top w:val="double" w:sz="4" w:space="0" w:color="auto"/>
            </w:tcBorders>
            <w:shd w:val="clear" w:color="auto" w:fill="auto"/>
          </w:tcPr>
          <w:p w14:paraId="06D55F0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tcBorders>
              <w:top w:val="double" w:sz="4" w:space="0" w:color="auto"/>
            </w:tcBorders>
            <w:shd w:val="clear" w:color="auto" w:fill="auto"/>
          </w:tcPr>
          <w:p w14:paraId="42AB934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tcBorders>
              <w:top w:val="double" w:sz="4" w:space="0" w:color="auto"/>
            </w:tcBorders>
            <w:shd w:val="clear" w:color="auto" w:fill="auto"/>
          </w:tcPr>
          <w:p w14:paraId="4B3D7DF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1116DDB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tcBorders>
              <w:top w:val="double" w:sz="4" w:space="0" w:color="auto"/>
            </w:tcBorders>
            <w:shd w:val="clear" w:color="auto" w:fill="auto"/>
          </w:tcPr>
          <w:p w14:paraId="3543FB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0C220CF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tcBorders>
              <w:top w:val="double" w:sz="4" w:space="0" w:color="auto"/>
            </w:tcBorders>
            <w:shd w:val="clear" w:color="auto" w:fill="auto"/>
          </w:tcPr>
          <w:p w14:paraId="1158956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tcBorders>
              <w:top w:val="double" w:sz="4" w:space="0" w:color="auto"/>
            </w:tcBorders>
            <w:shd w:val="clear" w:color="auto" w:fill="auto"/>
          </w:tcPr>
          <w:p w14:paraId="0E698929"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754" w:type="dxa"/>
            <w:tcBorders>
              <w:top w:val="double" w:sz="4" w:space="0" w:color="auto"/>
            </w:tcBorders>
            <w:shd w:val="clear" w:color="auto" w:fill="auto"/>
          </w:tcPr>
          <w:p w14:paraId="01BFA877"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r w:rsidR="00955A27" w:rsidRPr="001667DB" w14:paraId="61D5CCA1" w14:textId="77777777" w:rsidTr="001B4B8F">
        <w:tc>
          <w:tcPr>
            <w:tcW w:w="1463" w:type="dxa"/>
          </w:tcPr>
          <w:p w14:paraId="320C774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0/45</w:t>
            </w:r>
          </w:p>
        </w:tc>
        <w:tc>
          <w:tcPr>
            <w:tcW w:w="754" w:type="dxa"/>
            <w:shd w:val="clear" w:color="auto" w:fill="auto"/>
          </w:tcPr>
          <w:p w14:paraId="2348FB7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41E3FD2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6274148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shd w:val="clear" w:color="auto" w:fill="auto"/>
          </w:tcPr>
          <w:p w14:paraId="1A44DBA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5EAAA61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53B2FB8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146839D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7D7FD81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2C9245F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029323EC"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r w:rsidR="00955A27" w:rsidRPr="001667DB" w14:paraId="0D841A1B" w14:textId="77777777" w:rsidTr="001B4B8F">
        <w:tc>
          <w:tcPr>
            <w:tcW w:w="1463" w:type="dxa"/>
          </w:tcPr>
          <w:p w14:paraId="621829A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0/63</w:t>
            </w:r>
          </w:p>
        </w:tc>
        <w:tc>
          <w:tcPr>
            <w:tcW w:w="754" w:type="dxa"/>
            <w:shd w:val="clear" w:color="auto" w:fill="auto"/>
          </w:tcPr>
          <w:p w14:paraId="54031BD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164F48E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7AAD1BF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54" w:type="dxa"/>
            <w:shd w:val="clear" w:color="auto" w:fill="auto"/>
          </w:tcPr>
          <w:p w14:paraId="5E1790B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7</w:t>
            </w:r>
          </w:p>
        </w:tc>
        <w:tc>
          <w:tcPr>
            <w:tcW w:w="754" w:type="dxa"/>
            <w:shd w:val="clear" w:color="auto" w:fill="auto"/>
          </w:tcPr>
          <w:p w14:paraId="491804E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39815A9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327CA3E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72A7A67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54" w:type="dxa"/>
            <w:shd w:val="clear" w:color="auto" w:fill="auto"/>
          </w:tcPr>
          <w:p w14:paraId="24AAC24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54" w:type="dxa"/>
            <w:shd w:val="clear" w:color="auto" w:fill="auto"/>
          </w:tcPr>
          <w:p w14:paraId="45EC18E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8</w:t>
            </w:r>
          </w:p>
        </w:tc>
      </w:tr>
    </w:tbl>
    <w:p w14:paraId="1FEA3C87"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7820BBC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Krzywa uziarnienia (S) deklarowana przez producenta mieszanek powinna nie tylko mieścić się w odpowiednich krzywych uziarnienia (rys. 1÷3) ograniczonych przerywanymi liniami (SDV) z </w:t>
      </w:r>
      <w:r w:rsidRPr="001667DB">
        <w:rPr>
          <w:rFonts w:ascii="Times New Roman" w:hAnsi="Times New Roman" w:cs="Times New Roman"/>
          <w:color w:val="000000" w:themeColor="text1"/>
        </w:rPr>
        <w:lastRenderedPageBreak/>
        <w:t>uwzględnieniem dopuszczalnych tolerancji podanych w tablicy 2, ale powinna spełniać także wymagania ciągłości uziarnienia zawarte w tablicy 3.</w:t>
      </w:r>
    </w:p>
    <w:p w14:paraId="1AD12FCB" w14:textId="77777777" w:rsidR="00955A27" w:rsidRPr="001667DB" w:rsidRDefault="00955A27" w:rsidP="00955A27">
      <w:pPr>
        <w:spacing w:after="120" w:line="360" w:lineRule="auto"/>
        <w:ind w:left="1202" w:hanging="1202"/>
        <w:jc w:val="both"/>
        <w:rPr>
          <w:rFonts w:ascii="Times New Roman" w:hAnsi="Times New Roman" w:cs="Times New Roman"/>
          <w:color w:val="000000" w:themeColor="text1"/>
        </w:rPr>
      </w:pPr>
    </w:p>
    <w:p w14:paraId="66233884" w14:textId="77777777" w:rsidR="00955A27" w:rsidRPr="001667DB" w:rsidRDefault="00955A27" w:rsidP="00955A27">
      <w:pPr>
        <w:tabs>
          <w:tab w:val="left" w:pos="1134"/>
        </w:tabs>
        <w:spacing w:after="120" w:line="360" w:lineRule="auto"/>
        <w:ind w:left="1134" w:hanging="1134"/>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3.</w:t>
      </w:r>
      <w:r w:rsidRPr="001667DB">
        <w:rPr>
          <w:rFonts w:ascii="Times New Roman" w:hAnsi="Times New Roman" w:cs="Times New Roman"/>
          <w:color w:val="000000" w:themeColor="text1"/>
        </w:rPr>
        <w:tab/>
        <w:t>Wymagania wobec ciągłości uziarnienia na sitach kontrolnych – różnice w przesiewach podczas badań kontrolnych produkowanych mieszanek</w:t>
      </w: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532"/>
        <w:gridCol w:w="517"/>
        <w:gridCol w:w="532"/>
        <w:gridCol w:w="517"/>
        <w:gridCol w:w="532"/>
        <w:gridCol w:w="518"/>
        <w:gridCol w:w="533"/>
        <w:gridCol w:w="518"/>
        <w:gridCol w:w="533"/>
        <w:gridCol w:w="518"/>
        <w:gridCol w:w="533"/>
        <w:gridCol w:w="518"/>
        <w:gridCol w:w="533"/>
        <w:gridCol w:w="518"/>
        <w:gridCol w:w="533"/>
        <w:gridCol w:w="518"/>
      </w:tblGrid>
      <w:tr w:rsidR="00955A27" w:rsidRPr="001667DB" w14:paraId="14AEC91A" w14:textId="77777777" w:rsidTr="001B4B8F">
        <w:tc>
          <w:tcPr>
            <w:tcW w:w="703" w:type="dxa"/>
            <w:vMerge w:val="restart"/>
          </w:tcPr>
          <w:p w14:paraId="703BFB8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Mie-szan-ka, mm</w:t>
            </w:r>
          </w:p>
        </w:tc>
        <w:tc>
          <w:tcPr>
            <w:tcW w:w="8285" w:type="dxa"/>
            <w:gridSpan w:val="16"/>
          </w:tcPr>
          <w:p w14:paraId="482CCF7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i maksymalna zawartość frakcji w mieszankach;</w:t>
            </w:r>
          </w:p>
          <w:p w14:paraId="7A1F0FD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[różnice przesiewów w % (m/m) przez sito (mm)]</w:t>
            </w:r>
          </w:p>
        </w:tc>
      </w:tr>
      <w:tr w:rsidR="00955A27" w:rsidRPr="001667DB" w14:paraId="76E60CB3" w14:textId="77777777" w:rsidTr="001B4B8F">
        <w:tc>
          <w:tcPr>
            <w:tcW w:w="703" w:type="dxa"/>
            <w:vMerge/>
          </w:tcPr>
          <w:p w14:paraId="1065ADCF"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997" w:type="dxa"/>
            <w:gridSpan w:val="2"/>
            <w:tcBorders>
              <w:bottom w:val="single" w:sz="4" w:space="0" w:color="auto"/>
            </w:tcBorders>
          </w:tcPr>
          <w:p w14:paraId="27C99CF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1030" w:type="dxa"/>
            <w:gridSpan w:val="2"/>
            <w:tcBorders>
              <w:bottom w:val="single" w:sz="4" w:space="0" w:color="auto"/>
            </w:tcBorders>
          </w:tcPr>
          <w:p w14:paraId="7C9877F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997" w:type="dxa"/>
            <w:gridSpan w:val="2"/>
            <w:tcBorders>
              <w:bottom w:val="single" w:sz="4" w:space="0" w:color="auto"/>
            </w:tcBorders>
          </w:tcPr>
          <w:p w14:paraId="00401C3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2/5,6</w:t>
            </w:r>
          </w:p>
        </w:tc>
        <w:tc>
          <w:tcPr>
            <w:tcW w:w="997" w:type="dxa"/>
            <w:gridSpan w:val="2"/>
            <w:tcBorders>
              <w:bottom w:val="single" w:sz="4" w:space="0" w:color="auto"/>
            </w:tcBorders>
          </w:tcPr>
          <w:p w14:paraId="36868A9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4/8</w:t>
            </w:r>
          </w:p>
        </w:tc>
        <w:tc>
          <w:tcPr>
            <w:tcW w:w="1071" w:type="dxa"/>
            <w:gridSpan w:val="2"/>
            <w:tcBorders>
              <w:bottom w:val="single" w:sz="4" w:space="0" w:color="auto"/>
            </w:tcBorders>
          </w:tcPr>
          <w:p w14:paraId="627FE0A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5,6/11,2</w:t>
            </w:r>
          </w:p>
        </w:tc>
        <w:tc>
          <w:tcPr>
            <w:tcW w:w="1071" w:type="dxa"/>
            <w:gridSpan w:val="2"/>
            <w:tcBorders>
              <w:bottom w:val="single" w:sz="4" w:space="0" w:color="auto"/>
            </w:tcBorders>
          </w:tcPr>
          <w:p w14:paraId="5EDA636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8/16</w:t>
            </w:r>
          </w:p>
        </w:tc>
        <w:tc>
          <w:tcPr>
            <w:tcW w:w="1123" w:type="dxa"/>
            <w:gridSpan w:val="2"/>
            <w:tcBorders>
              <w:bottom w:val="single" w:sz="4" w:space="0" w:color="auto"/>
            </w:tcBorders>
          </w:tcPr>
          <w:p w14:paraId="7B2510A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11,2/22,4</w:t>
            </w:r>
          </w:p>
        </w:tc>
        <w:tc>
          <w:tcPr>
            <w:tcW w:w="999" w:type="dxa"/>
            <w:gridSpan w:val="2"/>
            <w:tcBorders>
              <w:bottom w:val="single" w:sz="4" w:space="0" w:color="auto"/>
            </w:tcBorders>
          </w:tcPr>
          <w:p w14:paraId="57FBEDF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16/31,5</w:t>
            </w:r>
          </w:p>
        </w:tc>
      </w:tr>
      <w:tr w:rsidR="00955A27" w:rsidRPr="001667DB" w14:paraId="57139897" w14:textId="77777777" w:rsidTr="001B4B8F">
        <w:tc>
          <w:tcPr>
            <w:tcW w:w="703" w:type="dxa"/>
            <w:vMerge/>
            <w:tcBorders>
              <w:bottom w:val="double" w:sz="4" w:space="0" w:color="auto"/>
            </w:tcBorders>
          </w:tcPr>
          <w:p w14:paraId="728230A7" w14:textId="77777777" w:rsidR="00955A27" w:rsidRPr="001667DB" w:rsidRDefault="00955A27" w:rsidP="00955A27">
            <w:pPr>
              <w:spacing w:after="120" w:line="360" w:lineRule="auto"/>
              <w:jc w:val="both"/>
              <w:rPr>
                <w:rFonts w:ascii="Times New Roman" w:hAnsi="Times New Roman" w:cs="Times New Roman"/>
                <w:color w:val="000000" w:themeColor="text1"/>
              </w:rPr>
            </w:pPr>
          </w:p>
        </w:tc>
        <w:tc>
          <w:tcPr>
            <w:tcW w:w="505" w:type="dxa"/>
            <w:tcBorders>
              <w:bottom w:val="double" w:sz="4" w:space="0" w:color="auto"/>
            </w:tcBorders>
            <w:shd w:val="clear" w:color="auto" w:fill="auto"/>
          </w:tcPr>
          <w:p w14:paraId="079159C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6E2ECCE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21" w:type="dxa"/>
            <w:tcBorders>
              <w:bottom w:val="double" w:sz="4" w:space="0" w:color="auto"/>
            </w:tcBorders>
            <w:shd w:val="clear" w:color="auto" w:fill="auto"/>
          </w:tcPr>
          <w:p w14:paraId="1478E74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09" w:type="dxa"/>
            <w:tcBorders>
              <w:bottom w:val="double" w:sz="4" w:space="0" w:color="auto"/>
            </w:tcBorders>
            <w:shd w:val="clear" w:color="auto" w:fill="auto"/>
          </w:tcPr>
          <w:p w14:paraId="7D4CA15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7FD5B88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4515090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53093B3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2431CB1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2548A22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66" w:type="dxa"/>
            <w:tcBorders>
              <w:bottom w:val="double" w:sz="4" w:space="0" w:color="auto"/>
            </w:tcBorders>
            <w:shd w:val="clear" w:color="auto" w:fill="auto"/>
          </w:tcPr>
          <w:p w14:paraId="6E81442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5" w:type="dxa"/>
            <w:tcBorders>
              <w:bottom w:val="double" w:sz="4" w:space="0" w:color="auto"/>
            </w:tcBorders>
            <w:shd w:val="clear" w:color="auto" w:fill="auto"/>
          </w:tcPr>
          <w:p w14:paraId="7020566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66" w:type="dxa"/>
            <w:tcBorders>
              <w:bottom w:val="double" w:sz="4" w:space="0" w:color="auto"/>
            </w:tcBorders>
            <w:shd w:val="clear" w:color="auto" w:fill="auto"/>
          </w:tcPr>
          <w:p w14:paraId="23A0476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45" w:type="dxa"/>
            <w:tcBorders>
              <w:bottom w:val="double" w:sz="4" w:space="0" w:color="auto"/>
            </w:tcBorders>
            <w:shd w:val="clear" w:color="auto" w:fill="auto"/>
          </w:tcPr>
          <w:p w14:paraId="56DEF52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578" w:type="dxa"/>
            <w:tcBorders>
              <w:bottom w:val="double" w:sz="4" w:space="0" w:color="auto"/>
            </w:tcBorders>
            <w:shd w:val="clear" w:color="auto" w:fill="auto"/>
          </w:tcPr>
          <w:p w14:paraId="426EE9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c>
          <w:tcPr>
            <w:tcW w:w="507" w:type="dxa"/>
            <w:tcBorders>
              <w:bottom w:val="double" w:sz="4" w:space="0" w:color="auto"/>
            </w:tcBorders>
            <w:shd w:val="clear" w:color="auto" w:fill="auto"/>
          </w:tcPr>
          <w:p w14:paraId="33F621A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w:t>
            </w:r>
          </w:p>
        </w:tc>
        <w:tc>
          <w:tcPr>
            <w:tcW w:w="492" w:type="dxa"/>
            <w:tcBorders>
              <w:bottom w:val="double" w:sz="4" w:space="0" w:color="auto"/>
            </w:tcBorders>
            <w:shd w:val="clear" w:color="auto" w:fill="auto"/>
          </w:tcPr>
          <w:p w14:paraId="0476A7E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max</w:t>
            </w:r>
          </w:p>
        </w:tc>
      </w:tr>
      <w:tr w:rsidR="00955A27" w:rsidRPr="001667DB" w14:paraId="2713B47C" w14:textId="77777777" w:rsidTr="001B4B8F">
        <w:tc>
          <w:tcPr>
            <w:tcW w:w="703" w:type="dxa"/>
            <w:tcBorders>
              <w:top w:val="double" w:sz="4" w:space="0" w:color="auto"/>
            </w:tcBorders>
          </w:tcPr>
          <w:p w14:paraId="25D1ACA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0/31,5</w:t>
            </w:r>
          </w:p>
        </w:tc>
        <w:tc>
          <w:tcPr>
            <w:tcW w:w="505" w:type="dxa"/>
            <w:tcBorders>
              <w:top w:val="double" w:sz="4" w:space="0" w:color="auto"/>
            </w:tcBorders>
            <w:shd w:val="clear" w:color="auto" w:fill="auto"/>
          </w:tcPr>
          <w:p w14:paraId="77D852C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492" w:type="dxa"/>
            <w:tcBorders>
              <w:top w:val="double" w:sz="4" w:space="0" w:color="auto"/>
            </w:tcBorders>
            <w:shd w:val="clear" w:color="auto" w:fill="auto"/>
          </w:tcPr>
          <w:p w14:paraId="40EDC37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21" w:type="dxa"/>
            <w:tcBorders>
              <w:top w:val="double" w:sz="4" w:space="0" w:color="auto"/>
            </w:tcBorders>
            <w:shd w:val="clear" w:color="auto" w:fill="auto"/>
          </w:tcPr>
          <w:p w14:paraId="7C7168A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509" w:type="dxa"/>
            <w:tcBorders>
              <w:top w:val="double" w:sz="4" w:space="0" w:color="auto"/>
            </w:tcBorders>
            <w:shd w:val="clear" w:color="auto" w:fill="auto"/>
          </w:tcPr>
          <w:p w14:paraId="25C8AB2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tcBorders>
              <w:top w:val="double" w:sz="4" w:space="0" w:color="auto"/>
            </w:tcBorders>
            <w:shd w:val="clear" w:color="auto" w:fill="auto"/>
          </w:tcPr>
          <w:p w14:paraId="1E59F08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tcBorders>
              <w:top w:val="double" w:sz="4" w:space="0" w:color="auto"/>
            </w:tcBorders>
            <w:shd w:val="clear" w:color="auto" w:fill="auto"/>
          </w:tcPr>
          <w:p w14:paraId="7B6D0ED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tcBorders>
              <w:top w:val="double" w:sz="4" w:space="0" w:color="auto"/>
            </w:tcBorders>
            <w:shd w:val="clear" w:color="auto" w:fill="auto"/>
          </w:tcPr>
          <w:p w14:paraId="21DFE10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492" w:type="dxa"/>
            <w:tcBorders>
              <w:top w:val="double" w:sz="4" w:space="0" w:color="auto"/>
            </w:tcBorders>
            <w:shd w:val="clear" w:color="auto" w:fill="auto"/>
          </w:tcPr>
          <w:p w14:paraId="24C841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5" w:type="dxa"/>
            <w:tcBorders>
              <w:top w:val="double" w:sz="4" w:space="0" w:color="auto"/>
            </w:tcBorders>
            <w:shd w:val="clear" w:color="auto" w:fill="auto"/>
          </w:tcPr>
          <w:p w14:paraId="317B21B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tcBorders>
              <w:top w:val="double" w:sz="4" w:space="0" w:color="auto"/>
            </w:tcBorders>
            <w:shd w:val="clear" w:color="auto" w:fill="auto"/>
          </w:tcPr>
          <w:p w14:paraId="5BC8520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tcBorders>
              <w:top w:val="double" w:sz="4" w:space="0" w:color="auto"/>
            </w:tcBorders>
            <w:shd w:val="clear" w:color="auto" w:fill="auto"/>
          </w:tcPr>
          <w:p w14:paraId="2F0092E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tcBorders>
              <w:top w:val="double" w:sz="4" w:space="0" w:color="auto"/>
            </w:tcBorders>
            <w:shd w:val="clear" w:color="auto" w:fill="auto"/>
          </w:tcPr>
          <w:p w14:paraId="44100A5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45" w:type="dxa"/>
            <w:tcBorders>
              <w:top w:val="double" w:sz="4" w:space="0" w:color="auto"/>
            </w:tcBorders>
            <w:shd w:val="clear" w:color="auto" w:fill="auto"/>
          </w:tcPr>
          <w:p w14:paraId="3668CF4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78" w:type="dxa"/>
            <w:tcBorders>
              <w:top w:val="double" w:sz="4" w:space="0" w:color="auto"/>
            </w:tcBorders>
            <w:shd w:val="clear" w:color="auto" w:fill="auto"/>
          </w:tcPr>
          <w:p w14:paraId="6DE5527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7" w:type="dxa"/>
            <w:tcBorders>
              <w:top w:val="double" w:sz="4" w:space="0" w:color="auto"/>
            </w:tcBorders>
            <w:shd w:val="clear" w:color="auto" w:fill="auto"/>
          </w:tcPr>
          <w:p w14:paraId="1199F12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tcBorders>
              <w:top w:val="double" w:sz="4" w:space="0" w:color="auto"/>
            </w:tcBorders>
            <w:shd w:val="clear" w:color="auto" w:fill="auto"/>
          </w:tcPr>
          <w:p w14:paraId="59C64A0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45108787" w14:textId="77777777" w:rsidTr="001B4B8F">
        <w:tc>
          <w:tcPr>
            <w:tcW w:w="703" w:type="dxa"/>
          </w:tcPr>
          <w:p w14:paraId="39FFB1C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0/45</w:t>
            </w:r>
          </w:p>
        </w:tc>
        <w:tc>
          <w:tcPr>
            <w:tcW w:w="505" w:type="dxa"/>
            <w:shd w:val="clear" w:color="auto" w:fill="auto"/>
          </w:tcPr>
          <w:p w14:paraId="2153994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492" w:type="dxa"/>
            <w:shd w:val="clear" w:color="auto" w:fill="auto"/>
          </w:tcPr>
          <w:p w14:paraId="1F2CE46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21" w:type="dxa"/>
            <w:shd w:val="clear" w:color="auto" w:fill="auto"/>
          </w:tcPr>
          <w:p w14:paraId="1844386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9" w:type="dxa"/>
            <w:shd w:val="clear" w:color="auto" w:fill="auto"/>
          </w:tcPr>
          <w:p w14:paraId="0C34F5E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66CB608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492" w:type="dxa"/>
            <w:shd w:val="clear" w:color="auto" w:fill="auto"/>
          </w:tcPr>
          <w:p w14:paraId="23424C2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shd w:val="clear" w:color="auto" w:fill="auto"/>
          </w:tcPr>
          <w:p w14:paraId="416FF70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7F642A8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40C10B6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shd w:val="clear" w:color="auto" w:fill="auto"/>
          </w:tcPr>
          <w:p w14:paraId="48DE96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5" w:type="dxa"/>
            <w:shd w:val="clear" w:color="auto" w:fill="auto"/>
          </w:tcPr>
          <w:p w14:paraId="1E3610E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shd w:val="clear" w:color="auto" w:fill="auto"/>
          </w:tcPr>
          <w:p w14:paraId="1B34367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45" w:type="dxa"/>
            <w:shd w:val="clear" w:color="auto" w:fill="auto"/>
          </w:tcPr>
          <w:p w14:paraId="3D1AD31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78" w:type="dxa"/>
            <w:shd w:val="clear" w:color="auto" w:fill="auto"/>
          </w:tcPr>
          <w:p w14:paraId="4921F5D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07" w:type="dxa"/>
            <w:shd w:val="clear" w:color="auto" w:fill="auto"/>
          </w:tcPr>
          <w:p w14:paraId="36E1586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7E0947B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38F5DBF6" w14:textId="77777777" w:rsidTr="001B4B8F">
        <w:tc>
          <w:tcPr>
            <w:tcW w:w="703" w:type="dxa"/>
          </w:tcPr>
          <w:p w14:paraId="262C164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0/63</w:t>
            </w:r>
          </w:p>
        </w:tc>
        <w:tc>
          <w:tcPr>
            <w:tcW w:w="505" w:type="dxa"/>
            <w:shd w:val="clear" w:color="auto" w:fill="auto"/>
          </w:tcPr>
          <w:p w14:paraId="0460035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726C7D5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21" w:type="dxa"/>
            <w:shd w:val="clear" w:color="auto" w:fill="auto"/>
          </w:tcPr>
          <w:p w14:paraId="4710510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509" w:type="dxa"/>
            <w:shd w:val="clear" w:color="auto" w:fill="auto"/>
          </w:tcPr>
          <w:p w14:paraId="580294F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05" w:type="dxa"/>
            <w:shd w:val="clear" w:color="auto" w:fill="auto"/>
          </w:tcPr>
          <w:p w14:paraId="7619FD3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492" w:type="dxa"/>
            <w:shd w:val="clear" w:color="auto" w:fill="auto"/>
          </w:tcPr>
          <w:p w14:paraId="5E13B18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348F12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492" w:type="dxa"/>
            <w:shd w:val="clear" w:color="auto" w:fill="auto"/>
          </w:tcPr>
          <w:p w14:paraId="6FD37B4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05" w:type="dxa"/>
            <w:shd w:val="clear" w:color="auto" w:fill="auto"/>
          </w:tcPr>
          <w:p w14:paraId="1F2E431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66" w:type="dxa"/>
            <w:shd w:val="clear" w:color="auto" w:fill="auto"/>
          </w:tcPr>
          <w:p w14:paraId="4CCFB40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5" w:type="dxa"/>
            <w:shd w:val="clear" w:color="auto" w:fill="auto"/>
          </w:tcPr>
          <w:p w14:paraId="573A23A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566" w:type="dxa"/>
            <w:shd w:val="clear" w:color="auto" w:fill="auto"/>
          </w:tcPr>
          <w:p w14:paraId="6C76462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45" w:type="dxa"/>
            <w:shd w:val="clear" w:color="auto" w:fill="auto"/>
          </w:tcPr>
          <w:p w14:paraId="106D745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78" w:type="dxa"/>
            <w:shd w:val="clear" w:color="auto" w:fill="auto"/>
          </w:tcPr>
          <w:p w14:paraId="521546A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507" w:type="dxa"/>
            <w:shd w:val="clear" w:color="auto" w:fill="auto"/>
          </w:tcPr>
          <w:p w14:paraId="154584F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492" w:type="dxa"/>
            <w:shd w:val="clear" w:color="auto" w:fill="auto"/>
          </w:tcPr>
          <w:p w14:paraId="2709AB1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25</w:t>
            </w:r>
          </w:p>
        </w:tc>
      </w:tr>
    </w:tbl>
    <w:p w14:paraId="4B044C33" w14:textId="77777777" w:rsidR="00955A27" w:rsidRPr="001667DB" w:rsidRDefault="00955A27" w:rsidP="00955A27">
      <w:pPr>
        <w:spacing w:after="120" w:line="360" w:lineRule="auto"/>
        <w:ind w:left="840" w:hanging="840"/>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7EEC269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Mieszanki kruszyw stosowane do warstw podbudów zasadniczych powinny spełniać wymagania wg tablicy 4. Wymagania wobec mieszanek przeznaczonych do warstw podbudowy zasadniczej odnośnie wrażliwości na mróz (wskaźnik SE), dotyczą badania materiału po pięciokrotnym zagęszczeniu metoda Proctora według PN-EN 13286-2 [18]. Nie stawia się wymagań wobec wodoprzepuszczalności zagęszczonej mieszanki niezwiązanej do podbudowy zasadniczej, o ile szczegółowe rozwiązania nie przewidują tego.</w:t>
      </w:r>
    </w:p>
    <w:p w14:paraId="4490E4B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Zawartość wody w mieszankach kruszyw powinna odpowiadać wymaganej zawartości wody w trakcie wbudowywania i zagęszczania określonej metodą Proctora  według  PN-EN 13286-2 [18], w granicach podanych w tablicy 4.</w:t>
      </w:r>
    </w:p>
    <w:p w14:paraId="05A412E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Badanie CBR mieszanek do podbudowy zasadniczej należy wykonać na mieszance zagęszczonej metodą Proctora  do wskaźnika zagęszczenia Is = 1,0 i po 96 godzinach przechowywania jej w wodzie. CBR należy oznaczyć wg PN-EN 13286-47 [19], a wymaganie przyjąć wg tablicy 4.</w:t>
      </w:r>
    </w:p>
    <w:p w14:paraId="0277205D"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2F21327A"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 xml:space="preserve">Istotne cechy środowiskowe </w:t>
      </w:r>
    </w:p>
    <w:p w14:paraId="279A4FF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Zgodnie z dotychczasowymi doświadczeniami, dotyczącymi stosowania w drogownictwie mieszanek z kruszyw naturalnych oraz gruntów, można je zaliczyć do wyrobów budowlanych, które nie </w:t>
      </w:r>
      <w:r w:rsidRPr="001667DB">
        <w:rPr>
          <w:rFonts w:ascii="Times New Roman" w:hAnsi="Times New Roman" w:cs="Times New Roman"/>
          <w:color w:val="000000" w:themeColor="text1"/>
        </w:rPr>
        <w:lastRenderedPageBreak/>
        <w:t xml:space="preserve">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ostrożności. Przydatność takich kruszyw, jeśli jest to wymagane, może być oceniona zgodnie z wymaganiami w miejscu ich stosowania. W przypadkach wątpliwych należy uzyskać ocenę takiej mieszanki przez właściwe jednostki. </w:t>
      </w:r>
    </w:p>
    <w:p w14:paraId="65FB42F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wobec mieszanek</w:t>
      </w:r>
    </w:p>
    <w:p w14:paraId="73452EC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tablicy 4 przedstawia się zbiorcze zestawienie wymagań wobec mieszanek kruszywa niezwiązanego w warstwie podbudowy zasadniczej.</w:t>
      </w:r>
    </w:p>
    <w:p w14:paraId="4020B72D"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42201163" w14:textId="77777777" w:rsidR="00955A27" w:rsidRPr="001667DB" w:rsidRDefault="00955A27" w:rsidP="00955A27">
      <w:pPr>
        <w:pStyle w:val="Bezodstpw"/>
        <w:tabs>
          <w:tab w:val="left" w:pos="1134"/>
        </w:tabs>
        <w:spacing w:after="120" w:line="360" w:lineRule="auto"/>
        <w:ind w:left="1134" w:hanging="1134"/>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Tablica 4.</w:t>
      </w:r>
      <w:r w:rsidRPr="001667DB">
        <w:rPr>
          <w:rFonts w:ascii="Times New Roman" w:hAnsi="Times New Roman" w:cs="Times New Roman"/>
          <w:color w:val="000000" w:themeColor="text1"/>
          <w:sz w:val="22"/>
          <w:szCs w:val="22"/>
        </w:rPr>
        <w:tab/>
        <w:t>Wymagania wobec  mieszanek kruszywa niezwiązanego w warstwie podbudowy zasadniczej</w:t>
      </w:r>
    </w:p>
    <w:p w14:paraId="6347ED3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Skróty użyte w tablicy: Kat. – kategoria właściwości,   wsk. – wskaźnik, wsp. – współczynnik</w:t>
      </w:r>
    </w:p>
    <w:p w14:paraId="5964202F" w14:textId="77777777" w:rsidR="00955A27" w:rsidRPr="001667DB" w:rsidRDefault="00955A27" w:rsidP="00955A27">
      <w:pPr>
        <w:pStyle w:val="Bezodstpw"/>
        <w:spacing w:after="120" w:line="360" w:lineRule="auto"/>
        <w:jc w:val="both"/>
        <w:rPr>
          <w:rFonts w:ascii="Times New Roman" w:hAnsi="Times New Roman" w:cs="Times New Roman"/>
          <w:color w:val="000000" w:themeColor="text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709"/>
        <w:gridCol w:w="5194"/>
      </w:tblGrid>
      <w:tr w:rsidR="00955A27" w:rsidRPr="001667DB" w14:paraId="5E8CC418" w14:textId="77777777" w:rsidTr="001B4B8F">
        <w:tc>
          <w:tcPr>
            <w:tcW w:w="3085" w:type="dxa"/>
            <w:vMerge w:val="restart"/>
            <w:vAlign w:val="center"/>
          </w:tcPr>
          <w:p w14:paraId="713396A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Właściwość</w:t>
            </w:r>
          </w:p>
          <w:p w14:paraId="6328180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kruszywa</w:t>
            </w:r>
          </w:p>
        </w:tc>
        <w:tc>
          <w:tcPr>
            <w:tcW w:w="5903" w:type="dxa"/>
            <w:gridSpan w:val="2"/>
          </w:tcPr>
          <w:p w14:paraId="142EB2C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mieszanek kruszywa niezwiązanego w warstwie podbudowy zasadniczej pod nawierzchnią drogi obciążonej ruchem  kategorii KR1 ÷ KR6</w:t>
            </w:r>
          </w:p>
        </w:tc>
      </w:tr>
      <w:tr w:rsidR="00955A27" w:rsidRPr="001667DB" w14:paraId="45C53911" w14:textId="77777777" w:rsidTr="001B4B8F">
        <w:trPr>
          <w:trHeight w:val="476"/>
        </w:trPr>
        <w:tc>
          <w:tcPr>
            <w:tcW w:w="3085" w:type="dxa"/>
            <w:vMerge/>
          </w:tcPr>
          <w:p w14:paraId="594BC41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709" w:type="dxa"/>
            <w:vAlign w:val="center"/>
          </w:tcPr>
          <w:p w14:paraId="4AAE1AA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Punkt</w:t>
            </w:r>
          </w:p>
          <w:p w14:paraId="1441DF1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PN-EN</w:t>
            </w:r>
          </w:p>
          <w:p w14:paraId="3E17A44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13285</w:t>
            </w:r>
          </w:p>
        </w:tc>
        <w:tc>
          <w:tcPr>
            <w:tcW w:w="5194" w:type="dxa"/>
            <w:vAlign w:val="center"/>
          </w:tcPr>
          <w:p w14:paraId="2C0649D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w:t>
            </w:r>
          </w:p>
          <w:p w14:paraId="084B248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r>
      <w:tr w:rsidR="00955A27" w:rsidRPr="001667DB" w14:paraId="3EB354E9" w14:textId="77777777" w:rsidTr="001B4B8F">
        <w:tc>
          <w:tcPr>
            <w:tcW w:w="3085" w:type="dxa"/>
          </w:tcPr>
          <w:p w14:paraId="3A2B1BD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Uziarnienie mieszanek</w:t>
            </w:r>
          </w:p>
        </w:tc>
        <w:tc>
          <w:tcPr>
            <w:tcW w:w="709" w:type="dxa"/>
          </w:tcPr>
          <w:p w14:paraId="22D7D8B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4.3.1</w:t>
            </w:r>
          </w:p>
        </w:tc>
        <w:tc>
          <w:tcPr>
            <w:tcW w:w="5194" w:type="dxa"/>
          </w:tcPr>
          <w:p w14:paraId="4DA143D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0/31,5; 0/45; 0/63 mm</w:t>
            </w:r>
          </w:p>
        </w:tc>
      </w:tr>
      <w:tr w:rsidR="00955A27" w:rsidRPr="001667DB" w14:paraId="500BCDEE" w14:textId="77777777" w:rsidTr="001B4B8F">
        <w:trPr>
          <w:trHeight w:val="433"/>
        </w:trPr>
        <w:tc>
          <w:tcPr>
            <w:tcW w:w="3085" w:type="dxa"/>
          </w:tcPr>
          <w:p w14:paraId="00CD3A0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Maksymalna zawartość pyłów:</w:t>
            </w:r>
          </w:p>
          <w:p w14:paraId="5C37C7A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Kat.UF</w:t>
            </w:r>
          </w:p>
        </w:tc>
        <w:tc>
          <w:tcPr>
            <w:tcW w:w="709" w:type="dxa"/>
          </w:tcPr>
          <w:p w14:paraId="62F42D5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5194" w:type="dxa"/>
          </w:tcPr>
          <w:p w14:paraId="4C7C1A5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UF</w:t>
            </w:r>
            <w:r w:rsidRPr="001667DB">
              <w:rPr>
                <w:rFonts w:ascii="Times New Roman" w:hAnsi="Times New Roman" w:cs="Times New Roman"/>
                <w:color w:val="000000" w:themeColor="text1"/>
                <w:sz w:val="22"/>
                <w:szCs w:val="22"/>
                <w:vertAlign w:val="subscript"/>
              </w:rPr>
              <w:t>9</w:t>
            </w:r>
            <w:r w:rsidRPr="001667DB">
              <w:rPr>
                <w:rFonts w:ascii="Times New Roman" w:hAnsi="Times New Roman" w:cs="Times New Roman"/>
                <w:color w:val="000000" w:themeColor="text1"/>
                <w:sz w:val="22"/>
                <w:szCs w:val="22"/>
              </w:rPr>
              <w:t xml:space="preserve">  (tj. masa frakcji przechodzącej przez sito 0,063 mm powinna być ≤ 9%)</w:t>
            </w:r>
          </w:p>
        </w:tc>
      </w:tr>
      <w:tr w:rsidR="00955A27" w:rsidRPr="001667DB" w14:paraId="00B072FF" w14:textId="77777777" w:rsidTr="001B4B8F">
        <w:tc>
          <w:tcPr>
            <w:tcW w:w="3085" w:type="dxa"/>
          </w:tcPr>
          <w:p w14:paraId="6FE7F82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Minimalna zawartość pyłów:</w:t>
            </w:r>
          </w:p>
          <w:p w14:paraId="3126ED9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Kat. LF </w:t>
            </w:r>
          </w:p>
        </w:tc>
        <w:tc>
          <w:tcPr>
            <w:tcW w:w="709" w:type="dxa"/>
          </w:tcPr>
          <w:p w14:paraId="3D74BCF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4.3.2</w:t>
            </w:r>
          </w:p>
        </w:tc>
        <w:tc>
          <w:tcPr>
            <w:tcW w:w="5194" w:type="dxa"/>
          </w:tcPr>
          <w:p w14:paraId="428197F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LF</w:t>
            </w:r>
            <w:r w:rsidRPr="001667DB">
              <w:rPr>
                <w:rFonts w:ascii="Times New Roman" w:hAnsi="Times New Roman" w:cs="Times New Roman"/>
                <w:color w:val="000000" w:themeColor="text1"/>
                <w:sz w:val="22"/>
                <w:szCs w:val="22"/>
                <w:vertAlign w:val="subscript"/>
              </w:rPr>
              <w:t xml:space="preserve">NR  </w:t>
            </w:r>
            <w:r w:rsidRPr="001667DB">
              <w:rPr>
                <w:rFonts w:ascii="Times New Roman" w:hAnsi="Times New Roman" w:cs="Times New Roman"/>
                <w:color w:val="000000" w:themeColor="text1"/>
                <w:sz w:val="22"/>
                <w:szCs w:val="22"/>
              </w:rPr>
              <w:t>(tj. brak wymagań)</w:t>
            </w:r>
          </w:p>
        </w:tc>
      </w:tr>
      <w:tr w:rsidR="00955A27" w:rsidRPr="001667DB" w14:paraId="51E259AD" w14:textId="77777777" w:rsidTr="001B4B8F">
        <w:trPr>
          <w:trHeight w:val="671"/>
        </w:trPr>
        <w:tc>
          <w:tcPr>
            <w:tcW w:w="3085" w:type="dxa"/>
          </w:tcPr>
          <w:p w14:paraId="0C3848F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Zawartość nadziarna:</w:t>
            </w:r>
          </w:p>
          <w:p w14:paraId="6653617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Kat.OC</w:t>
            </w:r>
          </w:p>
        </w:tc>
        <w:tc>
          <w:tcPr>
            <w:tcW w:w="709" w:type="dxa"/>
          </w:tcPr>
          <w:p w14:paraId="27CF6A7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4.3.3</w:t>
            </w:r>
          </w:p>
        </w:tc>
        <w:tc>
          <w:tcPr>
            <w:tcW w:w="5194" w:type="dxa"/>
          </w:tcPr>
          <w:p w14:paraId="5B33161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OC</w:t>
            </w:r>
            <w:r w:rsidRPr="001667DB">
              <w:rPr>
                <w:rFonts w:ascii="Times New Roman" w:hAnsi="Times New Roman" w:cs="Times New Roman"/>
                <w:color w:val="000000" w:themeColor="text1"/>
                <w:sz w:val="22"/>
                <w:szCs w:val="22"/>
                <w:vertAlign w:val="subscript"/>
              </w:rPr>
              <w:t>90</w:t>
            </w:r>
            <w:r w:rsidRPr="001667DB">
              <w:rPr>
                <w:rFonts w:ascii="Times New Roman" w:hAnsi="Times New Roman" w:cs="Times New Roman"/>
                <w:color w:val="000000" w:themeColor="text1"/>
                <w:sz w:val="22"/>
                <w:szCs w:val="22"/>
              </w:rPr>
              <w:t xml:space="preserve"> (tj. procent przechodzącej masy przez sito 1,4D</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xml:space="preserve"> powinien wynosić 100%, a przechodzącej przez sito D</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xml:space="preserve"> powinien wynosić 90-99%)</w:t>
            </w:r>
          </w:p>
        </w:tc>
      </w:tr>
      <w:tr w:rsidR="00955A27" w:rsidRPr="001667DB" w14:paraId="603458E9" w14:textId="77777777" w:rsidTr="001B4B8F">
        <w:tc>
          <w:tcPr>
            <w:tcW w:w="3085" w:type="dxa"/>
          </w:tcPr>
          <w:p w14:paraId="739710F8"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uziarnienia</w:t>
            </w:r>
          </w:p>
        </w:tc>
        <w:tc>
          <w:tcPr>
            <w:tcW w:w="709" w:type="dxa"/>
          </w:tcPr>
          <w:p w14:paraId="0572F31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4.4.1</w:t>
            </w:r>
          </w:p>
        </w:tc>
        <w:tc>
          <w:tcPr>
            <w:tcW w:w="5194" w:type="dxa"/>
          </w:tcPr>
          <w:p w14:paraId="25E513C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Krzywe graniczne uziarnienia według rys. 1÷3</w:t>
            </w:r>
          </w:p>
        </w:tc>
      </w:tr>
      <w:tr w:rsidR="00955A27" w:rsidRPr="001667DB" w14:paraId="59856DD2" w14:textId="77777777" w:rsidTr="001B4B8F">
        <w:tc>
          <w:tcPr>
            <w:tcW w:w="3085" w:type="dxa"/>
          </w:tcPr>
          <w:p w14:paraId="5343D58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jednorodności uziarnienia poszczególnych partii – porównanie z deklarowaną przez producenta wartością (S)</w:t>
            </w:r>
          </w:p>
        </w:tc>
        <w:tc>
          <w:tcPr>
            <w:tcW w:w="709" w:type="dxa"/>
          </w:tcPr>
          <w:p w14:paraId="6C62C78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4.4.2</w:t>
            </w:r>
          </w:p>
        </w:tc>
        <w:tc>
          <w:tcPr>
            <w:tcW w:w="5194" w:type="dxa"/>
          </w:tcPr>
          <w:p w14:paraId="248D3DB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 tab. 2</w:t>
            </w:r>
          </w:p>
        </w:tc>
      </w:tr>
      <w:tr w:rsidR="00955A27" w:rsidRPr="001667DB" w14:paraId="24C03B23" w14:textId="77777777" w:rsidTr="001B4B8F">
        <w:tc>
          <w:tcPr>
            <w:tcW w:w="3085" w:type="dxa"/>
          </w:tcPr>
          <w:p w14:paraId="6ED2F10B"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Wymagania wobec jednorodności uziarnienia na sitach kontrolnych – różnice w przesiewach</w:t>
            </w:r>
          </w:p>
        </w:tc>
        <w:tc>
          <w:tcPr>
            <w:tcW w:w="709" w:type="dxa"/>
          </w:tcPr>
          <w:p w14:paraId="2D76387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4.4.2</w:t>
            </w:r>
          </w:p>
        </w:tc>
        <w:tc>
          <w:tcPr>
            <w:tcW w:w="5194" w:type="dxa"/>
          </w:tcPr>
          <w:p w14:paraId="2B60343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Wg tab. 3</w:t>
            </w:r>
          </w:p>
        </w:tc>
      </w:tr>
      <w:tr w:rsidR="00955A27" w:rsidRPr="001667DB" w14:paraId="538F05AF" w14:textId="77777777" w:rsidTr="001B4B8F">
        <w:tc>
          <w:tcPr>
            <w:tcW w:w="3085" w:type="dxa"/>
          </w:tcPr>
          <w:p w14:paraId="7DA96BA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Wrażliwość na mróz; wskaźnik piaskowy SE</w:t>
            </w:r>
            <w:r w:rsidRPr="001667DB">
              <w:rPr>
                <w:rFonts w:ascii="Times New Roman" w:hAnsi="Times New Roman" w:cs="Times New Roman"/>
                <w:color w:val="000000" w:themeColor="text1"/>
                <w:sz w:val="22"/>
                <w:szCs w:val="22"/>
                <w:vertAlign w:val="superscript"/>
              </w:rPr>
              <w:t>***)</w:t>
            </w:r>
            <w:r w:rsidRPr="001667DB">
              <w:rPr>
                <w:rFonts w:ascii="Times New Roman" w:hAnsi="Times New Roman" w:cs="Times New Roman"/>
                <w:color w:val="000000" w:themeColor="text1"/>
                <w:sz w:val="22"/>
                <w:szCs w:val="22"/>
              </w:rPr>
              <w:t>, co najmniej</w:t>
            </w:r>
          </w:p>
        </w:tc>
        <w:tc>
          <w:tcPr>
            <w:tcW w:w="709" w:type="dxa"/>
          </w:tcPr>
          <w:p w14:paraId="6794D45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94" w:type="dxa"/>
          </w:tcPr>
          <w:p w14:paraId="53A3F23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r>
      <w:tr w:rsidR="00955A27" w:rsidRPr="001667DB" w14:paraId="7CB25C78" w14:textId="77777777" w:rsidTr="001B4B8F">
        <w:tc>
          <w:tcPr>
            <w:tcW w:w="3085" w:type="dxa"/>
          </w:tcPr>
          <w:p w14:paraId="30D9FA2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Odporność na rozdrabnianie (dotyczy frakcji 10/14 mm odsianej z mieszanki) wg PN-EN 1097-1 [9], kat. nie wyższa niż</w:t>
            </w:r>
          </w:p>
        </w:tc>
        <w:tc>
          <w:tcPr>
            <w:tcW w:w="709" w:type="dxa"/>
          </w:tcPr>
          <w:p w14:paraId="355E22AD"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94" w:type="dxa"/>
          </w:tcPr>
          <w:p w14:paraId="77651A64"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LA</w:t>
            </w:r>
            <w:r w:rsidRPr="001667DB">
              <w:rPr>
                <w:rFonts w:ascii="Times New Roman" w:hAnsi="Times New Roman" w:cs="Times New Roman"/>
                <w:color w:val="000000" w:themeColor="text1"/>
                <w:sz w:val="22"/>
                <w:szCs w:val="22"/>
                <w:vertAlign w:val="subscript"/>
              </w:rPr>
              <w:t>35</w:t>
            </w:r>
            <w:r w:rsidRPr="001667DB">
              <w:rPr>
                <w:rFonts w:ascii="Times New Roman" w:hAnsi="Times New Roman" w:cs="Times New Roman"/>
                <w:color w:val="000000" w:themeColor="text1"/>
                <w:sz w:val="22"/>
                <w:szCs w:val="22"/>
              </w:rPr>
              <w:t xml:space="preserve">  (tj. współczynnik Los Angeles ≤ 35)</w:t>
            </w:r>
          </w:p>
        </w:tc>
      </w:tr>
      <w:tr w:rsidR="00955A27" w:rsidRPr="001667DB" w14:paraId="44ED8E19" w14:textId="77777777" w:rsidTr="001B4B8F">
        <w:tc>
          <w:tcPr>
            <w:tcW w:w="3085" w:type="dxa"/>
          </w:tcPr>
          <w:p w14:paraId="61926865"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vertAlign w:val="subscript"/>
              </w:rPr>
            </w:pPr>
            <w:r w:rsidRPr="001667DB">
              <w:rPr>
                <w:rFonts w:ascii="Times New Roman" w:hAnsi="Times New Roman" w:cs="Times New Roman"/>
                <w:color w:val="000000" w:themeColor="text1"/>
                <w:sz w:val="22"/>
                <w:szCs w:val="22"/>
              </w:rPr>
              <w:t>Odporność na ścieranie (dotyczy frakcji 10/14 mm odsianej z mieszanki) wg PN-EN 1097-1 [9], kat. M</w:t>
            </w:r>
            <w:r w:rsidRPr="001667DB">
              <w:rPr>
                <w:rFonts w:ascii="Times New Roman" w:hAnsi="Times New Roman" w:cs="Times New Roman"/>
                <w:color w:val="000000" w:themeColor="text1"/>
                <w:sz w:val="22"/>
                <w:szCs w:val="22"/>
                <w:vertAlign w:val="subscript"/>
              </w:rPr>
              <w:t>DE</w:t>
            </w:r>
          </w:p>
        </w:tc>
        <w:tc>
          <w:tcPr>
            <w:tcW w:w="709" w:type="dxa"/>
          </w:tcPr>
          <w:p w14:paraId="48BBCDD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94" w:type="dxa"/>
          </w:tcPr>
          <w:p w14:paraId="67D3D70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Deklarowana</w:t>
            </w:r>
          </w:p>
        </w:tc>
      </w:tr>
      <w:tr w:rsidR="00955A27" w:rsidRPr="001667DB" w14:paraId="6E8CCCAD" w14:textId="77777777" w:rsidTr="001B4B8F">
        <w:tc>
          <w:tcPr>
            <w:tcW w:w="3085" w:type="dxa"/>
          </w:tcPr>
          <w:p w14:paraId="68712B6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Mrozoodporność (dotyczy frakcji kruszywa 8/16 mm odsianej z mieszanki) wg PN-EN 1367-1 [12]</w:t>
            </w:r>
          </w:p>
        </w:tc>
        <w:tc>
          <w:tcPr>
            <w:tcW w:w="709" w:type="dxa"/>
          </w:tcPr>
          <w:p w14:paraId="589ACB7C"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94" w:type="dxa"/>
          </w:tcPr>
          <w:p w14:paraId="457D2F4F"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Kat. F4  (tj. zamrażanie-rozmrażanie, procent masy ≤ 4)</w:t>
            </w:r>
          </w:p>
        </w:tc>
      </w:tr>
      <w:tr w:rsidR="00955A27" w:rsidRPr="001667DB" w14:paraId="52D31B61" w14:textId="77777777" w:rsidTr="001B4B8F">
        <w:tc>
          <w:tcPr>
            <w:tcW w:w="3085" w:type="dxa"/>
          </w:tcPr>
          <w:p w14:paraId="2A950707"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Wartość CBR po zagęszczeniu do wskaźnika zagęszczenia I</w:t>
            </w:r>
            <w:r w:rsidRPr="001667DB">
              <w:rPr>
                <w:rFonts w:ascii="Times New Roman" w:hAnsi="Times New Roman" w:cs="Times New Roman"/>
                <w:color w:val="000000" w:themeColor="text1"/>
                <w:sz w:val="22"/>
                <w:szCs w:val="22"/>
                <w:vertAlign w:val="subscript"/>
              </w:rPr>
              <w:t>S</w:t>
            </w:r>
            <w:r w:rsidRPr="001667DB">
              <w:rPr>
                <w:rFonts w:ascii="Times New Roman" w:hAnsi="Times New Roman" w:cs="Times New Roman"/>
                <w:color w:val="000000" w:themeColor="text1"/>
                <w:sz w:val="22"/>
                <w:szCs w:val="22"/>
              </w:rPr>
              <w:t>=1,0 i moczeniu w wodzie 96 h, co najmniej</w:t>
            </w:r>
          </w:p>
        </w:tc>
        <w:tc>
          <w:tcPr>
            <w:tcW w:w="709" w:type="dxa"/>
          </w:tcPr>
          <w:p w14:paraId="323B6CE3"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94" w:type="dxa"/>
          </w:tcPr>
          <w:p w14:paraId="2CCD160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 80</w:t>
            </w:r>
          </w:p>
        </w:tc>
      </w:tr>
      <w:tr w:rsidR="00955A27" w:rsidRPr="001667DB" w14:paraId="06CDB18D" w14:textId="77777777" w:rsidTr="001B4B8F">
        <w:tc>
          <w:tcPr>
            <w:tcW w:w="3085" w:type="dxa"/>
          </w:tcPr>
          <w:p w14:paraId="07CE365A"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Wodoprzepuszczalność mieszanki w warstwie odsączającej po zagęszczeniu metodą Proctora do wskaźnika zagęszczenia I</w:t>
            </w:r>
            <w:r w:rsidRPr="001667DB">
              <w:rPr>
                <w:rFonts w:ascii="Times New Roman" w:hAnsi="Times New Roman" w:cs="Times New Roman"/>
                <w:color w:val="000000" w:themeColor="text1"/>
                <w:sz w:val="22"/>
                <w:szCs w:val="22"/>
                <w:vertAlign w:val="subscript"/>
              </w:rPr>
              <w:t>S</w:t>
            </w:r>
            <w:r w:rsidRPr="001667DB">
              <w:rPr>
                <w:rFonts w:ascii="Times New Roman" w:hAnsi="Times New Roman" w:cs="Times New Roman"/>
                <w:color w:val="000000" w:themeColor="text1"/>
                <w:sz w:val="22"/>
                <w:szCs w:val="22"/>
              </w:rPr>
              <w:t>=1,0; wsp. filtracji ”k”, co najmniej cm/s</w:t>
            </w:r>
          </w:p>
        </w:tc>
        <w:tc>
          <w:tcPr>
            <w:tcW w:w="709" w:type="dxa"/>
          </w:tcPr>
          <w:p w14:paraId="0D07D39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94" w:type="dxa"/>
          </w:tcPr>
          <w:p w14:paraId="004C3659"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Brak wymagań</w:t>
            </w:r>
          </w:p>
        </w:tc>
      </w:tr>
      <w:tr w:rsidR="00955A27" w:rsidRPr="001667DB" w14:paraId="3AD2EF75" w14:textId="77777777" w:rsidTr="001B4B8F">
        <w:tc>
          <w:tcPr>
            <w:tcW w:w="3085" w:type="dxa"/>
          </w:tcPr>
          <w:p w14:paraId="1C21311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Zawartość wody w mieszance zagęszczanej; % (m/m) wilgotności optymalnej wg metody Proctora</w:t>
            </w:r>
          </w:p>
        </w:tc>
        <w:tc>
          <w:tcPr>
            <w:tcW w:w="709" w:type="dxa"/>
          </w:tcPr>
          <w:p w14:paraId="4063F591"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p>
        </w:tc>
        <w:tc>
          <w:tcPr>
            <w:tcW w:w="5194" w:type="dxa"/>
          </w:tcPr>
          <w:p w14:paraId="55D08032"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80-100</w:t>
            </w:r>
          </w:p>
        </w:tc>
      </w:tr>
      <w:tr w:rsidR="00955A27" w:rsidRPr="001667DB" w14:paraId="2EA66103" w14:textId="77777777" w:rsidTr="001B4B8F">
        <w:tc>
          <w:tcPr>
            <w:tcW w:w="3085" w:type="dxa"/>
          </w:tcPr>
          <w:p w14:paraId="4939278E"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Inne cechy środowiskowe</w:t>
            </w:r>
          </w:p>
        </w:tc>
        <w:tc>
          <w:tcPr>
            <w:tcW w:w="709" w:type="dxa"/>
          </w:tcPr>
          <w:p w14:paraId="30AF5A70"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4.5</w:t>
            </w:r>
          </w:p>
        </w:tc>
        <w:tc>
          <w:tcPr>
            <w:tcW w:w="5194" w:type="dxa"/>
          </w:tcPr>
          <w:p w14:paraId="522D4B16" w14:textId="77777777" w:rsidR="00955A27" w:rsidRPr="001667DB" w:rsidRDefault="00955A27" w:rsidP="00955A27">
            <w:pPr>
              <w:pStyle w:val="Bezodstpw"/>
              <w:spacing w:after="120" w:line="360" w:lineRule="auto"/>
              <w:ind w:firstLine="0"/>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14:paraId="3FE477A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w:t>
      </w:r>
      <w:r w:rsidRPr="001667DB">
        <w:rPr>
          <w:rFonts w:ascii="Times New Roman" w:hAnsi="Times New Roman" w:cs="Times New Roman"/>
          <w:color w:val="000000" w:themeColor="text1"/>
        </w:rPr>
        <w:t xml:space="preserve"> Gdy wartości obliczone z 1,4D oraz d/2 nie są dokładnymi wymiarami sit serii ISO 565/R20, należy przyjąć następny niższy wymiar sita. Jeśli D=90 mm należy przyjąć wymiar sita 125 mm jako wartość nadziarna.</w:t>
      </w:r>
    </w:p>
    <w:p w14:paraId="3ACEE0B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w:t>
      </w:r>
      <w:r w:rsidRPr="001667DB">
        <w:rPr>
          <w:rFonts w:ascii="Times New Roman" w:hAnsi="Times New Roman" w:cs="Times New Roman"/>
          <w:color w:val="000000" w:themeColor="text1"/>
        </w:rPr>
        <w:t xml:space="preserve"> Procentowa zawartość ziaren przechodzących przez sito D może być większa niż 99% masy, ale w takich przypadkach dostawca powinien zadeklarować typowe uziarnienie.</w:t>
      </w:r>
    </w:p>
    <w:p w14:paraId="2D8EA16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 xml:space="preserve">***) </w:t>
      </w:r>
      <w:r w:rsidRPr="001667DB">
        <w:rPr>
          <w:rFonts w:ascii="Times New Roman" w:hAnsi="Times New Roman" w:cs="Times New Roman"/>
          <w:color w:val="000000" w:themeColor="text1"/>
        </w:rPr>
        <w:t>Badanie wskaźnika piaskowego SE należy wykonać na mieszance po pięciokrotnym zagęszczeniu metodą Proctora wg PN-EN 13286-2 [18].</w:t>
      </w:r>
    </w:p>
    <w:p w14:paraId="53D36BC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5.5. Odcinek próbny</w:t>
      </w:r>
    </w:p>
    <w:p w14:paraId="70DA65F7"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 ST przewidziano potrzebę wykonania odcinka próbnego, to przed rozpoczęciem robót, w terminie uzgodnionym z Inżynierem, Wykonawca powinien wykonać odcinek próbny w celu: </w:t>
      </w:r>
    </w:p>
    <w:p w14:paraId="0586A92C"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stwierdzenia czy właściwy jest sprzęt budowlany do produkcji mieszanki oraz jej rozkładania i zagęszczania,</w:t>
      </w:r>
    </w:p>
    <w:p w14:paraId="1A14BAF4"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określenia grubości wykonywanej warstwy w stanie luźnym, koniecznej do uzyskania wymaganej grubości warstwy po zagęszczeniu,</w:t>
      </w:r>
    </w:p>
    <w:p w14:paraId="2854DE6F" w14:textId="77777777" w:rsidR="00955A27" w:rsidRPr="001667DB" w:rsidRDefault="00955A27" w:rsidP="00904E6C">
      <w:pPr>
        <w:numPr>
          <w:ilvl w:val="0"/>
          <w:numId w:val="96"/>
        </w:numPr>
        <w:tabs>
          <w:tab w:val="num" w:pos="360"/>
        </w:tabs>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określenia liczby przejść sprzętu zagęszczającego, potrzebnej do uzyskania wymaganego wskaźnika zagęszczenia wykonywanej warstwy.</w:t>
      </w:r>
    </w:p>
    <w:p w14:paraId="5AE62037"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Na odcinku próbnym Wykonawca powinien użyć takich materiałów oraz sprzętu do mieszania, rozkładania i zagęszczania, jakie będą stosowane do wykonania warstwy.</w:t>
      </w:r>
    </w:p>
    <w:p w14:paraId="496EBA4B"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odcinka próbnego powinna wynosić od 400  do 800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37EDA0B2"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Odcinek próbny powinien być zlokalizowany w miejscu wskazanym przez Inżyniera.</w:t>
      </w:r>
    </w:p>
    <w:p w14:paraId="323A9126"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może przystąpić do wykonywania warstwy po zaakceptowaniu odcinka próbnego przez Inżyniera.</w:t>
      </w:r>
    </w:p>
    <w:p w14:paraId="0BDF396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5.6. Podłoże pod podbudowę zasadniczą</w:t>
      </w:r>
    </w:p>
    <w:p w14:paraId="0DA9A25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Podłożem pod podbudowę zasadniczą jest podbudowa pomocnicza. Rodzaj podbudowy pomocniczej powinien być zgodny z ustaleniem dokumentacji projektowej. Wszystkie niezbędne cechy geometryczne podbudowy pomocniczej powinny umożliwić ułożenie na niej podbudowy zasadniczej.</w:t>
      </w:r>
    </w:p>
    <w:p w14:paraId="3FC4FA5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podbudowa pomocnicza wykonana jest z mieszanki kruszywa niezwiązanego to powinna być wykonana zgodnie z OST D-04.04.02a „Podbudowa pomocnicza z mieszanki kruszywa niezwiązanego” [4].</w:t>
      </w:r>
    </w:p>
    <w:p w14:paraId="02C460DB"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5.7. Wytwarzanie mieszanki kruszywa na warstwę podbudowy zasadniczej</w:t>
      </w:r>
    </w:p>
    <w:p w14:paraId="42C45A18"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Mieszankę kruszywa o ściśle określonym uziarnieniu i wilgotności optymalnej należy wytwarzać w mieszarkach, gwarantujących otrzymanie jednorodnej mieszanki. Mieszarki (wytwórnie mieszanek kruszywa) stacjonarne lub mobilne powinny zapewnić ciągłość produkcji zgodną z receptą laboratoryjną.</w:t>
      </w:r>
    </w:p>
    <w:p w14:paraId="01C12ED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Ze względu na konieczność zapewnienia mieszance jednorodności nie zaleca się wytwarzania mieszanki przez mieszanie poszczególnych frakcji kruszywa na drodze.</w:t>
      </w:r>
    </w:p>
    <w:p w14:paraId="6B2E38E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produkcji mieszanki kruszywa należy prowadzić zakładową kontrolę produkcji mieszanek niezwiązanych, zgodnie z  WT-4 [20] załącznik C, a przy dostarczaniu mieszanki przez producenta/dostawcę należy stosować się do zasad deklarowania w odniesieniu do zakresu uziarnienia podanych w WT-4 [20] załącznik B.</w:t>
      </w:r>
    </w:p>
    <w:p w14:paraId="6749F778"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 xml:space="preserve">5.8. Wbudowanie mieszanki kruszywa </w:t>
      </w:r>
    </w:p>
    <w:p w14:paraId="1BA7A99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w:t>
      </w:r>
    </w:p>
    <w:p w14:paraId="0A22988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Grubość pojedynczo układanej warstwy nie może przekraczać 20 cm po zagęszczeniu. Jeżeli układana konstrukcja składa się z więcej niż jednej warstwy </w:t>
      </w:r>
      <w:r w:rsidRPr="001667DB">
        <w:rPr>
          <w:rFonts w:ascii="Times New Roman" w:hAnsi="Times New Roman" w:cs="Times New Roman"/>
          <w:color w:val="000000" w:themeColor="text1"/>
        </w:rPr>
        <w:lastRenderedPageBreak/>
        <w:t>kruszywa, to każda warstwa powinna być wyprofilowana i zagęszczona z zachowaniem wymaganych spadków i rzędnych wysokościowych. Rozpoczęcie budowy każdej następnej warstwy może nastąpić po odbiorze poprzedniej warstwy przez Inżyniera.</w:t>
      </w:r>
    </w:p>
    <w:p w14:paraId="6C42E24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Wilgotność mieszanki kruszywa podczas zagęszczania powinna odpowiadać wilgotności optymalnej, określonej według próby Proctora. Mieszanka o większej wilgotności powinna zostać osuszona przez mieszanie i napowietrzanie, np. przemieszanie jej mieszarką, kilkakrotne przesuwanie mieszanki równiarką.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14:paraId="5CF009E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Rozścieloną mieszankę kruszywa należy sprofilować równiarką lub ciężkim szablonem, do spadków poprzecznych i pochyleń podłużnych ustalonych w dokumentacji projektowej. W czasie profilowania należy wyrównać lokalne wgłębienia.</w:t>
      </w:r>
    </w:p>
    <w:p w14:paraId="7FB88E4C"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5.9. Zagęszczanie mieszanki kruszywa</w:t>
      </w:r>
    </w:p>
    <w:p w14:paraId="6638005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 wyprofilowaniu mieszanki kruszywa należy rozpocząć jej zagęszczanie, które należy kontynuować aż do osiągnięcia wymaganego w ST wskaźnika zagęszczenia.</w:t>
      </w:r>
    </w:p>
    <w:p w14:paraId="0D71872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5759FD6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Zagęszczenie powinno być równomierne na całej szerokości warstwy.</w:t>
      </w:r>
    </w:p>
    <w:p w14:paraId="325BB21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Zaleca się, aby grubość zagęszczanej warstwy nie przekraczała przy walcach statycznych gładkich 15 cm, a przy walcach ogumionych lub wibracyjnych 20 cm.</w:t>
      </w:r>
    </w:p>
    <w:p w14:paraId="02CBC306"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5.10. Utrzymanie wykonanej warstwy</w:t>
      </w:r>
    </w:p>
    <w:p w14:paraId="5E05662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Zagęszczona warstwa, przed ułożeniem następnej warstwy, powinna być utrzymywana w dobrym stanie. Jeżeli po wykonanej warstwie będzie się odbywał ruch budowlany, to Wykonawca jest obowiązany naprawić wszelkie uszkodzenia, spowodowane przez ten ruch.</w:t>
      </w:r>
    </w:p>
    <w:p w14:paraId="102D40D0"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5.11. Impregnacja podbudowy zasadniczej</w:t>
      </w:r>
    </w:p>
    <w:p w14:paraId="331C371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nie przewiduje się układania warstwy ścieralnej bezpośrednio po zagęszczeniu podbudowy zasadniczej można, po zaakceptowaniu przez Inżyniera, zaimpregnować podbudowę zasadniczą asfaltem 160/220 w ilości około 1,0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albo emulsją kationową z przysypaniem piaskiem gruboziarnistym w ilości około 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5C7A4ACA"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5.12. Roboty wykończeniowe</w:t>
      </w:r>
    </w:p>
    <w:p w14:paraId="5A9414A1"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 zgodne z dokumentacją projektową, ST lub wskazaniami Inżyniera dotyczą prac związanych z dostosowaniem wykonanych  robót do istniejących warunków terenowych, takie jak:</w:t>
      </w:r>
    </w:p>
    <w:p w14:paraId="7DE837E1" w14:textId="77777777" w:rsidR="00955A27" w:rsidRPr="001667DB" w:rsidRDefault="00955A27" w:rsidP="00904E6C">
      <w:pPr>
        <w:numPr>
          <w:ilvl w:val="0"/>
          <w:numId w:val="99"/>
        </w:numPr>
        <w:tabs>
          <w:tab w:val="clear" w:pos="397"/>
          <w:tab w:val="num" w:pos="284"/>
        </w:tabs>
        <w:overflowPunct w:val="0"/>
        <w:autoSpaceDE w:val="0"/>
        <w:autoSpaceDN w:val="0"/>
        <w:adjustRightInd w:val="0"/>
        <w:spacing w:after="120" w:line="360" w:lineRule="auto"/>
        <w:ind w:left="284" w:hanging="284"/>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odtworzenie przeszkód czasowo usuniętych,</w:t>
      </w:r>
    </w:p>
    <w:p w14:paraId="50B4B94F" w14:textId="77777777" w:rsidR="00955A27" w:rsidRPr="001667DB" w:rsidRDefault="00955A27" w:rsidP="00904E6C">
      <w:pPr>
        <w:numPr>
          <w:ilvl w:val="0"/>
          <w:numId w:val="9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uzupełnienie zniszczonych w czasie robót istniejących elementów drogowych lub terenowych,</w:t>
      </w:r>
    </w:p>
    <w:p w14:paraId="4035EE3B"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porządkujące otoczenie terenu robót,</w:t>
      </w:r>
    </w:p>
    <w:p w14:paraId="700121CD"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usunięcie oznakowania drogi wprowadzonego na okres robót.</w:t>
      </w:r>
    </w:p>
    <w:p w14:paraId="767AA38A"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59E0DEE4"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6. KONTROLA JAKOŚCI ROBÓT</w:t>
      </w:r>
    </w:p>
    <w:p w14:paraId="22D3B11D"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6.1. Ogólne zasady kontroli jakości robót</w:t>
      </w:r>
    </w:p>
    <w:p w14:paraId="2E3E68A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[1], pkt 6.</w:t>
      </w:r>
    </w:p>
    <w:p w14:paraId="2B425EBC"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6.2. Badania przed przystąpieniem do robót</w:t>
      </w:r>
    </w:p>
    <w:p w14:paraId="2C391A6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25B5CB0A"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A3B0344"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wykonać badania kruszyw przeznaczonych do wykonania robót, obejmujące wszystkie właściwości określone w tablicy 1 niniejszej ST.</w:t>
      </w:r>
    </w:p>
    <w:p w14:paraId="54F9303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76BC09D1"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6.3. Badania w czasie robót</w:t>
      </w:r>
    </w:p>
    <w:p w14:paraId="26D1949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Częstotliwość oraz zakres badań i pomiarów, które należy wykonać w czasie robót podaje tablica 5. </w:t>
      </w:r>
    </w:p>
    <w:p w14:paraId="513DE32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5. Częstotliwość oraz zakres badań i pomiarów w czasie robót</w:t>
      </w:r>
    </w:p>
    <w:tbl>
      <w:tblPr>
        <w:tblW w:w="89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34"/>
        <w:gridCol w:w="2204"/>
        <w:gridCol w:w="2693"/>
      </w:tblGrid>
      <w:tr w:rsidR="00955A27" w:rsidRPr="001667DB" w14:paraId="00E517DE" w14:textId="77777777" w:rsidTr="001B4B8F">
        <w:tc>
          <w:tcPr>
            <w:tcW w:w="496" w:type="dxa"/>
            <w:tcBorders>
              <w:bottom w:val="single" w:sz="4" w:space="0" w:color="auto"/>
            </w:tcBorders>
          </w:tcPr>
          <w:p w14:paraId="4E3F625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534" w:type="dxa"/>
            <w:tcBorders>
              <w:bottom w:val="single" w:sz="4" w:space="0" w:color="auto"/>
            </w:tcBorders>
          </w:tcPr>
          <w:p w14:paraId="70ADBA3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Wyszczególnienie robót</w:t>
            </w:r>
          </w:p>
        </w:tc>
        <w:tc>
          <w:tcPr>
            <w:tcW w:w="2204" w:type="dxa"/>
            <w:tcBorders>
              <w:bottom w:val="single" w:sz="4" w:space="0" w:color="auto"/>
            </w:tcBorders>
          </w:tcPr>
          <w:p w14:paraId="53CEAD4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Częstotliwość badań</w:t>
            </w:r>
          </w:p>
        </w:tc>
        <w:tc>
          <w:tcPr>
            <w:tcW w:w="2693" w:type="dxa"/>
            <w:tcBorders>
              <w:bottom w:val="single" w:sz="4" w:space="0" w:color="auto"/>
            </w:tcBorders>
          </w:tcPr>
          <w:p w14:paraId="3ADB0F4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dopuszczalne</w:t>
            </w:r>
          </w:p>
        </w:tc>
      </w:tr>
      <w:tr w:rsidR="00955A27" w:rsidRPr="001667DB" w14:paraId="445DE873" w14:textId="77777777" w:rsidTr="001B4B8F">
        <w:tc>
          <w:tcPr>
            <w:tcW w:w="496" w:type="dxa"/>
            <w:tcBorders>
              <w:top w:val="single" w:sz="4" w:space="0" w:color="auto"/>
            </w:tcBorders>
            <w:vAlign w:val="center"/>
          </w:tcPr>
          <w:p w14:paraId="6FD15EA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34" w:type="dxa"/>
            <w:tcBorders>
              <w:top w:val="single" w:sz="4" w:space="0" w:color="auto"/>
            </w:tcBorders>
            <w:vAlign w:val="center"/>
          </w:tcPr>
          <w:p w14:paraId="4E29706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Lokalizacja i zgodność granic terenu robót z dokumentacją projektową</w:t>
            </w:r>
          </w:p>
        </w:tc>
        <w:tc>
          <w:tcPr>
            <w:tcW w:w="2204" w:type="dxa"/>
            <w:tcBorders>
              <w:top w:val="single" w:sz="4" w:space="0" w:color="auto"/>
            </w:tcBorders>
            <w:vAlign w:val="center"/>
          </w:tcPr>
          <w:p w14:paraId="26C92FB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 raz</w:t>
            </w:r>
          </w:p>
        </w:tc>
        <w:tc>
          <w:tcPr>
            <w:tcW w:w="2693" w:type="dxa"/>
            <w:tcBorders>
              <w:top w:val="single" w:sz="4" w:space="0" w:color="auto"/>
            </w:tcBorders>
            <w:vAlign w:val="center"/>
          </w:tcPr>
          <w:p w14:paraId="0F37C68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pktu 5 </w:t>
            </w:r>
          </w:p>
          <w:p w14:paraId="69C84DC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 dokumentacji projektowej </w:t>
            </w:r>
          </w:p>
        </w:tc>
      </w:tr>
      <w:tr w:rsidR="00955A27" w:rsidRPr="001667DB" w14:paraId="632B8AC5" w14:textId="77777777" w:rsidTr="001B4B8F">
        <w:tc>
          <w:tcPr>
            <w:tcW w:w="496" w:type="dxa"/>
            <w:vAlign w:val="center"/>
          </w:tcPr>
          <w:p w14:paraId="61AB4CF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w:t>
            </w:r>
          </w:p>
        </w:tc>
        <w:tc>
          <w:tcPr>
            <w:tcW w:w="3534" w:type="dxa"/>
            <w:vAlign w:val="center"/>
          </w:tcPr>
          <w:p w14:paraId="03B524C9"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tc>
        <w:tc>
          <w:tcPr>
            <w:tcW w:w="2204" w:type="dxa"/>
            <w:vAlign w:val="center"/>
          </w:tcPr>
          <w:p w14:paraId="5750E03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693" w:type="dxa"/>
            <w:vAlign w:val="center"/>
          </w:tcPr>
          <w:p w14:paraId="54B5F2A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pktu 5.3</w:t>
            </w:r>
          </w:p>
        </w:tc>
      </w:tr>
      <w:tr w:rsidR="00955A27" w:rsidRPr="001667DB" w14:paraId="700F8948" w14:textId="77777777" w:rsidTr="001B4B8F">
        <w:tc>
          <w:tcPr>
            <w:tcW w:w="496" w:type="dxa"/>
            <w:vAlign w:val="center"/>
          </w:tcPr>
          <w:p w14:paraId="1877A30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34" w:type="dxa"/>
            <w:vAlign w:val="center"/>
          </w:tcPr>
          <w:p w14:paraId="40B6EA6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2204" w:type="dxa"/>
            <w:vAlign w:val="center"/>
          </w:tcPr>
          <w:p w14:paraId="444AA87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Dla każdej partii kruszywa  i przy każdej zmianie kruszywa</w:t>
            </w:r>
          </w:p>
        </w:tc>
        <w:tc>
          <w:tcPr>
            <w:tcW w:w="2693" w:type="dxa"/>
            <w:vAlign w:val="center"/>
          </w:tcPr>
          <w:p w14:paraId="7F2CADA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tablicy 1</w:t>
            </w:r>
          </w:p>
        </w:tc>
      </w:tr>
      <w:tr w:rsidR="00955A27" w:rsidRPr="001667DB" w14:paraId="4294361F" w14:textId="77777777" w:rsidTr="001B4B8F">
        <w:tc>
          <w:tcPr>
            <w:tcW w:w="496" w:type="dxa"/>
            <w:vAlign w:val="center"/>
          </w:tcPr>
          <w:p w14:paraId="1F127B4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34" w:type="dxa"/>
            <w:vAlign w:val="center"/>
          </w:tcPr>
          <w:p w14:paraId="231030D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Uziarnienie mieszanki</w:t>
            </w:r>
          </w:p>
        </w:tc>
        <w:tc>
          <w:tcPr>
            <w:tcW w:w="2204" w:type="dxa"/>
            <w:vAlign w:val="center"/>
          </w:tcPr>
          <w:p w14:paraId="3F2E0D4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2 razy na dziennej działce roboczej  </w:t>
            </w:r>
          </w:p>
        </w:tc>
        <w:tc>
          <w:tcPr>
            <w:tcW w:w="2693" w:type="dxa"/>
            <w:vAlign w:val="center"/>
          </w:tcPr>
          <w:p w14:paraId="64C05BF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tablicy 4</w:t>
            </w:r>
          </w:p>
        </w:tc>
      </w:tr>
      <w:tr w:rsidR="00955A27" w:rsidRPr="001667DB" w14:paraId="1783E211" w14:textId="77777777" w:rsidTr="001B4B8F">
        <w:tc>
          <w:tcPr>
            <w:tcW w:w="496" w:type="dxa"/>
            <w:vAlign w:val="center"/>
          </w:tcPr>
          <w:p w14:paraId="4AED099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534" w:type="dxa"/>
            <w:vAlign w:val="center"/>
          </w:tcPr>
          <w:p w14:paraId="0296E1B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Wilgotność mieszanki</w:t>
            </w:r>
          </w:p>
        </w:tc>
        <w:tc>
          <w:tcPr>
            <w:tcW w:w="2204" w:type="dxa"/>
            <w:vAlign w:val="center"/>
          </w:tcPr>
          <w:p w14:paraId="715F0CB6"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6677A86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1A97CDF3" w14:textId="77777777" w:rsidTr="001B4B8F">
        <w:tc>
          <w:tcPr>
            <w:tcW w:w="496" w:type="dxa"/>
            <w:vAlign w:val="center"/>
          </w:tcPr>
          <w:p w14:paraId="3984629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534" w:type="dxa"/>
            <w:vAlign w:val="center"/>
          </w:tcPr>
          <w:p w14:paraId="26C63DF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 mieszance</w:t>
            </w:r>
          </w:p>
        </w:tc>
        <w:tc>
          <w:tcPr>
            <w:tcW w:w="2204" w:type="dxa"/>
            <w:vAlign w:val="center"/>
          </w:tcPr>
          <w:p w14:paraId="1E4374F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1CEBBBF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4A924FCB" w14:textId="77777777" w:rsidTr="001B4B8F">
        <w:tc>
          <w:tcPr>
            <w:tcW w:w="496" w:type="dxa"/>
            <w:vAlign w:val="center"/>
          </w:tcPr>
          <w:p w14:paraId="4CC4B27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534" w:type="dxa"/>
            <w:vAlign w:val="center"/>
          </w:tcPr>
          <w:p w14:paraId="30FFCBF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nadziarna w mieszance</w:t>
            </w:r>
          </w:p>
        </w:tc>
        <w:tc>
          <w:tcPr>
            <w:tcW w:w="2204" w:type="dxa"/>
            <w:vAlign w:val="center"/>
          </w:tcPr>
          <w:p w14:paraId="603F72F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7D29E06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41F7E82F" w14:textId="77777777" w:rsidTr="001B4B8F">
        <w:tc>
          <w:tcPr>
            <w:tcW w:w="496" w:type="dxa"/>
            <w:vAlign w:val="center"/>
          </w:tcPr>
          <w:p w14:paraId="6A0BF52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534" w:type="dxa"/>
            <w:vAlign w:val="center"/>
          </w:tcPr>
          <w:p w14:paraId="67C82A1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Wrażliwość mieszanki na mróz, wskaźnik piaskowy</w:t>
            </w:r>
          </w:p>
        </w:tc>
        <w:tc>
          <w:tcPr>
            <w:tcW w:w="2204" w:type="dxa"/>
            <w:vAlign w:val="center"/>
          </w:tcPr>
          <w:p w14:paraId="050471A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1689DD3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2503080D" w14:textId="77777777" w:rsidTr="001B4B8F">
        <w:tc>
          <w:tcPr>
            <w:tcW w:w="496" w:type="dxa"/>
            <w:vAlign w:val="center"/>
          </w:tcPr>
          <w:p w14:paraId="5E933A2D"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534" w:type="dxa"/>
            <w:vAlign w:val="center"/>
          </w:tcPr>
          <w:p w14:paraId="512BA7CA"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wody w mieszance</w:t>
            </w:r>
          </w:p>
        </w:tc>
        <w:tc>
          <w:tcPr>
            <w:tcW w:w="2204" w:type="dxa"/>
            <w:vAlign w:val="center"/>
          </w:tcPr>
          <w:p w14:paraId="12D0C94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693" w:type="dxa"/>
            <w:vAlign w:val="center"/>
          </w:tcPr>
          <w:p w14:paraId="6EC5600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1AE2C9E9" w14:textId="77777777" w:rsidTr="001B4B8F">
        <w:tc>
          <w:tcPr>
            <w:tcW w:w="496" w:type="dxa"/>
            <w:vAlign w:val="center"/>
          </w:tcPr>
          <w:p w14:paraId="0058A415"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534" w:type="dxa"/>
            <w:vAlign w:val="center"/>
          </w:tcPr>
          <w:p w14:paraId="639B666F"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Wartość CBR po zagęszczeniu mieszanki</w:t>
            </w:r>
          </w:p>
        </w:tc>
        <w:tc>
          <w:tcPr>
            <w:tcW w:w="2204" w:type="dxa"/>
            <w:vAlign w:val="center"/>
          </w:tcPr>
          <w:p w14:paraId="5BB5A1F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próbek </w:t>
            </w:r>
          </w:p>
          <w:p w14:paraId="6214643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na 10 000 m</w:t>
            </w:r>
            <w:r w:rsidRPr="001667DB">
              <w:rPr>
                <w:rFonts w:ascii="Times New Roman" w:hAnsi="Times New Roman" w:cs="Times New Roman"/>
                <w:color w:val="000000" w:themeColor="text1"/>
                <w:vertAlign w:val="superscript"/>
              </w:rPr>
              <w:t>2</w:t>
            </w:r>
          </w:p>
        </w:tc>
        <w:tc>
          <w:tcPr>
            <w:tcW w:w="2693" w:type="dxa"/>
            <w:vAlign w:val="center"/>
          </w:tcPr>
          <w:p w14:paraId="43547A4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758B3DC8" w14:textId="77777777" w:rsidTr="001B4B8F">
        <w:tc>
          <w:tcPr>
            <w:tcW w:w="496" w:type="dxa"/>
            <w:vAlign w:val="center"/>
          </w:tcPr>
          <w:p w14:paraId="0968AF4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534" w:type="dxa"/>
            <w:vAlign w:val="center"/>
          </w:tcPr>
          <w:p w14:paraId="101858FC"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Inne właściwości mieszanki</w:t>
            </w:r>
          </w:p>
        </w:tc>
        <w:tc>
          <w:tcPr>
            <w:tcW w:w="2204" w:type="dxa"/>
            <w:vAlign w:val="center"/>
          </w:tcPr>
          <w:p w14:paraId="111A8581"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ustalenia Inżyniera</w:t>
            </w:r>
          </w:p>
        </w:tc>
        <w:tc>
          <w:tcPr>
            <w:tcW w:w="2693" w:type="dxa"/>
            <w:vAlign w:val="center"/>
          </w:tcPr>
          <w:p w14:paraId="4180640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470611AA" w14:textId="77777777" w:rsidTr="001B4B8F">
        <w:tc>
          <w:tcPr>
            <w:tcW w:w="496" w:type="dxa"/>
            <w:vAlign w:val="center"/>
          </w:tcPr>
          <w:p w14:paraId="79CE138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534" w:type="dxa"/>
            <w:vAlign w:val="center"/>
          </w:tcPr>
          <w:p w14:paraId="71D0BF4B"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Cechy środowiskowe</w:t>
            </w:r>
          </w:p>
        </w:tc>
        <w:tc>
          <w:tcPr>
            <w:tcW w:w="2204" w:type="dxa"/>
            <w:vAlign w:val="center"/>
          </w:tcPr>
          <w:p w14:paraId="70478D90"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ustalenia Inżyniera</w:t>
            </w:r>
          </w:p>
        </w:tc>
        <w:tc>
          <w:tcPr>
            <w:tcW w:w="2693" w:type="dxa"/>
            <w:vAlign w:val="center"/>
          </w:tcPr>
          <w:p w14:paraId="040ECE1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Jw.</w:t>
            </w:r>
          </w:p>
        </w:tc>
      </w:tr>
      <w:tr w:rsidR="00955A27" w:rsidRPr="001667DB" w14:paraId="2EE09E5B" w14:textId="77777777" w:rsidTr="001B4B8F">
        <w:tc>
          <w:tcPr>
            <w:tcW w:w="496" w:type="dxa"/>
            <w:vAlign w:val="center"/>
          </w:tcPr>
          <w:p w14:paraId="4EE08C8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3534" w:type="dxa"/>
            <w:vAlign w:val="center"/>
          </w:tcPr>
          <w:p w14:paraId="177B4AB2"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tc>
        <w:tc>
          <w:tcPr>
            <w:tcW w:w="2204" w:type="dxa"/>
            <w:vAlign w:val="center"/>
          </w:tcPr>
          <w:p w14:paraId="6FED3E9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693" w:type="dxa"/>
            <w:vAlign w:val="center"/>
          </w:tcPr>
          <w:p w14:paraId="7B8816D3"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pktu 5.12</w:t>
            </w:r>
          </w:p>
        </w:tc>
      </w:tr>
    </w:tbl>
    <w:p w14:paraId="7A27CCB7"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p>
    <w:p w14:paraId="63E58981"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6.4. Wymagania dotyczące cech geometrycznych podbudowy zasadniczej</w:t>
      </w:r>
    </w:p>
    <w:p w14:paraId="77D911F8"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Częstotliwość oraz zakres badań i pomiarów dotyczących cech geometrycznych warstwy z mieszanki niezwiązanej podaje tablica 6.</w:t>
      </w:r>
    </w:p>
    <w:p w14:paraId="5D935DD0" w14:textId="77777777" w:rsidR="00955A27" w:rsidRPr="001667DB" w:rsidRDefault="00955A27" w:rsidP="00955A27">
      <w:pPr>
        <w:keepNext/>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6. Częstotliwość oraz zakres badań i pomiarów dotyczących cech geometrycznych</w:t>
      </w:r>
    </w:p>
    <w:tbl>
      <w:tblPr>
        <w:tblW w:w="89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414"/>
        <w:gridCol w:w="2280"/>
        <w:gridCol w:w="2760"/>
      </w:tblGrid>
      <w:tr w:rsidR="00955A27" w:rsidRPr="001667DB" w14:paraId="56B5BDFF" w14:textId="77777777" w:rsidTr="001B4B8F">
        <w:tc>
          <w:tcPr>
            <w:tcW w:w="496" w:type="dxa"/>
            <w:tcBorders>
              <w:top w:val="single" w:sz="4" w:space="0" w:color="auto"/>
              <w:left w:val="single" w:sz="4" w:space="0" w:color="auto"/>
              <w:bottom w:val="single" w:sz="4" w:space="0" w:color="auto"/>
            </w:tcBorders>
          </w:tcPr>
          <w:p w14:paraId="7982E52D"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2D9EEFC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414" w:type="dxa"/>
            <w:tcBorders>
              <w:top w:val="single" w:sz="4" w:space="0" w:color="auto"/>
              <w:bottom w:val="single" w:sz="4" w:space="0" w:color="auto"/>
              <w:right w:val="single" w:sz="4" w:space="0" w:color="auto"/>
            </w:tcBorders>
          </w:tcPr>
          <w:p w14:paraId="456165A8" w14:textId="77777777" w:rsidR="00955A27" w:rsidRPr="001667DB" w:rsidRDefault="00955A27" w:rsidP="00955A27">
            <w:pPr>
              <w:spacing w:after="120" w:line="360" w:lineRule="auto"/>
              <w:ind w:left="215" w:right="312"/>
              <w:jc w:val="both"/>
              <w:rPr>
                <w:rFonts w:ascii="Times New Roman" w:hAnsi="Times New Roman" w:cs="Times New Roman"/>
                <w:color w:val="000000" w:themeColor="text1"/>
              </w:rPr>
            </w:pPr>
            <w:r w:rsidRPr="001667DB">
              <w:rPr>
                <w:rFonts w:ascii="Times New Roman" w:hAnsi="Times New Roman" w:cs="Times New Roman"/>
                <w:color w:val="000000" w:themeColor="text1"/>
              </w:rPr>
              <w:t>Wyszczególnienie badań i pomiarów</w:t>
            </w:r>
          </w:p>
        </w:tc>
        <w:tc>
          <w:tcPr>
            <w:tcW w:w="2280" w:type="dxa"/>
            <w:tcBorders>
              <w:left w:val="single" w:sz="4" w:space="0" w:color="auto"/>
            </w:tcBorders>
            <w:shd w:val="clear" w:color="auto" w:fill="auto"/>
          </w:tcPr>
          <w:p w14:paraId="4485B8F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częstotliwość badań i pomiarów</w:t>
            </w:r>
          </w:p>
        </w:tc>
        <w:tc>
          <w:tcPr>
            <w:tcW w:w="2760" w:type="dxa"/>
            <w:shd w:val="clear" w:color="auto" w:fill="auto"/>
          </w:tcPr>
          <w:p w14:paraId="5916D5BE"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5C12C25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Dopuszczalne odchyłki</w:t>
            </w:r>
          </w:p>
        </w:tc>
      </w:tr>
      <w:tr w:rsidR="00955A27" w:rsidRPr="001667DB" w14:paraId="344006B7" w14:textId="77777777" w:rsidTr="001B4B8F">
        <w:tc>
          <w:tcPr>
            <w:tcW w:w="496" w:type="dxa"/>
            <w:tcBorders>
              <w:top w:val="single" w:sz="4" w:space="0" w:color="auto"/>
            </w:tcBorders>
          </w:tcPr>
          <w:p w14:paraId="1546C34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414" w:type="dxa"/>
            <w:tcBorders>
              <w:top w:val="single" w:sz="4" w:space="0" w:color="auto"/>
            </w:tcBorders>
          </w:tcPr>
          <w:p w14:paraId="56BEDE0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Szerokość warstwy</w:t>
            </w:r>
          </w:p>
        </w:tc>
        <w:tc>
          <w:tcPr>
            <w:tcW w:w="2280" w:type="dxa"/>
            <w:shd w:val="clear" w:color="auto" w:fill="auto"/>
          </w:tcPr>
          <w:p w14:paraId="73596F5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c>
          <w:tcPr>
            <w:tcW w:w="2760" w:type="dxa"/>
            <w:shd w:val="clear" w:color="auto" w:fill="auto"/>
          </w:tcPr>
          <w:p w14:paraId="4911358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cm, -5 cm (różnice od szerokości projektowej)</w:t>
            </w:r>
          </w:p>
        </w:tc>
      </w:tr>
      <w:tr w:rsidR="00955A27" w:rsidRPr="001667DB" w14:paraId="6F653A6E" w14:textId="77777777" w:rsidTr="001B4B8F">
        <w:tc>
          <w:tcPr>
            <w:tcW w:w="496" w:type="dxa"/>
          </w:tcPr>
          <w:p w14:paraId="174E5F9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414" w:type="dxa"/>
          </w:tcPr>
          <w:p w14:paraId="34B5034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podłużna</w:t>
            </w:r>
          </w:p>
        </w:tc>
        <w:tc>
          <w:tcPr>
            <w:tcW w:w="2280" w:type="dxa"/>
            <w:shd w:val="clear" w:color="auto" w:fill="auto"/>
          </w:tcPr>
          <w:p w14:paraId="1F4BD78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c>
          <w:tcPr>
            <w:tcW w:w="2760" w:type="dxa"/>
            <w:shd w:val="clear" w:color="auto" w:fill="auto"/>
          </w:tcPr>
          <w:p w14:paraId="3B98C90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r>
      <w:tr w:rsidR="00955A27" w:rsidRPr="001667DB" w14:paraId="59FBE13A" w14:textId="77777777" w:rsidTr="001B4B8F">
        <w:tc>
          <w:tcPr>
            <w:tcW w:w="496" w:type="dxa"/>
          </w:tcPr>
          <w:p w14:paraId="197F77D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414" w:type="dxa"/>
          </w:tcPr>
          <w:p w14:paraId="4A25198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poprzeczna</w:t>
            </w:r>
          </w:p>
        </w:tc>
        <w:tc>
          <w:tcPr>
            <w:tcW w:w="2280" w:type="dxa"/>
            <w:shd w:val="clear" w:color="auto" w:fill="auto"/>
          </w:tcPr>
          <w:p w14:paraId="0C51CA4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c>
          <w:tcPr>
            <w:tcW w:w="2760" w:type="dxa"/>
            <w:shd w:val="clear" w:color="auto" w:fill="auto"/>
          </w:tcPr>
          <w:p w14:paraId="38CADFE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r>
      <w:tr w:rsidR="00955A27" w:rsidRPr="001667DB" w14:paraId="394E60AF" w14:textId="77777777" w:rsidTr="001B4B8F">
        <w:tc>
          <w:tcPr>
            <w:tcW w:w="496" w:type="dxa"/>
          </w:tcPr>
          <w:p w14:paraId="2EFC5F23"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22DA9F3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414" w:type="dxa"/>
          </w:tcPr>
          <w:p w14:paraId="381B41EC"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08BCCA0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w:t>
            </w:r>
            <w:r w:rsidRPr="001667DB">
              <w:rPr>
                <w:rFonts w:ascii="Times New Roman" w:hAnsi="Times New Roman" w:cs="Times New Roman"/>
                <w:color w:val="000000" w:themeColor="text1"/>
                <w:vertAlign w:val="superscript"/>
              </w:rPr>
              <w:t>*)</w:t>
            </w:r>
          </w:p>
        </w:tc>
        <w:tc>
          <w:tcPr>
            <w:tcW w:w="2280" w:type="dxa"/>
            <w:shd w:val="clear" w:color="auto" w:fill="auto"/>
          </w:tcPr>
          <w:p w14:paraId="4D9E8F4F"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56ECA8B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c>
          <w:tcPr>
            <w:tcW w:w="2760" w:type="dxa"/>
            <w:shd w:val="clear" w:color="auto" w:fill="auto"/>
          </w:tcPr>
          <w:p w14:paraId="50110DE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0,5% (dopuszczalna tolerancja od spadków projektowych)</w:t>
            </w:r>
          </w:p>
        </w:tc>
      </w:tr>
      <w:tr w:rsidR="00955A27" w:rsidRPr="001667DB" w14:paraId="1C0AC96C" w14:textId="77777777" w:rsidTr="001B4B8F">
        <w:tc>
          <w:tcPr>
            <w:tcW w:w="496" w:type="dxa"/>
          </w:tcPr>
          <w:p w14:paraId="0EDFDB4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414" w:type="dxa"/>
          </w:tcPr>
          <w:p w14:paraId="3CEC64D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w:t>
            </w:r>
          </w:p>
        </w:tc>
        <w:tc>
          <w:tcPr>
            <w:tcW w:w="2280" w:type="dxa"/>
            <w:shd w:val="clear" w:color="auto" w:fill="auto"/>
          </w:tcPr>
          <w:p w14:paraId="53E4BC4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c>
          <w:tcPr>
            <w:tcW w:w="2760" w:type="dxa"/>
            <w:shd w:val="clear" w:color="auto" w:fill="auto"/>
          </w:tcPr>
          <w:p w14:paraId="0918EB6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Wg [21]</w:t>
            </w:r>
          </w:p>
        </w:tc>
      </w:tr>
      <w:tr w:rsidR="00955A27" w:rsidRPr="001667DB" w14:paraId="6E95EE6D" w14:textId="77777777" w:rsidTr="001B4B8F">
        <w:tc>
          <w:tcPr>
            <w:tcW w:w="496" w:type="dxa"/>
          </w:tcPr>
          <w:p w14:paraId="64DDFE4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414" w:type="dxa"/>
          </w:tcPr>
          <w:p w14:paraId="33703BD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w:t>
            </w:r>
            <w:r w:rsidRPr="001667DB">
              <w:rPr>
                <w:rFonts w:ascii="Times New Roman" w:hAnsi="Times New Roman" w:cs="Times New Roman"/>
                <w:color w:val="000000" w:themeColor="text1"/>
                <w:vertAlign w:val="superscript"/>
              </w:rPr>
              <w:t>*)</w:t>
            </w:r>
          </w:p>
        </w:tc>
        <w:tc>
          <w:tcPr>
            <w:tcW w:w="2280" w:type="dxa"/>
            <w:shd w:val="clear" w:color="auto" w:fill="auto"/>
          </w:tcPr>
          <w:p w14:paraId="73B559D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Co 100 m</w:t>
            </w:r>
          </w:p>
        </w:tc>
        <w:tc>
          <w:tcPr>
            <w:tcW w:w="2760" w:type="dxa"/>
            <w:shd w:val="clear" w:color="auto" w:fill="auto"/>
          </w:tcPr>
          <w:p w14:paraId="0F453F3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Przesunięcie od osi projektowanej ± 5 cm</w:t>
            </w:r>
          </w:p>
        </w:tc>
      </w:tr>
      <w:tr w:rsidR="00955A27" w:rsidRPr="001667DB" w14:paraId="1BCA52AD" w14:textId="77777777" w:rsidTr="001B4B8F">
        <w:tc>
          <w:tcPr>
            <w:tcW w:w="496" w:type="dxa"/>
          </w:tcPr>
          <w:p w14:paraId="08E8AB36"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0FCE1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414" w:type="dxa"/>
          </w:tcPr>
          <w:p w14:paraId="605FFB64"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5D3C16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Grubość warstwy</w:t>
            </w:r>
          </w:p>
        </w:tc>
        <w:tc>
          <w:tcPr>
            <w:tcW w:w="2280" w:type="dxa"/>
            <w:shd w:val="clear" w:color="auto" w:fill="auto"/>
          </w:tcPr>
          <w:p w14:paraId="6534368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 3 punktach na działce roboczej, lecz nie rzadziej niż raz na 2000 m</w:t>
            </w:r>
            <w:r w:rsidRPr="001667DB">
              <w:rPr>
                <w:rFonts w:ascii="Times New Roman" w:hAnsi="Times New Roman" w:cs="Times New Roman"/>
                <w:color w:val="000000" w:themeColor="text1"/>
                <w:vertAlign w:val="superscript"/>
              </w:rPr>
              <w:t>2</w:t>
            </w:r>
          </w:p>
        </w:tc>
        <w:tc>
          <w:tcPr>
            <w:tcW w:w="2760" w:type="dxa"/>
            <w:shd w:val="clear" w:color="auto" w:fill="auto"/>
          </w:tcPr>
          <w:p w14:paraId="1F1D7D7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Różnice od grubości projektowanej ±10%           </w:t>
            </w:r>
          </w:p>
          <w:p w14:paraId="4963FC13"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bl>
    <w:p w14:paraId="3BD26E4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Dodatkowe pomiary spadków poprzecznych i ukształtowania osi w planie należy wykonać w punktach głównych łuków poziomych.</w:t>
      </w:r>
    </w:p>
    <w:p w14:paraId="12DE1CF9" w14:textId="77777777" w:rsidR="00955A27" w:rsidRPr="001667DB" w:rsidRDefault="00955A27" w:rsidP="00955A27">
      <w:pPr>
        <w:spacing w:after="120" w:line="360" w:lineRule="auto"/>
        <w:jc w:val="both"/>
        <w:rPr>
          <w:rFonts w:ascii="Times New Roman" w:hAnsi="Times New Roman" w:cs="Times New Roman"/>
          <w:color w:val="000000" w:themeColor="text1"/>
        </w:rPr>
      </w:pPr>
    </w:p>
    <w:p w14:paraId="6E0A3B3F"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7. OBMIAR ROBÓT</w:t>
      </w:r>
    </w:p>
    <w:p w14:paraId="198FC1F8"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7.1. Ogólne zasady obmiaru robót</w:t>
      </w:r>
    </w:p>
    <w:p w14:paraId="3B111818"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 pkt 7.</w:t>
      </w:r>
    </w:p>
    <w:p w14:paraId="19D611C2"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7.2. Jednostka obmiarowa</w:t>
      </w:r>
    </w:p>
    <w:p w14:paraId="44740C6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w:t>
      </w:r>
    </w:p>
    <w:p w14:paraId="330DA058"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8. ODBIÓR ROBÓT</w:t>
      </w:r>
    </w:p>
    <w:p w14:paraId="2CCD1547" w14:textId="77777777" w:rsidR="00955A27" w:rsidRPr="001667DB" w:rsidRDefault="00955A27" w:rsidP="00955A27">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odbioru robót podano w ST  D-00.00.00 „Wymagania ogólne” [1], pkt 8. </w:t>
      </w:r>
    </w:p>
    <w:p w14:paraId="52B61F4E"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punktu 6 dały wyniki pozytywne.</w:t>
      </w:r>
    </w:p>
    <w:p w14:paraId="2FDBDD5C"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9. PODSTAWA PŁATNOŚCI</w:t>
      </w:r>
    </w:p>
    <w:p w14:paraId="20C7ED16"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9.1. Ogólne ustalenia dotyczące podstawy płatności</w:t>
      </w:r>
    </w:p>
    <w:p w14:paraId="30DF3697"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[1], pkt 9.</w:t>
      </w:r>
    </w:p>
    <w:p w14:paraId="7E3E1146" w14:textId="77777777" w:rsidR="00955A27" w:rsidRPr="001667DB" w:rsidRDefault="00955A27" w:rsidP="00955A27">
      <w:pPr>
        <w:pStyle w:val="Nagwek2"/>
        <w:numPr>
          <w:ilvl w:val="12"/>
          <w:numId w:val="0"/>
        </w:numPr>
        <w:spacing w:before="0" w:line="360" w:lineRule="auto"/>
        <w:jc w:val="both"/>
        <w:rPr>
          <w:i/>
          <w:color w:val="000000" w:themeColor="text1"/>
          <w:sz w:val="22"/>
          <w:szCs w:val="22"/>
        </w:rPr>
      </w:pPr>
      <w:r w:rsidRPr="001667DB">
        <w:rPr>
          <w:i/>
          <w:color w:val="000000" w:themeColor="text1"/>
          <w:sz w:val="22"/>
          <w:szCs w:val="22"/>
        </w:rPr>
        <w:t>9.2. Cena jednostki obmiarowej</w:t>
      </w:r>
    </w:p>
    <w:p w14:paraId="2E29A324" w14:textId="77777777" w:rsidR="00955A27" w:rsidRPr="001667DB" w:rsidRDefault="00955A27" w:rsidP="00955A27">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jednostki obmiarowej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obejmuje:</w:t>
      </w:r>
    </w:p>
    <w:p w14:paraId="0E646789"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3CE4A2E0"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oznakowanie robót,</w:t>
      </w:r>
    </w:p>
    <w:p w14:paraId="2A493661"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55B7FA42"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przygotowanie mieszanki z kruszywa, zgodnie z receptą,</w:t>
      </w:r>
    </w:p>
    <w:p w14:paraId="0E0899B6"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mieszanki na miejsce wbudowania,</w:t>
      </w:r>
    </w:p>
    <w:p w14:paraId="7AFD8586"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rozłożenie mieszanki,</w:t>
      </w:r>
    </w:p>
    <w:p w14:paraId="6AF85E89"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zagęszczenie mieszanki,</w:t>
      </w:r>
    </w:p>
    <w:p w14:paraId="554FAD85"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utrzymanie warstwy w czasie robót, ew. impregnacja warstwy,</w:t>
      </w:r>
    </w:p>
    <w:p w14:paraId="6CC0BBFA"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przeprowadzenie wymaganych  pomiarów i badań,</w:t>
      </w:r>
    </w:p>
    <w:p w14:paraId="38F85EE8"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 robót i jego otoczenia,</w:t>
      </w:r>
    </w:p>
    <w:p w14:paraId="2B5DB224"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4487C9F9"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b/>
          <w:color w:val="000000" w:themeColor="text1"/>
        </w:rPr>
      </w:pPr>
      <w:r w:rsidRPr="001667DB">
        <w:rPr>
          <w:rFonts w:ascii="Times New Roman" w:hAnsi="Times New Roman" w:cs="Times New Roman"/>
          <w:color w:val="000000" w:themeColor="text1"/>
        </w:rPr>
        <w:t>odwiezienie sprzętu.</w:t>
      </w:r>
    </w:p>
    <w:p w14:paraId="285C2675" w14:textId="77777777" w:rsidR="00955A27" w:rsidRPr="001667DB" w:rsidRDefault="00955A27" w:rsidP="00955A27">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Wszystkie roboty powinny być wykonane według wymagań dokumentacji projektowej, ST, specyfikacji technicznej i postanowień Inżyniera.</w:t>
      </w:r>
    </w:p>
    <w:p w14:paraId="723C178A"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9.3. Sposób rozliczenia robót tymczasowych i prac towarzyszących</w:t>
      </w:r>
    </w:p>
    <w:p w14:paraId="065FFC7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2B64903C"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4BFE1A13"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6E3B214B" w14:textId="77777777" w:rsidR="00955A27" w:rsidRPr="001667DB" w:rsidRDefault="00955A27" w:rsidP="00955A27">
      <w:pPr>
        <w:overflowPunct w:val="0"/>
        <w:autoSpaceDE w:val="0"/>
        <w:autoSpaceDN w:val="0"/>
        <w:adjustRightInd w:val="0"/>
        <w:spacing w:after="120" w:line="360" w:lineRule="auto"/>
        <w:ind w:left="283"/>
        <w:jc w:val="both"/>
        <w:textAlignment w:val="baseline"/>
        <w:rPr>
          <w:rFonts w:ascii="Times New Roman" w:hAnsi="Times New Roman" w:cs="Times New Roman"/>
          <w:color w:val="000000" w:themeColor="text1"/>
        </w:rPr>
      </w:pPr>
    </w:p>
    <w:p w14:paraId="6D7924A4" w14:textId="77777777" w:rsidR="00955A27" w:rsidRPr="001667DB" w:rsidRDefault="00955A27"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color w:val="000000" w:themeColor="text1"/>
          <w:sz w:val="22"/>
          <w:szCs w:val="22"/>
        </w:rPr>
      </w:pPr>
      <w:r w:rsidRPr="001667DB">
        <w:rPr>
          <w:color w:val="000000" w:themeColor="text1"/>
          <w:sz w:val="22"/>
          <w:szCs w:val="22"/>
        </w:rPr>
        <w:t>10. PRZEPISY ZWIĄZANE</w:t>
      </w:r>
    </w:p>
    <w:p w14:paraId="5B7FA515"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Ogólne specyfikacje techniczne (ST)</w:t>
      </w:r>
    </w:p>
    <w:tbl>
      <w:tblPr>
        <w:tblW w:w="9202" w:type="dxa"/>
        <w:tblLayout w:type="fixed"/>
        <w:tblCellMar>
          <w:left w:w="70" w:type="dxa"/>
          <w:right w:w="70" w:type="dxa"/>
        </w:tblCellMar>
        <w:tblLook w:val="0000" w:firstRow="0" w:lastRow="0" w:firstColumn="0" w:lastColumn="0" w:noHBand="0" w:noVBand="0"/>
      </w:tblPr>
      <w:tblGrid>
        <w:gridCol w:w="637"/>
        <w:gridCol w:w="2073"/>
        <w:gridCol w:w="6492"/>
      </w:tblGrid>
      <w:tr w:rsidR="00955A27" w:rsidRPr="001667DB" w14:paraId="61BBC7E6" w14:textId="77777777" w:rsidTr="001B4B8F">
        <w:tc>
          <w:tcPr>
            <w:tcW w:w="637" w:type="dxa"/>
          </w:tcPr>
          <w:p w14:paraId="4AECFA0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073" w:type="dxa"/>
          </w:tcPr>
          <w:p w14:paraId="0041ECB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D-M-00.00.00</w:t>
            </w:r>
          </w:p>
        </w:tc>
        <w:tc>
          <w:tcPr>
            <w:tcW w:w="6492" w:type="dxa"/>
          </w:tcPr>
          <w:p w14:paraId="7C22E51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r w:rsidR="00955A27" w:rsidRPr="001667DB" w14:paraId="12AD4C15" w14:textId="77777777" w:rsidTr="001B4B8F">
        <w:tc>
          <w:tcPr>
            <w:tcW w:w="637" w:type="dxa"/>
          </w:tcPr>
          <w:p w14:paraId="7BF0A64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073" w:type="dxa"/>
          </w:tcPr>
          <w:p w14:paraId="5A280F4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D-01.00.00</w:t>
            </w:r>
          </w:p>
        </w:tc>
        <w:tc>
          <w:tcPr>
            <w:tcW w:w="6492" w:type="dxa"/>
          </w:tcPr>
          <w:p w14:paraId="4DDF82E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tc>
      </w:tr>
      <w:tr w:rsidR="00955A27" w:rsidRPr="001667DB" w14:paraId="6951DC5A" w14:textId="77777777" w:rsidTr="001B4B8F">
        <w:tc>
          <w:tcPr>
            <w:tcW w:w="637" w:type="dxa"/>
          </w:tcPr>
          <w:p w14:paraId="1D4C80A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2073" w:type="dxa"/>
          </w:tcPr>
          <w:p w14:paraId="1AF00A9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D-02.00.00</w:t>
            </w:r>
          </w:p>
        </w:tc>
        <w:tc>
          <w:tcPr>
            <w:tcW w:w="6492" w:type="dxa"/>
          </w:tcPr>
          <w:p w14:paraId="05D2213D"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ziemne</w:t>
            </w:r>
          </w:p>
        </w:tc>
      </w:tr>
      <w:tr w:rsidR="00955A27" w:rsidRPr="001667DB" w14:paraId="01346F46" w14:textId="77777777" w:rsidTr="001B4B8F">
        <w:tc>
          <w:tcPr>
            <w:tcW w:w="637" w:type="dxa"/>
          </w:tcPr>
          <w:p w14:paraId="047F559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073" w:type="dxa"/>
          </w:tcPr>
          <w:p w14:paraId="2402729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D-04.04.02a</w:t>
            </w:r>
          </w:p>
        </w:tc>
        <w:tc>
          <w:tcPr>
            <w:tcW w:w="6492" w:type="dxa"/>
          </w:tcPr>
          <w:p w14:paraId="0CF2FFA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Podbudowa pomocnicza z mieszanki kruszywa niezwiązanego</w:t>
            </w:r>
          </w:p>
          <w:p w14:paraId="614723C7" w14:textId="77777777" w:rsidR="00955A27" w:rsidRPr="001667DB" w:rsidRDefault="00955A27" w:rsidP="00955A27">
            <w:pPr>
              <w:spacing w:after="120" w:line="360" w:lineRule="auto"/>
              <w:jc w:val="both"/>
              <w:rPr>
                <w:rFonts w:ascii="Times New Roman" w:hAnsi="Times New Roman" w:cs="Times New Roman"/>
                <w:color w:val="000000" w:themeColor="text1"/>
              </w:rPr>
            </w:pPr>
          </w:p>
        </w:tc>
      </w:tr>
    </w:tbl>
    <w:p w14:paraId="539D8C12"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lastRenderedPageBreak/>
        <w:t>Normy</w:t>
      </w:r>
    </w:p>
    <w:tbl>
      <w:tblPr>
        <w:tblW w:w="9228" w:type="dxa"/>
        <w:tblLook w:val="01E0" w:firstRow="1" w:lastRow="1" w:firstColumn="1" w:lastColumn="1" w:noHBand="0" w:noVBand="0"/>
      </w:tblPr>
      <w:tblGrid>
        <w:gridCol w:w="675"/>
        <w:gridCol w:w="2073"/>
        <w:gridCol w:w="6480"/>
      </w:tblGrid>
      <w:tr w:rsidR="00955A27" w:rsidRPr="001667DB" w14:paraId="2F905399" w14:textId="77777777" w:rsidTr="001B4B8F">
        <w:tc>
          <w:tcPr>
            <w:tcW w:w="675" w:type="dxa"/>
          </w:tcPr>
          <w:p w14:paraId="5E137EDB"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073" w:type="dxa"/>
          </w:tcPr>
          <w:p w14:paraId="2CF6879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933-1</w:t>
            </w:r>
          </w:p>
        </w:tc>
        <w:tc>
          <w:tcPr>
            <w:tcW w:w="6480" w:type="dxa"/>
          </w:tcPr>
          <w:p w14:paraId="08BC017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składu ziarnowego – Metoda przesiewania</w:t>
            </w:r>
          </w:p>
        </w:tc>
      </w:tr>
      <w:tr w:rsidR="00955A27" w:rsidRPr="001667DB" w14:paraId="4E0328ED" w14:textId="77777777" w:rsidTr="001B4B8F">
        <w:tc>
          <w:tcPr>
            <w:tcW w:w="675" w:type="dxa"/>
          </w:tcPr>
          <w:p w14:paraId="4EE3DE9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073" w:type="dxa"/>
          </w:tcPr>
          <w:p w14:paraId="16DFF23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933-3</w:t>
            </w:r>
          </w:p>
        </w:tc>
        <w:tc>
          <w:tcPr>
            <w:tcW w:w="6480" w:type="dxa"/>
          </w:tcPr>
          <w:p w14:paraId="285B34B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kształtu ziaren za pomocą wskaźnika płaskości</w:t>
            </w:r>
          </w:p>
        </w:tc>
      </w:tr>
      <w:tr w:rsidR="00955A27" w:rsidRPr="001667DB" w14:paraId="4D4A897D" w14:textId="77777777" w:rsidTr="001B4B8F">
        <w:tc>
          <w:tcPr>
            <w:tcW w:w="675" w:type="dxa"/>
          </w:tcPr>
          <w:p w14:paraId="6A45E60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073" w:type="dxa"/>
          </w:tcPr>
          <w:p w14:paraId="1695D9B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933-4</w:t>
            </w:r>
          </w:p>
        </w:tc>
        <w:tc>
          <w:tcPr>
            <w:tcW w:w="6480" w:type="dxa"/>
          </w:tcPr>
          <w:p w14:paraId="0DCEB03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kształtu ziaren – Wskaźnik kształtu</w:t>
            </w:r>
          </w:p>
        </w:tc>
      </w:tr>
      <w:tr w:rsidR="00955A27" w:rsidRPr="001667DB" w14:paraId="56B0C704" w14:textId="77777777" w:rsidTr="001B4B8F">
        <w:tc>
          <w:tcPr>
            <w:tcW w:w="675" w:type="dxa"/>
          </w:tcPr>
          <w:p w14:paraId="3F896F01"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073" w:type="dxa"/>
          </w:tcPr>
          <w:p w14:paraId="1674571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933-5</w:t>
            </w:r>
          </w:p>
        </w:tc>
        <w:tc>
          <w:tcPr>
            <w:tcW w:w="6480" w:type="dxa"/>
          </w:tcPr>
          <w:p w14:paraId="083E3CD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procentowej zawartości ziarn o powierzchniach powstałych w wyniku przekruszenia lub łamania kruszyw grubych</w:t>
            </w:r>
          </w:p>
        </w:tc>
      </w:tr>
      <w:tr w:rsidR="00955A27" w:rsidRPr="001667DB" w14:paraId="0B047082" w14:textId="77777777" w:rsidTr="001B4B8F">
        <w:tc>
          <w:tcPr>
            <w:tcW w:w="675" w:type="dxa"/>
          </w:tcPr>
          <w:p w14:paraId="56CFC62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073" w:type="dxa"/>
          </w:tcPr>
          <w:p w14:paraId="7BF1E75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1097-1</w:t>
            </w:r>
          </w:p>
        </w:tc>
        <w:tc>
          <w:tcPr>
            <w:tcW w:w="6480" w:type="dxa"/>
          </w:tcPr>
          <w:p w14:paraId="0A44C34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Oznaczanie odporności na ścieranie (mikro-Deval)</w:t>
            </w:r>
          </w:p>
        </w:tc>
      </w:tr>
      <w:tr w:rsidR="00955A27" w:rsidRPr="001667DB" w14:paraId="13E38A3A" w14:textId="77777777" w:rsidTr="001B4B8F">
        <w:tc>
          <w:tcPr>
            <w:tcW w:w="675" w:type="dxa"/>
          </w:tcPr>
          <w:p w14:paraId="445CEC6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2073" w:type="dxa"/>
          </w:tcPr>
          <w:p w14:paraId="3BE6796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1097-2</w:t>
            </w:r>
          </w:p>
        </w:tc>
        <w:tc>
          <w:tcPr>
            <w:tcW w:w="6480" w:type="dxa"/>
          </w:tcPr>
          <w:p w14:paraId="13CBFE3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Metody oznaczania odporności na rozdrabnianie</w:t>
            </w:r>
          </w:p>
        </w:tc>
      </w:tr>
      <w:tr w:rsidR="00955A27" w:rsidRPr="001667DB" w14:paraId="747C9B19" w14:textId="77777777" w:rsidTr="001B4B8F">
        <w:tc>
          <w:tcPr>
            <w:tcW w:w="675" w:type="dxa"/>
          </w:tcPr>
          <w:p w14:paraId="1B3A802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073" w:type="dxa"/>
          </w:tcPr>
          <w:p w14:paraId="2E54258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1097-6</w:t>
            </w:r>
          </w:p>
        </w:tc>
        <w:tc>
          <w:tcPr>
            <w:tcW w:w="6480" w:type="dxa"/>
          </w:tcPr>
          <w:p w14:paraId="6D30641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6: Oznaczanie gęstości ziarn i nasiąkliwości</w:t>
            </w:r>
          </w:p>
        </w:tc>
      </w:tr>
      <w:tr w:rsidR="00955A27" w:rsidRPr="001667DB" w14:paraId="5CA39A64" w14:textId="77777777" w:rsidTr="001B4B8F">
        <w:tc>
          <w:tcPr>
            <w:tcW w:w="675" w:type="dxa"/>
          </w:tcPr>
          <w:p w14:paraId="6B56F8B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073" w:type="dxa"/>
          </w:tcPr>
          <w:p w14:paraId="028FFD8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1367-1</w:t>
            </w:r>
          </w:p>
        </w:tc>
        <w:tc>
          <w:tcPr>
            <w:tcW w:w="6480" w:type="dxa"/>
          </w:tcPr>
          <w:p w14:paraId="68FD689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1: Oznaczanie mrozoodporności</w:t>
            </w:r>
          </w:p>
        </w:tc>
      </w:tr>
      <w:tr w:rsidR="00955A27" w:rsidRPr="001667DB" w14:paraId="215987DA" w14:textId="77777777" w:rsidTr="001B4B8F">
        <w:tc>
          <w:tcPr>
            <w:tcW w:w="675" w:type="dxa"/>
          </w:tcPr>
          <w:p w14:paraId="0B66DE2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2073" w:type="dxa"/>
          </w:tcPr>
          <w:p w14:paraId="0464256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1367-3</w:t>
            </w:r>
          </w:p>
        </w:tc>
        <w:tc>
          <w:tcPr>
            <w:tcW w:w="6480" w:type="dxa"/>
          </w:tcPr>
          <w:p w14:paraId="10FBA79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3: Badanie bazaltowej zgorzeli słonecznej metodą gotowania</w:t>
            </w:r>
          </w:p>
        </w:tc>
      </w:tr>
      <w:tr w:rsidR="00955A27" w:rsidRPr="001667DB" w14:paraId="6294DF67" w14:textId="77777777" w:rsidTr="001B4B8F">
        <w:tc>
          <w:tcPr>
            <w:tcW w:w="675" w:type="dxa"/>
          </w:tcPr>
          <w:p w14:paraId="02BD85EC"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2073" w:type="dxa"/>
          </w:tcPr>
          <w:p w14:paraId="3BC76C6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1744-1</w:t>
            </w:r>
          </w:p>
        </w:tc>
        <w:tc>
          <w:tcPr>
            <w:tcW w:w="6480" w:type="dxa"/>
          </w:tcPr>
          <w:p w14:paraId="6C9671B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Analiza chemiczna</w:t>
            </w:r>
          </w:p>
        </w:tc>
      </w:tr>
      <w:tr w:rsidR="00955A27" w:rsidRPr="001667DB" w14:paraId="660DDACE" w14:textId="77777777" w:rsidTr="001B4B8F">
        <w:tc>
          <w:tcPr>
            <w:tcW w:w="675" w:type="dxa"/>
          </w:tcPr>
          <w:p w14:paraId="044B6A8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2073" w:type="dxa"/>
          </w:tcPr>
          <w:p w14:paraId="5C429D6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1744-3</w:t>
            </w:r>
          </w:p>
        </w:tc>
        <w:tc>
          <w:tcPr>
            <w:tcW w:w="6480" w:type="dxa"/>
          </w:tcPr>
          <w:p w14:paraId="029D4287"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Część 3: Przygotowanie wyciągów przez wymywanie kruszyw</w:t>
            </w:r>
          </w:p>
        </w:tc>
      </w:tr>
      <w:tr w:rsidR="00955A27" w:rsidRPr="001667DB" w14:paraId="56D3AE30" w14:textId="77777777" w:rsidTr="001B4B8F">
        <w:tc>
          <w:tcPr>
            <w:tcW w:w="675" w:type="dxa"/>
          </w:tcPr>
          <w:p w14:paraId="3C8FFFA8"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2073" w:type="dxa"/>
          </w:tcPr>
          <w:p w14:paraId="7B4FB34F"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13242</w:t>
            </w:r>
          </w:p>
        </w:tc>
        <w:tc>
          <w:tcPr>
            <w:tcW w:w="6480" w:type="dxa"/>
          </w:tcPr>
          <w:p w14:paraId="3B9ED164"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do niezwiązanych i związanych hydraulicznie materiałów stosowanych w obiektach budowlanych i budownictwie drogowym</w:t>
            </w:r>
          </w:p>
        </w:tc>
      </w:tr>
      <w:tr w:rsidR="00955A27" w:rsidRPr="001667DB" w14:paraId="79B1627B" w14:textId="77777777" w:rsidTr="001B4B8F">
        <w:tc>
          <w:tcPr>
            <w:tcW w:w="675" w:type="dxa"/>
          </w:tcPr>
          <w:p w14:paraId="11CE3E82"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2073" w:type="dxa"/>
          </w:tcPr>
          <w:p w14:paraId="3040B740"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13285</w:t>
            </w:r>
          </w:p>
        </w:tc>
        <w:tc>
          <w:tcPr>
            <w:tcW w:w="6480" w:type="dxa"/>
          </w:tcPr>
          <w:p w14:paraId="3DC2EAAA"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Mieszanki niezwiązane – Wymagania </w:t>
            </w:r>
          </w:p>
        </w:tc>
      </w:tr>
      <w:tr w:rsidR="00955A27" w:rsidRPr="001667DB" w14:paraId="7BC946DA" w14:textId="77777777" w:rsidTr="001B4B8F">
        <w:tc>
          <w:tcPr>
            <w:tcW w:w="675" w:type="dxa"/>
          </w:tcPr>
          <w:p w14:paraId="251C0A03"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2073" w:type="dxa"/>
          </w:tcPr>
          <w:p w14:paraId="3FB8DC59"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13286-2</w:t>
            </w:r>
          </w:p>
        </w:tc>
        <w:tc>
          <w:tcPr>
            <w:tcW w:w="6480" w:type="dxa"/>
          </w:tcPr>
          <w:p w14:paraId="31EA1235"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i związane spoiwem hydraulicznym – Część 2: Metody określania gęstości i zawartości wody – Zagęszczanie metodą Proctora</w:t>
            </w:r>
          </w:p>
        </w:tc>
      </w:tr>
      <w:tr w:rsidR="00955A27" w:rsidRPr="001667DB" w14:paraId="3492770E" w14:textId="77777777" w:rsidTr="001B4B8F">
        <w:tc>
          <w:tcPr>
            <w:tcW w:w="675" w:type="dxa"/>
          </w:tcPr>
          <w:p w14:paraId="73B023F6"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19.</w:t>
            </w:r>
          </w:p>
        </w:tc>
        <w:tc>
          <w:tcPr>
            <w:tcW w:w="2073" w:type="dxa"/>
          </w:tcPr>
          <w:p w14:paraId="47607D7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13286-47</w:t>
            </w:r>
          </w:p>
        </w:tc>
        <w:tc>
          <w:tcPr>
            <w:tcW w:w="6480" w:type="dxa"/>
          </w:tcPr>
          <w:p w14:paraId="5BBB1E9E" w14:textId="77777777" w:rsidR="00955A27" w:rsidRPr="001667DB" w:rsidRDefault="00955A27" w:rsidP="00955A27">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i związane spoiwem hydraulicznym – Część 47: Metody badań dla określenia nośności, kalifornijski wskaźnik nośności CBR, natychmiastowy wskaźnik nośności i pęcznienia liniowego</w:t>
            </w:r>
          </w:p>
        </w:tc>
      </w:tr>
    </w:tbl>
    <w:p w14:paraId="71EE1DE3" w14:textId="77777777" w:rsidR="00955A27" w:rsidRPr="001667DB" w:rsidRDefault="00955A27"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line="360" w:lineRule="auto"/>
        <w:jc w:val="both"/>
        <w:rPr>
          <w:i/>
          <w:color w:val="000000" w:themeColor="text1"/>
          <w:sz w:val="22"/>
          <w:szCs w:val="22"/>
        </w:rPr>
      </w:pPr>
      <w:r w:rsidRPr="001667DB">
        <w:rPr>
          <w:i/>
          <w:color w:val="000000" w:themeColor="text1"/>
          <w:sz w:val="22"/>
          <w:szCs w:val="22"/>
        </w:rPr>
        <w:t>Inne dokumenty</w:t>
      </w:r>
    </w:p>
    <w:p w14:paraId="56FD8A72" w14:textId="77777777" w:rsidR="00955A27" w:rsidRPr="001667DB" w:rsidRDefault="00955A27" w:rsidP="00904E6C">
      <w:pPr>
        <w:numPr>
          <w:ilvl w:val="0"/>
          <w:numId w:val="10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Mieszanki niezwiązane do dróg krajowych. WT-4 2010. Wymagania techniczne (zalecone do stosowania w specyfikacji technicznej na roboty budowlane na drogach krajowych wg zarządzenia nr 102 GDDKiA z dnia 19.11.2010 r.)</w:t>
      </w:r>
    </w:p>
    <w:p w14:paraId="57B5105A" w14:textId="77777777" w:rsidR="00955A27" w:rsidRPr="001667DB" w:rsidRDefault="00955A27" w:rsidP="00904E6C">
      <w:pPr>
        <w:numPr>
          <w:ilvl w:val="0"/>
          <w:numId w:val="10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Transportu i Gospodarki Morskiej z dnia 2 marca 1999 r. w sprawie warunków technicznych, jakim powinny odpowiadać drogi publiczne i ich usytuowanie (Dz.U. nr 43, poz. 430)</w:t>
      </w:r>
    </w:p>
    <w:p w14:paraId="58413DD6" w14:textId="77777777" w:rsidR="00955A27" w:rsidRPr="001667DB" w:rsidRDefault="00955A27" w:rsidP="00904E6C">
      <w:pPr>
        <w:numPr>
          <w:ilvl w:val="0"/>
          <w:numId w:val="10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Katalog typowych konstrukcji nawierzchni podatnych i półsztywnych. Generalna Dyrekcja Dróg Publicznych – Instytut Badawczy Dróg i Mostów, Warszawa 1997</w:t>
      </w:r>
    </w:p>
    <w:p w14:paraId="59EE1F38" w14:textId="77777777" w:rsidR="00955A27" w:rsidRPr="00326BBF" w:rsidRDefault="00955A27" w:rsidP="00955A27">
      <w:pPr>
        <w:pStyle w:val="Nagwek1"/>
        <w:spacing w:before="0" w:line="360" w:lineRule="auto"/>
        <w:jc w:val="both"/>
        <w:rPr>
          <w:color w:val="000000" w:themeColor="text1"/>
          <w:sz w:val="22"/>
          <w:szCs w:val="22"/>
          <w:lang w:val="pl-PL"/>
        </w:rPr>
      </w:pPr>
    </w:p>
    <w:p w14:paraId="1F309770" w14:textId="77777777" w:rsidR="008336F6" w:rsidRPr="00326BBF" w:rsidRDefault="008336F6" w:rsidP="008336F6">
      <w:pPr>
        <w:rPr>
          <w:rFonts w:ascii="Times New Roman" w:hAnsi="Times New Roman" w:cs="Times New Roman"/>
          <w:color w:val="000000" w:themeColor="text1"/>
          <w:lang w:eastAsia="pl-PL"/>
        </w:rPr>
      </w:pPr>
    </w:p>
    <w:p w14:paraId="262E7357" w14:textId="77777777" w:rsidR="002D77F5" w:rsidRPr="00326BBF" w:rsidRDefault="002D77F5">
      <w:pPr>
        <w:rPr>
          <w:rFonts w:ascii="Times New Roman" w:hAnsi="Times New Roman" w:cs="Times New Roman"/>
          <w:color w:val="000000" w:themeColor="text1"/>
          <w:lang w:eastAsia="pl-PL"/>
        </w:rPr>
      </w:pPr>
      <w:r w:rsidRPr="00326BBF">
        <w:rPr>
          <w:rFonts w:ascii="Times New Roman" w:hAnsi="Times New Roman" w:cs="Times New Roman"/>
          <w:color w:val="000000" w:themeColor="text1"/>
          <w:lang w:eastAsia="pl-PL"/>
        </w:rPr>
        <w:br w:type="page"/>
      </w:r>
    </w:p>
    <w:p w14:paraId="5F0B874D" w14:textId="77777777" w:rsidR="008336F6" w:rsidRPr="00882724" w:rsidRDefault="008336F6" w:rsidP="00955A27">
      <w:pPr>
        <w:spacing w:after="120" w:line="360" w:lineRule="auto"/>
        <w:rPr>
          <w:rFonts w:ascii="Times New Roman" w:hAnsi="Times New Roman" w:cs="Times New Roman"/>
          <w:color w:val="FF0000"/>
          <w:lang w:val="en-US"/>
        </w:rPr>
      </w:pPr>
    </w:p>
    <w:p w14:paraId="585285BD" w14:textId="77777777" w:rsidR="008336F6" w:rsidRPr="001667DB" w:rsidRDefault="008336F6">
      <w:pP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br w:type="page"/>
      </w:r>
    </w:p>
    <w:p w14:paraId="70E18BA8" w14:textId="77777777" w:rsidR="00955A27" w:rsidRPr="00326BBF" w:rsidRDefault="00955A27" w:rsidP="00955A27">
      <w:pPr>
        <w:pStyle w:val="Nagwek1"/>
        <w:spacing w:line="360" w:lineRule="auto"/>
        <w:ind w:left="1843" w:hanging="1985"/>
        <w:rPr>
          <w:color w:val="000000" w:themeColor="text1"/>
          <w:sz w:val="22"/>
          <w:szCs w:val="22"/>
          <w:lang w:val="pl-PL"/>
        </w:rPr>
      </w:pPr>
      <w:r w:rsidRPr="00326BBF">
        <w:rPr>
          <w:color w:val="000000" w:themeColor="text1"/>
          <w:sz w:val="22"/>
          <w:szCs w:val="22"/>
          <w:lang w:val="pl-PL"/>
        </w:rPr>
        <w:lastRenderedPageBreak/>
        <w:t>D.04.05.00.</w:t>
      </w:r>
      <w:r w:rsidRPr="00326BBF">
        <w:rPr>
          <w:color w:val="000000" w:themeColor="text1"/>
          <w:sz w:val="22"/>
          <w:szCs w:val="22"/>
          <w:lang w:val="pl-PL"/>
        </w:rPr>
        <w:tab/>
        <w:t>WARSTWA ULEPSZONEGO PODŁOŻA Z GRUNTU STABILIZOWANEGO SPOIWEM HYDRAULICZNYM</w:t>
      </w:r>
    </w:p>
    <w:p w14:paraId="17B7B0BB" w14:textId="77777777" w:rsidR="00955A27" w:rsidRPr="00326BBF" w:rsidRDefault="00955A27" w:rsidP="00955A27">
      <w:pPr>
        <w:pStyle w:val="Nagwek1"/>
        <w:tabs>
          <w:tab w:val="center" w:pos="960"/>
        </w:tabs>
        <w:spacing w:line="360" w:lineRule="auto"/>
        <w:ind w:left="-15"/>
        <w:rPr>
          <w:color w:val="000000" w:themeColor="text1"/>
          <w:sz w:val="22"/>
          <w:szCs w:val="22"/>
          <w:lang w:val="pl-PL"/>
        </w:rPr>
      </w:pPr>
      <w:bookmarkStart w:id="365" w:name="_Toc33254"/>
      <w:r w:rsidRPr="00326BBF">
        <w:rPr>
          <w:color w:val="000000" w:themeColor="text1"/>
          <w:sz w:val="22"/>
          <w:szCs w:val="22"/>
          <w:lang w:val="pl-PL"/>
        </w:rPr>
        <w:t>1.</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WSTĘP </w:t>
      </w:r>
      <w:bookmarkEnd w:id="365"/>
    </w:p>
    <w:p w14:paraId="7D03C3C8" w14:textId="77777777" w:rsidR="00955A27" w:rsidRPr="001667DB" w:rsidRDefault="00955A27" w:rsidP="00955A27">
      <w:pPr>
        <w:pStyle w:val="Nagwek2"/>
        <w:spacing w:line="360" w:lineRule="auto"/>
        <w:ind w:left="-5"/>
        <w:rPr>
          <w:color w:val="000000" w:themeColor="text1"/>
          <w:sz w:val="22"/>
          <w:szCs w:val="22"/>
        </w:rPr>
      </w:pPr>
      <w:bookmarkStart w:id="366" w:name="_Toc33256"/>
      <w:r w:rsidRPr="001667DB">
        <w:rPr>
          <w:color w:val="000000" w:themeColor="text1"/>
          <w:sz w:val="22"/>
          <w:szCs w:val="22"/>
        </w:rPr>
        <w:t>1.1.</w:t>
      </w:r>
      <w:r w:rsidRPr="001667DB">
        <w:rPr>
          <w:rFonts w:eastAsia="Arial"/>
          <w:color w:val="000000" w:themeColor="text1"/>
          <w:sz w:val="22"/>
          <w:szCs w:val="22"/>
        </w:rPr>
        <w:t xml:space="preserve"> </w:t>
      </w:r>
      <w:r w:rsidRPr="001667DB">
        <w:rPr>
          <w:color w:val="000000" w:themeColor="text1"/>
          <w:sz w:val="22"/>
          <w:szCs w:val="22"/>
        </w:rPr>
        <w:t xml:space="preserve">Przedmiot ST </w:t>
      </w:r>
      <w:bookmarkEnd w:id="366"/>
    </w:p>
    <w:p w14:paraId="147AC54C" w14:textId="77777777" w:rsidR="00955A27" w:rsidRPr="001667DB" w:rsidRDefault="00955A27" w:rsidP="00C73A21">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Przedmiotem niniejszych Warunków Wykonania i Odbioru Robót Budowlanych (ST) są wymagania dotyczące wykonania i odbioru robót związanych z wykonaniem warstwy ulepszonego podłoża z gruntu stabilizowanego spoiwem hydraulicznym lub wapnem w ramach realizacji zadania: </w:t>
      </w:r>
      <w:r w:rsidR="00882724" w:rsidRPr="00FD3B41">
        <w:rPr>
          <w:rFonts w:ascii="Times New Roman" w:hAnsi="Times New Roman" w:cs="Times New Roman"/>
          <w:b/>
          <w:color w:val="000000" w:themeColor="text1"/>
        </w:rPr>
        <w:t>„Rozbudowa drogi wojewódzkiej nr 461 w m. Dąbrówka Łubniańska i Łubniany” – Etap I ( km od 9+741,88 do 10+371,13)</w:t>
      </w:r>
    </w:p>
    <w:p w14:paraId="44EFAEFB" w14:textId="77777777" w:rsidR="00955A27" w:rsidRPr="001667DB" w:rsidRDefault="00955A27" w:rsidP="00955A27">
      <w:pPr>
        <w:spacing w:after="120" w:line="360" w:lineRule="auto"/>
        <w:ind w:left="-5"/>
        <w:rPr>
          <w:rFonts w:ascii="Times New Roman" w:hAnsi="Times New Roman" w:cs="Times New Roman"/>
          <w:color w:val="000000" w:themeColor="text1"/>
        </w:rPr>
      </w:pPr>
    </w:p>
    <w:p w14:paraId="3A1899C4" w14:textId="77777777" w:rsidR="00955A27" w:rsidRPr="001667DB" w:rsidRDefault="00955A27" w:rsidP="00955A27">
      <w:pPr>
        <w:pStyle w:val="Nagwek2"/>
        <w:spacing w:line="360" w:lineRule="auto"/>
        <w:ind w:left="-5"/>
        <w:rPr>
          <w:color w:val="000000" w:themeColor="text1"/>
          <w:sz w:val="22"/>
          <w:szCs w:val="22"/>
        </w:rPr>
      </w:pPr>
      <w:bookmarkStart w:id="367" w:name="_Toc33257"/>
      <w:r w:rsidRPr="001667DB">
        <w:rPr>
          <w:color w:val="000000" w:themeColor="text1"/>
          <w:sz w:val="22"/>
          <w:szCs w:val="22"/>
        </w:rPr>
        <w:t>1.2.</w:t>
      </w:r>
      <w:r w:rsidRPr="001667DB">
        <w:rPr>
          <w:rFonts w:eastAsia="Arial"/>
          <w:color w:val="000000" w:themeColor="text1"/>
          <w:sz w:val="22"/>
          <w:szCs w:val="22"/>
        </w:rPr>
        <w:t xml:space="preserve"> </w:t>
      </w:r>
      <w:r w:rsidRPr="001667DB">
        <w:rPr>
          <w:color w:val="000000" w:themeColor="text1"/>
          <w:sz w:val="22"/>
          <w:szCs w:val="22"/>
        </w:rPr>
        <w:t xml:space="preserve">Zakres stosowania ST </w:t>
      </w:r>
      <w:bookmarkEnd w:id="367"/>
    </w:p>
    <w:p w14:paraId="5CCFD21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 są stosowane jako dokument przetargowy i kontraktowy przy zlecaniu i realizacji robót na drogach krajowych. ST stanowią podstawę opracowania Specyfikacji Technicznych Wykonania i Odbioru Robót Budowlanych (STWiORB). </w:t>
      </w:r>
    </w:p>
    <w:p w14:paraId="2BBB86B0" w14:textId="77777777" w:rsidR="00955A27" w:rsidRPr="001667DB" w:rsidRDefault="00955A27" w:rsidP="00904E6C">
      <w:pPr>
        <w:pStyle w:val="Akapitzlist"/>
        <w:numPr>
          <w:ilvl w:val="0"/>
          <w:numId w:val="119"/>
        </w:numPr>
        <w:tabs>
          <w:tab w:val="left" w:pos="426"/>
        </w:tabs>
        <w:overflowPunct/>
        <w:autoSpaceDE/>
        <w:autoSpaceDN/>
        <w:adjustRightInd/>
        <w:spacing w:after="120" w:line="360" w:lineRule="auto"/>
        <w:ind w:right="7"/>
        <w:textAlignment w:val="auto"/>
        <w:rPr>
          <w:color w:val="000000" w:themeColor="text1"/>
          <w:sz w:val="22"/>
          <w:szCs w:val="22"/>
        </w:rPr>
      </w:pPr>
      <w:r w:rsidRPr="001667DB">
        <w:rPr>
          <w:color w:val="000000" w:themeColor="text1"/>
          <w:sz w:val="22"/>
          <w:szCs w:val="22"/>
        </w:rPr>
        <w:t>Dla warstwy ulepszonego podłoża z mieszanki stabilizowanej cementem C0</w:t>
      </w:r>
      <w:r w:rsidR="00D62065">
        <w:rPr>
          <w:color w:val="000000" w:themeColor="text1"/>
          <w:sz w:val="22"/>
          <w:szCs w:val="22"/>
        </w:rPr>
        <w:t>,</w:t>
      </w:r>
      <w:r w:rsidRPr="001667DB">
        <w:rPr>
          <w:color w:val="000000" w:themeColor="text1"/>
          <w:sz w:val="22"/>
          <w:szCs w:val="22"/>
        </w:rPr>
        <w:t>4/0</w:t>
      </w:r>
      <w:r w:rsidR="00D62065">
        <w:rPr>
          <w:color w:val="000000" w:themeColor="text1"/>
          <w:sz w:val="22"/>
          <w:szCs w:val="22"/>
        </w:rPr>
        <w:t>,</w:t>
      </w:r>
      <w:r w:rsidRPr="001667DB">
        <w:rPr>
          <w:color w:val="000000" w:themeColor="text1"/>
          <w:sz w:val="22"/>
          <w:szCs w:val="22"/>
        </w:rPr>
        <w:t>5- gr. 0,25m – jezdnia</w:t>
      </w:r>
    </w:p>
    <w:p w14:paraId="542AC89B" w14:textId="77777777" w:rsidR="00955A27" w:rsidRPr="001667DB" w:rsidRDefault="00955A27" w:rsidP="00904E6C">
      <w:pPr>
        <w:pStyle w:val="Akapitzlist"/>
        <w:numPr>
          <w:ilvl w:val="0"/>
          <w:numId w:val="119"/>
        </w:numPr>
        <w:tabs>
          <w:tab w:val="left" w:pos="426"/>
        </w:tabs>
        <w:overflowPunct/>
        <w:autoSpaceDE/>
        <w:autoSpaceDN/>
        <w:adjustRightInd/>
        <w:spacing w:after="120" w:line="360" w:lineRule="auto"/>
        <w:ind w:right="7"/>
        <w:textAlignment w:val="auto"/>
        <w:rPr>
          <w:color w:val="000000" w:themeColor="text1"/>
          <w:sz w:val="22"/>
          <w:szCs w:val="22"/>
        </w:rPr>
      </w:pPr>
      <w:r w:rsidRPr="001667DB">
        <w:rPr>
          <w:color w:val="000000" w:themeColor="text1"/>
          <w:sz w:val="22"/>
          <w:szCs w:val="22"/>
        </w:rPr>
        <w:t xml:space="preserve">Dla warstwy ulepszonego podłoża z mieszanki </w:t>
      </w:r>
      <w:r w:rsidR="003D77F6">
        <w:rPr>
          <w:color w:val="000000" w:themeColor="text1"/>
          <w:sz w:val="22"/>
          <w:szCs w:val="22"/>
        </w:rPr>
        <w:t>stabilizowanej cementem C4/6</w:t>
      </w:r>
      <w:r w:rsidRPr="001667DB">
        <w:rPr>
          <w:color w:val="000000" w:themeColor="text1"/>
          <w:sz w:val="22"/>
          <w:szCs w:val="22"/>
        </w:rPr>
        <w:t>- gr. 0,20m – chodnik</w:t>
      </w:r>
    </w:p>
    <w:p w14:paraId="085EC4C5" w14:textId="77777777" w:rsidR="00955A27" w:rsidRPr="001667DB" w:rsidRDefault="00955A27" w:rsidP="00904E6C">
      <w:pPr>
        <w:pStyle w:val="Akapitzlist"/>
        <w:numPr>
          <w:ilvl w:val="0"/>
          <w:numId w:val="119"/>
        </w:numPr>
        <w:tabs>
          <w:tab w:val="left" w:pos="426"/>
        </w:tabs>
        <w:overflowPunct/>
        <w:autoSpaceDE/>
        <w:autoSpaceDN/>
        <w:adjustRightInd/>
        <w:spacing w:after="120" w:line="360" w:lineRule="auto"/>
        <w:ind w:right="7"/>
        <w:textAlignment w:val="auto"/>
        <w:rPr>
          <w:color w:val="000000" w:themeColor="text1"/>
          <w:sz w:val="22"/>
          <w:szCs w:val="22"/>
        </w:rPr>
      </w:pPr>
      <w:r w:rsidRPr="001667DB">
        <w:rPr>
          <w:color w:val="000000" w:themeColor="text1"/>
          <w:sz w:val="22"/>
          <w:szCs w:val="22"/>
        </w:rPr>
        <w:t>Dla warstwy ulepszonego podłoża z mies</w:t>
      </w:r>
      <w:r w:rsidR="003D77F6">
        <w:rPr>
          <w:color w:val="000000" w:themeColor="text1"/>
          <w:sz w:val="22"/>
          <w:szCs w:val="22"/>
        </w:rPr>
        <w:t>zanki stabilizowanej cementem C4/6</w:t>
      </w:r>
      <w:r w:rsidRPr="001667DB">
        <w:rPr>
          <w:color w:val="000000" w:themeColor="text1"/>
          <w:sz w:val="22"/>
          <w:szCs w:val="22"/>
        </w:rPr>
        <w:t xml:space="preserve">- gr. 0,25m – ciąg pieszo-rowerowy </w:t>
      </w:r>
    </w:p>
    <w:p w14:paraId="36AF609B" w14:textId="77777777" w:rsidR="00955A27" w:rsidRPr="001667DB" w:rsidRDefault="00955A27" w:rsidP="00904E6C">
      <w:pPr>
        <w:pStyle w:val="Akapitzlist"/>
        <w:numPr>
          <w:ilvl w:val="0"/>
          <w:numId w:val="119"/>
        </w:numPr>
        <w:tabs>
          <w:tab w:val="left" w:pos="426"/>
        </w:tabs>
        <w:overflowPunct/>
        <w:autoSpaceDE/>
        <w:autoSpaceDN/>
        <w:adjustRightInd/>
        <w:spacing w:after="120" w:line="360" w:lineRule="auto"/>
        <w:ind w:right="7"/>
        <w:textAlignment w:val="auto"/>
        <w:rPr>
          <w:color w:val="000000" w:themeColor="text1"/>
          <w:sz w:val="22"/>
          <w:szCs w:val="22"/>
        </w:rPr>
      </w:pPr>
      <w:r w:rsidRPr="001667DB">
        <w:rPr>
          <w:color w:val="000000" w:themeColor="text1"/>
          <w:sz w:val="22"/>
          <w:szCs w:val="22"/>
        </w:rPr>
        <w:t>Dla warstwy ulepszonego podłoża z mies</w:t>
      </w:r>
      <w:r w:rsidR="003D77F6">
        <w:rPr>
          <w:color w:val="000000" w:themeColor="text1"/>
          <w:sz w:val="22"/>
          <w:szCs w:val="22"/>
        </w:rPr>
        <w:t>zanki stabilizowanej cementem C4/6</w:t>
      </w:r>
      <w:r w:rsidRPr="001667DB">
        <w:rPr>
          <w:color w:val="000000" w:themeColor="text1"/>
          <w:sz w:val="22"/>
          <w:szCs w:val="22"/>
        </w:rPr>
        <w:t xml:space="preserve">- gr. 0,30m – ciąg pieszo-rowerowy na zjazdach </w:t>
      </w:r>
    </w:p>
    <w:p w14:paraId="0119E624" w14:textId="77777777" w:rsidR="00955A27" w:rsidRPr="001667DB" w:rsidRDefault="00955A27" w:rsidP="00904E6C">
      <w:pPr>
        <w:pStyle w:val="Akapitzlist"/>
        <w:numPr>
          <w:ilvl w:val="0"/>
          <w:numId w:val="119"/>
        </w:numPr>
        <w:tabs>
          <w:tab w:val="left" w:pos="426"/>
        </w:tabs>
        <w:overflowPunct/>
        <w:autoSpaceDE/>
        <w:autoSpaceDN/>
        <w:adjustRightInd/>
        <w:spacing w:after="120" w:line="360" w:lineRule="auto"/>
        <w:ind w:right="7"/>
        <w:textAlignment w:val="auto"/>
        <w:rPr>
          <w:color w:val="000000" w:themeColor="text1"/>
          <w:sz w:val="22"/>
          <w:szCs w:val="22"/>
        </w:rPr>
      </w:pPr>
      <w:r w:rsidRPr="001667DB">
        <w:rPr>
          <w:color w:val="000000" w:themeColor="text1"/>
          <w:sz w:val="22"/>
          <w:szCs w:val="22"/>
        </w:rPr>
        <w:t>Dla warstwy ulepszonego podłoża z mies</w:t>
      </w:r>
      <w:r w:rsidR="003D77F6">
        <w:rPr>
          <w:color w:val="000000" w:themeColor="text1"/>
          <w:sz w:val="22"/>
          <w:szCs w:val="22"/>
        </w:rPr>
        <w:t>zanki stabilizowanej cementem C4/6</w:t>
      </w:r>
      <w:r w:rsidRPr="001667DB">
        <w:rPr>
          <w:color w:val="000000" w:themeColor="text1"/>
          <w:sz w:val="22"/>
          <w:szCs w:val="22"/>
        </w:rPr>
        <w:t xml:space="preserve">- gr. 0,30m – zjazd </w:t>
      </w:r>
    </w:p>
    <w:p w14:paraId="599E9FA9" w14:textId="77777777" w:rsidR="00955A27" w:rsidRPr="001667DB" w:rsidRDefault="00955A27" w:rsidP="00955A27">
      <w:pPr>
        <w:pStyle w:val="Nagwek2"/>
        <w:spacing w:line="360" w:lineRule="auto"/>
        <w:ind w:left="-5"/>
        <w:rPr>
          <w:color w:val="000000" w:themeColor="text1"/>
          <w:sz w:val="22"/>
          <w:szCs w:val="22"/>
        </w:rPr>
      </w:pPr>
      <w:bookmarkStart w:id="368" w:name="_Toc33259"/>
      <w:r w:rsidRPr="001667DB">
        <w:rPr>
          <w:color w:val="000000" w:themeColor="text1"/>
          <w:sz w:val="22"/>
          <w:szCs w:val="22"/>
        </w:rPr>
        <w:t>1.3.</w:t>
      </w:r>
      <w:r w:rsidRPr="001667DB">
        <w:rPr>
          <w:rFonts w:eastAsia="Arial"/>
          <w:color w:val="000000" w:themeColor="text1"/>
          <w:sz w:val="22"/>
          <w:szCs w:val="22"/>
        </w:rPr>
        <w:t xml:space="preserve"> </w:t>
      </w:r>
      <w:r w:rsidRPr="001667DB">
        <w:rPr>
          <w:color w:val="000000" w:themeColor="text1"/>
          <w:sz w:val="22"/>
          <w:szCs w:val="22"/>
        </w:rPr>
        <w:t xml:space="preserve">Określenia podstawowe </w:t>
      </w:r>
      <w:bookmarkEnd w:id="368"/>
    </w:p>
    <w:p w14:paraId="355FF328"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w:t>
      </w:r>
      <w:r w:rsidRPr="001667DB">
        <w:rPr>
          <w:rFonts w:ascii="Times New Roman" w:hAnsi="Times New Roman" w:cs="Times New Roman"/>
          <w:color w:val="000000" w:themeColor="text1"/>
        </w:rPr>
        <w:t xml:space="preserve"> – materiał pochodzenia naturalnego, przemysłowego lub z recyklingu lub dowolna kombinacja tych składników. </w:t>
      </w:r>
    </w:p>
    <w:p w14:paraId="3D0025E4"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 stabilizowany spoiwem hydraulicznym</w:t>
      </w:r>
      <w:r w:rsidRPr="001667DB">
        <w:rPr>
          <w:rFonts w:ascii="Times New Roman" w:hAnsi="Times New Roman" w:cs="Times New Roman"/>
          <w:color w:val="000000" w:themeColor="text1"/>
        </w:rPr>
        <w:t xml:space="preserve"> – zagęszczona mieszanka: gruntu, spoiwa hydraulicznego i wody dobranych w optymalnych ilościach, a w razie potrzeby dodatkowych składników, która wiąże i twardnieje w wyniku reakcji hydraulicznej. </w:t>
      </w:r>
    </w:p>
    <w:p w14:paraId="49BA65EF"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 stabilizowany cementem</w:t>
      </w:r>
      <w:r w:rsidRPr="001667DB">
        <w:rPr>
          <w:rFonts w:ascii="Times New Roman" w:hAnsi="Times New Roman" w:cs="Times New Roman"/>
          <w:color w:val="000000" w:themeColor="text1"/>
        </w:rPr>
        <w:t xml:space="preserve"> – grunt stabilizowany hydraulicznie, w którym rolę spoiwa pełni cement. </w:t>
      </w:r>
    </w:p>
    <w:p w14:paraId="0EE54DF4"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Grunt stabilizowany hydraulicznym spoiwem drogowym</w:t>
      </w:r>
      <w:r w:rsidRPr="001667DB">
        <w:rPr>
          <w:rFonts w:ascii="Times New Roman" w:hAnsi="Times New Roman" w:cs="Times New Roman"/>
          <w:color w:val="000000" w:themeColor="text1"/>
        </w:rPr>
        <w:t xml:space="preserve"> – grunt stabilizowany hydraulicznie, w którym rolę spoiwa pełni hydrauliczne spoiwo drogowe. </w:t>
      </w:r>
    </w:p>
    <w:p w14:paraId="0DEC521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 stabilizowany granulowanym żużlem wielkopiecowym</w:t>
      </w:r>
      <w:r w:rsidRPr="001667DB">
        <w:rPr>
          <w:rFonts w:ascii="Times New Roman" w:hAnsi="Times New Roman" w:cs="Times New Roman"/>
          <w:color w:val="000000" w:themeColor="text1"/>
        </w:rPr>
        <w:t xml:space="preserve"> – grunt stabilizowany hydraulicznie, w którym rolę spoiwa pełni granulowany żużel wielkopiecowy. </w:t>
      </w:r>
    </w:p>
    <w:p w14:paraId="3E16555C"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 stabilizowany popiołami lotnymi</w:t>
      </w:r>
      <w:r w:rsidRPr="001667DB">
        <w:rPr>
          <w:rFonts w:ascii="Times New Roman" w:hAnsi="Times New Roman" w:cs="Times New Roman"/>
          <w:color w:val="000000" w:themeColor="text1"/>
        </w:rPr>
        <w:t xml:space="preserve"> – grunt stabilizowany hydraulicznie, w którym podstawowym składnikiem spoiwa jest popiół lotny, krzemionkowy lub wapienny popiół lotny. </w:t>
      </w:r>
    </w:p>
    <w:p w14:paraId="79D580D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Grunt stabilizowany wapnem</w:t>
      </w:r>
      <w:r w:rsidRPr="001667DB">
        <w:rPr>
          <w:rFonts w:ascii="Times New Roman" w:hAnsi="Times New Roman" w:cs="Times New Roman"/>
          <w:color w:val="000000" w:themeColor="text1"/>
        </w:rPr>
        <w:t xml:space="preserve"> – zagęszczona mieszanka: gruntu, wapna i wody dobranych w optymalnych ilościach, charakteryzującą się poprawą natychmiastową właściwości użytkowych przez np. osuszenie wilgotnych gruntów i/lub zwiększenie nośności i/lub zmniejszenie plastyczności. </w:t>
      </w:r>
    </w:p>
    <w:p w14:paraId="0EBB95F7"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b/>
          <w:color w:val="000000" w:themeColor="text1"/>
        </w:rPr>
        <w:t>Warstwa ulepszonego podłoża z gruntu stabilizowanego spoiwem hydraulicznym lub wapnem</w:t>
      </w:r>
      <w:r w:rsidRPr="001667DB">
        <w:rPr>
          <w:rFonts w:ascii="Times New Roman" w:hAnsi="Times New Roman" w:cs="Times New Roman"/>
          <w:color w:val="000000" w:themeColor="text1"/>
        </w:rPr>
        <w:t xml:space="preserve"> – warstwa wykonana z gruntu rodzimego w wykopie lub gruntu w nasypie stabilizowana spoiwami hydraulicznymi lub wapnem. </w:t>
      </w:r>
    </w:p>
    <w:p w14:paraId="4D74D582"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Lokalizację warstwy ulepszonego podłoża w korpusie drogowym pokazano na schematach: </w:t>
      </w:r>
    </w:p>
    <w:p w14:paraId="162FBF96" w14:textId="77777777" w:rsidR="00955A27" w:rsidRPr="001667DB" w:rsidRDefault="00955A27" w:rsidP="00904E6C">
      <w:pPr>
        <w:numPr>
          <w:ilvl w:val="0"/>
          <w:numId w:val="104"/>
        </w:numPr>
        <w:spacing w:after="120" w:line="360" w:lineRule="auto"/>
        <w:ind w:hanging="70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wykop: </w:t>
      </w:r>
    </w:p>
    <w:p w14:paraId="40D58B6C" w14:textId="77777777" w:rsidR="00955A27" w:rsidRPr="001667DB" w:rsidRDefault="00955A27" w:rsidP="00C73A21">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B529556" w14:textId="77777777" w:rsidR="00955A27" w:rsidRPr="001667DB" w:rsidRDefault="00955A27" w:rsidP="00C73A21">
      <w:pPr>
        <w:spacing w:after="120" w:line="360" w:lineRule="auto"/>
        <w:ind w:right="212"/>
        <w:jc w:val="both"/>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58C74698" wp14:editId="6FEC1726">
            <wp:extent cx="5584190" cy="633730"/>
            <wp:effectExtent l="0" t="0" r="0" b="0"/>
            <wp:docPr id="1242" name="Picture 1242"/>
            <wp:cNvGraphicFramePr/>
            <a:graphic xmlns:a="http://schemas.openxmlformats.org/drawingml/2006/main">
              <a:graphicData uri="http://schemas.openxmlformats.org/drawingml/2006/picture">
                <pic:pic xmlns:pic="http://schemas.openxmlformats.org/drawingml/2006/picture">
                  <pic:nvPicPr>
                    <pic:cNvPr id="1242" name="Picture 1242"/>
                    <pic:cNvPicPr/>
                  </pic:nvPicPr>
                  <pic:blipFill>
                    <a:blip r:embed="rId27"/>
                    <a:stretch>
                      <a:fillRect/>
                    </a:stretch>
                  </pic:blipFill>
                  <pic:spPr>
                    <a:xfrm>
                      <a:off x="0" y="0"/>
                      <a:ext cx="5584190" cy="633730"/>
                    </a:xfrm>
                    <a:prstGeom prst="rect">
                      <a:avLst/>
                    </a:prstGeom>
                  </pic:spPr>
                </pic:pic>
              </a:graphicData>
            </a:graphic>
          </wp:inline>
        </w:drawing>
      </w:r>
      <w:r w:rsidRPr="001667DB">
        <w:rPr>
          <w:rFonts w:ascii="Times New Roman" w:hAnsi="Times New Roman" w:cs="Times New Roman"/>
          <w:color w:val="000000" w:themeColor="text1"/>
        </w:rPr>
        <w:t xml:space="preserve"> </w:t>
      </w:r>
    </w:p>
    <w:p w14:paraId="0A37DBB0" w14:textId="77777777" w:rsidR="00955A27" w:rsidRPr="001667DB" w:rsidRDefault="00955A27" w:rsidP="00904E6C">
      <w:pPr>
        <w:numPr>
          <w:ilvl w:val="0"/>
          <w:numId w:val="104"/>
        </w:numPr>
        <w:spacing w:after="120" w:line="360" w:lineRule="auto"/>
        <w:ind w:hanging="70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nasyp: </w:t>
      </w:r>
    </w:p>
    <w:p w14:paraId="1BF3A171" w14:textId="77777777" w:rsidR="00955A27" w:rsidRPr="001667DB" w:rsidRDefault="00955A27" w:rsidP="00C73A21">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C852FDC" w14:textId="77777777" w:rsidR="00955A27" w:rsidRPr="001667DB" w:rsidRDefault="00955A27" w:rsidP="00C73A21">
      <w:pPr>
        <w:spacing w:after="120" w:line="360" w:lineRule="auto"/>
        <w:ind w:right="212"/>
        <w:jc w:val="both"/>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drawing>
          <wp:inline distT="0" distB="0" distL="0" distR="0" wp14:anchorId="4F40F627" wp14:editId="0A301EFF">
            <wp:extent cx="5584190" cy="804545"/>
            <wp:effectExtent l="0" t="0" r="0" b="0"/>
            <wp:docPr id="1244" name="Picture 1244"/>
            <wp:cNvGraphicFramePr/>
            <a:graphic xmlns:a="http://schemas.openxmlformats.org/drawingml/2006/main">
              <a:graphicData uri="http://schemas.openxmlformats.org/drawingml/2006/picture">
                <pic:pic xmlns:pic="http://schemas.openxmlformats.org/drawingml/2006/picture">
                  <pic:nvPicPr>
                    <pic:cNvPr id="1244" name="Picture 1244"/>
                    <pic:cNvPicPr/>
                  </pic:nvPicPr>
                  <pic:blipFill>
                    <a:blip r:embed="rId28"/>
                    <a:stretch>
                      <a:fillRect/>
                    </a:stretch>
                  </pic:blipFill>
                  <pic:spPr>
                    <a:xfrm>
                      <a:off x="0" y="0"/>
                      <a:ext cx="5584190" cy="804545"/>
                    </a:xfrm>
                    <a:prstGeom prst="rect">
                      <a:avLst/>
                    </a:prstGeom>
                  </pic:spPr>
                </pic:pic>
              </a:graphicData>
            </a:graphic>
          </wp:inline>
        </w:drawing>
      </w:r>
      <w:r w:rsidRPr="001667DB">
        <w:rPr>
          <w:rFonts w:ascii="Times New Roman" w:hAnsi="Times New Roman" w:cs="Times New Roman"/>
          <w:color w:val="000000" w:themeColor="text1"/>
        </w:rPr>
        <w:t xml:space="preserve"> </w:t>
      </w:r>
    </w:p>
    <w:p w14:paraId="4C89F385" w14:textId="77777777" w:rsidR="00955A27" w:rsidRPr="001667DB" w:rsidRDefault="00955A27" w:rsidP="00C73A21">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3502508"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Pozostałe określenia podstawowo stosowane w niniejszych ST zostały podane w ST D-02.00.01 „Roboty ziemne. Wymagania ogólne” oraz odpowiednich Polskich Normach. </w:t>
      </w:r>
    </w:p>
    <w:p w14:paraId="14A99D71" w14:textId="77777777" w:rsidR="00955A27" w:rsidRPr="001667DB" w:rsidRDefault="00955A27" w:rsidP="00955A27">
      <w:pPr>
        <w:pStyle w:val="Nagwek2"/>
        <w:spacing w:line="360" w:lineRule="auto"/>
        <w:ind w:left="-5"/>
        <w:rPr>
          <w:color w:val="000000" w:themeColor="text1"/>
          <w:sz w:val="22"/>
          <w:szCs w:val="22"/>
        </w:rPr>
      </w:pPr>
      <w:bookmarkStart w:id="369" w:name="_Toc33260"/>
      <w:r w:rsidRPr="001667DB">
        <w:rPr>
          <w:color w:val="000000" w:themeColor="text1"/>
          <w:sz w:val="22"/>
          <w:szCs w:val="22"/>
        </w:rPr>
        <w:t>1.4.</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robót </w:t>
      </w:r>
      <w:bookmarkEnd w:id="369"/>
    </w:p>
    <w:p w14:paraId="4A09C35A"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robót podano w D-M-00.00.00 „Wymagania ogólne”. </w:t>
      </w:r>
    </w:p>
    <w:p w14:paraId="73984296" w14:textId="77777777" w:rsidR="00955A27" w:rsidRPr="00326BBF" w:rsidRDefault="00955A27" w:rsidP="00955A27">
      <w:pPr>
        <w:pStyle w:val="Nagwek1"/>
        <w:tabs>
          <w:tab w:val="center" w:pos="1223"/>
        </w:tabs>
        <w:spacing w:line="360" w:lineRule="auto"/>
        <w:ind w:left="-15"/>
        <w:rPr>
          <w:color w:val="000000" w:themeColor="text1"/>
          <w:sz w:val="22"/>
          <w:szCs w:val="22"/>
          <w:lang w:val="pl-PL"/>
        </w:rPr>
      </w:pPr>
      <w:bookmarkStart w:id="370" w:name="_Toc33261"/>
      <w:r w:rsidRPr="00326BBF">
        <w:rPr>
          <w:color w:val="000000" w:themeColor="text1"/>
          <w:sz w:val="22"/>
          <w:szCs w:val="22"/>
          <w:lang w:val="pl-PL"/>
        </w:rPr>
        <w:lastRenderedPageBreak/>
        <w:t>2.</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MATERIAŁY </w:t>
      </w:r>
      <w:bookmarkEnd w:id="370"/>
    </w:p>
    <w:p w14:paraId="333F6E1A" w14:textId="77777777" w:rsidR="00955A27" w:rsidRPr="001667DB" w:rsidRDefault="00955A27" w:rsidP="00955A27">
      <w:pPr>
        <w:pStyle w:val="Nagwek2"/>
        <w:spacing w:line="360" w:lineRule="auto"/>
        <w:ind w:left="-5"/>
        <w:rPr>
          <w:color w:val="000000" w:themeColor="text1"/>
          <w:sz w:val="22"/>
          <w:szCs w:val="22"/>
        </w:rPr>
      </w:pPr>
      <w:bookmarkStart w:id="371" w:name="_Toc33262"/>
      <w:r w:rsidRPr="001667DB">
        <w:rPr>
          <w:color w:val="000000" w:themeColor="text1"/>
          <w:sz w:val="22"/>
          <w:szCs w:val="22"/>
        </w:rPr>
        <w:t>2.1.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materiałów </w:t>
      </w:r>
      <w:bookmarkEnd w:id="371"/>
    </w:p>
    <w:p w14:paraId="236FADCB"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materiałów, ich pozyskiwania i składowania podano w D-M00.00.00 „Wymagania ogólne”. Poszczególne rodzaje materiałów powinny pochodzić ze źródeł zatwierdzonych przez Inżyniera/Inspektora Nadzoru. </w:t>
      </w:r>
    </w:p>
    <w:p w14:paraId="0E6B1021"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u w:val="single" w:color="000000"/>
        </w:rPr>
        <w:t>Dodatkowo wymaga się</w:t>
      </w:r>
      <w:r w:rsidRPr="001667DB">
        <w:rPr>
          <w:rFonts w:ascii="Times New Roman" w:hAnsi="Times New Roman" w:cs="Times New Roman"/>
          <w:color w:val="000000" w:themeColor="text1"/>
        </w:rPr>
        <w:t xml:space="preserve">: wraz z deklaracją właściwości użytkowych spoiwa hydraulicznego lub wapna, powinna być dostarczona karta charakterystyki o substancjach zawartych w wyrobie budowlanym, o których mowa odpowiednio w art. 31 lub art. 33 rozporządzenia (WE) nr 1907/2006 Parlamentu Europejskiego i Rady z dnia 18 grudnia 2006 r. w sprawie rejestracji, oceny, udzielania zezwoleń i stosowanych ograniczeń w zakresie chemikaliów (REACH) i utworzenia Europejskiej Agencji Chemikaliów. </w:t>
      </w:r>
    </w:p>
    <w:p w14:paraId="3C566B2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wyrobu budowlanego, stanowiącego mieszaninę niebezpieczną według rozporządzenia REACH, powinno być zgodne z wymaganiami Ministra Zdrowia z dnia 20 kwietnia 2012 r. w sprawie oznakowania opakowań substancji niebezpiecznych i mieszanin niebezpiecznych oraz niektórych mieszanin (tekst jednolity: Dz. U. z 2015 r. poz.450) i rozporządzenia Parlamentu Europejskiego i Rady (WE) nr 1272/2008 z dnia 16 grudnia 2008r. w sprawie klasyfikacji, oznakowania i pakowania substancji i mieszanin, zmieniającego i uchylającego dyrektywy 67/548/EWG i 1999/45/WE oraz zmieniającego rozporządzenie (WE) nr 1907/2006. </w:t>
      </w:r>
    </w:p>
    <w:p w14:paraId="5A5879BF" w14:textId="77777777" w:rsidR="00955A27" w:rsidRPr="001667DB" w:rsidRDefault="00955A27" w:rsidP="00955A27">
      <w:pPr>
        <w:pStyle w:val="Nagwek2"/>
        <w:spacing w:line="360" w:lineRule="auto"/>
        <w:ind w:left="551" w:hanging="566"/>
        <w:rPr>
          <w:color w:val="000000" w:themeColor="text1"/>
          <w:sz w:val="22"/>
          <w:szCs w:val="22"/>
        </w:rPr>
      </w:pPr>
      <w:bookmarkStart w:id="372" w:name="_Toc33263"/>
      <w:r w:rsidRPr="001667DB">
        <w:rPr>
          <w:color w:val="000000" w:themeColor="text1"/>
          <w:sz w:val="22"/>
          <w:szCs w:val="22"/>
        </w:rPr>
        <w:t>2.2.</w:t>
      </w:r>
      <w:r w:rsidRPr="001667DB">
        <w:rPr>
          <w:rFonts w:eastAsia="Arial"/>
          <w:color w:val="000000" w:themeColor="text1"/>
          <w:sz w:val="22"/>
          <w:szCs w:val="22"/>
        </w:rPr>
        <w:t xml:space="preserve"> </w:t>
      </w:r>
      <w:r w:rsidRPr="001667DB">
        <w:rPr>
          <w:color w:val="000000" w:themeColor="text1"/>
          <w:sz w:val="22"/>
          <w:szCs w:val="22"/>
        </w:rPr>
        <w:t xml:space="preserve">Rodzaje materiałów wchodzących w skład gruntu stabilizowanego spoiwem </w:t>
      </w:r>
      <w:bookmarkEnd w:id="372"/>
    </w:p>
    <w:p w14:paraId="0F438D66" w14:textId="77777777" w:rsidR="00955A27" w:rsidRPr="001667DB" w:rsidRDefault="00955A27" w:rsidP="00955A27">
      <w:pPr>
        <w:pStyle w:val="Nagwek2"/>
        <w:spacing w:line="360" w:lineRule="auto"/>
        <w:ind w:left="551" w:hanging="566"/>
        <w:rPr>
          <w:color w:val="000000" w:themeColor="text1"/>
          <w:sz w:val="22"/>
          <w:szCs w:val="22"/>
        </w:rPr>
      </w:pPr>
      <w:bookmarkStart w:id="373" w:name="_Toc33264"/>
      <w:r w:rsidRPr="001667DB">
        <w:rPr>
          <w:color w:val="000000" w:themeColor="text1"/>
          <w:sz w:val="22"/>
          <w:szCs w:val="22"/>
        </w:rPr>
        <w:t xml:space="preserve">hydraulicznym lub wapnem </w:t>
      </w:r>
      <w:bookmarkEnd w:id="373"/>
    </w:p>
    <w:p w14:paraId="2D9442F2" w14:textId="77777777" w:rsidR="00955A27" w:rsidRPr="001667DB" w:rsidRDefault="00955A27" w:rsidP="00777055">
      <w:pPr>
        <w:pStyle w:val="Nagwek3"/>
      </w:pPr>
      <w:r w:rsidRPr="001667DB">
        <w:t>2.2.1.</w:t>
      </w:r>
      <w:r w:rsidRPr="001667DB">
        <w:rPr>
          <w:rFonts w:eastAsia="Arial"/>
        </w:rPr>
        <w:t xml:space="preserve"> </w:t>
      </w:r>
      <w:r w:rsidRPr="001667DB">
        <w:t xml:space="preserve">Grunt </w:t>
      </w:r>
    </w:p>
    <w:p w14:paraId="2BD8FCEE"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2.2.1.1.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do stabilizacji wapnem </w:t>
      </w:r>
    </w:p>
    <w:p w14:paraId="3E6C071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stabilizacji wapnem nadają się grunty spoiste zawierające minerały ilaste, które wchodzą w reakcję z dodanym wapnem. Grunty do stabilizacji wapnem powinny spełniać wymagania podane w Tabeli 1. Grunty nie powinny zawierać siarczanów ani innych substancji, które mogłyby spowodować pęcznienie, co po dodaniu wapna mogłoby spowodować pęcznienie mieszanki w stopniu przekraczającym wartość dopuszczalną podane w pkt. 5.4 niniejszych ST. Przydatność gruntów do stabilizacji wapnem należy ocenić na podstawie wyników badań laboratoryjnych. </w:t>
      </w:r>
    </w:p>
    <w:p w14:paraId="51589B8D"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 Wymagania wobec gruntów przeznaczonych do stabilizacji wapnem </w:t>
      </w:r>
    </w:p>
    <w:tbl>
      <w:tblPr>
        <w:tblStyle w:val="TableGrid"/>
        <w:tblW w:w="8219" w:type="dxa"/>
        <w:tblInd w:w="427" w:type="dxa"/>
        <w:tblCellMar>
          <w:top w:w="110" w:type="dxa"/>
          <w:left w:w="72" w:type="dxa"/>
          <w:right w:w="9" w:type="dxa"/>
        </w:tblCellMar>
        <w:tblLook w:val="04A0" w:firstRow="1" w:lastRow="0" w:firstColumn="1" w:lastColumn="0" w:noHBand="0" w:noVBand="1"/>
      </w:tblPr>
      <w:tblGrid>
        <w:gridCol w:w="422"/>
        <w:gridCol w:w="4611"/>
        <w:gridCol w:w="1342"/>
        <w:gridCol w:w="1844"/>
      </w:tblGrid>
      <w:tr w:rsidR="00955A27" w:rsidRPr="001667DB" w14:paraId="42A7DCC4" w14:textId="77777777">
        <w:trPr>
          <w:trHeight w:val="348"/>
        </w:trPr>
        <w:tc>
          <w:tcPr>
            <w:tcW w:w="422" w:type="dxa"/>
            <w:tcBorders>
              <w:top w:val="single" w:sz="4" w:space="0" w:color="000000"/>
              <w:left w:val="single" w:sz="4" w:space="0" w:color="000000"/>
              <w:bottom w:val="single" w:sz="4" w:space="0" w:color="000000"/>
              <w:right w:val="single" w:sz="4" w:space="0" w:color="000000"/>
            </w:tcBorders>
          </w:tcPr>
          <w:p w14:paraId="4F5451C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4611" w:type="dxa"/>
            <w:tcBorders>
              <w:top w:val="single" w:sz="4" w:space="0" w:color="000000"/>
              <w:left w:val="single" w:sz="4" w:space="0" w:color="000000"/>
              <w:bottom w:val="single" w:sz="4" w:space="0" w:color="000000"/>
              <w:right w:val="single" w:sz="4" w:space="0" w:color="000000"/>
            </w:tcBorders>
          </w:tcPr>
          <w:p w14:paraId="70D22C29"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gruntu </w:t>
            </w:r>
          </w:p>
        </w:tc>
        <w:tc>
          <w:tcPr>
            <w:tcW w:w="1342" w:type="dxa"/>
            <w:tcBorders>
              <w:top w:val="single" w:sz="4" w:space="0" w:color="000000"/>
              <w:left w:val="single" w:sz="4" w:space="0" w:color="000000"/>
              <w:bottom w:val="single" w:sz="4" w:space="0" w:color="000000"/>
              <w:right w:val="single" w:sz="4" w:space="0" w:color="000000"/>
            </w:tcBorders>
          </w:tcPr>
          <w:p w14:paraId="49F51E2D" w14:textId="77777777" w:rsidR="00955A27" w:rsidRPr="001667DB" w:rsidRDefault="00955A27" w:rsidP="00955A27">
            <w:pPr>
              <w:spacing w:after="120" w:line="360" w:lineRule="auto"/>
              <w:ind w:left="70"/>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t>
            </w:r>
          </w:p>
        </w:tc>
        <w:tc>
          <w:tcPr>
            <w:tcW w:w="1844" w:type="dxa"/>
            <w:tcBorders>
              <w:top w:val="single" w:sz="4" w:space="0" w:color="000000"/>
              <w:left w:val="single" w:sz="4" w:space="0" w:color="000000"/>
              <w:bottom w:val="single" w:sz="4" w:space="0" w:color="000000"/>
              <w:right w:val="single" w:sz="4" w:space="0" w:color="000000"/>
            </w:tcBorders>
          </w:tcPr>
          <w:p w14:paraId="5B9372CC"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badania </w:t>
            </w:r>
          </w:p>
        </w:tc>
      </w:tr>
      <w:tr w:rsidR="00955A27" w:rsidRPr="001667DB" w14:paraId="2E5F4375" w14:textId="77777777">
        <w:trPr>
          <w:trHeight w:val="350"/>
        </w:trPr>
        <w:tc>
          <w:tcPr>
            <w:tcW w:w="422" w:type="dxa"/>
            <w:tcBorders>
              <w:top w:val="single" w:sz="4" w:space="0" w:color="000000"/>
              <w:left w:val="single" w:sz="4" w:space="0" w:color="000000"/>
              <w:bottom w:val="single" w:sz="4" w:space="0" w:color="000000"/>
              <w:right w:val="single" w:sz="4" w:space="0" w:color="000000"/>
            </w:tcBorders>
          </w:tcPr>
          <w:p w14:paraId="3CCD312E"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4611" w:type="dxa"/>
            <w:tcBorders>
              <w:top w:val="single" w:sz="4" w:space="0" w:color="000000"/>
              <w:left w:val="single" w:sz="4" w:space="0" w:color="000000"/>
              <w:bottom w:val="single" w:sz="4" w:space="0" w:color="000000"/>
              <w:right w:val="single" w:sz="4" w:space="0" w:color="000000"/>
            </w:tcBorders>
          </w:tcPr>
          <w:p w14:paraId="26E493B8" w14:textId="77777777" w:rsidR="00955A27" w:rsidRPr="001667DB" w:rsidRDefault="00955A27" w:rsidP="00955A27">
            <w:pPr>
              <w:spacing w:after="120" w:line="360" w:lineRule="auto"/>
              <w:ind w:left="43"/>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plastyczności, % (m/m), nie mniej niż </w:t>
            </w:r>
          </w:p>
        </w:tc>
        <w:tc>
          <w:tcPr>
            <w:tcW w:w="1342" w:type="dxa"/>
            <w:tcBorders>
              <w:top w:val="single" w:sz="4" w:space="0" w:color="000000"/>
              <w:left w:val="single" w:sz="4" w:space="0" w:color="000000"/>
              <w:bottom w:val="single" w:sz="4" w:space="0" w:color="000000"/>
              <w:right w:val="single" w:sz="4" w:space="0" w:color="000000"/>
            </w:tcBorders>
          </w:tcPr>
          <w:p w14:paraId="2A03C3CD"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t>
            </w:r>
          </w:p>
        </w:tc>
        <w:tc>
          <w:tcPr>
            <w:tcW w:w="1844" w:type="dxa"/>
            <w:tcBorders>
              <w:top w:val="single" w:sz="4" w:space="0" w:color="000000"/>
              <w:left w:val="single" w:sz="4" w:space="0" w:color="000000"/>
              <w:bottom w:val="single" w:sz="4" w:space="0" w:color="000000"/>
              <w:right w:val="single" w:sz="4" w:space="0" w:color="000000"/>
            </w:tcBorders>
          </w:tcPr>
          <w:p w14:paraId="6D7B4DA9"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795D833F" w14:textId="77777777">
        <w:trPr>
          <w:trHeight w:val="566"/>
        </w:trPr>
        <w:tc>
          <w:tcPr>
            <w:tcW w:w="422" w:type="dxa"/>
            <w:tcBorders>
              <w:top w:val="single" w:sz="4" w:space="0" w:color="000000"/>
              <w:left w:val="single" w:sz="4" w:space="0" w:color="000000"/>
              <w:bottom w:val="single" w:sz="4" w:space="0" w:color="000000"/>
              <w:right w:val="single" w:sz="4" w:space="0" w:color="000000"/>
            </w:tcBorders>
            <w:vAlign w:val="center"/>
          </w:tcPr>
          <w:p w14:paraId="17ABAB1C"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2 </w:t>
            </w:r>
          </w:p>
        </w:tc>
        <w:tc>
          <w:tcPr>
            <w:tcW w:w="4611" w:type="dxa"/>
            <w:tcBorders>
              <w:top w:val="single" w:sz="4" w:space="0" w:color="000000"/>
              <w:left w:val="single" w:sz="4" w:space="0" w:color="000000"/>
              <w:bottom w:val="single" w:sz="4" w:space="0" w:color="000000"/>
              <w:right w:val="single" w:sz="4" w:space="0" w:color="000000"/>
            </w:tcBorders>
          </w:tcPr>
          <w:p w14:paraId="2FD00F37"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ziaren większych od # 40 mm, % </w:t>
            </w:r>
          </w:p>
          <w:p w14:paraId="5BE473BD"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(m/m), nie więcej niż </w:t>
            </w:r>
          </w:p>
        </w:tc>
        <w:tc>
          <w:tcPr>
            <w:tcW w:w="1342" w:type="dxa"/>
            <w:tcBorders>
              <w:top w:val="single" w:sz="4" w:space="0" w:color="000000"/>
              <w:left w:val="single" w:sz="4" w:space="0" w:color="000000"/>
              <w:bottom w:val="single" w:sz="4" w:space="0" w:color="000000"/>
              <w:right w:val="single" w:sz="4" w:space="0" w:color="000000"/>
            </w:tcBorders>
            <w:vAlign w:val="center"/>
          </w:tcPr>
          <w:p w14:paraId="663913CB"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15 </w:t>
            </w:r>
          </w:p>
        </w:tc>
        <w:tc>
          <w:tcPr>
            <w:tcW w:w="1844" w:type="dxa"/>
            <w:tcBorders>
              <w:top w:val="single" w:sz="4" w:space="0" w:color="000000"/>
              <w:left w:val="single" w:sz="4" w:space="0" w:color="000000"/>
              <w:bottom w:val="single" w:sz="4" w:space="0" w:color="000000"/>
              <w:right w:val="single" w:sz="4" w:space="0" w:color="000000"/>
            </w:tcBorders>
            <w:vAlign w:val="center"/>
          </w:tcPr>
          <w:p w14:paraId="36B92F6F"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727118F7" w14:textId="77777777">
        <w:trPr>
          <w:trHeight w:val="569"/>
        </w:trPr>
        <w:tc>
          <w:tcPr>
            <w:tcW w:w="422" w:type="dxa"/>
            <w:tcBorders>
              <w:top w:val="single" w:sz="4" w:space="0" w:color="000000"/>
              <w:left w:val="single" w:sz="4" w:space="0" w:color="000000"/>
              <w:bottom w:val="single" w:sz="4" w:space="0" w:color="000000"/>
              <w:right w:val="single" w:sz="4" w:space="0" w:color="000000"/>
            </w:tcBorders>
            <w:vAlign w:val="center"/>
          </w:tcPr>
          <w:p w14:paraId="1381047F"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4611" w:type="dxa"/>
            <w:tcBorders>
              <w:top w:val="single" w:sz="4" w:space="0" w:color="000000"/>
              <w:left w:val="single" w:sz="4" w:space="0" w:color="000000"/>
              <w:bottom w:val="single" w:sz="4" w:space="0" w:color="000000"/>
              <w:right w:val="single" w:sz="4" w:space="0" w:color="000000"/>
            </w:tcBorders>
          </w:tcPr>
          <w:p w14:paraId="579632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części organicznych, % (m/m), nie więcej niż </w:t>
            </w:r>
          </w:p>
        </w:tc>
        <w:tc>
          <w:tcPr>
            <w:tcW w:w="1342" w:type="dxa"/>
            <w:tcBorders>
              <w:top w:val="single" w:sz="4" w:space="0" w:color="000000"/>
              <w:left w:val="single" w:sz="4" w:space="0" w:color="000000"/>
              <w:bottom w:val="single" w:sz="4" w:space="0" w:color="000000"/>
              <w:right w:val="single" w:sz="4" w:space="0" w:color="000000"/>
            </w:tcBorders>
            <w:vAlign w:val="center"/>
          </w:tcPr>
          <w:p w14:paraId="3814E70D"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w:t>
            </w:r>
          </w:p>
        </w:tc>
        <w:tc>
          <w:tcPr>
            <w:tcW w:w="1844" w:type="dxa"/>
            <w:tcBorders>
              <w:top w:val="single" w:sz="4" w:space="0" w:color="000000"/>
              <w:left w:val="single" w:sz="4" w:space="0" w:color="000000"/>
              <w:bottom w:val="single" w:sz="4" w:space="0" w:color="000000"/>
              <w:right w:val="single" w:sz="4" w:space="0" w:color="000000"/>
            </w:tcBorders>
            <w:vAlign w:val="center"/>
          </w:tcPr>
          <w:p w14:paraId="14F0BC36"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2AE338FB" w14:textId="77777777">
        <w:trPr>
          <w:trHeight w:val="374"/>
        </w:trPr>
        <w:tc>
          <w:tcPr>
            <w:tcW w:w="422" w:type="dxa"/>
            <w:tcBorders>
              <w:top w:val="single" w:sz="4" w:space="0" w:color="000000"/>
              <w:left w:val="single" w:sz="4" w:space="0" w:color="000000"/>
              <w:bottom w:val="single" w:sz="4" w:space="0" w:color="000000"/>
              <w:right w:val="single" w:sz="4" w:space="0" w:color="000000"/>
            </w:tcBorders>
          </w:tcPr>
          <w:p w14:paraId="77D7A228"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4611" w:type="dxa"/>
            <w:tcBorders>
              <w:top w:val="single" w:sz="4" w:space="0" w:color="000000"/>
              <w:left w:val="single" w:sz="4" w:space="0" w:color="000000"/>
              <w:bottom w:val="single" w:sz="4" w:space="0" w:color="000000"/>
              <w:right w:val="single" w:sz="4" w:space="0" w:color="000000"/>
            </w:tcBorders>
          </w:tcPr>
          <w:p w14:paraId="2674BE10"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piaskowy, nie więcej niż </w:t>
            </w:r>
          </w:p>
        </w:tc>
        <w:tc>
          <w:tcPr>
            <w:tcW w:w="1342" w:type="dxa"/>
            <w:tcBorders>
              <w:top w:val="single" w:sz="4" w:space="0" w:color="000000"/>
              <w:left w:val="single" w:sz="4" w:space="0" w:color="000000"/>
              <w:bottom w:val="single" w:sz="4" w:space="0" w:color="000000"/>
              <w:right w:val="single" w:sz="4" w:space="0" w:color="000000"/>
            </w:tcBorders>
          </w:tcPr>
          <w:p w14:paraId="67AC2415"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30 </w:t>
            </w:r>
          </w:p>
        </w:tc>
        <w:tc>
          <w:tcPr>
            <w:tcW w:w="1844" w:type="dxa"/>
            <w:tcBorders>
              <w:top w:val="single" w:sz="4" w:space="0" w:color="000000"/>
              <w:left w:val="single" w:sz="4" w:space="0" w:color="000000"/>
              <w:bottom w:val="single" w:sz="4" w:space="0" w:color="000000"/>
              <w:right w:val="single" w:sz="4" w:space="0" w:color="000000"/>
            </w:tcBorders>
          </w:tcPr>
          <w:p w14:paraId="51F1234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BN-8931-01 </w:t>
            </w:r>
          </w:p>
        </w:tc>
      </w:tr>
    </w:tbl>
    <w:p w14:paraId="6A0DB505"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2.2.1.2.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do stabilizacji cementem </w:t>
      </w:r>
    </w:p>
    <w:p w14:paraId="2AE677BB"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wykonania stabilizacji cementem nadają się grunty spełniające wymagania podane w Tabeli 2. Przydatność gruntów do stabilizacji cementem należy ocenić na podstawie wyników badań laboratoryjnych.  </w:t>
      </w:r>
    </w:p>
    <w:p w14:paraId="668BFE86"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2. Wymagania wobec gruntów przeznaczonych do stabilizacji cementem </w:t>
      </w:r>
    </w:p>
    <w:tbl>
      <w:tblPr>
        <w:tblStyle w:val="TableGrid"/>
        <w:tblW w:w="8682" w:type="dxa"/>
        <w:tblInd w:w="197" w:type="dxa"/>
        <w:tblCellMar>
          <w:top w:w="112" w:type="dxa"/>
          <w:left w:w="70" w:type="dxa"/>
          <w:right w:w="9" w:type="dxa"/>
        </w:tblCellMar>
        <w:tblLook w:val="04A0" w:firstRow="1" w:lastRow="0" w:firstColumn="1" w:lastColumn="0" w:noHBand="0" w:noVBand="1"/>
      </w:tblPr>
      <w:tblGrid>
        <w:gridCol w:w="420"/>
        <w:gridCol w:w="4719"/>
        <w:gridCol w:w="1330"/>
        <w:gridCol w:w="2213"/>
      </w:tblGrid>
      <w:tr w:rsidR="00955A27" w:rsidRPr="001667DB" w14:paraId="0AB59E96" w14:textId="77777777">
        <w:trPr>
          <w:trHeight w:val="350"/>
        </w:trPr>
        <w:tc>
          <w:tcPr>
            <w:tcW w:w="420" w:type="dxa"/>
            <w:tcBorders>
              <w:top w:val="single" w:sz="6" w:space="0" w:color="000000"/>
              <w:left w:val="single" w:sz="6" w:space="0" w:color="000000"/>
              <w:bottom w:val="single" w:sz="4" w:space="0" w:color="000000"/>
              <w:right w:val="single" w:sz="6" w:space="0" w:color="000000"/>
            </w:tcBorders>
          </w:tcPr>
          <w:p w14:paraId="23B0405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4719" w:type="dxa"/>
            <w:tcBorders>
              <w:top w:val="single" w:sz="6" w:space="0" w:color="000000"/>
              <w:left w:val="single" w:sz="6" w:space="0" w:color="000000"/>
              <w:bottom w:val="single" w:sz="4" w:space="0" w:color="000000"/>
              <w:right w:val="single" w:sz="6" w:space="0" w:color="000000"/>
            </w:tcBorders>
          </w:tcPr>
          <w:p w14:paraId="3BA1CF8E"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gruntu </w:t>
            </w:r>
          </w:p>
        </w:tc>
        <w:tc>
          <w:tcPr>
            <w:tcW w:w="1330" w:type="dxa"/>
            <w:tcBorders>
              <w:top w:val="single" w:sz="6" w:space="0" w:color="000000"/>
              <w:left w:val="single" w:sz="6" w:space="0" w:color="000000"/>
              <w:bottom w:val="single" w:sz="4" w:space="0" w:color="000000"/>
              <w:right w:val="single" w:sz="6" w:space="0" w:color="000000"/>
            </w:tcBorders>
          </w:tcPr>
          <w:p w14:paraId="49A45506" w14:textId="77777777" w:rsidR="00955A27" w:rsidRPr="001667DB" w:rsidRDefault="00955A27" w:rsidP="00955A27">
            <w:pPr>
              <w:spacing w:after="120" w:line="360" w:lineRule="auto"/>
              <w:ind w:left="65"/>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t>
            </w:r>
          </w:p>
        </w:tc>
        <w:tc>
          <w:tcPr>
            <w:tcW w:w="2213" w:type="dxa"/>
            <w:tcBorders>
              <w:top w:val="single" w:sz="6" w:space="0" w:color="000000"/>
              <w:left w:val="single" w:sz="6" w:space="0" w:color="000000"/>
              <w:bottom w:val="single" w:sz="4" w:space="0" w:color="000000"/>
              <w:right w:val="single" w:sz="6" w:space="0" w:color="000000"/>
            </w:tcBorders>
          </w:tcPr>
          <w:p w14:paraId="405EAA3C"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badania </w:t>
            </w:r>
          </w:p>
        </w:tc>
      </w:tr>
      <w:tr w:rsidR="00955A27" w:rsidRPr="001667DB" w14:paraId="750420CD" w14:textId="77777777">
        <w:trPr>
          <w:trHeight w:val="2342"/>
        </w:trPr>
        <w:tc>
          <w:tcPr>
            <w:tcW w:w="420" w:type="dxa"/>
            <w:tcBorders>
              <w:top w:val="single" w:sz="4" w:space="0" w:color="000000"/>
              <w:left w:val="single" w:sz="6" w:space="0" w:color="000000"/>
              <w:bottom w:val="single" w:sz="6" w:space="0" w:color="000000"/>
              <w:right w:val="single" w:sz="6" w:space="0" w:color="000000"/>
            </w:tcBorders>
            <w:vAlign w:val="center"/>
          </w:tcPr>
          <w:p w14:paraId="74918B59"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4719" w:type="dxa"/>
            <w:tcBorders>
              <w:top w:val="single" w:sz="4" w:space="0" w:color="000000"/>
              <w:left w:val="single" w:sz="6" w:space="0" w:color="000000"/>
              <w:bottom w:val="single" w:sz="6" w:space="0" w:color="000000"/>
              <w:right w:val="single" w:sz="6" w:space="0" w:color="000000"/>
            </w:tcBorders>
          </w:tcPr>
          <w:p w14:paraId="0E9BD1A4"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Uziarnienie </w:t>
            </w:r>
          </w:p>
          <w:p w14:paraId="0AC6413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40 mm, % (m/m), nie mniej niż: </w:t>
            </w:r>
          </w:p>
          <w:p w14:paraId="72C1B7FE"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20 mm, % </w:t>
            </w:r>
          </w:p>
          <w:p w14:paraId="0CBC8EA0"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(m/m), powyżej </w:t>
            </w:r>
          </w:p>
          <w:p w14:paraId="38B853A3"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4 mm, % </w:t>
            </w:r>
          </w:p>
          <w:p w14:paraId="126D60F2"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(m/m), powyżej </w:t>
            </w:r>
          </w:p>
          <w:p w14:paraId="092CD765"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cząstek mniejszych od 0,002 mm, % (m/m), </w:t>
            </w:r>
          </w:p>
          <w:p w14:paraId="184FE901"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poniżej </w:t>
            </w:r>
          </w:p>
        </w:tc>
        <w:tc>
          <w:tcPr>
            <w:tcW w:w="1330" w:type="dxa"/>
            <w:tcBorders>
              <w:top w:val="single" w:sz="4" w:space="0" w:color="000000"/>
              <w:left w:val="single" w:sz="6" w:space="0" w:color="000000"/>
              <w:bottom w:val="single" w:sz="6" w:space="0" w:color="000000"/>
              <w:right w:val="single" w:sz="6" w:space="0" w:color="000000"/>
            </w:tcBorders>
          </w:tcPr>
          <w:p w14:paraId="4CAA7E64" w14:textId="77777777" w:rsidR="00955A27" w:rsidRPr="001667DB" w:rsidRDefault="00955A27" w:rsidP="00955A27">
            <w:pPr>
              <w:spacing w:after="120" w:line="360" w:lineRule="auto"/>
              <w:ind w:lef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3BF908E"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p w14:paraId="27196357" w14:textId="77777777" w:rsidR="00955A27" w:rsidRPr="001667DB" w:rsidRDefault="00955A27" w:rsidP="00955A27">
            <w:pPr>
              <w:spacing w:after="120" w:line="360" w:lineRule="auto"/>
              <w:ind w:lef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404CC96"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85 </w:t>
            </w:r>
          </w:p>
          <w:p w14:paraId="17295104" w14:textId="77777777" w:rsidR="00955A27" w:rsidRPr="001667DB" w:rsidRDefault="00955A27" w:rsidP="00955A27">
            <w:pPr>
              <w:spacing w:after="120" w:line="360" w:lineRule="auto"/>
              <w:ind w:lef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2715B49C"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w:t>
            </w:r>
          </w:p>
          <w:p w14:paraId="06BE9A52" w14:textId="77777777" w:rsidR="00955A27" w:rsidRPr="001667DB" w:rsidRDefault="00955A27" w:rsidP="00955A27">
            <w:pPr>
              <w:spacing w:after="120" w:line="360" w:lineRule="auto"/>
              <w:ind w:lef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932E081"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20 </w:t>
            </w:r>
          </w:p>
        </w:tc>
        <w:tc>
          <w:tcPr>
            <w:tcW w:w="2213" w:type="dxa"/>
            <w:tcBorders>
              <w:top w:val="single" w:sz="4" w:space="0" w:color="000000"/>
              <w:left w:val="single" w:sz="6" w:space="0" w:color="000000"/>
              <w:bottom w:val="single" w:sz="6" w:space="0" w:color="000000"/>
              <w:right w:val="single" w:sz="6" w:space="0" w:color="000000"/>
            </w:tcBorders>
            <w:vAlign w:val="center"/>
          </w:tcPr>
          <w:p w14:paraId="0FDB8EDB"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29300856" w14:textId="77777777">
        <w:trPr>
          <w:trHeight w:val="353"/>
        </w:trPr>
        <w:tc>
          <w:tcPr>
            <w:tcW w:w="420" w:type="dxa"/>
            <w:tcBorders>
              <w:top w:val="single" w:sz="6" w:space="0" w:color="000000"/>
              <w:left w:val="single" w:sz="6" w:space="0" w:color="000000"/>
              <w:bottom w:val="single" w:sz="6" w:space="0" w:color="000000"/>
              <w:right w:val="single" w:sz="6" w:space="0" w:color="000000"/>
            </w:tcBorders>
          </w:tcPr>
          <w:p w14:paraId="3A6B4FFC"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4719" w:type="dxa"/>
            <w:tcBorders>
              <w:top w:val="single" w:sz="6" w:space="0" w:color="000000"/>
              <w:left w:val="single" w:sz="6" w:space="0" w:color="000000"/>
              <w:bottom w:val="single" w:sz="6" w:space="0" w:color="000000"/>
              <w:right w:val="single" w:sz="6" w:space="0" w:color="000000"/>
            </w:tcBorders>
          </w:tcPr>
          <w:p w14:paraId="41E84599"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Granica płynności, % (m/m), nie więcej niż: </w:t>
            </w:r>
          </w:p>
        </w:tc>
        <w:tc>
          <w:tcPr>
            <w:tcW w:w="1330" w:type="dxa"/>
            <w:tcBorders>
              <w:top w:val="single" w:sz="6" w:space="0" w:color="000000"/>
              <w:left w:val="single" w:sz="6" w:space="0" w:color="000000"/>
              <w:bottom w:val="single" w:sz="6" w:space="0" w:color="000000"/>
              <w:right w:val="single" w:sz="6" w:space="0" w:color="000000"/>
            </w:tcBorders>
          </w:tcPr>
          <w:p w14:paraId="06C2CA43"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40 </w:t>
            </w:r>
          </w:p>
        </w:tc>
        <w:tc>
          <w:tcPr>
            <w:tcW w:w="2213" w:type="dxa"/>
            <w:tcBorders>
              <w:top w:val="single" w:sz="6" w:space="0" w:color="000000"/>
              <w:left w:val="single" w:sz="6" w:space="0" w:color="000000"/>
              <w:bottom w:val="single" w:sz="6" w:space="0" w:color="000000"/>
              <w:right w:val="single" w:sz="6" w:space="0" w:color="000000"/>
            </w:tcBorders>
          </w:tcPr>
          <w:p w14:paraId="79D63158"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202297CD" w14:textId="77777777">
        <w:trPr>
          <w:trHeight w:val="355"/>
        </w:trPr>
        <w:tc>
          <w:tcPr>
            <w:tcW w:w="420" w:type="dxa"/>
            <w:tcBorders>
              <w:top w:val="single" w:sz="6" w:space="0" w:color="000000"/>
              <w:left w:val="single" w:sz="6" w:space="0" w:color="000000"/>
              <w:bottom w:val="single" w:sz="6" w:space="0" w:color="000000"/>
              <w:right w:val="single" w:sz="6" w:space="0" w:color="000000"/>
            </w:tcBorders>
          </w:tcPr>
          <w:p w14:paraId="32BC9F63"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4719" w:type="dxa"/>
            <w:tcBorders>
              <w:top w:val="single" w:sz="6" w:space="0" w:color="000000"/>
              <w:left w:val="single" w:sz="6" w:space="0" w:color="000000"/>
              <w:bottom w:val="single" w:sz="6" w:space="0" w:color="000000"/>
              <w:right w:val="single" w:sz="6" w:space="0" w:color="000000"/>
            </w:tcBorders>
          </w:tcPr>
          <w:p w14:paraId="093B7222" w14:textId="77777777" w:rsidR="00955A27" w:rsidRPr="001667DB" w:rsidRDefault="00955A27" w:rsidP="00955A27">
            <w:pPr>
              <w:spacing w:after="120" w:line="360" w:lineRule="auto"/>
              <w:ind w:left="29"/>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plastyczności, % (m/m), nie więcej niż: </w:t>
            </w:r>
          </w:p>
        </w:tc>
        <w:tc>
          <w:tcPr>
            <w:tcW w:w="1330" w:type="dxa"/>
            <w:tcBorders>
              <w:top w:val="single" w:sz="6" w:space="0" w:color="000000"/>
              <w:left w:val="single" w:sz="6" w:space="0" w:color="000000"/>
              <w:bottom w:val="single" w:sz="6" w:space="0" w:color="000000"/>
              <w:right w:val="single" w:sz="6" w:space="0" w:color="000000"/>
            </w:tcBorders>
          </w:tcPr>
          <w:p w14:paraId="48963BAC"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15 </w:t>
            </w:r>
          </w:p>
        </w:tc>
        <w:tc>
          <w:tcPr>
            <w:tcW w:w="2213" w:type="dxa"/>
            <w:tcBorders>
              <w:top w:val="single" w:sz="6" w:space="0" w:color="000000"/>
              <w:left w:val="single" w:sz="6" w:space="0" w:color="000000"/>
              <w:bottom w:val="single" w:sz="6" w:space="0" w:color="000000"/>
              <w:right w:val="single" w:sz="6" w:space="0" w:color="000000"/>
            </w:tcBorders>
          </w:tcPr>
          <w:p w14:paraId="467C0D9A"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65A5B3CC" w14:textId="77777777">
        <w:trPr>
          <w:trHeight w:val="353"/>
        </w:trPr>
        <w:tc>
          <w:tcPr>
            <w:tcW w:w="420" w:type="dxa"/>
            <w:tcBorders>
              <w:top w:val="single" w:sz="6" w:space="0" w:color="000000"/>
              <w:left w:val="single" w:sz="6" w:space="0" w:color="000000"/>
              <w:bottom w:val="single" w:sz="6" w:space="0" w:color="000000"/>
              <w:right w:val="single" w:sz="6" w:space="0" w:color="000000"/>
            </w:tcBorders>
          </w:tcPr>
          <w:p w14:paraId="6A26588E"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4719" w:type="dxa"/>
            <w:tcBorders>
              <w:top w:val="single" w:sz="6" w:space="0" w:color="000000"/>
              <w:left w:val="single" w:sz="6" w:space="0" w:color="000000"/>
              <w:bottom w:val="single" w:sz="6" w:space="0" w:color="000000"/>
              <w:right w:val="single" w:sz="6" w:space="0" w:color="000000"/>
            </w:tcBorders>
          </w:tcPr>
          <w:p w14:paraId="5C202B8E"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Odczyn pH </w:t>
            </w:r>
          </w:p>
        </w:tc>
        <w:tc>
          <w:tcPr>
            <w:tcW w:w="1330" w:type="dxa"/>
            <w:tcBorders>
              <w:top w:val="single" w:sz="6" w:space="0" w:color="000000"/>
              <w:left w:val="single" w:sz="6" w:space="0" w:color="000000"/>
              <w:bottom w:val="single" w:sz="6" w:space="0" w:color="000000"/>
              <w:right w:val="single" w:sz="6" w:space="0" w:color="000000"/>
            </w:tcBorders>
          </w:tcPr>
          <w:p w14:paraId="5933DCF9"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5 do 8 </w:t>
            </w:r>
          </w:p>
        </w:tc>
        <w:tc>
          <w:tcPr>
            <w:tcW w:w="2213" w:type="dxa"/>
            <w:tcBorders>
              <w:top w:val="single" w:sz="6" w:space="0" w:color="000000"/>
              <w:left w:val="single" w:sz="6" w:space="0" w:color="000000"/>
              <w:bottom w:val="single" w:sz="6" w:space="0" w:color="000000"/>
              <w:right w:val="single" w:sz="6" w:space="0" w:color="000000"/>
            </w:tcBorders>
          </w:tcPr>
          <w:p w14:paraId="35B115FF"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0564F50E" w14:textId="77777777">
        <w:trPr>
          <w:trHeight w:val="574"/>
        </w:trPr>
        <w:tc>
          <w:tcPr>
            <w:tcW w:w="420" w:type="dxa"/>
            <w:tcBorders>
              <w:top w:val="single" w:sz="6" w:space="0" w:color="000000"/>
              <w:left w:val="single" w:sz="6" w:space="0" w:color="000000"/>
              <w:bottom w:val="single" w:sz="6" w:space="0" w:color="000000"/>
              <w:right w:val="single" w:sz="6" w:space="0" w:color="000000"/>
            </w:tcBorders>
            <w:vAlign w:val="center"/>
          </w:tcPr>
          <w:p w14:paraId="20EF82FC"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4719" w:type="dxa"/>
            <w:tcBorders>
              <w:top w:val="single" w:sz="6" w:space="0" w:color="000000"/>
              <w:left w:val="single" w:sz="6" w:space="0" w:color="000000"/>
              <w:bottom w:val="single" w:sz="6" w:space="0" w:color="000000"/>
              <w:right w:val="single" w:sz="6" w:space="0" w:color="000000"/>
            </w:tcBorders>
          </w:tcPr>
          <w:p w14:paraId="1F80CA4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części organicznych, % (m/m), nie więcej niż: </w:t>
            </w:r>
          </w:p>
        </w:tc>
        <w:tc>
          <w:tcPr>
            <w:tcW w:w="1330" w:type="dxa"/>
            <w:tcBorders>
              <w:top w:val="single" w:sz="6" w:space="0" w:color="000000"/>
              <w:left w:val="single" w:sz="6" w:space="0" w:color="000000"/>
              <w:bottom w:val="single" w:sz="6" w:space="0" w:color="000000"/>
              <w:right w:val="single" w:sz="6" w:space="0" w:color="000000"/>
            </w:tcBorders>
            <w:vAlign w:val="center"/>
          </w:tcPr>
          <w:p w14:paraId="2ADCB945"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213" w:type="dxa"/>
            <w:tcBorders>
              <w:top w:val="single" w:sz="6" w:space="0" w:color="000000"/>
              <w:left w:val="single" w:sz="6" w:space="0" w:color="000000"/>
              <w:bottom w:val="single" w:sz="6" w:space="0" w:color="000000"/>
              <w:right w:val="single" w:sz="6" w:space="0" w:color="000000"/>
            </w:tcBorders>
            <w:vAlign w:val="center"/>
          </w:tcPr>
          <w:p w14:paraId="70BC5DBC"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31588270" w14:textId="77777777">
        <w:trPr>
          <w:trHeight w:val="571"/>
        </w:trPr>
        <w:tc>
          <w:tcPr>
            <w:tcW w:w="420" w:type="dxa"/>
            <w:tcBorders>
              <w:top w:val="single" w:sz="6" w:space="0" w:color="000000"/>
              <w:left w:val="single" w:sz="6" w:space="0" w:color="000000"/>
              <w:bottom w:val="single" w:sz="6" w:space="0" w:color="000000"/>
              <w:right w:val="single" w:sz="6" w:space="0" w:color="000000"/>
            </w:tcBorders>
            <w:vAlign w:val="center"/>
          </w:tcPr>
          <w:p w14:paraId="0D19C207"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6 </w:t>
            </w:r>
          </w:p>
        </w:tc>
        <w:tc>
          <w:tcPr>
            <w:tcW w:w="4719" w:type="dxa"/>
            <w:tcBorders>
              <w:top w:val="single" w:sz="6" w:space="0" w:color="000000"/>
              <w:left w:val="single" w:sz="6" w:space="0" w:color="000000"/>
              <w:bottom w:val="single" w:sz="6" w:space="0" w:color="000000"/>
              <w:right w:val="single" w:sz="6" w:space="0" w:color="000000"/>
            </w:tcBorders>
          </w:tcPr>
          <w:p w14:paraId="303532E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siarczanów, w przeliczeniu na SO3, % (m/m), nie więcej niż: </w:t>
            </w:r>
          </w:p>
        </w:tc>
        <w:tc>
          <w:tcPr>
            <w:tcW w:w="1330" w:type="dxa"/>
            <w:tcBorders>
              <w:top w:val="single" w:sz="6" w:space="0" w:color="000000"/>
              <w:left w:val="single" w:sz="6" w:space="0" w:color="000000"/>
              <w:bottom w:val="single" w:sz="6" w:space="0" w:color="000000"/>
              <w:right w:val="single" w:sz="6" w:space="0" w:color="000000"/>
            </w:tcBorders>
            <w:vAlign w:val="center"/>
          </w:tcPr>
          <w:p w14:paraId="03EE8FC7"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213" w:type="dxa"/>
            <w:tcBorders>
              <w:top w:val="single" w:sz="6" w:space="0" w:color="000000"/>
              <w:left w:val="single" w:sz="6" w:space="0" w:color="000000"/>
              <w:bottom w:val="single" w:sz="6" w:space="0" w:color="000000"/>
              <w:right w:val="single" w:sz="6" w:space="0" w:color="000000"/>
            </w:tcBorders>
            <w:vAlign w:val="center"/>
          </w:tcPr>
          <w:p w14:paraId="720E802F"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PN-B-06714-28 </w:t>
            </w:r>
          </w:p>
        </w:tc>
      </w:tr>
    </w:tbl>
    <w:p w14:paraId="2B90C3C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niespełniające wymagań określonych w Tabeli 2 mogą być poddane stabilizacji po uprzednim ulepszeniu chlorkiem wapniowym, wapnem, popiołami lotnymi. Grunty o granicy płynności od 40 do 60 % i wskaźniku plastyczności od 15 do 30 % mogą być stabilizowane cementem pod warunkiem użycia specjalnych maszyn lub wstępnego ulepszenia wapnem.  </w:t>
      </w:r>
    </w:p>
    <w:p w14:paraId="6BB46364"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stabilizacji cementem zaleca się użycie gruntów o: </w:t>
      </w:r>
    </w:p>
    <w:p w14:paraId="0255DDF5" w14:textId="77777777" w:rsidR="00955A27" w:rsidRPr="001667DB" w:rsidRDefault="00955A27" w:rsidP="00C73A21">
      <w:pPr>
        <w:spacing w:after="120" w:line="360" w:lineRule="auto"/>
        <w:ind w:left="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wskaźniku piaskowym od 20 do 50,  </w:t>
      </w:r>
    </w:p>
    <w:p w14:paraId="33309F66" w14:textId="77777777" w:rsidR="00955A27" w:rsidRPr="001667DB" w:rsidRDefault="00955A27" w:rsidP="00C73A21">
      <w:pPr>
        <w:spacing w:after="120" w:line="360" w:lineRule="auto"/>
        <w:ind w:left="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zawartości ziaren pozostających na sicie # 2 mm – co najmniej 30 %, </w:t>
      </w:r>
    </w:p>
    <w:p w14:paraId="6B5FEA04" w14:textId="77777777" w:rsidR="00955A27" w:rsidRPr="001667DB" w:rsidRDefault="00955A27" w:rsidP="00C73A21">
      <w:pPr>
        <w:spacing w:after="120" w:line="360" w:lineRule="auto"/>
        <w:ind w:left="56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zawartość ziaren przechodzących przez sito 0,075 mm – nie więcej niż 15 %. </w:t>
      </w:r>
    </w:p>
    <w:p w14:paraId="59A183C1"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Decydującym sprawdzianem przydatności gruntu do stabilizacji są wyniki wytrzymałości na ściskanie próbek gruntu stabilizowanego cementem. Grunt można uznać za przydatny do stabilizacji cementem wtedy, gdy wyniki wytrzymałości na ściskanie próbek gruntu stabilizowanego są zgodne z wymaganiami podanymi w pkt 5.4 niniejszych ST. </w:t>
      </w:r>
    </w:p>
    <w:p w14:paraId="244856F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2.2.1.3.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do stabilizacji popiołami lotnymi </w:t>
      </w:r>
    </w:p>
    <w:p w14:paraId="063CD8A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wykonania stabilizacji popiołami lotnymi nadają się grunty mało i średniospoiste spełniające wymagania podane w Tabeli 3. Przydatność gruntów do stabilizacji popiołami lotnymi należy ocenić na podstawie wyników badań laboratoryjnych. </w:t>
      </w:r>
    </w:p>
    <w:p w14:paraId="67509532"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3. Wymagania wobec gruntów przeznaczonych do stabilizacji popiołami lotnymi  </w:t>
      </w:r>
    </w:p>
    <w:tbl>
      <w:tblPr>
        <w:tblStyle w:val="TableGrid"/>
        <w:tblW w:w="7869" w:type="dxa"/>
        <w:tblInd w:w="715" w:type="dxa"/>
        <w:tblCellMar>
          <w:top w:w="110" w:type="dxa"/>
          <w:left w:w="72" w:type="dxa"/>
          <w:right w:w="6" w:type="dxa"/>
        </w:tblCellMar>
        <w:tblLook w:val="04A0" w:firstRow="1" w:lastRow="0" w:firstColumn="1" w:lastColumn="0" w:noHBand="0" w:noVBand="1"/>
      </w:tblPr>
      <w:tblGrid>
        <w:gridCol w:w="420"/>
        <w:gridCol w:w="4331"/>
        <w:gridCol w:w="1277"/>
        <w:gridCol w:w="1841"/>
      </w:tblGrid>
      <w:tr w:rsidR="00955A27" w:rsidRPr="001667DB" w14:paraId="41A90F93" w14:textId="77777777">
        <w:trPr>
          <w:trHeight w:val="350"/>
        </w:trPr>
        <w:tc>
          <w:tcPr>
            <w:tcW w:w="420" w:type="dxa"/>
            <w:tcBorders>
              <w:top w:val="single" w:sz="6" w:space="0" w:color="000000"/>
              <w:left w:val="single" w:sz="6" w:space="0" w:color="000000"/>
              <w:bottom w:val="single" w:sz="4" w:space="0" w:color="000000"/>
              <w:right w:val="single" w:sz="6" w:space="0" w:color="000000"/>
            </w:tcBorders>
          </w:tcPr>
          <w:p w14:paraId="19789C2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4331" w:type="dxa"/>
            <w:tcBorders>
              <w:top w:val="single" w:sz="6" w:space="0" w:color="000000"/>
              <w:left w:val="single" w:sz="6" w:space="0" w:color="000000"/>
              <w:bottom w:val="single" w:sz="4" w:space="0" w:color="000000"/>
              <w:right w:val="single" w:sz="6" w:space="0" w:color="000000"/>
            </w:tcBorders>
          </w:tcPr>
          <w:p w14:paraId="430B1062"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gruntu </w:t>
            </w:r>
          </w:p>
        </w:tc>
        <w:tc>
          <w:tcPr>
            <w:tcW w:w="1277" w:type="dxa"/>
            <w:tcBorders>
              <w:top w:val="single" w:sz="6" w:space="0" w:color="000000"/>
              <w:left w:val="single" w:sz="6" w:space="0" w:color="000000"/>
              <w:bottom w:val="single" w:sz="4" w:space="0" w:color="000000"/>
              <w:right w:val="single" w:sz="6" w:space="0" w:color="000000"/>
            </w:tcBorders>
          </w:tcPr>
          <w:p w14:paraId="1A804A62" w14:textId="77777777" w:rsidR="00955A27" w:rsidRPr="001667DB" w:rsidRDefault="00955A27" w:rsidP="00955A27">
            <w:pPr>
              <w:spacing w:after="120" w:line="360" w:lineRule="auto"/>
              <w:ind w:left="36"/>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t>
            </w:r>
          </w:p>
        </w:tc>
        <w:tc>
          <w:tcPr>
            <w:tcW w:w="1841" w:type="dxa"/>
            <w:tcBorders>
              <w:top w:val="single" w:sz="6" w:space="0" w:color="000000"/>
              <w:left w:val="single" w:sz="6" w:space="0" w:color="000000"/>
              <w:bottom w:val="single" w:sz="4" w:space="0" w:color="000000"/>
              <w:right w:val="single" w:sz="6" w:space="0" w:color="000000"/>
            </w:tcBorders>
          </w:tcPr>
          <w:p w14:paraId="46B24FB8"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badania </w:t>
            </w:r>
          </w:p>
        </w:tc>
      </w:tr>
      <w:tr w:rsidR="00955A27" w:rsidRPr="001667DB" w14:paraId="5F99F05E" w14:textId="77777777">
        <w:trPr>
          <w:trHeight w:val="2343"/>
        </w:trPr>
        <w:tc>
          <w:tcPr>
            <w:tcW w:w="420" w:type="dxa"/>
            <w:tcBorders>
              <w:top w:val="single" w:sz="4" w:space="0" w:color="000000"/>
              <w:left w:val="single" w:sz="6" w:space="0" w:color="000000"/>
              <w:bottom w:val="single" w:sz="6" w:space="0" w:color="000000"/>
              <w:right w:val="single" w:sz="6" w:space="0" w:color="000000"/>
            </w:tcBorders>
            <w:vAlign w:val="center"/>
          </w:tcPr>
          <w:p w14:paraId="0DC74A0E"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4331" w:type="dxa"/>
            <w:tcBorders>
              <w:top w:val="single" w:sz="4" w:space="0" w:color="000000"/>
              <w:left w:val="single" w:sz="6" w:space="0" w:color="000000"/>
              <w:bottom w:val="single" w:sz="6" w:space="0" w:color="000000"/>
              <w:right w:val="single" w:sz="6" w:space="0" w:color="000000"/>
            </w:tcBorders>
          </w:tcPr>
          <w:p w14:paraId="3170B1C9"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Uziarnienie: </w:t>
            </w:r>
          </w:p>
          <w:p w14:paraId="4B61366C" w14:textId="77777777" w:rsidR="00955A27" w:rsidRPr="001667DB" w:rsidRDefault="00955A27" w:rsidP="00955A27">
            <w:pPr>
              <w:spacing w:after="120" w:line="360" w:lineRule="auto"/>
              <w:ind w:left="113"/>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40 mm, </w:t>
            </w:r>
          </w:p>
          <w:p w14:paraId="6B71B53C"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(m/m) </w:t>
            </w:r>
          </w:p>
          <w:p w14:paraId="04429D23" w14:textId="77777777" w:rsidR="00955A27" w:rsidRPr="001667DB" w:rsidRDefault="00955A27" w:rsidP="00955A27">
            <w:pPr>
              <w:spacing w:after="120" w:line="360" w:lineRule="auto"/>
              <w:ind w:left="113"/>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20 mm, </w:t>
            </w:r>
          </w:p>
          <w:p w14:paraId="0A92EF35"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(m/m), nie mniej niż </w:t>
            </w:r>
          </w:p>
          <w:p w14:paraId="41EF6D2A" w14:textId="77777777" w:rsidR="00955A27" w:rsidRPr="001667DB" w:rsidRDefault="00955A27" w:rsidP="00955A27">
            <w:pPr>
              <w:spacing w:after="120" w:line="360" w:lineRule="auto"/>
              <w:ind w:left="41"/>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ziaren przechodzących przez sito # 4 mm, % </w:t>
            </w:r>
          </w:p>
          <w:p w14:paraId="193BC4D8"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(m/m), nie mniej niż </w:t>
            </w:r>
          </w:p>
          <w:p w14:paraId="24FB4B1E" w14:textId="77777777" w:rsidR="00955A27" w:rsidRPr="001667DB" w:rsidRDefault="00955A27" w:rsidP="00955A27">
            <w:pPr>
              <w:spacing w:after="120" w:line="360" w:lineRule="auto"/>
              <w:ind w:left="53"/>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cząstek mniejszych od 0,002 mm, % (m/m), </w:t>
            </w:r>
          </w:p>
          <w:p w14:paraId="577D7DA9"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więcej niż </w:t>
            </w:r>
          </w:p>
        </w:tc>
        <w:tc>
          <w:tcPr>
            <w:tcW w:w="1277" w:type="dxa"/>
            <w:tcBorders>
              <w:top w:val="single" w:sz="4" w:space="0" w:color="000000"/>
              <w:left w:val="single" w:sz="6" w:space="0" w:color="000000"/>
              <w:bottom w:val="single" w:sz="6" w:space="0" w:color="000000"/>
              <w:right w:val="single" w:sz="6" w:space="0" w:color="000000"/>
            </w:tcBorders>
          </w:tcPr>
          <w:p w14:paraId="044AAC57"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FC24751"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100 </w:t>
            </w:r>
          </w:p>
          <w:p w14:paraId="1B36D3BB"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21657697"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85 </w:t>
            </w:r>
          </w:p>
          <w:p w14:paraId="4C834789"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635C33F3"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w:t>
            </w:r>
          </w:p>
          <w:p w14:paraId="6341E1AB"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17B48A4"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20 </w:t>
            </w:r>
          </w:p>
        </w:tc>
        <w:tc>
          <w:tcPr>
            <w:tcW w:w="1841" w:type="dxa"/>
            <w:tcBorders>
              <w:top w:val="single" w:sz="4" w:space="0" w:color="000000"/>
              <w:left w:val="single" w:sz="6" w:space="0" w:color="000000"/>
              <w:bottom w:val="single" w:sz="6" w:space="0" w:color="000000"/>
              <w:right w:val="single" w:sz="6" w:space="0" w:color="000000"/>
            </w:tcBorders>
            <w:vAlign w:val="center"/>
          </w:tcPr>
          <w:p w14:paraId="219EAE85"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53418953" w14:textId="77777777">
        <w:trPr>
          <w:trHeight w:val="353"/>
        </w:trPr>
        <w:tc>
          <w:tcPr>
            <w:tcW w:w="420" w:type="dxa"/>
            <w:tcBorders>
              <w:top w:val="single" w:sz="6" w:space="0" w:color="000000"/>
              <w:left w:val="single" w:sz="6" w:space="0" w:color="000000"/>
              <w:bottom w:val="single" w:sz="6" w:space="0" w:color="000000"/>
              <w:right w:val="single" w:sz="6" w:space="0" w:color="000000"/>
            </w:tcBorders>
          </w:tcPr>
          <w:p w14:paraId="2FA72E00"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2 </w:t>
            </w:r>
          </w:p>
        </w:tc>
        <w:tc>
          <w:tcPr>
            <w:tcW w:w="4331" w:type="dxa"/>
            <w:tcBorders>
              <w:top w:val="single" w:sz="6" w:space="0" w:color="000000"/>
              <w:left w:val="single" w:sz="6" w:space="0" w:color="000000"/>
              <w:bottom w:val="single" w:sz="6" w:space="0" w:color="000000"/>
              <w:right w:val="single" w:sz="6" w:space="0" w:color="000000"/>
            </w:tcBorders>
          </w:tcPr>
          <w:p w14:paraId="3B9C8666"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Granica płynności, % (m/m), nie więcej niż </w:t>
            </w:r>
          </w:p>
        </w:tc>
        <w:tc>
          <w:tcPr>
            <w:tcW w:w="1277" w:type="dxa"/>
            <w:tcBorders>
              <w:top w:val="single" w:sz="6" w:space="0" w:color="000000"/>
              <w:left w:val="single" w:sz="6" w:space="0" w:color="000000"/>
              <w:bottom w:val="single" w:sz="6" w:space="0" w:color="000000"/>
              <w:right w:val="single" w:sz="6" w:space="0" w:color="000000"/>
            </w:tcBorders>
          </w:tcPr>
          <w:p w14:paraId="7EDCCD12"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40 </w:t>
            </w:r>
          </w:p>
        </w:tc>
        <w:tc>
          <w:tcPr>
            <w:tcW w:w="1841" w:type="dxa"/>
            <w:tcBorders>
              <w:top w:val="single" w:sz="6" w:space="0" w:color="000000"/>
              <w:left w:val="single" w:sz="6" w:space="0" w:color="000000"/>
              <w:bottom w:val="single" w:sz="6" w:space="0" w:color="000000"/>
              <w:right w:val="single" w:sz="6" w:space="0" w:color="000000"/>
            </w:tcBorders>
          </w:tcPr>
          <w:p w14:paraId="77B41975"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60EBA263" w14:textId="77777777">
        <w:trPr>
          <w:trHeight w:val="355"/>
        </w:trPr>
        <w:tc>
          <w:tcPr>
            <w:tcW w:w="420" w:type="dxa"/>
            <w:tcBorders>
              <w:top w:val="single" w:sz="6" w:space="0" w:color="000000"/>
              <w:left w:val="single" w:sz="6" w:space="0" w:color="000000"/>
              <w:bottom w:val="single" w:sz="6" w:space="0" w:color="000000"/>
              <w:right w:val="single" w:sz="6" w:space="0" w:color="000000"/>
            </w:tcBorders>
          </w:tcPr>
          <w:p w14:paraId="143E1DAE"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4331" w:type="dxa"/>
            <w:tcBorders>
              <w:top w:val="single" w:sz="6" w:space="0" w:color="000000"/>
              <w:left w:val="single" w:sz="6" w:space="0" w:color="000000"/>
              <w:bottom w:val="single" w:sz="6" w:space="0" w:color="000000"/>
              <w:right w:val="single" w:sz="6" w:space="0" w:color="000000"/>
            </w:tcBorders>
          </w:tcPr>
          <w:p w14:paraId="2E055E99"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plastyczności, % (m/m) </w:t>
            </w:r>
          </w:p>
        </w:tc>
        <w:tc>
          <w:tcPr>
            <w:tcW w:w="1277" w:type="dxa"/>
            <w:tcBorders>
              <w:top w:val="single" w:sz="6" w:space="0" w:color="000000"/>
              <w:left w:val="single" w:sz="6" w:space="0" w:color="000000"/>
              <w:bottom w:val="single" w:sz="6" w:space="0" w:color="000000"/>
              <w:right w:val="single" w:sz="6" w:space="0" w:color="000000"/>
            </w:tcBorders>
          </w:tcPr>
          <w:p w14:paraId="1F0AEAE0" w14:textId="77777777" w:rsidR="00955A27" w:rsidRPr="001667DB" w:rsidRDefault="00955A27" w:rsidP="00955A27">
            <w:pPr>
              <w:spacing w:after="120" w:line="360" w:lineRule="auto"/>
              <w:ind w:left="77"/>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3 do 20 </w:t>
            </w:r>
          </w:p>
        </w:tc>
        <w:tc>
          <w:tcPr>
            <w:tcW w:w="1841" w:type="dxa"/>
            <w:tcBorders>
              <w:top w:val="single" w:sz="6" w:space="0" w:color="000000"/>
              <w:left w:val="single" w:sz="6" w:space="0" w:color="000000"/>
              <w:bottom w:val="single" w:sz="6" w:space="0" w:color="000000"/>
              <w:right w:val="single" w:sz="6" w:space="0" w:color="000000"/>
            </w:tcBorders>
          </w:tcPr>
          <w:p w14:paraId="00E15E4F"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47A3D2C6" w14:textId="77777777">
        <w:trPr>
          <w:trHeight w:val="571"/>
        </w:trPr>
        <w:tc>
          <w:tcPr>
            <w:tcW w:w="420" w:type="dxa"/>
            <w:tcBorders>
              <w:top w:val="single" w:sz="6" w:space="0" w:color="000000"/>
              <w:left w:val="single" w:sz="6" w:space="0" w:color="000000"/>
              <w:bottom w:val="single" w:sz="6" w:space="0" w:color="000000"/>
              <w:right w:val="single" w:sz="6" w:space="0" w:color="000000"/>
            </w:tcBorders>
            <w:vAlign w:val="center"/>
          </w:tcPr>
          <w:p w14:paraId="4AC197D1"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4331" w:type="dxa"/>
            <w:tcBorders>
              <w:top w:val="single" w:sz="6" w:space="0" w:color="000000"/>
              <w:left w:val="single" w:sz="6" w:space="0" w:color="000000"/>
              <w:bottom w:val="single" w:sz="6" w:space="0" w:color="000000"/>
              <w:right w:val="single" w:sz="6" w:space="0" w:color="000000"/>
            </w:tcBorders>
          </w:tcPr>
          <w:p w14:paraId="7FEA08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części organicznych, % (m/m), nie więcej niż </w:t>
            </w:r>
          </w:p>
        </w:tc>
        <w:tc>
          <w:tcPr>
            <w:tcW w:w="1277" w:type="dxa"/>
            <w:tcBorders>
              <w:top w:val="single" w:sz="6" w:space="0" w:color="000000"/>
              <w:left w:val="single" w:sz="6" w:space="0" w:color="000000"/>
              <w:bottom w:val="single" w:sz="6" w:space="0" w:color="000000"/>
              <w:right w:val="single" w:sz="6" w:space="0" w:color="000000"/>
            </w:tcBorders>
            <w:vAlign w:val="center"/>
          </w:tcPr>
          <w:p w14:paraId="505FFB62"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1841" w:type="dxa"/>
            <w:tcBorders>
              <w:top w:val="single" w:sz="6" w:space="0" w:color="000000"/>
              <w:left w:val="single" w:sz="6" w:space="0" w:color="000000"/>
              <w:bottom w:val="single" w:sz="6" w:space="0" w:color="000000"/>
              <w:right w:val="single" w:sz="6" w:space="0" w:color="000000"/>
            </w:tcBorders>
            <w:vAlign w:val="center"/>
          </w:tcPr>
          <w:p w14:paraId="0D3BBBE4"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w:t>
            </w:r>
          </w:p>
        </w:tc>
      </w:tr>
      <w:tr w:rsidR="00955A27" w:rsidRPr="001667DB" w14:paraId="32AAE08B" w14:textId="77777777">
        <w:trPr>
          <w:trHeight w:val="574"/>
        </w:trPr>
        <w:tc>
          <w:tcPr>
            <w:tcW w:w="420" w:type="dxa"/>
            <w:tcBorders>
              <w:top w:val="single" w:sz="6" w:space="0" w:color="000000"/>
              <w:left w:val="single" w:sz="6" w:space="0" w:color="000000"/>
              <w:bottom w:val="single" w:sz="6" w:space="0" w:color="000000"/>
              <w:right w:val="single" w:sz="6" w:space="0" w:color="000000"/>
            </w:tcBorders>
            <w:vAlign w:val="center"/>
          </w:tcPr>
          <w:p w14:paraId="72D9D190"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4331" w:type="dxa"/>
            <w:tcBorders>
              <w:top w:val="single" w:sz="6" w:space="0" w:color="000000"/>
              <w:left w:val="single" w:sz="6" w:space="0" w:color="000000"/>
              <w:bottom w:val="single" w:sz="6" w:space="0" w:color="000000"/>
              <w:right w:val="single" w:sz="6" w:space="0" w:color="000000"/>
            </w:tcBorders>
          </w:tcPr>
          <w:p w14:paraId="29498723" w14:textId="77777777" w:rsidR="00955A27" w:rsidRPr="001667DB" w:rsidRDefault="00955A27" w:rsidP="00955A27">
            <w:pPr>
              <w:spacing w:after="120" w:line="360" w:lineRule="auto"/>
              <w:ind w:left="19"/>
              <w:rPr>
                <w:rFonts w:ascii="Times New Roman" w:hAnsi="Times New Roman" w:cs="Times New Roman"/>
                <w:color w:val="000000" w:themeColor="text1"/>
              </w:rPr>
            </w:pPr>
            <w:r w:rsidRPr="001667DB">
              <w:rPr>
                <w:rFonts w:ascii="Times New Roman" w:hAnsi="Times New Roman" w:cs="Times New Roman"/>
                <w:color w:val="000000" w:themeColor="text1"/>
              </w:rPr>
              <w:t>Zawartość siarczanów, w przeliczeniu na SO</w:t>
            </w:r>
            <w:r w:rsidRPr="001667DB">
              <w:rPr>
                <w:rFonts w:ascii="Times New Roman" w:hAnsi="Times New Roman" w:cs="Times New Roman"/>
                <w:color w:val="000000" w:themeColor="text1"/>
                <w:vertAlign w:val="subscript"/>
              </w:rPr>
              <w:t>3</w:t>
            </w:r>
            <w:r w:rsidRPr="001667DB">
              <w:rPr>
                <w:rFonts w:ascii="Times New Roman" w:hAnsi="Times New Roman" w:cs="Times New Roman"/>
                <w:color w:val="000000" w:themeColor="text1"/>
              </w:rPr>
              <w:t xml:space="preserve">, </w:t>
            </w:r>
          </w:p>
          <w:p w14:paraId="04D20D14"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(m/m), nie więcej niż </w:t>
            </w:r>
          </w:p>
        </w:tc>
        <w:tc>
          <w:tcPr>
            <w:tcW w:w="1277" w:type="dxa"/>
            <w:tcBorders>
              <w:top w:val="single" w:sz="6" w:space="0" w:color="000000"/>
              <w:left w:val="single" w:sz="6" w:space="0" w:color="000000"/>
              <w:bottom w:val="single" w:sz="6" w:space="0" w:color="000000"/>
              <w:right w:val="single" w:sz="6" w:space="0" w:color="000000"/>
            </w:tcBorders>
            <w:vAlign w:val="center"/>
          </w:tcPr>
          <w:p w14:paraId="094C770F"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1841" w:type="dxa"/>
            <w:tcBorders>
              <w:top w:val="single" w:sz="6" w:space="0" w:color="000000"/>
              <w:left w:val="single" w:sz="6" w:space="0" w:color="000000"/>
              <w:bottom w:val="single" w:sz="6" w:space="0" w:color="000000"/>
              <w:right w:val="single" w:sz="6" w:space="0" w:color="000000"/>
            </w:tcBorders>
            <w:vAlign w:val="center"/>
          </w:tcPr>
          <w:p w14:paraId="5580362B"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PN-B-06714-28 </w:t>
            </w:r>
          </w:p>
        </w:tc>
      </w:tr>
    </w:tbl>
    <w:p w14:paraId="607514E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o wskaźniku plastyczności mniejszym od 3 można doziarnić gruntem spoistym lub stosować dodatki ulepszające: cement, chlorek wapniowy lub wodorotlenek sodu. </w:t>
      </w:r>
    </w:p>
    <w:p w14:paraId="06B0BF8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Decydującym sprawdzianem przydatności gruntu do stabilizacji są wyniki wytrzymałości na ściskanie próbek gruntu stabilizowanego popiołami lotnymi. Grunt można uznać za przydatny do stabilizacji popiołami lotnymi wtedy, gdy wyniki wytrzymałości na ściskanie próbek gruntu stabilizowanego są zgodne z wymaganiami podanymi w pkt 5.4 niniejszych ST. </w:t>
      </w:r>
    </w:p>
    <w:p w14:paraId="45B0B2C7"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2.2.1.4.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do stabilizacji granulowanym żużlem wielkopiecowym </w:t>
      </w:r>
    </w:p>
    <w:p w14:paraId="26C7452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stabilizacji granulowanym żużlem wielkopiecowym nadają się grunty o właściwościach podanych w Tabeli 4 i o krzywej uziarnienia leżącej w obszarze określonym na Rysunku 1. </w:t>
      </w:r>
    </w:p>
    <w:p w14:paraId="45B3A561"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Przydatność gruntów do stabilizacji wielkopiecowym żużlem granulowanym należy ocenić na podstawie wyników badań laboratoryjnych. </w:t>
      </w:r>
    </w:p>
    <w:p w14:paraId="17DC6264"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4. Wymagania wobec gruntów przeznaczonych do stabilizacji granulowanym żużlem wielkopiecowym </w:t>
      </w:r>
    </w:p>
    <w:tbl>
      <w:tblPr>
        <w:tblStyle w:val="TableGrid"/>
        <w:tblW w:w="7511" w:type="dxa"/>
        <w:tblInd w:w="715" w:type="dxa"/>
        <w:tblCellMar>
          <w:top w:w="110" w:type="dxa"/>
          <w:left w:w="72" w:type="dxa"/>
          <w:right w:w="6" w:type="dxa"/>
        </w:tblCellMar>
        <w:tblLook w:val="04A0" w:firstRow="1" w:lastRow="0" w:firstColumn="1" w:lastColumn="0" w:noHBand="0" w:noVBand="1"/>
      </w:tblPr>
      <w:tblGrid>
        <w:gridCol w:w="420"/>
        <w:gridCol w:w="3620"/>
        <w:gridCol w:w="1560"/>
        <w:gridCol w:w="1911"/>
      </w:tblGrid>
      <w:tr w:rsidR="00955A27" w:rsidRPr="001667DB" w14:paraId="7FF866A6" w14:textId="77777777">
        <w:trPr>
          <w:trHeight w:val="353"/>
        </w:trPr>
        <w:tc>
          <w:tcPr>
            <w:tcW w:w="420" w:type="dxa"/>
            <w:tcBorders>
              <w:top w:val="single" w:sz="6" w:space="0" w:color="000000"/>
              <w:left w:val="single" w:sz="6" w:space="0" w:color="000000"/>
              <w:bottom w:val="single" w:sz="4" w:space="0" w:color="000000"/>
              <w:right w:val="single" w:sz="6" w:space="0" w:color="000000"/>
            </w:tcBorders>
          </w:tcPr>
          <w:p w14:paraId="7CB75C3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3620" w:type="dxa"/>
            <w:tcBorders>
              <w:top w:val="single" w:sz="6" w:space="0" w:color="000000"/>
              <w:left w:val="single" w:sz="6" w:space="0" w:color="000000"/>
              <w:bottom w:val="single" w:sz="4" w:space="0" w:color="000000"/>
              <w:right w:val="single" w:sz="6" w:space="0" w:color="000000"/>
            </w:tcBorders>
          </w:tcPr>
          <w:p w14:paraId="215A55B2"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w:t>
            </w:r>
          </w:p>
        </w:tc>
        <w:tc>
          <w:tcPr>
            <w:tcW w:w="1560" w:type="dxa"/>
            <w:tcBorders>
              <w:top w:val="single" w:sz="6" w:space="0" w:color="000000"/>
              <w:left w:val="single" w:sz="6" w:space="0" w:color="000000"/>
              <w:bottom w:val="single" w:sz="4" w:space="0" w:color="000000"/>
              <w:right w:val="single" w:sz="6" w:space="0" w:color="000000"/>
            </w:tcBorders>
          </w:tcPr>
          <w:p w14:paraId="219656B9"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t>
            </w:r>
          </w:p>
        </w:tc>
        <w:tc>
          <w:tcPr>
            <w:tcW w:w="1911" w:type="dxa"/>
            <w:tcBorders>
              <w:top w:val="single" w:sz="6" w:space="0" w:color="000000"/>
              <w:left w:val="single" w:sz="6" w:space="0" w:color="000000"/>
              <w:bottom w:val="single" w:sz="4" w:space="0" w:color="000000"/>
              <w:right w:val="single" w:sz="6" w:space="0" w:color="000000"/>
            </w:tcBorders>
          </w:tcPr>
          <w:p w14:paraId="1F89AE82"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badania </w:t>
            </w:r>
          </w:p>
        </w:tc>
      </w:tr>
      <w:tr w:rsidR="00955A27" w:rsidRPr="001667DB" w14:paraId="2F46951B" w14:textId="77777777">
        <w:trPr>
          <w:trHeight w:val="350"/>
        </w:trPr>
        <w:tc>
          <w:tcPr>
            <w:tcW w:w="420" w:type="dxa"/>
            <w:tcBorders>
              <w:top w:val="single" w:sz="4" w:space="0" w:color="000000"/>
              <w:left w:val="single" w:sz="6" w:space="0" w:color="000000"/>
              <w:bottom w:val="single" w:sz="6" w:space="0" w:color="000000"/>
              <w:right w:val="single" w:sz="6" w:space="0" w:color="000000"/>
            </w:tcBorders>
          </w:tcPr>
          <w:p w14:paraId="7786DBB2"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3620" w:type="dxa"/>
            <w:tcBorders>
              <w:top w:val="single" w:sz="4" w:space="0" w:color="000000"/>
              <w:left w:val="single" w:sz="6" w:space="0" w:color="000000"/>
              <w:bottom w:val="single" w:sz="6" w:space="0" w:color="000000"/>
              <w:right w:val="single" w:sz="6" w:space="0" w:color="000000"/>
            </w:tcBorders>
          </w:tcPr>
          <w:p w14:paraId="0BA7435D" w14:textId="77777777" w:rsidR="00955A27" w:rsidRPr="001667DB" w:rsidRDefault="00955A27" w:rsidP="00955A27">
            <w:pPr>
              <w:spacing w:after="120" w:line="360" w:lineRule="auto"/>
              <w:ind w:left="29"/>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piaskowy, nie mniejszy niż: </w:t>
            </w:r>
          </w:p>
        </w:tc>
        <w:tc>
          <w:tcPr>
            <w:tcW w:w="1560" w:type="dxa"/>
            <w:tcBorders>
              <w:top w:val="single" w:sz="4" w:space="0" w:color="000000"/>
              <w:left w:val="single" w:sz="6" w:space="0" w:color="000000"/>
              <w:bottom w:val="single" w:sz="6" w:space="0" w:color="000000"/>
              <w:right w:val="single" w:sz="6" w:space="0" w:color="000000"/>
            </w:tcBorders>
          </w:tcPr>
          <w:p w14:paraId="2ACFF877"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35 </w:t>
            </w:r>
          </w:p>
        </w:tc>
        <w:tc>
          <w:tcPr>
            <w:tcW w:w="1911" w:type="dxa"/>
            <w:tcBorders>
              <w:top w:val="single" w:sz="4" w:space="0" w:color="000000"/>
              <w:left w:val="single" w:sz="6" w:space="0" w:color="000000"/>
              <w:bottom w:val="single" w:sz="6" w:space="0" w:color="000000"/>
              <w:right w:val="single" w:sz="6" w:space="0" w:color="000000"/>
            </w:tcBorders>
          </w:tcPr>
          <w:p w14:paraId="077BB11F"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BN-8931-01 </w:t>
            </w:r>
          </w:p>
        </w:tc>
      </w:tr>
      <w:tr w:rsidR="00955A27" w:rsidRPr="001667DB" w14:paraId="5E422BBF" w14:textId="77777777">
        <w:trPr>
          <w:trHeight w:val="574"/>
        </w:trPr>
        <w:tc>
          <w:tcPr>
            <w:tcW w:w="420" w:type="dxa"/>
            <w:tcBorders>
              <w:top w:val="single" w:sz="6" w:space="0" w:color="000000"/>
              <w:left w:val="single" w:sz="6" w:space="0" w:color="000000"/>
              <w:bottom w:val="single" w:sz="6" w:space="0" w:color="000000"/>
              <w:right w:val="single" w:sz="6" w:space="0" w:color="000000"/>
            </w:tcBorders>
            <w:vAlign w:val="center"/>
          </w:tcPr>
          <w:p w14:paraId="41D2F20B"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3620" w:type="dxa"/>
            <w:tcBorders>
              <w:top w:val="single" w:sz="6" w:space="0" w:color="000000"/>
              <w:left w:val="single" w:sz="6" w:space="0" w:color="000000"/>
              <w:bottom w:val="single" w:sz="6" w:space="0" w:color="000000"/>
              <w:right w:val="single" w:sz="6" w:space="0" w:color="000000"/>
            </w:tcBorders>
          </w:tcPr>
          <w:p w14:paraId="549C638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części organicznych, barwa cieczy nie ciemniejsza niż: </w:t>
            </w:r>
          </w:p>
        </w:tc>
        <w:tc>
          <w:tcPr>
            <w:tcW w:w="1560" w:type="dxa"/>
            <w:tcBorders>
              <w:top w:val="single" w:sz="6" w:space="0" w:color="000000"/>
              <w:left w:val="single" w:sz="6" w:space="0" w:color="000000"/>
              <w:bottom w:val="single" w:sz="6" w:space="0" w:color="000000"/>
              <w:right w:val="single" w:sz="6" w:space="0" w:color="000000"/>
            </w:tcBorders>
            <w:vAlign w:val="center"/>
          </w:tcPr>
          <w:p w14:paraId="0EA39348"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wzorcowa </w:t>
            </w:r>
          </w:p>
        </w:tc>
        <w:tc>
          <w:tcPr>
            <w:tcW w:w="1911" w:type="dxa"/>
            <w:tcBorders>
              <w:top w:val="single" w:sz="6" w:space="0" w:color="000000"/>
              <w:left w:val="single" w:sz="6" w:space="0" w:color="000000"/>
              <w:bottom w:val="single" w:sz="6" w:space="0" w:color="000000"/>
              <w:right w:val="single" w:sz="6" w:space="0" w:color="000000"/>
            </w:tcBorders>
            <w:vAlign w:val="center"/>
          </w:tcPr>
          <w:p w14:paraId="3455E515"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PN-B-06714-26 </w:t>
            </w:r>
          </w:p>
        </w:tc>
      </w:tr>
      <w:tr w:rsidR="00955A27" w:rsidRPr="001667DB" w14:paraId="54A07CFE" w14:textId="77777777">
        <w:trPr>
          <w:trHeight w:val="571"/>
        </w:trPr>
        <w:tc>
          <w:tcPr>
            <w:tcW w:w="420" w:type="dxa"/>
            <w:tcBorders>
              <w:top w:val="single" w:sz="6" w:space="0" w:color="000000"/>
              <w:left w:val="single" w:sz="6" w:space="0" w:color="000000"/>
              <w:bottom w:val="single" w:sz="6" w:space="0" w:color="000000"/>
              <w:right w:val="single" w:sz="6" w:space="0" w:color="000000"/>
            </w:tcBorders>
            <w:vAlign w:val="center"/>
          </w:tcPr>
          <w:p w14:paraId="2B95256A"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3620" w:type="dxa"/>
            <w:tcBorders>
              <w:top w:val="single" w:sz="6" w:space="0" w:color="000000"/>
              <w:left w:val="single" w:sz="6" w:space="0" w:color="000000"/>
              <w:bottom w:val="single" w:sz="6" w:space="0" w:color="000000"/>
              <w:right w:val="single" w:sz="6" w:space="0" w:color="000000"/>
            </w:tcBorders>
          </w:tcPr>
          <w:p w14:paraId="13C923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ziaren poniżej 0,075 mm, % (m/m), nie więcej niż: </w:t>
            </w:r>
          </w:p>
        </w:tc>
        <w:tc>
          <w:tcPr>
            <w:tcW w:w="1560" w:type="dxa"/>
            <w:tcBorders>
              <w:top w:val="single" w:sz="6" w:space="0" w:color="000000"/>
              <w:left w:val="single" w:sz="6" w:space="0" w:color="000000"/>
              <w:bottom w:val="single" w:sz="6" w:space="0" w:color="000000"/>
              <w:right w:val="single" w:sz="6" w:space="0" w:color="000000"/>
            </w:tcBorders>
            <w:vAlign w:val="center"/>
          </w:tcPr>
          <w:p w14:paraId="2676312C"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 </w:t>
            </w:r>
          </w:p>
        </w:tc>
        <w:tc>
          <w:tcPr>
            <w:tcW w:w="1911" w:type="dxa"/>
            <w:tcBorders>
              <w:top w:val="single" w:sz="6" w:space="0" w:color="000000"/>
              <w:left w:val="single" w:sz="6" w:space="0" w:color="000000"/>
              <w:bottom w:val="single" w:sz="6" w:space="0" w:color="000000"/>
              <w:right w:val="single" w:sz="6" w:space="0" w:color="000000"/>
            </w:tcBorders>
            <w:vAlign w:val="center"/>
          </w:tcPr>
          <w:p w14:paraId="1F49286C"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PN-B-06714-15 </w:t>
            </w:r>
          </w:p>
        </w:tc>
      </w:tr>
    </w:tbl>
    <w:p w14:paraId="2BE7FA3C" w14:textId="77777777" w:rsidR="00955A27" w:rsidRPr="001667DB" w:rsidRDefault="00955A27" w:rsidP="00955A27">
      <w:pPr>
        <w:spacing w:after="120" w:line="360" w:lineRule="auto"/>
        <w:ind w:lef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D77A117" w14:textId="77777777" w:rsidR="00955A27" w:rsidRPr="001667DB" w:rsidRDefault="00955A27" w:rsidP="00955A27">
      <w:pPr>
        <w:spacing w:after="120" w:line="360" w:lineRule="auto"/>
        <w:ind w:right="827"/>
        <w:jc w:val="right"/>
        <w:rPr>
          <w:rFonts w:ascii="Times New Roman" w:hAnsi="Times New Roman" w:cs="Times New Roman"/>
          <w:color w:val="000000" w:themeColor="text1"/>
        </w:rPr>
      </w:pPr>
      <w:r w:rsidRPr="001667DB">
        <w:rPr>
          <w:rFonts w:ascii="Times New Roman" w:hAnsi="Times New Roman" w:cs="Times New Roman"/>
          <w:noProof/>
          <w:color w:val="000000" w:themeColor="text1"/>
          <w:lang w:eastAsia="pl-PL"/>
        </w:rPr>
        <w:lastRenderedPageBreak/>
        <w:drawing>
          <wp:inline distT="0" distB="0" distL="0" distR="0" wp14:anchorId="7321D488" wp14:editId="73E35293">
            <wp:extent cx="4629150" cy="2695575"/>
            <wp:effectExtent l="0" t="0" r="0" b="0"/>
            <wp:docPr id="2321" name="Picture 2321"/>
            <wp:cNvGraphicFramePr/>
            <a:graphic xmlns:a="http://schemas.openxmlformats.org/drawingml/2006/main">
              <a:graphicData uri="http://schemas.openxmlformats.org/drawingml/2006/picture">
                <pic:pic xmlns:pic="http://schemas.openxmlformats.org/drawingml/2006/picture">
                  <pic:nvPicPr>
                    <pic:cNvPr id="2321" name="Picture 2321"/>
                    <pic:cNvPicPr/>
                  </pic:nvPicPr>
                  <pic:blipFill>
                    <a:blip r:embed="rId29"/>
                    <a:stretch>
                      <a:fillRect/>
                    </a:stretch>
                  </pic:blipFill>
                  <pic:spPr>
                    <a:xfrm>
                      <a:off x="0" y="0"/>
                      <a:ext cx="4629150" cy="2695575"/>
                    </a:xfrm>
                    <a:prstGeom prst="rect">
                      <a:avLst/>
                    </a:prstGeom>
                  </pic:spPr>
                </pic:pic>
              </a:graphicData>
            </a:graphic>
          </wp:inline>
        </w:drawing>
      </w:r>
      <w:r w:rsidRPr="001667DB">
        <w:rPr>
          <w:rFonts w:ascii="Times New Roman" w:hAnsi="Times New Roman" w:cs="Times New Roman"/>
          <w:color w:val="000000" w:themeColor="text1"/>
        </w:rPr>
        <w:t xml:space="preserve"> </w:t>
      </w:r>
    </w:p>
    <w:p w14:paraId="716BF2A1" w14:textId="77777777" w:rsidR="00955A27" w:rsidRPr="001667DB" w:rsidRDefault="00955A27" w:rsidP="00955A27">
      <w:pPr>
        <w:spacing w:after="120" w:line="360" w:lineRule="auto"/>
        <w:ind w:left="2554" w:hanging="2213"/>
        <w:rPr>
          <w:rFonts w:ascii="Times New Roman" w:hAnsi="Times New Roman" w:cs="Times New Roman"/>
          <w:color w:val="000000" w:themeColor="text1"/>
        </w:rPr>
      </w:pPr>
      <w:r w:rsidRPr="001667DB">
        <w:rPr>
          <w:rFonts w:ascii="Times New Roman" w:hAnsi="Times New Roman" w:cs="Times New Roman"/>
          <w:color w:val="000000" w:themeColor="text1"/>
        </w:rPr>
        <w:t xml:space="preserve">Rysunek 1. Obszar uziarnienia dla gruntów i materiałów odpadowych do stabilizacji granulowanym żużlem wielkopiecowym </w:t>
      </w:r>
    </w:p>
    <w:p w14:paraId="5547ED51" w14:textId="77777777" w:rsidR="00955A27" w:rsidRPr="001667DB" w:rsidRDefault="00955A27" w:rsidP="00C73A21">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3682CB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2.2.1.5.</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Grunty do stabilizacji hydraulicznym spoiwem drogowym  </w:t>
      </w:r>
    </w:p>
    <w:p w14:paraId="0E895995"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użytkowe konkretnego hydraulicznego spoiwa drogowego decydują o jego przeznaczeniu do wykonania stabilizacji określonych rodzajów gruntów. Przydatność gruntów do stabilizacji hydraulicznym spoiwem drogowym należy ocenić na podstawie wyników badań laboratoryjnych. Grunt można uznać za przydatny do stabilizacji hydraulicznym spoiwem drogowym wtedy, gdy wyniki wytrzymałości na ściskanie próbek gruntu stabilizowanego są zgodne z wymaganiami podanymi w pkt 5.4 niniejszych ST. </w:t>
      </w:r>
    </w:p>
    <w:p w14:paraId="463E5377" w14:textId="77777777" w:rsidR="00955A27" w:rsidRPr="001667DB" w:rsidRDefault="00955A27" w:rsidP="00C73A21">
      <w:pPr>
        <w:pStyle w:val="Nagwek3"/>
      </w:pPr>
      <w:r w:rsidRPr="001667DB">
        <w:t>2.2.2.</w:t>
      </w:r>
      <w:r w:rsidRPr="001667DB">
        <w:rPr>
          <w:rFonts w:eastAsia="Arial"/>
        </w:rPr>
        <w:t xml:space="preserve"> </w:t>
      </w:r>
      <w:r w:rsidRPr="001667DB">
        <w:t xml:space="preserve">Spoiwa hydrauliczne </w:t>
      </w:r>
    </w:p>
    <w:p w14:paraId="6014C7C2" w14:textId="77777777" w:rsidR="00955A27" w:rsidRPr="001667DB" w:rsidRDefault="00955A27" w:rsidP="00C73A21">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2.2.2.1.</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Cement do stabilizacji gruntu cementem powinien spełniać wymagania PN-EN 197-1. </w:t>
      </w:r>
    </w:p>
    <w:p w14:paraId="18403AEA" w14:textId="77777777" w:rsidR="00955A27" w:rsidRPr="001667DB" w:rsidRDefault="00955A27" w:rsidP="00C73A21">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2.2.2.2.</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Granulowany żużel wielkopiecowy do stabilizacji gruntu granulowanym żużlem wielkopiecowym powinien spełniać wymagania: </w:t>
      </w:r>
    </w:p>
    <w:p w14:paraId="7320E9E3" w14:textId="77777777" w:rsidR="00955A27" w:rsidRPr="001667DB" w:rsidRDefault="00955A27" w:rsidP="00904E6C">
      <w:pPr>
        <w:numPr>
          <w:ilvl w:val="0"/>
          <w:numId w:val="105"/>
        </w:numPr>
        <w:spacing w:after="120" w:line="360" w:lineRule="auto"/>
        <w:ind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15167-1 w przypadku stosowania granulowanego żużla wielkopiecowego mielonego, </w:t>
      </w:r>
    </w:p>
    <w:p w14:paraId="50B9A339" w14:textId="77777777" w:rsidR="00955A27" w:rsidRPr="001667DB" w:rsidRDefault="00955A27" w:rsidP="00904E6C">
      <w:pPr>
        <w:numPr>
          <w:ilvl w:val="0"/>
          <w:numId w:val="105"/>
        </w:numPr>
        <w:spacing w:after="120" w:line="360" w:lineRule="auto"/>
        <w:ind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14227-2 Załącznik A w przypadku stosowania granulowanego żużla wielkopiecowego częściowo zmielonego. </w:t>
      </w:r>
    </w:p>
    <w:p w14:paraId="7CB7A1FD" w14:textId="77777777" w:rsidR="00955A27" w:rsidRPr="001667DB" w:rsidRDefault="00955A27" w:rsidP="00C73A21">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2.2.2.3.</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Popiół lotny, krzemionkowy lub wapienny do stabilizacji gruntu popiołem lotnym powinien spełniać wymagania PN-EN 14227-4. </w:t>
      </w:r>
    </w:p>
    <w:p w14:paraId="2BCE5069" w14:textId="77777777" w:rsidR="00955A27" w:rsidRPr="001667DB" w:rsidRDefault="00955A27" w:rsidP="00C73A21">
      <w:pPr>
        <w:spacing w:after="120" w:line="360" w:lineRule="auto"/>
        <w:ind w:left="837" w:hanging="852"/>
        <w:jc w:val="both"/>
        <w:rPr>
          <w:rFonts w:ascii="Times New Roman" w:hAnsi="Times New Roman" w:cs="Times New Roman"/>
          <w:color w:val="000000" w:themeColor="text1"/>
        </w:rPr>
      </w:pPr>
      <w:r w:rsidRPr="001667DB">
        <w:rPr>
          <w:rFonts w:ascii="Times New Roman" w:hAnsi="Times New Roman" w:cs="Times New Roman"/>
          <w:color w:val="000000" w:themeColor="text1"/>
        </w:rPr>
        <w:t>2.2.2.4.</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Hydrauliczne spoiwo drogowe do stabilizacji gruntu hydraulicznym spoiwem drogowym powinno spełniać wymagania: </w:t>
      </w:r>
    </w:p>
    <w:p w14:paraId="24EF9C65" w14:textId="77777777" w:rsidR="00955A27" w:rsidRPr="001667DB" w:rsidRDefault="00955A27" w:rsidP="00904E6C">
      <w:pPr>
        <w:numPr>
          <w:ilvl w:val="0"/>
          <w:numId w:val="105"/>
        </w:numPr>
        <w:spacing w:after="120" w:line="360" w:lineRule="auto"/>
        <w:ind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13282-1 w przypadku stosowania hydraulicznego spoiwa drogowego szybko wiążącego, </w:t>
      </w:r>
    </w:p>
    <w:p w14:paraId="174F96C6" w14:textId="77777777" w:rsidR="00955A27" w:rsidRPr="001667DB" w:rsidRDefault="00955A27" w:rsidP="00904E6C">
      <w:pPr>
        <w:numPr>
          <w:ilvl w:val="0"/>
          <w:numId w:val="105"/>
        </w:numPr>
        <w:spacing w:after="120" w:line="360" w:lineRule="auto"/>
        <w:ind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13282-2 w przypadku stosowania hydraulicznego spoiwa drogowego normalnie wiążącego. </w:t>
      </w:r>
    </w:p>
    <w:p w14:paraId="6357F9B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Hydrauliczne spoiwo drogowe do stabilizacji gruntu, które jako wyrób budowlany jest dopuszczone do stosowania na podstawie europejskiej oceny technicznej lub krajowej oceny technicznej lub aprobaty technicznej, powinno spełniać wymagania podane w dokumencie dopuszczającym. </w:t>
      </w:r>
    </w:p>
    <w:p w14:paraId="41143F91" w14:textId="77777777" w:rsidR="00955A27" w:rsidRPr="001667DB" w:rsidRDefault="00955A27" w:rsidP="00C73A21">
      <w:pPr>
        <w:pStyle w:val="Nagwek3"/>
      </w:pPr>
      <w:r w:rsidRPr="001667DB">
        <w:t>2.2.3.</w:t>
      </w:r>
      <w:r w:rsidRPr="001667DB">
        <w:rPr>
          <w:rFonts w:eastAsia="Arial"/>
        </w:rPr>
        <w:t xml:space="preserve"> </w:t>
      </w:r>
      <w:r w:rsidRPr="001667DB">
        <w:t xml:space="preserve">Wapno  </w:t>
      </w:r>
    </w:p>
    <w:p w14:paraId="40D78633"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stabilizacji gruntu wapnem należy stosować wapno wapniowe 90 oznaczone symbolem </w:t>
      </w:r>
    </w:p>
    <w:p w14:paraId="27443B47"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CL90 lub wapno wapniowe 80 oznaczone symbolem CL80 spełniające wymagania PN-EN 4591, które może być w postaci (jako produkt): wapna palonego lub wapna hydratyzowanego. Wymagania w odniesieniu do właściwości użytkowych wapna palonego, takich jak:  </w:t>
      </w:r>
    </w:p>
    <w:p w14:paraId="7FA2EA15" w14:textId="77777777" w:rsidR="00955A27" w:rsidRPr="001667DB" w:rsidRDefault="00955A27" w:rsidP="00904E6C">
      <w:pPr>
        <w:pStyle w:val="Akapitzlist"/>
        <w:numPr>
          <w:ilvl w:val="0"/>
          <w:numId w:val="315"/>
        </w:numPr>
        <w:spacing w:after="120" w:line="360" w:lineRule="auto"/>
        <w:ind w:right="2633"/>
        <w:rPr>
          <w:color w:val="000000" w:themeColor="text1"/>
          <w:sz w:val="22"/>
          <w:szCs w:val="22"/>
        </w:rPr>
      </w:pPr>
      <w:r w:rsidRPr="001667DB">
        <w:rPr>
          <w:color w:val="000000" w:themeColor="text1"/>
          <w:sz w:val="22"/>
          <w:szCs w:val="22"/>
        </w:rPr>
        <w:t xml:space="preserve">reaktywność, wymagania: R4,R5 – CL90; R3,R4 – CL80, rozkład wielkości ziaren, wymaganie P1 lub P4. </w:t>
      </w:r>
    </w:p>
    <w:p w14:paraId="27FB18EC" w14:textId="77777777" w:rsidR="00955A27" w:rsidRPr="001667DB" w:rsidRDefault="00955A27" w:rsidP="00C73A21">
      <w:pPr>
        <w:pStyle w:val="Nagwek3"/>
      </w:pPr>
      <w:r w:rsidRPr="001667DB">
        <w:t>2.2.4.</w:t>
      </w:r>
      <w:r w:rsidRPr="001667DB">
        <w:rPr>
          <w:rFonts w:eastAsia="Arial"/>
        </w:rPr>
        <w:t xml:space="preserve"> </w:t>
      </w:r>
      <w:r w:rsidRPr="001667DB">
        <w:t xml:space="preserve">Dodatki i aktywatory  </w:t>
      </w:r>
    </w:p>
    <w:p w14:paraId="66F7E1C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 dodatki i aktywatory mogą być stosowane materiały, które regulują przebieg reakcji hydraulicznej i/lub poprawiają urabialność mieszanki gruntowo-spoiwowej. </w:t>
      </w:r>
    </w:p>
    <w:p w14:paraId="4E9DC3DF" w14:textId="77777777" w:rsidR="00955A27" w:rsidRPr="001667DB" w:rsidRDefault="00955A27" w:rsidP="00C73A21">
      <w:pPr>
        <w:pStyle w:val="Nagwek3"/>
      </w:pPr>
      <w:r w:rsidRPr="001667DB">
        <w:t>2.2.5.</w:t>
      </w:r>
      <w:r w:rsidRPr="001667DB">
        <w:rPr>
          <w:rFonts w:eastAsia="Arial"/>
        </w:rPr>
        <w:t xml:space="preserve"> </w:t>
      </w:r>
      <w:r w:rsidRPr="001667DB">
        <w:t xml:space="preserve">Woda  </w:t>
      </w:r>
    </w:p>
    <w:p w14:paraId="1570126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Woda stosowana do stabilizacji gruntu i ewentualnie do pielęgnacji gruntu stabilizowanego powinna odpowiadać wymaganiom PN-EN 1008. Bez badań laboratoryjnych można stosować wodociągową wodę pitną.  </w:t>
      </w:r>
    </w:p>
    <w:p w14:paraId="077F1C2A" w14:textId="77777777" w:rsidR="00955A27" w:rsidRPr="00326BBF" w:rsidRDefault="00955A27" w:rsidP="00C73A21">
      <w:pPr>
        <w:pStyle w:val="Nagwek1"/>
        <w:tabs>
          <w:tab w:val="center" w:pos="993"/>
        </w:tabs>
        <w:spacing w:line="360" w:lineRule="auto"/>
        <w:ind w:left="-15"/>
        <w:jc w:val="both"/>
        <w:rPr>
          <w:color w:val="000000" w:themeColor="text1"/>
          <w:sz w:val="22"/>
          <w:szCs w:val="22"/>
          <w:lang w:val="pl-PL"/>
        </w:rPr>
      </w:pPr>
      <w:bookmarkStart w:id="374" w:name="_Toc33265"/>
      <w:r w:rsidRPr="00326BBF">
        <w:rPr>
          <w:color w:val="000000" w:themeColor="text1"/>
          <w:sz w:val="22"/>
          <w:szCs w:val="22"/>
          <w:lang w:val="pl-PL"/>
        </w:rPr>
        <w:t>3.</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SPRZĘT </w:t>
      </w:r>
      <w:bookmarkEnd w:id="374"/>
    </w:p>
    <w:p w14:paraId="32683ED1" w14:textId="77777777" w:rsidR="00955A27" w:rsidRPr="001667DB" w:rsidRDefault="00955A27" w:rsidP="00C73A21">
      <w:pPr>
        <w:pStyle w:val="Nagwek2"/>
        <w:spacing w:line="360" w:lineRule="auto"/>
        <w:ind w:left="-5"/>
        <w:jc w:val="both"/>
        <w:rPr>
          <w:color w:val="000000" w:themeColor="text1"/>
          <w:sz w:val="22"/>
          <w:szCs w:val="22"/>
        </w:rPr>
      </w:pPr>
      <w:bookmarkStart w:id="375" w:name="_Toc33266"/>
      <w:r w:rsidRPr="001667DB">
        <w:rPr>
          <w:color w:val="000000" w:themeColor="text1"/>
          <w:sz w:val="22"/>
          <w:szCs w:val="22"/>
        </w:rPr>
        <w:t>3.1.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sprzętu </w:t>
      </w:r>
      <w:bookmarkEnd w:id="375"/>
    </w:p>
    <w:p w14:paraId="643E9D4F"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sprzętu podano w D-M 00.00.00 „Wymagania ogólne”. </w:t>
      </w:r>
    </w:p>
    <w:p w14:paraId="5125C12E" w14:textId="77777777" w:rsidR="00955A27" w:rsidRPr="001667DB" w:rsidRDefault="00955A27" w:rsidP="00C73A21">
      <w:pPr>
        <w:pStyle w:val="Nagwek2"/>
        <w:spacing w:line="360" w:lineRule="auto"/>
        <w:ind w:left="-5"/>
        <w:jc w:val="both"/>
        <w:rPr>
          <w:color w:val="000000" w:themeColor="text1"/>
          <w:sz w:val="22"/>
          <w:szCs w:val="22"/>
        </w:rPr>
      </w:pPr>
      <w:bookmarkStart w:id="376" w:name="_Toc33267"/>
      <w:r w:rsidRPr="001667DB">
        <w:rPr>
          <w:color w:val="000000" w:themeColor="text1"/>
          <w:sz w:val="22"/>
          <w:szCs w:val="22"/>
        </w:rPr>
        <w:t>3.2.</w:t>
      </w:r>
      <w:r w:rsidRPr="001667DB">
        <w:rPr>
          <w:rFonts w:eastAsia="Arial"/>
          <w:color w:val="000000" w:themeColor="text1"/>
          <w:sz w:val="22"/>
          <w:szCs w:val="22"/>
        </w:rPr>
        <w:t xml:space="preserve"> </w:t>
      </w:r>
      <w:r w:rsidRPr="001667DB">
        <w:rPr>
          <w:color w:val="000000" w:themeColor="text1"/>
          <w:sz w:val="22"/>
          <w:szCs w:val="22"/>
        </w:rPr>
        <w:t xml:space="preserve">Sprzęt stosowany do wykonywania robót  </w:t>
      </w:r>
      <w:bookmarkEnd w:id="376"/>
    </w:p>
    <w:p w14:paraId="3070E79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przystępujący do wykonania warstwy ulepszonego podłoża stabilizowanego spoiwem hydraulicznym lub wapnem powinien wykazać się możliwością korzystania z następującego sprzętu: </w:t>
      </w:r>
    </w:p>
    <w:p w14:paraId="76724D12"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mieszarki do wymieszania na miejscu gruntu ze spoiwem hydraulicznym lub wapnem zapewniającej głębokość mieszania minimum 25 cm, </w:t>
      </w:r>
    </w:p>
    <w:p w14:paraId="1A039FFB"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rozsypywarki z osłonami przeciwpylnymi i szczeliną o regulowanej szerokości otwarcia, do rozsypywania spoiwa hydraulicznego lub wapna, </w:t>
      </w:r>
    </w:p>
    <w:p w14:paraId="181D1E27"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równiarki lub spycharki do spulchnienia gruntu, </w:t>
      </w:r>
    </w:p>
    <w:p w14:paraId="301A79F6"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przewoźne zbiorniki na wodę, z urządzeniami do równomiernego i kontrolowanego dozowania wody, </w:t>
      </w:r>
    </w:p>
    <w:p w14:paraId="02C5AA43"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ogumione i stalowe wibracyjne lub statyczne, </w:t>
      </w:r>
    </w:p>
    <w:p w14:paraId="74218249" w14:textId="77777777" w:rsidR="00955A27" w:rsidRPr="001667DB" w:rsidRDefault="00955A27" w:rsidP="00904E6C">
      <w:pPr>
        <w:numPr>
          <w:ilvl w:val="0"/>
          <w:numId w:val="106"/>
        </w:numPr>
        <w:spacing w:after="120" w:line="360" w:lineRule="auto"/>
        <w:ind w:hanging="28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płyty wibracyjne lub ubijaki mechaniczne do zagęszczania w miejscach trudnodostępnych. </w:t>
      </w:r>
    </w:p>
    <w:p w14:paraId="44902255"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Sprzęt powinien odpowiadać wymaganiom określonym w dokumentacji projektowej, instrukcjach producentów lub propozycji Wykonawcy i powinien być zaakceptowany przez Inżyniera/Inspektora Nadzoru. </w:t>
      </w:r>
    </w:p>
    <w:p w14:paraId="6881F25D" w14:textId="77777777" w:rsidR="00955A27" w:rsidRPr="00326BBF" w:rsidRDefault="00955A27" w:rsidP="00C73A21">
      <w:pPr>
        <w:pStyle w:val="Nagwek1"/>
        <w:tabs>
          <w:tab w:val="center" w:pos="1249"/>
        </w:tabs>
        <w:spacing w:line="360" w:lineRule="auto"/>
        <w:ind w:left="-15"/>
        <w:jc w:val="both"/>
        <w:rPr>
          <w:color w:val="000000" w:themeColor="text1"/>
          <w:sz w:val="22"/>
          <w:szCs w:val="22"/>
          <w:lang w:val="pl-PL"/>
        </w:rPr>
      </w:pPr>
      <w:bookmarkStart w:id="377" w:name="_Toc33268"/>
      <w:r w:rsidRPr="00326BBF">
        <w:rPr>
          <w:color w:val="000000" w:themeColor="text1"/>
          <w:sz w:val="22"/>
          <w:szCs w:val="22"/>
          <w:lang w:val="pl-PL"/>
        </w:rPr>
        <w:t>4.</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TRANSPORT </w:t>
      </w:r>
      <w:bookmarkEnd w:id="377"/>
    </w:p>
    <w:p w14:paraId="5C3BD1AB" w14:textId="77777777" w:rsidR="00955A27" w:rsidRPr="001667DB" w:rsidRDefault="00955A27" w:rsidP="00C73A21">
      <w:pPr>
        <w:pStyle w:val="Nagwek2"/>
        <w:spacing w:line="360" w:lineRule="auto"/>
        <w:ind w:left="-5"/>
        <w:jc w:val="both"/>
        <w:rPr>
          <w:color w:val="000000" w:themeColor="text1"/>
          <w:sz w:val="22"/>
          <w:szCs w:val="22"/>
        </w:rPr>
      </w:pPr>
      <w:bookmarkStart w:id="378" w:name="_Toc33269"/>
      <w:r w:rsidRPr="001667DB">
        <w:rPr>
          <w:color w:val="000000" w:themeColor="text1"/>
          <w:sz w:val="22"/>
          <w:szCs w:val="22"/>
        </w:rPr>
        <w:t>4.1.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transportu </w:t>
      </w:r>
      <w:bookmarkEnd w:id="378"/>
    </w:p>
    <w:p w14:paraId="7DE77EEF"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transportu podano w D-M-00.00.00 „Wymagania ogólne”. </w:t>
      </w:r>
    </w:p>
    <w:p w14:paraId="34FD93A8" w14:textId="77777777" w:rsidR="00955A27" w:rsidRPr="001667DB" w:rsidRDefault="00955A27" w:rsidP="00C73A21">
      <w:pPr>
        <w:pStyle w:val="Nagwek2"/>
        <w:spacing w:line="360" w:lineRule="auto"/>
        <w:ind w:left="-5"/>
        <w:jc w:val="both"/>
        <w:rPr>
          <w:color w:val="000000" w:themeColor="text1"/>
          <w:sz w:val="22"/>
          <w:szCs w:val="22"/>
        </w:rPr>
      </w:pPr>
      <w:bookmarkStart w:id="379" w:name="_Toc33270"/>
      <w:r w:rsidRPr="001667DB">
        <w:rPr>
          <w:color w:val="000000" w:themeColor="text1"/>
          <w:sz w:val="22"/>
          <w:szCs w:val="22"/>
        </w:rPr>
        <w:t>4.2.</w:t>
      </w:r>
      <w:r w:rsidRPr="001667DB">
        <w:rPr>
          <w:rFonts w:eastAsia="Arial"/>
          <w:color w:val="000000" w:themeColor="text1"/>
          <w:sz w:val="22"/>
          <w:szCs w:val="22"/>
        </w:rPr>
        <w:t xml:space="preserve"> </w:t>
      </w:r>
      <w:r w:rsidRPr="001667DB">
        <w:rPr>
          <w:color w:val="000000" w:themeColor="text1"/>
          <w:sz w:val="22"/>
          <w:szCs w:val="22"/>
        </w:rPr>
        <w:t xml:space="preserve">Transport materiałów </w:t>
      </w:r>
      <w:bookmarkEnd w:id="379"/>
    </w:p>
    <w:p w14:paraId="7F165F2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Spoiwo hydrauliczne lub wapna luzem przewozi się w zbiornikach (wagonach, samochodach) w sposób zabezpieczający przed zanieczyszczeniem i zawilgoceniem, zgodnie z prawem przewozowym. </w:t>
      </w:r>
    </w:p>
    <w:p w14:paraId="184E6F0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Woda może być dostarczana przewoźnymi zbiornikami - cysternami wody. </w:t>
      </w:r>
    </w:p>
    <w:p w14:paraId="1406618C" w14:textId="77777777" w:rsidR="00955A27" w:rsidRPr="00326BBF" w:rsidRDefault="00955A27" w:rsidP="00C73A21">
      <w:pPr>
        <w:pStyle w:val="Nagwek1"/>
        <w:tabs>
          <w:tab w:val="clear" w:pos="1701"/>
          <w:tab w:val="center" w:pos="1710"/>
        </w:tabs>
        <w:spacing w:line="360" w:lineRule="auto"/>
        <w:ind w:left="-15"/>
        <w:jc w:val="both"/>
        <w:rPr>
          <w:color w:val="000000" w:themeColor="text1"/>
          <w:sz w:val="22"/>
          <w:szCs w:val="22"/>
          <w:lang w:val="pl-PL"/>
        </w:rPr>
      </w:pPr>
      <w:bookmarkStart w:id="380" w:name="_Toc33271"/>
      <w:r w:rsidRPr="00326BBF">
        <w:rPr>
          <w:color w:val="000000" w:themeColor="text1"/>
          <w:sz w:val="22"/>
          <w:szCs w:val="22"/>
          <w:lang w:val="pl-PL"/>
        </w:rPr>
        <w:t>5.</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WYKONANIE ROBÓT </w:t>
      </w:r>
      <w:bookmarkEnd w:id="380"/>
    </w:p>
    <w:p w14:paraId="53D8F0F4" w14:textId="77777777" w:rsidR="00955A27" w:rsidRPr="001667DB" w:rsidRDefault="00955A27" w:rsidP="00C73A21">
      <w:pPr>
        <w:pStyle w:val="Nagwek2"/>
        <w:spacing w:line="360" w:lineRule="auto"/>
        <w:ind w:left="-5"/>
        <w:jc w:val="both"/>
        <w:rPr>
          <w:color w:val="000000" w:themeColor="text1"/>
          <w:sz w:val="22"/>
          <w:szCs w:val="22"/>
        </w:rPr>
      </w:pPr>
      <w:bookmarkStart w:id="381" w:name="_Toc33272"/>
      <w:r w:rsidRPr="001667DB">
        <w:rPr>
          <w:color w:val="000000" w:themeColor="text1"/>
          <w:sz w:val="22"/>
          <w:szCs w:val="22"/>
        </w:rPr>
        <w:t>5.1.</w:t>
      </w:r>
      <w:r w:rsidRPr="001667DB">
        <w:rPr>
          <w:rFonts w:eastAsia="Arial"/>
          <w:color w:val="000000" w:themeColor="text1"/>
          <w:sz w:val="22"/>
          <w:szCs w:val="22"/>
        </w:rPr>
        <w:t xml:space="preserve"> </w:t>
      </w:r>
      <w:r w:rsidRPr="001667DB">
        <w:rPr>
          <w:color w:val="000000" w:themeColor="text1"/>
          <w:sz w:val="22"/>
          <w:szCs w:val="22"/>
        </w:rPr>
        <w:t xml:space="preserve">Ogólne zasady wykonywania robót </w:t>
      </w:r>
      <w:bookmarkEnd w:id="381"/>
    </w:p>
    <w:p w14:paraId="44A0AA37"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wykonania robót podano w D-M-00.00.00 „Wymagania ogólne”. </w:t>
      </w:r>
    </w:p>
    <w:p w14:paraId="62AED732" w14:textId="77777777" w:rsidR="00955A27" w:rsidRPr="001667DB" w:rsidRDefault="00955A27" w:rsidP="00C73A21">
      <w:pPr>
        <w:pStyle w:val="Nagwek2"/>
        <w:spacing w:line="360" w:lineRule="auto"/>
        <w:ind w:left="-5"/>
        <w:jc w:val="both"/>
        <w:rPr>
          <w:color w:val="000000" w:themeColor="text1"/>
          <w:sz w:val="22"/>
          <w:szCs w:val="22"/>
        </w:rPr>
      </w:pPr>
      <w:bookmarkStart w:id="382" w:name="_Toc33273"/>
      <w:r w:rsidRPr="001667DB">
        <w:rPr>
          <w:color w:val="000000" w:themeColor="text1"/>
          <w:sz w:val="22"/>
          <w:szCs w:val="22"/>
        </w:rPr>
        <w:t>5.2.</w:t>
      </w:r>
      <w:r w:rsidRPr="001667DB">
        <w:rPr>
          <w:rFonts w:eastAsia="Arial"/>
          <w:color w:val="000000" w:themeColor="text1"/>
          <w:sz w:val="22"/>
          <w:szCs w:val="22"/>
        </w:rPr>
        <w:t xml:space="preserve"> </w:t>
      </w:r>
      <w:r w:rsidRPr="001667DB">
        <w:rPr>
          <w:color w:val="000000" w:themeColor="text1"/>
          <w:sz w:val="22"/>
          <w:szCs w:val="22"/>
        </w:rPr>
        <w:t xml:space="preserve">Zasady wykonywania robót </w:t>
      </w:r>
      <w:bookmarkEnd w:id="382"/>
    </w:p>
    <w:p w14:paraId="6882837C"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Sposób wykonania robót powinien być zgodny z dokumentacją projektową. W przypadku braku wystarczających danych można korzystać z ustaleń podanych w niniejszych ST. </w:t>
      </w:r>
    </w:p>
    <w:p w14:paraId="71FB2295"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Podstawowe czynności przy wykonywaniu robót obejmują: </w:t>
      </w:r>
    </w:p>
    <w:p w14:paraId="4A6A959B" w14:textId="77777777" w:rsidR="00955A27" w:rsidRPr="001667DB" w:rsidRDefault="00955A27" w:rsidP="00904E6C">
      <w:pPr>
        <w:numPr>
          <w:ilvl w:val="0"/>
          <w:numId w:val="11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75FA2F4D" w14:textId="77777777" w:rsidR="00955A27" w:rsidRPr="001667DB" w:rsidRDefault="00955A27" w:rsidP="00904E6C">
      <w:pPr>
        <w:numPr>
          <w:ilvl w:val="0"/>
          <w:numId w:val="11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projektowanie gruntu stabilizowanego spoiwem hydraulicznym lub wapnem, </w:t>
      </w:r>
    </w:p>
    <w:p w14:paraId="19F58E91" w14:textId="77777777" w:rsidR="00955A27" w:rsidRPr="001667DB" w:rsidRDefault="00955A27" w:rsidP="00904E6C">
      <w:pPr>
        <w:numPr>
          <w:ilvl w:val="0"/>
          <w:numId w:val="11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odcinek próbny, </w:t>
      </w:r>
    </w:p>
    <w:p w14:paraId="7C6B123C" w14:textId="77777777" w:rsidR="00955A27" w:rsidRPr="001667DB" w:rsidRDefault="00955A27" w:rsidP="00904E6C">
      <w:pPr>
        <w:numPr>
          <w:ilvl w:val="0"/>
          <w:numId w:val="11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warstwy ulepszonego podłoża w technologii mieszania na miejscu. </w:t>
      </w:r>
    </w:p>
    <w:p w14:paraId="32A78587" w14:textId="77777777" w:rsidR="00955A27" w:rsidRPr="001667DB" w:rsidRDefault="00955A27" w:rsidP="00C73A21">
      <w:pPr>
        <w:pStyle w:val="Nagwek2"/>
        <w:spacing w:line="360" w:lineRule="auto"/>
        <w:ind w:left="-5"/>
        <w:jc w:val="both"/>
        <w:rPr>
          <w:color w:val="000000" w:themeColor="text1"/>
          <w:sz w:val="22"/>
          <w:szCs w:val="22"/>
        </w:rPr>
      </w:pPr>
      <w:bookmarkStart w:id="383" w:name="_Toc33274"/>
      <w:r w:rsidRPr="001667DB">
        <w:rPr>
          <w:color w:val="000000" w:themeColor="text1"/>
          <w:sz w:val="22"/>
          <w:szCs w:val="22"/>
        </w:rPr>
        <w:t>5.3.</w:t>
      </w:r>
      <w:r w:rsidRPr="001667DB">
        <w:rPr>
          <w:rFonts w:eastAsia="Arial"/>
          <w:color w:val="000000" w:themeColor="text1"/>
          <w:sz w:val="22"/>
          <w:szCs w:val="22"/>
        </w:rPr>
        <w:t xml:space="preserve"> </w:t>
      </w:r>
      <w:r w:rsidRPr="001667DB">
        <w:rPr>
          <w:color w:val="000000" w:themeColor="text1"/>
          <w:sz w:val="22"/>
          <w:szCs w:val="22"/>
        </w:rPr>
        <w:t xml:space="preserve">Roboty przygotowawcze </w:t>
      </w:r>
      <w:bookmarkEnd w:id="383"/>
    </w:p>
    <w:p w14:paraId="5FBA5E1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należy, na podstawie dokumentacji projektowej, STWiORB lub wskazań Inżyniera/Inspektora Nadzoru: </w:t>
      </w:r>
    </w:p>
    <w:p w14:paraId="0BB86E3A" w14:textId="77777777" w:rsidR="00955A27" w:rsidRPr="001667DB" w:rsidRDefault="00955A27" w:rsidP="00904E6C">
      <w:pPr>
        <w:numPr>
          <w:ilvl w:val="0"/>
          <w:numId w:val="11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ustalić lokalizację robót, </w:t>
      </w:r>
    </w:p>
    <w:p w14:paraId="3D6960B1" w14:textId="77777777" w:rsidR="00955A27" w:rsidRPr="001667DB" w:rsidRDefault="00955A27" w:rsidP="00904E6C">
      <w:pPr>
        <w:numPr>
          <w:ilvl w:val="0"/>
          <w:numId w:val="11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przeprowadzić obliczenia i pomiary niezbędne do szczegółowego wytyczenia robót oraz ustalenia danych wysokościowych, </w:t>
      </w:r>
    </w:p>
    <w:p w14:paraId="0EAF33EE" w14:textId="77777777" w:rsidR="00955A27" w:rsidRPr="001667DB" w:rsidRDefault="00955A27" w:rsidP="00904E6C">
      <w:pPr>
        <w:numPr>
          <w:ilvl w:val="0"/>
          <w:numId w:val="11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usunąć przeszkody utrudniające wykonanie robót, </w:t>
      </w:r>
    </w:p>
    <w:p w14:paraId="7267EBD4" w14:textId="77777777" w:rsidR="00955A27" w:rsidRPr="001667DB" w:rsidRDefault="00955A27" w:rsidP="00904E6C">
      <w:pPr>
        <w:numPr>
          <w:ilvl w:val="0"/>
          <w:numId w:val="11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wprowadzić oznakowanie drogi na okres robót, </w:t>
      </w:r>
    </w:p>
    <w:p w14:paraId="17CF10F7" w14:textId="77777777" w:rsidR="00955A27" w:rsidRPr="001667DB" w:rsidRDefault="00955A27" w:rsidP="00904E6C">
      <w:pPr>
        <w:numPr>
          <w:ilvl w:val="0"/>
          <w:numId w:val="11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zgromadzić materiały i sprzęt potrzebne do rozpoczęcia robót. </w:t>
      </w:r>
    </w:p>
    <w:p w14:paraId="7DCA8B66" w14:textId="77777777" w:rsidR="00955A27" w:rsidRPr="001667DB" w:rsidRDefault="00955A27" w:rsidP="00C73A21">
      <w:pPr>
        <w:pStyle w:val="Nagwek2"/>
        <w:spacing w:line="360" w:lineRule="auto"/>
        <w:ind w:left="-5"/>
        <w:jc w:val="both"/>
        <w:rPr>
          <w:color w:val="000000" w:themeColor="text1"/>
          <w:sz w:val="22"/>
          <w:szCs w:val="22"/>
        </w:rPr>
      </w:pPr>
      <w:bookmarkStart w:id="384" w:name="_Toc33275"/>
      <w:r w:rsidRPr="001667DB">
        <w:rPr>
          <w:color w:val="000000" w:themeColor="text1"/>
          <w:sz w:val="22"/>
          <w:szCs w:val="22"/>
        </w:rPr>
        <w:t>5.4.</w:t>
      </w:r>
      <w:r w:rsidRPr="001667DB">
        <w:rPr>
          <w:rFonts w:eastAsia="Arial"/>
          <w:color w:val="000000" w:themeColor="text1"/>
          <w:sz w:val="22"/>
          <w:szCs w:val="22"/>
        </w:rPr>
        <w:t xml:space="preserve"> </w:t>
      </w:r>
      <w:r w:rsidRPr="001667DB">
        <w:rPr>
          <w:color w:val="000000" w:themeColor="text1"/>
          <w:sz w:val="22"/>
          <w:szCs w:val="22"/>
        </w:rPr>
        <w:t xml:space="preserve">Projektowanie gruntu stabilizowanego spoiwem hydraulicznym lub wapnem  </w:t>
      </w:r>
      <w:bookmarkEnd w:id="384"/>
    </w:p>
    <w:p w14:paraId="5E52C6AF"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Wykonawca powinien przedłożyć Inżynierowi/Inspektorowi Nadzoru, z odpowiednim wyprzedzeniem czasowym, projekt składu gruntu stabilizowanego spoiwem lub wapnem wraz z wynikami badań laboratoryjnych poszczególnych składników. Inżynier/Inspektor Nadzoru akceptuje lub odrzuca przedłożone dokumenty po ich sprawdzeniu oraz zaopiniowaniu przez Laboratorium Zamawiającego, właściwe terenowo Laboratorium Drogowe. </w:t>
      </w:r>
    </w:p>
    <w:p w14:paraId="289D0084"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Projektowanie gruntu stabilizowanego spoiwem polega na ustaleniu niezbędnej zawartości spoiwa hydraulicznego lub wapna pozwalającej uzyskać podane w Tabeli 5 wymagania wobec gruntu stabilizowanego, zgodne z wymaganiami Katalogu Typowych Konstrukcji Nawierzchni Sztywnych 2014 oraz Katalogu Typowych Konstrukcji Nawierzchni Podatnych i Półsztywnych 2014. </w:t>
      </w:r>
    </w:p>
    <w:p w14:paraId="2A2992BC"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5. Wymagania wobec gruntu stabilizowanego spoiwem </w:t>
      </w:r>
    </w:p>
    <w:tbl>
      <w:tblPr>
        <w:tblStyle w:val="TableGrid"/>
        <w:tblW w:w="9288" w:type="dxa"/>
        <w:tblInd w:w="-106" w:type="dxa"/>
        <w:tblCellMar>
          <w:top w:w="110" w:type="dxa"/>
          <w:left w:w="108" w:type="dxa"/>
          <w:right w:w="45" w:type="dxa"/>
        </w:tblCellMar>
        <w:tblLook w:val="04A0" w:firstRow="1" w:lastRow="0" w:firstColumn="1" w:lastColumn="0" w:noHBand="0" w:noVBand="1"/>
      </w:tblPr>
      <w:tblGrid>
        <w:gridCol w:w="495"/>
        <w:gridCol w:w="5898"/>
        <w:gridCol w:w="2895"/>
      </w:tblGrid>
      <w:tr w:rsidR="00955A27" w:rsidRPr="001667DB" w14:paraId="3F00F943" w14:textId="77777777">
        <w:trPr>
          <w:trHeight w:val="907"/>
        </w:trPr>
        <w:tc>
          <w:tcPr>
            <w:tcW w:w="495" w:type="dxa"/>
            <w:tcBorders>
              <w:top w:val="single" w:sz="4" w:space="0" w:color="000000"/>
              <w:left w:val="single" w:sz="4" w:space="0" w:color="000000"/>
              <w:bottom w:val="single" w:sz="4" w:space="0" w:color="000000"/>
              <w:right w:val="single" w:sz="4" w:space="0" w:color="000000"/>
            </w:tcBorders>
            <w:vAlign w:val="center"/>
          </w:tcPr>
          <w:p w14:paraId="17EEF4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5898" w:type="dxa"/>
            <w:tcBorders>
              <w:top w:val="single" w:sz="4" w:space="0" w:color="000000"/>
              <w:left w:val="single" w:sz="4" w:space="0" w:color="000000"/>
              <w:bottom w:val="single" w:sz="4" w:space="0" w:color="000000"/>
              <w:right w:val="single" w:sz="4" w:space="0" w:color="000000"/>
            </w:tcBorders>
            <w:vAlign w:val="center"/>
          </w:tcPr>
          <w:p w14:paraId="4523503D"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gruntu stabilizowanego spoiwem  </w:t>
            </w:r>
          </w:p>
        </w:tc>
        <w:tc>
          <w:tcPr>
            <w:tcW w:w="2895" w:type="dxa"/>
            <w:tcBorders>
              <w:top w:val="single" w:sz="4" w:space="0" w:color="000000"/>
              <w:left w:val="single" w:sz="4" w:space="0" w:color="000000"/>
              <w:bottom w:val="single" w:sz="4" w:space="0" w:color="000000"/>
              <w:right w:val="single" w:sz="4" w:space="0" w:color="000000"/>
            </w:tcBorders>
          </w:tcPr>
          <w:p w14:paraId="76CA03CE" w14:textId="77777777" w:rsidR="00955A27" w:rsidRPr="001667DB" w:rsidRDefault="00955A27" w:rsidP="00955A27">
            <w:pPr>
              <w:spacing w:after="120" w:line="360" w:lineRule="auto"/>
              <w:ind w:left="417" w:right="479"/>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wytrzymałość na ściskanie R</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 xml:space="preserve"> wg PN-EN 14227-15 </w:t>
            </w:r>
          </w:p>
        </w:tc>
      </w:tr>
      <w:tr w:rsidR="00955A27" w:rsidRPr="001667DB" w14:paraId="4CF80022" w14:textId="77777777">
        <w:trPr>
          <w:trHeight w:val="348"/>
        </w:trPr>
        <w:tc>
          <w:tcPr>
            <w:tcW w:w="495" w:type="dxa"/>
            <w:tcBorders>
              <w:top w:val="single" w:sz="4" w:space="0" w:color="000000"/>
              <w:left w:val="single" w:sz="4" w:space="0" w:color="000000"/>
              <w:bottom w:val="single" w:sz="4" w:space="0" w:color="000000"/>
              <w:right w:val="single" w:sz="4" w:space="0" w:color="000000"/>
            </w:tcBorders>
          </w:tcPr>
          <w:p w14:paraId="236749E5"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5898" w:type="dxa"/>
            <w:tcBorders>
              <w:top w:val="single" w:sz="4" w:space="0" w:color="000000"/>
              <w:left w:val="single" w:sz="4" w:space="0" w:color="000000"/>
              <w:bottom w:val="single" w:sz="4" w:space="0" w:color="000000"/>
              <w:right w:val="single" w:sz="4" w:space="0" w:color="000000"/>
            </w:tcBorders>
          </w:tcPr>
          <w:p w14:paraId="4C8AA5C4"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cementem </w:t>
            </w:r>
          </w:p>
        </w:tc>
        <w:tc>
          <w:tcPr>
            <w:tcW w:w="2895" w:type="dxa"/>
            <w:tcBorders>
              <w:top w:val="single" w:sz="4" w:space="0" w:color="000000"/>
              <w:left w:val="single" w:sz="4" w:space="0" w:color="000000"/>
              <w:bottom w:val="single" w:sz="4" w:space="0" w:color="000000"/>
              <w:right w:val="single" w:sz="4" w:space="0" w:color="000000"/>
            </w:tcBorders>
          </w:tcPr>
          <w:p w14:paraId="7E06264B"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 </w:t>
            </w:r>
            <w:r w:rsidRPr="001667DB">
              <w:rPr>
                <w:rFonts w:ascii="Times New Roman" w:hAnsi="Times New Roman" w:cs="Times New Roman"/>
                <w:b/>
                <w:color w:val="000000" w:themeColor="text1"/>
                <w:vertAlign w:val="subscript"/>
              </w:rPr>
              <w:t>0,4/0,5</w:t>
            </w:r>
            <w:r w:rsidRPr="001667DB">
              <w:rPr>
                <w:rFonts w:ascii="Times New Roman" w:hAnsi="Times New Roman" w:cs="Times New Roman"/>
                <w:color w:val="000000" w:themeColor="text1"/>
                <w:vertAlign w:val="subscript"/>
              </w:rPr>
              <w:t xml:space="preserve"> </w:t>
            </w:r>
            <w:r w:rsidRPr="001667DB">
              <w:rPr>
                <w:rFonts w:ascii="Times New Roman" w:hAnsi="Times New Roman" w:cs="Times New Roman"/>
                <w:color w:val="000000" w:themeColor="text1"/>
              </w:rPr>
              <w:t xml:space="preserve">oraz ≤ 2,0 MPa </w:t>
            </w:r>
          </w:p>
        </w:tc>
      </w:tr>
      <w:tr w:rsidR="00955A27" w:rsidRPr="001667DB" w14:paraId="4A71E3DE" w14:textId="77777777">
        <w:trPr>
          <w:trHeight w:val="349"/>
        </w:trPr>
        <w:tc>
          <w:tcPr>
            <w:tcW w:w="495" w:type="dxa"/>
            <w:tcBorders>
              <w:top w:val="single" w:sz="4" w:space="0" w:color="000000"/>
              <w:left w:val="single" w:sz="4" w:space="0" w:color="000000"/>
              <w:bottom w:val="single" w:sz="4" w:space="0" w:color="000000"/>
              <w:right w:val="single" w:sz="4" w:space="0" w:color="000000"/>
            </w:tcBorders>
          </w:tcPr>
          <w:p w14:paraId="6129FFF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5898" w:type="dxa"/>
            <w:tcBorders>
              <w:top w:val="single" w:sz="4" w:space="0" w:color="000000"/>
              <w:left w:val="single" w:sz="4" w:space="0" w:color="000000"/>
              <w:bottom w:val="single" w:sz="4" w:space="0" w:color="000000"/>
              <w:right w:val="single" w:sz="4" w:space="0" w:color="000000"/>
            </w:tcBorders>
          </w:tcPr>
          <w:p w14:paraId="234DFBAE" w14:textId="77777777" w:rsidR="00955A27" w:rsidRPr="001667DB" w:rsidRDefault="00955A27" w:rsidP="00955A27">
            <w:pPr>
              <w:spacing w:after="120" w:line="360" w:lineRule="auto"/>
              <w:ind w:left="76"/>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granulowanym żużlem wielkopiecowym </w:t>
            </w:r>
          </w:p>
        </w:tc>
        <w:tc>
          <w:tcPr>
            <w:tcW w:w="2895" w:type="dxa"/>
            <w:tcBorders>
              <w:top w:val="single" w:sz="4" w:space="0" w:color="000000"/>
              <w:left w:val="single" w:sz="4" w:space="0" w:color="000000"/>
              <w:bottom w:val="single" w:sz="4" w:space="0" w:color="000000"/>
              <w:right w:val="single" w:sz="4" w:space="0" w:color="000000"/>
            </w:tcBorders>
          </w:tcPr>
          <w:p w14:paraId="01BCFE3C"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 </w:t>
            </w:r>
            <w:r w:rsidRPr="001667DB">
              <w:rPr>
                <w:rFonts w:ascii="Times New Roman" w:hAnsi="Times New Roman" w:cs="Times New Roman"/>
                <w:b/>
                <w:color w:val="000000" w:themeColor="text1"/>
                <w:vertAlign w:val="subscript"/>
              </w:rPr>
              <w:t>0,4/0,5</w:t>
            </w:r>
            <w:r w:rsidRPr="001667DB">
              <w:rPr>
                <w:rFonts w:ascii="Times New Roman" w:hAnsi="Times New Roman" w:cs="Times New Roman"/>
                <w:color w:val="000000" w:themeColor="text1"/>
              </w:rPr>
              <w:t xml:space="preserve"> oraz ≤ 2,0 MPa </w:t>
            </w:r>
          </w:p>
        </w:tc>
      </w:tr>
      <w:tr w:rsidR="00955A27" w:rsidRPr="001667DB" w14:paraId="675370B5" w14:textId="77777777">
        <w:trPr>
          <w:trHeight w:val="350"/>
        </w:trPr>
        <w:tc>
          <w:tcPr>
            <w:tcW w:w="495" w:type="dxa"/>
            <w:tcBorders>
              <w:top w:val="single" w:sz="4" w:space="0" w:color="000000"/>
              <w:left w:val="single" w:sz="4" w:space="0" w:color="000000"/>
              <w:bottom w:val="single" w:sz="4" w:space="0" w:color="000000"/>
              <w:right w:val="single" w:sz="4" w:space="0" w:color="000000"/>
            </w:tcBorders>
          </w:tcPr>
          <w:p w14:paraId="0E3F8B9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5898" w:type="dxa"/>
            <w:tcBorders>
              <w:top w:val="single" w:sz="4" w:space="0" w:color="000000"/>
              <w:left w:val="single" w:sz="4" w:space="0" w:color="000000"/>
              <w:bottom w:val="single" w:sz="4" w:space="0" w:color="000000"/>
              <w:right w:val="single" w:sz="4" w:space="0" w:color="000000"/>
            </w:tcBorders>
          </w:tcPr>
          <w:p w14:paraId="36DB5628"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hydraulicznym spoiwem drogowym </w:t>
            </w:r>
          </w:p>
        </w:tc>
        <w:tc>
          <w:tcPr>
            <w:tcW w:w="2895" w:type="dxa"/>
            <w:tcBorders>
              <w:top w:val="single" w:sz="4" w:space="0" w:color="000000"/>
              <w:left w:val="single" w:sz="4" w:space="0" w:color="000000"/>
              <w:bottom w:val="single" w:sz="4" w:space="0" w:color="000000"/>
              <w:right w:val="single" w:sz="4" w:space="0" w:color="000000"/>
            </w:tcBorders>
          </w:tcPr>
          <w:p w14:paraId="178513C0"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 </w:t>
            </w:r>
            <w:r w:rsidRPr="001667DB">
              <w:rPr>
                <w:rFonts w:ascii="Times New Roman" w:hAnsi="Times New Roman" w:cs="Times New Roman"/>
                <w:b/>
                <w:color w:val="000000" w:themeColor="text1"/>
                <w:vertAlign w:val="subscript"/>
              </w:rPr>
              <w:t>0,4/0,5</w:t>
            </w:r>
            <w:r w:rsidRPr="001667DB">
              <w:rPr>
                <w:rFonts w:ascii="Times New Roman" w:hAnsi="Times New Roman" w:cs="Times New Roman"/>
                <w:color w:val="000000" w:themeColor="text1"/>
              </w:rPr>
              <w:t xml:space="preserve"> oraz ≤ 2,0 MPa </w:t>
            </w:r>
          </w:p>
        </w:tc>
      </w:tr>
      <w:tr w:rsidR="00955A27" w:rsidRPr="001667DB" w14:paraId="4D96493A" w14:textId="77777777">
        <w:trPr>
          <w:trHeight w:val="348"/>
        </w:trPr>
        <w:tc>
          <w:tcPr>
            <w:tcW w:w="495" w:type="dxa"/>
            <w:tcBorders>
              <w:top w:val="single" w:sz="4" w:space="0" w:color="000000"/>
              <w:left w:val="single" w:sz="4" w:space="0" w:color="000000"/>
              <w:bottom w:val="single" w:sz="4" w:space="0" w:color="000000"/>
              <w:right w:val="single" w:sz="4" w:space="0" w:color="000000"/>
            </w:tcBorders>
          </w:tcPr>
          <w:p w14:paraId="0717C64B"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5898" w:type="dxa"/>
            <w:tcBorders>
              <w:top w:val="single" w:sz="4" w:space="0" w:color="000000"/>
              <w:left w:val="single" w:sz="4" w:space="0" w:color="000000"/>
              <w:bottom w:val="single" w:sz="4" w:space="0" w:color="000000"/>
              <w:right w:val="single" w:sz="4" w:space="0" w:color="000000"/>
            </w:tcBorders>
          </w:tcPr>
          <w:p w14:paraId="361EEC5C"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popiołem lotnym </w:t>
            </w:r>
          </w:p>
        </w:tc>
        <w:tc>
          <w:tcPr>
            <w:tcW w:w="2895" w:type="dxa"/>
            <w:tcBorders>
              <w:top w:val="single" w:sz="4" w:space="0" w:color="000000"/>
              <w:left w:val="single" w:sz="4" w:space="0" w:color="000000"/>
              <w:bottom w:val="single" w:sz="4" w:space="0" w:color="000000"/>
              <w:right w:val="single" w:sz="4" w:space="0" w:color="000000"/>
            </w:tcBorders>
          </w:tcPr>
          <w:p w14:paraId="5B5E5957"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 </w:t>
            </w:r>
            <w:r w:rsidRPr="001667DB">
              <w:rPr>
                <w:rFonts w:ascii="Times New Roman" w:hAnsi="Times New Roman" w:cs="Times New Roman"/>
                <w:b/>
                <w:color w:val="000000" w:themeColor="text1"/>
                <w:vertAlign w:val="subscript"/>
              </w:rPr>
              <w:t>0,4/0,5</w:t>
            </w:r>
            <w:r w:rsidRPr="001667DB">
              <w:rPr>
                <w:rFonts w:ascii="Times New Roman" w:hAnsi="Times New Roman" w:cs="Times New Roman"/>
                <w:color w:val="000000" w:themeColor="text1"/>
              </w:rPr>
              <w:t xml:space="preserve"> oraz ≤ 2,0 MPa </w:t>
            </w:r>
          </w:p>
        </w:tc>
      </w:tr>
      <w:tr w:rsidR="00955A27" w:rsidRPr="001667DB" w14:paraId="2CAAB46D" w14:textId="77777777">
        <w:trPr>
          <w:trHeight w:val="348"/>
        </w:trPr>
        <w:tc>
          <w:tcPr>
            <w:tcW w:w="495" w:type="dxa"/>
            <w:tcBorders>
              <w:top w:val="single" w:sz="4" w:space="0" w:color="000000"/>
              <w:left w:val="single" w:sz="4" w:space="0" w:color="000000"/>
              <w:bottom w:val="single" w:sz="4" w:space="0" w:color="000000"/>
              <w:right w:val="single" w:sz="4" w:space="0" w:color="000000"/>
            </w:tcBorders>
          </w:tcPr>
          <w:p w14:paraId="1984221F"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5898" w:type="dxa"/>
            <w:tcBorders>
              <w:top w:val="single" w:sz="4" w:space="0" w:color="000000"/>
              <w:left w:val="single" w:sz="4" w:space="0" w:color="000000"/>
              <w:bottom w:val="single" w:sz="4" w:space="0" w:color="000000"/>
              <w:right w:val="single" w:sz="4" w:space="0" w:color="000000"/>
            </w:tcBorders>
          </w:tcPr>
          <w:p w14:paraId="7D1DAFE3"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Grunty stabilizowane wapnem </w:t>
            </w:r>
          </w:p>
        </w:tc>
        <w:tc>
          <w:tcPr>
            <w:tcW w:w="2895" w:type="dxa"/>
            <w:tcBorders>
              <w:top w:val="single" w:sz="4" w:space="0" w:color="000000"/>
              <w:left w:val="single" w:sz="4" w:space="0" w:color="000000"/>
              <w:bottom w:val="single" w:sz="4" w:space="0" w:color="000000"/>
              <w:right w:val="single" w:sz="4" w:space="0" w:color="000000"/>
            </w:tcBorders>
          </w:tcPr>
          <w:p w14:paraId="76F1933E" w14:textId="77777777" w:rsidR="00955A27" w:rsidRPr="00E20A58" w:rsidRDefault="00955A27" w:rsidP="00955A27">
            <w:pPr>
              <w:spacing w:after="120" w:line="360" w:lineRule="auto"/>
              <w:ind w:right="66"/>
              <w:jc w:val="center"/>
              <w:rPr>
                <w:rFonts w:ascii="Times New Roman" w:hAnsi="Times New Roman" w:cs="Times New Roman"/>
                <w:color w:val="000000" w:themeColor="text1"/>
              </w:rPr>
            </w:pPr>
            <w:r w:rsidRPr="00E20A58">
              <w:rPr>
                <w:rFonts w:ascii="Times New Roman" w:hAnsi="Times New Roman" w:cs="Times New Roman"/>
                <w:color w:val="000000" w:themeColor="text1"/>
              </w:rPr>
              <w:t xml:space="preserve">C 0,4/0,5 </w:t>
            </w:r>
          </w:p>
        </w:tc>
      </w:tr>
    </w:tbl>
    <w:p w14:paraId="2BD879A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wytrzymałości na ściskanie należy wykonać zgodnie z PN-EN 13286-41 na próbkach zagęszczonych metodą wg PN-EN 13286-50 w formach walcowych H/D=1 (H/D=0,8÷1,21). Sposób pielęgnacji próbek oraz czas określania wytrzymałości na ściskanie należy dostosować do właściwości zastosowanego spoiwa. </w:t>
      </w:r>
    </w:p>
    <w:p w14:paraId="2AC02DD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Pęcznienie objętościowe G</w:t>
      </w:r>
      <w:r w:rsidRPr="001667DB">
        <w:rPr>
          <w:rFonts w:ascii="Times New Roman" w:hAnsi="Times New Roman" w:cs="Times New Roman"/>
          <w:b/>
          <w:color w:val="000000" w:themeColor="text1"/>
          <w:vertAlign w:val="subscript"/>
        </w:rPr>
        <w:t xml:space="preserve">v </w:t>
      </w:r>
      <w:r w:rsidRPr="001667DB">
        <w:rPr>
          <w:rFonts w:ascii="Times New Roman" w:hAnsi="Times New Roman" w:cs="Times New Roman"/>
          <w:color w:val="000000" w:themeColor="text1"/>
        </w:rPr>
        <w:t xml:space="preserve">gruntu stabilizowanego spoiwem hydraulicznym lub wapnem oznaczone wg PN-EN 13286-49 nie powinno przekraczać 5 %. </w:t>
      </w:r>
    </w:p>
    <w:p w14:paraId="29ABB56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Wskaźnik nośności natychmiastowej oznaczony wg PN-EN 13286-47 gruntu stabilizowanego wapnem powinien być – kategoria IPI</w:t>
      </w:r>
      <w:r w:rsidRPr="001667DB">
        <w:rPr>
          <w:rFonts w:ascii="Times New Roman" w:hAnsi="Times New Roman" w:cs="Times New Roman"/>
          <w:b/>
          <w:color w:val="000000" w:themeColor="text1"/>
          <w:vertAlign w:val="subscript"/>
        </w:rPr>
        <w:t>10</w:t>
      </w:r>
      <w:r w:rsidRPr="001667DB">
        <w:rPr>
          <w:rFonts w:ascii="Times New Roman" w:hAnsi="Times New Roman" w:cs="Times New Roman"/>
          <w:color w:val="000000" w:themeColor="text1"/>
        </w:rPr>
        <w:t xml:space="preserve">. </w:t>
      </w:r>
    </w:p>
    <w:p w14:paraId="3B5BD70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Stopień rozdrobnienia gruntu spoistego po wymieszaniu z wapnem i/lub spoiwem hydraulicznym oznaczony wg PN-EN 13286-40 – kategoria P</w:t>
      </w:r>
      <w:r w:rsidRPr="001667DB">
        <w:rPr>
          <w:rFonts w:ascii="Times New Roman" w:hAnsi="Times New Roman" w:cs="Times New Roman"/>
          <w:b/>
          <w:color w:val="000000" w:themeColor="text1"/>
          <w:vertAlign w:val="subscript"/>
        </w:rPr>
        <w:t>60</w:t>
      </w:r>
      <w:r w:rsidRPr="001667DB">
        <w:rPr>
          <w:rFonts w:ascii="Times New Roman" w:hAnsi="Times New Roman" w:cs="Times New Roman"/>
          <w:color w:val="000000" w:themeColor="text1"/>
        </w:rPr>
        <w:t xml:space="preserve">. </w:t>
      </w:r>
    </w:p>
    <w:p w14:paraId="4D555633" w14:textId="77777777" w:rsidR="00955A27" w:rsidRPr="001667DB" w:rsidRDefault="00955A27" w:rsidP="00C73A21">
      <w:pPr>
        <w:pStyle w:val="Nagwek2"/>
        <w:spacing w:line="360" w:lineRule="auto"/>
        <w:ind w:left="-5"/>
        <w:jc w:val="both"/>
        <w:rPr>
          <w:color w:val="000000" w:themeColor="text1"/>
          <w:sz w:val="22"/>
          <w:szCs w:val="22"/>
        </w:rPr>
      </w:pPr>
      <w:bookmarkStart w:id="385" w:name="_Toc33276"/>
      <w:r w:rsidRPr="001667DB">
        <w:rPr>
          <w:color w:val="000000" w:themeColor="text1"/>
          <w:sz w:val="22"/>
          <w:szCs w:val="22"/>
        </w:rPr>
        <w:t>5.5.</w:t>
      </w:r>
      <w:r w:rsidRPr="001667DB">
        <w:rPr>
          <w:rFonts w:eastAsia="Arial"/>
          <w:color w:val="000000" w:themeColor="text1"/>
          <w:sz w:val="22"/>
          <w:szCs w:val="22"/>
        </w:rPr>
        <w:t xml:space="preserve"> </w:t>
      </w:r>
      <w:r w:rsidRPr="001667DB">
        <w:rPr>
          <w:color w:val="000000" w:themeColor="text1"/>
          <w:sz w:val="22"/>
          <w:szCs w:val="22"/>
        </w:rPr>
        <w:t xml:space="preserve">Odcinek próbny </w:t>
      </w:r>
      <w:bookmarkEnd w:id="385"/>
    </w:p>
    <w:p w14:paraId="5DD8CBE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planowanym rozpoczęciem robót, Wykonawca wykona odcinek próbny w celu: </w:t>
      </w:r>
    </w:p>
    <w:p w14:paraId="6112390C"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stwierdzenia, czy sprzęt budowlany do mieszania, rozkładania i zagęszczania warstwy ulepszonego podłoża z gruntu stabilizowanego spoiwem jest właściwy, </w:t>
      </w:r>
    </w:p>
    <w:p w14:paraId="1323780D"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sprawdzenie w warunkach budowy przydatność zastosowanych spoiw do ulepszenia gruntów, </w:t>
      </w:r>
    </w:p>
    <w:p w14:paraId="52C13368"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sprawdzenia dokładności rozsypywania spoiwa na jednostkę powierzchni warstwy, </w:t>
      </w:r>
    </w:p>
    <w:p w14:paraId="58DE0ED2"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grubości warstwy ulepszanego podłoża w stanie luźnym, koniecznej do uzyskania wymaganej grubości warstwy po zagęszczeniu, </w:t>
      </w:r>
    </w:p>
    <w:p w14:paraId="59EB79A9"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ustalenia liczby przejść sprzętu zagęszczającego, potrzebnej do uzyskania wymaganego wskaźnika zagęszczenia, </w:t>
      </w:r>
    </w:p>
    <w:p w14:paraId="39A72D66" w14:textId="77777777" w:rsidR="00955A27" w:rsidRPr="001667DB" w:rsidRDefault="00955A27" w:rsidP="00904E6C">
      <w:pPr>
        <w:numPr>
          <w:ilvl w:val="0"/>
          <w:numId w:val="115"/>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sprawdzenia nośności warstwy ulepszonego podłoża. </w:t>
      </w:r>
    </w:p>
    <w:p w14:paraId="5D857633"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Na odcinku próbnym Wykonawca powinien użyć takich materiałów oraz sprzętu, jakie będą stosowane do wykonania warstwy na budowie. Powierzchnia odcinka próbnego powinna wynosić od 400 do 800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Odcinek próbny powinien być zlokalizowany w miejscu wskazanym przez Inżyniera/Inspektora Nadzoru. Wykonawca może przystąpić do wykonania warstwy po zaakceptowaniu odcinka próbnego przez Inżyniera/Inspektora Nadzoru. </w:t>
      </w:r>
    </w:p>
    <w:p w14:paraId="64145BB1" w14:textId="77777777" w:rsidR="00955A27" w:rsidRPr="001667DB" w:rsidRDefault="00955A27" w:rsidP="00C73A21">
      <w:pPr>
        <w:pStyle w:val="Nagwek2"/>
        <w:spacing w:line="360" w:lineRule="auto"/>
        <w:ind w:left="551" w:hanging="566"/>
        <w:jc w:val="both"/>
        <w:rPr>
          <w:color w:val="000000" w:themeColor="text1"/>
          <w:sz w:val="22"/>
          <w:szCs w:val="22"/>
        </w:rPr>
      </w:pPr>
      <w:bookmarkStart w:id="386" w:name="_Toc33277"/>
      <w:r w:rsidRPr="001667DB">
        <w:rPr>
          <w:color w:val="000000" w:themeColor="text1"/>
          <w:sz w:val="22"/>
          <w:szCs w:val="22"/>
        </w:rPr>
        <w:t>5.6.</w:t>
      </w:r>
      <w:r w:rsidRPr="001667DB">
        <w:rPr>
          <w:rFonts w:eastAsia="Arial"/>
          <w:color w:val="000000" w:themeColor="text1"/>
          <w:sz w:val="22"/>
          <w:szCs w:val="22"/>
        </w:rPr>
        <w:t xml:space="preserve"> </w:t>
      </w:r>
      <w:r w:rsidRPr="001667DB">
        <w:rPr>
          <w:color w:val="000000" w:themeColor="text1"/>
          <w:sz w:val="22"/>
          <w:szCs w:val="22"/>
        </w:rPr>
        <w:t xml:space="preserve">Wykonanie w technologii mieszania na miejscu warstwy ulepszonego podłoża z gruntu stabilizowanego spoiwem hydraulicznym lub wapnem  </w:t>
      </w:r>
      <w:bookmarkEnd w:id="386"/>
    </w:p>
    <w:p w14:paraId="7C0E74FB"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wykonania warstwy ulepszonego podłoża w technologii mieszania na miejscu należy użyć specjalistycznych mieszarek wieloprzejściowych lub jednoprzejściowych. Po spulchnieniu gruntu należy sprawdzić jego wilgotność i w razie potrzeby ją zwiększyć w celu ułatwienia rozdrobnienia. Woda powinna być dozowana przy użyciu przewoźnych zbiorników zapewniających równomierne i kontrolowane dozowanie. Grunt z wodą powinien być dokładnie wymieszany. Jeżeli wilgotność naturalna gruntu jest większa od wilgotności optymalnej o więcej niż 10% jej wartości, grunt powinien być osuszony przez mieszanie i napowietrzanie w czasie suchej pogody. </w:t>
      </w:r>
    </w:p>
    <w:p w14:paraId="51AABFA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Spoiwo hydrauliczne lub wapno należy dodawać do rozdrobnionego gruntu w ilości ustalonej w recepcie laboratoryjnej, przy użyciu rozsypywarki ze szczeliną o regulowanej szerokości otwarcia. Grunt powinien być wymieszany w sposób zapewniający jednorodność na określoną głębokość, gwarantującą uzyskanie projektowanej grubości warstwy po zagęszczeniu. Po wymieszaniu gruntu ze spoiwem należy sprawdzić jego wilgotność. Jeżeli wilgotność jest mniejsza od optymalnej o więcej niż 20%, należy dodać odpowiednią ilość wody i grunt ponownie dokładnie wymieszać. Wilgotność gruntu przed zagęszczeniem nie może różnić się od wilgotności optymalnej o więcej niż +10%, -10% jej wartości. Po zakończeniu mieszania należy powierzchnię warstwy wyrównać i wyprofilować do wymaganych w dokumentacji projektowej rzędnych oraz spadków poprzecznych i podłużnych. Do tego celu należy użyć równiarek. Po wyprofilowaniu należy przystąpić do zagęszczania warstwy. Czas od momentu rozłożenia cementu na gruncie do momentu zakończenia mieszania nie powinien być dłuższy niż 2 godziny. W przypadku wykonywania stabilizacji z zastosowaniem wapna palonego grunt nie może być zagęszczany bezpośrednio po wymieszaniu z wapnem, ponieważ hydratacja wapna mogłaby uszkodzić zagęszczoną warstwę. Czas, w którym należy rozpocząć zagęszczenie, powinien być określony przez laboratorium i mieścić się w granicach od 6 do 48 godzin. Przy użyciu wapna hydratyzowanego grunt może być zagęszczany bezpośrednio po wymieszaniu z wapnem. </w:t>
      </w:r>
    </w:p>
    <w:p w14:paraId="1E87A79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Zagęszczanie warstwy ulepszanego podłoża z gruntu stabilizowanego spoiwem lub wapnem należy prowadzić przy użyciu walców ogumionych, a w końcowej fazie walców stalowych. Zagęszczanie ulepszonego podłoża o przekroju daszkowym powinno rozpocząć się od krawędzi i przesuwać pasami podłużnymi, częściowo nakładającymi się w stronę osi jezdni. Zagęszczenie warstwy o jednostronnym spadku poprzecznym powinno rozpocząć się od niżej położonej krawędzi i przesuwać pasami podłużnymi, częściowo nakładającymi się, w stronę wyżej położonej krawędzi. Pojawiające się w czasie zagęszczania zaniżenia, ubytki, rozwarstwienia i podobne wady, muszą być natychmiast naprawiane przez wymianę warstwy na pełną głębokość, wyrównanie i ponowne zagęszczenie. Powierzchnia zagęszczonej warstwy powinna mieć prawidłowy przekrój poprzeczny i jednolity wygląd. Zagęszczanie należy kontynuować do osiągnięcia wymaganego wskaźnika zagęszczenia. Specjalną uwagę należy poświęcić zagęszczaniu warstwy ulepszanego podłoża w sąsiedztwie spoin roboczych podłużnych i poprzecznych oraz wszelkich urządzeń obcych. </w:t>
      </w:r>
    </w:p>
    <w:p w14:paraId="5535F71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Wszelkie miejsca luźne, rozsegregowane, spękane podczas zagęszczania lub w inny sposób wadliwe, muszą być naprawione przez zerwanie warstwy na pełną grubość, wbudowanie nowej o odpowiednim składzie i ponowne zagęszczenie. Roboty te są wykonywane na koszt Wykonawcy. </w:t>
      </w:r>
    </w:p>
    <w:p w14:paraId="125625E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wykonaniu warstwy ulepszonego podłoża z gruntu stabilizowanego spoiwem hydraulicznym lub wapnem należy zabezpieczyć ją przed wyparowaniem wody. Sposoby pielęgnacji wykonanej warstwy ulepszonego podłoża zaproponowane przez Wykonawcę muszą być zaakceptowane przez Inżyniera/Inspektora Nadzoru.  </w:t>
      </w:r>
    </w:p>
    <w:p w14:paraId="0DF7AC0A" w14:textId="77777777" w:rsidR="00955A27" w:rsidRPr="00326BBF" w:rsidRDefault="00955A27" w:rsidP="00C73A21">
      <w:pPr>
        <w:pStyle w:val="Nagwek1"/>
        <w:tabs>
          <w:tab w:val="center" w:pos="2138"/>
        </w:tabs>
        <w:spacing w:line="360" w:lineRule="auto"/>
        <w:ind w:left="-15"/>
        <w:jc w:val="both"/>
        <w:rPr>
          <w:color w:val="000000" w:themeColor="text1"/>
          <w:sz w:val="22"/>
          <w:szCs w:val="22"/>
          <w:lang w:val="pl-PL"/>
        </w:rPr>
      </w:pPr>
      <w:bookmarkStart w:id="387" w:name="_Toc33278"/>
      <w:r w:rsidRPr="00326BBF">
        <w:rPr>
          <w:color w:val="000000" w:themeColor="text1"/>
          <w:sz w:val="22"/>
          <w:szCs w:val="22"/>
          <w:lang w:val="pl-PL"/>
        </w:rPr>
        <w:lastRenderedPageBreak/>
        <w:t>6.</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KONTROLA JAKOŚCI ROBÓT </w:t>
      </w:r>
      <w:bookmarkEnd w:id="387"/>
    </w:p>
    <w:p w14:paraId="718FAECE" w14:textId="77777777" w:rsidR="00955A27" w:rsidRPr="001667DB" w:rsidRDefault="00955A27" w:rsidP="00C73A21">
      <w:pPr>
        <w:pStyle w:val="Nagwek2"/>
        <w:spacing w:line="360" w:lineRule="auto"/>
        <w:ind w:left="-5"/>
        <w:jc w:val="both"/>
        <w:rPr>
          <w:color w:val="000000" w:themeColor="text1"/>
          <w:sz w:val="22"/>
          <w:szCs w:val="22"/>
        </w:rPr>
      </w:pPr>
      <w:bookmarkStart w:id="388" w:name="_Toc33279"/>
      <w:r w:rsidRPr="001667DB">
        <w:rPr>
          <w:color w:val="000000" w:themeColor="text1"/>
          <w:sz w:val="22"/>
          <w:szCs w:val="22"/>
        </w:rPr>
        <w:t>6.1.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kontroli jakości robót </w:t>
      </w:r>
      <w:bookmarkEnd w:id="388"/>
    </w:p>
    <w:p w14:paraId="3032175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kontroli jakości robót podano w D-M-00.00.00 „Wymagania ogólne”. </w:t>
      </w:r>
    </w:p>
    <w:p w14:paraId="0CB70E73"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dzielą się na: </w:t>
      </w:r>
    </w:p>
    <w:p w14:paraId="65B20613" w14:textId="77777777" w:rsidR="00955A27" w:rsidRPr="001667DB" w:rsidRDefault="00955A27" w:rsidP="00904E6C">
      <w:pPr>
        <w:numPr>
          <w:ilvl w:val="0"/>
          <w:numId w:val="10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Wykonawcy – w ramach własnego nadzoru, </w:t>
      </w:r>
    </w:p>
    <w:p w14:paraId="799FFEDC" w14:textId="77777777" w:rsidR="00955A27" w:rsidRPr="001667DB" w:rsidRDefault="00955A27" w:rsidP="00904E6C">
      <w:pPr>
        <w:numPr>
          <w:ilvl w:val="0"/>
          <w:numId w:val="10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kontrolne – w ramach nadzoru Zamawiającego. </w:t>
      </w:r>
    </w:p>
    <w:p w14:paraId="0A0136B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uzasadnionych przypadkach w ramach badań i pomiarów kontrolnych dopuszcza się wykonanie badań i pomiarów kontrolnych dodatkowych lub badań i pomiarów arbitrażowych. </w:t>
      </w:r>
      <w:r w:rsidRPr="001667DB">
        <w:rPr>
          <w:rFonts w:ascii="Times New Roman" w:hAnsi="Times New Roman" w:cs="Times New Roman"/>
          <w:color w:val="000000" w:themeColor="text1"/>
        </w:rPr>
        <w:tab/>
        <w:t xml:space="preserve"> </w:t>
      </w:r>
    </w:p>
    <w:p w14:paraId="6B9C901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obejmują: </w:t>
      </w:r>
    </w:p>
    <w:p w14:paraId="705100D2" w14:textId="77777777" w:rsidR="00955A27" w:rsidRPr="001667DB" w:rsidRDefault="00955A27" w:rsidP="00904E6C">
      <w:pPr>
        <w:numPr>
          <w:ilvl w:val="0"/>
          <w:numId w:val="10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pobranie próbek, </w:t>
      </w:r>
    </w:p>
    <w:p w14:paraId="6E996E4C" w14:textId="77777777" w:rsidR="00955A27" w:rsidRPr="001667DB" w:rsidRDefault="00955A27" w:rsidP="00904E6C">
      <w:pPr>
        <w:numPr>
          <w:ilvl w:val="0"/>
          <w:numId w:val="10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zapakowanie próbek do wysyłki, </w:t>
      </w:r>
    </w:p>
    <w:p w14:paraId="0F295D1D" w14:textId="77777777" w:rsidR="00955A27" w:rsidRPr="001667DB" w:rsidRDefault="00955A27" w:rsidP="00904E6C">
      <w:pPr>
        <w:numPr>
          <w:ilvl w:val="0"/>
          <w:numId w:val="10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próbek z miejsca pobrania do placówki wykonującej badania, </w:t>
      </w:r>
    </w:p>
    <w:p w14:paraId="40E5CC9F" w14:textId="77777777" w:rsidR="00955A27" w:rsidRPr="001667DB" w:rsidRDefault="00955A27" w:rsidP="00904E6C">
      <w:pPr>
        <w:numPr>
          <w:ilvl w:val="0"/>
          <w:numId w:val="10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badania, </w:t>
      </w:r>
    </w:p>
    <w:p w14:paraId="4AE7B43F" w14:textId="77777777" w:rsidR="00955A27" w:rsidRPr="001667DB" w:rsidRDefault="00955A27" w:rsidP="00904E6C">
      <w:pPr>
        <w:numPr>
          <w:ilvl w:val="0"/>
          <w:numId w:val="10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sprawozdanie z badań.  </w:t>
      </w:r>
    </w:p>
    <w:p w14:paraId="35FAAF7A" w14:textId="77777777" w:rsidR="00955A27" w:rsidRPr="001667DB" w:rsidRDefault="00955A27" w:rsidP="00C73A21">
      <w:pPr>
        <w:pStyle w:val="Nagwek2"/>
        <w:spacing w:line="360" w:lineRule="auto"/>
        <w:ind w:left="-5"/>
        <w:jc w:val="both"/>
        <w:rPr>
          <w:color w:val="000000" w:themeColor="text1"/>
          <w:sz w:val="22"/>
          <w:szCs w:val="22"/>
        </w:rPr>
      </w:pPr>
      <w:bookmarkStart w:id="389" w:name="_Toc33280"/>
      <w:r w:rsidRPr="001667DB">
        <w:rPr>
          <w:color w:val="000000" w:themeColor="text1"/>
          <w:sz w:val="22"/>
          <w:szCs w:val="22"/>
        </w:rPr>
        <w:t>6.2.</w:t>
      </w:r>
      <w:r w:rsidRPr="001667DB">
        <w:rPr>
          <w:rFonts w:eastAsia="Arial"/>
          <w:color w:val="000000" w:themeColor="text1"/>
          <w:sz w:val="22"/>
          <w:szCs w:val="22"/>
        </w:rPr>
        <w:t xml:space="preserve"> </w:t>
      </w:r>
      <w:r w:rsidRPr="001667DB">
        <w:rPr>
          <w:color w:val="000000" w:themeColor="text1"/>
          <w:sz w:val="22"/>
          <w:szCs w:val="22"/>
        </w:rPr>
        <w:t xml:space="preserve">Badania i pomiary Wykonawcy - zgodnie z D-M-00.00.00 „Wymagania ogólne” </w:t>
      </w:r>
      <w:bookmarkEnd w:id="389"/>
    </w:p>
    <w:p w14:paraId="6D2AA5F2"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badań i pomiarów Wykonawcy powinien być: </w:t>
      </w:r>
    </w:p>
    <w:p w14:paraId="182D31D3" w14:textId="77777777" w:rsidR="00955A27" w:rsidRPr="001667DB" w:rsidRDefault="00955A27" w:rsidP="00904E6C">
      <w:pPr>
        <w:numPr>
          <w:ilvl w:val="0"/>
          <w:numId w:val="10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mniejszy niż określony w Zakładowej Kontroli Produkcji dla dostarczanych na budowę materiałów, </w:t>
      </w:r>
    </w:p>
    <w:p w14:paraId="18DD1757" w14:textId="77777777" w:rsidR="00955A27" w:rsidRPr="001667DB" w:rsidRDefault="00955A27" w:rsidP="00904E6C">
      <w:pPr>
        <w:numPr>
          <w:ilvl w:val="0"/>
          <w:numId w:val="10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wykonanej warstwy być nie mniejszy niż określony zakres i częstotliwość badań i pomiarów kontrolnych określony w Tabeli 6 i 7. </w:t>
      </w:r>
    </w:p>
    <w:p w14:paraId="74D5141B" w14:textId="77777777" w:rsidR="00955A27" w:rsidRPr="001667DB" w:rsidRDefault="00955A27" w:rsidP="00C73A21">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6. Minimalna częstotliwość oraz zakres badań ze strony Wykonawcy przy wykonywaniu warstwy ulepszonego podłoża z gruntu stabilizowanego spoiwem hydraulicznym lub wapnem </w:t>
      </w:r>
    </w:p>
    <w:tbl>
      <w:tblPr>
        <w:tblStyle w:val="TableGrid"/>
        <w:tblW w:w="8862" w:type="dxa"/>
        <w:tblInd w:w="108" w:type="dxa"/>
        <w:tblCellMar>
          <w:top w:w="109" w:type="dxa"/>
          <w:left w:w="70" w:type="dxa"/>
          <w:right w:w="9" w:type="dxa"/>
        </w:tblCellMar>
        <w:tblLook w:val="04A0" w:firstRow="1" w:lastRow="0" w:firstColumn="1" w:lastColumn="0" w:noHBand="0" w:noVBand="1"/>
      </w:tblPr>
      <w:tblGrid>
        <w:gridCol w:w="419"/>
        <w:gridCol w:w="2912"/>
        <w:gridCol w:w="2837"/>
        <w:gridCol w:w="2694"/>
      </w:tblGrid>
      <w:tr w:rsidR="00955A27" w:rsidRPr="001667DB" w14:paraId="53173E2D" w14:textId="77777777" w:rsidTr="001B4B8F">
        <w:trPr>
          <w:trHeight w:val="22"/>
        </w:trPr>
        <w:tc>
          <w:tcPr>
            <w:tcW w:w="420" w:type="dxa"/>
            <w:vMerge w:val="restart"/>
            <w:tcBorders>
              <w:top w:val="single" w:sz="6" w:space="0" w:color="000000"/>
              <w:left w:val="single" w:sz="6" w:space="0" w:color="000000"/>
              <w:bottom w:val="single" w:sz="4" w:space="0" w:color="000000"/>
              <w:right w:val="single" w:sz="6" w:space="0" w:color="000000"/>
            </w:tcBorders>
            <w:vAlign w:val="center"/>
          </w:tcPr>
          <w:p w14:paraId="2D71562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2912" w:type="dxa"/>
            <w:vMerge w:val="restart"/>
            <w:tcBorders>
              <w:top w:val="single" w:sz="6" w:space="0" w:color="000000"/>
              <w:left w:val="single" w:sz="6" w:space="0" w:color="000000"/>
              <w:bottom w:val="single" w:sz="4" w:space="0" w:color="000000"/>
              <w:right w:val="single" w:sz="6" w:space="0" w:color="000000"/>
            </w:tcBorders>
            <w:vAlign w:val="center"/>
          </w:tcPr>
          <w:p w14:paraId="70030A3B"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badań i pomiarów </w:t>
            </w:r>
          </w:p>
        </w:tc>
        <w:tc>
          <w:tcPr>
            <w:tcW w:w="5531" w:type="dxa"/>
            <w:gridSpan w:val="2"/>
            <w:tcBorders>
              <w:top w:val="single" w:sz="6" w:space="0" w:color="000000"/>
              <w:left w:val="single" w:sz="6" w:space="0" w:color="000000"/>
              <w:bottom w:val="single" w:sz="6" w:space="0" w:color="000000"/>
              <w:right w:val="single" w:sz="6" w:space="0" w:color="000000"/>
            </w:tcBorders>
          </w:tcPr>
          <w:p w14:paraId="3FAC6122"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Częstotliwość badań i pomiarów </w:t>
            </w:r>
          </w:p>
        </w:tc>
      </w:tr>
      <w:tr w:rsidR="00955A27" w:rsidRPr="001667DB" w14:paraId="64ACFDA8" w14:textId="77777777" w:rsidTr="001B4B8F">
        <w:trPr>
          <w:trHeight w:val="242"/>
        </w:trPr>
        <w:tc>
          <w:tcPr>
            <w:tcW w:w="0" w:type="auto"/>
            <w:vMerge/>
            <w:tcBorders>
              <w:top w:val="nil"/>
              <w:left w:val="single" w:sz="6" w:space="0" w:color="000000"/>
              <w:bottom w:val="single" w:sz="4" w:space="0" w:color="000000"/>
              <w:right w:val="single" w:sz="6" w:space="0" w:color="000000"/>
            </w:tcBorders>
          </w:tcPr>
          <w:p w14:paraId="3DB9229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6" w:space="0" w:color="000000"/>
              <w:bottom w:val="single" w:sz="4" w:space="0" w:color="000000"/>
              <w:right w:val="single" w:sz="6" w:space="0" w:color="000000"/>
            </w:tcBorders>
          </w:tcPr>
          <w:p w14:paraId="0271817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837" w:type="dxa"/>
            <w:tcBorders>
              <w:top w:val="single" w:sz="6" w:space="0" w:color="000000"/>
              <w:left w:val="single" w:sz="6" w:space="0" w:color="000000"/>
              <w:bottom w:val="single" w:sz="4" w:space="0" w:color="000000"/>
              <w:right w:val="single" w:sz="6" w:space="0" w:color="000000"/>
            </w:tcBorders>
          </w:tcPr>
          <w:p w14:paraId="5781181C" w14:textId="77777777" w:rsidR="00955A27" w:rsidRPr="001667DB" w:rsidRDefault="00955A27" w:rsidP="00955A27">
            <w:pPr>
              <w:spacing w:after="120" w:line="360" w:lineRule="auto"/>
              <w:ind w:left="70" w:right="13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Minimalna ilość badań na dziennej działce roboczej </w:t>
            </w:r>
          </w:p>
        </w:tc>
        <w:tc>
          <w:tcPr>
            <w:tcW w:w="2693" w:type="dxa"/>
            <w:tcBorders>
              <w:top w:val="single" w:sz="6" w:space="0" w:color="000000"/>
              <w:left w:val="single" w:sz="6" w:space="0" w:color="000000"/>
              <w:bottom w:val="single" w:sz="4" w:space="0" w:color="000000"/>
              <w:right w:val="single" w:sz="6" w:space="0" w:color="000000"/>
            </w:tcBorders>
          </w:tcPr>
          <w:p w14:paraId="0E86CE8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Maksymalna powierzchnia na jedno badanie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r w:rsidR="00955A27" w:rsidRPr="001667DB" w14:paraId="71C8EE70" w14:textId="77777777" w:rsidTr="001B4B8F">
        <w:trPr>
          <w:trHeight w:val="343"/>
        </w:trPr>
        <w:tc>
          <w:tcPr>
            <w:tcW w:w="420" w:type="dxa"/>
            <w:tcBorders>
              <w:top w:val="single" w:sz="4" w:space="0" w:color="000000"/>
              <w:left w:val="single" w:sz="6" w:space="0" w:color="000000"/>
              <w:bottom w:val="single" w:sz="6" w:space="0" w:color="000000"/>
              <w:right w:val="single" w:sz="6" w:space="0" w:color="000000"/>
            </w:tcBorders>
            <w:vAlign w:val="center"/>
          </w:tcPr>
          <w:p w14:paraId="5B8C0B38"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912" w:type="dxa"/>
            <w:tcBorders>
              <w:top w:val="single" w:sz="4" w:space="0" w:color="000000"/>
              <w:left w:val="single" w:sz="6" w:space="0" w:color="000000"/>
              <w:bottom w:val="single" w:sz="6" w:space="0" w:color="000000"/>
              <w:right w:val="single" w:sz="6" w:space="0" w:color="000000"/>
            </w:tcBorders>
          </w:tcPr>
          <w:p w14:paraId="2697407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Wilgotność gruntu oraz gruntu ze spoiwem </w:t>
            </w:r>
          </w:p>
        </w:tc>
        <w:tc>
          <w:tcPr>
            <w:tcW w:w="2837" w:type="dxa"/>
            <w:tcBorders>
              <w:top w:val="single" w:sz="4" w:space="0" w:color="000000"/>
              <w:left w:val="single" w:sz="6" w:space="0" w:color="000000"/>
              <w:bottom w:val="single" w:sz="6" w:space="0" w:color="000000"/>
              <w:right w:val="single" w:sz="6" w:space="0" w:color="000000"/>
            </w:tcBorders>
            <w:vAlign w:val="center"/>
          </w:tcPr>
          <w:p w14:paraId="1391800F"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693" w:type="dxa"/>
            <w:tcBorders>
              <w:top w:val="single" w:sz="4" w:space="0" w:color="000000"/>
              <w:left w:val="single" w:sz="6" w:space="0" w:color="000000"/>
              <w:bottom w:val="single" w:sz="6" w:space="0" w:color="000000"/>
              <w:right w:val="single" w:sz="6" w:space="0" w:color="000000"/>
            </w:tcBorders>
            <w:vAlign w:val="center"/>
          </w:tcPr>
          <w:p w14:paraId="4FEA7CF7"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600 </w:t>
            </w:r>
          </w:p>
        </w:tc>
      </w:tr>
      <w:tr w:rsidR="00955A27" w:rsidRPr="001667DB" w14:paraId="7862B649" w14:textId="77777777" w:rsidTr="001B4B8F">
        <w:trPr>
          <w:trHeight w:val="383"/>
        </w:trPr>
        <w:tc>
          <w:tcPr>
            <w:tcW w:w="420" w:type="dxa"/>
            <w:tcBorders>
              <w:top w:val="single" w:sz="6" w:space="0" w:color="000000"/>
              <w:left w:val="single" w:sz="6" w:space="0" w:color="000000"/>
              <w:bottom w:val="single" w:sz="6" w:space="0" w:color="000000"/>
              <w:right w:val="single" w:sz="6" w:space="0" w:color="000000"/>
            </w:tcBorders>
            <w:vAlign w:val="center"/>
          </w:tcPr>
          <w:p w14:paraId="44702F4E"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2 </w:t>
            </w:r>
          </w:p>
        </w:tc>
        <w:tc>
          <w:tcPr>
            <w:tcW w:w="2912" w:type="dxa"/>
            <w:tcBorders>
              <w:top w:val="single" w:sz="6" w:space="0" w:color="000000"/>
              <w:left w:val="single" w:sz="6" w:space="0" w:color="000000"/>
              <w:bottom w:val="single" w:sz="6" w:space="0" w:color="000000"/>
              <w:right w:val="single" w:sz="6" w:space="0" w:color="000000"/>
            </w:tcBorders>
          </w:tcPr>
          <w:p w14:paraId="1ED39D7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Jednorodność i głębokość wymieszania oraz stopień rozdrobnienia </w:t>
            </w:r>
          </w:p>
        </w:tc>
        <w:tc>
          <w:tcPr>
            <w:tcW w:w="2837" w:type="dxa"/>
            <w:tcBorders>
              <w:top w:val="single" w:sz="6" w:space="0" w:color="000000"/>
              <w:left w:val="single" w:sz="6" w:space="0" w:color="000000"/>
              <w:bottom w:val="single" w:sz="6" w:space="0" w:color="000000"/>
              <w:right w:val="single" w:sz="6" w:space="0" w:color="000000"/>
            </w:tcBorders>
            <w:vAlign w:val="center"/>
          </w:tcPr>
          <w:p w14:paraId="374D1881"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693" w:type="dxa"/>
            <w:tcBorders>
              <w:top w:val="single" w:sz="6" w:space="0" w:color="000000"/>
              <w:left w:val="single" w:sz="6" w:space="0" w:color="000000"/>
              <w:bottom w:val="single" w:sz="6" w:space="0" w:color="000000"/>
              <w:right w:val="single" w:sz="6" w:space="0" w:color="000000"/>
            </w:tcBorders>
            <w:vAlign w:val="center"/>
          </w:tcPr>
          <w:p w14:paraId="23B1D5C5"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600 </w:t>
            </w:r>
          </w:p>
        </w:tc>
      </w:tr>
      <w:tr w:rsidR="00955A27" w:rsidRPr="001667DB" w14:paraId="4869E702" w14:textId="77777777" w:rsidTr="001B4B8F">
        <w:trPr>
          <w:trHeight w:val="139"/>
        </w:trPr>
        <w:tc>
          <w:tcPr>
            <w:tcW w:w="420" w:type="dxa"/>
            <w:tcBorders>
              <w:top w:val="single" w:sz="6" w:space="0" w:color="000000"/>
              <w:left w:val="single" w:sz="6" w:space="0" w:color="000000"/>
              <w:bottom w:val="single" w:sz="6" w:space="0" w:color="000000"/>
              <w:right w:val="single" w:sz="6" w:space="0" w:color="000000"/>
            </w:tcBorders>
            <w:vAlign w:val="center"/>
          </w:tcPr>
          <w:p w14:paraId="7DF818E9"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2912" w:type="dxa"/>
            <w:tcBorders>
              <w:top w:val="single" w:sz="6" w:space="0" w:color="000000"/>
              <w:left w:val="single" w:sz="6" w:space="0" w:color="000000"/>
              <w:bottom w:val="single" w:sz="6" w:space="0" w:color="000000"/>
              <w:right w:val="single" w:sz="6" w:space="0" w:color="000000"/>
            </w:tcBorders>
          </w:tcPr>
          <w:p w14:paraId="31E08F5E" w14:textId="77777777" w:rsidR="00955A27" w:rsidRPr="001667DB" w:rsidRDefault="00955A27" w:rsidP="00955A27">
            <w:pPr>
              <w:spacing w:after="120" w:line="360" w:lineRule="auto"/>
              <w:ind w:left="62" w:right="129"/>
              <w:jc w:val="center"/>
              <w:rPr>
                <w:rFonts w:ascii="Times New Roman" w:hAnsi="Times New Roman" w:cs="Times New Roman"/>
                <w:color w:val="000000" w:themeColor="text1"/>
              </w:rPr>
            </w:pPr>
            <w:r w:rsidRPr="001667DB">
              <w:rPr>
                <w:rFonts w:ascii="Times New Roman" w:hAnsi="Times New Roman" w:cs="Times New Roman"/>
                <w:color w:val="000000" w:themeColor="text1"/>
              </w:rPr>
              <w:t>Ilość dozowanego spoiwa na 1 m</w:t>
            </w: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 xml:space="preserve">powierzchni warstwy </w:t>
            </w:r>
          </w:p>
        </w:tc>
        <w:tc>
          <w:tcPr>
            <w:tcW w:w="2837" w:type="dxa"/>
            <w:tcBorders>
              <w:top w:val="single" w:sz="6" w:space="0" w:color="000000"/>
              <w:left w:val="single" w:sz="6" w:space="0" w:color="000000"/>
              <w:bottom w:val="single" w:sz="6" w:space="0" w:color="000000"/>
              <w:right w:val="single" w:sz="6" w:space="0" w:color="000000"/>
            </w:tcBorders>
            <w:vAlign w:val="center"/>
          </w:tcPr>
          <w:p w14:paraId="0EE8D235"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693" w:type="dxa"/>
            <w:tcBorders>
              <w:top w:val="single" w:sz="6" w:space="0" w:color="000000"/>
              <w:left w:val="single" w:sz="6" w:space="0" w:color="000000"/>
              <w:bottom w:val="single" w:sz="6" w:space="0" w:color="000000"/>
              <w:right w:val="single" w:sz="6" w:space="0" w:color="000000"/>
            </w:tcBorders>
            <w:vAlign w:val="center"/>
          </w:tcPr>
          <w:p w14:paraId="14D4F28E"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600 </w:t>
            </w:r>
          </w:p>
        </w:tc>
      </w:tr>
      <w:tr w:rsidR="00955A27" w:rsidRPr="001667DB" w14:paraId="46DF9062" w14:textId="77777777">
        <w:trPr>
          <w:trHeight w:val="792"/>
        </w:trPr>
        <w:tc>
          <w:tcPr>
            <w:tcW w:w="420" w:type="dxa"/>
            <w:tcBorders>
              <w:top w:val="single" w:sz="6" w:space="0" w:color="000000"/>
              <w:left w:val="single" w:sz="6" w:space="0" w:color="000000"/>
              <w:bottom w:val="single" w:sz="6" w:space="0" w:color="000000"/>
              <w:right w:val="single" w:sz="6" w:space="0" w:color="000000"/>
            </w:tcBorders>
            <w:vAlign w:val="center"/>
          </w:tcPr>
          <w:p w14:paraId="21D02520"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912" w:type="dxa"/>
            <w:tcBorders>
              <w:top w:val="single" w:sz="6" w:space="0" w:color="000000"/>
              <w:left w:val="single" w:sz="6" w:space="0" w:color="000000"/>
              <w:bottom w:val="single" w:sz="6" w:space="0" w:color="000000"/>
              <w:right w:val="single" w:sz="6" w:space="0" w:color="000000"/>
            </w:tcBorders>
            <w:vAlign w:val="center"/>
          </w:tcPr>
          <w:p w14:paraId="492CF798"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Wytrzymałość na ściskanie </w:t>
            </w:r>
          </w:p>
        </w:tc>
        <w:tc>
          <w:tcPr>
            <w:tcW w:w="5531" w:type="dxa"/>
            <w:gridSpan w:val="2"/>
            <w:tcBorders>
              <w:top w:val="single" w:sz="6" w:space="0" w:color="000000"/>
              <w:left w:val="single" w:sz="6" w:space="0" w:color="000000"/>
              <w:bottom w:val="single" w:sz="6" w:space="0" w:color="000000"/>
              <w:right w:val="single" w:sz="6" w:space="0" w:color="000000"/>
            </w:tcBorders>
          </w:tcPr>
          <w:p w14:paraId="5D235A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seria próbek (min. 3 próbki) na każde 3000 m</w:t>
            </w: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 xml:space="preserve">wbudowanej warstwy, lecz nie rzadziej niż raz na dziennej </w:t>
            </w:r>
          </w:p>
          <w:p w14:paraId="3047A05B"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działce roboczej </w:t>
            </w:r>
          </w:p>
        </w:tc>
      </w:tr>
      <w:tr w:rsidR="00955A27" w:rsidRPr="001667DB" w14:paraId="01377890" w14:textId="77777777">
        <w:trPr>
          <w:trHeight w:val="350"/>
        </w:trPr>
        <w:tc>
          <w:tcPr>
            <w:tcW w:w="420" w:type="dxa"/>
            <w:tcBorders>
              <w:top w:val="single" w:sz="6" w:space="0" w:color="000000"/>
              <w:left w:val="single" w:sz="6" w:space="0" w:color="000000"/>
              <w:bottom w:val="single" w:sz="4" w:space="0" w:color="000000"/>
              <w:right w:val="single" w:sz="6" w:space="0" w:color="000000"/>
            </w:tcBorders>
          </w:tcPr>
          <w:p w14:paraId="09B2EAD4"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2912" w:type="dxa"/>
            <w:tcBorders>
              <w:top w:val="single" w:sz="6" w:space="0" w:color="000000"/>
              <w:left w:val="single" w:sz="6" w:space="0" w:color="000000"/>
              <w:bottom w:val="single" w:sz="4" w:space="0" w:color="000000"/>
              <w:right w:val="single" w:sz="6" w:space="0" w:color="000000"/>
            </w:tcBorders>
          </w:tcPr>
          <w:p w14:paraId="2FE777B8"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zagęszczenia  </w:t>
            </w:r>
          </w:p>
        </w:tc>
        <w:tc>
          <w:tcPr>
            <w:tcW w:w="2837" w:type="dxa"/>
            <w:tcBorders>
              <w:top w:val="single" w:sz="6" w:space="0" w:color="000000"/>
              <w:left w:val="single" w:sz="6" w:space="0" w:color="000000"/>
              <w:bottom w:val="single" w:sz="4" w:space="0" w:color="000000"/>
              <w:right w:val="single" w:sz="6" w:space="0" w:color="000000"/>
            </w:tcBorders>
          </w:tcPr>
          <w:p w14:paraId="5DE8AA3B"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693" w:type="dxa"/>
            <w:tcBorders>
              <w:top w:val="single" w:sz="6" w:space="0" w:color="000000"/>
              <w:left w:val="single" w:sz="6" w:space="0" w:color="000000"/>
              <w:bottom w:val="single" w:sz="4" w:space="0" w:color="000000"/>
              <w:right w:val="single" w:sz="6" w:space="0" w:color="000000"/>
            </w:tcBorders>
          </w:tcPr>
          <w:p w14:paraId="41D771D9"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600 </w:t>
            </w:r>
          </w:p>
        </w:tc>
      </w:tr>
      <w:tr w:rsidR="00955A27" w:rsidRPr="001667DB" w14:paraId="4C2DE9E0" w14:textId="77777777">
        <w:trPr>
          <w:trHeight w:val="350"/>
        </w:trPr>
        <w:tc>
          <w:tcPr>
            <w:tcW w:w="420" w:type="dxa"/>
            <w:tcBorders>
              <w:top w:val="single" w:sz="4" w:space="0" w:color="000000"/>
              <w:left w:val="single" w:sz="4" w:space="0" w:color="000000"/>
              <w:bottom w:val="single" w:sz="4" w:space="0" w:color="000000"/>
              <w:right w:val="single" w:sz="4" w:space="0" w:color="000000"/>
            </w:tcBorders>
          </w:tcPr>
          <w:p w14:paraId="4818E0E9"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912" w:type="dxa"/>
            <w:tcBorders>
              <w:top w:val="single" w:sz="4" w:space="0" w:color="000000"/>
              <w:left w:val="single" w:sz="4" w:space="0" w:color="000000"/>
              <w:bottom w:val="single" w:sz="4" w:space="0" w:color="000000"/>
              <w:right w:val="single" w:sz="4" w:space="0" w:color="000000"/>
            </w:tcBorders>
          </w:tcPr>
          <w:p w14:paraId="7D79381D"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Nośność warstwy  </w:t>
            </w:r>
          </w:p>
        </w:tc>
        <w:tc>
          <w:tcPr>
            <w:tcW w:w="5531" w:type="dxa"/>
            <w:gridSpan w:val="2"/>
            <w:tcBorders>
              <w:top w:val="single" w:sz="4" w:space="0" w:color="000000"/>
              <w:left w:val="single" w:sz="4" w:space="0" w:color="000000"/>
              <w:bottom w:val="single" w:sz="4" w:space="0" w:color="000000"/>
              <w:right w:val="single" w:sz="4" w:space="0" w:color="000000"/>
            </w:tcBorders>
          </w:tcPr>
          <w:p w14:paraId="2E6AA44D"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3 razy na każde 2000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bl>
    <w:p w14:paraId="1872104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w:t>
      </w:r>
    </w:p>
    <w:p w14:paraId="6AE7BF85"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7. Minimalna częstotliwość oraz zakres badań ze strony Wykonawcy dla wykonanej warstwy ulepszonego podłoża z gruntu stabilizowanego spoiwem hydraulicznym lub wapnem </w:t>
      </w:r>
    </w:p>
    <w:tbl>
      <w:tblPr>
        <w:tblStyle w:val="TableGrid"/>
        <w:tblW w:w="9146" w:type="dxa"/>
        <w:tblInd w:w="7" w:type="dxa"/>
        <w:tblCellMar>
          <w:top w:w="109" w:type="dxa"/>
          <w:left w:w="103" w:type="dxa"/>
          <w:right w:w="44" w:type="dxa"/>
        </w:tblCellMar>
        <w:tblLook w:val="04A0" w:firstRow="1" w:lastRow="0" w:firstColumn="1" w:lastColumn="0" w:noHBand="0" w:noVBand="1"/>
      </w:tblPr>
      <w:tblGrid>
        <w:gridCol w:w="497"/>
        <w:gridCol w:w="2693"/>
        <w:gridCol w:w="5956"/>
      </w:tblGrid>
      <w:tr w:rsidR="00955A27" w:rsidRPr="001667DB" w14:paraId="6432729C" w14:textId="77777777">
        <w:trPr>
          <w:trHeight w:val="353"/>
        </w:trPr>
        <w:tc>
          <w:tcPr>
            <w:tcW w:w="497" w:type="dxa"/>
            <w:tcBorders>
              <w:top w:val="single" w:sz="6" w:space="0" w:color="000000"/>
              <w:left w:val="single" w:sz="6" w:space="0" w:color="000000"/>
              <w:bottom w:val="single" w:sz="4" w:space="0" w:color="000000"/>
              <w:right w:val="single" w:sz="6" w:space="0" w:color="000000"/>
            </w:tcBorders>
          </w:tcPr>
          <w:p w14:paraId="57AB4CF2" w14:textId="77777777" w:rsidR="00955A27" w:rsidRPr="001667DB" w:rsidRDefault="00955A27" w:rsidP="00955A27">
            <w:pPr>
              <w:spacing w:after="120" w:line="360" w:lineRule="auto"/>
              <w:ind w:left="7"/>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2693" w:type="dxa"/>
            <w:tcBorders>
              <w:top w:val="single" w:sz="6" w:space="0" w:color="000000"/>
              <w:left w:val="single" w:sz="6" w:space="0" w:color="000000"/>
              <w:bottom w:val="single" w:sz="4" w:space="0" w:color="000000"/>
              <w:right w:val="single" w:sz="6" w:space="0" w:color="000000"/>
            </w:tcBorders>
          </w:tcPr>
          <w:p w14:paraId="61B3D506" w14:textId="77777777" w:rsidR="00955A27" w:rsidRPr="001667DB" w:rsidRDefault="00955A27" w:rsidP="00955A27">
            <w:pPr>
              <w:spacing w:after="120" w:line="360" w:lineRule="auto"/>
              <w:ind w:right="5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Cecha mierzona  </w:t>
            </w:r>
          </w:p>
        </w:tc>
        <w:tc>
          <w:tcPr>
            <w:tcW w:w="5955" w:type="dxa"/>
            <w:tcBorders>
              <w:top w:val="single" w:sz="6" w:space="0" w:color="000000"/>
              <w:left w:val="single" w:sz="6" w:space="0" w:color="000000"/>
              <w:bottom w:val="single" w:sz="4" w:space="0" w:color="000000"/>
              <w:right w:val="single" w:sz="6" w:space="0" w:color="000000"/>
            </w:tcBorders>
          </w:tcPr>
          <w:p w14:paraId="4B0043B6"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Minimalna częstotliwość pomiarów </w:t>
            </w:r>
          </w:p>
        </w:tc>
      </w:tr>
      <w:tr w:rsidR="00955A27" w:rsidRPr="001667DB" w14:paraId="0C161431" w14:textId="77777777">
        <w:trPr>
          <w:trHeight w:val="350"/>
        </w:trPr>
        <w:tc>
          <w:tcPr>
            <w:tcW w:w="497" w:type="dxa"/>
            <w:tcBorders>
              <w:top w:val="single" w:sz="4" w:space="0" w:color="000000"/>
              <w:left w:val="single" w:sz="6" w:space="0" w:color="000000"/>
              <w:bottom w:val="single" w:sz="6" w:space="0" w:color="000000"/>
              <w:right w:val="single" w:sz="6" w:space="0" w:color="000000"/>
            </w:tcBorders>
          </w:tcPr>
          <w:p w14:paraId="7E63AE2C"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693" w:type="dxa"/>
            <w:tcBorders>
              <w:top w:val="single" w:sz="4" w:space="0" w:color="000000"/>
              <w:left w:val="single" w:sz="6" w:space="0" w:color="000000"/>
              <w:bottom w:val="single" w:sz="6" w:space="0" w:color="000000"/>
              <w:right w:val="single" w:sz="6" w:space="0" w:color="000000"/>
            </w:tcBorders>
          </w:tcPr>
          <w:p w14:paraId="511DD694" w14:textId="77777777" w:rsidR="00955A27" w:rsidRPr="001667DB" w:rsidRDefault="00955A27" w:rsidP="00955A27">
            <w:pPr>
              <w:spacing w:after="120" w:line="360" w:lineRule="auto"/>
              <w:ind w:right="5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w:t>
            </w:r>
          </w:p>
        </w:tc>
        <w:tc>
          <w:tcPr>
            <w:tcW w:w="5955" w:type="dxa"/>
            <w:tcBorders>
              <w:top w:val="single" w:sz="4" w:space="0" w:color="000000"/>
              <w:left w:val="single" w:sz="6" w:space="0" w:color="000000"/>
              <w:bottom w:val="single" w:sz="6" w:space="0" w:color="000000"/>
              <w:right w:val="single" w:sz="6" w:space="0" w:color="000000"/>
            </w:tcBorders>
          </w:tcPr>
          <w:p w14:paraId="00BDCAB4"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w 3 punktach, lecz nie rzadziej niż raz na 2000m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r w:rsidR="00955A27" w:rsidRPr="001667DB" w14:paraId="6EE48D6B" w14:textId="77777777">
        <w:trPr>
          <w:trHeight w:val="353"/>
        </w:trPr>
        <w:tc>
          <w:tcPr>
            <w:tcW w:w="497" w:type="dxa"/>
            <w:tcBorders>
              <w:top w:val="single" w:sz="6" w:space="0" w:color="000000"/>
              <w:left w:val="single" w:sz="6" w:space="0" w:color="000000"/>
              <w:bottom w:val="single" w:sz="6" w:space="0" w:color="000000"/>
              <w:right w:val="single" w:sz="6" w:space="0" w:color="000000"/>
            </w:tcBorders>
          </w:tcPr>
          <w:p w14:paraId="46114324"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693" w:type="dxa"/>
            <w:tcBorders>
              <w:top w:val="single" w:sz="6" w:space="0" w:color="000000"/>
              <w:left w:val="single" w:sz="6" w:space="0" w:color="000000"/>
              <w:bottom w:val="single" w:sz="6" w:space="0" w:color="000000"/>
              <w:right w:val="single" w:sz="6" w:space="0" w:color="000000"/>
            </w:tcBorders>
          </w:tcPr>
          <w:p w14:paraId="1F4988EB"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Szerokość  </w:t>
            </w:r>
          </w:p>
        </w:tc>
        <w:tc>
          <w:tcPr>
            <w:tcW w:w="5955" w:type="dxa"/>
            <w:tcBorders>
              <w:top w:val="single" w:sz="6" w:space="0" w:color="000000"/>
              <w:left w:val="single" w:sz="6" w:space="0" w:color="000000"/>
              <w:bottom w:val="single" w:sz="6" w:space="0" w:color="000000"/>
              <w:right w:val="single" w:sz="6" w:space="0" w:color="000000"/>
            </w:tcBorders>
          </w:tcPr>
          <w:p w14:paraId="63167071"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razy na 1 km  </w:t>
            </w:r>
          </w:p>
        </w:tc>
      </w:tr>
      <w:tr w:rsidR="00955A27" w:rsidRPr="001667DB" w14:paraId="1C253FF2" w14:textId="77777777">
        <w:trPr>
          <w:trHeight w:val="574"/>
        </w:trPr>
        <w:tc>
          <w:tcPr>
            <w:tcW w:w="497" w:type="dxa"/>
            <w:tcBorders>
              <w:top w:val="single" w:sz="6" w:space="0" w:color="000000"/>
              <w:left w:val="single" w:sz="6" w:space="0" w:color="000000"/>
              <w:bottom w:val="single" w:sz="6" w:space="0" w:color="000000"/>
              <w:right w:val="single" w:sz="6" w:space="0" w:color="000000"/>
            </w:tcBorders>
            <w:vAlign w:val="center"/>
          </w:tcPr>
          <w:p w14:paraId="51123110"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2693" w:type="dxa"/>
            <w:tcBorders>
              <w:top w:val="single" w:sz="6" w:space="0" w:color="000000"/>
              <w:left w:val="single" w:sz="6" w:space="0" w:color="000000"/>
              <w:bottom w:val="single" w:sz="6" w:space="0" w:color="000000"/>
              <w:right w:val="single" w:sz="6" w:space="0" w:color="000000"/>
            </w:tcBorders>
          </w:tcPr>
          <w:p w14:paraId="41F121EE"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Równość podłużna </w:t>
            </w:r>
          </w:p>
        </w:tc>
        <w:tc>
          <w:tcPr>
            <w:tcW w:w="5955" w:type="dxa"/>
            <w:tcBorders>
              <w:top w:val="single" w:sz="6" w:space="0" w:color="000000"/>
              <w:left w:val="single" w:sz="6" w:space="0" w:color="000000"/>
              <w:bottom w:val="single" w:sz="6" w:space="0" w:color="000000"/>
              <w:right w:val="single" w:sz="6" w:space="0" w:color="000000"/>
            </w:tcBorders>
          </w:tcPr>
          <w:p w14:paraId="5AAF8F9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 sposób ciągły planografem lub co 20 m łatą na każdym pasie ruchu </w:t>
            </w:r>
          </w:p>
        </w:tc>
      </w:tr>
      <w:tr w:rsidR="00955A27" w:rsidRPr="001667DB" w14:paraId="286D206C" w14:textId="77777777">
        <w:trPr>
          <w:trHeight w:val="353"/>
        </w:trPr>
        <w:tc>
          <w:tcPr>
            <w:tcW w:w="497" w:type="dxa"/>
            <w:tcBorders>
              <w:top w:val="single" w:sz="6" w:space="0" w:color="000000"/>
              <w:left w:val="single" w:sz="6" w:space="0" w:color="000000"/>
              <w:bottom w:val="single" w:sz="6" w:space="0" w:color="000000"/>
              <w:right w:val="single" w:sz="6" w:space="0" w:color="000000"/>
            </w:tcBorders>
          </w:tcPr>
          <w:p w14:paraId="5C12EC72"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693" w:type="dxa"/>
            <w:tcBorders>
              <w:top w:val="single" w:sz="6" w:space="0" w:color="000000"/>
              <w:left w:val="single" w:sz="6" w:space="0" w:color="000000"/>
              <w:bottom w:val="single" w:sz="6" w:space="0" w:color="000000"/>
              <w:right w:val="single" w:sz="6" w:space="0" w:color="000000"/>
            </w:tcBorders>
          </w:tcPr>
          <w:p w14:paraId="5D05C0D5"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Równość poprzeczna </w:t>
            </w:r>
          </w:p>
        </w:tc>
        <w:tc>
          <w:tcPr>
            <w:tcW w:w="5955" w:type="dxa"/>
            <w:tcBorders>
              <w:top w:val="single" w:sz="6" w:space="0" w:color="000000"/>
              <w:left w:val="single" w:sz="6" w:space="0" w:color="000000"/>
              <w:bottom w:val="single" w:sz="6" w:space="0" w:color="000000"/>
              <w:right w:val="single" w:sz="6" w:space="0" w:color="000000"/>
            </w:tcBorders>
          </w:tcPr>
          <w:p w14:paraId="40C3890A"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razy na 1 km  </w:t>
            </w:r>
          </w:p>
        </w:tc>
      </w:tr>
      <w:tr w:rsidR="00955A27" w:rsidRPr="001667DB" w14:paraId="18A59E06" w14:textId="77777777">
        <w:trPr>
          <w:trHeight w:val="355"/>
        </w:trPr>
        <w:tc>
          <w:tcPr>
            <w:tcW w:w="497" w:type="dxa"/>
            <w:tcBorders>
              <w:top w:val="single" w:sz="6" w:space="0" w:color="000000"/>
              <w:left w:val="single" w:sz="6" w:space="0" w:color="000000"/>
              <w:bottom w:val="single" w:sz="6" w:space="0" w:color="000000"/>
              <w:right w:val="single" w:sz="6" w:space="0" w:color="000000"/>
            </w:tcBorders>
          </w:tcPr>
          <w:p w14:paraId="7D819643"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2693" w:type="dxa"/>
            <w:tcBorders>
              <w:top w:val="single" w:sz="6" w:space="0" w:color="000000"/>
              <w:left w:val="single" w:sz="6" w:space="0" w:color="000000"/>
              <w:bottom w:val="single" w:sz="6" w:space="0" w:color="000000"/>
              <w:right w:val="single" w:sz="6" w:space="0" w:color="000000"/>
            </w:tcBorders>
          </w:tcPr>
          <w:p w14:paraId="6F6E9008" w14:textId="77777777" w:rsidR="00955A27" w:rsidRPr="001667DB" w:rsidRDefault="00955A27" w:rsidP="00955A27">
            <w:pPr>
              <w:spacing w:after="120" w:line="360" w:lineRule="auto"/>
              <w:ind w:right="5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w:t>
            </w:r>
          </w:p>
        </w:tc>
        <w:tc>
          <w:tcPr>
            <w:tcW w:w="5955" w:type="dxa"/>
            <w:tcBorders>
              <w:top w:val="single" w:sz="6" w:space="0" w:color="000000"/>
              <w:left w:val="single" w:sz="6" w:space="0" w:color="000000"/>
              <w:bottom w:val="single" w:sz="6" w:space="0" w:color="000000"/>
              <w:right w:val="single" w:sz="6" w:space="0" w:color="000000"/>
            </w:tcBorders>
          </w:tcPr>
          <w:p w14:paraId="7F98814F" w14:textId="77777777" w:rsidR="00955A27" w:rsidRPr="001667DB" w:rsidRDefault="00955A27" w:rsidP="00955A27">
            <w:pPr>
              <w:spacing w:after="120" w:line="360" w:lineRule="auto"/>
              <w:ind w:right="6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razy na 1 km </w:t>
            </w:r>
          </w:p>
        </w:tc>
      </w:tr>
      <w:tr w:rsidR="00955A27" w:rsidRPr="001667DB" w14:paraId="7734C7D1" w14:textId="77777777">
        <w:trPr>
          <w:trHeight w:val="574"/>
        </w:trPr>
        <w:tc>
          <w:tcPr>
            <w:tcW w:w="497" w:type="dxa"/>
            <w:tcBorders>
              <w:top w:val="single" w:sz="6" w:space="0" w:color="000000"/>
              <w:left w:val="single" w:sz="6" w:space="0" w:color="000000"/>
              <w:bottom w:val="single" w:sz="6" w:space="0" w:color="000000"/>
              <w:right w:val="single" w:sz="6" w:space="0" w:color="000000"/>
            </w:tcBorders>
            <w:vAlign w:val="center"/>
          </w:tcPr>
          <w:p w14:paraId="24AC1C6E"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693" w:type="dxa"/>
            <w:tcBorders>
              <w:top w:val="single" w:sz="6" w:space="0" w:color="000000"/>
              <w:left w:val="single" w:sz="6" w:space="0" w:color="000000"/>
              <w:bottom w:val="single" w:sz="6" w:space="0" w:color="000000"/>
              <w:right w:val="single" w:sz="6" w:space="0" w:color="000000"/>
            </w:tcBorders>
          </w:tcPr>
          <w:p w14:paraId="79CB700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i ukształtowanie w planie </w:t>
            </w:r>
          </w:p>
        </w:tc>
        <w:tc>
          <w:tcPr>
            <w:tcW w:w="5955" w:type="dxa"/>
            <w:tcBorders>
              <w:top w:val="single" w:sz="6" w:space="0" w:color="000000"/>
              <w:left w:val="single" w:sz="6" w:space="0" w:color="000000"/>
              <w:bottom w:val="single" w:sz="6" w:space="0" w:color="000000"/>
              <w:right w:val="single" w:sz="6" w:space="0" w:color="000000"/>
            </w:tcBorders>
          </w:tcPr>
          <w:p w14:paraId="0C9625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każdej jezdni co 25 m na odcinkach prostych i co 10 m na łukach w osi jezdni i na jej krawędziach </w:t>
            </w:r>
          </w:p>
        </w:tc>
      </w:tr>
    </w:tbl>
    <w:p w14:paraId="3EE28C6B"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tolerancje wobec poszczególnych cech geometrycznych wykonanej warstwy podano w Tabeli 8. </w:t>
      </w:r>
    </w:p>
    <w:p w14:paraId="1431C981"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8. Dopuszczalne tolerancje wobec poszczególnych cech geometrycznych wykonanej warstwy  </w:t>
      </w:r>
    </w:p>
    <w:tbl>
      <w:tblPr>
        <w:tblStyle w:val="TableGrid"/>
        <w:tblW w:w="7869" w:type="dxa"/>
        <w:tblInd w:w="602" w:type="dxa"/>
        <w:tblCellMar>
          <w:top w:w="110" w:type="dxa"/>
          <w:left w:w="110" w:type="dxa"/>
          <w:right w:w="45" w:type="dxa"/>
        </w:tblCellMar>
        <w:tblLook w:val="04A0" w:firstRow="1" w:lastRow="0" w:firstColumn="1" w:lastColumn="0" w:noHBand="0" w:noVBand="1"/>
      </w:tblPr>
      <w:tblGrid>
        <w:gridCol w:w="497"/>
        <w:gridCol w:w="4820"/>
        <w:gridCol w:w="2552"/>
      </w:tblGrid>
      <w:tr w:rsidR="00955A27" w:rsidRPr="001667DB" w14:paraId="1CE5606C" w14:textId="77777777">
        <w:trPr>
          <w:trHeight w:val="350"/>
        </w:trPr>
        <w:tc>
          <w:tcPr>
            <w:tcW w:w="497" w:type="dxa"/>
            <w:tcBorders>
              <w:top w:val="single" w:sz="4" w:space="0" w:color="000000"/>
              <w:left w:val="single" w:sz="4" w:space="0" w:color="000000"/>
              <w:bottom w:val="single" w:sz="4" w:space="0" w:color="000000"/>
              <w:right w:val="single" w:sz="4" w:space="0" w:color="000000"/>
            </w:tcBorders>
          </w:tcPr>
          <w:p w14:paraId="550C0B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4820" w:type="dxa"/>
            <w:tcBorders>
              <w:top w:val="single" w:sz="4" w:space="0" w:color="000000"/>
              <w:left w:val="single" w:sz="4" w:space="0" w:color="000000"/>
              <w:bottom w:val="single" w:sz="4" w:space="0" w:color="000000"/>
              <w:right w:val="single" w:sz="4" w:space="0" w:color="000000"/>
            </w:tcBorders>
          </w:tcPr>
          <w:p w14:paraId="4A153807"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Cecha mierzona </w:t>
            </w:r>
          </w:p>
        </w:tc>
        <w:tc>
          <w:tcPr>
            <w:tcW w:w="2552" w:type="dxa"/>
            <w:tcBorders>
              <w:top w:val="single" w:sz="4" w:space="0" w:color="000000"/>
              <w:left w:val="single" w:sz="4" w:space="0" w:color="000000"/>
              <w:bottom w:val="single" w:sz="4" w:space="0" w:color="000000"/>
              <w:right w:val="single" w:sz="4" w:space="0" w:color="000000"/>
            </w:tcBorders>
          </w:tcPr>
          <w:p w14:paraId="2B13425B" w14:textId="77777777" w:rsidR="00955A27" w:rsidRPr="001667DB" w:rsidRDefault="00955A27" w:rsidP="00955A27">
            <w:pPr>
              <w:spacing w:after="120" w:line="360" w:lineRule="auto"/>
              <w:ind w:right="6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Tolerancja </w:t>
            </w:r>
          </w:p>
        </w:tc>
      </w:tr>
      <w:tr w:rsidR="00955A27" w:rsidRPr="001667DB" w14:paraId="25C487C6" w14:textId="77777777">
        <w:trPr>
          <w:trHeight w:val="348"/>
        </w:trPr>
        <w:tc>
          <w:tcPr>
            <w:tcW w:w="497" w:type="dxa"/>
            <w:tcBorders>
              <w:top w:val="single" w:sz="4" w:space="0" w:color="000000"/>
              <w:left w:val="single" w:sz="4" w:space="0" w:color="000000"/>
              <w:bottom w:val="single" w:sz="4" w:space="0" w:color="000000"/>
              <w:right w:val="single" w:sz="4" w:space="0" w:color="000000"/>
            </w:tcBorders>
          </w:tcPr>
          <w:p w14:paraId="26B0CE07"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1 </w:t>
            </w:r>
          </w:p>
        </w:tc>
        <w:tc>
          <w:tcPr>
            <w:tcW w:w="4820" w:type="dxa"/>
            <w:tcBorders>
              <w:top w:val="single" w:sz="4" w:space="0" w:color="000000"/>
              <w:left w:val="single" w:sz="4" w:space="0" w:color="000000"/>
              <w:bottom w:val="single" w:sz="4" w:space="0" w:color="000000"/>
              <w:right w:val="single" w:sz="4" w:space="0" w:color="000000"/>
            </w:tcBorders>
          </w:tcPr>
          <w:p w14:paraId="67DC9E42"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Szerokość warstwy  </w:t>
            </w:r>
          </w:p>
        </w:tc>
        <w:tc>
          <w:tcPr>
            <w:tcW w:w="2552" w:type="dxa"/>
            <w:tcBorders>
              <w:top w:val="single" w:sz="4" w:space="0" w:color="000000"/>
              <w:left w:val="single" w:sz="4" w:space="0" w:color="000000"/>
              <w:bottom w:val="single" w:sz="4" w:space="0" w:color="000000"/>
              <w:right w:val="single" w:sz="4" w:space="0" w:color="000000"/>
            </w:tcBorders>
          </w:tcPr>
          <w:p w14:paraId="15B04144"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+10 cm / - 5 cm </w:t>
            </w:r>
          </w:p>
        </w:tc>
      </w:tr>
      <w:tr w:rsidR="00955A27" w:rsidRPr="001667DB" w14:paraId="59C82F98" w14:textId="77777777">
        <w:trPr>
          <w:trHeight w:val="569"/>
        </w:trPr>
        <w:tc>
          <w:tcPr>
            <w:tcW w:w="497" w:type="dxa"/>
            <w:tcBorders>
              <w:top w:val="single" w:sz="4" w:space="0" w:color="000000"/>
              <w:left w:val="single" w:sz="4" w:space="0" w:color="000000"/>
              <w:bottom w:val="single" w:sz="4" w:space="0" w:color="000000"/>
              <w:right w:val="single" w:sz="4" w:space="0" w:color="000000"/>
            </w:tcBorders>
            <w:vAlign w:val="center"/>
          </w:tcPr>
          <w:p w14:paraId="7F998800"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4820" w:type="dxa"/>
            <w:tcBorders>
              <w:top w:val="single" w:sz="4" w:space="0" w:color="000000"/>
              <w:left w:val="single" w:sz="4" w:space="0" w:color="000000"/>
              <w:bottom w:val="single" w:sz="4" w:space="0" w:color="000000"/>
              <w:right w:val="single" w:sz="4" w:space="0" w:color="000000"/>
            </w:tcBorders>
          </w:tcPr>
          <w:p w14:paraId="4003565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Nierówności podłużne lub poprzeczne mierzone 4metrową łatą  </w:t>
            </w:r>
          </w:p>
        </w:tc>
        <w:tc>
          <w:tcPr>
            <w:tcW w:w="2552" w:type="dxa"/>
            <w:tcBorders>
              <w:top w:val="single" w:sz="4" w:space="0" w:color="000000"/>
              <w:left w:val="single" w:sz="4" w:space="0" w:color="000000"/>
              <w:bottom w:val="single" w:sz="4" w:space="0" w:color="000000"/>
              <w:right w:val="single" w:sz="4" w:space="0" w:color="000000"/>
            </w:tcBorders>
            <w:vAlign w:val="center"/>
          </w:tcPr>
          <w:p w14:paraId="5B15436A"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15 mm </w:t>
            </w:r>
          </w:p>
        </w:tc>
      </w:tr>
      <w:tr w:rsidR="00955A27" w:rsidRPr="001667DB" w14:paraId="1EF7D337" w14:textId="77777777">
        <w:trPr>
          <w:trHeight w:val="348"/>
        </w:trPr>
        <w:tc>
          <w:tcPr>
            <w:tcW w:w="497" w:type="dxa"/>
            <w:tcBorders>
              <w:top w:val="single" w:sz="4" w:space="0" w:color="000000"/>
              <w:left w:val="single" w:sz="4" w:space="0" w:color="000000"/>
              <w:bottom w:val="single" w:sz="4" w:space="0" w:color="000000"/>
              <w:right w:val="single" w:sz="4" w:space="0" w:color="000000"/>
            </w:tcBorders>
          </w:tcPr>
          <w:p w14:paraId="6FD6BE3F"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4820" w:type="dxa"/>
            <w:tcBorders>
              <w:top w:val="single" w:sz="4" w:space="0" w:color="000000"/>
              <w:left w:val="single" w:sz="4" w:space="0" w:color="000000"/>
              <w:bottom w:val="single" w:sz="4" w:space="0" w:color="000000"/>
              <w:right w:val="single" w:sz="4" w:space="0" w:color="000000"/>
            </w:tcBorders>
          </w:tcPr>
          <w:p w14:paraId="1C4D6389"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w:t>
            </w:r>
          </w:p>
        </w:tc>
        <w:tc>
          <w:tcPr>
            <w:tcW w:w="2552" w:type="dxa"/>
            <w:tcBorders>
              <w:top w:val="single" w:sz="4" w:space="0" w:color="000000"/>
              <w:left w:val="single" w:sz="4" w:space="0" w:color="000000"/>
              <w:bottom w:val="single" w:sz="4" w:space="0" w:color="000000"/>
              <w:right w:val="single" w:sz="4" w:space="0" w:color="000000"/>
            </w:tcBorders>
          </w:tcPr>
          <w:p w14:paraId="5FF040EE"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0,5 % </w:t>
            </w:r>
          </w:p>
        </w:tc>
      </w:tr>
      <w:tr w:rsidR="00955A27" w:rsidRPr="001667DB" w14:paraId="27BDF6FE" w14:textId="77777777">
        <w:trPr>
          <w:trHeight w:val="348"/>
        </w:trPr>
        <w:tc>
          <w:tcPr>
            <w:tcW w:w="497" w:type="dxa"/>
            <w:tcBorders>
              <w:top w:val="single" w:sz="4" w:space="0" w:color="000000"/>
              <w:left w:val="single" w:sz="4" w:space="0" w:color="000000"/>
              <w:bottom w:val="single" w:sz="4" w:space="0" w:color="000000"/>
              <w:right w:val="single" w:sz="4" w:space="0" w:color="000000"/>
            </w:tcBorders>
          </w:tcPr>
          <w:p w14:paraId="246E95E9"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4820" w:type="dxa"/>
            <w:tcBorders>
              <w:top w:val="single" w:sz="4" w:space="0" w:color="000000"/>
              <w:left w:val="single" w:sz="4" w:space="0" w:color="000000"/>
              <w:bottom w:val="single" w:sz="4" w:space="0" w:color="000000"/>
              <w:right w:val="single" w:sz="4" w:space="0" w:color="000000"/>
            </w:tcBorders>
          </w:tcPr>
          <w:p w14:paraId="4179D693"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w:t>
            </w:r>
          </w:p>
        </w:tc>
        <w:tc>
          <w:tcPr>
            <w:tcW w:w="2552" w:type="dxa"/>
            <w:tcBorders>
              <w:top w:val="single" w:sz="4" w:space="0" w:color="000000"/>
              <w:left w:val="single" w:sz="4" w:space="0" w:color="000000"/>
              <w:bottom w:val="single" w:sz="4" w:space="0" w:color="000000"/>
              <w:right w:val="single" w:sz="4" w:space="0" w:color="000000"/>
            </w:tcBorders>
          </w:tcPr>
          <w:p w14:paraId="7A299174"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cm, + 0 cm </w:t>
            </w:r>
          </w:p>
        </w:tc>
      </w:tr>
      <w:tr w:rsidR="00955A27" w:rsidRPr="001667DB" w14:paraId="7E127305" w14:textId="77777777">
        <w:trPr>
          <w:trHeight w:val="350"/>
        </w:trPr>
        <w:tc>
          <w:tcPr>
            <w:tcW w:w="497" w:type="dxa"/>
            <w:tcBorders>
              <w:top w:val="single" w:sz="4" w:space="0" w:color="000000"/>
              <w:left w:val="single" w:sz="4" w:space="0" w:color="000000"/>
              <w:bottom w:val="single" w:sz="4" w:space="0" w:color="000000"/>
              <w:right w:val="single" w:sz="4" w:space="0" w:color="000000"/>
            </w:tcBorders>
          </w:tcPr>
          <w:p w14:paraId="3DB93ED2"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4820" w:type="dxa"/>
            <w:tcBorders>
              <w:top w:val="single" w:sz="4" w:space="0" w:color="000000"/>
              <w:left w:val="single" w:sz="4" w:space="0" w:color="000000"/>
              <w:bottom w:val="single" w:sz="4" w:space="0" w:color="000000"/>
              <w:right w:val="single" w:sz="4" w:space="0" w:color="000000"/>
            </w:tcBorders>
          </w:tcPr>
          <w:p w14:paraId="06ABE23F"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w:t>
            </w:r>
          </w:p>
        </w:tc>
        <w:tc>
          <w:tcPr>
            <w:tcW w:w="2552" w:type="dxa"/>
            <w:tcBorders>
              <w:top w:val="single" w:sz="4" w:space="0" w:color="000000"/>
              <w:left w:val="single" w:sz="4" w:space="0" w:color="000000"/>
              <w:bottom w:val="single" w:sz="4" w:space="0" w:color="000000"/>
              <w:right w:val="single" w:sz="4" w:space="0" w:color="000000"/>
            </w:tcBorders>
          </w:tcPr>
          <w:p w14:paraId="0B134A34"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5 cm </w:t>
            </w:r>
          </w:p>
        </w:tc>
      </w:tr>
      <w:tr w:rsidR="00955A27" w:rsidRPr="001667DB" w14:paraId="5D92B236" w14:textId="77777777">
        <w:trPr>
          <w:trHeight w:val="348"/>
        </w:trPr>
        <w:tc>
          <w:tcPr>
            <w:tcW w:w="497" w:type="dxa"/>
            <w:tcBorders>
              <w:top w:val="single" w:sz="4" w:space="0" w:color="000000"/>
              <w:left w:val="single" w:sz="4" w:space="0" w:color="000000"/>
              <w:bottom w:val="single" w:sz="4" w:space="0" w:color="000000"/>
              <w:right w:val="single" w:sz="4" w:space="0" w:color="000000"/>
            </w:tcBorders>
          </w:tcPr>
          <w:p w14:paraId="24D3879F"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4820" w:type="dxa"/>
            <w:tcBorders>
              <w:top w:val="single" w:sz="4" w:space="0" w:color="000000"/>
              <w:left w:val="single" w:sz="4" w:space="0" w:color="000000"/>
              <w:bottom w:val="single" w:sz="4" w:space="0" w:color="000000"/>
              <w:right w:val="single" w:sz="4" w:space="0" w:color="000000"/>
            </w:tcBorders>
          </w:tcPr>
          <w:p w14:paraId="62069B87"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warstwy  </w:t>
            </w:r>
          </w:p>
        </w:tc>
        <w:tc>
          <w:tcPr>
            <w:tcW w:w="2552" w:type="dxa"/>
            <w:tcBorders>
              <w:top w:val="single" w:sz="4" w:space="0" w:color="000000"/>
              <w:left w:val="single" w:sz="4" w:space="0" w:color="000000"/>
              <w:bottom w:val="single" w:sz="4" w:space="0" w:color="000000"/>
              <w:right w:val="single" w:sz="4" w:space="0" w:color="000000"/>
            </w:tcBorders>
          </w:tcPr>
          <w:p w14:paraId="32896FCC"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10 % </w:t>
            </w:r>
          </w:p>
        </w:tc>
      </w:tr>
    </w:tbl>
    <w:p w14:paraId="5FCB97EF" w14:textId="77777777" w:rsidR="00955A27" w:rsidRPr="001667DB" w:rsidRDefault="00955A27" w:rsidP="00C73A21">
      <w:pPr>
        <w:pStyle w:val="Nagwek2"/>
        <w:spacing w:line="360" w:lineRule="auto"/>
        <w:ind w:left="-5"/>
        <w:jc w:val="both"/>
        <w:rPr>
          <w:color w:val="000000" w:themeColor="text1"/>
          <w:sz w:val="22"/>
          <w:szCs w:val="22"/>
        </w:rPr>
      </w:pPr>
      <w:bookmarkStart w:id="390" w:name="_Toc33281"/>
      <w:r w:rsidRPr="001667DB">
        <w:rPr>
          <w:color w:val="000000" w:themeColor="text1"/>
          <w:sz w:val="22"/>
          <w:szCs w:val="22"/>
        </w:rPr>
        <w:t>6.3.</w:t>
      </w:r>
      <w:r w:rsidRPr="001667DB">
        <w:rPr>
          <w:rFonts w:eastAsia="Arial"/>
          <w:color w:val="000000" w:themeColor="text1"/>
          <w:sz w:val="22"/>
          <w:szCs w:val="22"/>
        </w:rPr>
        <w:t xml:space="preserve"> </w:t>
      </w:r>
      <w:r w:rsidRPr="001667DB">
        <w:rPr>
          <w:color w:val="000000" w:themeColor="text1"/>
          <w:sz w:val="22"/>
          <w:szCs w:val="22"/>
        </w:rPr>
        <w:t xml:space="preserve">Badania i pomiary kontrolne - zgodnie z D-M-00.00.00 „Wymagania ogólne” </w:t>
      </w:r>
      <w:bookmarkEnd w:id="390"/>
    </w:p>
    <w:p w14:paraId="20908F42" w14:textId="77777777" w:rsidR="00955A27" w:rsidRPr="001667DB" w:rsidRDefault="00955A27" w:rsidP="00C73A21">
      <w:pPr>
        <w:spacing w:after="120" w:line="360" w:lineRule="auto"/>
        <w:ind w:left="551" w:hanging="566"/>
        <w:jc w:val="both"/>
        <w:rPr>
          <w:rFonts w:ascii="Times New Roman" w:hAnsi="Times New Roman" w:cs="Times New Roman"/>
          <w:color w:val="000000" w:themeColor="text1"/>
        </w:rPr>
      </w:pPr>
      <w:r w:rsidRPr="001667DB">
        <w:rPr>
          <w:rFonts w:ascii="Times New Roman" w:hAnsi="Times New Roman" w:cs="Times New Roman"/>
          <w:b/>
          <w:color w:val="000000" w:themeColor="text1"/>
        </w:rPr>
        <w:t>6.4.</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Badania i pomiary kontrolne dodatkowe - zgodnie z D-M-00.00.00 </w:t>
      </w:r>
      <w:bookmarkStart w:id="391" w:name="_Toc33282"/>
      <w:r w:rsidRPr="001667DB">
        <w:rPr>
          <w:rFonts w:ascii="Times New Roman" w:hAnsi="Times New Roman" w:cs="Times New Roman"/>
          <w:b/>
          <w:color w:val="000000" w:themeColor="text1"/>
        </w:rPr>
        <w:t>„Wymagania ogólne”</w:t>
      </w:r>
      <w:r w:rsidRPr="001667DB">
        <w:rPr>
          <w:rFonts w:ascii="Times New Roman" w:hAnsi="Times New Roman" w:cs="Times New Roman"/>
          <w:color w:val="000000" w:themeColor="text1"/>
        </w:rPr>
        <w:t xml:space="preserve"> </w:t>
      </w:r>
      <w:bookmarkEnd w:id="391"/>
    </w:p>
    <w:p w14:paraId="64D48BE0" w14:textId="77777777" w:rsidR="00955A27" w:rsidRPr="001667DB" w:rsidRDefault="00955A27" w:rsidP="00C73A21">
      <w:pPr>
        <w:pStyle w:val="Nagwek2"/>
        <w:spacing w:line="360" w:lineRule="auto"/>
        <w:ind w:left="-5"/>
        <w:jc w:val="both"/>
        <w:rPr>
          <w:color w:val="000000" w:themeColor="text1"/>
          <w:sz w:val="22"/>
          <w:szCs w:val="22"/>
        </w:rPr>
      </w:pPr>
      <w:bookmarkStart w:id="392" w:name="_Toc33283"/>
      <w:r w:rsidRPr="001667DB">
        <w:rPr>
          <w:color w:val="000000" w:themeColor="text1"/>
          <w:sz w:val="22"/>
          <w:szCs w:val="22"/>
        </w:rPr>
        <w:t>6.5.</w:t>
      </w:r>
      <w:r w:rsidRPr="001667DB">
        <w:rPr>
          <w:rFonts w:eastAsia="Arial"/>
          <w:color w:val="000000" w:themeColor="text1"/>
          <w:sz w:val="22"/>
          <w:szCs w:val="22"/>
        </w:rPr>
        <w:t xml:space="preserve"> </w:t>
      </w:r>
      <w:r w:rsidRPr="001667DB">
        <w:rPr>
          <w:color w:val="000000" w:themeColor="text1"/>
          <w:sz w:val="22"/>
          <w:szCs w:val="22"/>
        </w:rPr>
        <w:t>Badania i pomiary arbitrażowe - zgodnie z D-M-00.00.00 „Wymagania ogólne” 6.6.</w:t>
      </w:r>
      <w:r w:rsidRPr="001667DB">
        <w:rPr>
          <w:rFonts w:eastAsia="Arial"/>
          <w:color w:val="000000" w:themeColor="text1"/>
          <w:sz w:val="22"/>
          <w:szCs w:val="22"/>
        </w:rPr>
        <w:t xml:space="preserve"> </w:t>
      </w:r>
      <w:r w:rsidRPr="001667DB">
        <w:rPr>
          <w:color w:val="000000" w:themeColor="text1"/>
          <w:sz w:val="22"/>
          <w:szCs w:val="22"/>
        </w:rPr>
        <w:t xml:space="preserve">Badania i pomiary przed przystąpieniem do robót - zgodnie z D-M-00.00.00 </w:t>
      </w:r>
      <w:bookmarkStart w:id="393" w:name="_Toc33284"/>
      <w:bookmarkEnd w:id="392"/>
      <w:r w:rsidRPr="001667DB">
        <w:rPr>
          <w:color w:val="000000" w:themeColor="text1"/>
          <w:sz w:val="22"/>
          <w:szCs w:val="22"/>
        </w:rPr>
        <w:t xml:space="preserve">„Wymagania ogólne” </w:t>
      </w:r>
      <w:bookmarkEnd w:id="393"/>
    </w:p>
    <w:p w14:paraId="4906F35B"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Wykonawca powinien: </w:t>
      </w:r>
    </w:p>
    <w:p w14:paraId="2AB2C1E0" w14:textId="77777777" w:rsidR="00955A27" w:rsidRPr="001667DB" w:rsidRDefault="00955A27" w:rsidP="00904E6C">
      <w:pPr>
        <w:numPr>
          <w:ilvl w:val="0"/>
          <w:numId w:val="116"/>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uzyskać wymagane dokumenty dopuszczające zastosowane wyroby budowlane do obrotu i stosowania przy wykonywaniu robót budowlanych, zgodnie z Ustawą o wyrobach budowlanych oraz karty charakterystyki dotyczące stosowanego spoiwa, </w:t>
      </w:r>
    </w:p>
    <w:p w14:paraId="26C483B8" w14:textId="77777777" w:rsidR="00955A27" w:rsidRPr="001667DB" w:rsidRDefault="00955A27" w:rsidP="00904E6C">
      <w:pPr>
        <w:numPr>
          <w:ilvl w:val="0"/>
          <w:numId w:val="116"/>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wykonać badania gruntu, </w:t>
      </w:r>
    </w:p>
    <w:p w14:paraId="5BFDFF69" w14:textId="77777777" w:rsidR="00955A27" w:rsidRPr="001667DB" w:rsidRDefault="00955A27" w:rsidP="00904E6C">
      <w:pPr>
        <w:numPr>
          <w:ilvl w:val="0"/>
          <w:numId w:val="116"/>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opracować receptę laboratoryjną gruntu stabilizowanego spoiwem. </w:t>
      </w:r>
    </w:p>
    <w:p w14:paraId="3A3C499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dokumenty oraz wyniki badań i receptę laboratoryjną gruntu stabilizowanego spoiwem Wykonawca przedkłada Inżynierowi/Inspektorowi Nadzoru. Inżynier/Inspektor Nadzoru zatwierdza receptę po uzyskaniu pozytywnych wyników badań i pomiarów na odcinku próbnym. </w:t>
      </w:r>
    </w:p>
    <w:p w14:paraId="35E11082" w14:textId="77777777" w:rsidR="00955A27" w:rsidRPr="001667DB" w:rsidRDefault="00955A27" w:rsidP="00C73A21">
      <w:pPr>
        <w:pStyle w:val="Nagwek2"/>
        <w:spacing w:line="360" w:lineRule="auto"/>
        <w:ind w:left="-5"/>
        <w:jc w:val="both"/>
        <w:rPr>
          <w:color w:val="000000" w:themeColor="text1"/>
          <w:sz w:val="22"/>
          <w:szCs w:val="22"/>
        </w:rPr>
      </w:pPr>
      <w:bookmarkStart w:id="394" w:name="_Toc33285"/>
      <w:r w:rsidRPr="001667DB">
        <w:rPr>
          <w:color w:val="000000" w:themeColor="text1"/>
          <w:sz w:val="22"/>
          <w:szCs w:val="22"/>
        </w:rPr>
        <w:t>6.7.</w:t>
      </w:r>
      <w:r w:rsidRPr="001667DB">
        <w:rPr>
          <w:rFonts w:eastAsia="Arial"/>
          <w:color w:val="000000" w:themeColor="text1"/>
          <w:sz w:val="22"/>
          <w:szCs w:val="22"/>
        </w:rPr>
        <w:t xml:space="preserve"> </w:t>
      </w:r>
      <w:r w:rsidRPr="001667DB">
        <w:rPr>
          <w:color w:val="000000" w:themeColor="text1"/>
          <w:sz w:val="22"/>
          <w:szCs w:val="22"/>
        </w:rPr>
        <w:t xml:space="preserve">Badania w czasie robót </w:t>
      </w:r>
      <w:bookmarkEnd w:id="394"/>
    </w:p>
    <w:p w14:paraId="16432A77" w14:textId="77777777" w:rsidR="00955A27" w:rsidRPr="001667DB" w:rsidRDefault="00955A27" w:rsidP="00C73A21">
      <w:pPr>
        <w:pStyle w:val="Nagwek3"/>
      </w:pPr>
      <w:r w:rsidRPr="001667DB">
        <w:t>6.7.1.</w:t>
      </w:r>
      <w:r w:rsidRPr="001667DB">
        <w:rPr>
          <w:rFonts w:eastAsia="Arial"/>
        </w:rPr>
        <w:t xml:space="preserve"> </w:t>
      </w:r>
      <w:r w:rsidRPr="001667DB">
        <w:t xml:space="preserve">Sprawdzenie wilgotności gruntu oraz gruntu ze spoiwem </w:t>
      </w:r>
    </w:p>
    <w:p w14:paraId="29C0C58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Wilgotność najpierw należy sprawdzać dla samego gruntu rozdrobnionego w celu określenia potrzebnej ilości wody, a następnie dla gruntu ze spoiwem w celu sprawdzenia prawidłowości jej zawilgocenia. </w:t>
      </w:r>
    </w:p>
    <w:p w14:paraId="6366FC59" w14:textId="77777777" w:rsidR="00955A27" w:rsidRPr="001667DB" w:rsidRDefault="00955A27" w:rsidP="00C73A21">
      <w:pPr>
        <w:pStyle w:val="Nagwek3"/>
      </w:pPr>
      <w:r w:rsidRPr="001667DB">
        <w:t>6.7.2.</w:t>
      </w:r>
      <w:r w:rsidRPr="001667DB">
        <w:rPr>
          <w:rFonts w:eastAsia="Arial"/>
        </w:rPr>
        <w:t xml:space="preserve"> </w:t>
      </w:r>
      <w:r w:rsidRPr="001667DB">
        <w:t xml:space="preserve">Sprawdzenie jednorodności i głębokości wymieszania oraz stopnia rozdrobnienia </w:t>
      </w:r>
    </w:p>
    <w:p w14:paraId="00EBCB8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Jednorodność wymieszania spoiwa z gruntem należy sprawdzać wzrokowo co najmniej dwa razy na dziennej działce roboczej. Głębokość przemieszania powinna być taka, aby po zagęszczeniu odpowiadała grubości warstwy zaprojektowanej, głębokość wymieszania mierzy się w odległości min. </w:t>
      </w:r>
      <w:r w:rsidRPr="001667DB">
        <w:rPr>
          <w:rFonts w:ascii="Times New Roman" w:hAnsi="Times New Roman" w:cs="Times New Roman"/>
          <w:color w:val="000000" w:themeColor="text1"/>
        </w:rPr>
        <w:lastRenderedPageBreak/>
        <w:t xml:space="preserve">0,5 m od krawędzi warstwy ulepszonego podłoża. Stopień rozdrobnienia gruntu spoistego po wymieszaniu z wapnem lub spoiwem hydraulicznym należy sprawdzać wg PN-EN 13286-40. </w:t>
      </w:r>
    </w:p>
    <w:p w14:paraId="70EBFB24" w14:textId="77777777" w:rsidR="00955A27" w:rsidRPr="001667DB" w:rsidRDefault="00955A27" w:rsidP="00C73A21">
      <w:pPr>
        <w:pStyle w:val="Nagwek3"/>
      </w:pPr>
      <w:r w:rsidRPr="001667DB">
        <w:t>6.7.3.</w:t>
      </w:r>
      <w:r w:rsidRPr="001667DB">
        <w:rPr>
          <w:rFonts w:eastAsia="Arial"/>
        </w:rPr>
        <w:t xml:space="preserve"> </w:t>
      </w:r>
      <w:r w:rsidRPr="001667DB">
        <w:t>Sprawdzenie ilości dozowanego spoiwa na 1 m</w:t>
      </w:r>
      <w:r w:rsidRPr="001667DB">
        <w:rPr>
          <w:vertAlign w:val="superscript"/>
        </w:rPr>
        <w:t>2</w:t>
      </w:r>
      <w:r w:rsidRPr="001667DB">
        <w:t xml:space="preserve"> powierzchni warstwy  </w:t>
      </w:r>
    </w:p>
    <w:p w14:paraId="280E9302"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Ilości dozowanego spoiwa na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powierzchni warstwy należy sprawdzać co najmniej dwa razy na dziennej działce roboczej. Sprawdzenia należy dokonać za pomocą kontrolnego ważenia ilości dozowanego spoiwa na kontrolowanych powierzchniach podczas przejazdu rozsypywarki na działce roboczej. W załączniku 1 do niniejszych ST przedstawiono poszczególne czynności wykonywane przy pomiarze ilości dozowanego spoiwa ma 1m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powierzchni warstwy ulepszanego podłoża. Ilość dozowanego spoiwa na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kontrolowanego odcinka dziennej działki roboczej nie powinna być mniejsza od wartości podanej w recepcie: nie więcej niż 5 % dla średniej z pomiarów i nie więcej niż 10 % dla pojedynczego pomiaru. </w:t>
      </w:r>
    </w:p>
    <w:p w14:paraId="522A8D91" w14:textId="77777777" w:rsidR="00955A27" w:rsidRPr="001667DB" w:rsidRDefault="00955A27" w:rsidP="00C73A21">
      <w:pPr>
        <w:pStyle w:val="Nagwek3"/>
      </w:pPr>
      <w:r w:rsidRPr="001667DB">
        <w:t>6.7.4.</w:t>
      </w:r>
      <w:r w:rsidRPr="001667DB">
        <w:rPr>
          <w:rFonts w:eastAsia="Arial"/>
        </w:rPr>
        <w:t xml:space="preserve"> </w:t>
      </w:r>
      <w:r w:rsidRPr="001667DB">
        <w:t xml:space="preserve">Sprawdzenie wytrzymałości na ściskanie  </w:t>
      </w:r>
    </w:p>
    <w:p w14:paraId="4585C559"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Wytrzymałość na ściskanie oznacza się wg PN-EN 13286-41 na próbkach walcowych H/D=1 (H/D= 8,0÷1,21) zagęszczonych metodą Proctora zgodnie z PN-EN 13283-50. Próbki do badań należy pobierać z miejsc losowo wybranych na warstwie przed zagęszczeniem gruntu wymieszanego z spoiwem. Próbki w liczbie min. 3 sztuki należy przechowywać zgodnie z wymaganiami dotyczącymi poszczególnych rodzajów spoiw. Badanie wytrzymałości na ściskanie należy przeprowadzić po czasie dostosowanym do charakterystyki użytego spoiwa. Próbki należy badać po: 7 dniach (w przypadku wapna), 28 dniach (w przypadku cementu), 42 dniach (w przypadku popiołów lotnych), 90 dniach (w przypadku granulowanego żużla wielkopiecowego). Wyniki wytrzymałości na ściskanie powinny być zgodne z wymaganiami podanymi w Tabeli 5 niniejszych ST w odniesieniu do określonego rodzaju spoiwa. </w:t>
      </w:r>
    </w:p>
    <w:p w14:paraId="37F0C0B9" w14:textId="77777777" w:rsidR="00955A27" w:rsidRPr="001667DB" w:rsidRDefault="00955A27" w:rsidP="00C73A21">
      <w:pPr>
        <w:pStyle w:val="Nagwek3"/>
      </w:pPr>
      <w:r w:rsidRPr="001667DB">
        <w:t>6.7.5.</w:t>
      </w:r>
      <w:r w:rsidRPr="001667DB">
        <w:rPr>
          <w:rFonts w:eastAsia="Arial"/>
        </w:rPr>
        <w:t xml:space="preserve"> </w:t>
      </w:r>
      <w:r w:rsidRPr="001667DB">
        <w:t xml:space="preserve">Sprawdzenie zagęszczenia warstwy ulepszonego podłoża z gruntu stabilizowanego spoiwem lub wapnem </w:t>
      </w:r>
    </w:p>
    <w:p w14:paraId="2A1E476F"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Zagęszczenie warstwy ulepszonego podłoża należy sprawdzać co najmniej dwa razy na dziennej działce roboczej oznaczając wskaźnik zagęszczenia Is zgodnie z BN-8931-12. Badanie wskaźnika zagęszczenia Is należy przeprowadzić bezzwłocznie po zakończeniu zagęszczenia warstwy. Wskaźnik zagęszczenia Is nie powinien być mniejszy niż 1,00. </w:t>
      </w:r>
    </w:p>
    <w:p w14:paraId="66A73913"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pośrednie sposoby sprawdzenia zagęszczenia warstwy ulepszonego podłoża, które również należy stosować bezzwłocznie po zakończeniu zagęszczania warstwy. Pośrednie sprawdzenie zagęszczenia warstwy może być przeprowadzone na podstawie: </w:t>
      </w:r>
    </w:p>
    <w:p w14:paraId="3845803E" w14:textId="77777777" w:rsidR="00955A27" w:rsidRPr="001667DB" w:rsidRDefault="00955A27" w:rsidP="00904E6C">
      <w:pPr>
        <w:numPr>
          <w:ilvl w:val="0"/>
          <w:numId w:val="117"/>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postępowania opartego na metodzie obciążenia płytą zgodnie z wymaganiami PN-S02205, reguła orzekania zgodności z wymaganym zagęszczeniem - wskaźnik odkształcenia I</w:t>
      </w:r>
      <w:r w:rsidRPr="001667DB">
        <w:rPr>
          <w:rFonts w:ascii="Times New Roman" w:hAnsi="Times New Roman" w:cs="Times New Roman"/>
          <w:b/>
          <w:color w:val="000000" w:themeColor="text1"/>
          <w:vertAlign w:val="subscript"/>
        </w:rPr>
        <w:t>o</w:t>
      </w:r>
      <w:r w:rsidRPr="001667DB">
        <w:rPr>
          <w:rFonts w:ascii="Times New Roman" w:hAnsi="Times New Roman" w:cs="Times New Roman"/>
          <w:color w:val="000000" w:themeColor="text1"/>
        </w:rPr>
        <w:t xml:space="preserve"> (I</w:t>
      </w:r>
      <w:r w:rsidRPr="001667DB">
        <w:rPr>
          <w:rFonts w:ascii="Times New Roman" w:hAnsi="Times New Roman" w:cs="Times New Roman"/>
          <w:b/>
          <w:color w:val="000000" w:themeColor="text1"/>
          <w:vertAlign w:val="subscript"/>
        </w:rPr>
        <w:t>o</w:t>
      </w:r>
      <w:r w:rsidRPr="001667DB">
        <w:rPr>
          <w:rFonts w:ascii="Times New Roman" w:hAnsi="Times New Roman" w:cs="Times New Roman"/>
          <w:color w:val="000000" w:themeColor="text1"/>
        </w:rPr>
        <w:t>=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1</w:t>
      </w:r>
      <w:r w:rsidRPr="001667DB">
        <w:rPr>
          <w:rFonts w:ascii="Times New Roman" w:hAnsi="Times New Roman" w:cs="Times New Roman"/>
          <w:color w:val="000000" w:themeColor="text1"/>
        </w:rPr>
        <w:t xml:space="preserve">) nie większy niż 2,2, częstotliwość badań wg Tabeli 6 Lp.5. </w:t>
      </w:r>
    </w:p>
    <w:p w14:paraId="5D55AB67" w14:textId="77777777" w:rsidR="00955A27" w:rsidRPr="001667DB" w:rsidRDefault="00955A27" w:rsidP="00904E6C">
      <w:pPr>
        <w:numPr>
          <w:ilvl w:val="0"/>
          <w:numId w:val="117"/>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lekką płytą dynamiczną spełniającą wymagania TP BF-StB Teil B 8.3, reguła orzekania zgodności z wymaganym zagęszczeniem i częstotliwość badań – zgodnie z ZTV E-StB 17. </w:t>
      </w:r>
    </w:p>
    <w:p w14:paraId="3A9D894D" w14:textId="77777777" w:rsidR="00955A27" w:rsidRPr="001667DB" w:rsidRDefault="00955A27" w:rsidP="00C73A21">
      <w:pPr>
        <w:pStyle w:val="Nagwek3"/>
      </w:pPr>
      <w:r w:rsidRPr="001667DB">
        <w:lastRenderedPageBreak/>
        <w:t>6.7.6.</w:t>
      </w:r>
      <w:r w:rsidRPr="001667DB">
        <w:rPr>
          <w:rFonts w:eastAsia="Arial"/>
        </w:rPr>
        <w:t xml:space="preserve"> </w:t>
      </w:r>
      <w:r w:rsidRPr="001667DB">
        <w:t xml:space="preserve">Sprawdzenie nośności warstwy ulepszonego podłoża z gruntu stabilizowanego spoiwem lub wapnem </w:t>
      </w:r>
    </w:p>
    <w:p w14:paraId="48A9249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Nośność warstwy ulepszonego podłoża należy sprawdzać oznaczając wtórny moduł odkształcenia przez obciążenie płytą zgodnie z PN-S-02205 w trzech miejscach na dziennej działce roboczej. Badanie powinno być wykonane nie później niż po 72 godzinach od ukończenia zagęszczania warstwy ulepszonego podłoża.  </w:t>
      </w:r>
    </w:p>
    <w:p w14:paraId="1BEE8C7B"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Wtórny moduł odkształcenia E</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 xml:space="preserve"> nie powinien być mniejszy niż 50 MPa w przypadku dróg o kategorii ruchu KR3-KR7. Dla dróg o kategorii ruchu KR1-KR2 wymagana wartość wtórnego modułu odkształcenia powinna być określona w dokumentacji projektowej. </w:t>
      </w:r>
    </w:p>
    <w:p w14:paraId="298FFE50"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zobowiązany jest do udostępnienia przeciwwagi do badań nośności płytą VSS podczas badań kontrolnych. </w:t>
      </w:r>
    </w:p>
    <w:p w14:paraId="141BFC50" w14:textId="77777777" w:rsidR="00955A27" w:rsidRPr="001667DB" w:rsidRDefault="00955A27" w:rsidP="00C73A21">
      <w:pPr>
        <w:pStyle w:val="Nagwek2"/>
        <w:spacing w:line="360" w:lineRule="auto"/>
        <w:ind w:left="551" w:hanging="566"/>
        <w:jc w:val="both"/>
        <w:rPr>
          <w:color w:val="000000" w:themeColor="text1"/>
          <w:sz w:val="22"/>
          <w:szCs w:val="22"/>
        </w:rPr>
      </w:pPr>
      <w:bookmarkStart w:id="395" w:name="_Toc33286"/>
      <w:r w:rsidRPr="001667DB">
        <w:rPr>
          <w:color w:val="000000" w:themeColor="text1"/>
          <w:sz w:val="22"/>
          <w:szCs w:val="22"/>
        </w:rPr>
        <w:t>6.8.</w:t>
      </w:r>
      <w:r w:rsidRPr="001667DB">
        <w:rPr>
          <w:rFonts w:eastAsia="Arial"/>
          <w:color w:val="000000" w:themeColor="text1"/>
          <w:sz w:val="22"/>
          <w:szCs w:val="22"/>
        </w:rPr>
        <w:t xml:space="preserve"> </w:t>
      </w:r>
      <w:r w:rsidRPr="001667DB">
        <w:rPr>
          <w:color w:val="000000" w:themeColor="text1"/>
          <w:sz w:val="22"/>
          <w:szCs w:val="22"/>
        </w:rPr>
        <w:t xml:space="preserve">Zasady postępowania z odcinkami wadliwie wykonanymi ulepszonego podłoża z gruntu stabilizowanego spoiwem hydraulicznym lub wapnem </w:t>
      </w:r>
      <w:bookmarkEnd w:id="395"/>
    </w:p>
    <w:p w14:paraId="10AB33D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powierzchnie, które wykazują większe odchylenia cech geometrycznych i innych wymagań niniejszych ST określonych w pkt. 6 powinny być naprawione przez Wykonawcę na jego koszt po przedstawieniu i zaakceptowaniu przez Inżyniera/Inspektora Nadzoru programu naprawczego. </w:t>
      </w:r>
    </w:p>
    <w:p w14:paraId="12F0DACF" w14:textId="77777777" w:rsidR="00955A27" w:rsidRPr="00326BBF" w:rsidRDefault="00955A27" w:rsidP="00C73A21">
      <w:pPr>
        <w:pStyle w:val="Nagwek1"/>
        <w:tabs>
          <w:tab w:val="center" w:pos="1458"/>
        </w:tabs>
        <w:spacing w:line="360" w:lineRule="auto"/>
        <w:ind w:left="-15"/>
        <w:jc w:val="both"/>
        <w:rPr>
          <w:color w:val="000000" w:themeColor="text1"/>
          <w:sz w:val="22"/>
          <w:szCs w:val="22"/>
          <w:lang w:val="pl-PL"/>
        </w:rPr>
      </w:pPr>
      <w:bookmarkStart w:id="396" w:name="_Toc33287"/>
      <w:r w:rsidRPr="00326BBF">
        <w:rPr>
          <w:color w:val="000000" w:themeColor="text1"/>
          <w:sz w:val="22"/>
          <w:szCs w:val="22"/>
          <w:lang w:val="pl-PL"/>
        </w:rPr>
        <w:t>7.</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OBMIAR ROBÓT </w:t>
      </w:r>
      <w:bookmarkEnd w:id="396"/>
    </w:p>
    <w:p w14:paraId="3D06FBE9" w14:textId="77777777" w:rsidR="00955A27" w:rsidRPr="001667DB" w:rsidRDefault="00955A27" w:rsidP="00C73A21">
      <w:pPr>
        <w:pStyle w:val="Nagwek2"/>
        <w:spacing w:line="360" w:lineRule="auto"/>
        <w:ind w:left="-5"/>
        <w:jc w:val="both"/>
        <w:rPr>
          <w:color w:val="000000" w:themeColor="text1"/>
          <w:sz w:val="22"/>
          <w:szCs w:val="22"/>
        </w:rPr>
      </w:pPr>
      <w:bookmarkStart w:id="397" w:name="_Toc33288"/>
      <w:r w:rsidRPr="001667DB">
        <w:rPr>
          <w:color w:val="000000" w:themeColor="text1"/>
          <w:sz w:val="22"/>
          <w:szCs w:val="22"/>
        </w:rPr>
        <w:t>7.1.</w:t>
      </w:r>
      <w:r w:rsidRPr="001667DB">
        <w:rPr>
          <w:rFonts w:eastAsia="Arial"/>
          <w:color w:val="000000" w:themeColor="text1"/>
          <w:sz w:val="22"/>
          <w:szCs w:val="22"/>
        </w:rPr>
        <w:t xml:space="preserve"> </w:t>
      </w:r>
      <w:r w:rsidRPr="001667DB">
        <w:rPr>
          <w:color w:val="000000" w:themeColor="text1"/>
          <w:sz w:val="22"/>
          <w:szCs w:val="22"/>
        </w:rPr>
        <w:t xml:space="preserve">Ogólne zasady obmiaru robót </w:t>
      </w:r>
      <w:bookmarkEnd w:id="397"/>
    </w:p>
    <w:p w14:paraId="4FFAE2C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obmiaru robót podano w D-M-00.00.00 „Wymagania ogólne”. </w:t>
      </w:r>
    </w:p>
    <w:p w14:paraId="66DAAA8E" w14:textId="77777777" w:rsidR="00955A27" w:rsidRPr="001667DB" w:rsidRDefault="00955A27" w:rsidP="00C73A21">
      <w:pPr>
        <w:pStyle w:val="Nagwek2"/>
        <w:spacing w:line="360" w:lineRule="auto"/>
        <w:ind w:left="-5"/>
        <w:jc w:val="both"/>
        <w:rPr>
          <w:color w:val="000000" w:themeColor="text1"/>
          <w:sz w:val="22"/>
          <w:szCs w:val="22"/>
        </w:rPr>
      </w:pPr>
      <w:bookmarkStart w:id="398" w:name="_Toc33289"/>
      <w:r w:rsidRPr="001667DB">
        <w:rPr>
          <w:color w:val="000000" w:themeColor="text1"/>
          <w:sz w:val="22"/>
          <w:szCs w:val="22"/>
        </w:rPr>
        <w:t>7.2.</w:t>
      </w:r>
      <w:r w:rsidRPr="001667DB">
        <w:rPr>
          <w:rFonts w:eastAsia="Arial"/>
          <w:color w:val="000000" w:themeColor="text1"/>
          <w:sz w:val="22"/>
          <w:szCs w:val="22"/>
        </w:rPr>
        <w:t xml:space="preserve"> </w:t>
      </w:r>
      <w:r w:rsidRPr="001667DB">
        <w:rPr>
          <w:color w:val="000000" w:themeColor="text1"/>
          <w:sz w:val="22"/>
          <w:szCs w:val="22"/>
        </w:rPr>
        <w:t xml:space="preserve">Jednostka obmiarowa </w:t>
      </w:r>
      <w:bookmarkEnd w:id="398"/>
    </w:p>
    <w:p w14:paraId="6DCE079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 ulepszonego podłoża. </w:t>
      </w:r>
    </w:p>
    <w:p w14:paraId="1406FFCF" w14:textId="77777777" w:rsidR="00955A27" w:rsidRPr="00326BBF" w:rsidRDefault="00955A27" w:rsidP="00C73A21">
      <w:pPr>
        <w:pStyle w:val="Nagwek1"/>
        <w:tabs>
          <w:tab w:val="center" w:pos="1453"/>
        </w:tabs>
        <w:spacing w:line="360" w:lineRule="auto"/>
        <w:ind w:left="-15"/>
        <w:jc w:val="both"/>
        <w:rPr>
          <w:color w:val="000000" w:themeColor="text1"/>
          <w:sz w:val="22"/>
          <w:szCs w:val="22"/>
          <w:lang w:val="pl-PL"/>
        </w:rPr>
      </w:pPr>
      <w:bookmarkStart w:id="399" w:name="_Toc33290"/>
      <w:r w:rsidRPr="00326BBF">
        <w:rPr>
          <w:color w:val="000000" w:themeColor="text1"/>
          <w:sz w:val="22"/>
          <w:szCs w:val="22"/>
          <w:lang w:val="pl-PL"/>
        </w:rPr>
        <w:t>8.</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ODBIÓR ROBÓT </w:t>
      </w:r>
      <w:bookmarkEnd w:id="399"/>
    </w:p>
    <w:p w14:paraId="6B905FB8" w14:textId="77777777" w:rsidR="00955A27" w:rsidRPr="001667DB" w:rsidRDefault="00955A27" w:rsidP="00C73A21">
      <w:pPr>
        <w:pStyle w:val="Nagwek2"/>
        <w:spacing w:line="360" w:lineRule="auto"/>
        <w:ind w:left="-5"/>
        <w:jc w:val="both"/>
        <w:rPr>
          <w:color w:val="000000" w:themeColor="text1"/>
          <w:sz w:val="22"/>
          <w:szCs w:val="22"/>
        </w:rPr>
      </w:pPr>
      <w:bookmarkStart w:id="400" w:name="_Toc33291"/>
      <w:r w:rsidRPr="001667DB">
        <w:rPr>
          <w:color w:val="000000" w:themeColor="text1"/>
          <w:sz w:val="22"/>
          <w:szCs w:val="22"/>
        </w:rPr>
        <w:t>8.1.</w:t>
      </w:r>
      <w:r w:rsidRPr="001667DB">
        <w:rPr>
          <w:rFonts w:eastAsia="Arial"/>
          <w:color w:val="000000" w:themeColor="text1"/>
          <w:sz w:val="22"/>
          <w:szCs w:val="22"/>
        </w:rPr>
        <w:t xml:space="preserve"> </w:t>
      </w:r>
      <w:r w:rsidRPr="001667DB">
        <w:rPr>
          <w:color w:val="000000" w:themeColor="text1"/>
          <w:sz w:val="22"/>
          <w:szCs w:val="22"/>
        </w:rPr>
        <w:t xml:space="preserve">Ogólne zasady odbioru robót </w:t>
      </w:r>
      <w:bookmarkEnd w:id="400"/>
    </w:p>
    <w:p w14:paraId="1CB5068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odbioru robót podano w D-M-00.00.00 „Wymagania ogólne”. </w:t>
      </w:r>
    </w:p>
    <w:p w14:paraId="67C896C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uznaje się za wykonane zgodnie z Dokumentacją Projektową i ST, jeżeli wszystkie badania i pomiary z zachowaniem tolerancji wg pkt. 6 niniejszej ST dały wyniki pozytywne. </w:t>
      </w:r>
    </w:p>
    <w:p w14:paraId="154E18EE"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701F2FDC" w14:textId="77777777" w:rsidR="00955A27" w:rsidRPr="001667DB" w:rsidRDefault="00955A27" w:rsidP="00C73A21">
      <w:pPr>
        <w:pStyle w:val="Nagwek2"/>
        <w:spacing w:line="360" w:lineRule="auto"/>
        <w:ind w:left="-5"/>
        <w:jc w:val="both"/>
        <w:rPr>
          <w:color w:val="000000" w:themeColor="text1"/>
          <w:sz w:val="22"/>
          <w:szCs w:val="22"/>
        </w:rPr>
      </w:pPr>
      <w:bookmarkStart w:id="401" w:name="_Toc33292"/>
      <w:r w:rsidRPr="001667DB">
        <w:rPr>
          <w:color w:val="000000" w:themeColor="text1"/>
          <w:sz w:val="22"/>
          <w:szCs w:val="22"/>
        </w:rPr>
        <w:lastRenderedPageBreak/>
        <w:t>8.2.</w:t>
      </w:r>
      <w:r w:rsidRPr="001667DB">
        <w:rPr>
          <w:rFonts w:eastAsia="Arial"/>
          <w:color w:val="000000" w:themeColor="text1"/>
          <w:sz w:val="22"/>
          <w:szCs w:val="22"/>
        </w:rPr>
        <w:t xml:space="preserve"> </w:t>
      </w:r>
      <w:r w:rsidRPr="001667DB">
        <w:rPr>
          <w:color w:val="000000" w:themeColor="text1"/>
          <w:sz w:val="22"/>
          <w:szCs w:val="22"/>
        </w:rPr>
        <w:t xml:space="preserve">Zasady postępowania z wadliwie wykonanymi robotami </w:t>
      </w:r>
      <w:bookmarkEnd w:id="401"/>
    </w:p>
    <w:p w14:paraId="777BFD1C"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wystąpią wyniki negatywne dla materiałów i robót (nie spełniające wymagań określonych w ST i opracowanych na ich podstawie STWiORB), to Inżynier/Inspektor Nadzoru/Zamawiający wydaje Wykonawcy polecenie przedstawienia programu naprawczego, chyba że na wniosek jednej ze stron kontraktu zostaną wykonane badania lub pomiary arbitrażowe (zgodnie z pkt. 6.5 niniejszego ST), a ich wyniki będą pozytywne. Wykonawca w programie tym jest zobowiązany dokonać oceny wpływu na trwałość lub przedstawić sposób naprawienia wady. </w:t>
      </w:r>
    </w:p>
    <w:p w14:paraId="6AAA147A"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w:t>
      </w:r>
      <w:r w:rsidRPr="001667DB">
        <w:rPr>
          <w:rFonts w:ascii="Times New Roman" w:hAnsi="Times New Roman" w:cs="Times New Roman"/>
          <w:color w:val="000000" w:themeColor="text1"/>
        </w:rPr>
        <w:tab/>
        <w:t xml:space="preserve">zastosowanie </w:t>
      </w:r>
      <w:r w:rsidRPr="001667DB">
        <w:rPr>
          <w:rFonts w:ascii="Times New Roman" w:hAnsi="Times New Roman" w:cs="Times New Roman"/>
          <w:color w:val="000000" w:themeColor="text1"/>
        </w:rPr>
        <w:tab/>
        <w:t xml:space="preserve">programu </w:t>
      </w:r>
      <w:r w:rsidRPr="001667DB">
        <w:rPr>
          <w:rFonts w:ascii="Times New Roman" w:hAnsi="Times New Roman" w:cs="Times New Roman"/>
          <w:color w:val="000000" w:themeColor="text1"/>
        </w:rPr>
        <w:tab/>
        <w:t xml:space="preserve">naprawczego </w:t>
      </w:r>
      <w:r w:rsidRPr="001667DB">
        <w:rPr>
          <w:rFonts w:ascii="Times New Roman" w:hAnsi="Times New Roman" w:cs="Times New Roman"/>
          <w:color w:val="000000" w:themeColor="text1"/>
        </w:rPr>
        <w:tab/>
        <w:t xml:space="preserve">wyraża </w:t>
      </w:r>
      <w:r w:rsidRPr="001667DB">
        <w:rPr>
          <w:rFonts w:ascii="Times New Roman" w:hAnsi="Times New Roman" w:cs="Times New Roman"/>
          <w:color w:val="000000" w:themeColor="text1"/>
        </w:rPr>
        <w:tab/>
        <w:t xml:space="preserve">zgodę </w:t>
      </w:r>
      <w:r w:rsidRPr="001667DB">
        <w:rPr>
          <w:rFonts w:ascii="Times New Roman" w:hAnsi="Times New Roman" w:cs="Times New Roman"/>
          <w:color w:val="000000" w:themeColor="text1"/>
        </w:rPr>
        <w:tab/>
        <w:t xml:space="preserve">Inżynier/Inspektor Nadzoru/Zamawiający. </w:t>
      </w:r>
    </w:p>
    <w:p w14:paraId="19E08F86"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braku zgody Inżyniera/Inspektora Nadzoru/Zamawiającego na zastosowanie programu naprawczego wszystkie materiały i roboty nie spełniające wymagań podanych w odpowiednich punktach ST zostaną odrzucone. Wykonawca wymieni materiały na właściwe i wykona prawidłowo roboty na własny koszt. </w:t>
      </w:r>
    </w:p>
    <w:p w14:paraId="56EEBD2D"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wymiana materiałów niespełniających wymagań lub wadliwie wykonane roboty spowodowują szkodę w innych, prawidłowo wykonanych robotach, to również te roboty powinny być ponownie wykonane przez Wykonawcę na jego koszt. </w:t>
      </w:r>
    </w:p>
    <w:p w14:paraId="1FDC5BB7" w14:textId="77777777" w:rsidR="00955A27" w:rsidRPr="00326BBF" w:rsidRDefault="00955A27" w:rsidP="00C73A21">
      <w:pPr>
        <w:pStyle w:val="Nagwek1"/>
        <w:tabs>
          <w:tab w:val="clear" w:pos="1875"/>
          <w:tab w:val="center" w:pos="1899"/>
        </w:tabs>
        <w:spacing w:line="360" w:lineRule="auto"/>
        <w:ind w:left="-15"/>
        <w:jc w:val="both"/>
        <w:rPr>
          <w:color w:val="000000" w:themeColor="text1"/>
          <w:sz w:val="22"/>
          <w:szCs w:val="22"/>
          <w:lang w:val="pl-PL"/>
        </w:rPr>
      </w:pPr>
      <w:bookmarkStart w:id="402" w:name="_Toc33293"/>
      <w:r w:rsidRPr="00326BBF">
        <w:rPr>
          <w:color w:val="000000" w:themeColor="text1"/>
          <w:sz w:val="22"/>
          <w:szCs w:val="22"/>
          <w:lang w:val="pl-PL"/>
        </w:rPr>
        <w:t>9.</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PODSTAWA PŁATNOŚCI </w:t>
      </w:r>
      <w:bookmarkEnd w:id="402"/>
    </w:p>
    <w:p w14:paraId="63B73253" w14:textId="77777777" w:rsidR="00955A27" w:rsidRPr="001667DB" w:rsidRDefault="00955A27" w:rsidP="00C73A21">
      <w:pPr>
        <w:pStyle w:val="Nagwek2"/>
        <w:spacing w:line="360" w:lineRule="auto"/>
        <w:ind w:left="-5"/>
        <w:jc w:val="both"/>
        <w:rPr>
          <w:color w:val="000000" w:themeColor="text1"/>
          <w:sz w:val="22"/>
          <w:szCs w:val="22"/>
        </w:rPr>
      </w:pPr>
      <w:bookmarkStart w:id="403" w:name="_Toc33294"/>
      <w:r w:rsidRPr="001667DB">
        <w:rPr>
          <w:color w:val="000000" w:themeColor="text1"/>
          <w:sz w:val="22"/>
          <w:szCs w:val="22"/>
        </w:rPr>
        <w:t>9.1.</w:t>
      </w:r>
      <w:r w:rsidRPr="001667DB">
        <w:rPr>
          <w:rFonts w:eastAsia="Arial"/>
          <w:color w:val="000000" w:themeColor="text1"/>
          <w:sz w:val="22"/>
          <w:szCs w:val="22"/>
        </w:rPr>
        <w:t xml:space="preserve"> </w:t>
      </w:r>
      <w:r w:rsidRPr="001667DB">
        <w:rPr>
          <w:color w:val="000000" w:themeColor="text1"/>
          <w:sz w:val="22"/>
          <w:szCs w:val="22"/>
        </w:rPr>
        <w:t xml:space="preserve">Ogólne ustalenia dotyczące podstawy płatności </w:t>
      </w:r>
      <w:bookmarkEnd w:id="403"/>
    </w:p>
    <w:p w14:paraId="061298DC"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ustalenia dotyczące podstawy płatności podano w D-M-00.00.00 „Wymagania ogólne”. </w:t>
      </w:r>
    </w:p>
    <w:p w14:paraId="127EE952" w14:textId="77777777" w:rsidR="00955A27" w:rsidRPr="001667DB" w:rsidRDefault="00955A27" w:rsidP="00C73A21">
      <w:pPr>
        <w:pStyle w:val="Nagwek2"/>
        <w:spacing w:line="360" w:lineRule="auto"/>
        <w:ind w:left="-5"/>
        <w:jc w:val="both"/>
        <w:rPr>
          <w:color w:val="000000" w:themeColor="text1"/>
          <w:sz w:val="22"/>
          <w:szCs w:val="22"/>
        </w:rPr>
      </w:pPr>
      <w:bookmarkStart w:id="404" w:name="_Toc33295"/>
      <w:r w:rsidRPr="001667DB">
        <w:rPr>
          <w:color w:val="000000" w:themeColor="text1"/>
          <w:sz w:val="22"/>
          <w:szCs w:val="22"/>
        </w:rPr>
        <w:t>9.2.</w:t>
      </w:r>
      <w:r w:rsidRPr="001667DB">
        <w:rPr>
          <w:rFonts w:eastAsia="Arial"/>
          <w:color w:val="000000" w:themeColor="text1"/>
          <w:sz w:val="22"/>
          <w:szCs w:val="22"/>
        </w:rPr>
        <w:t xml:space="preserve"> </w:t>
      </w:r>
      <w:r w:rsidRPr="001667DB">
        <w:rPr>
          <w:color w:val="000000" w:themeColor="text1"/>
          <w:sz w:val="22"/>
          <w:szCs w:val="22"/>
        </w:rPr>
        <w:t xml:space="preserve">Cena jednostki obmiarowej </w:t>
      </w:r>
      <w:bookmarkEnd w:id="404"/>
    </w:p>
    <w:p w14:paraId="29C9A783"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Cena wykonania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warstwy ulepszonego podłoża z gruntów stabilizowanych spoiwami hydraulicznymi obejmuje: </w:t>
      </w:r>
    </w:p>
    <w:p w14:paraId="382C1353"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0DEE1C9D"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02CC7520"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spulchnienie gruntu, </w:t>
      </w:r>
    </w:p>
    <w:p w14:paraId="78B6080A"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dostarczenie, ustawienie, rozebranie i odwiezienie prowadnic oraz innych materiałów i urządzeń pomocniczych, </w:t>
      </w:r>
    </w:p>
    <w:p w14:paraId="7A5F6968"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dostarczenie i rozścielenie składników zgodnie z receptą laboratoryjną, </w:t>
      </w:r>
    </w:p>
    <w:p w14:paraId="395BC2C7"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wymieszanie gruntu rodzimego ze spoiwem w korycie drogi, </w:t>
      </w:r>
    </w:p>
    <w:p w14:paraId="104C19D9"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zagęszczenie warstwy, </w:t>
      </w:r>
    </w:p>
    <w:p w14:paraId="52884D3B"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pielęgnacja wykonanej warstwy </w:t>
      </w:r>
    </w:p>
    <w:p w14:paraId="5207C180"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laboratoryjnych, wymaganych w specyfikacji technicznej, </w:t>
      </w:r>
    </w:p>
    <w:p w14:paraId="0E972904"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odwiezienie sprzętu. </w:t>
      </w:r>
    </w:p>
    <w:p w14:paraId="580D25F0" w14:textId="77777777" w:rsidR="00955A27" w:rsidRPr="001667DB" w:rsidRDefault="00955A27" w:rsidP="00904E6C">
      <w:pPr>
        <w:numPr>
          <w:ilvl w:val="0"/>
          <w:numId w:val="118"/>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zawiera wszelkie inne czynności związane z prawidłowym wykonaniem warstwy zgodnie z wymaganiami niniejszych ST.</w:t>
      </w:r>
      <w:r w:rsidRPr="001667DB">
        <w:rPr>
          <w:rFonts w:ascii="Times New Roman" w:eastAsia="Calibri" w:hAnsi="Times New Roman" w:cs="Times New Roman"/>
          <w:color w:val="000000" w:themeColor="text1"/>
        </w:rPr>
        <w:t xml:space="preserve"> </w:t>
      </w:r>
    </w:p>
    <w:p w14:paraId="0B755DD4" w14:textId="77777777" w:rsidR="00955A27" w:rsidRPr="001667DB" w:rsidRDefault="00955A27" w:rsidP="00C73A21">
      <w:pPr>
        <w:pStyle w:val="Nagwek2"/>
        <w:spacing w:line="360" w:lineRule="auto"/>
        <w:ind w:left="-5"/>
        <w:jc w:val="both"/>
        <w:rPr>
          <w:color w:val="000000" w:themeColor="text1"/>
          <w:sz w:val="22"/>
          <w:szCs w:val="22"/>
        </w:rPr>
      </w:pPr>
      <w:bookmarkStart w:id="405" w:name="_Toc33296"/>
      <w:r w:rsidRPr="001667DB">
        <w:rPr>
          <w:color w:val="000000" w:themeColor="text1"/>
          <w:sz w:val="22"/>
          <w:szCs w:val="22"/>
        </w:rPr>
        <w:t>9.3.</w:t>
      </w:r>
      <w:r w:rsidRPr="001667DB">
        <w:rPr>
          <w:rFonts w:eastAsia="Arial"/>
          <w:color w:val="000000" w:themeColor="text1"/>
          <w:sz w:val="22"/>
          <w:szCs w:val="22"/>
        </w:rPr>
        <w:t xml:space="preserve"> </w:t>
      </w:r>
      <w:r w:rsidRPr="001667DB">
        <w:rPr>
          <w:color w:val="000000" w:themeColor="text1"/>
          <w:sz w:val="22"/>
          <w:szCs w:val="22"/>
        </w:rPr>
        <w:t xml:space="preserve">Sposób rozliczenia robót tymczasowych i prac towarzyszących </w:t>
      </w:r>
      <w:bookmarkEnd w:id="405"/>
    </w:p>
    <w:p w14:paraId="309D483C" w14:textId="77777777" w:rsidR="00955A27" w:rsidRPr="001667DB" w:rsidRDefault="00955A27" w:rsidP="00C73A21">
      <w:pPr>
        <w:spacing w:after="120" w:line="360" w:lineRule="auto"/>
        <w:ind w:left="-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robót określonych niniejszą ST obejmuje: </w:t>
      </w:r>
    </w:p>
    <w:p w14:paraId="1CE904CF" w14:textId="77777777" w:rsidR="00955A27" w:rsidRPr="001667DB" w:rsidRDefault="00955A27" w:rsidP="00904E6C">
      <w:pPr>
        <w:numPr>
          <w:ilvl w:val="0"/>
          <w:numId w:val="11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tymczasowe, które są potrzebne do wykonania robót podstawowych, ale nie są przekazywane Zamawiającemu i są usuwane po wykonaniu robót podstawowych, </w:t>
      </w:r>
    </w:p>
    <w:p w14:paraId="326A38F7" w14:textId="77777777" w:rsidR="00955A27" w:rsidRPr="001667DB" w:rsidRDefault="00955A27" w:rsidP="00904E6C">
      <w:pPr>
        <w:numPr>
          <w:ilvl w:val="0"/>
          <w:numId w:val="11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towarzyszące, które są niezbędne do wykonania robót podstawowych, niezaliczane do robót tymczasowych, jak geodezyjne wytyczenie robót itd. </w:t>
      </w:r>
    </w:p>
    <w:p w14:paraId="30182550" w14:textId="77777777" w:rsidR="00955A27" w:rsidRPr="001667DB" w:rsidRDefault="00955A27" w:rsidP="00C73A21">
      <w:pPr>
        <w:pStyle w:val="Nagwek1"/>
        <w:spacing w:line="360" w:lineRule="auto"/>
        <w:ind w:left="-5"/>
        <w:jc w:val="both"/>
        <w:rPr>
          <w:color w:val="000000" w:themeColor="text1"/>
          <w:sz w:val="22"/>
          <w:szCs w:val="22"/>
        </w:rPr>
      </w:pPr>
      <w:bookmarkStart w:id="406" w:name="_Toc33297"/>
      <w:r w:rsidRPr="001667DB">
        <w:rPr>
          <w:color w:val="000000" w:themeColor="text1"/>
          <w:sz w:val="22"/>
          <w:szCs w:val="22"/>
        </w:rPr>
        <w:t>10.</w:t>
      </w:r>
      <w:r w:rsidRPr="001667DB">
        <w:rPr>
          <w:rFonts w:eastAsia="Arial"/>
          <w:color w:val="000000" w:themeColor="text1"/>
          <w:sz w:val="22"/>
          <w:szCs w:val="22"/>
        </w:rPr>
        <w:t xml:space="preserve"> </w:t>
      </w:r>
      <w:r w:rsidRPr="001667DB">
        <w:rPr>
          <w:color w:val="000000" w:themeColor="text1"/>
          <w:sz w:val="22"/>
          <w:szCs w:val="22"/>
        </w:rPr>
        <w:t xml:space="preserve">PRZEPISY ZWIĄZANE </w:t>
      </w:r>
      <w:bookmarkEnd w:id="406"/>
    </w:p>
    <w:p w14:paraId="295C2FC7" w14:textId="77777777" w:rsidR="00955A27" w:rsidRPr="001667DB" w:rsidRDefault="00955A27" w:rsidP="00955A27">
      <w:pPr>
        <w:pStyle w:val="Nagwek2"/>
        <w:spacing w:line="360" w:lineRule="auto"/>
        <w:ind w:left="-5"/>
        <w:rPr>
          <w:color w:val="000000" w:themeColor="text1"/>
          <w:sz w:val="22"/>
          <w:szCs w:val="22"/>
        </w:rPr>
      </w:pPr>
      <w:bookmarkStart w:id="407" w:name="_Toc33298"/>
      <w:r w:rsidRPr="001667DB">
        <w:rPr>
          <w:color w:val="000000" w:themeColor="text1"/>
          <w:sz w:val="22"/>
          <w:szCs w:val="22"/>
        </w:rPr>
        <w:t>10.1.</w:t>
      </w:r>
      <w:r w:rsidRPr="001667DB">
        <w:rPr>
          <w:rFonts w:eastAsia="Arial"/>
          <w:color w:val="000000" w:themeColor="text1"/>
          <w:sz w:val="22"/>
          <w:szCs w:val="22"/>
        </w:rPr>
        <w:t xml:space="preserve"> </w:t>
      </w:r>
      <w:r w:rsidRPr="001667DB">
        <w:rPr>
          <w:color w:val="000000" w:themeColor="text1"/>
          <w:sz w:val="22"/>
          <w:szCs w:val="22"/>
        </w:rPr>
        <w:t xml:space="preserve">Normy </w:t>
      </w:r>
      <w:bookmarkEnd w:id="407"/>
    </w:p>
    <w:p w14:paraId="50A1A43B"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197-1 Cement. Skład, wymagania i kryteria zgodności dotyczące cementów powszechnego użytku </w:t>
      </w:r>
    </w:p>
    <w:p w14:paraId="64265B73"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459-1 Wapno Budowlane. Wymagania </w:t>
      </w:r>
    </w:p>
    <w:p w14:paraId="2E8F39D3"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1008 Woda zarobowa do betonu. Specyfikacja pobierania próbek, badanie i ocena przydatności wody zarobowej do betonu, w tym wody odzyskanej z procesów produkcji betonu </w:t>
      </w:r>
    </w:p>
    <w:p w14:paraId="47AA0E79"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13282-1 Hydrauliczne spoiwa drogowe Część 1: Hydrauliczne spoiwa drogowe szybko wiążące. Skład , wymagania i kryteria zgodności </w:t>
      </w:r>
    </w:p>
    <w:p w14:paraId="61FA01FC"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13282-2 Hydrauliczne spoiwa drogowe Część 2: Hydrauliczne spoiwa drogowe normalnie wiążące. Skład , wymagania i kryteria zgodności </w:t>
      </w:r>
    </w:p>
    <w:p w14:paraId="4F2B0C12"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13286-2 Mieszanki niezwiązane i związane spoiwem hydraulicznym. Część 2: Metody określenia gęstości i zawartości wody. Zagęszczanie metodą Proctora </w:t>
      </w:r>
    </w:p>
    <w:p w14:paraId="417ADB1E"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13286-41 Mieszanki niezwiązane i związane spoiwem hydraulicznym. Część 41: Metoda oznaczania wytrzymałości na ściskanie mieszanek związanych spoiwem hydraulicznym </w:t>
      </w:r>
    </w:p>
    <w:p w14:paraId="2134D9CE"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13286-47 Mieszanki niezwiązane i związane spoiwem hydraulicznym. Część 47: Metody badań dla nośności, kalifornijski wskaźnik nośności CBR, natychmiastowy wskaźnik nośności i pęcznienia liniowego </w:t>
      </w:r>
    </w:p>
    <w:p w14:paraId="03946764"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13286-48 Mieszanki niezwiązane i związane spoiwem hydraulicznym. Część 48: Metoda badawcza określania stopnia rozdrobnienia </w:t>
      </w:r>
    </w:p>
    <w:p w14:paraId="6F4F199A"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14227-2 Mieszanki związane spoiwem hydraulicznym. Specyfikacje. Część 2: Mieszanki żużlowe </w:t>
      </w:r>
    </w:p>
    <w:p w14:paraId="48962494"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14227-4 Mieszanki związane spoiwem hydraulicznym. Specyfikacje. Część 4: Popioły lotne do mieszanek związanych spoiwem hydraulicznym </w:t>
      </w:r>
    </w:p>
    <w:p w14:paraId="43061084"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14227-15 Mieszanki związane spoiwem hydraulicznym. Specyfikacje. Część 15: Grunty stabilizowane hydraulicznie  </w:t>
      </w:r>
    </w:p>
    <w:p w14:paraId="5AB46E1F"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15167-1 Mielony granulowany żużel wielkopiecowy do stosowania w betonie, zaprawie i zaczynie . Część 1: Definicje, specyfikacje i kryteria zgodności </w:t>
      </w:r>
    </w:p>
    <w:p w14:paraId="56F170C1"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PN-S-02205 Drogi samochodowe. Roboty ziemne. Wymagania i badania  </w:t>
      </w:r>
    </w:p>
    <w:p w14:paraId="077F7F9F"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PN-B-04481 Grunty budowlane. Badania próbek gruntów </w:t>
      </w:r>
    </w:p>
    <w:p w14:paraId="414FB2A1"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PN-B-06714-15 Kruszywa mineralne. Badania. Oznaczanie składu ziarnowego </w:t>
      </w:r>
    </w:p>
    <w:p w14:paraId="2984A959"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PN-B-06714-26 Kruszywa mineralne. Badania. Oznaczanie zawartości zanieczyszczeń organicznych </w:t>
      </w:r>
    </w:p>
    <w:p w14:paraId="61619385"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PN-B-06714-28 Kruszywa mineralne. Badania. Oznaczanie zawartości siarki metodą bromową </w:t>
      </w:r>
    </w:p>
    <w:p w14:paraId="77654D80"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BN-8931-01 Drogi samochodowe. Oznaczenie wskaźnika piaskowego </w:t>
      </w:r>
    </w:p>
    <w:p w14:paraId="045B0ED5"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BN-8931-12 Drogi samochodowe. Oznaczenie wskaźnika zagęszczenia gruntu. </w:t>
      </w:r>
    </w:p>
    <w:p w14:paraId="3454A113" w14:textId="77777777" w:rsidR="00955A27" w:rsidRPr="001667DB" w:rsidRDefault="00955A27" w:rsidP="00904E6C">
      <w:pPr>
        <w:numPr>
          <w:ilvl w:val="0"/>
          <w:numId w:val="11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BN-8931-04 Drogi samochodowe. Pomiar równości nawierzchni planografem i łatą. </w:t>
      </w:r>
    </w:p>
    <w:p w14:paraId="2DB42960" w14:textId="77777777" w:rsidR="00955A27" w:rsidRPr="001667DB" w:rsidRDefault="00955A27" w:rsidP="00955A27">
      <w:pPr>
        <w:pStyle w:val="Nagwek2"/>
        <w:spacing w:line="360" w:lineRule="auto"/>
        <w:ind w:left="-5"/>
        <w:rPr>
          <w:color w:val="000000" w:themeColor="text1"/>
          <w:sz w:val="22"/>
          <w:szCs w:val="22"/>
        </w:rPr>
      </w:pPr>
      <w:bookmarkStart w:id="408" w:name="_Toc33299"/>
      <w:r w:rsidRPr="001667DB">
        <w:rPr>
          <w:color w:val="000000" w:themeColor="text1"/>
          <w:sz w:val="22"/>
          <w:szCs w:val="22"/>
        </w:rPr>
        <w:t>10.2.</w:t>
      </w:r>
      <w:r w:rsidRPr="001667DB">
        <w:rPr>
          <w:rFonts w:eastAsia="Arial"/>
          <w:color w:val="000000" w:themeColor="text1"/>
          <w:sz w:val="22"/>
          <w:szCs w:val="22"/>
        </w:rPr>
        <w:t xml:space="preserve"> </w:t>
      </w:r>
      <w:r w:rsidRPr="001667DB">
        <w:rPr>
          <w:color w:val="000000" w:themeColor="text1"/>
          <w:sz w:val="22"/>
          <w:szCs w:val="22"/>
        </w:rPr>
        <w:t xml:space="preserve">Inne dokumenty </w:t>
      </w:r>
      <w:bookmarkEnd w:id="408"/>
    </w:p>
    <w:p w14:paraId="73A408AF"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Ustawa z dnia 16 kwietnia 2004r. o wyrobach budowlanych (Dz. U. 2004 nr 92, poz. 881 z późn. zmianami); ostatni tekst jednolity - Obwieszczenie Marszałka Sejmu Rzeczypospolitej Polskiej z dnia 17 stycznia 2019 r. w sprawie ogłoszenia jednolitego tekstu ustawy o wyrobach budowlanych (Dz. U. 2019 poz. 266)  </w:t>
      </w:r>
    </w:p>
    <w:p w14:paraId="76EE2658"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Rozporządzenie Ministra Infrastruktury z dnia 11 sierpnia 2004r. w sprawie deklarowania zgodności wyrobów budowlanych oraz sposobu znakowania ich znakiem budowlanym (Dz. U. Nr 198, poz. 2041 z późn. zm.) </w:t>
      </w:r>
    </w:p>
    <w:p w14:paraId="2941F914"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Katalog Typowych Konstrukcji Nawierzchni Sztywnych, załącznik do zarządzenia Nr 30 Generalnego Dyrektora Dróg Krajowych i Autostrad z dnia 16.06.2014 r.  </w:t>
      </w:r>
    </w:p>
    <w:p w14:paraId="62FD3886"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Katalog Typowych Konstrukcji Nawierzchni Podatnych i Półsztywnych, załącznik do zarządzenia Nr 31 Generalnego Dyrektora Dróg Krajowych i Autostrad z dnia 16.06.2014 r. </w:t>
      </w:r>
    </w:p>
    <w:p w14:paraId="276E58BA"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Wytyczne wzmacniania podłoża gruntowego w budownictwie drogowym, IBDiM, 2002. </w:t>
      </w:r>
    </w:p>
    <w:p w14:paraId="4F4EAE90" w14:textId="77777777" w:rsidR="00955A27" w:rsidRPr="00326BBF" w:rsidRDefault="00955A27" w:rsidP="00904E6C">
      <w:pPr>
        <w:numPr>
          <w:ilvl w:val="0"/>
          <w:numId w:val="112"/>
        </w:numPr>
        <w:spacing w:after="120" w:line="360" w:lineRule="auto"/>
        <w:ind w:hanging="720"/>
        <w:jc w:val="both"/>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 xml:space="preserve">ZTV E-StB 17 - Zusätzliche Technische Vertragsbedingungen und Richtlinien für Erdarbeiten im Straßenbau, FGSV nr 599, 2017 </w:t>
      </w:r>
    </w:p>
    <w:p w14:paraId="188B9FBC" w14:textId="77777777" w:rsidR="00955A27" w:rsidRPr="001667DB" w:rsidRDefault="00955A27" w:rsidP="00904E6C">
      <w:pPr>
        <w:numPr>
          <w:ilvl w:val="0"/>
          <w:numId w:val="112"/>
        </w:numPr>
        <w:spacing w:after="120" w:line="360" w:lineRule="auto"/>
        <w:ind w:hanging="720"/>
        <w:jc w:val="both"/>
        <w:rPr>
          <w:rFonts w:ascii="Times New Roman" w:hAnsi="Times New Roman" w:cs="Times New Roman"/>
          <w:color w:val="000000" w:themeColor="text1"/>
        </w:rPr>
      </w:pPr>
      <w:r w:rsidRPr="00326BBF">
        <w:rPr>
          <w:rFonts w:ascii="Times New Roman" w:hAnsi="Times New Roman" w:cs="Times New Roman"/>
          <w:color w:val="000000" w:themeColor="text1"/>
          <w:lang w:val="en-US"/>
        </w:rPr>
        <w:t xml:space="preserve">TP BF-StB - Technische Prüfvorschriften für Boden und Fels im Straßenbau - Teil B 8.3: Dynamischer Plattendruckversuch mit Leichtem Fallgewichtsgerät, FGSV-Nr. </w:t>
      </w:r>
      <w:r w:rsidRPr="001667DB">
        <w:rPr>
          <w:rFonts w:ascii="Times New Roman" w:hAnsi="Times New Roman" w:cs="Times New Roman"/>
          <w:color w:val="000000" w:themeColor="text1"/>
        </w:rPr>
        <w:t xml:space="preserve">591/B 8.3, 2012 </w:t>
      </w:r>
    </w:p>
    <w:p w14:paraId="3F7BA578" w14:textId="77777777" w:rsidR="00955A27" w:rsidRPr="00326BBF" w:rsidRDefault="00955A27" w:rsidP="00904E6C">
      <w:pPr>
        <w:numPr>
          <w:ilvl w:val="0"/>
          <w:numId w:val="112"/>
        </w:numPr>
        <w:spacing w:after="120" w:line="360" w:lineRule="auto"/>
        <w:ind w:hanging="720"/>
        <w:jc w:val="both"/>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 xml:space="preserve">TP BF-StB - Technische Prüfvorschriften für Boden und Fels im Straßenbau - Teil B 8.4: </w:t>
      </w:r>
    </w:p>
    <w:p w14:paraId="0587D2F3" w14:textId="77777777" w:rsidR="00955A27" w:rsidRPr="001667DB" w:rsidRDefault="00955A27" w:rsidP="00955A27">
      <w:pPr>
        <w:spacing w:after="120" w:line="360" w:lineRule="auto"/>
        <w:ind w:left="437"/>
        <w:rPr>
          <w:rFonts w:ascii="Times New Roman" w:hAnsi="Times New Roman" w:cs="Times New Roman"/>
          <w:color w:val="000000" w:themeColor="text1"/>
        </w:rPr>
      </w:pPr>
      <w:r w:rsidRPr="00326BBF">
        <w:rPr>
          <w:rFonts w:ascii="Times New Roman" w:hAnsi="Times New Roman" w:cs="Times New Roman"/>
          <w:color w:val="000000" w:themeColor="text1"/>
          <w:lang w:val="en-US"/>
        </w:rPr>
        <w:t xml:space="preserve">Kalibriervorschriften für das Leichte und das Mittelschwere Fallgewichtsgerät (PDF), FGSV-Nr. </w:t>
      </w:r>
      <w:r w:rsidRPr="001667DB">
        <w:rPr>
          <w:rFonts w:ascii="Times New Roman" w:hAnsi="Times New Roman" w:cs="Times New Roman"/>
          <w:color w:val="000000" w:themeColor="text1"/>
        </w:rPr>
        <w:t xml:space="preserve">591/B 8.4PDF, 2016 </w:t>
      </w:r>
    </w:p>
    <w:p w14:paraId="46B46C66" w14:textId="77777777" w:rsidR="00955A27" w:rsidRPr="00326BBF" w:rsidRDefault="00955A27" w:rsidP="00904E6C">
      <w:pPr>
        <w:numPr>
          <w:ilvl w:val="0"/>
          <w:numId w:val="112"/>
        </w:numPr>
        <w:spacing w:after="120" w:line="360" w:lineRule="auto"/>
        <w:ind w:hanging="720"/>
        <w:jc w:val="both"/>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 xml:space="preserve">Soil treatment with lime and/or hydraulic binders. Application to the construction of fills and capping layers, Technical Guide, LCPC, 2004 </w:t>
      </w:r>
    </w:p>
    <w:p w14:paraId="12AF60C5" w14:textId="77777777" w:rsidR="00955A27" w:rsidRPr="00326BBF" w:rsidRDefault="00955A27" w:rsidP="00955A27">
      <w:pPr>
        <w:pStyle w:val="Nagwek1"/>
        <w:spacing w:line="360" w:lineRule="auto"/>
        <w:ind w:left="566"/>
        <w:jc w:val="center"/>
        <w:rPr>
          <w:color w:val="000000" w:themeColor="text1"/>
          <w:sz w:val="22"/>
          <w:szCs w:val="22"/>
          <w:lang w:val="pl-PL"/>
        </w:rPr>
      </w:pPr>
      <w:bookmarkStart w:id="409" w:name="_Toc33300"/>
      <w:r w:rsidRPr="00326BBF">
        <w:rPr>
          <w:color w:val="000000" w:themeColor="text1"/>
          <w:sz w:val="22"/>
          <w:szCs w:val="22"/>
          <w:lang w:val="pl-PL"/>
        </w:rPr>
        <w:t xml:space="preserve">ZAŁĄCZNIK 1 </w:t>
      </w:r>
      <w:bookmarkEnd w:id="409"/>
    </w:p>
    <w:p w14:paraId="6D2025A1" w14:textId="77777777" w:rsidR="00955A27" w:rsidRPr="001667DB" w:rsidRDefault="00955A27" w:rsidP="00955A27">
      <w:pPr>
        <w:pStyle w:val="Nagwek2"/>
        <w:spacing w:line="360" w:lineRule="auto"/>
        <w:ind w:left="-5"/>
        <w:rPr>
          <w:color w:val="000000" w:themeColor="text1"/>
          <w:sz w:val="22"/>
          <w:szCs w:val="22"/>
        </w:rPr>
      </w:pPr>
      <w:bookmarkStart w:id="410" w:name="_Toc33301"/>
      <w:r w:rsidRPr="001667DB">
        <w:rPr>
          <w:color w:val="000000" w:themeColor="text1"/>
          <w:sz w:val="22"/>
          <w:szCs w:val="22"/>
        </w:rPr>
        <w:t xml:space="preserve">Metoda pomiaru ilości spoiwa dozowanego przez rozsypywarkę w czasie robót </w:t>
      </w:r>
      <w:bookmarkEnd w:id="410"/>
    </w:p>
    <w:p w14:paraId="055076F2"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u w:val="single" w:color="000000"/>
        </w:rPr>
        <w:t>Zasada pomiaru</w:t>
      </w:r>
      <w:r w:rsidRPr="001667DB">
        <w:rPr>
          <w:rFonts w:ascii="Times New Roman" w:hAnsi="Times New Roman" w:cs="Times New Roman"/>
          <w:color w:val="000000" w:themeColor="text1"/>
        </w:rPr>
        <w:t xml:space="preserve"> – Próbki spoiwa pobiera się podczas jednego przejścia rozsypywarki. Do pomiaru należy użyć co najmniej siedem kwadratowych tacek pomiarowych. Tacki pomiarowe należy równomiernie rozmieścić na odcinku roboczym, którego szerokość odpowiada szerokości rozsypywarki. Na zdjęciach poniżej pokazano poszczególne czynności związane z wykonaniem pomiaru ilości dozowanego spoiwa, w którym wykorzystywane są kwadratowe tacki pomiarowe z brezentu o wymiarach 1 m x 1 m i kwadratowy szablon - ramka z lekkiego metalu o wymiarach: 0,71 m x 0,71 m x 0,10 m. </w:t>
      </w:r>
    </w:p>
    <w:p w14:paraId="7AEFD34A" w14:textId="77777777" w:rsidR="00955A27" w:rsidRPr="001667DB" w:rsidRDefault="00955A27" w:rsidP="00955A27">
      <w:pPr>
        <w:spacing w:after="120" w:line="360" w:lineRule="auto"/>
        <w:ind w:right="97"/>
        <w:jc w:val="right"/>
        <w:rPr>
          <w:rFonts w:ascii="Times New Roman" w:hAnsi="Times New Roman" w:cs="Times New Roman"/>
          <w:color w:val="000000" w:themeColor="text1"/>
        </w:rPr>
      </w:pPr>
      <w:r w:rsidRPr="001667DB">
        <w:rPr>
          <w:rFonts w:ascii="Times New Roman" w:eastAsia="Calibri" w:hAnsi="Times New Roman" w:cs="Times New Roman"/>
          <w:noProof/>
          <w:color w:val="000000" w:themeColor="text1"/>
          <w:lang w:eastAsia="pl-PL"/>
        </w:rPr>
        <mc:AlternateContent>
          <mc:Choice Requires="wpg">
            <w:drawing>
              <wp:inline distT="0" distB="0" distL="0" distR="0" wp14:anchorId="72E3C444" wp14:editId="26ED5014">
                <wp:extent cx="5584190" cy="2187210"/>
                <wp:effectExtent l="0" t="0" r="0" b="0"/>
                <wp:docPr id="28485" name="Group 28485"/>
                <wp:cNvGraphicFramePr/>
                <a:graphic xmlns:a="http://schemas.openxmlformats.org/drawingml/2006/main">
                  <a:graphicData uri="http://schemas.microsoft.com/office/word/2010/wordprocessingGroup">
                    <wpg:wgp>
                      <wpg:cNvGrpSpPr/>
                      <wpg:grpSpPr>
                        <a:xfrm>
                          <a:off x="0" y="0"/>
                          <a:ext cx="5584190" cy="2187210"/>
                          <a:chOff x="0" y="0"/>
                          <a:chExt cx="5584190" cy="2187210"/>
                        </a:xfrm>
                      </wpg:grpSpPr>
                      <wps:wsp>
                        <wps:cNvPr id="5466" name="Rectangle 5466"/>
                        <wps:cNvSpPr/>
                        <wps:spPr>
                          <a:xfrm>
                            <a:off x="2712720" y="2063929"/>
                            <a:ext cx="57536" cy="163963"/>
                          </a:xfrm>
                          <a:prstGeom prst="rect">
                            <a:avLst/>
                          </a:prstGeom>
                          <a:ln>
                            <a:noFill/>
                          </a:ln>
                        </wps:spPr>
                        <wps:txbx>
                          <w:txbxContent>
                            <w:p w14:paraId="1C3A17FD" w14:textId="77777777" w:rsidR="004A6EFA" w:rsidRDefault="004A6EFA">
                              <w:r>
                                <w:rPr>
                                  <w:b/>
                                </w:rPr>
                                <w:t xml:space="preserve"> </w:t>
                              </w:r>
                            </w:p>
                          </w:txbxContent>
                        </wps:txbx>
                        <wps:bodyPr horzOverflow="overflow" vert="horz" lIns="0" tIns="0" rIns="0" bIns="0" rtlCol="0">
                          <a:noAutofit/>
                        </wps:bodyPr>
                      </wps:wsp>
                      <pic:pic xmlns:pic="http://schemas.openxmlformats.org/drawingml/2006/picture">
                        <pic:nvPicPr>
                          <pic:cNvPr id="5499" name="Picture 5499"/>
                          <pic:cNvPicPr/>
                        </pic:nvPicPr>
                        <pic:blipFill>
                          <a:blip r:embed="rId30"/>
                          <a:stretch>
                            <a:fillRect/>
                          </a:stretch>
                        </pic:blipFill>
                        <pic:spPr>
                          <a:xfrm>
                            <a:off x="0" y="0"/>
                            <a:ext cx="2713736" cy="2159635"/>
                          </a:xfrm>
                          <a:prstGeom prst="rect">
                            <a:avLst/>
                          </a:prstGeom>
                        </pic:spPr>
                      </pic:pic>
                      <pic:pic xmlns:pic="http://schemas.openxmlformats.org/drawingml/2006/picture">
                        <pic:nvPicPr>
                          <pic:cNvPr id="5501" name="Picture 5501"/>
                          <pic:cNvPicPr/>
                        </pic:nvPicPr>
                        <pic:blipFill>
                          <a:blip r:embed="rId31"/>
                          <a:stretch>
                            <a:fillRect/>
                          </a:stretch>
                        </pic:blipFill>
                        <pic:spPr>
                          <a:xfrm>
                            <a:off x="2884805" y="0"/>
                            <a:ext cx="2699385" cy="2159508"/>
                          </a:xfrm>
                          <a:prstGeom prst="rect">
                            <a:avLst/>
                          </a:prstGeom>
                        </pic:spPr>
                      </pic:pic>
                    </wpg:wgp>
                  </a:graphicData>
                </a:graphic>
              </wp:inline>
            </w:drawing>
          </mc:Choice>
          <mc:Fallback>
            <w:pict>
              <v:group w14:anchorId="72E3C444" id="Group 28485" o:spid="_x0000_s1049" style="width:439.7pt;height:172.2pt;mso-position-horizontal-relative:char;mso-position-vertical-relative:line" coordsize="55841,218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">
                <v:rect id="Rectangle 5466" o:spid="_x0000_s1050" style="position:absolute;left:27127;top:20639;width:575;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" filled="f" stroked="f">
                  <v:textbox inset="0,0,0,0">
                    <w:txbxContent>
                      <w:p w14:paraId="1C3A17FD" w14:textId="77777777" w:rsidR="004A6EFA" w:rsidRDefault="004A6EFA">
                        <w:r>
                          <w:rPr>
                            <w:b/>
                          </w:rPr>
                          <w:t xml:space="preserve"> </w:t>
                        </w:r>
                      </w:p>
                    </w:txbxContent>
                  </v:textbox>
                </v:rect>
                <v:shape id="Picture 5499" o:spid="_x0000_s1051" type="#_x0000_t75" style="position:absolute;width:2713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">
                  <v:imagedata r:id="rId32" o:title=""/>
                </v:shape>
                <v:shape id="Picture 5501" o:spid="_x0000_s1052" type="#_x0000_t75" style="position:absolute;left:28848;width:26993;height:21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">
                  <v:imagedata r:id="rId33" o:title=""/>
                </v:shape>
                <w10:anchorlock/>
              </v:group>
            </w:pict>
          </mc:Fallback>
        </mc:AlternateContent>
      </w:r>
      <w:r w:rsidRPr="001667DB">
        <w:rPr>
          <w:rFonts w:ascii="Times New Roman" w:hAnsi="Times New Roman" w:cs="Times New Roman"/>
          <w:b/>
          <w:color w:val="000000" w:themeColor="text1"/>
        </w:rPr>
        <w:t xml:space="preserve"> </w:t>
      </w:r>
    </w:p>
    <w:p w14:paraId="5D89B29F" w14:textId="77777777" w:rsidR="00955A27" w:rsidRPr="001667DB" w:rsidRDefault="00955A27" w:rsidP="00955A27">
      <w:pPr>
        <w:spacing w:after="120" w:line="360" w:lineRule="auto"/>
        <w:ind w:left="5041" w:hanging="4645"/>
        <w:rPr>
          <w:rFonts w:ascii="Times New Roman" w:hAnsi="Times New Roman" w:cs="Times New Roman"/>
          <w:color w:val="000000" w:themeColor="text1"/>
        </w:rPr>
      </w:pPr>
      <w:r w:rsidRPr="001667DB">
        <w:rPr>
          <w:rFonts w:ascii="Times New Roman" w:hAnsi="Times New Roman" w:cs="Times New Roman"/>
          <w:color w:val="000000" w:themeColor="text1"/>
        </w:rPr>
        <w:t>Rozmieszczenie tacek pomiarowych</w:t>
      </w:r>
      <w:r w:rsidRPr="001667DB">
        <w:rPr>
          <w:rFonts w:ascii="Times New Roman" w:hAnsi="Times New Roman" w:cs="Times New Roman"/>
          <w:b/>
          <w:color w:val="000000" w:themeColor="text1"/>
        </w:rPr>
        <w:t xml:space="preserve"> </w:t>
      </w: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Wymiatanie z tacki pomiarowej spoiwa znajdującego się poza szablonem  </w:t>
      </w:r>
    </w:p>
    <w:p w14:paraId="0696579B" w14:textId="77777777" w:rsidR="00955A27" w:rsidRPr="001667DB" w:rsidRDefault="00955A27" w:rsidP="00955A27">
      <w:pPr>
        <w:spacing w:after="120" w:line="360" w:lineRule="auto"/>
        <w:ind w:left="108"/>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50AB809E" w14:textId="77777777" w:rsidR="00955A27" w:rsidRPr="001667DB" w:rsidRDefault="00955A27" w:rsidP="00955A27">
      <w:pPr>
        <w:spacing w:after="120" w:line="360" w:lineRule="auto"/>
        <w:ind w:left="443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5E7206C9" w14:textId="77777777" w:rsidR="00955A27" w:rsidRPr="001667DB" w:rsidRDefault="00955A27" w:rsidP="00955A27">
      <w:pPr>
        <w:spacing w:after="120" w:line="360" w:lineRule="auto"/>
        <w:ind w:right="115"/>
        <w:jc w:val="right"/>
        <w:rPr>
          <w:rFonts w:ascii="Times New Roman" w:hAnsi="Times New Roman" w:cs="Times New Roman"/>
          <w:color w:val="000000" w:themeColor="text1"/>
        </w:rPr>
      </w:pPr>
      <w:r w:rsidRPr="001667DB">
        <w:rPr>
          <w:rFonts w:ascii="Times New Roman" w:eastAsia="Calibri" w:hAnsi="Times New Roman" w:cs="Times New Roman"/>
          <w:noProof/>
          <w:color w:val="000000" w:themeColor="text1"/>
          <w:lang w:eastAsia="pl-PL"/>
        </w:rPr>
        <w:lastRenderedPageBreak/>
        <mc:AlternateContent>
          <mc:Choice Requires="wpg">
            <w:drawing>
              <wp:inline distT="0" distB="0" distL="0" distR="0" wp14:anchorId="7925CDFA" wp14:editId="3A5BF14C">
                <wp:extent cx="5584190" cy="2187590"/>
                <wp:effectExtent l="0" t="0" r="0" b="0"/>
                <wp:docPr id="28488" name="Group 28488"/>
                <wp:cNvGraphicFramePr/>
                <a:graphic xmlns:a="http://schemas.openxmlformats.org/drawingml/2006/main">
                  <a:graphicData uri="http://schemas.microsoft.com/office/word/2010/wordprocessingGroup">
                    <wpg:wgp>
                      <wpg:cNvGrpSpPr/>
                      <wpg:grpSpPr>
                        <a:xfrm>
                          <a:off x="0" y="0"/>
                          <a:ext cx="5584190" cy="2187590"/>
                          <a:chOff x="0" y="0"/>
                          <a:chExt cx="5584190" cy="2187590"/>
                        </a:xfrm>
                      </wpg:grpSpPr>
                      <wps:wsp>
                        <wps:cNvPr id="5475" name="Rectangle 5475"/>
                        <wps:cNvSpPr/>
                        <wps:spPr>
                          <a:xfrm>
                            <a:off x="2705100" y="2064310"/>
                            <a:ext cx="57536" cy="163963"/>
                          </a:xfrm>
                          <a:prstGeom prst="rect">
                            <a:avLst/>
                          </a:prstGeom>
                          <a:ln>
                            <a:noFill/>
                          </a:ln>
                        </wps:spPr>
                        <wps:txbx>
                          <w:txbxContent>
                            <w:p w14:paraId="3951D260" w14:textId="77777777" w:rsidR="004A6EFA" w:rsidRDefault="004A6EFA">
                              <w:r>
                                <w:rPr>
                                  <w:b/>
                                </w:rPr>
                                <w:t xml:space="preserve"> </w:t>
                              </w:r>
                            </w:p>
                          </w:txbxContent>
                        </wps:txbx>
                        <wps:bodyPr horzOverflow="overflow" vert="horz" lIns="0" tIns="0" rIns="0" bIns="0" rtlCol="0">
                          <a:noAutofit/>
                        </wps:bodyPr>
                      </wps:wsp>
                      <pic:pic xmlns:pic="http://schemas.openxmlformats.org/drawingml/2006/picture">
                        <pic:nvPicPr>
                          <pic:cNvPr id="5503" name="Picture 5503"/>
                          <pic:cNvPicPr/>
                        </pic:nvPicPr>
                        <pic:blipFill>
                          <a:blip r:embed="rId34"/>
                          <a:stretch>
                            <a:fillRect/>
                          </a:stretch>
                        </pic:blipFill>
                        <pic:spPr>
                          <a:xfrm>
                            <a:off x="0" y="0"/>
                            <a:ext cx="2699385" cy="2159508"/>
                          </a:xfrm>
                          <a:prstGeom prst="rect">
                            <a:avLst/>
                          </a:prstGeom>
                        </pic:spPr>
                      </pic:pic>
                      <pic:pic xmlns:pic="http://schemas.openxmlformats.org/drawingml/2006/picture">
                        <pic:nvPicPr>
                          <pic:cNvPr id="5505" name="Picture 5505"/>
                          <pic:cNvPicPr/>
                        </pic:nvPicPr>
                        <pic:blipFill>
                          <a:blip r:embed="rId35"/>
                          <a:stretch>
                            <a:fillRect/>
                          </a:stretch>
                        </pic:blipFill>
                        <pic:spPr>
                          <a:xfrm>
                            <a:off x="2884805" y="0"/>
                            <a:ext cx="2699385" cy="2159508"/>
                          </a:xfrm>
                          <a:prstGeom prst="rect">
                            <a:avLst/>
                          </a:prstGeom>
                        </pic:spPr>
                      </pic:pic>
                    </wpg:wgp>
                  </a:graphicData>
                </a:graphic>
              </wp:inline>
            </w:drawing>
          </mc:Choice>
          <mc:Fallback>
            <w:pict>
              <v:group w14:anchorId="7925CDFA" id="Group 28488" o:spid="_x0000_s1053" style="width:439.7pt;height:172.25pt;mso-position-horizontal-relative:char;mso-position-vertical-relative:line" coordsize="55841,218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">
                <v:rect id="Rectangle 5475" o:spid="_x0000_s1054" style="position:absolute;left:27051;top:20643;width:575;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" filled="f" stroked="f">
                  <v:textbox inset="0,0,0,0">
                    <w:txbxContent>
                      <w:p w14:paraId="3951D260" w14:textId="77777777" w:rsidR="004A6EFA" w:rsidRDefault="004A6EFA">
                        <w:r>
                          <w:rPr>
                            <w:b/>
                          </w:rPr>
                          <w:t xml:space="preserve"> </w:t>
                        </w:r>
                      </w:p>
                    </w:txbxContent>
                  </v:textbox>
                </v:rect>
                <v:shape id="Picture 5503" o:spid="_x0000_s1055" type="#_x0000_t75" style="position:absolute;width:26993;height:21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">
                  <v:imagedata r:id="rId36" o:title=""/>
                </v:shape>
                <v:shape id="Picture 5505" o:spid="_x0000_s1056" type="#_x0000_t75" style="position:absolute;left:28848;width:26993;height:21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">
                  <v:imagedata r:id="rId37" o:title=""/>
                </v:shape>
                <w10:anchorlock/>
              </v:group>
            </w:pict>
          </mc:Fallback>
        </mc:AlternateContent>
      </w:r>
      <w:r w:rsidRPr="001667DB">
        <w:rPr>
          <w:rFonts w:ascii="Times New Roman" w:eastAsia="Times New Roman" w:hAnsi="Times New Roman" w:cs="Times New Roman"/>
          <w:color w:val="000000" w:themeColor="text1"/>
        </w:rPr>
        <w:t xml:space="preserve"> </w:t>
      </w:r>
    </w:p>
    <w:p w14:paraId="577B419B" w14:textId="77777777" w:rsidR="00955A27" w:rsidRPr="001667DB" w:rsidRDefault="00955A27" w:rsidP="00955A27">
      <w:pPr>
        <w:tabs>
          <w:tab w:val="center" w:pos="2184"/>
          <w:tab w:val="center" w:pos="6719"/>
        </w:tabs>
        <w:spacing w:after="120" w:line="360" w:lineRule="auto"/>
        <w:rPr>
          <w:rFonts w:ascii="Times New Roman" w:hAnsi="Times New Roman" w:cs="Times New Roman"/>
          <w:color w:val="000000" w:themeColor="text1"/>
        </w:rPr>
      </w:pPr>
      <w:r w:rsidRPr="001667DB">
        <w:rPr>
          <w:rFonts w:ascii="Times New Roman" w:eastAsia="Calibri" w:hAnsi="Times New Roman" w:cs="Times New Roman"/>
          <w:color w:val="000000" w:themeColor="text1"/>
        </w:rPr>
        <w:tab/>
      </w:r>
      <w:r w:rsidRPr="001667DB">
        <w:rPr>
          <w:rFonts w:ascii="Times New Roman" w:hAnsi="Times New Roman" w:cs="Times New Roman"/>
          <w:color w:val="000000" w:themeColor="text1"/>
        </w:rPr>
        <w:t xml:space="preserve">Tacka pomiarowa ze spoiwem </w:t>
      </w:r>
      <w:r w:rsidRPr="001667DB">
        <w:rPr>
          <w:rFonts w:ascii="Times New Roman" w:hAnsi="Times New Roman" w:cs="Times New Roman"/>
          <w:color w:val="000000" w:themeColor="text1"/>
        </w:rPr>
        <w:tab/>
        <w:t xml:space="preserve">Ważenie tacki pomiarowej ze spoiwem </w:t>
      </w:r>
    </w:p>
    <w:p w14:paraId="2E90C96D" w14:textId="77777777" w:rsidR="00955A27" w:rsidRPr="001667DB" w:rsidRDefault="00955A27" w:rsidP="00955A27">
      <w:pPr>
        <w:spacing w:after="120" w:line="360" w:lineRule="auto"/>
        <w:ind w:left="459"/>
        <w:rPr>
          <w:rFonts w:ascii="Times New Roman" w:hAnsi="Times New Roman" w:cs="Times New Roman"/>
          <w:color w:val="000000" w:themeColor="text1"/>
        </w:rPr>
      </w:pPr>
      <w:r w:rsidRPr="001667DB">
        <w:rPr>
          <w:rFonts w:ascii="Times New Roman" w:hAnsi="Times New Roman" w:cs="Times New Roman"/>
          <w:color w:val="000000" w:themeColor="text1"/>
        </w:rPr>
        <w:t>rozłożonym na powierzchni 0,5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038C2694" w14:textId="77777777" w:rsidR="00955A27" w:rsidRPr="001667DB" w:rsidRDefault="00955A27" w:rsidP="00955A27">
      <w:pPr>
        <w:spacing w:after="120" w:line="360" w:lineRule="auto"/>
        <w:ind w:left="29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2B0B649" w14:textId="77777777" w:rsidR="00955A27" w:rsidRPr="001667DB" w:rsidRDefault="00955A27" w:rsidP="00955A27">
      <w:pPr>
        <w:spacing w:after="120" w:line="360" w:lineRule="auto"/>
        <w:ind w:left="-5"/>
        <w:rPr>
          <w:rFonts w:ascii="Times New Roman" w:hAnsi="Times New Roman" w:cs="Times New Roman"/>
          <w:color w:val="000000" w:themeColor="text1"/>
        </w:rPr>
      </w:pPr>
      <w:r w:rsidRPr="001667DB">
        <w:rPr>
          <w:rFonts w:ascii="Times New Roman" w:hAnsi="Times New Roman" w:cs="Times New Roman"/>
          <w:color w:val="000000" w:themeColor="text1"/>
          <w:u w:val="single" w:color="000000"/>
        </w:rPr>
        <w:t>Uwaga</w:t>
      </w:r>
      <w:r w:rsidRPr="001667DB">
        <w:rPr>
          <w:rFonts w:ascii="Times New Roman" w:hAnsi="Times New Roman" w:cs="Times New Roman"/>
          <w:color w:val="000000" w:themeColor="text1"/>
        </w:rPr>
        <w:t xml:space="preserve"> – przy wykonywaniu pomiaru ilości dozowanego spoiwa bezwzględnie należy stosować środki ochrony osobistej wymienione w karcie charakterystyki substancji chemicznej dotyczącej stosowanego spoiwa. </w:t>
      </w:r>
    </w:p>
    <w:p w14:paraId="404DE30A" w14:textId="77777777" w:rsidR="008336F6" w:rsidRPr="001667DB" w:rsidRDefault="008336F6" w:rsidP="00955A27">
      <w:pPr>
        <w:spacing w:after="120" w:line="360" w:lineRule="auto"/>
        <w:ind w:left="-5"/>
        <w:rPr>
          <w:rFonts w:ascii="Times New Roman" w:hAnsi="Times New Roman" w:cs="Times New Roman"/>
          <w:color w:val="000000" w:themeColor="text1"/>
        </w:rPr>
      </w:pPr>
    </w:p>
    <w:p w14:paraId="070BCC48" w14:textId="77777777" w:rsidR="000C6336" w:rsidRDefault="000C6336">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6AA88ADE" w14:textId="77777777" w:rsidR="00613372" w:rsidRPr="003C0D21" w:rsidRDefault="00613372" w:rsidP="00613372">
      <w:pPr>
        <w:rPr>
          <w:rFonts w:ascii="Times New Roman" w:hAnsi="Times New Roman" w:cs="Times New Roman"/>
          <w:b/>
        </w:rPr>
      </w:pPr>
      <w:r w:rsidRPr="003C0D21">
        <w:rPr>
          <w:rFonts w:ascii="Times New Roman" w:hAnsi="Times New Roman" w:cs="Times New Roman"/>
          <w:b/>
        </w:rPr>
        <w:lastRenderedPageBreak/>
        <w:t>D.04.06.01b</w:t>
      </w:r>
      <w:r w:rsidRPr="003C0D21">
        <w:rPr>
          <w:rFonts w:ascii="Times New Roman" w:hAnsi="Times New Roman" w:cs="Times New Roman"/>
          <w:b/>
        </w:rPr>
        <w:tab/>
        <w:t>PODBUDOWA  Z  BETONU  CEMENTOWEGO</w:t>
      </w:r>
    </w:p>
    <w:p w14:paraId="5EE46700" w14:textId="77777777" w:rsidR="00613372" w:rsidRPr="003C0D21" w:rsidRDefault="00613372" w:rsidP="00613372">
      <w:pPr>
        <w:pStyle w:val="Nagwek1"/>
        <w:rPr>
          <w:sz w:val="22"/>
          <w:szCs w:val="22"/>
        </w:rPr>
      </w:pPr>
      <w:bookmarkStart w:id="411" w:name="_Toc113935587"/>
      <w:r w:rsidRPr="003C0D21">
        <w:rPr>
          <w:sz w:val="22"/>
          <w:szCs w:val="22"/>
        </w:rPr>
        <w:t>1. WSTĘP</w:t>
      </w:r>
      <w:bookmarkEnd w:id="411"/>
    </w:p>
    <w:p w14:paraId="7B504A9B" w14:textId="77777777" w:rsidR="00613372" w:rsidRPr="003C0D21" w:rsidRDefault="00613372" w:rsidP="00613372">
      <w:pPr>
        <w:pStyle w:val="Nagwek2"/>
        <w:rPr>
          <w:sz w:val="22"/>
          <w:szCs w:val="22"/>
        </w:rPr>
      </w:pPr>
      <w:r w:rsidRPr="003C0D21">
        <w:rPr>
          <w:sz w:val="22"/>
          <w:szCs w:val="22"/>
        </w:rPr>
        <w:t>1.1. Przedmiot ST</w:t>
      </w:r>
    </w:p>
    <w:p w14:paraId="524B13D2" w14:textId="77777777" w:rsidR="00613372" w:rsidRPr="00613372" w:rsidRDefault="00613372" w:rsidP="00613372">
      <w:pPr>
        <w:rPr>
          <w:rFonts w:ascii="Times New Roman" w:hAnsi="Times New Roman" w:cs="Times New Roman"/>
        </w:rPr>
      </w:pPr>
      <w:r w:rsidRPr="003C0D21">
        <w:rPr>
          <w:rFonts w:ascii="Times New Roman" w:hAnsi="Times New Roman" w:cs="Times New Roman"/>
        </w:rPr>
        <w:tab/>
        <w:t xml:space="preserve">Przedmiotem niniejszej specyfikacji technicznej ST są wymagania dotyczące wykonania i odbioru robót związanych z wykonaniem podbudowy z betonu cementowego w ramach realizacji zadania: </w:t>
      </w:r>
      <w:r w:rsidRPr="00613372">
        <w:rPr>
          <w:rFonts w:ascii="Times New Roman" w:hAnsi="Times New Roman" w:cs="Times New Roman"/>
        </w:rPr>
        <w:t>„Rozbudowa drogi wojewódzkiej nr 461 w m. Dąbrówka Łubniańska i Łubniany” – Etap I ( km od 9+741,88 do 10+371,13)</w:t>
      </w:r>
    </w:p>
    <w:p w14:paraId="25442E5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r>
      <w:r w:rsidRPr="003C0D21">
        <w:rPr>
          <w:rFonts w:ascii="Times New Roman" w:hAnsi="Times New Roman" w:cs="Times New Roman"/>
        </w:rPr>
        <w:tab/>
        <w:t>Specyfikacje Techniczne stanowią część Dokumentów Przetargowych i Kontraktowych i należy je stosowa</w:t>
      </w:r>
      <w:r w:rsidRPr="003C0D21">
        <w:rPr>
          <w:rFonts w:ascii="Times New Roman" w:hAnsi="Times New Roman" w:cs="Times New Roman"/>
        </w:rPr>
        <w:sym w:font="Times New Roman" w:char="0107"/>
      </w:r>
      <w:r w:rsidRPr="003C0D21">
        <w:rPr>
          <w:rFonts w:ascii="Times New Roman" w:hAnsi="Times New Roman" w:cs="Times New Roman"/>
        </w:rPr>
        <w:t xml:space="preserve"> w zlecaniu i wykonaniu robót opisanych w podpunkcie 1.1.</w:t>
      </w:r>
    </w:p>
    <w:p w14:paraId="43B28B48" w14:textId="77777777" w:rsidR="00613372" w:rsidRPr="003C0D21" w:rsidRDefault="00613372" w:rsidP="00613372">
      <w:pPr>
        <w:pStyle w:val="Nagwek2"/>
        <w:rPr>
          <w:sz w:val="22"/>
          <w:szCs w:val="22"/>
        </w:rPr>
      </w:pPr>
      <w:r w:rsidRPr="003C0D21">
        <w:rPr>
          <w:sz w:val="22"/>
          <w:szCs w:val="22"/>
        </w:rPr>
        <w:t>1.3. Zakres robót objętych ST</w:t>
      </w:r>
    </w:p>
    <w:p w14:paraId="3396348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Ustalenia zawarte w niniejszej specyfikacji dotyczą zasad prowadzenia robót związanych z wykonaniem i odbiorem podbudowy z betonu cementowego pod nawierzchnię ulepszoną dróg i ulic o ruchu ciężkim.</w:t>
      </w:r>
    </w:p>
    <w:p w14:paraId="246A040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Zakres robót obejmuje:</w:t>
      </w:r>
    </w:p>
    <w:p w14:paraId="122A1482" w14:textId="77777777" w:rsidR="00613372" w:rsidRPr="003C0D21" w:rsidRDefault="00613372" w:rsidP="00904E6C">
      <w:pPr>
        <w:numPr>
          <w:ilvl w:val="1"/>
          <w:numId w:val="88"/>
        </w:numPr>
        <w:tabs>
          <w:tab w:val="clear" w:pos="2367"/>
          <w:tab w:val="left" w:pos="851"/>
          <w:tab w:val="num" w:pos="1100"/>
          <w:tab w:val="left" w:pos="1134"/>
          <w:tab w:val="left" w:pos="1701"/>
        </w:tabs>
        <w:spacing w:after="0" w:line="240" w:lineRule="auto"/>
        <w:ind w:left="1100" w:hanging="200"/>
        <w:jc w:val="both"/>
        <w:rPr>
          <w:rFonts w:ascii="Times New Roman" w:hAnsi="Times New Roman" w:cs="Times New Roman"/>
        </w:rPr>
      </w:pPr>
      <w:r w:rsidRPr="003C0D21">
        <w:rPr>
          <w:rFonts w:ascii="Times New Roman" w:hAnsi="Times New Roman" w:cs="Times New Roman"/>
        </w:rPr>
        <w:t>Podbudowa z betonu cementowego</w:t>
      </w:r>
      <w:r w:rsidRPr="00613372">
        <w:rPr>
          <w:rFonts w:ascii="Times New Roman" w:hAnsi="Times New Roman" w:cs="Times New Roman"/>
        </w:rPr>
        <w:t xml:space="preserve"> C16/20 </w:t>
      </w:r>
      <w:r w:rsidRPr="003C0D21">
        <w:rPr>
          <w:rFonts w:ascii="Times New Roman" w:hAnsi="Times New Roman" w:cs="Times New Roman"/>
        </w:rPr>
        <w:t xml:space="preserve"> grubości 0,20m–,zatoka autobusowa </w:t>
      </w:r>
    </w:p>
    <w:p w14:paraId="73617206" w14:textId="77777777" w:rsidR="00613372" w:rsidRPr="003C0D21" w:rsidRDefault="00613372" w:rsidP="00613372">
      <w:pPr>
        <w:tabs>
          <w:tab w:val="left" w:pos="851"/>
          <w:tab w:val="left" w:pos="1134"/>
          <w:tab w:val="left" w:pos="1701"/>
        </w:tabs>
        <w:ind w:left="1100"/>
        <w:rPr>
          <w:rFonts w:ascii="Times New Roman" w:hAnsi="Times New Roman" w:cs="Times New Roman"/>
        </w:rPr>
      </w:pPr>
      <w:r w:rsidRPr="003C0D21">
        <w:rPr>
          <w:rFonts w:ascii="Times New Roman" w:hAnsi="Times New Roman" w:cs="Times New Roman"/>
        </w:rPr>
        <w:t>zgodnie z Dokumentacją Projektową.</w:t>
      </w:r>
    </w:p>
    <w:p w14:paraId="7C605639" w14:textId="77777777" w:rsidR="00613372" w:rsidRPr="003C0D21" w:rsidRDefault="00613372" w:rsidP="00613372">
      <w:pPr>
        <w:pStyle w:val="Nagwek2"/>
        <w:rPr>
          <w:sz w:val="22"/>
          <w:szCs w:val="22"/>
        </w:rPr>
      </w:pPr>
      <w:r w:rsidRPr="003C0D21">
        <w:rPr>
          <w:sz w:val="22"/>
          <w:szCs w:val="22"/>
        </w:rPr>
        <w:t>1.4. Określenia podstawowe</w:t>
      </w:r>
    </w:p>
    <w:p w14:paraId="16D8C744"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1.4.1.</w:t>
      </w:r>
      <w:r w:rsidRPr="003C0D21">
        <w:rPr>
          <w:rFonts w:ascii="Times New Roman" w:hAnsi="Times New Roman" w:cs="Times New Roman"/>
        </w:rPr>
        <w:tab/>
        <w:t>Podbudowa - dolna część nawierzchni służąca do przenoszenia obciążeń od ruchu na podłoże.</w:t>
      </w:r>
    </w:p>
    <w:p w14:paraId="1561273D"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1.4.2.</w:t>
      </w:r>
      <w:r w:rsidRPr="003C0D21">
        <w:rPr>
          <w:rFonts w:ascii="Times New Roman" w:hAnsi="Times New Roman" w:cs="Times New Roman"/>
          <w:b/>
        </w:rPr>
        <w:tab/>
      </w:r>
      <w:r w:rsidRPr="003C0D21">
        <w:rPr>
          <w:rFonts w:ascii="Times New Roman" w:hAnsi="Times New Roman" w:cs="Times New Roman"/>
        </w:rPr>
        <w:t>Podbudowa z betonu cementowego - warstwa zagęszczonej mieszanki betonowej, która po osiągnięciu wytrzymałości na ściskanie odpowiadającej klasie betonu C20/25, stanowi fragment nośnej części nawierzchni, służący do przenoszenia obciążeń od ruchu na podłoże.</w:t>
      </w:r>
    </w:p>
    <w:p w14:paraId="4B2B1717"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1.4.3.</w:t>
      </w:r>
      <w:r w:rsidRPr="003C0D21">
        <w:rPr>
          <w:rFonts w:ascii="Times New Roman" w:hAnsi="Times New Roman" w:cs="Times New Roman"/>
        </w:rPr>
        <w:tab/>
        <w:t xml:space="preserve">Klasa betonu - symbol literowo-liczbowy </w:t>
      </w:r>
    </w:p>
    <w:p w14:paraId="4F21B595"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1.4.4.</w:t>
      </w:r>
      <w:r w:rsidRPr="003C0D21">
        <w:rPr>
          <w:rFonts w:ascii="Times New Roman" w:hAnsi="Times New Roman" w:cs="Times New Roman"/>
        </w:rPr>
        <w:tab/>
        <w:t xml:space="preserve"> Mieszanka betonowa - mieszanina wszystkich składników użytych do wykonania betonu przed zagęszczeniem.</w:t>
      </w:r>
    </w:p>
    <w:p w14:paraId="5B3FE201" w14:textId="77777777" w:rsidR="00613372" w:rsidRPr="003C0D21" w:rsidRDefault="00613372" w:rsidP="00613372">
      <w:pPr>
        <w:tabs>
          <w:tab w:val="left" w:pos="567"/>
          <w:tab w:val="left" w:pos="883"/>
        </w:tabs>
        <w:spacing w:before="120"/>
        <w:rPr>
          <w:rFonts w:ascii="Times New Roman" w:hAnsi="Times New Roman" w:cs="Times New Roman"/>
        </w:rPr>
      </w:pPr>
      <w:r w:rsidRPr="003C0D21">
        <w:rPr>
          <w:rFonts w:ascii="Times New Roman" w:hAnsi="Times New Roman" w:cs="Times New Roman"/>
          <w:b/>
        </w:rPr>
        <w:t>1.4.5.</w:t>
      </w:r>
      <w:r w:rsidRPr="003C0D21">
        <w:rPr>
          <w:rFonts w:ascii="Times New Roman" w:hAnsi="Times New Roman" w:cs="Times New Roman"/>
        </w:rPr>
        <w:tab/>
        <w:t>Szczelina skurczowa pełna - szczelina dzieląca płyty betonowe na całej grubości i umożliwiająca tylko kurczenie się płyt.</w:t>
      </w:r>
    </w:p>
    <w:p w14:paraId="3CCE2824" w14:textId="77777777" w:rsidR="00613372" w:rsidRPr="003C0D21" w:rsidRDefault="00613372" w:rsidP="00613372">
      <w:pPr>
        <w:tabs>
          <w:tab w:val="left" w:pos="567"/>
          <w:tab w:val="left" w:pos="883"/>
        </w:tabs>
        <w:spacing w:before="120"/>
        <w:rPr>
          <w:rFonts w:ascii="Times New Roman" w:hAnsi="Times New Roman" w:cs="Times New Roman"/>
        </w:rPr>
      </w:pPr>
      <w:r w:rsidRPr="003C0D21">
        <w:rPr>
          <w:rFonts w:ascii="Times New Roman" w:hAnsi="Times New Roman" w:cs="Times New Roman"/>
          <w:b/>
        </w:rPr>
        <w:t>1.4.6.</w:t>
      </w:r>
      <w:r w:rsidRPr="003C0D21">
        <w:rPr>
          <w:rFonts w:ascii="Times New Roman" w:hAnsi="Times New Roman" w:cs="Times New Roman"/>
        </w:rPr>
        <w:tab/>
        <w:t>Szczelina skurczowa pozorna - szczelina dzieląca płyty betonowe w części górnej przekroju poprzecznego.</w:t>
      </w:r>
    </w:p>
    <w:p w14:paraId="4BE6B682"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1.4.7.</w:t>
      </w:r>
      <w:r w:rsidRPr="003C0D21">
        <w:rPr>
          <w:rFonts w:ascii="Times New Roman" w:hAnsi="Times New Roman" w:cs="Times New Roman"/>
        </w:rPr>
        <w:tab/>
        <w:t xml:space="preserve"> Masa zalewowa na gorąco - mieszanina składająca się z asfaltu drogowego, modyfikowanego dodatkiem kauczuku lub żywic syntetycznych, wypełniaczy i innych dodatków uszlachetniających, przeznaczona do wypełniania szczelin nawierzchni na gorąco.</w:t>
      </w:r>
    </w:p>
    <w:p w14:paraId="6CF4735D"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1.4.8.</w:t>
      </w:r>
      <w:r w:rsidRPr="003C0D21">
        <w:rPr>
          <w:rFonts w:ascii="Times New Roman" w:hAnsi="Times New Roman" w:cs="Times New Roman"/>
          <w:b/>
        </w:rPr>
        <w:tab/>
      </w:r>
      <w:r w:rsidRPr="003C0D21">
        <w:rPr>
          <w:rFonts w:ascii="Times New Roman" w:hAnsi="Times New Roman" w:cs="Times New Roman"/>
        </w:rPr>
        <w:t>Masa zalewowa na zimno - mieszanina żywic syntetycznych jedno- lub dwuskładnikowych, zawierająca konieczne dodatki uszlachetniające i wypełniające, przeznaczona do wypełniania szczelin na zimno.</w:t>
      </w:r>
    </w:p>
    <w:p w14:paraId="78FAA454" w14:textId="77777777" w:rsidR="00613372" w:rsidRPr="003C0D21" w:rsidRDefault="00613372" w:rsidP="00904E6C">
      <w:pPr>
        <w:numPr>
          <w:ilvl w:val="0"/>
          <w:numId w:val="368"/>
        </w:numPr>
        <w:tabs>
          <w:tab w:val="left" w:pos="567"/>
        </w:tabs>
        <w:overflowPunct w:val="0"/>
        <w:autoSpaceDE w:val="0"/>
        <w:autoSpaceDN w:val="0"/>
        <w:adjustRightInd w:val="0"/>
        <w:spacing w:before="120" w:after="0" w:line="240" w:lineRule="auto"/>
        <w:ind w:left="0" w:firstLine="0"/>
        <w:jc w:val="both"/>
        <w:textAlignment w:val="baseline"/>
        <w:rPr>
          <w:rFonts w:ascii="Times New Roman" w:hAnsi="Times New Roman" w:cs="Times New Roman"/>
        </w:rPr>
      </w:pPr>
      <w:r w:rsidRPr="003C0D21">
        <w:rPr>
          <w:rFonts w:ascii="Times New Roman" w:hAnsi="Times New Roman" w:cs="Times New Roman"/>
        </w:rPr>
        <w:t>Wkładki uszczelniające do szczelin - elastyczne profile zamknięte lub otwarte, zwykle wykonane z tworzywa sztucznego, wciskane w szczelinę w celu jej uszczelnienia.</w:t>
      </w:r>
    </w:p>
    <w:p w14:paraId="427F19EF" w14:textId="77777777" w:rsidR="00613372" w:rsidRPr="003C0D21" w:rsidRDefault="00613372" w:rsidP="00904E6C">
      <w:pPr>
        <w:numPr>
          <w:ilvl w:val="0"/>
          <w:numId w:val="369"/>
        </w:numPr>
        <w:tabs>
          <w:tab w:val="left" w:pos="567"/>
        </w:tabs>
        <w:overflowPunct w:val="0"/>
        <w:autoSpaceDE w:val="0"/>
        <w:autoSpaceDN w:val="0"/>
        <w:adjustRightInd w:val="0"/>
        <w:spacing w:before="120" w:after="0" w:line="240" w:lineRule="auto"/>
        <w:ind w:left="0" w:firstLine="0"/>
        <w:jc w:val="both"/>
        <w:textAlignment w:val="baseline"/>
        <w:rPr>
          <w:rFonts w:ascii="Times New Roman" w:hAnsi="Times New Roman" w:cs="Times New Roman"/>
        </w:rPr>
      </w:pPr>
      <w:r w:rsidRPr="003C0D21">
        <w:rPr>
          <w:rFonts w:ascii="Times New Roman" w:hAnsi="Times New Roman" w:cs="Times New Roman"/>
        </w:rPr>
        <w:lastRenderedPageBreak/>
        <w:t>Wskaźnik różnoziarnistości - wielkość charakteryzująca grunty niespoiste, określona wg wzoru U = d</w:t>
      </w:r>
      <w:r w:rsidRPr="003C0D21">
        <w:rPr>
          <w:rFonts w:ascii="Times New Roman" w:hAnsi="Times New Roman" w:cs="Times New Roman"/>
          <w:vertAlign w:val="subscript"/>
        </w:rPr>
        <w:t>60</w:t>
      </w:r>
      <w:r w:rsidRPr="003C0D21">
        <w:rPr>
          <w:rFonts w:ascii="Times New Roman" w:hAnsi="Times New Roman" w:cs="Times New Roman"/>
        </w:rPr>
        <w:t xml:space="preserve"> : d</w:t>
      </w:r>
      <w:r w:rsidRPr="003C0D21">
        <w:rPr>
          <w:rFonts w:ascii="Times New Roman" w:hAnsi="Times New Roman" w:cs="Times New Roman"/>
          <w:vertAlign w:val="subscript"/>
        </w:rPr>
        <w:t>10</w:t>
      </w:r>
      <w:r w:rsidRPr="003C0D21">
        <w:rPr>
          <w:rFonts w:ascii="Times New Roman" w:hAnsi="Times New Roman" w:cs="Times New Roman"/>
        </w:rPr>
        <w:t>, gdzie d</w:t>
      </w:r>
      <w:r w:rsidRPr="003C0D21">
        <w:rPr>
          <w:rFonts w:ascii="Times New Roman" w:hAnsi="Times New Roman" w:cs="Times New Roman"/>
          <w:vertAlign w:val="subscript"/>
        </w:rPr>
        <w:t>60</w:t>
      </w:r>
      <w:r w:rsidRPr="003C0D21">
        <w:rPr>
          <w:rFonts w:ascii="Times New Roman" w:hAnsi="Times New Roman" w:cs="Times New Roman"/>
        </w:rPr>
        <w:t xml:space="preserve"> - średnica oczek sita, przez które przechodzi 60% gruntu, d</w:t>
      </w:r>
      <w:r w:rsidRPr="003C0D21">
        <w:rPr>
          <w:rFonts w:ascii="Times New Roman" w:hAnsi="Times New Roman" w:cs="Times New Roman"/>
          <w:vertAlign w:val="subscript"/>
        </w:rPr>
        <w:t>10</w:t>
      </w:r>
      <w:r w:rsidRPr="003C0D21">
        <w:rPr>
          <w:rFonts w:ascii="Times New Roman" w:hAnsi="Times New Roman" w:cs="Times New Roman"/>
        </w:rPr>
        <w:t xml:space="preserve"> - średnica oczek sita, przez które przechodzi 10% gruntu.</w:t>
      </w:r>
    </w:p>
    <w:p w14:paraId="2112C390"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b/>
        </w:rPr>
        <w:t>1.4.11.</w:t>
      </w:r>
      <w:r w:rsidRPr="003C0D21">
        <w:rPr>
          <w:rFonts w:ascii="Times New Roman" w:hAnsi="Times New Roman" w:cs="Times New Roman"/>
          <w:b/>
        </w:rPr>
        <w:tab/>
      </w:r>
      <w:r w:rsidRPr="003C0D21">
        <w:rPr>
          <w:rFonts w:ascii="Times New Roman" w:hAnsi="Times New Roman" w:cs="Times New Roman"/>
        </w:rPr>
        <w:t>Pozostałe określenia podstawowe są zgodne z obowiązującymi, odpowiednimi polskimi normami i z definicjami podanymi w ST   D-M-00.00.00 „Wymagania ogólne” [1] pkt 1.4.</w:t>
      </w:r>
    </w:p>
    <w:p w14:paraId="67E527B4" w14:textId="77777777" w:rsidR="00613372" w:rsidRPr="003C0D21" w:rsidRDefault="00613372" w:rsidP="00613372">
      <w:pPr>
        <w:pStyle w:val="Nagwek2"/>
        <w:rPr>
          <w:sz w:val="22"/>
          <w:szCs w:val="22"/>
        </w:rPr>
      </w:pPr>
      <w:r w:rsidRPr="003C0D21">
        <w:rPr>
          <w:sz w:val="22"/>
          <w:szCs w:val="22"/>
        </w:rPr>
        <w:t>1.5. Ogólne wymagania dotyczące robót</w:t>
      </w:r>
    </w:p>
    <w:p w14:paraId="5D310DA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Ogólne wymagania dotyczące robót podano w ST   D-M-00.00.00 „Wymagania ogólne” [1] pkt 1.5.</w:t>
      </w:r>
    </w:p>
    <w:p w14:paraId="3DE61477" w14:textId="77777777" w:rsidR="00613372" w:rsidRPr="003C0D21" w:rsidRDefault="00613372" w:rsidP="00613372">
      <w:pPr>
        <w:pStyle w:val="Nagwek1"/>
        <w:rPr>
          <w:sz w:val="22"/>
          <w:szCs w:val="22"/>
        </w:rPr>
      </w:pPr>
      <w:bookmarkStart w:id="412" w:name="_Toc485450211"/>
      <w:bookmarkStart w:id="413" w:name="_Toc485608031"/>
      <w:bookmarkStart w:id="414" w:name="_Toc504453010"/>
      <w:bookmarkStart w:id="415" w:name="_Toc113935588"/>
      <w:r w:rsidRPr="003C0D21">
        <w:rPr>
          <w:sz w:val="22"/>
          <w:szCs w:val="22"/>
        </w:rPr>
        <w:t>2. materiały</w:t>
      </w:r>
      <w:bookmarkEnd w:id="412"/>
      <w:bookmarkEnd w:id="413"/>
      <w:bookmarkEnd w:id="414"/>
      <w:bookmarkEnd w:id="415"/>
    </w:p>
    <w:p w14:paraId="3EABEDAD" w14:textId="77777777" w:rsidR="00613372" w:rsidRPr="003C0D21" w:rsidRDefault="00613372" w:rsidP="00613372">
      <w:pPr>
        <w:pStyle w:val="Nagwek2"/>
        <w:rPr>
          <w:sz w:val="22"/>
          <w:szCs w:val="22"/>
        </w:rPr>
      </w:pPr>
      <w:r w:rsidRPr="003C0D21">
        <w:rPr>
          <w:sz w:val="22"/>
          <w:szCs w:val="22"/>
        </w:rPr>
        <w:t>2.1. Ogólne wymagania dotyczące materiałów</w:t>
      </w:r>
    </w:p>
    <w:p w14:paraId="64C9D485" w14:textId="77777777" w:rsidR="00613372" w:rsidRPr="003C0D21" w:rsidRDefault="00613372" w:rsidP="00613372">
      <w:pPr>
        <w:tabs>
          <w:tab w:val="left" w:pos="567"/>
        </w:tabs>
        <w:spacing w:before="120"/>
        <w:rPr>
          <w:rFonts w:ascii="Times New Roman" w:hAnsi="Times New Roman" w:cs="Times New Roman"/>
        </w:rPr>
      </w:pPr>
      <w:r w:rsidRPr="003C0D21">
        <w:rPr>
          <w:rFonts w:ascii="Times New Roman" w:hAnsi="Times New Roman" w:cs="Times New Roman"/>
        </w:rPr>
        <w:tab/>
        <w:t>Ogólne wymagania dotyczące materiałów, ich pozyskiwania i składowania, podano w ST D-M-00.00.00 „Wymagania ogólne” [1] pkt 2.</w:t>
      </w:r>
    </w:p>
    <w:p w14:paraId="2DEAE7E1" w14:textId="77777777" w:rsidR="00613372" w:rsidRPr="003C0D21" w:rsidRDefault="00613372" w:rsidP="00613372">
      <w:pPr>
        <w:pStyle w:val="Nagwek2"/>
        <w:rPr>
          <w:sz w:val="22"/>
          <w:szCs w:val="22"/>
        </w:rPr>
      </w:pPr>
      <w:r w:rsidRPr="003C0D21">
        <w:rPr>
          <w:sz w:val="22"/>
          <w:szCs w:val="22"/>
        </w:rPr>
        <w:t>2.2. Materiały do wykonania robót</w:t>
      </w:r>
    </w:p>
    <w:p w14:paraId="27CE7C5B" w14:textId="77777777" w:rsidR="00613372" w:rsidRPr="003C0D21" w:rsidRDefault="00613372" w:rsidP="00904E6C">
      <w:pPr>
        <w:numPr>
          <w:ilvl w:val="0"/>
          <w:numId w:val="370"/>
        </w:numPr>
        <w:overflowPunct w:val="0"/>
        <w:autoSpaceDE w:val="0"/>
        <w:autoSpaceDN w:val="0"/>
        <w:adjustRightInd w:val="0"/>
        <w:spacing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Zgodność materiałów z dokumentacją projektową i aprobatą techniczną</w:t>
      </w:r>
    </w:p>
    <w:p w14:paraId="37856BD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Materiały do wykonania podbudowy z betonu cementowego powinny być zgodne z ustaleniami dokumentacji projektowej lub SST oraz z aprobatą techniczną IBDiM.</w:t>
      </w:r>
    </w:p>
    <w:p w14:paraId="14866368" w14:textId="77777777" w:rsidR="00613372" w:rsidRPr="003C0D21" w:rsidRDefault="00613372" w:rsidP="00904E6C">
      <w:pPr>
        <w:numPr>
          <w:ilvl w:val="0"/>
          <w:numId w:val="371"/>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Cement</w:t>
      </w:r>
    </w:p>
    <w:p w14:paraId="02A059E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produkcji mieszanki betonowej należy stosować cementy odpowiadające wymaganiom PN-EN 197-1:2002 [8] klasy 32,5: cement portlandzki CEM I, mieszany CEM II, hutniczy CEM III lub inne zaakceptowane przez Inżyniera.</w:t>
      </w:r>
    </w:p>
    <w:p w14:paraId="5CA5096B" w14:textId="77777777" w:rsidR="00613372" w:rsidRPr="003C0D21" w:rsidRDefault="00613372" w:rsidP="00904E6C">
      <w:pPr>
        <w:numPr>
          <w:ilvl w:val="0"/>
          <w:numId w:val="372"/>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Kruszywo</w:t>
      </w:r>
    </w:p>
    <w:p w14:paraId="4267314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wytwarzania mieszanki betonowej należy stosować kruszywo mineralne naturalne, grys z otoczaków lub surowca skalnego, kruszywo z żużla wielkopiecowego kawałkowego oraz mieszanki tych kruszyw.</w:t>
      </w:r>
    </w:p>
    <w:p w14:paraId="0BDB493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Uziarnienie kruszywa wchodzącego w skład mieszanki betonowej powinno być tak dobrane, aby mieszanka ta wykazywała maksymalną szczelność i urabialność przy minimalnym zużyciu cementu i wody.</w:t>
      </w:r>
    </w:p>
    <w:p w14:paraId="7695831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Właściwości kruszywa oraz ich cechy fizyczne i chemiczne powinny odpowiadać wymaganiom określonym w PN-EN-126200+A1:2010 [10].</w:t>
      </w:r>
    </w:p>
    <w:p w14:paraId="60D2488A" w14:textId="77777777" w:rsidR="00613372" w:rsidRPr="003C0D21" w:rsidRDefault="00613372" w:rsidP="00904E6C">
      <w:pPr>
        <w:numPr>
          <w:ilvl w:val="0"/>
          <w:numId w:val="373"/>
        </w:numPr>
        <w:overflowPunct w:val="0"/>
        <w:autoSpaceDE w:val="0"/>
        <w:autoSpaceDN w:val="0"/>
        <w:adjustRightInd w:val="0"/>
        <w:spacing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Woda</w:t>
      </w:r>
    </w:p>
    <w:p w14:paraId="7E35D1D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wytwarzania mieszanki betonowej i pielęgnacji podbudowy należy używać wody określonej w PN-S-96014:1997 [10].</w:t>
      </w:r>
    </w:p>
    <w:p w14:paraId="71BFFAA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Bez badań laboratoryjnych można stosować wodociągową wodę pitną.</w:t>
      </w:r>
    </w:p>
    <w:p w14:paraId="6D00831B" w14:textId="77777777" w:rsidR="00613372" w:rsidRPr="003C0D21" w:rsidRDefault="00613372" w:rsidP="00904E6C">
      <w:pPr>
        <w:numPr>
          <w:ilvl w:val="0"/>
          <w:numId w:val="374"/>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Domieszki do betonu</w:t>
      </w:r>
    </w:p>
    <w:p w14:paraId="47B28EE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 celu zmiany warunków wiązania i twardnienia, poprawy właściwości betonu i mieszanki betonowej oraz ograniczenia zawartości cementu mogą być stosowane domieszki według PN-EN 934-2:1999 [9].</w:t>
      </w:r>
    </w:p>
    <w:p w14:paraId="28221E7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lastRenderedPageBreak/>
        <w:tab/>
        <w:t>Przy wyborze domieszki należy uwzględnić jej zgodność z cementem. Zaleca się wykonać badanie zgodności w laboratorium oraz sprawdzić na odcinku próbnym.</w:t>
      </w:r>
    </w:p>
    <w:p w14:paraId="3FF8C667" w14:textId="77777777" w:rsidR="00613372" w:rsidRPr="003C0D21" w:rsidRDefault="00613372" w:rsidP="00613372">
      <w:pPr>
        <w:spacing w:before="120" w:after="120"/>
        <w:rPr>
          <w:rFonts w:ascii="Times New Roman" w:hAnsi="Times New Roman" w:cs="Times New Roman"/>
        </w:rPr>
      </w:pPr>
      <w:r w:rsidRPr="003C0D21">
        <w:rPr>
          <w:rFonts w:ascii="Times New Roman" w:hAnsi="Times New Roman" w:cs="Times New Roman"/>
          <w:b/>
        </w:rPr>
        <w:t xml:space="preserve">2.2.6. </w:t>
      </w:r>
      <w:r w:rsidRPr="003C0D21">
        <w:rPr>
          <w:rFonts w:ascii="Times New Roman" w:hAnsi="Times New Roman" w:cs="Times New Roman"/>
        </w:rPr>
        <w:t>Zalewa drogowa lub wkładki uszczelniające w szczelinach</w:t>
      </w:r>
    </w:p>
    <w:p w14:paraId="45E0363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wypełnienia szczelin w podbudowie betonowej należy stosować specjalne masy zalewowe, wbudowywane na gorąco lub na zimno, względnie wkładki uszczelniające, posiadające aprobatę techniczną IBDiM.</w:t>
      </w:r>
    </w:p>
    <w:p w14:paraId="458C7275" w14:textId="77777777" w:rsidR="00613372" w:rsidRPr="003C0D21" w:rsidRDefault="00613372" w:rsidP="00904E6C">
      <w:pPr>
        <w:numPr>
          <w:ilvl w:val="0"/>
          <w:numId w:val="375"/>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Stal zbrojeniowa</w:t>
      </w:r>
    </w:p>
    <w:p w14:paraId="380FDF3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 przypadku przewidywania zbrojenia płyt betonowych, stal zbrojeniowa powinna odpowiadać wymaganiom określonym w PN-S-96014:1997 [10].</w:t>
      </w:r>
    </w:p>
    <w:p w14:paraId="53F37D0D" w14:textId="77777777" w:rsidR="00613372" w:rsidRPr="003C0D21" w:rsidRDefault="00613372" w:rsidP="00904E6C">
      <w:pPr>
        <w:numPr>
          <w:ilvl w:val="0"/>
          <w:numId w:val="376"/>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Materiały do pielęgnacji podbudowy</w:t>
      </w:r>
    </w:p>
    <w:p w14:paraId="3F11326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pielęgnacji świeżo ułożonej podbudowy z betonu cementowego należy stosować:</w:t>
      </w:r>
    </w:p>
    <w:p w14:paraId="11C7EC6B"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preparaty powłokowe,</w:t>
      </w:r>
    </w:p>
    <w:p w14:paraId="3DC58B87"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folie z tworzyw sztucznych.</w:t>
      </w:r>
    </w:p>
    <w:p w14:paraId="5E869EE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Dopuszcza się pielęgnację warstwą piasku naturalnego, bez zanieczyszczeń organicznych lub warstwą włókniny o grubości, przy obciążeniu 2 kPa, co najmniej </w:t>
      </w:r>
      <w:smartTag w:uri="urn:schemas-microsoft-com:office:smarttags" w:element="metricconverter">
        <w:smartTagPr>
          <w:attr w:name="ProductID" w:val="5 mm"/>
        </w:smartTagPr>
        <w:r w:rsidRPr="003C0D21">
          <w:rPr>
            <w:rFonts w:ascii="Times New Roman" w:hAnsi="Times New Roman" w:cs="Times New Roman"/>
          </w:rPr>
          <w:t>5 mm</w:t>
        </w:r>
      </w:smartTag>
      <w:r w:rsidRPr="003C0D21">
        <w:rPr>
          <w:rFonts w:ascii="Times New Roman" w:hAnsi="Times New Roman" w:cs="Times New Roman"/>
        </w:rPr>
        <w:t>, utrzymywanej w stanie wilgotnym przez zraszanie wodą.</w:t>
      </w:r>
    </w:p>
    <w:p w14:paraId="6D8AA3C3" w14:textId="77777777" w:rsidR="00613372" w:rsidRPr="003C0D21" w:rsidRDefault="00613372" w:rsidP="00904E6C">
      <w:pPr>
        <w:numPr>
          <w:ilvl w:val="0"/>
          <w:numId w:val="377"/>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Beton</w:t>
      </w:r>
    </w:p>
    <w:p w14:paraId="7AB9513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Zawartość cementu w </w:t>
      </w:r>
      <w:smartTag w:uri="urn:schemas-microsoft-com:office:smarttags" w:element="metricconverter">
        <w:smartTagPr>
          <w:attr w:name="ProductID" w:val="1 m3"/>
        </w:smartTagPr>
        <w:r w:rsidRPr="003C0D21">
          <w:rPr>
            <w:rFonts w:ascii="Times New Roman" w:hAnsi="Times New Roman" w:cs="Times New Roman"/>
          </w:rPr>
          <w:t>1 m</w:t>
        </w:r>
        <w:r w:rsidRPr="003C0D21">
          <w:rPr>
            <w:rFonts w:ascii="Times New Roman" w:hAnsi="Times New Roman" w:cs="Times New Roman"/>
            <w:vertAlign w:val="superscript"/>
          </w:rPr>
          <w:t>3</w:t>
        </w:r>
      </w:smartTag>
      <w:r w:rsidRPr="003C0D21">
        <w:rPr>
          <w:rFonts w:ascii="Times New Roman" w:hAnsi="Times New Roman" w:cs="Times New Roman"/>
        </w:rPr>
        <w:t xml:space="preserve"> zagęszczonej  mieszanki betonowej nie powinna przekraczać </w:t>
      </w:r>
      <w:smartTag w:uri="urn:schemas-microsoft-com:office:smarttags" w:element="metricconverter">
        <w:smartTagPr>
          <w:attr w:name="ProductID" w:val="250 kg"/>
        </w:smartTagPr>
        <w:r w:rsidRPr="003C0D21">
          <w:rPr>
            <w:rFonts w:ascii="Times New Roman" w:hAnsi="Times New Roman" w:cs="Times New Roman"/>
          </w:rPr>
          <w:t>250 kg</w:t>
        </w:r>
      </w:smartTag>
      <w:r w:rsidRPr="003C0D21">
        <w:rPr>
          <w:rFonts w:ascii="Times New Roman" w:hAnsi="Times New Roman" w:cs="Times New Roman"/>
        </w:rPr>
        <w:t>.</w:t>
      </w:r>
    </w:p>
    <w:p w14:paraId="326EBCD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Konsystencja mieszanki betonowej powinna być co najmniej gęstoplastyczna.</w:t>
      </w:r>
    </w:p>
    <w:p w14:paraId="5D4EA38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W podbudowie należy stosować beton o wytrzymałości odpowiadającej klasie C20/25. </w:t>
      </w:r>
    </w:p>
    <w:p w14:paraId="2CE4205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Nasiąkliwość betonu nie powinna przekraczać 7% (m/m).</w:t>
      </w:r>
    </w:p>
    <w:p w14:paraId="46B9D9E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Średnia wytrzymałość na ściskanie próbek zamrażanych, badanych zgodnie z PN-S-96014:1997 [10], nie powinna być mniejsza niż 80% wartości średniej wytrzymałości próbek niezamrażanych.</w:t>
      </w:r>
    </w:p>
    <w:p w14:paraId="62E9A8D8" w14:textId="77777777" w:rsidR="00613372" w:rsidRPr="003C0D21" w:rsidRDefault="00613372" w:rsidP="00613372">
      <w:pPr>
        <w:pStyle w:val="Nagwek1"/>
        <w:numPr>
          <w:ilvl w:val="12"/>
          <w:numId w:val="0"/>
        </w:numPr>
        <w:rPr>
          <w:sz w:val="22"/>
          <w:szCs w:val="22"/>
        </w:rPr>
      </w:pPr>
      <w:r w:rsidRPr="003C0D21">
        <w:rPr>
          <w:sz w:val="22"/>
          <w:szCs w:val="22"/>
        </w:rPr>
        <w:t>3. sprzęt</w:t>
      </w:r>
    </w:p>
    <w:p w14:paraId="38FF4135" w14:textId="77777777" w:rsidR="00613372" w:rsidRPr="003C0D21" w:rsidRDefault="00613372" w:rsidP="00613372">
      <w:pPr>
        <w:pStyle w:val="Nagwek2"/>
        <w:numPr>
          <w:ilvl w:val="12"/>
          <w:numId w:val="0"/>
        </w:numPr>
        <w:rPr>
          <w:sz w:val="22"/>
          <w:szCs w:val="22"/>
        </w:rPr>
      </w:pPr>
      <w:r w:rsidRPr="003C0D21">
        <w:rPr>
          <w:sz w:val="22"/>
          <w:szCs w:val="22"/>
        </w:rPr>
        <w:t>3.1. Ogólne wymagania dotyczące sprzętu</w:t>
      </w:r>
    </w:p>
    <w:p w14:paraId="337566D2"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Ogólne wymagania dotyczące sprzętu podano w ST  D-M-00.00.00 „Wymagania ogólne” [1] pkt 3.</w:t>
      </w:r>
    </w:p>
    <w:p w14:paraId="39F65497" w14:textId="77777777" w:rsidR="00613372" w:rsidRPr="003C0D21" w:rsidRDefault="00613372" w:rsidP="00613372">
      <w:pPr>
        <w:pStyle w:val="Nagwek2"/>
        <w:rPr>
          <w:sz w:val="22"/>
          <w:szCs w:val="22"/>
        </w:rPr>
      </w:pPr>
      <w:r w:rsidRPr="003C0D21">
        <w:rPr>
          <w:sz w:val="22"/>
          <w:szCs w:val="22"/>
        </w:rPr>
        <w:t>3.2. Sprzęt stosowany do wykonania robót</w:t>
      </w:r>
    </w:p>
    <w:p w14:paraId="3A17F79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Wykonawca przystępujący do wykonania podbudowy z betonu cementowego powinien wykazać się możliwością korzystania z następującego sprzętu:</w:t>
      </w:r>
    </w:p>
    <w:p w14:paraId="4481B09F"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wytwórni stacjonarnej typu ciągłego do wytwarzania mieszanki betonowej lub odpowiedniej wielkości betoniarek,</w:t>
      </w:r>
    </w:p>
    <w:p w14:paraId="3E61A505"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przewoźnych zbiorników na wodę,</w:t>
      </w:r>
    </w:p>
    <w:p w14:paraId="430481D0"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układarek albo równiarek do rozkładania mieszanki betonowej,</w:t>
      </w:r>
    </w:p>
    <w:p w14:paraId="1EF4EFF7"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mechanicznych listw wibracyjnych do zagęszczania mieszanki betonowej,</w:t>
      </w:r>
    </w:p>
    <w:p w14:paraId="35A6A3AF"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walców wibracyjnych, zagęszczarek płytowych, małych walców wibracyjnych, m.in. do zagęszczania w miejscach trudno dostępnych.</w:t>
      </w:r>
    </w:p>
    <w:p w14:paraId="54E238F4" w14:textId="77777777" w:rsidR="00613372" w:rsidRPr="003C0D21" w:rsidRDefault="00613372" w:rsidP="00613372">
      <w:pPr>
        <w:pStyle w:val="Nagwek1"/>
        <w:rPr>
          <w:sz w:val="22"/>
          <w:szCs w:val="22"/>
        </w:rPr>
      </w:pPr>
      <w:r w:rsidRPr="003C0D21">
        <w:rPr>
          <w:sz w:val="22"/>
          <w:szCs w:val="22"/>
        </w:rPr>
        <w:lastRenderedPageBreak/>
        <w:t>4. TRANSPORT</w:t>
      </w:r>
    </w:p>
    <w:p w14:paraId="05AFD451" w14:textId="77777777" w:rsidR="00613372" w:rsidRPr="003C0D21" w:rsidRDefault="00613372" w:rsidP="00613372">
      <w:pPr>
        <w:pStyle w:val="Nagwek2"/>
        <w:rPr>
          <w:sz w:val="22"/>
          <w:szCs w:val="22"/>
        </w:rPr>
      </w:pPr>
      <w:r w:rsidRPr="003C0D21">
        <w:rPr>
          <w:sz w:val="22"/>
          <w:szCs w:val="22"/>
        </w:rPr>
        <w:t xml:space="preserve">4.1. Ogólne wymagania dotyczące transportu </w:t>
      </w:r>
    </w:p>
    <w:p w14:paraId="4570DB93" w14:textId="77777777" w:rsidR="00613372" w:rsidRPr="003C0D21" w:rsidRDefault="00613372" w:rsidP="00613372">
      <w:pPr>
        <w:tabs>
          <w:tab w:val="left" w:pos="284"/>
          <w:tab w:val="right" w:leader="dot" w:pos="8505"/>
        </w:tabs>
        <w:rPr>
          <w:rFonts w:ascii="Times New Roman" w:hAnsi="Times New Roman" w:cs="Times New Roman"/>
        </w:rPr>
      </w:pPr>
      <w:r w:rsidRPr="003C0D21">
        <w:rPr>
          <w:rFonts w:ascii="Times New Roman" w:hAnsi="Times New Roman" w:cs="Times New Roman"/>
        </w:rPr>
        <w:tab/>
        <w:t xml:space="preserve">     Ogólne wymagania dotyczące transportu podano w ST D-M-00.00.00 „Wymagania ogólne” [1]  pkt 4.</w:t>
      </w:r>
    </w:p>
    <w:p w14:paraId="15A4806E" w14:textId="77777777" w:rsidR="00613372" w:rsidRPr="003C0D21" w:rsidRDefault="00613372" w:rsidP="00613372">
      <w:pPr>
        <w:pStyle w:val="Nagwek2"/>
        <w:rPr>
          <w:sz w:val="22"/>
          <w:szCs w:val="22"/>
        </w:rPr>
      </w:pPr>
      <w:r w:rsidRPr="003C0D21">
        <w:rPr>
          <w:sz w:val="22"/>
          <w:szCs w:val="22"/>
        </w:rPr>
        <w:t>4.2. Transport materiałów</w:t>
      </w:r>
    </w:p>
    <w:p w14:paraId="62DFB04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Materiały sypkie, stal, domieszki można przewozić dowolnymi środkami transportu, w warunkach zabezpieczających je przed  zanieczyszczeniem, zmieszaniem z innymi materiałami i nadmiernym zawilgoceniem.</w:t>
      </w:r>
    </w:p>
    <w:p w14:paraId="3A79CBF0"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Cement luzem należy przewozić cementowozami, natomiast workowany można przewozić dowolnymi środkami transportu, w sposób zabezpieczony przed zawilgoceniem.</w:t>
      </w:r>
    </w:p>
    <w:p w14:paraId="6D91889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Masy zalewowe, wkładki uszczelniające, materiały do pielęgnacji należy dostarczać zgodnie z warunkami podanymi w aprobatach technicznych lub ustaleniach producentów.</w:t>
      </w:r>
    </w:p>
    <w:p w14:paraId="03329B06" w14:textId="77777777" w:rsidR="00613372" w:rsidRPr="003C0D21" w:rsidRDefault="00613372" w:rsidP="00613372">
      <w:pPr>
        <w:pStyle w:val="Nagwek1"/>
        <w:rPr>
          <w:sz w:val="22"/>
          <w:szCs w:val="22"/>
        </w:rPr>
      </w:pPr>
      <w:bookmarkStart w:id="416" w:name="_Toc51995833"/>
      <w:bookmarkStart w:id="417" w:name="_Toc63568301"/>
      <w:bookmarkStart w:id="418" w:name="_Toc73770659"/>
      <w:bookmarkStart w:id="419" w:name="_Toc113935591"/>
      <w:r w:rsidRPr="003C0D21">
        <w:rPr>
          <w:sz w:val="22"/>
          <w:szCs w:val="22"/>
        </w:rPr>
        <w:t>5. WYKONANIE ROBÓT</w:t>
      </w:r>
      <w:bookmarkEnd w:id="416"/>
      <w:bookmarkEnd w:id="417"/>
      <w:bookmarkEnd w:id="418"/>
      <w:bookmarkEnd w:id="419"/>
    </w:p>
    <w:p w14:paraId="4771DA45" w14:textId="77777777" w:rsidR="00613372" w:rsidRPr="003C0D21" w:rsidRDefault="00613372" w:rsidP="00613372">
      <w:pPr>
        <w:pStyle w:val="Nagwek2"/>
        <w:rPr>
          <w:sz w:val="22"/>
          <w:szCs w:val="22"/>
        </w:rPr>
      </w:pPr>
      <w:r w:rsidRPr="003C0D21">
        <w:rPr>
          <w:sz w:val="22"/>
          <w:szCs w:val="22"/>
        </w:rPr>
        <w:t>5.1. Ogólne zasady wykonania robót</w:t>
      </w:r>
    </w:p>
    <w:p w14:paraId="75CF5F88" w14:textId="77777777" w:rsidR="00613372" w:rsidRPr="003C0D21" w:rsidRDefault="00613372" w:rsidP="00613372">
      <w:pPr>
        <w:tabs>
          <w:tab w:val="left" w:pos="284"/>
          <w:tab w:val="right" w:leader="dot" w:pos="8505"/>
        </w:tabs>
        <w:rPr>
          <w:rFonts w:ascii="Times New Roman" w:hAnsi="Times New Roman" w:cs="Times New Roman"/>
        </w:rPr>
      </w:pPr>
      <w:r w:rsidRPr="003C0D21">
        <w:rPr>
          <w:rFonts w:ascii="Times New Roman" w:hAnsi="Times New Roman" w:cs="Times New Roman"/>
        </w:rPr>
        <w:tab/>
        <w:t xml:space="preserve">     Ogólne zasady wykonania robót podano w ST D-M-00.00.00 „Wymagania ogólne” [1] pkt 5.</w:t>
      </w:r>
    </w:p>
    <w:p w14:paraId="2F90ECC7" w14:textId="77777777" w:rsidR="00613372" w:rsidRPr="003C0D21" w:rsidRDefault="00613372" w:rsidP="00613372">
      <w:pPr>
        <w:pStyle w:val="Nagwek2"/>
        <w:rPr>
          <w:sz w:val="22"/>
          <w:szCs w:val="22"/>
        </w:rPr>
      </w:pPr>
      <w:r w:rsidRPr="003C0D21">
        <w:rPr>
          <w:sz w:val="22"/>
          <w:szCs w:val="22"/>
        </w:rPr>
        <w:t>5.2. Zasady wykonywania robót</w:t>
      </w:r>
    </w:p>
    <w:p w14:paraId="65D8583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Konstrukcja i sposób wykonania robót powinny być zgodne z dokumentacją projektową i SST. W przypadku braku wystarczających danych można korzystać z ustaleń podanych w niniejszej specyfikacji oraz z informacji podanych w załączniku 1.</w:t>
      </w:r>
    </w:p>
    <w:p w14:paraId="37BE4D7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Podstawowe czynności przy wykonywaniu robót obejmują:</w:t>
      </w:r>
    </w:p>
    <w:p w14:paraId="1AADB8C0" w14:textId="77777777" w:rsidR="00613372" w:rsidRPr="003C0D21" w:rsidRDefault="00613372" w:rsidP="00904E6C">
      <w:pPr>
        <w:numPr>
          <w:ilvl w:val="0"/>
          <w:numId w:val="378"/>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 xml:space="preserve">roboty przygotowawcze, </w:t>
      </w:r>
    </w:p>
    <w:p w14:paraId="15956948" w14:textId="77777777" w:rsidR="00613372" w:rsidRPr="003C0D21" w:rsidRDefault="00613372" w:rsidP="00904E6C">
      <w:pPr>
        <w:numPr>
          <w:ilvl w:val="0"/>
          <w:numId w:val="378"/>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wykonanie podbudowy,</w:t>
      </w:r>
    </w:p>
    <w:p w14:paraId="1FF4A63B" w14:textId="77777777" w:rsidR="00613372" w:rsidRPr="003C0D21" w:rsidRDefault="00613372" w:rsidP="00904E6C">
      <w:pPr>
        <w:numPr>
          <w:ilvl w:val="0"/>
          <w:numId w:val="378"/>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pielęgnację podbudowy,</w:t>
      </w:r>
    </w:p>
    <w:p w14:paraId="0799EC52" w14:textId="77777777" w:rsidR="00613372" w:rsidRPr="003C0D21" w:rsidRDefault="00613372" w:rsidP="00904E6C">
      <w:pPr>
        <w:numPr>
          <w:ilvl w:val="0"/>
          <w:numId w:val="378"/>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roboty wykończeniowe.</w:t>
      </w:r>
    </w:p>
    <w:p w14:paraId="370BB2D2" w14:textId="77777777" w:rsidR="00613372" w:rsidRPr="003C0D21" w:rsidRDefault="00613372" w:rsidP="00613372">
      <w:pPr>
        <w:pStyle w:val="Nagwek2"/>
        <w:rPr>
          <w:sz w:val="22"/>
          <w:szCs w:val="22"/>
        </w:rPr>
      </w:pPr>
      <w:r w:rsidRPr="003C0D21">
        <w:rPr>
          <w:sz w:val="22"/>
          <w:szCs w:val="22"/>
        </w:rPr>
        <w:t>5.3. Roboty przygotowawcze</w:t>
      </w:r>
    </w:p>
    <w:p w14:paraId="56D8027F" w14:textId="77777777" w:rsidR="00613372" w:rsidRPr="003C0D21" w:rsidRDefault="00613372" w:rsidP="00613372">
      <w:pPr>
        <w:spacing w:after="120"/>
        <w:rPr>
          <w:rFonts w:ascii="Times New Roman" w:hAnsi="Times New Roman" w:cs="Times New Roman"/>
        </w:rPr>
      </w:pPr>
      <w:r w:rsidRPr="003C0D21">
        <w:rPr>
          <w:rFonts w:ascii="Times New Roman" w:hAnsi="Times New Roman" w:cs="Times New Roman"/>
          <w:b/>
        </w:rPr>
        <w:t xml:space="preserve">5.3.1. </w:t>
      </w:r>
      <w:r w:rsidRPr="003C0D21">
        <w:rPr>
          <w:rFonts w:ascii="Times New Roman" w:hAnsi="Times New Roman" w:cs="Times New Roman"/>
        </w:rPr>
        <w:t>Wstępne roboty przygotowawcze</w:t>
      </w:r>
    </w:p>
    <w:p w14:paraId="37E4A4AB" w14:textId="77777777" w:rsidR="00613372" w:rsidRPr="003C0D21" w:rsidRDefault="00613372" w:rsidP="00613372">
      <w:pPr>
        <w:ind w:firstLine="709"/>
        <w:rPr>
          <w:rFonts w:ascii="Times New Roman" w:hAnsi="Times New Roman" w:cs="Times New Roman"/>
        </w:rPr>
      </w:pPr>
      <w:r w:rsidRPr="003C0D21">
        <w:rPr>
          <w:rFonts w:ascii="Times New Roman" w:hAnsi="Times New Roman" w:cs="Times New Roman"/>
        </w:rPr>
        <w:t>Przed przystąpieniem do robót należy, na podstawie dokumentacji projektowej, SST lub wskazań Inżyniera:</w:t>
      </w:r>
    </w:p>
    <w:p w14:paraId="598E087D"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ustalić lokalizację terenu robót,</w:t>
      </w:r>
    </w:p>
    <w:p w14:paraId="38E8917B"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przeprowadzić obliczenia i pomiary geodezyjne niezbędne do szczegółowego wytyczenia robót oraz ustalenia danych wysokościowych,</w:t>
      </w:r>
    </w:p>
    <w:p w14:paraId="4D21EF01"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usunąć przeszkody, np. drzewa, krzaki, obiekty, elementy dróg, ogrodzeń itd..</w:t>
      </w:r>
    </w:p>
    <w:p w14:paraId="29DAD29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Zaleca się korzystanie z ustaleń ST D-01.00.00 [2] w zakresie niezbędnym do wykonania robót przygotowawczych</w:t>
      </w:r>
    </w:p>
    <w:p w14:paraId="4ACE4499" w14:textId="77777777" w:rsidR="00613372" w:rsidRPr="003C0D21" w:rsidRDefault="00613372" w:rsidP="00904E6C">
      <w:pPr>
        <w:numPr>
          <w:ilvl w:val="0"/>
          <w:numId w:val="379"/>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Przygotowanie podłoża</w:t>
      </w:r>
    </w:p>
    <w:p w14:paraId="662A759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Grunty na podłoże powinny być jednorodne i zabezpieczone przed nadmiernym zawilgoceniem i ujemnymi skutkami przemarzania.</w:t>
      </w:r>
    </w:p>
    <w:p w14:paraId="05ED79F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lastRenderedPageBreak/>
        <w:tab/>
        <w:t>Koryto pod podbudowę należy wykonać według ustaleń dokumentacji projektowej, zgodnie z wymaganiami ST D-04.01.01 [4].</w:t>
      </w:r>
    </w:p>
    <w:p w14:paraId="026DED3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Ewentualne wykonanie robót ziemnych powinno odpowiadać wymaganiom ST D-02.00.00 [3].</w:t>
      </w:r>
    </w:p>
    <w:p w14:paraId="4E3194E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Rzędne podłoża nie powinny mieć, w stosunku do rzędnych projektowanych, odchyleń większych niż  </w:t>
      </w:r>
      <w:r w:rsidRPr="003C0D21">
        <w:rPr>
          <w:rFonts w:ascii="Times New Roman" w:hAnsi="Times New Roman" w:cs="Times New Roman"/>
        </w:rPr>
        <w:sym w:font="Symbol" w:char="F0B1"/>
      </w:r>
      <w:r w:rsidRPr="003C0D21">
        <w:rPr>
          <w:rFonts w:ascii="Times New Roman" w:hAnsi="Times New Roman" w:cs="Times New Roman"/>
        </w:rPr>
        <w:t xml:space="preserve"> </w:t>
      </w:r>
      <w:smartTag w:uri="urn:schemas-microsoft-com:office:smarttags" w:element="metricconverter">
        <w:smartTagPr>
          <w:attr w:name="ProductID" w:val="2 cm"/>
        </w:smartTagPr>
        <w:r w:rsidRPr="003C0D21">
          <w:rPr>
            <w:rFonts w:ascii="Times New Roman" w:hAnsi="Times New Roman" w:cs="Times New Roman"/>
          </w:rPr>
          <w:t>2 cm</w:t>
        </w:r>
      </w:smartTag>
      <w:r w:rsidRPr="003C0D21">
        <w:rPr>
          <w:rFonts w:ascii="Times New Roman" w:hAnsi="Times New Roman" w:cs="Times New Roman"/>
        </w:rPr>
        <w:t>.</w:t>
      </w:r>
    </w:p>
    <w:p w14:paraId="5F29E71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Wskaźnik zagęszczenia gruntu powinien wynosić (wg PN-S-96014:1997 [10]):</w:t>
      </w:r>
    </w:p>
    <w:p w14:paraId="65933C4A" w14:textId="77777777" w:rsidR="00613372" w:rsidRPr="003C0D21" w:rsidRDefault="00613372" w:rsidP="00904E6C">
      <w:pPr>
        <w:numPr>
          <w:ilvl w:val="0"/>
          <w:numId w:val="380"/>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 xml:space="preserve">w górnej warstwie do głębokości </w:t>
      </w:r>
      <w:smartTag w:uri="urn:schemas-microsoft-com:office:smarttags" w:element="metricconverter">
        <w:smartTagPr>
          <w:attr w:name="ProductID" w:val="20 cm"/>
        </w:smartTagPr>
        <w:r w:rsidRPr="003C0D21">
          <w:rPr>
            <w:rFonts w:ascii="Times New Roman" w:hAnsi="Times New Roman" w:cs="Times New Roman"/>
          </w:rPr>
          <w:t>20 cm</w:t>
        </w:r>
      </w:smartTag>
      <w:r w:rsidRPr="003C0D21">
        <w:rPr>
          <w:rFonts w:ascii="Times New Roman" w:hAnsi="Times New Roman" w:cs="Times New Roman"/>
        </w:rPr>
        <w:t xml:space="preserve"> - co najmniej 103% zagęszczania uzyskanego w laboratorium metodą I lub II,</w:t>
      </w:r>
    </w:p>
    <w:p w14:paraId="5C7CC20A" w14:textId="77777777" w:rsidR="00613372" w:rsidRPr="003C0D21" w:rsidRDefault="00613372" w:rsidP="00904E6C">
      <w:pPr>
        <w:numPr>
          <w:ilvl w:val="0"/>
          <w:numId w:val="380"/>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 xml:space="preserve">w warstwie niższej do głębokości </w:t>
      </w:r>
      <w:smartTag w:uri="urn:schemas-microsoft-com:office:smarttags" w:element="metricconverter">
        <w:smartTagPr>
          <w:attr w:name="ProductID" w:val="50 cm"/>
        </w:smartTagPr>
        <w:r w:rsidRPr="003C0D21">
          <w:rPr>
            <w:rFonts w:ascii="Times New Roman" w:hAnsi="Times New Roman" w:cs="Times New Roman"/>
          </w:rPr>
          <w:t>50 cm</w:t>
        </w:r>
      </w:smartTag>
      <w:r w:rsidRPr="003C0D21">
        <w:rPr>
          <w:rFonts w:ascii="Times New Roman" w:hAnsi="Times New Roman" w:cs="Times New Roman"/>
        </w:rPr>
        <w:t xml:space="preserve"> - co najmniej 100% zagęszczenia uzyskanego jak wyżej,</w:t>
      </w:r>
    </w:p>
    <w:p w14:paraId="392CEDB3" w14:textId="77777777" w:rsidR="00613372" w:rsidRPr="003C0D21" w:rsidRDefault="00613372" w:rsidP="00904E6C">
      <w:pPr>
        <w:numPr>
          <w:ilvl w:val="0"/>
          <w:numId w:val="380"/>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 xml:space="preserve">w nasypach wyższych niż 50 cm: w warstwie dolnej poniżej </w:t>
      </w:r>
      <w:smartTag w:uri="urn:schemas-microsoft-com:office:smarttags" w:element="metricconverter">
        <w:smartTagPr>
          <w:attr w:name="ProductID" w:val="50 cm"/>
        </w:smartTagPr>
        <w:r w:rsidRPr="003C0D21">
          <w:rPr>
            <w:rFonts w:ascii="Times New Roman" w:hAnsi="Times New Roman" w:cs="Times New Roman"/>
          </w:rPr>
          <w:t>50 cm</w:t>
        </w:r>
      </w:smartTag>
      <w:r w:rsidRPr="003C0D21">
        <w:rPr>
          <w:rFonts w:ascii="Times New Roman" w:hAnsi="Times New Roman" w:cs="Times New Roman"/>
        </w:rPr>
        <w:t xml:space="preserve"> - co najmniej 95% zagęszczenia uzyskanego jak wyżej.</w:t>
      </w:r>
    </w:p>
    <w:p w14:paraId="0BA7AD5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 przypadku występowania w podłożu gruntów piaszczystych równouziarnionych (o wskaźniku różnoziarnistości nie większym niż 5) należy je doziarnić albo ulepszyć cementem lub aktywnymi popiołami lotnymi.</w:t>
      </w:r>
    </w:p>
    <w:p w14:paraId="3AB2B19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W przypadku dróg o natężeniu powyżej 335 osi obliczeniowych (100 kN) na dobę na pas obliczeniowy, zaleca się wzmocnić górną warstwę podłoża o grubości od </w:t>
      </w:r>
      <w:smartTag w:uri="urn:schemas-microsoft-com:office:smarttags" w:element="metricconverter">
        <w:smartTagPr>
          <w:attr w:name="ProductID" w:val="10 cm"/>
        </w:smartTagPr>
        <w:r w:rsidRPr="003C0D21">
          <w:rPr>
            <w:rFonts w:ascii="Times New Roman" w:hAnsi="Times New Roman" w:cs="Times New Roman"/>
          </w:rPr>
          <w:t>10 cm</w:t>
        </w:r>
      </w:smartTag>
      <w:r w:rsidRPr="003C0D21">
        <w:rPr>
          <w:rFonts w:ascii="Times New Roman" w:hAnsi="Times New Roman" w:cs="Times New Roman"/>
        </w:rPr>
        <w:t xml:space="preserve"> do </w:t>
      </w:r>
      <w:smartTag w:uri="urn:schemas-microsoft-com:office:smarttags" w:element="metricconverter">
        <w:smartTagPr>
          <w:attr w:name="ProductID" w:val="20 cm"/>
        </w:smartTagPr>
        <w:r w:rsidRPr="003C0D21">
          <w:rPr>
            <w:rFonts w:ascii="Times New Roman" w:hAnsi="Times New Roman" w:cs="Times New Roman"/>
          </w:rPr>
          <w:t>20 cm</w:t>
        </w:r>
      </w:smartTag>
      <w:r w:rsidRPr="003C0D21">
        <w:rPr>
          <w:rFonts w:ascii="Times New Roman" w:hAnsi="Times New Roman" w:cs="Times New Roman"/>
        </w:rPr>
        <w:t xml:space="preserve"> kilkuprocentowym dodatkiem cementu, niezależnie od rodzaju gruntu i konstrukcji nawierzchni.</w:t>
      </w:r>
    </w:p>
    <w:p w14:paraId="74548BE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W przypadku gruntów dobrze uziarnionych (o wskaźniku różnoziarnistości większym niż 5), oraz wskaźniku piaskowym większym niż 35 i niskiego poziomu wód gruntowych nie stwarzającego niebezpieczeństwa nadmiernego nawilgocenia gruntu bezpośrednio pod nawierzchnią, dopuszcza się układanie warstwy betonu na gruncie miejscowym po uprzednim ułożeniu na nim warstwy poślizgowej o grubości od </w:t>
      </w:r>
      <w:smartTag w:uri="urn:schemas-microsoft-com:office:smarttags" w:element="metricconverter">
        <w:smartTagPr>
          <w:attr w:name="ProductID" w:val="2 cm"/>
        </w:smartTagPr>
        <w:r w:rsidRPr="003C0D21">
          <w:rPr>
            <w:rFonts w:ascii="Times New Roman" w:hAnsi="Times New Roman" w:cs="Times New Roman"/>
          </w:rPr>
          <w:t>2 cm</w:t>
        </w:r>
      </w:smartTag>
      <w:r w:rsidRPr="003C0D21">
        <w:rPr>
          <w:rFonts w:ascii="Times New Roman" w:hAnsi="Times New Roman" w:cs="Times New Roman"/>
        </w:rPr>
        <w:t xml:space="preserve"> do 3 cm z bitumowanego piasku lub żwiru, albo po ułożeniu papy lub folii.</w:t>
      </w:r>
    </w:p>
    <w:p w14:paraId="6A8916A1" w14:textId="77777777" w:rsidR="00613372" w:rsidRPr="003C0D21" w:rsidRDefault="00613372" w:rsidP="00904E6C">
      <w:pPr>
        <w:numPr>
          <w:ilvl w:val="0"/>
          <w:numId w:val="381"/>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Warstwa odsączająca</w:t>
      </w:r>
    </w:p>
    <w:p w14:paraId="2836115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Jeśli dokumentacja projektowa przewiduje wykonanie warstwy odsączającej, zapewniającej dobre odprowadzenie wody na podłożu nieprzepuszczalnym, to powinna ona odpowiadać wymaganiom ST D-04.02.01 [5].</w:t>
      </w:r>
    </w:p>
    <w:p w14:paraId="3D4494F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Jeśli dokumentacja projektowa nie ustala inaczej, to grubość warstwy odsączającej powinna wynosić co najmniej </w:t>
      </w:r>
      <w:smartTag w:uri="urn:schemas-microsoft-com:office:smarttags" w:element="metricconverter">
        <w:smartTagPr>
          <w:attr w:name="ProductID" w:val="15 cm"/>
        </w:smartTagPr>
        <w:r w:rsidRPr="003C0D21">
          <w:rPr>
            <w:rFonts w:ascii="Times New Roman" w:hAnsi="Times New Roman" w:cs="Times New Roman"/>
          </w:rPr>
          <w:t>15 cm</w:t>
        </w:r>
      </w:smartTag>
      <w:r w:rsidRPr="003C0D21">
        <w:rPr>
          <w:rFonts w:ascii="Times New Roman" w:hAnsi="Times New Roman" w:cs="Times New Roman"/>
        </w:rPr>
        <w:t xml:space="preserve">, a materiał na warstwę odsączającą powinien być mrozoodporny o wskaźniku wodoprzepuszczalności nie mniejszym niż </w:t>
      </w:r>
      <w:smartTag w:uri="urn:schemas-microsoft-com:office:smarttags" w:element="metricconverter">
        <w:smartTagPr>
          <w:attr w:name="ProductID" w:val="8 m"/>
        </w:smartTagPr>
        <w:r w:rsidRPr="003C0D21">
          <w:rPr>
            <w:rFonts w:ascii="Times New Roman" w:hAnsi="Times New Roman" w:cs="Times New Roman"/>
          </w:rPr>
          <w:t>8 m</w:t>
        </w:r>
      </w:smartTag>
      <w:r w:rsidRPr="003C0D21">
        <w:rPr>
          <w:rFonts w:ascii="Times New Roman" w:hAnsi="Times New Roman" w:cs="Times New Roman"/>
        </w:rPr>
        <w:t xml:space="preserve"> na dobę.</w:t>
      </w:r>
    </w:p>
    <w:p w14:paraId="0B14B250" w14:textId="77777777" w:rsidR="00613372" w:rsidRPr="003C0D21" w:rsidRDefault="00613372" w:rsidP="00613372">
      <w:pPr>
        <w:pStyle w:val="Nagwek2"/>
        <w:rPr>
          <w:sz w:val="22"/>
          <w:szCs w:val="22"/>
        </w:rPr>
      </w:pPr>
      <w:r w:rsidRPr="003C0D21">
        <w:rPr>
          <w:sz w:val="22"/>
          <w:szCs w:val="22"/>
        </w:rPr>
        <w:t>5.4. Układanie mieszanki betonowej</w:t>
      </w:r>
    </w:p>
    <w:p w14:paraId="340958F7" w14:textId="77777777" w:rsidR="00613372" w:rsidRPr="003C0D21" w:rsidRDefault="00613372" w:rsidP="00904E6C">
      <w:pPr>
        <w:numPr>
          <w:ilvl w:val="0"/>
          <w:numId w:val="382"/>
        </w:numPr>
        <w:overflowPunct w:val="0"/>
        <w:autoSpaceDE w:val="0"/>
        <w:autoSpaceDN w:val="0"/>
        <w:adjustRightInd w:val="0"/>
        <w:spacing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Projektowanie mieszanki betonowej</w:t>
      </w:r>
    </w:p>
    <w:p w14:paraId="65A6D48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Ustalenie składu mieszanki betonowej powinno odpowiadać wymaganiom PN-S-96014:1997 [10] oraz punktu 2.2.9 niniejszej specyfikacji.</w:t>
      </w:r>
    </w:p>
    <w:p w14:paraId="4C33D58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Podczas projektowania składu betonu należy wykonać próbne zaroby w celu sprawdzenia właściwości mieszanki w zakresie oznaczenia konsystencji, zawartości powietrza i oznaczenia gęstości.</w:t>
      </w:r>
    </w:p>
    <w:p w14:paraId="7B933C09" w14:textId="77777777" w:rsidR="00613372" w:rsidRPr="003C0D21" w:rsidRDefault="00613372" w:rsidP="00904E6C">
      <w:pPr>
        <w:numPr>
          <w:ilvl w:val="0"/>
          <w:numId w:val="383"/>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Warunki przystąpienia do robót</w:t>
      </w:r>
    </w:p>
    <w:p w14:paraId="5A73149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Podbudowę z betonu cementowego zaleca się wykonywać przy temperaturze powietrza od 5˚C do 25˚C. Dopuszcza się wykonywanie podbudowy w temperaturze powietrza powyżej 25˚C pod warunkiem nieprzekroczenia temperatury mieszanki betonowej powyżej 30˚C. Wykonywanie podbudowy w temperaturze poniżej 5˚C dopuszcza się pod warunkiem stosowania zabiegów </w:t>
      </w:r>
      <w:r w:rsidRPr="003C0D21">
        <w:rPr>
          <w:rFonts w:ascii="Times New Roman" w:hAnsi="Times New Roman" w:cs="Times New Roman"/>
        </w:rPr>
        <w:lastRenderedPageBreak/>
        <w:t>specjalnych, pozwalających na utrzymanie temperatury mieszanki betonowej powyżej 5˚C przez okres co najmniej 3 dni.</w:t>
      </w:r>
    </w:p>
    <w:p w14:paraId="0BEAA1E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Betonowania nie można wykonywać podczas opadów deszczu.</w:t>
      </w:r>
    </w:p>
    <w:p w14:paraId="4350FC38" w14:textId="77777777" w:rsidR="00613372" w:rsidRPr="003C0D21" w:rsidRDefault="00613372" w:rsidP="00904E6C">
      <w:pPr>
        <w:numPr>
          <w:ilvl w:val="0"/>
          <w:numId w:val="384"/>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Wytwarzanie mieszanki betonowej</w:t>
      </w:r>
    </w:p>
    <w:p w14:paraId="14E8D520"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Mieszankę betonową o składzie zawartym w recepcie laboratoryjnej, należy wytwarzać w wytwórniach betonu, zapewniających ciągłość produkcji i gwarantujących otrzymanie jednorodnej mieszanki.</w:t>
      </w:r>
    </w:p>
    <w:p w14:paraId="4344EBD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Mieszanka po wyprodukowaniu powinna być od razu transportowana na miejsce wbudowania w sposób zabezpieczający przed segregacją i wysychaniem.</w:t>
      </w:r>
    </w:p>
    <w:p w14:paraId="461962D0" w14:textId="77777777" w:rsidR="00613372" w:rsidRPr="003C0D21" w:rsidRDefault="00613372" w:rsidP="00904E6C">
      <w:pPr>
        <w:keepNext/>
        <w:numPr>
          <w:ilvl w:val="0"/>
          <w:numId w:val="385"/>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Wbudowanie mieszanki betonowej</w:t>
      </w:r>
    </w:p>
    <w:p w14:paraId="56F0A41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Wbudowanie mieszanki betonowej w podbudowę należy wykonywać mechanicznie, przy zastosowaniu odpowiedniego sprzętu, zapewniającego równomierne rozłożenie masy oraz zachowanie jej jednorodności.</w:t>
      </w:r>
    </w:p>
    <w:p w14:paraId="68D51BF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Dopuszcza się ręczne wbudowywanie mieszanki betonowej przy wykonywaniu małych robót, w tym o nieregularnych kształtach powierzchni, po uzyskaniu zgody Inżyniera.</w:t>
      </w:r>
    </w:p>
    <w:p w14:paraId="529DCED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Wbudowanie mieszanki betonowej odbywa się za pomocą maszyn poruszających się po prowadnicach. Prowadnice powinny być tak skonstruowane, aby spełniały równocześnie rolę deskowań i dlatego od strony wewnętrznej powinny być zabezpieczone przed przyczepnością betonu (np. natłuszczone olejem mineralnym). Prowadnice powinny być przytwierdzone do podłoża w sposób uniemożliwiający ich przemieszczanie i zapewniający ciągłość na złączach. Powierzchnie styku prowadnic z mieszanką betonową muszą być gładkie, czyste i pozbawione resztek stwardniałego betonu.</w:t>
      </w:r>
    </w:p>
    <w:p w14:paraId="0B158D6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Ustawienie prowadnic winno być takie, aby zapewniało uzyskanie przez podbudowę wymaganej niwelety, spadków podłużnych i poprzecznych.</w:t>
      </w:r>
    </w:p>
    <w:p w14:paraId="54DDE30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Zdjęcie prowadnic może nastąpić nie wcześniej niż po upływie 36 godzin od zakończenia betonowania płyt w temperaturze otoczenia powyżej 10</w:t>
      </w:r>
      <w:r w:rsidRPr="003C0D21">
        <w:rPr>
          <w:rFonts w:ascii="Times New Roman" w:hAnsi="Times New Roman" w:cs="Times New Roman"/>
          <w:vertAlign w:val="superscript"/>
        </w:rPr>
        <w:t>o</w:t>
      </w:r>
      <w:r w:rsidRPr="003C0D21">
        <w:rPr>
          <w:rFonts w:ascii="Times New Roman" w:hAnsi="Times New Roman" w:cs="Times New Roman"/>
        </w:rPr>
        <w:t>C, a przy temperaturze otoczenia niższej - nie wcześniej niż po upływie 48 godzin. Prowadnice powinny być zdejmowane bez uszkodzenia wykonanej podbudowy.</w:t>
      </w:r>
    </w:p>
    <w:p w14:paraId="5F5BA27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Przy stosowaniu deskowania ślizgowego (przesuwnego), wbudowywanie mieszanki betonowej dokonuje się układarką mechaniczną, która przesuwając się formuje płytę podbudowy, ograniczając ją z boku deskowaniem ślizgowym, bez stosowania prowadnic.</w:t>
      </w:r>
    </w:p>
    <w:p w14:paraId="59749309" w14:textId="77777777" w:rsidR="00613372" w:rsidRPr="003C0D21" w:rsidRDefault="00613372" w:rsidP="00904E6C">
      <w:pPr>
        <w:numPr>
          <w:ilvl w:val="0"/>
          <w:numId w:val="386"/>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Zbrojenie płyt</w:t>
      </w:r>
    </w:p>
    <w:p w14:paraId="6839980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Jeśli dokumentacja projektowa przewiduje zbrojenie płyt w przypadkach spodziewanych nierównomiernych osiadań podłoża (np. na nasypach przy mostach, wiaduktach, nad przepustami lub wykopami kanalizacyjnymi), to rozmieszczenie, długości, średnice i rodzaje stali powinny być zgodne z ustaleniami dokumentacji projektowej i punktu 2.2.7 niniejszej specyfikacji.</w:t>
      </w:r>
    </w:p>
    <w:p w14:paraId="04897978" w14:textId="77777777" w:rsidR="00613372" w:rsidRPr="003C0D21" w:rsidRDefault="00613372" w:rsidP="00904E6C">
      <w:pPr>
        <w:numPr>
          <w:ilvl w:val="0"/>
          <w:numId w:val="387"/>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Zagęszczanie mieszanki betonowej</w:t>
      </w:r>
    </w:p>
    <w:p w14:paraId="2905A3E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Do zagęszczania mieszanki betonowej w podbudowie należy stosować odpowiednie mechaniczne urządzenia wibracyjne, zapewniające jednolite jej zagęszczenie.</w:t>
      </w:r>
    </w:p>
    <w:p w14:paraId="586E587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Powierzchnia warstwy zagęszczonej powinna mieć jednolitą teksturę i połysk, a grube ziarna kruszywa powinny być widoczne lub powinny znajdować się bezpośrednio pod powierzchnią.</w:t>
      </w:r>
    </w:p>
    <w:p w14:paraId="1C44D53A" w14:textId="77777777" w:rsidR="00613372" w:rsidRPr="003C0D21" w:rsidRDefault="00613372" w:rsidP="00904E6C">
      <w:pPr>
        <w:numPr>
          <w:ilvl w:val="0"/>
          <w:numId w:val="388"/>
        </w:numPr>
        <w:overflowPunct w:val="0"/>
        <w:autoSpaceDE w:val="0"/>
        <w:autoSpaceDN w:val="0"/>
        <w:adjustRightInd w:val="0"/>
        <w:spacing w:before="120" w:after="12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Szczeliny</w:t>
      </w:r>
    </w:p>
    <w:p w14:paraId="17B4DF8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lastRenderedPageBreak/>
        <w:tab/>
        <w:t>Szczeliny powinny być wykonane zgodnie z dokumentacją projektową, dzieląc podbudowę na płyty kwadratowe lub prostokątne. Jeśli dokumentacja projektowa nie ustala inaczej, to stosunek długości płyt do ich szerokości nie powinien być większy niż 1,5 : 1.</w:t>
      </w:r>
    </w:p>
    <w:p w14:paraId="10F0D0A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 podbudowie wykonuje się tylko szczeliny skurczowe pełne i pozorne. Jeśli dokumentacja projektowa przewiduje wypełnienie spoin zalewami na gorąco lub masami na zimno, to sposób wykonania wypełnienia powinien odpowiadać ustaleniom ST D-05.03.04a [7], a w przypadku stosowania wkładek uszczelniających - ustaleniom producentów lub aprobat technicznych.</w:t>
      </w:r>
    </w:p>
    <w:p w14:paraId="01818BD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Szczeliny skurczowe pełne należy wykonywać na całej grubości płyty w miejscach ustalonych w dokumentacji projektowej oraz dodatkowo w bezpośrednim sąsiedztwie przepustów oraz między odcinkami betonowania, jeśli przerwa w betonowaniu trwała dłużej niż 1 godzinę.</w:t>
      </w:r>
    </w:p>
    <w:p w14:paraId="61DF2DB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Szczeliny skurczowe pozorne należy wykonywać przez nacinanie stwardniałego betonu tarczowymi piłami mechanicznymi do głębokości 1/3 </w:t>
      </w:r>
      <w:r w:rsidRPr="003C0D21">
        <w:rPr>
          <w:rFonts w:ascii="Times New Roman" w:hAnsi="Times New Roman" w:cs="Times New Roman"/>
        </w:rPr>
        <w:sym w:font="Symbol" w:char="F0B8"/>
      </w:r>
      <w:r w:rsidRPr="003C0D21">
        <w:rPr>
          <w:rFonts w:ascii="Times New Roman" w:hAnsi="Times New Roman" w:cs="Times New Roman"/>
        </w:rPr>
        <w:t xml:space="preserve"> 1/4 grubości płyty.</w:t>
      </w:r>
    </w:p>
    <w:p w14:paraId="49E8D70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Szczeliny konstrukcyjne należy wykonać na całej grubości płyty w miejscach połączeń podbudowy z elementami infrastruktury drogowej (krawężniki, studzienki, korytka itp.).</w:t>
      </w:r>
    </w:p>
    <w:p w14:paraId="048E639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Jeśli dokumentacja projektowa przewiduje przykrycie podbudowy warstwami z mieszanek mineralno-asfaltowych to szczeliny, szerokości od </w:t>
      </w:r>
      <w:smartTag w:uri="urn:schemas-microsoft-com:office:smarttags" w:element="metricconverter">
        <w:smartTagPr>
          <w:attr w:name="ProductID" w:val="3 mm"/>
        </w:smartTagPr>
        <w:r w:rsidRPr="003C0D21">
          <w:rPr>
            <w:rFonts w:ascii="Times New Roman" w:hAnsi="Times New Roman" w:cs="Times New Roman"/>
          </w:rPr>
          <w:t>3 mm</w:t>
        </w:r>
      </w:smartTag>
      <w:r w:rsidRPr="003C0D21">
        <w:rPr>
          <w:rFonts w:ascii="Times New Roman" w:hAnsi="Times New Roman" w:cs="Times New Roman"/>
        </w:rPr>
        <w:t xml:space="preserve"> do </w:t>
      </w:r>
      <w:smartTag w:uri="urn:schemas-microsoft-com:office:smarttags" w:element="metricconverter">
        <w:smartTagPr>
          <w:attr w:name="ProductID" w:val="5 mm"/>
        </w:smartTagPr>
        <w:r w:rsidRPr="003C0D21">
          <w:rPr>
            <w:rFonts w:ascii="Times New Roman" w:hAnsi="Times New Roman" w:cs="Times New Roman"/>
          </w:rPr>
          <w:t>5 mm</w:t>
        </w:r>
      </w:smartTag>
      <w:r w:rsidRPr="003C0D21">
        <w:rPr>
          <w:rFonts w:ascii="Times New Roman" w:hAnsi="Times New Roman" w:cs="Times New Roman"/>
        </w:rPr>
        <w:t xml:space="preserve"> po pierwszym nacięciu betonu na głębokość około 35% grubości płyty, należy pozostawić bez poszerzania ich i wypełniania zalewą.</w:t>
      </w:r>
    </w:p>
    <w:p w14:paraId="659054BA" w14:textId="77777777" w:rsidR="00613372" w:rsidRPr="003C0D21" w:rsidRDefault="00613372" w:rsidP="00613372">
      <w:pPr>
        <w:pStyle w:val="Nagwek2"/>
        <w:rPr>
          <w:sz w:val="22"/>
          <w:szCs w:val="22"/>
        </w:rPr>
      </w:pPr>
      <w:r w:rsidRPr="003C0D21">
        <w:rPr>
          <w:sz w:val="22"/>
          <w:szCs w:val="22"/>
        </w:rPr>
        <w:t>5.5. Pielęgnacja podbudowy</w:t>
      </w:r>
    </w:p>
    <w:p w14:paraId="6D0F437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Bezpośrednio po zagęszczeniu  należy świeży beton zabezpieczyć przed wyparowaniem wody przez pokrycie jego powierzchni materiałami według punktu 2.2.8. Należy to wykonać przed upływem 90 min od chwili zakończenia zagęszczania.</w:t>
      </w:r>
    </w:p>
    <w:p w14:paraId="7D9C8C5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 przypadku pielęgnacji podbudowy wilgotną warstwą piasku lub grubej włókniny należy utrzymywać ją w stanie wilgotnym w czasie od siedmiu do dziesięciu dni. W przypadku gdy temperatura powietrza jest powyżej 25˚C pielęgnację należy przedłużyć do 14 dni.</w:t>
      </w:r>
    </w:p>
    <w:p w14:paraId="79C0CA8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Stosowanie innych środków do pielęgnacji podbudowy wymaga każdorazowej zgody Inżyniera.</w:t>
      </w:r>
    </w:p>
    <w:p w14:paraId="7426B705" w14:textId="77777777" w:rsidR="00613372" w:rsidRPr="003C0D21" w:rsidRDefault="00613372" w:rsidP="00613372">
      <w:pPr>
        <w:pStyle w:val="Nagwek2"/>
        <w:rPr>
          <w:sz w:val="22"/>
          <w:szCs w:val="22"/>
        </w:rPr>
      </w:pPr>
      <w:r w:rsidRPr="003C0D21">
        <w:rPr>
          <w:sz w:val="22"/>
          <w:szCs w:val="22"/>
        </w:rPr>
        <w:t>5.6. Roboty wykończeniowe</w:t>
      </w:r>
    </w:p>
    <w:p w14:paraId="0C481F26" w14:textId="77777777" w:rsidR="00613372" w:rsidRPr="003C0D21" w:rsidRDefault="00613372" w:rsidP="00613372">
      <w:pPr>
        <w:ind w:firstLine="709"/>
        <w:rPr>
          <w:rFonts w:ascii="Times New Roman" w:hAnsi="Times New Roman" w:cs="Times New Roman"/>
        </w:rPr>
      </w:pPr>
      <w:r w:rsidRPr="003C0D21">
        <w:rPr>
          <w:rFonts w:ascii="Times New Roman" w:hAnsi="Times New Roman" w:cs="Times New Roman"/>
        </w:rPr>
        <w:t>Roboty wykończeniowe powinny być zgodne z dokumentacją projektową i SST. Do robót wykończeniowych należą prace związane z dostosowaniem wykonanych robót do istniejących warunków terenowych, takie jak:</w:t>
      </w:r>
    </w:p>
    <w:p w14:paraId="45DFB0AC"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odtworzenie przeszkód czasowo usuniętych, np. parkanów, ogrodzeń, nawierzchni, chodników, krawężników itp.,</w:t>
      </w:r>
    </w:p>
    <w:p w14:paraId="31899558"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niezbędne uzupełnienia zniszczonej w czasie robót roślinności, tj. zatrawienia, krzewów, ew. drzew,</w:t>
      </w:r>
    </w:p>
    <w:p w14:paraId="0633292A"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roboty porządkujące otoczenie terenu robót.</w:t>
      </w:r>
    </w:p>
    <w:p w14:paraId="73BEDBB7" w14:textId="77777777" w:rsidR="00613372" w:rsidRPr="003C0D21" w:rsidRDefault="00613372" w:rsidP="00613372">
      <w:pPr>
        <w:pStyle w:val="Nagwek2"/>
        <w:ind w:left="426" w:hanging="426"/>
        <w:rPr>
          <w:sz w:val="22"/>
          <w:szCs w:val="22"/>
        </w:rPr>
      </w:pPr>
      <w:r w:rsidRPr="003C0D21">
        <w:rPr>
          <w:sz w:val="22"/>
          <w:szCs w:val="22"/>
        </w:rPr>
        <w:t>5.7. Zasady układania na podbudowie z betonu cementowego następnej warstwy nawierzchni</w:t>
      </w:r>
    </w:p>
    <w:p w14:paraId="7BFFE2C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Następną warstwę nawierzchni można układać po osiągnięciu przez beton podbudowy co najmniej 60% projektowanej wytrzymałości, lecz nie wcześniej niż po siedmiu dniach twardnienia podbudowy.</w:t>
      </w:r>
    </w:p>
    <w:p w14:paraId="22ACE542" w14:textId="77777777" w:rsidR="00613372" w:rsidRPr="003C0D21" w:rsidRDefault="00613372" w:rsidP="00613372">
      <w:pPr>
        <w:pStyle w:val="Nagwek1"/>
        <w:rPr>
          <w:sz w:val="22"/>
          <w:szCs w:val="22"/>
        </w:rPr>
      </w:pPr>
      <w:bookmarkStart w:id="420" w:name="_Toc63568302"/>
      <w:bookmarkStart w:id="421" w:name="_Toc73770660"/>
      <w:bookmarkStart w:id="422" w:name="_Toc113935592"/>
      <w:r w:rsidRPr="003C0D21">
        <w:rPr>
          <w:sz w:val="22"/>
          <w:szCs w:val="22"/>
        </w:rPr>
        <w:lastRenderedPageBreak/>
        <w:t>6. KONTROLA JAKOŚCI ROBÓT</w:t>
      </w:r>
      <w:bookmarkEnd w:id="420"/>
      <w:bookmarkEnd w:id="421"/>
      <w:bookmarkEnd w:id="422"/>
    </w:p>
    <w:p w14:paraId="5DE3E885" w14:textId="77777777" w:rsidR="00613372" w:rsidRPr="003C0D21" w:rsidRDefault="00613372" w:rsidP="00613372">
      <w:pPr>
        <w:pStyle w:val="Nagwek2"/>
        <w:rPr>
          <w:sz w:val="22"/>
          <w:szCs w:val="22"/>
        </w:rPr>
      </w:pPr>
      <w:r w:rsidRPr="003C0D21">
        <w:rPr>
          <w:sz w:val="22"/>
          <w:szCs w:val="22"/>
        </w:rPr>
        <w:t>6.1. Ogólne zasady kontroli jakości robót</w:t>
      </w:r>
    </w:p>
    <w:p w14:paraId="0B5C247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Ogólne zasady kontroli jakości robót podano w ST D-M-00.00.00 „Wymagania ogólne” [1] pkt 6.</w:t>
      </w:r>
    </w:p>
    <w:p w14:paraId="68EF9D27" w14:textId="77777777" w:rsidR="00613372" w:rsidRPr="003C0D21" w:rsidRDefault="00613372" w:rsidP="00613372">
      <w:pPr>
        <w:pStyle w:val="Nagwek2"/>
        <w:rPr>
          <w:sz w:val="22"/>
          <w:szCs w:val="22"/>
        </w:rPr>
      </w:pPr>
      <w:r w:rsidRPr="003C0D21">
        <w:rPr>
          <w:sz w:val="22"/>
          <w:szCs w:val="22"/>
        </w:rPr>
        <w:t>6.2. Badania przed przystąpieniem do robót</w:t>
      </w:r>
    </w:p>
    <w:p w14:paraId="4B6CDCA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Przed przystąpieniem do robót Wykonawca powinien:</w:t>
      </w:r>
    </w:p>
    <w:p w14:paraId="2A59B355"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uzyskać wymagane dokumenty, dopuszczające wyroby budowlane do obrotu i powszechnego stosowania (aprobaty techniczne, certyfikaty zgodności, deklaracje zgodności, ew. badania materiałów wykonane przez dostawców itp.),</w:t>
      </w:r>
    </w:p>
    <w:p w14:paraId="4E41945A"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wykonać badania właściwości materiałów przeznaczonych do wykonania robót, określone w pkcie 2,</w:t>
      </w:r>
    </w:p>
    <w:p w14:paraId="44E51DAE"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sprawdzić cechy zewnętrzne gotowych materiałów z tworzyw i prefabrykowanych.</w:t>
      </w:r>
    </w:p>
    <w:p w14:paraId="24B0860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Wszystkie dokumenty oraz wyniki badań Wykonawca przedstawia Inżynierowi do akceptacji.</w:t>
      </w:r>
    </w:p>
    <w:p w14:paraId="2311E6DA" w14:textId="77777777" w:rsidR="00613372" w:rsidRPr="003C0D21" w:rsidRDefault="00613372" w:rsidP="00613372">
      <w:pPr>
        <w:pStyle w:val="Nagwek2"/>
        <w:rPr>
          <w:sz w:val="22"/>
          <w:szCs w:val="22"/>
        </w:rPr>
      </w:pPr>
      <w:r w:rsidRPr="003C0D21">
        <w:rPr>
          <w:sz w:val="22"/>
          <w:szCs w:val="22"/>
        </w:rPr>
        <w:t>6.3. Badania w czasie robót i badania odbiorcze</w:t>
      </w:r>
    </w:p>
    <w:p w14:paraId="00D1F0C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 xml:space="preserve">   Częstotliwość oraz zakres badań i pomiarów, które należy wykonać podaje tablica 1.</w:t>
      </w:r>
    </w:p>
    <w:p w14:paraId="110F6D0C" w14:textId="77777777" w:rsidR="00613372" w:rsidRPr="003C0D21" w:rsidRDefault="00613372" w:rsidP="00613372">
      <w:pPr>
        <w:pStyle w:val="Stopka"/>
        <w:tabs>
          <w:tab w:val="clear" w:pos="4536"/>
          <w:tab w:val="clear" w:pos="9072"/>
        </w:tabs>
        <w:spacing w:before="120" w:after="120"/>
        <w:rPr>
          <w:sz w:val="22"/>
        </w:rPr>
      </w:pPr>
      <w:r w:rsidRPr="003C0D21">
        <w:rPr>
          <w:sz w:val="22"/>
        </w:rPr>
        <w:t xml:space="preserve">Tablica 1. Częstotliwość oraz zakres badań i pomiarów </w:t>
      </w:r>
    </w:p>
    <w:tbl>
      <w:tblPr>
        <w:tblW w:w="0" w:type="auto"/>
        <w:jc w:val="center"/>
        <w:tblLayout w:type="fixed"/>
        <w:tblCellMar>
          <w:left w:w="70" w:type="dxa"/>
          <w:right w:w="70" w:type="dxa"/>
        </w:tblCellMar>
        <w:tblLook w:val="0000" w:firstRow="0" w:lastRow="0" w:firstColumn="0" w:lastColumn="0" w:noHBand="0" w:noVBand="0"/>
      </w:tblPr>
      <w:tblGrid>
        <w:gridCol w:w="496"/>
        <w:gridCol w:w="3402"/>
        <w:gridCol w:w="1909"/>
        <w:gridCol w:w="1701"/>
      </w:tblGrid>
      <w:tr w:rsidR="00613372" w:rsidRPr="003C0D21" w14:paraId="01B244B4" w14:textId="77777777" w:rsidTr="00613372">
        <w:trPr>
          <w:jc w:val="center"/>
        </w:trPr>
        <w:tc>
          <w:tcPr>
            <w:tcW w:w="496" w:type="dxa"/>
            <w:tcBorders>
              <w:top w:val="single" w:sz="6" w:space="0" w:color="auto"/>
              <w:left w:val="single" w:sz="6" w:space="0" w:color="auto"/>
              <w:bottom w:val="single" w:sz="6" w:space="0" w:color="auto"/>
              <w:right w:val="single" w:sz="6" w:space="0" w:color="auto"/>
            </w:tcBorders>
          </w:tcPr>
          <w:p w14:paraId="17D71BE9" w14:textId="77777777" w:rsidR="00613372" w:rsidRPr="003C0D21" w:rsidRDefault="00613372" w:rsidP="00613372">
            <w:pPr>
              <w:spacing w:before="120"/>
              <w:jc w:val="center"/>
              <w:rPr>
                <w:rFonts w:ascii="Times New Roman" w:hAnsi="Times New Roman" w:cs="Times New Roman"/>
              </w:rPr>
            </w:pPr>
            <w:r w:rsidRPr="003C0D21">
              <w:rPr>
                <w:rFonts w:ascii="Times New Roman" w:hAnsi="Times New Roman" w:cs="Times New Roman"/>
              </w:rPr>
              <w:t>Lp.</w:t>
            </w:r>
          </w:p>
        </w:tc>
        <w:tc>
          <w:tcPr>
            <w:tcW w:w="3402" w:type="dxa"/>
            <w:tcBorders>
              <w:top w:val="single" w:sz="6" w:space="0" w:color="auto"/>
              <w:left w:val="single" w:sz="6" w:space="0" w:color="auto"/>
              <w:bottom w:val="single" w:sz="6" w:space="0" w:color="auto"/>
              <w:right w:val="single" w:sz="6" w:space="0" w:color="auto"/>
            </w:tcBorders>
          </w:tcPr>
          <w:p w14:paraId="3256819D" w14:textId="77777777" w:rsidR="00613372" w:rsidRPr="003C0D21" w:rsidRDefault="00613372" w:rsidP="00613372">
            <w:pPr>
              <w:spacing w:before="120"/>
              <w:jc w:val="center"/>
              <w:rPr>
                <w:rFonts w:ascii="Times New Roman" w:hAnsi="Times New Roman" w:cs="Times New Roman"/>
              </w:rPr>
            </w:pPr>
            <w:r w:rsidRPr="003C0D21">
              <w:rPr>
                <w:rFonts w:ascii="Times New Roman" w:hAnsi="Times New Roman" w:cs="Times New Roman"/>
              </w:rPr>
              <w:t>Wyszczególnienie badań i pomiarów</w:t>
            </w:r>
          </w:p>
        </w:tc>
        <w:tc>
          <w:tcPr>
            <w:tcW w:w="1909" w:type="dxa"/>
            <w:tcBorders>
              <w:top w:val="single" w:sz="6" w:space="0" w:color="auto"/>
              <w:left w:val="single" w:sz="6" w:space="0" w:color="auto"/>
              <w:bottom w:val="single" w:sz="6" w:space="0" w:color="auto"/>
              <w:right w:val="single" w:sz="6" w:space="0" w:color="auto"/>
            </w:tcBorders>
          </w:tcPr>
          <w:p w14:paraId="3BB73C90" w14:textId="77777777" w:rsidR="00613372" w:rsidRPr="003C0D21" w:rsidRDefault="00613372" w:rsidP="00613372">
            <w:pPr>
              <w:spacing w:before="120"/>
              <w:jc w:val="center"/>
              <w:rPr>
                <w:rFonts w:ascii="Times New Roman" w:hAnsi="Times New Roman" w:cs="Times New Roman"/>
              </w:rPr>
            </w:pPr>
            <w:r w:rsidRPr="003C0D21">
              <w:rPr>
                <w:rFonts w:ascii="Times New Roman" w:hAnsi="Times New Roman" w:cs="Times New Roman"/>
              </w:rPr>
              <w:t>Częstotliwość badań</w:t>
            </w:r>
          </w:p>
        </w:tc>
        <w:tc>
          <w:tcPr>
            <w:tcW w:w="1701" w:type="dxa"/>
            <w:tcBorders>
              <w:top w:val="single" w:sz="6" w:space="0" w:color="auto"/>
              <w:left w:val="single" w:sz="6" w:space="0" w:color="auto"/>
              <w:bottom w:val="single" w:sz="6" w:space="0" w:color="auto"/>
              <w:right w:val="single" w:sz="6" w:space="0" w:color="auto"/>
            </w:tcBorders>
          </w:tcPr>
          <w:p w14:paraId="7F9B3E4E"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Wartości dopuszczalne</w:t>
            </w:r>
          </w:p>
        </w:tc>
      </w:tr>
      <w:tr w:rsidR="00613372" w:rsidRPr="003C0D21" w14:paraId="1D222C97" w14:textId="77777777" w:rsidTr="00613372">
        <w:trPr>
          <w:jc w:val="center"/>
        </w:trPr>
        <w:tc>
          <w:tcPr>
            <w:tcW w:w="496" w:type="dxa"/>
            <w:tcBorders>
              <w:top w:val="single" w:sz="6" w:space="0" w:color="auto"/>
              <w:left w:val="single" w:sz="6" w:space="0" w:color="auto"/>
              <w:bottom w:val="double" w:sz="6" w:space="0" w:color="auto"/>
              <w:right w:val="single" w:sz="6" w:space="0" w:color="auto"/>
            </w:tcBorders>
          </w:tcPr>
          <w:p w14:paraId="2F02655D"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1</w:t>
            </w:r>
          </w:p>
        </w:tc>
        <w:tc>
          <w:tcPr>
            <w:tcW w:w="3402" w:type="dxa"/>
            <w:tcBorders>
              <w:top w:val="single" w:sz="6" w:space="0" w:color="auto"/>
              <w:left w:val="single" w:sz="6" w:space="0" w:color="auto"/>
              <w:bottom w:val="double" w:sz="6" w:space="0" w:color="auto"/>
              <w:right w:val="single" w:sz="6" w:space="0" w:color="auto"/>
            </w:tcBorders>
          </w:tcPr>
          <w:p w14:paraId="09F76E91"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2</w:t>
            </w:r>
          </w:p>
        </w:tc>
        <w:tc>
          <w:tcPr>
            <w:tcW w:w="1909" w:type="dxa"/>
            <w:tcBorders>
              <w:top w:val="single" w:sz="6" w:space="0" w:color="auto"/>
              <w:left w:val="single" w:sz="6" w:space="0" w:color="auto"/>
              <w:bottom w:val="double" w:sz="6" w:space="0" w:color="auto"/>
              <w:right w:val="single" w:sz="6" w:space="0" w:color="auto"/>
            </w:tcBorders>
          </w:tcPr>
          <w:p w14:paraId="7459699E"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3</w:t>
            </w:r>
          </w:p>
        </w:tc>
        <w:tc>
          <w:tcPr>
            <w:tcW w:w="1701" w:type="dxa"/>
            <w:tcBorders>
              <w:top w:val="single" w:sz="6" w:space="0" w:color="auto"/>
              <w:left w:val="single" w:sz="6" w:space="0" w:color="auto"/>
              <w:bottom w:val="double" w:sz="6" w:space="0" w:color="auto"/>
              <w:right w:val="single" w:sz="6" w:space="0" w:color="auto"/>
            </w:tcBorders>
          </w:tcPr>
          <w:p w14:paraId="2535D467"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4</w:t>
            </w:r>
          </w:p>
        </w:tc>
      </w:tr>
      <w:tr w:rsidR="00613372" w:rsidRPr="003C0D21" w14:paraId="7D8BFFE5" w14:textId="77777777" w:rsidTr="00613372">
        <w:trPr>
          <w:jc w:val="center"/>
        </w:trPr>
        <w:tc>
          <w:tcPr>
            <w:tcW w:w="496" w:type="dxa"/>
            <w:tcBorders>
              <w:left w:val="single" w:sz="6" w:space="0" w:color="auto"/>
              <w:bottom w:val="single" w:sz="6" w:space="0" w:color="auto"/>
              <w:right w:val="single" w:sz="6" w:space="0" w:color="auto"/>
            </w:tcBorders>
          </w:tcPr>
          <w:p w14:paraId="43156709"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1</w:t>
            </w:r>
          </w:p>
        </w:tc>
        <w:tc>
          <w:tcPr>
            <w:tcW w:w="3402" w:type="dxa"/>
            <w:tcBorders>
              <w:left w:val="nil"/>
              <w:bottom w:val="single" w:sz="6" w:space="0" w:color="auto"/>
              <w:right w:val="single" w:sz="6" w:space="0" w:color="auto"/>
            </w:tcBorders>
          </w:tcPr>
          <w:p w14:paraId="271E975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Badania kwalifikacyjne: sprawdzenie materiałów, ustalenie składu mieszanki</w:t>
            </w:r>
          </w:p>
        </w:tc>
        <w:tc>
          <w:tcPr>
            <w:tcW w:w="1909" w:type="dxa"/>
            <w:tcBorders>
              <w:left w:val="single" w:sz="6" w:space="0" w:color="auto"/>
              <w:bottom w:val="single" w:sz="6" w:space="0" w:color="auto"/>
              <w:right w:val="single" w:sz="6" w:space="0" w:color="auto"/>
            </w:tcBorders>
          </w:tcPr>
          <w:p w14:paraId="5BA1B57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raz na etapie projek-towania składu mie-szanki i przy każdej zmianie materiału</w:t>
            </w:r>
          </w:p>
        </w:tc>
        <w:tc>
          <w:tcPr>
            <w:tcW w:w="1701" w:type="dxa"/>
            <w:tcBorders>
              <w:left w:val="single" w:sz="6" w:space="0" w:color="auto"/>
              <w:bottom w:val="single" w:sz="6" w:space="0" w:color="auto"/>
              <w:right w:val="single" w:sz="6" w:space="0" w:color="auto"/>
            </w:tcBorders>
          </w:tcPr>
          <w:p w14:paraId="65BC22B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pktu 2 i 5</w:t>
            </w:r>
          </w:p>
        </w:tc>
      </w:tr>
      <w:tr w:rsidR="00613372" w:rsidRPr="003C0D21" w14:paraId="37CFEDE8" w14:textId="77777777" w:rsidTr="00613372">
        <w:trPr>
          <w:jc w:val="center"/>
        </w:trPr>
        <w:tc>
          <w:tcPr>
            <w:tcW w:w="496" w:type="dxa"/>
            <w:tcBorders>
              <w:left w:val="single" w:sz="6" w:space="0" w:color="auto"/>
              <w:right w:val="single" w:sz="6" w:space="0" w:color="auto"/>
            </w:tcBorders>
          </w:tcPr>
          <w:p w14:paraId="7EE4F058"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2</w:t>
            </w:r>
          </w:p>
        </w:tc>
        <w:tc>
          <w:tcPr>
            <w:tcW w:w="3402" w:type="dxa"/>
            <w:tcBorders>
              <w:top w:val="single" w:sz="6" w:space="0" w:color="auto"/>
              <w:left w:val="nil"/>
              <w:bottom w:val="single" w:sz="6" w:space="0" w:color="auto"/>
              <w:right w:val="single" w:sz="6" w:space="0" w:color="auto"/>
            </w:tcBorders>
          </w:tcPr>
          <w:p w14:paraId="2FE55F6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Badania w czasie robót</w:t>
            </w:r>
          </w:p>
          <w:p w14:paraId="0D8A8B07"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rzędne podłoża gruntowego</w:t>
            </w:r>
          </w:p>
        </w:tc>
        <w:tc>
          <w:tcPr>
            <w:tcW w:w="1909" w:type="dxa"/>
            <w:tcBorders>
              <w:top w:val="single" w:sz="6" w:space="0" w:color="auto"/>
              <w:left w:val="single" w:sz="6" w:space="0" w:color="auto"/>
              <w:bottom w:val="single" w:sz="6" w:space="0" w:color="auto"/>
              <w:right w:val="single" w:sz="6" w:space="0" w:color="auto"/>
            </w:tcBorders>
          </w:tcPr>
          <w:p w14:paraId="17044863" w14:textId="77777777" w:rsidR="00613372" w:rsidRPr="003C0D21" w:rsidRDefault="00613372" w:rsidP="00613372">
            <w:pPr>
              <w:rPr>
                <w:rFonts w:ascii="Times New Roman" w:hAnsi="Times New Roman" w:cs="Times New Roman"/>
              </w:rPr>
            </w:pPr>
          </w:p>
          <w:p w14:paraId="1A59C45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na 0,1 długości odbieranego odcinka</w:t>
            </w:r>
          </w:p>
        </w:tc>
        <w:tc>
          <w:tcPr>
            <w:tcW w:w="1701" w:type="dxa"/>
            <w:tcBorders>
              <w:top w:val="single" w:sz="6" w:space="0" w:color="auto"/>
              <w:left w:val="single" w:sz="6" w:space="0" w:color="auto"/>
              <w:bottom w:val="single" w:sz="6" w:space="0" w:color="auto"/>
              <w:right w:val="single" w:sz="6" w:space="0" w:color="auto"/>
            </w:tcBorders>
          </w:tcPr>
          <w:p w14:paraId="00CD6D23" w14:textId="77777777" w:rsidR="00613372" w:rsidRPr="003C0D21" w:rsidRDefault="00613372" w:rsidP="00613372">
            <w:pPr>
              <w:rPr>
                <w:rFonts w:ascii="Times New Roman" w:hAnsi="Times New Roman" w:cs="Times New Roman"/>
              </w:rPr>
            </w:pPr>
          </w:p>
          <w:p w14:paraId="63E0880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5.3.2</w:t>
            </w:r>
          </w:p>
        </w:tc>
      </w:tr>
      <w:tr w:rsidR="00613372" w:rsidRPr="003C0D21" w14:paraId="7F06A112" w14:textId="77777777" w:rsidTr="00613372">
        <w:trPr>
          <w:jc w:val="center"/>
        </w:trPr>
        <w:tc>
          <w:tcPr>
            <w:tcW w:w="496" w:type="dxa"/>
            <w:tcBorders>
              <w:left w:val="single" w:sz="6" w:space="0" w:color="auto"/>
              <w:bottom w:val="single" w:sz="8" w:space="0" w:color="auto"/>
              <w:right w:val="single" w:sz="6" w:space="0" w:color="auto"/>
            </w:tcBorders>
          </w:tcPr>
          <w:p w14:paraId="3EE6AF67"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2E3DF41"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zagęszczenie podłoża gruntowego</w:t>
            </w:r>
          </w:p>
        </w:tc>
        <w:tc>
          <w:tcPr>
            <w:tcW w:w="1909" w:type="dxa"/>
            <w:tcBorders>
              <w:top w:val="single" w:sz="6" w:space="0" w:color="auto"/>
              <w:left w:val="single" w:sz="6" w:space="0" w:color="auto"/>
              <w:bottom w:val="single" w:sz="6" w:space="0" w:color="auto"/>
              <w:right w:val="single" w:sz="6" w:space="0" w:color="auto"/>
            </w:tcBorders>
          </w:tcPr>
          <w:p w14:paraId="6AF89C7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 3 przekrojach na każdej działce roboczej</w:t>
            </w:r>
          </w:p>
        </w:tc>
        <w:tc>
          <w:tcPr>
            <w:tcW w:w="1701" w:type="dxa"/>
            <w:tcBorders>
              <w:top w:val="single" w:sz="6" w:space="0" w:color="auto"/>
              <w:left w:val="single" w:sz="6" w:space="0" w:color="auto"/>
              <w:bottom w:val="single" w:sz="6" w:space="0" w:color="auto"/>
              <w:right w:val="single" w:sz="6" w:space="0" w:color="auto"/>
            </w:tcBorders>
          </w:tcPr>
          <w:p w14:paraId="5E97C25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5.3.2</w:t>
            </w:r>
          </w:p>
        </w:tc>
      </w:tr>
    </w:tbl>
    <w:p w14:paraId="3C5E3536" w14:textId="77777777" w:rsidR="00613372" w:rsidRPr="003C0D21" w:rsidRDefault="00613372" w:rsidP="00613372">
      <w:pPr>
        <w:rPr>
          <w:rFonts w:ascii="Times New Roman" w:hAnsi="Times New Roman" w:cs="Times New Roman"/>
        </w:rPr>
      </w:pPr>
    </w:p>
    <w:tbl>
      <w:tblPr>
        <w:tblW w:w="0" w:type="auto"/>
        <w:jc w:val="center"/>
        <w:tblLayout w:type="fixed"/>
        <w:tblCellMar>
          <w:left w:w="70" w:type="dxa"/>
          <w:right w:w="70" w:type="dxa"/>
        </w:tblCellMar>
        <w:tblLook w:val="0000" w:firstRow="0" w:lastRow="0" w:firstColumn="0" w:lastColumn="0" w:noHBand="0" w:noVBand="0"/>
      </w:tblPr>
      <w:tblGrid>
        <w:gridCol w:w="496"/>
        <w:gridCol w:w="3402"/>
        <w:gridCol w:w="1909"/>
        <w:gridCol w:w="1701"/>
      </w:tblGrid>
      <w:tr w:rsidR="00613372" w:rsidRPr="003C0D21" w14:paraId="41EAC413" w14:textId="77777777" w:rsidTr="00613372">
        <w:trPr>
          <w:jc w:val="center"/>
        </w:trPr>
        <w:tc>
          <w:tcPr>
            <w:tcW w:w="496" w:type="dxa"/>
            <w:tcBorders>
              <w:top w:val="single" w:sz="6" w:space="0" w:color="auto"/>
              <w:left w:val="single" w:sz="6" w:space="0" w:color="auto"/>
              <w:bottom w:val="single" w:sz="6" w:space="0" w:color="auto"/>
              <w:right w:val="single" w:sz="6" w:space="0" w:color="auto"/>
            </w:tcBorders>
          </w:tcPr>
          <w:p w14:paraId="052C3442"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1</w:t>
            </w:r>
          </w:p>
        </w:tc>
        <w:tc>
          <w:tcPr>
            <w:tcW w:w="3402" w:type="dxa"/>
            <w:tcBorders>
              <w:top w:val="single" w:sz="6" w:space="0" w:color="auto"/>
              <w:left w:val="single" w:sz="6" w:space="0" w:color="auto"/>
              <w:bottom w:val="single" w:sz="6" w:space="0" w:color="auto"/>
              <w:right w:val="single" w:sz="6" w:space="0" w:color="auto"/>
            </w:tcBorders>
          </w:tcPr>
          <w:p w14:paraId="0BDD8113"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2</w:t>
            </w:r>
          </w:p>
        </w:tc>
        <w:tc>
          <w:tcPr>
            <w:tcW w:w="1909" w:type="dxa"/>
            <w:tcBorders>
              <w:top w:val="single" w:sz="6" w:space="0" w:color="auto"/>
              <w:left w:val="single" w:sz="6" w:space="0" w:color="auto"/>
              <w:bottom w:val="single" w:sz="6" w:space="0" w:color="auto"/>
              <w:right w:val="single" w:sz="6" w:space="0" w:color="auto"/>
            </w:tcBorders>
          </w:tcPr>
          <w:p w14:paraId="4BAD791D"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3</w:t>
            </w:r>
          </w:p>
        </w:tc>
        <w:tc>
          <w:tcPr>
            <w:tcW w:w="1701" w:type="dxa"/>
            <w:tcBorders>
              <w:top w:val="single" w:sz="6" w:space="0" w:color="auto"/>
              <w:left w:val="single" w:sz="6" w:space="0" w:color="auto"/>
              <w:bottom w:val="single" w:sz="6" w:space="0" w:color="auto"/>
              <w:right w:val="single" w:sz="6" w:space="0" w:color="auto"/>
            </w:tcBorders>
          </w:tcPr>
          <w:p w14:paraId="590C24C0"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4</w:t>
            </w:r>
          </w:p>
        </w:tc>
      </w:tr>
      <w:tr w:rsidR="00613372" w:rsidRPr="003C0D21" w14:paraId="5F0A9B4A" w14:textId="77777777" w:rsidTr="00613372">
        <w:trPr>
          <w:jc w:val="center"/>
        </w:trPr>
        <w:tc>
          <w:tcPr>
            <w:tcW w:w="496" w:type="dxa"/>
            <w:tcBorders>
              <w:top w:val="single" w:sz="6" w:space="0" w:color="auto"/>
              <w:left w:val="single" w:sz="6" w:space="0" w:color="auto"/>
              <w:right w:val="single" w:sz="6" w:space="0" w:color="auto"/>
            </w:tcBorders>
          </w:tcPr>
          <w:p w14:paraId="6670DD13"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12DE0962"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konsystencja mieszanki betonowej</w:t>
            </w:r>
          </w:p>
        </w:tc>
        <w:tc>
          <w:tcPr>
            <w:tcW w:w="1909" w:type="dxa"/>
            <w:tcBorders>
              <w:top w:val="single" w:sz="6" w:space="0" w:color="auto"/>
              <w:left w:val="single" w:sz="6" w:space="0" w:color="auto"/>
              <w:bottom w:val="single" w:sz="6" w:space="0" w:color="auto"/>
              <w:right w:val="single" w:sz="6" w:space="0" w:color="auto"/>
            </w:tcBorders>
          </w:tcPr>
          <w:p w14:paraId="6B1AA22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2 razy w czasie zmiany roboczej</w:t>
            </w:r>
          </w:p>
        </w:tc>
        <w:tc>
          <w:tcPr>
            <w:tcW w:w="1701" w:type="dxa"/>
            <w:tcBorders>
              <w:top w:val="single" w:sz="6" w:space="0" w:color="auto"/>
              <w:left w:val="single" w:sz="6" w:space="0" w:color="auto"/>
              <w:bottom w:val="single" w:sz="6" w:space="0" w:color="auto"/>
              <w:right w:val="single" w:sz="6" w:space="0" w:color="auto"/>
            </w:tcBorders>
          </w:tcPr>
          <w:p w14:paraId="77CBC32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2.2.9</w:t>
            </w:r>
          </w:p>
        </w:tc>
      </w:tr>
      <w:tr w:rsidR="00613372" w:rsidRPr="003C0D21" w14:paraId="402EE066" w14:textId="77777777" w:rsidTr="00613372">
        <w:trPr>
          <w:jc w:val="center"/>
        </w:trPr>
        <w:tc>
          <w:tcPr>
            <w:tcW w:w="496" w:type="dxa"/>
            <w:tcBorders>
              <w:left w:val="single" w:sz="6" w:space="0" w:color="auto"/>
              <w:right w:val="single" w:sz="6" w:space="0" w:color="auto"/>
            </w:tcBorders>
          </w:tcPr>
          <w:p w14:paraId="34F443EB" w14:textId="77777777" w:rsidR="00613372" w:rsidRPr="003C0D21" w:rsidRDefault="00613372" w:rsidP="00613372">
            <w:pPr>
              <w:spacing w:before="60" w:after="60"/>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19DE66A4" w14:textId="77777777" w:rsidR="00613372" w:rsidRPr="003C0D21" w:rsidRDefault="00613372" w:rsidP="00613372">
            <w:pPr>
              <w:numPr>
                <w:ilvl w:val="0"/>
                <w:numId w:val="23"/>
              </w:numPr>
              <w:overflowPunct w:val="0"/>
              <w:autoSpaceDE w:val="0"/>
              <w:autoSpaceDN w:val="0"/>
              <w:adjustRightInd w:val="0"/>
              <w:spacing w:before="60" w:after="60" w:line="240" w:lineRule="auto"/>
              <w:textAlignment w:val="baseline"/>
              <w:rPr>
                <w:rFonts w:ascii="Times New Roman" w:hAnsi="Times New Roman" w:cs="Times New Roman"/>
              </w:rPr>
            </w:pPr>
            <w:r w:rsidRPr="003C0D21">
              <w:rPr>
                <w:rFonts w:ascii="Times New Roman" w:hAnsi="Times New Roman" w:cs="Times New Roman"/>
              </w:rPr>
              <w:t>wytrzymałość betonu na ściskanie</w:t>
            </w:r>
          </w:p>
        </w:tc>
        <w:tc>
          <w:tcPr>
            <w:tcW w:w="1909" w:type="dxa"/>
            <w:tcBorders>
              <w:top w:val="single" w:sz="6" w:space="0" w:color="auto"/>
              <w:left w:val="single" w:sz="6" w:space="0" w:color="auto"/>
              <w:bottom w:val="single" w:sz="6" w:space="0" w:color="auto"/>
              <w:right w:val="single" w:sz="6" w:space="0" w:color="auto"/>
            </w:tcBorders>
          </w:tcPr>
          <w:p w14:paraId="04145402" w14:textId="77777777" w:rsidR="00613372" w:rsidRPr="003C0D21" w:rsidRDefault="00613372" w:rsidP="00613372">
            <w:pPr>
              <w:spacing w:before="60" w:after="60"/>
              <w:rPr>
                <w:rFonts w:ascii="Times New Roman" w:hAnsi="Times New Roman" w:cs="Times New Roman"/>
              </w:rPr>
            </w:pPr>
            <w:r w:rsidRPr="003C0D21">
              <w:rPr>
                <w:rFonts w:ascii="Times New Roman" w:hAnsi="Times New Roman" w:cs="Times New Roman"/>
              </w:rPr>
              <w:t>raz dziennie</w:t>
            </w:r>
          </w:p>
        </w:tc>
        <w:tc>
          <w:tcPr>
            <w:tcW w:w="1701" w:type="dxa"/>
            <w:tcBorders>
              <w:top w:val="single" w:sz="6" w:space="0" w:color="auto"/>
              <w:left w:val="single" w:sz="6" w:space="0" w:color="auto"/>
              <w:bottom w:val="single" w:sz="6" w:space="0" w:color="auto"/>
              <w:right w:val="single" w:sz="6" w:space="0" w:color="auto"/>
            </w:tcBorders>
          </w:tcPr>
          <w:p w14:paraId="1AE78D92" w14:textId="77777777" w:rsidR="00613372" w:rsidRPr="003C0D21" w:rsidRDefault="00613372" w:rsidP="00613372">
            <w:pPr>
              <w:spacing w:before="60" w:after="60"/>
              <w:rPr>
                <w:rFonts w:ascii="Times New Roman" w:hAnsi="Times New Roman" w:cs="Times New Roman"/>
              </w:rPr>
            </w:pPr>
            <w:r w:rsidRPr="003C0D21">
              <w:rPr>
                <w:rFonts w:ascii="Times New Roman" w:hAnsi="Times New Roman" w:cs="Times New Roman"/>
              </w:rPr>
              <w:t>wg 2.2.9</w:t>
            </w:r>
          </w:p>
        </w:tc>
      </w:tr>
      <w:tr w:rsidR="00613372" w:rsidRPr="003C0D21" w14:paraId="1FFF04B5" w14:textId="77777777" w:rsidTr="00613372">
        <w:trPr>
          <w:jc w:val="center"/>
        </w:trPr>
        <w:tc>
          <w:tcPr>
            <w:tcW w:w="496" w:type="dxa"/>
            <w:tcBorders>
              <w:left w:val="single" w:sz="6" w:space="0" w:color="auto"/>
              <w:right w:val="single" w:sz="6" w:space="0" w:color="auto"/>
            </w:tcBorders>
          </w:tcPr>
          <w:p w14:paraId="61637208"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F1A99F6"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zgodność ułożenia zbrojenia</w:t>
            </w:r>
          </w:p>
        </w:tc>
        <w:tc>
          <w:tcPr>
            <w:tcW w:w="1909" w:type="dxa"/>
            <w:tcBorders>
              <w:top w:val="single" w:sz="6" w:space="0" w:color="auto"/>
              <w:left w:val="single" w:sz="6" w:space="0" w:color="auto"/>
              <w:right w:val="single" w:sz="6" w:space="0" w:color="auto"/>
            </w:tcBorders>
          </w:tcPr>
          <w:p w14:paraId="7A91524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1/5 liczby płyt</w:t>
            </w:r>
          </w:p>
        </w:tc>
        <w:tc>
          <w:tcPr>
            <w:tcW w:w="1701" w:type="dxa"/>
            <w:tcBorders>
              <w:top w:val="single" w:sz="6" w:space="0" w:color="auto"/>
              <w:left w:val="single" w:sz="6" w:space="0" w:color="auto"/>
              <w:right w:val="single" w:sz="6" w:space="0" w:color="auto"/>
            </w:tcBorders>
          </w:tcPr>
          <w:p w14:paraId="340E347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dokumentacji projektowej</w:t>
            </w:r>
          </w:p>
        </w:tc>
      </w:tr>
      <w:tr w:rsidR="00613372" w:rsidRPr="003C0D21" w14:paraId="610249F4" w14:textId="77777777" w:rsidTr="00613372">
        <w:trPr>
          <w:jc w:val="center"/>
        </w:trPr>
        <w:tc>
          <w:tcPr>
            <w:tcW w:w="496" w:type="dxa"/>
            <w:tcBorders>
              <w:top w:val="single" w:sz="6" w:space="0" w:color="auto"/>
              <w:left w:val="single" w:sz="6" w:space="0" w:color="auto"/>
              <w:right w:val="single" w:sz="6" w:space="0" w:color="auto"/>
            </w:tcBorders>
          </w:tcPr>
          <w:p w14:paraId="156460EF"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3</w:t>
            </w:r>
          </w:p>
        </w:tc>
        <w:tc>
          <w:tcPr>
            <w:tcW w:w="3402" w:type="dxa"/>
            <w:tcBorders>
              <w:top w:val="single" w:sz="6" w:space="0" w:color="auto"/>
              <w:left w:val="nil"/>
              <w:bottom w:val="single" w:sz="6" w:space="0" w:color="auto"/>
              <w:right w:val="single" w:sz="6" w:space="0" w:color="auto"/>
            </w:tcBorders>
          </w:tcPr>
          <w:p w14:paraId="46E767B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Badania odbiorcze po wykonaniu podbudowy</w:t>
            </w:r>
          </w:p>
          <w:p w14:paraId="3683E9B2"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grubość podbudowy</w:t>
            </w:r>
          </w:p>
          <w:p w14:paraId="7DA92D4C" w14:textId="77777777" w:rsidR="00613372" w:rsidRPr="003C0D21" w:rsidRDefault="00613372" w:rsidP="00613372">
            <w:pPr>
              <w:rPr>
                <w:rFonts w:ascii="Times New Roman" w:hAnsi="Times New Roman" w:cs="Times New Roman"/>
              </w:rPr>
            </w:pPr>
          </w:p>
        </w:tc>
        <w:tc>
          <w:tcPr>
            <w:tcW w:w="1909" w:type="dxa"/>
            <w:tcBorders>
              <w:top w:val="single" w:sz="6" w:space="0" w:color="auto"/>
              <w:left w:val="single" w:sz="6" w:space="0" w:color="auto"/>
              <w:right w:val="single" w:sz="6" w:space="0" w:color="auto"/>
            </w:tcBorders>
          </w:tcPr>
          <w:p w14:paraId="5E3BC26E" w14:textId="77777777" w:rsidR="00613372" w:rsidRPr="003C0D21" w:rsidRDefault="00613372" w:rsidP="00613372">
            <w:pPr>
              <w:rPr>
                <w:rFonts w:ascii="Times New Roman" w:hAnsi="Times New Roman" w:cs="Times New Roman"/>
              </w:rPr>
            </w:pPr>
          </w:p>
          <w:p w14:paraId="359EDFB0" w14:textId="77777777" w:rsidR="00613372" w:rsidRPr="003C0D21" w:rsidRDefault="00613372" w:rsidP="00613372">
            <w:pPr>
              <w:rPr>
                <w:rFonts w:ascii="Times New Roman" w:hAnsi="Times New Roman" w:cs="Times New Roman"/>
              </w:rPr>
            </w:pPr>
          </w:p>
          <w:p w14:paraId="2AF821B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raz na każde </w:t>
            </w:r>
            <w:smartTag w:uri="urn:schemas-microsoft-com:office:smarttags" w:element="metricconverter">
              <w:smartTagPr>
                <w:attr w:name="ProductID" w:val="2000 m"/>
              </w:smartTagPr>
              <w:r w:rsidRPr="003C0D21">
                <w:rPr>
                  <w:rFonts w:ascii="Times New Roman" w:hAnsi="Times New Roman" w:cs="Times New Roman"/>
                </w:rPr>
                <w:t>2000 m</w:t>
              </w:r>
            </w:smartTag>
            <w:r w:rsidRPr="003C0D21">
              <w:rPr>
                <w:rFonts w:ascii="Times New Roman" w:hAnsi="Times New Roman" w:cs="Times New Roman"/>
              </w:rPr>
              <w:t xml:space="preserve"> długości odbieranego</w:t>
            </w:r>
          </w:p>
        </w:tc>
        <w:tc>
          <w:tcPr>
            <w:tcW w:w="1701" w:type="dxa"/>
            <w:tcBorders>
              <w:top w:val="single" w:sz="6" w:space="0" w:color="auto"/>
              <w:left w:val="single" w:sz="6" w:space="0" w:color="auto"/>
              <w:right w:val="single" w:sz="6" w:space="0" w:color="auto"/>
            </w:tcBorders>
          </w:tcPr>
          <w:p w14:paraId="0C32BEA8" w14:textId="77777777" w:rsidR="00613372" w:rsidRPr="003C0D21" w:rsidRDefault="00613372" w:rsidP="00613372">
            <w:pPr>
              <w:rPr>
                <w:rFonts w:ascii="Times New Roman" w:hAnsi="Times New Roman" w:cs="Times New Roman"/>
              </w:rPr>
            </w:pPr>
          </w:p>
          <w:p w14:paraId="11C8DD98" w14:textId="77777777" w:rsidR="00613372" w:rsidRPr="003C0D21" w:rsidRDefault="00613372" w:rsidP="00613372">
            <w:pPr>
              <w:rPr>
                <w:rFonts w:ascii="Times New Roman" w:hAnsi="Times New Roman" w:cs="Times New Roman"/>
              </w:rPr>
            </w:pPr>
          </w:p>
          <w:p w14:paraId="61E9CA4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odchyłka grubości        </w:t>
            </w:r>
            <w:r w:rsidRPr="003C0D21">
              <w:rPr>
                <w:rFonts w:ascii="Times New Roman" w:hAnsi="Times New Roman" w:cs="Times New Roman"/>
              </w:rPr>
              <w:sym w:font="Symbol" w:char="F0B1"/>
            </w:r>
            <w:r w:rsidRPr="003C0D21">
              <w:rPr>
                <w:rFonts w:ascii="Times New Roman" w:hAnsi="Times New Roman" w:cs="Times New Roman"/>
              </w:rPr>
              <w:t xml:space="preserve"> </w:t>
            </w:r>
            <w:smartTag w:uri="urn:schemas-microsoft-com:office:smarttags" w:element="metricconverter">
              <w:smartTagPr>
                <w:attr w:name="ProductID" w:val="1 cm"/>
              </w:smartTagPr>
              <w:r w:rsidRPr="003C0D21">
                <w:rPr>
                  <w:rFonts w:ascii="Times New Roman" w:hAnsi="Times New Roman" w:cs="Times New Roman"/>
                </w:rPr>
                <w:t>1 cm</w:t>
              </w:r>
            </w:smartTag>
            <w:r w:rsidRPr="003C0D21">
              <w:rPr>
                <w:rFonts w:ascii="Times New Roman" w:hAnsi="Times New Roman" w:cs="Times New Roman"/>
              </w:rPr>
              <w:t>,</w:t>
            </w:r>
          </w:p>
        </w:tc>
      </w:tr>
      <w:tr w:rsidR="00613372" w:rsidRPr="003C0D21" w14:paraId="7D43D238" w14:textId="77777777" w:rsidTr="00613372">
        <w:trPr>
          <w:jc w:val="center"/>
        </w:trPr>
        <w:tc>
          <w:tcPr>
            <w:tcW w:w="496" w:type="dxa"/>
            <w:tcBorders>
              <w:left w:val="single" w:sz="6" w:space="0" w:color="auto"/>
              <w:right w:val="single" w:sz="6" w:space="0" w:color="auto"/>
            </w:tcBorders>
          </w:tcPr>
          <w:p w14:paraId="2FDC0403"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2692AFEC"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nasiąkliwość betonu w podbudowie</w:t>
            </w:r>
          </w:p>
        </w:tc>
        <w:tc>
          <w:tcPr>
            <w:tcW w:w="1909" w:type="dxa"/>
            <w:tcBorders>
              <w:left w:val="single" w:sz="6" w:space="0" w:color="auto"/>
              <w:bottom w:val="single" w:sz="6" w:space="0" w:color="auto"/>
              <w:right w:val="single" w:sz="6" w:space="0" w:color="auto"/>
            </w:tcBorders>
          </w:tcPr>
          <w:p w14:paraId="6473B97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odcinka</w:t>
            </w:r>
          </w:p>
        </w:tc>
        <w:tc>
          <w:tcPr>
            <w:tcW w:w="1701" w:type="dxa"/>
            <w:tcBorders>
              <w:left w:val="single" w:sz="6" w:space="0" w:color="auto"/>
              <w:bottom w:val="single" w:sz="6" w:space="0" w:color="auto"/>
              <w:right w:val="single" w:sz="6" w:space="0" w:color="auto"/>
            </w:tcBorders>
          </w:tcPr>
          <w:p w14:paraId="469FD88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nasiąkliwość wg PN-S-96014:1997 [10] i pktu 2.2.9</w:t>
            </w:r>
          </w:p>
        </w:tc>
      </w:tr>
      <w:tr w:rsidR="00613372" w:rsidRPr="003C0D21" w14:paraId="552A68D7" w14:textId="77777777" w:rsidTr="00613372">
        <w:trPr>
          <w:jc w:val="center"/>
        </w:trPr>
        <w:tc>
          <w:tcPr>
            <w:tcW w:w="496" w:type="dxa"/>
            <w:tcBorders>
              <w:left w:val="single" w:sz="6" w:space="0" w:color="auto"/>
              <w:right w:val="single" w:sz="6" w:space="0" w:color="auto"/>
            </w:tcBorders>
          </w:tcPr>
          <w:p w14:paraId="2DE49A3E"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5FE0594"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mrozoodporność betonu w podbudowie</w:t>
            </w:r>
          </w:p>
        </w:tc>
        <w:tc>
          <w:tcPr>
            <w:tcW w:w="1909" w:type="dxa"/>
            <w:tcBorders>
              <w:top w:val="single" w:sz="6" w:space="0" w:color="auto"/>
              <w:left w:val="single" w:sz="6" w:space="0" w:color="auto"/>
              <w:bottom w:val="single" w:sz="6" w:space="0" w:color="auto"/>
              <w:right w:val="single" w:sz="6" w:space="0" w:color="auto"/>
            </w:tcBorders>
          </w:tcPr>
          <w:p w14:paraId="6D28DC6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na próbkach badanej nasiąkliwości</w:t>
            </w:r>
          </w:p>
        </w:tc>
        <w:tc>
          <w:tcPr>
            <w:tcW w:w="1701" w:type="dxa"/>
            <w:tcBorders>
              <w:top w:val="single" w:sz="6" w:space="0" w:color="auto"/>
              <w:left w:val="single" w:sz="6" w:space="0" w:color="auto"/>
              <w:bottom w:val="single" w:sz="6" w:space="0" w:color="auto"/>
              <w:right w:val="single" w:sz="6" w:space="0" w:color="auto"/>
            </w:tcBorders>
          </w:tcPr>
          <w:p w14:paraId="539D1D6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PN-S-96014</w:t>
            </w:r>
          </w:p>
          <w:p w14:paraId="4D7D261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:1997 [10]</w:t>
            </w:r>
          </w:p>
        </w:tc>
      </w:tr>
      <w:tr w:rsidR="00613372" w:rsidRPr="003C0D21" w14:paraId="73FA2D9E" w14:textId="77777777" w:rsidTr="00613372">
        <w:trPr>
          <w:jc w:val="center"/>
        </w:trPr>
        <w:tc>
          <w:tcPr>
            <w:tcW w:w="496" w:type="dxa"/>
            <w:tcBorders>
              <w:left w:val="single" w:sz="6" w:space="0" w:color="auto"/>
              <w:right w:val="single" w:sz="6" w:space="0" w:color="auto"/>
            </w:tcBorders>
          </w:tcPr>
          <w:p w14:paraId="5704D3F3"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6F43F4EE"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szerokość podbudowy</w:t>
            </w:r>
          </w:p>
        </w:tc>
        <w:tc>
          <w:tcPr>
            <w:tcW w:w="1909" w:type="dxa"/>
            <w:tcBorders>
              <w:top w:val="single" w:sz="6" w:space="0" w:color="auto"/>
              <w:left w:val="single" w:sz="6" w:space="0" w:color="auto"/>
              <w:bottom w:val="single" w:sz="6" w:space="0" w:color="auto"/>
              <w:right w:val="single" w:sz="6" w:space="0" w:color="auto"/>
            </w:tcBorders>
          </w:tcPr>
          <w:p w14:paraId="1D183EA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10 razy na </w:t>
            </w:r>
            <w:smartTag w:uri="urn:schemas-microsoft-com:office:smarttags" w:element="metricconverter">
              <w:smartTagPr>
                <w:attr w:name="ProductID" w:val="1 km"/>
              </w:smartTagPr>
              <w:r w:rsidRPr="003C0D21">
                <w:rPr>
                  <w:rFonts w:ascii="Times New Roman" w:hAnsi="Times New Roman" w:cs="Times New Roman"/>
                </w:rPr>
                <w:t>1 km</w:t>
              </w:r>
            </w:smartTag>
          </w:p>
        </w:tc>
        <w:tc>
          <w:tcPr>
            <w:tcW w:w="1701" w:type="dxa"/>
            <w:tcBorders>
              <w:top w:val="single" w:sz="6" w:space="0" w:color="auto"/>
              <w:left w:val="single" w:sz="6" w:space="0" w:color="auto"/>
              <w:bottom w:val="single" w:sz="6" w:space="0" w:color="auto"/>
              <w:right w:val="single" w:sz="6" w:space="0" w:color="auto"/>
            </w:tcBorders>
          </w:tcPr>
          <w:p w14:paraId="46277D2E"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odchyłka szerokości </w:t>
            </w:r>
            <w:r w:rsidRPr="003C0D21">
              <w:rPr>
                <w:rFonts w:ascii="Times New Roman" w:hAnsi="Times New Roman" w:cs="Times New Roman"/>
              </w:rPr>
              <w:sym w:font="Symbol" w:char="F0B1"/>
            </w:r>
            <w:r w:rsidRPr="003C0D21">
              <w:rPr>
                <w:rFonts w:ascii="Times New Roman" w:hAnsi="Times New Roman" w:cs="Times New Roman"/>
              </w:rPr>
              <w:t xml:space="preserve"> </w:t>
            </w:r>
            <w:smartTag w:uri="urn:schemas-microsoft-com:office:smarttags" w:element="metricconverter">
              <w:smartTagPr>
                <w:attr w:name="ProductID" w:val="5 cm"/>
              </w:smartTagPr>
              <w:r w:rsidRPr="003C0D21">
                <w:rPr>
                  <w:rFonts w:ascii="Times New Roman" w:hAnsi="Times New Roman" w:cs="Times New Roman"/>
                </w:rPr>
                <w:t>5 cm</w:t>
              </w:r>
            </w:smartTag>
          </w:p>
        </w:tc>
      </w:tr>
      <w:tr w:rsidR="00613372" w:rsidRPr="003C0D21" w14:paraId="0B7B9A2B" w14:textId="77777777" w:rsidTr="00613372">
        <w:trPr>
          <w:jc w:val="center"/>
        </w:trPr>
        <w:tc>
          <w:tcPr>
            <w:tcW w:w="496" w:type="dxa"/>
            <w:tcBorders>
              <w:left w:val="single" w:sz="6" w:space="0" w:color="auto"/>
              <w:right w:val="single" w:sz="6" w:space="0" w:color="auto"/>
            </w:tcBorders>
          </w:tcPr>
          <w:p w14:paraId="5FB4F36B"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BEB34CD"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równość w przekroju poprzecznym</w:t>
            </w:r>
          </w:p>
        </w:tc>
        <w:tc>
          <w:tcPr>
            <w:tcW w:w="1909" w:type="dxa"/>
            <w:tcBorders>
              <w:top w:val="single" w:sz="6" w:space="0" w:color="auto"/>
              <w:left w:val="single" w:sz="6" w:space="0" w:color="auto"/>
              <w:bottom w:val="single" w:sz="6" w:space="0" w:color="auto"/>
              <w:right w:val="single" w:sz="6" w:space="0" w:color="auto"/>
            </w:tcBorders>
          </w:tcPr>
          <w:p w14:paraId="495569A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10 razy na </w:t>
            </w:r>
            <w:smartTag w:uri="urn:schemas-microsoft-com:office:smarttags" w:element="metricconverter">
              <w:smartTagPr>
                <w:attr w:name="ProductID" w:val="1 km"/>
              </w:smartTagPr>
              <w:r w:rsidRPr="003C0D21">
                <w:rPr>
                  <w:rFonts w:ascii="Times New Roman" w:hAnsi="Times New Roman" w:cs="Times New Roman"/>
                </w:rPr>
                <w:t>1 km</w:t>
              </w:r>
            </w:smartTag>
            <w:r w:rsidRPr="003C0D21">
              <w:rPr>
                <w:rFonts w:ascii="Times New Roman" w:hAnsi="Times New Roman" w:cs="Times New Roman"/>
              </w:rPr>
              <w:t xml:space="preserve"> i w punktach głównych łuków poziomych</w:t>
            </w:r>
          </w:p>
        </w:tc>
        <w:tc>
          <w:tcPr>
            <w:tcW w:w="1701" w:type="dxa"/>
            <w:tcBorders>
              <w:top w:val="single" w:sz="6" w:space="0" w:color="auto"/>
              <w:left w:val="single" w:sz="6" w:space="0" w:color="auto"/>
              <w:bottom w:val="single" w:sz="6" w:space="0" w:color="auto"/>
              <w:right w:val="single" w:sz="6" w:space="0" w:color="auto"/>
            </w:tcBorders>
          </w:tcPr>
          <w:p w14:paraId="6CC2E29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prześwity między łatą a powierzchnią ≤ </w:t>
            </w:r>
            <w:smartTag w:uri="urn:schemas-microsoft-com:office:smarttags" w:element="metricconverter">
              <w:smartTagPr>
                <w:attr w:name="ProductID" w:val="12 mm"/>
              </w:smartTagPr>
              <w:r w:rsidRPr="003C0D21">
                <w:rPr>
                  <w:rFonts w:ascii="Times New Roman" w:hAnsi="Times New Roman" w:cs="Times New Roman"/>
                </w:rPr>
                <w:t>12 mm</w:t>
              </w:r>
            </w:smartTag>
          </w:p>
        </w:tc>
      </w:tr>
      <w:tr w:rsidR="00613372" w:rsidRPr="003C0D21" w14:paraId="281F49E9" w14:textId="77777777" w:rsidTr="00613372">
        <w:trPr>
          <w:jc w:val="center"/>
        </w:trPr>
        <w:tc>
          <w:tcPr>
            <w:tcW w:w="496" w:type="dxa"/>
            <w:tcBorders>
              <w:left w:val="single" w:sz="6" w:space="0" w:color="auto"/>
              <w:right w:val="single" w:sz="6" w:space="0" w:color="auto"/>
            </w:tcBorders>
          </w:tcPr>
          <w:p w14:paraId="1FD618E6"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7385E8A6"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spadki poprzeczne</w:t>
            </w:r>
          </w:p>
        </w:tc>
        <w:tc>
          <w:tcPr>
            <w:tcW w:w="1909" w:type="dxa"/>
            <w:tcBorders>
              <w:top w:val="single" w:sz="6" w:space="0" w:color="auto"/>
              <w:left w:val="single" w:sz="6" w:space="0" w:color="auto"/>
              <w:bottom w:val="single" w:sz="6" w:space="0" w:color="auto"/>
              <w:right w:val="single" w:sz="6" w:space="0" w:color="auto"/>
            </w:tcBorders>
          </w:tcPr>
          <w:p w14:paraId="733B11E0"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jw.</w:t>
            </w:r>
          </w:p>
        </w:tc>
        <w:tc>
          <w:tcPr>
            <w:tcW w:w="1701" w:type="dxa"/>
            <w:tcBorders>
              <w:top w:val="single" w:sz="6" w:space="0" w:color="auto"/>
              <w:left w:val="single" w:sz="6" w:space="0" w:color="auto"/>
              <w:bottom w:val="single" w:sz="6" w:space="0" w:color="auto"/>
              <w:right w:val="single" w:sz="6" w:space="0" w:color="auto"/>
            </w:tcBorders>
          </w:tcPr>
          <w:p w14:paraId="3C29BC0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odchylenia </w:t>
            </w:r>
            <w:r w:rsidRPr="003C0D21">
              <w:rPr>
                <w:rFonts w:ascii="Times New Roman" w:hAnsi="Times New Roman" w:cs="Times New Roman"/>
              </w:rPr>
              <w:sym w:font="Symbol" w:char="F0B1"/>
            </w:r>
            <w:r w:rsidRPr="003C0D21">
              <w:rPr>
                <w:rFonts w:ascii="Times New Roman" w:hAnsi="Times New Roman" w:cs="Times New Roman"/>
              </w:rPr>
              <w:t xml:space="preserve"> 0,5% spadków zaprojektowanych</w:t>
            </w:r>
          </w:p>
        </w:tc>
      </w:tr>
      <w:tr w:rsidR="00613372" w:rsidRPr="003C0D21" w14:paraId="5947A25A" w14:textId="77777777" w:rsidTr="00613372">
        <w:trPr>
          <w:jc w:val="center"/>
        </w:trPr>
        <w:tc>
          <w:tcPr>
            <w:tcW w:w="496" w:type="dxa"/>
            <w:tcBorders>
              <w:left w:val="single" w:sz="6" w:space="0" w:color="auto"/>
              <w:right w:val="single" w:sz="6" w:space="0" w:color="auto"/>
            </w:tcBorders>
          </w:tcPr>
          <w:p w14:paraId="536342AA"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2201577D"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rzędne wysokościowe podbudowy</w:t>
            </w:r>
          </w:p>
        </w:tc>
        <w:tc>
          <w:tcPr>
            <w:tcW w:w="1909" w:type="dxa"/>
            <w:tcBorders>
              <w:top w:val="single" w:sz="6" w:space="0" w:color="auto"/>
              <w:left w:val="single" w:sz="6" w:space="0" w:color="auto"/>
              <w:bottom w:val="single" w:sz="6" w:space="0" w:color="auto"/>
              <w:right w:val="single" w:sz="6" w:space="0" w:color="auto"/>
            </w:tcBorders>
          </w:tcPr>
          <w:p w14:paraId="2886272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na 0,1 długości odbieranego odcinka podbudowy</w:t>
            </w:r>
          </w:p>
        </w:tc>
        <w:tc>
          <w:tcPr>
            <w:tcW w:w="1701" w:type="dxa"/>
            <w:tcBorders>
              <w:top w:val="single" w:sz="6" w:space="0" w:color="auto"/>
              <w:left w:val="single" w:sz="6" w:space="0" w:color="auto"/>
              <w:bottom w:val="single" w:sz="6" w:space="0" w:color="auto"/>
              <w:right w:val="single" w:sz="6" w:space="0" w:color="auto"/>
            </w:tcBorders>
          </w:tcPr>
          <w:p w14:paraId="3D9A089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odchylenie </w:t>
            </w:r>
            <w:r w:rsidRPr="003C0D21">
              <w:rPr>
                <w:rFonts w:ascii="Times New Roman" w:hAnsi="Times New Roman" w:cs="Times New Roman"/>
              </w:rPr>
              <w:sym w:font="Symbol" w:char="F0B1"/>
            </w:r>
            <w:r w:rsidRPr="003C0D21">
              <w:rPr>
                <w:rFonts w:ascii="Times New Roman" w:hAnsi="Times New Roman" w:cs="Times New Roman"/>
              </w:rPr>
              <w:t xml:space="preserve"> </w:t>
            </w:r>
            <w:smartTag w:uri="urn:schemas-microsoft-com:office:smarttags" w:element="metricconverter">
              <w:smartTagPr>
                <w:attr w:name="ProductID" w:val="10 mm"/>
              </w:smartTagPr>
              <w:r w:rsidRPr="003C0D21">
                <w:rPr>
                  <w:rFonts w:ascii="Times New Roman" w:hAnsi="Times New Roman" w:cs="Times New Roman"/>
                </w:rPr>
                <w:t>10 mm</w:t>
              </w:r>
            </w:smartTag>
            <w:r w:rsidRPr="003C0D21">
              <w:rPr>
                <w:rFonts w:ascii="Times New Roman" w:hAnsi="Times New Roman" w:cs="Times New Roman"/>
              </w:rPr>
              <w:t xml:space="preserve"> od rzędnych zaprojektowanych</w:t>
            </w:r>
          </w:p>
        </w:tc>
      </w:tr>
      <w:tr w:rsidR="00613372" w:rsidRPr="003C0D21" w14:paraId="7B6D26F5" w14:textId="77777777" w:rsidTr="00613372">
        <w:trPr>
          <w:jc w:val="center"/>
        </w:trPr>
        <w:tc>
          <w:tcPr>
            <w:tcW w:w="496" w:type="dxa"/>
            <w:tcBorders>
              <w:left w:val="single" w:sz="6" w:space="0" w:color="auto"/>
              <w:right w:val="single" w:sz="6" w:space="0" w:color="auto"/>
            </w:tcBorders>
          </w:tcPr>
          <w:p w14:paraId="2C2C4451"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945A74D"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równość podbudowy w profilu podłużnym (badania planografem lub łatą 4-metrową)</w:t>
            </w:r>
          </w:p>
        </w:tc>
        <w:tc>
          <w:tcPr>
            <w:tcW w:w="1909" w:type="dxa"/>
            <w:tcBorders>
              <w:top w:val="single" w:sz="6" w:space="0" w:color="auto"/>
              <w:left w:val="single" w:sz="6" w:space="0" w:color="auto"/>
              <w:bottom w:val="single" w:sz="6" w:space="0" w:color="auto"/>
              <w:right w:val="single" w:sz="6" w:space="0" w:color="auto"/>
            </w:tcBorders>
          </w:tcPr>
          <w:p w14:paraId="4030009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w dziesięciu miejscach na każde </w:t>
            </w:r>
            <w:smartTag w:uri="urn:schemas-microsoft-com:office:smarttags" w:element="metricconverter">
              <w:smartTagPr>
                <w:attr w:name="ProductID" w:val="1000 m"/>
              </w:smartTagPr>
              <w:r w:rsidRPr="003C0D21">
                <w:rPr>
                  <w:rFonts w:ascii="Times New Roman" w:hAnsi="Times New Roman" w:cs="Times New Roman"/>
                </w:rPr>
                <w:t>1000 m</w:t>
              </w:r>
            </w:smartTag>
            <w:r w:rsidRPr="003C0D21">
              <w:rPr>
                <w:rFonts w:ascii="Times New Roman" w:hAnsi="Times New Roman" w:cs="Times New Roman"/>
              </w:rPr>
              <w:t xml:space="preserve"> długości odcinka</w:t>
            </w:r>
          </w:p>
        </w:tc>
        <w:tc>
          <w:tcPr>
            <w:tcW w:w="1701" w:type="dxa"/>
            <w:tcBorders>
              <w:top w:val="single" w:sz="6" w:space="0" w:color="auto"/>
              <w:left w:val="single" w:sz="6" w:space="0" w:color="auto"/>
              <w:bottom w:val="single" w:sz="6" w:space="0" w:color="auto"/>
              <w:right w:val="single" w:sz="6" w:space="0" w:color="auto"/>
            </w:tcBorders>
          </w:tcPr>
          <w:p w14:paraId="0C92EBC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nierówności           ≤ </w:t>
            </w:r>
            <w:smartTag w:uri="urn:schemas-microsoft-com:office:smarttags" w:element="metricconverter">
              <w:smartTagPr>
                <w:attr w:name="ProductID" w:val="12 mm"/>
              </w:smartTagPr>
              <w:r w:rsidRPr="003C0D21">
                <w:rPr>
                  <w:rFonts w:ascii="Times New Roman" w:hAnsi="Times New Roman" w:cs="Times New Roman"/>
                </w:rPr>
                <w:t>12 mm</w:t>
              </w:r>
            </w:smartTag>
          </w:p>
        </w:tc>
      </w:tr>
      <w:tr w:rsidR="00613372" w:rsidRPr="003C0D21" w14:paraId="2762B664" w14:textId="77777777" w:rsidTr="00613372">
        <w:trPr>
          <w:jc w:val="center"/>
        </w:trPr>
        <w:tc>
          <w:tcPr>
            <w:tcW w:w="496" w:type="dxa"/>
            <w:tcBorders>
              <w:left w:val="single" w:sz="6" w:space="0" w:color="auto"/>
              <w:right w:val="single" w:sz="6" w:space="0" w:color="auto"/>
            </w:tcBorders>
          </w:tcPr>
          <w:p w14:paraId="257C7F24"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34263E8D"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wytrzymałość betonu w podbudowie (metodą nieniszczącą lub na próbkach wyciętych)</w:t>
            </w:r>
          </w:p>
        </w:tc>
        <w:tc>
          <w:tcPr>
            <w:tcW w:w="1909" w:type="dxa"/>
            <w:tcBorders>
              <w:top w:val="single" w:sz="6" w:space="0" w:color="auto"/>
              <w:left w:val="single" w:sz="6" w:space="0" w:color="auto"/>
              <w:bottom w:val="single" w:sz="6" w:space="0" w:color="auto"/>
              <w:right w:val="single" w:sz="6" w:space="0" w:color="auto"/>
            </w:tcBorders>
          </w:tcPr>
          <w:p w14:paraId="3A3A831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 trzech losowo wybranych miejscach na każdym kilometrze</w:t>
            </w:r>
          </w:p>
        </w:tc>
        <w:tc>
          <w:tcPr>
            <w:tcW w:w="1701" w:type="dxa"/>
            <w:tcBorders>
              <w:top w:val="single" w:sz="6" w:space="0" w:color="auto"/>
              <w:left w:val="single" w:sz="6" w:space="0" w:color="auto"/>
              <w:bottom w:val="single" w:sz="6" w:space="0" w:color="auto"/>
              <w:right w:val="single" w:sz="6" w:space="0" w:color="auto"/>
            </w:tcBorders>
          </w:tcPr>
          <w:p w14:paraId="71C3B0F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wg PN-S-96014</w:t>
            </w:r>
          </w:p>
          <w:p w14:paraId="7B69DD7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:1997 [10]</w:t>
            </w:r>
          </w:p>
        </w:tc>
      </w:tr>
      <w:tr w:rsidR="00613372" w:rsidRPr="003C0D21" w14:paraId="50B88365" w14:textId="77777777" w:rsidTr="00613372">
        <w:trPr>
          <w:jc w:val="center"/>
        </w:trPr>
        <w:tc>
          <w:tcPr>
            <w:tcW w:w="496" w:type="dxa"/>
            <w:tcBorders>
              <w:left w:val="single" w:sz="6" w:space="0" w:color="auto"/>
              <w:bottom w:val="single" w:sz="6" w:space="0" w:color="auto"/>
              <w:right w:val="single" w:sz="6" w:space="0" w:color="auto"/>
            </w:tcBorders>
          </w:tcPr>
          <w:p w14:paraId="10FBD3CD"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27F91F2A"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ukształtowanie osi w planie</w:t>
            </w:r>
          </w:p>
        </w:tc>
        <w:tc>
          <w:tcPr>
            <w:tcW w:w="1909" w:type="dxa"/>
            <w:tcBorders>
              <w:top w:val="single" w:sz="6" w:space="0" w:color="auto"/>
              <w:left w:val="single" w:sz="6" w:space="0" w:color="auto"/>
              <w:bottom w:val="single" w:sz="6" w:space="0" w:color="auto"/>
              <w:right w:val="single" w:sz="6" w:space="0" w:color="auto"/>
            </w:tcBorders>
          </w:tcPr>
          <w:p w14:paraId="1B2D50D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co </w:t>
            </w:r>
            <w:smartTag w:uri="urn:schemas-microsoft-com:office:smarttags" w:element="metricconverter">
              <w:smartTagPr>
                <w:attr w:name="ProductID" w:val="25 m"/>
              </w:smartTagPr>
              <w:r w:rsidRPr="003C0D21">
                <w:rPr>
                  <w:rFonts w:ascii="Times New Roman" w:hAnsi="Times New Roman" w:cs="Times New Roman"/>
                </w:rPr>
                <w:t>25 m</w:t>
              </w:r>
            </w:smartTag>
            <w:r w:rsidRPr="003C0D21">
              <w:rPr>
                <w:rFonts w:ascii="Times New Roman" w:hAnsi="Times New Roman" w:cs="Times New Roman"/>
              </w:rPr>
              <w:t xml:space="preserve"> i punktach głównych łuku dla autostrad i dróg eks-presowych i co </w:t>
            </w:r>
            <w:smartTag w:uri="urn:schemas-microsoft-com:office:smarttags" w:element="metricconverter">
              <w:smartTagPr>
                <w:attr w:name="ProductID" w:val="100 m"/>
              </w:smartTagPr>
              <w:r w:rsidRPr="003C0D21">
                <w:rPr>
                  <w:rFonts w:ascii="Times New Roman" w:hAnsi="Times New Roman" w:cs="Times New Roman"/>
                </w:rPr>
                <w:lastRenderedPageBreak/>
                <w:t>100 m</w:t>
              </w:r>
            </w:smartTag>
            <w:r w:rsidRPr="003C0D21">
              <w:rPr>
                <w:rFonts w:ascii="Times New Roman" w:hAnsi="Times New Roman" w:cs="Times New Roman"/>
              </w:rPr>
              <w:t xml:space="preserve"> dla pozostałych dróg</w:t>
            </w:r>
          </w:p>
        </w:tc>
        <w:tc>
          <w:tcPr>
            <w:tcW w:w="1701" w:type="dxa"/>
            <w:tcBorders>
              <w:top w:val="single" w:sz="6" w:space="0" w:color="auto"/>
              <w:left w:val="single" w:sz="6" w:space="0" w:color="auto"/>
              <w:bottom w:val="single" w:sz="6" w:space="0" w:color="auto"/>
              <w:right w:val="single" w:sz="6" w:space="0" w:color="auto"/>
            </w:tcBorders>
          </w:tcPr>
          <w:p w14:paraId="348440D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lastRenderedPageBreak/>
              <w:t xml:space="preserve">odchylenie od osi zaprojektowanej          ≤ </w:t>
            </w:r>
            <w:smartTag w:uri="urn:schemas-microsoft-com:office:smarttags" w:element="metricconverter">
              <w:smartTagPr>
                <w:attr w:name="ProductID" w:val="3 cm"/>
              </w:smartTagPr>
              <w:r w:rsidRPr="003C0D21">
                <w:rPr>
                  <w:rFonts w:ascii="Times New Roman" w:hAnsi="Times New Roman" w:cs="Times New Roman"/>
                </w:rPr>
                <w:t>3 cm</w:t>
              </w:r>
            </w:smartTag>
            <w:r w:rsidRPr="003C0D21">
              <w:rPr>
                <w:rFonts w:ascii="Times New Roman" w:hAnsi="Times New Roman" w:cs="Times New Roman"/>
              </w:rPr>
              <w:t xml:space="preserve"> dla auto-strad i dróg eks-    presowych i </w:t>
            </w:r>
            <w:smartTag w:uri="urn:schemas-microsoft-com:office:smarttags" w:element="metricconverter">
              <w:smartTagPr>
                <w:attr w:name="ProductID" w:val="5 cm"/>
              </w:smartTagPr>
              <w:r w:rsidRPr="003C0D21">
                <w:rPr>
                  <w:rFonts w:ascii="Times New Roman" w:hAnsi="Times New Roman" w:cs="Times New Roman"/>
                </w:rPr>
                <w:t>5 cm</w:t>
              </w:r>
            </w:smartTag>
            <w:r w:rsidRPr="003C0D21">
              <w:rPr>
                <w:rFonts w:ascii="Times New Roman" w:hAnsi="Times New Roman" w:cs="Times New Roman"/>
              </w:rPr>
              <w:t xml:space="preserve"> </w:t>
            </w:r>
            <w:r w:rsidRPr="003C0D21">
              <w:rPr>
                <w:rFonts w:ascii="Times New Roman" w:hAnsi="Times New Roman" w:cs="Times New Roman"/>
              </w:rPr>
              <w:lastRenderedPageBreak/>
              <w:t>dla pozostałych dróg</w:t>
            </w:r>
          </w:p>
        </w:tc>
      </w:tr>
      <w:tr w:rsidR="00613372" w:rsidRPr="003C0D21" w14:paraId="404E084B" w14:textId="77777777" w:rsidTr="00613372">
        <w:trPr>
          <w:jc w:val="center"/>
        </w:trPr>
        <w:tc>
          <w:tcPr>
            <w:tcW w:w="496" w:type="dxa"/>
            <w:tcBorders>
              <w:top w:val="single" w:sz="6" w:space="0" w:color="auto"/>
              <w:left w:val="single" w:sz="6" w:space="0" w:color="auto"/>
              <w:bottom w:val="single" w:sz="6" w:space="0" w:color="auto"/>
              <w:right w:val="single" w:sz="6" w:space="0" w:color="auto"/>
            </w:tcBorders>
          </w:tcPr>
          <w:p w14:paraId="5195AD3B"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lastRenderedPageBreak/>
              <w:t>1</w:t>
            </w:r>
          </w:p>
        </w:tc>
        <w:tc>
          <w:tcPr>
            <w:tcW w:w="3402" w:type="dxa"/>
            <w:tcBorders>
              <w:top w:val="single" w:sz="6" w:space="0" w:color="auto"/>
              <w:left w:val="nil"/>
              <w:bottom w:val="single" w:sz="6" w:space="0" w:color="auto"/>
              <w:right w:val="single" w:sz="6" w:space="0" w:color="auto"/>
            </w:tcBorders>
          </w:tcPr>
          <w:p w14:paraId="76238DB7"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2</w:t>
            </w:r>
          </w:p>
        </w:tc>
        <w:tc>
          <w:tcPr>
            <w:tcW w:w="1909" w:type="dxa"/>
            <w:tcBorders>
              <w:top w:val="single" w:sz="6" w:space="0" w:color="auto"/>
              <w:left w:val="single" w:sz="6" w:space="0" w:color="auto"/>
              <w:bottom w:val="single" w:sz="6" w:space="0" w:color="auto"/>
              <w:right w:val="single" w:sz="6" w:space="0" w:color="auto"/>
            </w:tcBorders>
          </w:tcPr>
          <w:p w14:paraId="4D00AB27"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3</w:t>
            </w:r>
          </w:p>
        </w:tc>
        <w:tc>
          <w:tcPr>
            <w:tcW w:w="1701" w:type="dxa"/>
            <w:tcBorders>
              <w:top w:val="single" w:sz="6" w:space="0" w:color="auto"/>
              <w:left w:val="single" w:sz="6" w:space="0" w:color="auto"/>
              <w:bottom w:val="single" w:sz="6" w:space="0" w:color="auto"/>
              <w:right w:val="single" w:sz="6" w:space="0" w:color="auto"/>
            </w:tcBorders>
          </w:tcPr>
          <w:p w14:paraId="2DB2D2CF" w14:textId="77777777" w:rsidR="00613372" w:rsidRPr="003C0D21" w:rsidRDefault="00613372" w:rsidP="00613372">
            <w:pPr>
              <w:jc w:val="center"/>
              <w:rPr>
                <w:rFonts w:ascii="Times New Roman" w:hAnsi="Times New Roman" w:cs="Times New Roman"/>
              </w:rPr>
            </w:pPr>
            <w:r w:rsidRPr="003C0D21">
              <w:rPr>
                <w:rFonts w:ascii="Times New Roman" w:hAnsi="Times New Roman" w:cs="Times New Roman"/>
              </w:rPr>
              <w:t>4</w:t>
            </w:r>
          </w:p>
        </w:tc>
      </w:tr>
      <w:tr w:rsidR="00613372" w:rsidRPr="003C0D21" w14:paraId="24171526" w14:textId="77777777" w:rsidTr="00613372">
        <w:trPr>
          <w:jc w:val="center"/>
        </w:trPr>
        <w:tc>
          <w:tcPr>
            <w:tcW w:w="496" w:type="dxa"/>
            <w:tcBorders>
              <w:top w:val="single" w:sz="6" w:space="0" w:color="auto"/>
              <w:left w:val="single" w:sz="6" w:space="0" w:color="auto"/>
              <w:bottom w:val="single" w:sz="6" w:space="0" w:color="auto"/>
              <w:right w:val="single" w:sz="6" w:space="0" w:color="auto"/>
            </w:tcBorders>
          </w:tcPr>
          <w:p w14:paraId="0CA10ED3" w14:textId="77777777" w:rsidR="00613372" w:rsidRPr="003C0D21" w:rsidRDefault="00613372" w:rsidP="00613372">
            <w:pPr>
              <w:jc w:val="center"/>
              <w:rPr>
                <w:rFonts w:ascii="Times New Roman" w:hAnsi="Times New Roman" w:cs="Times New Roman"/>
              </w:rPr>
            </w:pPr>
          </w:p>
        </w:tc>
        <w:tc>
          <w:tcPr>
            <w:tcW w:w="3402" w:type="dxa"/>
            <w:tcBorders>
              <w:top w:val="single" w:sz="6" w:space="0" w:color="auto"/>
              <w:left w:val="nil"/>
              <w:bottom w:val="single" w:sz="6" w:space="0" w:color="auto"/>
              <w:right w:val="single" w:sz="6" w:space="0" w:color="auto"/>
            </w:tcBorders>
          </w:tcPr>
          <w:p w14:paraId="19C26582" w14:textId="77777777" w:rsidR="00613372" w:rsidRPr="003C0D21" w:rsidRDefault="00613372" w:rsidP="00613372">
            <w:pPr>
              <w:numPr>
                <w:ilvl w:val="0"/>
                <w:numId w:val="23"/>
              </w:numPr>
              <w:overflowPunct w:val="0"/>
              <w:autoSpaceDE w:val="0"/>
              <w:autoSpaceDN w:val="0"/>
              <w:adjustRightInd w:val="0"/>
              <w:spacing w:after="0" w:line="240" w:lineRule="auto"/>
              <w:textAlignment w:val="baseline"/>
              <w:rPr>
                <w:rFonts w:ascii="Times New Roman" w:hAnsi="Times New Roman" w:cs="Times New Roman"/>
              </w:rPr>
            </w:pPr>
            <w:r w:rsidRPr="003C0D21">
              <w:rPr>
                <w:rFonts w:ascii="Times New Roman" w:hAnsi="Times New Roman" w:cs="Times New Roman"/>
              </w:rPr>
              <w:t>rozmieszczenie i wypełnienie szczelin</w:t>
            </w:r>
          </w:p>
        </w:tc>
        <w:tc>
          <w:tcPr>
            <w:tcW w:w="1909" w:type="dxa"/>
            <w:tcBorders>
              <w:top w:val="single" w:sz="6" w:space="0" w:color="auto"/>
              <w:left w:val="single" w:sz="6" w:space="0" w:color="auto"/>
              <w:bottom w:val="single" w:sz="6" w:space="0" w:color="auto"/>
              <w:right w:val="single" w:sz="6" w:space="0" w:color="auto"/>
            </w:tcBorders>
          </w:tcPr>
          <w:p w14:paraId="51BCF030"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w dwóch miejscach losowo wybranych na każde </w:t>
            </w:r>
            <w:smartTag w:uri="urn:schemas-microsoft-com:office:smarttags" w:element="metricconverter">
              <w:smartTagPr>
                <w:attr w:name="ProductID" w:val="2000 m"/>
              </w:smartTagPr>
              <w:r w:rsidRPr="003C0D21">
                <w:rPr>
                  <w:rFonts w:ascii="Times New Roman" w:hAnsi="Times New Roman" w:cs="Times New Roman"/>
                </w:rPr>
                <w:t>2000 m</w:t>
              </w:r>
            </w:smartTag>
            <w:r w:rsidRPr="003C0D21">
              <w:rPr>
                <w:rFonts w:ascii="Times New Roman" w:hAnsi="Times New Roman" w:cs="Times New Roman"/>
              </w:rPr>
              <w:t xml:space="preserve"> długości odcinka</w:t>
            </w:r>
          </w:p>
        </w:tc>
        <w:tc>
          <w:tcPr>
            <w:tcW w:w="1701" w:type="dxa"/>
            <w:tcBorders>
              <w:top w:val="single" w:sz="6" w:space="0" w:color="auto"/>
              <w:left w:val="single" w:sz="6" w:space="0" w:color="auto"/>
              <w:bottom w:val="single" w:sz="6" w:space="0" w:color="auto"/>
              <w:right w:val="single" w:sz="6" w:space="0" w:color="auto"/>
            </w:tcBorders>
          </w:tcPr>
          <w:p w14:paraId="5857319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oględziny zgodności z dokumentacją projektową</w:t>
            </w:r>
          </w:p>
        </w:tc>
      </w:tr>
    </w:tbl>
    <w:p w14:paraId="249326BA" w14:textId="77777777" w:rsidR="00613372" w:rsidRPr="003C0D21" w:rsidRDefault="00613372" w:rsidP="00613372">
      <w:pPr>
        <w:pStyle w:val="Nagwek1"/>
        <w:rPr>
          <w:sz w:val="22"/>
          <w:szCs w:val="22"/>
        </w:rPr>
      </w:pPr>
      <w:bookmarkStart w:id="423" w:name="_Toc63568303"/>
      <w:bookmarkStart w:id="424" w:name="_Toc73770661"/>
      <w:bookmarkStart w:id="425" w:name="_Toc113935593"/>
      <w:r w:rsidRPr="003C0D21">
        <w:rPr>
          <w:sz w:val="22"/>
          <w:szCs w:val="22"/>
        </w:rPr>
        <w:t>7. OBMIAR ROBÓT</w:t>
      </w:r>
      <w:bookmarkEnd w:id="423"/>
      <w:bookmarkEnd w:id="424"/>
      <w:bookmarkEnd w:id="425"/>
    </w:p>
    <w:p w14:paraId="3C4171D5" w14:textId="77777777" w:rsidR="00613372" w:rsidRPr="003C0D21" w:rsidRDefault="00613372" w:rsidP="00613372">
      <w:pPr>
        <w:pStyle w:val="Nagwek2"/>
        <w:numPr>
          <w:ilvl w:val="12"/>
          <w:numId w:val="0"/>
        </w:numPr>
        <w:rPr>
          <w:sz w:val="22"/>
          <w:szCs w:val="22"/>
        </w:rPr>
      </w:pPr>
      <w:r w:rsidRPr="003C0D21">
        <w:rPr>
          <w:sz w:val="22"/>
          <w:szCs w:val="22"/>
        </w:rPr>
        <w:t>7.1. Ogólne zasady obmiaru robót</w:t>
      </w:r>
    </w:p>
    <w:p w14:paraId="35B8BE10"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Ogólne zasady obmiaru robót podano w ST  D-M-00.00.00 „Wymagania ogólne” [1] pkt 7.</w:t>
      </w:r>
    </w:p>
    <w:p w14:paraId="0B6042CF" w14:textId="77777777" w:rsidR="00613372" w:rsidRPr="003C0D21" w:rsidRDefault="00613372" w:rsidP="00613372">
      <w:pPr>
        <w:pStyle w:val="Nagwek2"/>
        <w:numPr>
          <w:ilvl w:val="12"/>
          <w:numId w:val="0"/>
        </w:numPr>
        <w:rPr>
          <w:sz w:val="22"/>
          <w:szCs w:val="22"/>
        </w:rPr>
      </w:pPr>
      <w:r w:rsidRPr="003C0D21">
        <w:rPr>
          <w:sz w:val="22"/>
          <w:szCs w:val="22"/>
        </w:rPr>
        <w:t>7.2. Jednostka obmiarowa</w:t>
      </w:r>
    </w:p>
    <w:p w14:paraId="06EFAE42"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Jednostką obmiarową jest m</w:t>
      </w:r>
      <w:r w:rsidRPr="003C0D21">
        <w:rPr>
          <w:rFonts w:ascii="Times New Roman" w:hAnsi="Times New Roman" w:cs="Times New Roman"/>
          <w:vertAlign w:val="superscript"/>
        </w:rPr>
        <w:t>2</w:t>
      </w:r>
      <w:r w:rsidRPr="003C0D21">
        <w:rPr>
          <w:rFonts w:ascii="Times New Roman" w:hAnsi="Times New Roman" w:cs="Times New Roman"/>
        </w:rPr>
        <w:t xml:space="preserve"> (metr kwadratowy) wykonanej podbudowy.</w:t>
      </w:r>
    </w:p>
    <w:p w14:paraId="33FCD027" w14:textId="77777777" w:rsidR="00613372" w:rsidRPr="003C0D21" w:rsidRDefault="00613372" w:rsidP="00613372">
      <w:pPr>
        <w:pStyle w:val="Nagwek1"/>
        <w:numPr>
          <w:ilvl w:val="12"/>
          <w:numId w:val="0"/>
        </w:numPr>
        <w:rPr>
          <w:sz w:val="22"/>
          <w:szCs w:val="22"/>
        </w:rPr>
      </w:pPr>
      <w:r w:rsidRPr="003C0D21">
        <w:rPr>
          <w:sz w:val="22"/>
          <w:szCs w:val="22"/>
        </w:rPr>
        <w:t xml:space="preserve"> </w:t>
      </w:r>
      <w:bookmarkStart w:id="426" w:name="_Toc24955915"/>
      <w:bookmarkStart w:id="427" w:name="_Toc25041749"/>
      <w:bookmarkStart w:id="428" w:name="_Toc79371978"/>
      <w:bookmarkStart w:id="429" w:name="_Toc84648748"/>
      <w:bookmarkStart w:id="430" w:name="_Toc84822932"/>
      <w:bookmarkStart w:id="431" w:name="_Toc85259365"/>
      <w:bookmarkStart w:id="432" w:name="_Toc90274380"/>
      <w:bookmarkStart w:id="433" w:name="_Toc92608249"/>
      <w:bookmarkStart w:id="434" w:name="_Toc113935594"/>
      <w:r w:rsidRPr="003C0D21">
        <w:rPr>
          <w:sz w:val="22"/>
          <w:szCs w:val="22"/>
        </w:rPr>
        <w:t>8. odbiór robót</w:t>
      </w:r>
      <w:bookmarkEnd w:id="426"/>
      <w:bookmarkEnd w:id="427"/>
      <w:bookmarkEnd w:id="428"/>
      <w:bookmarkEnd w:id="429"/>
      <w:bookmarkEnd w:id="430"/>
      <w:bookmarkEnd w:id="431"/>
      <w:bookmarkEnd w:id="432"/>
      <w:bookmarkEnd w:id="433"/>
      <w:bookmarkEnd w:id="434"/>
    </w:p>
    <w:p w14:paraId="04CA2829" w14:textId="77777777" w:rsidR="00613372" w:rsidRPr="003C0D21" w:rsidRDefault="00613372" w:rsidP="00613372">
      <w:pPr>
        <w:pStyle w:val="Nagwek2"/>
        <w:numPr>
          <w:ilvl w:val="12"/>
          <w:numId w:val="0"/>
        </w:numPr>
        <w:rPr>
          <w:sz w:val="22"/>
          <w:szCs w:val="22"/>
        </w:rPr>
      </w:pPr>
      <w:r w:rsidRPr="003C0D21">
        <w:rPr>
          <w:sz w:val="22"/>
          <w:szCs w:val="22"/>
        </w:rPr>
        <w:t>8.1. Ogólne zasady odbioru robót</w:t>
      </w:r>
    </w:p>
    <w:p w14:paraId="5A736504"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Ogólne zasady odbioru robót podano w ST  D-M-00.00.00 „Wymagania ogólne” [1] pkt 8.</w:t>
      </w:r>
    </w:p>
    <w:p w14:paraId="17F7262B"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Roboty uznaje się za wykonane zgodnie z dokumentacją projektową, SST i wymaganiami Inżyniera, jeżeli wszystkie pomiary i badania z zachowaniem tolerancji według pktu 6 dały wyniki pozytywne.</w:t>
      </w:r>
    </w:p>
    <w:p w14:paraId="7F7FFFAE" w14:textId="77777777" w:rsidR="00613372" w:rsidRPr="003C0D21" w:rsidRDefault="00613372" w:rsidP="00613372">
      <w:pPr>
        <w:pStyle w:val="Nagwek2"/>
        <w:numPr>
          <w:ilvl w:val="12"/>
          <w:numId w:val="0"/>
        </w:numPr>
        <w:rPr>
          <w:sz w:val="22"/>
          <w:szCs w:val="22"/>
        </w:rPr>
      </w:pPr>
      <w:r w:rsidRPr="003C0D21">
        <w:rPr>
          <w:sz w:val="22"/>
          <w:szCs w:val="22"/>
        </w:rPr>
        <w:t>8.2. Odbiór robót zanikających i ulegających zakryciu</w:t>
      </w:r>
    </w:p>
    <w:p w14:paraId="6C80C206" w14:textId="77777777" w:rsidR="00613372" w:rsidRPr="003C0D21" w:rsidRDefault="00613372" w:rsidP="00613372">
      <w:pPr>
        <w:pStyle w:val="Nagwek2"/>
        <w:numPr>
          <w:ilvl w:val="12"/>
          <w:numId w:val="0"/>
        </w:numPr>
        <w:spacing w:before="0" w:after="0"/>
        <w:rPr>
          <w:b w:val="0"/>
          <w:sz w:val="22"/>
          <w:szCs w:val="22"/>
        </w:rPr>
      </w:pPr>
      <w:r w:rsidRPr="003C0D21">
        <w:rPr>
          <w:sz w:val="22"/>
          <w:szCs w:val="22"/>
        </w:rPr>
        <w:tab/>
      </w:r>
      <w:r w:rsidRPr="003C0D21">
        <w:rPr>
          <w:b w:val="0"/>
          <w:sz w:val="22"/>
          <w:szCs w:val="22"/>
        </w:rPr>
        <w:t>Odbiorowi robót zanikających i ulegających zakryciu podlegają:</w:t>
      </w:r>
    </w:p>
    <w:p w14:paraId="22A05E49" w14:textId="77777777" w:rsidR="00613372" w:rsidRPr="003C0D21" w:rsidRDefault="00613372" w:rsidP="00613372">
      <w:pPr>
        <w:numPr>
          <w:ilvl w:val="0"/>
          <w:numId w:val="23"/>
        </w:numPr>
        <w:overflowPunct w:val="0"/>
        <w:autoSpaceDE w:val="0"/>
        <w:autoSpaceDN w:val="0"/>
        <w:adjustRightInd w:val="0"/>
        <w:spacing w:after="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przygotowanie podłoża,</w:t>
      </w:r>
    </w:p>
    <w:p w14:paraId="7D4DE4F7" w14:textId="77777777" w:rsidR="00613372" w:rsidRPr="003C0D21" w:rsidRDefault="00613372" w:rsidP="00613372">
      <w:pPr>
        <w:numPr>
          <w:ilvl w:val="0"/>
          <w:numId w:val="23"/>
        </w:numPr>
        <w:overflowPunct w:val="0"/>
        <w:autoSpaceDE w:val="0"/>
        <w:autoSpaceDN w:val="0"/>
        <w:adjustRightInd w:val="0"/>
        <w:spacing w:after="0" w:line="240" w:lineRule="auto"/>
        <w:ind w:left="284" w:hanging="284"/>
        <w:jc w:val="both"/>
        <w:textAlignment w:val="baseline"/>
        <w:rPr>
          <w:rFonts w:ascii="Times New Roman" w:hAnsi="Times New Roman" w:cs="Times New Roman"/>
        </w:rPr>
      </w:pPr>
      <w:r w:rsidRPr="003C0D21">
        <w:rPr>
          <w:rFonts w:ascii="Times New Roman" w:hAnsi="Times New Roman" w:cs="Times New Roman"/>
        </w:rPr>
        <w:t>ew. wykonanie warstwy odsączającej.</w:t>
      </w:r>
    </w:p>
    <w:p w14:paraId="3055DEC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Odbiór tych robót powinien być zgodny z wymaganiami pktu 8.2 D-M-00.00.00 „Wymagania ogólne” [1] oraz niniejszej ST.</w:t>
      </w:r>
    </w:p>
    <w:p w14:paraId="694F51E0" w14:textId="77777777" w:rsidR="00613372" w:rsidRPr="003C0D21" w:rsidRDefault="00613372" w:rsidP="00613372">
      <w:pPr>
        <w:pStyle w:val="Nagwek1"/>
        <w:numPr>
          <w:ilvl w:val="12"/>
          <w:numId w:val="0"/>
        </w:numPr>
        <w:rPr>
          <w:sz w:val="22"/>
          <w:szCs w:val="22"/>
        </w:rPr>
      </w:pPr>
      <w:r w:rsidRPr="003C0D21">
        <w:rPr>
          <w:sz w:val="22"/>
          <w:szCs w:val="22"/>
        </w:rPr>
        <w:t xml:space="preserve"> </w:t>
      </w:r>
      <w:bookmarkStart w:id="435" w:name="_Toc24955916"/>
      <w:bookmarkStart w:id="436" w:name="_Toc25041750"/>
      <w:bookmarkStart w:id="437" w:name="_Toc79371979"/>
      <w:bookmarkStart w:id="438" w:name="_Toc84648749"/>
      <w:bookmarkStart w:id="439" w:name="_Toc84822933"/>
      <w:bookmarkStart w:id="440" w:name="_Toc85259366"/>
      <w:bookmarkStart w:id="441" w:name="_Toc90274381"/>
      <w:bookmarkStart w:id="442" w:name="_Toc92608250"/>
      <w:bookmarkStart w:id="443" w:name="_Toc113935595"/>
      <w:r w:rsidRPr="003C0D21">
        <w:rPr>
          <w:sz w:val="22"/>
          <w:szCs w:val="22"/>
        </w:rPr>
        <w:t>9. podstawa płatności</w:t>
      </w:r>
      <w:bookmarkEnd w:id="435"/>
      <w:bookmarkEnd w:id="436"/>
      <w:bookmarkEnd w:id="437"/>
      <w:bookmarkEnd w:id="438"/>
      <w:bookmarkEnd w:id="439"/>
      <w:bookmarkEnd w:id="440"/>
      <w:bookmarkEnd w:id="441"/>
      <w:bookmarkEnd w:id="442"/>
      <w:bookmarkEnd w:id="443"/>
    </w:p>
    <w:p w14:paraId="2304EE52" w14:textId="77777777" w:rsidR="00613372" w:rsidRPr="003C0D21" w:rsidRDefault="00613372" w:rsidP="00613372">
      <w:pPr>
        <w:pStyle w:val="Nagwek2"/>
        <w:numPr>
          <w:ilvl w:val="12"/>
          <w:numId w:val="0"/>
        </w:numPr>
        <w:rPr>
          <w:sz w:val="22"/>
          <w:szCs w:val="22"/>
        </w:rPr>
      </w:pPr>
      <w:r w:rsidRPr="003C0D21">
        <w:rPr>
          <w:sz w:val="22"/>
          <w:szCs w:val="22"/>
        </w:rPr>
        <w:t>9.1. Ogólne ustalenia dotyczące podstawy płatności</w:t>
      </w:r>
    </w:p>
    <w:p w14:paraId="0F378181"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Ogólne ustalenia dotyczące podstawy płatności podano w ST D-M-00.00.00 „Wymagania ogólne” [1] pkt 9.</w:t>
      </w:r>
    </w:p>
    <w:p w14:paraId="5F6FF0CD" w14:textId="77777777" w:rsidR="00613372" w:rsidRPr="003C0D21" w:rsidRDefault="00613372" w:rsidP="00613372">
      <w:pPr>
        <w:pStyle w:val="Nagwek2"/>
        <w:numPr>
          <w:ilvl w:val="12"/>
          <w:numId w:val="0"/>
        </w:numPr>
        <w:rPr>
          <w:sz w:val="22"/>
          <w:szCs w:val="22"/>
        </w:rPr>
      </w:pPr>
      <w:r w:rsidRPr="003C0D21">
        <w:rPr>
          <w:sz w:val="22"/>
          <w:szCs w:val="22"/>
        </w:rPr>
        <w:t>9.2. Cena jednostki obmiarowej</w:t>
      </w:r>
    </w:p>
    <w:p w14:paraId="6475D87D" w14:textId="77777777" w:rsidR="00613372" w:rsidRPr="003C0D21" w:rsidRDefault="00613372" w:rsidP="00613372">
      <w:pPr>
        <w:numPr>
          <w:ilvl w:val="12"/>
          <w:numId w:val="0"/>
        </w:numPr>
        <w:rPr>
          <w:rFonts w:ascii="Times New Roman" w:hAnsi="Times New Roman" w:cs="Times New Roman"/>
        </w:rPr>
      </w:pPr>
      <w:r w:rsidRPr="003C0D21">
        <w:rPr>
          <w:rFonts w:ascii="Times New Roman" w:hAnsi="Times New Roman" w:cs="Times New Roman"/>
        </w:rPr>
        <w:tab/>
        <w:t xml:space="preserve">Cena wykonania </w:t>
      </w:r>
      <w:smartTag w:uri="urn:schemas-microsoft-com:office:smarttags" w:element="metricconverter">
        <w:smartTagPr>
          <w:attr w:name="ProductID" w:val="1 m2"/>
        </w:smartTagPr>
        <w:r w:rsidRPr="003C0D21">
          <w:rPr>
            <w:rFonts w:ascii="Times New Roman" w:hAnsi="Times New Roman" w:cs="Times New Roman"/>
          </w:rPr>
          <w:t>1 m</w:t>
        </w:r>
        <w:r w:rsidRPr="003C0D21">
          <w:rPr>
            <w:rFonts w:ascii="Times New Roman" w:hAnsi="Times New Roman" w:cs="Times New Roman"/>
            <w:vertAlign w:val="superscript"/>
          </w:rPr>
          <w:t>2</w:t>
        </w:r>
      </w:smartTag>
      <w:r w:rsidRPr="003C0D21">
        <w:rPr>
          <w:rFonts w:ascii="Times New Roman" w:hAnsi="Times New Roman" w:cs="Times New Roman"/>
        </w:rPr>
        <w:t xml:space="preserve"> podbudowy z betonu cementowego obejmuje:</w:t>
      </w:r>
    </w:p>
    <w:p w14:paraId="17FF2275"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prace pomiarowe i roboty przygotowawcze,</w:t>
      </w:r>
    </w:p>
    <w:p w14:paraId="31D99D53"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oznakowanie robót,</w:t>
      </w:r>
    </w:p>
    <w:p w14:paraId="0475432F"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przygotowanie podłoża,</w:t>
      </w:r>
    </w:p>
    <w:p w14:paraId="219F273C"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dostarczenie materiałów i sprzętu,</w:t>
      </w:r>
    </w:p>
    <w:p w14:paraId="71B0F55F"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lastRenderedPageBreak/>
        <w:t>wykonanie podbudowy z betonu cementowego według wymagań specyfikacji technicznej,</w:t>
      </w:r>
    </w:p>
    <w:p w14:paraId="2CC22FC7"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przeprowadzenie pomiarów i badań  wymaganych w niniejszej specyfikacji technicznej,</w:t>
      </w:r>
    </w:p>
    <w:p w14:paraId="30AFBF48"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odwiezienie sprzętu.</w:t>
      </w:r>
    </w:p>
    <w:p w14:paraId="614A0CC3" w14:textId="77777777" w:rsidR="00613372" w:rsidRPr="003C0D21" w:rsidRDefault="00613372" w:rsidP="00613372">
      <w:pPr>
        <w:pStyle w:val="Nagwek2"/>
        <w:rPr>
          <w:sz w:val="22"/>
          <w:szCs w:val="22"/>
        </w:rPr>
      </w:pPr>
      <w:r w:rsidRPr="003C0D21">
        <w:rPr>
          <w:sz w:val="22"/>
          <w:szCs w:val="22"/>
        </w:rPr>
        <w:t>9.3. Sposób rozliczenia robót tymczasowych i prac towarzyszących</w:t>
      </w:r>
    </w:p>
    <w:p w14:paraId="70D88C5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ab/>
        <w:t>Cena wykonania robót określonych niniejszą ST obejmuje:</w:t>
      </w:r>
    </w:p>
    <w:p w14:paraId="3E8D27AC"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roboty tymczasowe, które są potrzebne do wykonania robót podstawowych, ale nie są przekazywane Zamawiającemu i są usuwane po wykonaniu robót podstawowych,</w:t>
      </w:r>
    </w:p>
    <w:p w14:paraId="4837B658" w14:textId="77777777" w:rsidR="00613372" w:rsidRPr="003C0D21" w:rsidRDefault="00613372" w:rsidP="00613372">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prace towarzyszące, które są niezbędne do wykonania robót podstawowych, niezaliczane do robót tymczasowych, jak geodezyjne wytyczenie robót itd.</w:t>
      </w:r>
    </w:p>
    <w:p w14:paraId="1C5B250A" w14:textId="77777777" w:rsidR="00613372" w:rsidRPr="003C0D21" w:rsidRDefault="00613372" w:rsidP="00613372">
      <w:pPr>
        <w:pStyle w:val="Nagwek1"/>
        <w:rPr>
          <w:sz w:val="22"/>
          <w:szCs w:val="22"/>
        </w:rPr>
      </w:pPr>
      <w:r w:rsidRPr="003C0D21">
        <w:rPr>
          <w:sz w:val="22"/>
          <w:szCs w:val="22"/>
        </w:rPr>
        <w:t>10. przepisy związane</w:t>
      </w:r>
    </w:p>
    <w:p w14:paraId="6FA8A6A7" w14:textId="77777777" w:rsidR="00613372" w:rsidRPr="003C0D21" w:rsidRDefault="00613372" w:rsidP="00613372">
      <w:pPr>
        <w:pStyle w:val="Nagwek2"/>
        <w:rPr>
          <w:sz w:val="22"/>
          <w:szCs w:val="22"/>
        </w:rPr>
      </w:pPr>
      <w:r w:rsidRPr="003C0D21">
        <w:rPr>
          <w:sz w:val="22"/>
          <w:szCs w:val="22"/>
        </w:rPr>
        <w:t>10.1. Specyfikacje techniczne (ST)</w:t>
      </w:r>
    </w:p>
    <w:tbl>
      <w:tblPr>
        <w:tblW w:w="0" w:type="auto"/>
        <w:tblLayout w:type="fixed"/>
        <w:tblCellMar>
          <w:left w:w="70" w:type="dxa"/>
          <w:right w:w="70" w:type="dxa"/>
        </w:tblCellMar>
        <w:tblLook w:val="0000" w:firstRow="0" w:lastRow="0" w:firstColumn="0" w:lastColumn="0" w:noHBand="0" w:noVBand="0"/>
      </w:tblPr>
      <w:tblGrid>
        <w:gridCol w:w="496"/>
        <w:gridCol w:w="2126"/>
        <w:gridCol w:w="4888"/>
      </w:tblGrid>
      <w:tr w:rsidR="00613372" w:rsidRPr="003C0D21" w14:paraId="35E6281B" w14:textId="77777777" w:rsidTr="00613372">
        <w:tc>
          <w:tcPr>
            <w:tcW w:w="496" w:type="dxa"/>
          </w:tcPr>
          <w:p w14:paraId="340E537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1.</w:t>
            </w:r>
          </w:p>
        </w:tc>
        <w:tc>
          <w:tcPr>
            <w:tcW w:w="2126" w:type="dxa"/>
          </w:tcPr>
          <w:p w14:paraId="24A4232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D-M-00.00.00</w:t>
            </w:r>
          </w:p>
        </w:tc>
        <w:tc>
          <w:tcPr>
            <w:tcW w:w="4888" w:type="dxa"/>
          </w:tcPr>
          <w:p w14:paraId="47E4F70A"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Wymagania ogólne</w:t>
            </w:r>
          </w:p>
        </w:tc>
      </w:tr>
      <w:tr w:rsidR="00613372" w:rsidRPr="003C0D21" w14:paraId="1FA41F2A" w14:textId="77777777" w:rsidTr="00613372">
        <w:tc>
          <w:tcPr>
            <w:tcW w:w="496" w:type="dxa"/>
          </w:tcPr>
          <w:p w14:paraId="599D55B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2.</w:t>
            </w:r>
          </w:p>
        </w:tc>
        <w:tc>
          <w:tcPr>
            <w:tcW w:w="2126" w:type="dxa"/>
          </w:tcPr>
          <w:p w14:paraId="03EF543C"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D-01.00.00</w:t>
            </w:r>
          </w:p>
        </w:tc>
        <w:tc>
          <w:tcPr>
            <w:tcW w:w="4888" w:type="dxa"/>
          </w:tcPr>
          <w:p w14:paraId="0F7F3F1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Roboty przygotowawcze</w:t>
            </w:r>
          </w:p>
        </w:tc>
      </w:tr>
      <w:tr w:rsidR="00613372" w:rsidRPr="003C0D21" w14:paraId="292ACB6D" w14:textId="77777777" w:rsidTr="00613372">
        <w:tc>
          <w:tcPr>
            <w:tcW w:w="496" w:type="dxa"/>
          </w:tcPr>
          <w:p w14:paraId="764C3E82"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3.</w:t>
            </w:r>
          </w:p>
        </w:tc>
        <w:tc>
          <w:tcPr>
            <w:tcW w:w="2126" w:type="dxa"/>
          </w:tcPr>
          <w:p w14:paraId="6607008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D-02.00.00</w:t>
            </w:r>
          </w:p>
        </w:tc>
        <w:tc>
          <w:tcPr>
            <w:tcW w:w="4888" w:type="dxa"/>
          </w:tcPr>
          <w:p w14:paraId="35AC2C4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Roboty ziemne</w:t>
            </w:r>
          </w:p>
        </w:tc>
      </w:tr>
      <w:tr w:rsidR="00613372" w:rsidRPr="003C0D21" w14:paraId="3D3ECD0B" w14:textId="77777777" w:rsidTr="00613372">
        <w:tc>
          <w:tcPr>
            <w:tcW w:w="496" w:type="dxa"/>
          </w:tcPr>
          <w:p w14:paraId="69CADA3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4.</w:t>
            </w:r>
          </w:p>
        </w:tc>
        <w:tc>
          <w:tcPr>
            <w:tcW w:w="2126" w:type="dxa"/>
          </w:tcPr>
          <w:p w14:paraId="2621F34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D-04.01.01</w:t>
            </w:r>
          </w:p>
        </w:tc>
        <w:tc>
          <w:tcPr>
            <w:tcW w:w="4888" w:type="dxa"/>
          </w:tcPr>
          <w:p w14:paraId="7F7EC45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Koryto wraz z profilowaniem i zagęszczaniem podłoża</w:t>
            </w:r>
          </w:p>
        </w:tc>
      </w:tr>
      <w:tr w:rsidR="00613372" w:rsidRPr="003C0D21" w14:paraId="2B3A8BD6" w14:textId="77777777" w:rsidTr="00613372">
        <w:tc>
          <w:tcPr>
            <w:tcW w:w="496" w:type="dxa"/>
          </w:tcPr>
          <w:p w14:paraId="2D4CE2A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5.</w:t>
            </w:r>
          </w:p>
        </w:tc>
        <w:tc>
          <w:tcPr>
            <w:tcW w:w="2126" w:type="dxa"/>
          </w:tcPr>
          <w:p w14:paraId="79A021B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D-04.02.01</w:t>
            </w:r>
          </w:p>
        </w:tc>
        <w:tc>
          <w:tcPr>
            <w:tcW w:w="4888" w:type="dxa"/>
          </w:tcPr>
          <w:p w14:paraId="0F397B4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Warstwy odsączające i odcinające</w:t>
            </w:r>
          </w:p>
        </w:tc>
      </w:tr>
      <w:tr w:rsidR="00613372" w:rsidRPr="003C0D21" w14:paraId="3F8B94BF" w14:textId="77777777" w:rsidTr="00613372">
        <w:tc>
          <w:tcPr>
            <w:tcW w:w="496" w:type="dxa"/>
          </w:tcPr>
          <w:p w14:paraId="00136A10"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6.</w:t>
            </w:r>
          </w:p>
        </w:tc>
        <w:tc>
          <w:tcPr>
            <w:tcW w:w="2126" w:type="dxa"/>
          </w:tcPr>
          <w:p w14:paraId="03D888B6"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D-05.03.04</w:t>
            </w:r>
          </w:p>
        </w:tc>
        <w:tc>
          <w:tcPr>
            <w:tcW w:w="4888" w:type="dxa"/>
          </w:tcPr>
          <w:p w14:paraId="250157A1"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Nawierzchnia betonowa</w:t>
            </w:r>
          </w:p>
        </w:tc>
      </w:tr>
      <w:tr w:rsidR="00613372" w:rsidRPr="003C0D21" w14:paraId="4AAC6B31" w14:textId="77777777" w:rsidTr="00613372">
        <w:tc>
          <w:tcPr>
            <w:tcW w:w="496" w:type="dxa"/>
          </w:tcPr>
          <w:p w14:paraId="68D6422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7.</w:t>
            </w:r>
          </w:p>
        </w:tc>
        <w:tc>
          <w:tcPr>
            <w:tcW w:w="2126" w:type="dxa"/>
          </w:tcPr>
          <w:p w14:paraId="7EB56334"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D-05.03.04a</w:t>
            </w:r>
          </w:p>
        </w:tc>
        <w:tc>
          <w:tcPr>
            <w:tcW w:w="4888" w:type="dxa"/>
          </w:tcPr>
          <w:p w14:paraId="0FABBE3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Wypełnianie szczelin w nawierzchni z betonu cementowego</w:t>
            </w:r>
          </w:p>
        </w:tc>
      </w:tr>
    </w:tbl>
    <w:p w14:paraId="53990746" w14:textId="77777777" w:rsidR="00613372" w:rsidRPr="003C0D21" w:rsidRDefault="00613372" w:rsidP="00613372">
      <w:pPr>
        <w:pStyle w:val="Nagwek2"/>
        <w:rPr>
          <w:sz w:val="22"/>
          <w:szCs w:val="22"/>
        </w:rPr>
      </w:pPr>
      <w:r w:rsidRPr="003C0D21">
        <w:rPr>
          <w:sz w:val="22"/>
          <w:szCs w:val="22"/>
        </w:rPr>
        <w:t>10.2. Polskie normy</w:t>
      </w:r>
    </w:p>
    <w:tbl>
      <w:tblPr>
        <w:tblW w:w="0" w:type="auto"/>
        <w:tblLayout w:type="fixed"/>
        <w:tblCellMar>
          <w:left w:w="70" w:type="dxa"/>
          <w:right w:w="70" w:type="dxa"/>
        </w:tblCellMar>
        <w:tblLook w:val="0000" w:firstRow="0" w:lastRow="0" w:firstColumn="0" w:lastColumn="0" w:noHBand="0" w:noVBand="0"/>
      </w:tblPr>
      <w:tblGrid>
        <w:gridCol w:w="496"/>
        <w:gridCol w:w="2126"/>
        <w:gridCol w:w="4888"/>
      </w:tblGrid>
      <w:tr w:rsidR="00613372" w:rsidRPr="003C0D21" w14:paraId="7FF3B776" w14:textId="77777777" w:rsidTr="00613372">
        <w:tc>
          <w:tcPr>
            <w:tcW w:w="496" w:type="dxa"/>
          </w:tcPr>
          <w:p w14:paraId="30B8E56B"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8.</w:t>
            </w:r>
          </w:p>
        </w:tc>
        <w:tc>
          <w:tcPr>
            <w:tcW w:w="2126" w:type="dxa"/>
          </w:tcPr>
          <w:p w14:paraId="4045FD4F"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PN-EN 197-1: 2002</w:t>
            </w:r>
          </w:p>
        </w:tc>
        <w:tc>
          <w:tcPr>
            <w:tcW w:w="4888" w:type="dxa"/>
          </w:tcPr>
          <w:p w14:paraId="58138575"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Cement. Część I: Skład, wymagania i kryteria zgodności dotyczące cementu powszechnego użytku</w:t>
            </w:r>
          </w:p>
        </w:tc>
      </w:tr>
      <w:tr w:rsidR="00613372" w:rsidRPr="003C0D21" w14:paraId="5546D0BA" w14:textId="77777777" w:rsidTr="00613372">
        <w:tc>
          <w:tcPr>
            <w:tcW w:w="496" w:type="dxa"/>
          </w:tcPr>
          <w:p w14:paraId="43D2218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9.</w:t>
            </w:r>
          </w:p>
        </w:tc>
        <w:tc>
          <w:tcPr>
            <w:tcW w:w="2126" w:type="dxa"/>
          </w:tcPr>
          <w:p w14:paraId="6F5D150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PN-EN 934-2: 1999</w:t>
            </w:r>
          </w:p>
        </w:tc>
        <w:tc>
          <w:tcPr>
            <w:tcW w:w="4888" w:type="dxa"/>
          </w:tcPr>
          <w:p w14:paraId="60FC9757"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Domieszki do betonu, zaprawy i zaczynu. Domieszki do betonu. Definicje i wymagania</w:t>
            </w:r>
          </w:p>
        </w:tc>
      </w:tr>
      <w:tr w:rsidR="00613372" w:rsidRPr="003C0D21" w14:paraId="3E42EDCE" w14:textId="77777777" w:rsidTr="00613372">
        <w:trPr>
          <w:trHeight w:val="488"/>
        </w:trPr>
        <w:tc>
          <w:tcPr>
            <w:tcW w:w="496" w:type="dxa"/>
          </w:tcPr>
          <w:p w14:paraId="18C24D88"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10.</w:t>
            </w:r>
          </w:p>
        </w:tc>
        <w:tc>
          <w:tcPr>
            <w:tcW w:w="2126" w:type="dxa"/>
          </w:tcPr>
          <w:p w14:paraId="71252BB3"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PN-EN 12620+A1:2010</w:t>
            </w:r>
          </w:p>
        </w:tc>
        <w:tc>
          <w:tcPr>
            <w:tcW w:w="4888" w:type="dxa"/>
          </w:tcPr>
          <w:p w14:paraId="3A0A754D"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Kruszywa do betonu</w:t>
            </w:r>
          </w:p>
        </w:tc>
      </w:tr>
    </w:tbl>
    <w:p w14:paraId="28A9C1B8" w14:textId="77777777" w:rsidR="00613372" w:rsidRPr="003C0D21" w:rsidRDefault="00613372" w:rsidP="00613372">
      <w:pPr>
        <w:pStyle w:val="Nagwek2"/>
        <w:rPr>
          <w:sz w:val="22"/>
          <w:szCs w:val="22"/>
        </w:rPr>
      </w:pPr>
      <w:r w:rsidRPr="003C0D21">
        <w:rPr>
          <w:sz w:val="22"/>
          <w:szCs w:val="22"/>
        </w:rPr>
        <w:t>10.3. Inne dokumenty</w:t>
      </w:r>
    </w:p>
    <w:p w14:paraId="13796712" w14:textId="77777777" w:rsidR="00613372" w:rsidRDefault="00613372" w:rsidP="00904E6C">
      <w:pPr>
        <w:numPr>
          <w:ilvl w:val="0"/>
          <w:numId w:val="389"/>
        </w:numPr>
        <w:overflowPunct w:val="0"/>
        <w:autoSpaceDE w:val="0"/>
        <w:autoSpaceDN w:val="0"/>
        <w:adjustRightInd w:val="0"/>
        <w:spacing w:after="0" w:line="240" w:lineRule="auto"/>
        <w:jc w:val="both"/>
        <w:textAlignment w:val="baseline"/>
        <w:rPr>
          <w:rFonts w:ascii="Times New Roman" w:hAnsi="Times New Roman" w:cs="Times New Roman"/>
        </w:rPr>
      </w:pPr>
      <w:r w:rsidRPr="003C0D21">
        <w:rPr>
          <w:rFonts w:ascii="Times New Roman" w:hAnsi="Times New Roman" w:cs="Times New Roman"/>
        </w:rPr>
        <w:t>Katalog typowych konstrukcji nawierzchni sztywnych.</w:t>
      </w:r>
      <w:r w:rsidRPr="00613372">
        <w:t xml:space="preserve"> </w:t>
      </w:r>
      <w:r>
        <w:rPr>
          <w:rFonts w:ascii="Times New Roman" w:hAnsi="Times New Roman" w:cs="Times New Roman"/>
        </w:rPr>
        <w:t>Nowy świętów</w:t>
      </w:r>
    </w:p>
    <w:p w14:paraId="3373CBFF" w14:textId="77777777" w:rsidR="00613372" w:rsidRPr="003C0D21" w:rsidRDefault="00613372" w:rsidP="00904E6C">
      <w:pPr>
        <w:numPr>
          <w:ilvl w:val="0"/>
          <w:numId w:val="389"/>
        </w:numPr>
        <w:overflowPunct w:val="0"/>
        <w:autoSpaceDE w:val="0"/>
        <w:autoSpaceDN w:val="0"/>
        <w:adjustRightInd w:val="0"/>
        <w:spacing w:after="0" w:line="240" w:lineRule="auto"/>
        <w:jc w:val="both"/>
        <w:textAlignment w:val="baseline"/>
        <w:rPr>
          <w:rFonts w:ascii="Times New Roman" w:hAnsi="Times New Roman" w:cs="Times New Roman"/>
        </w:rPr>
      </w:pPr>
    </w:p>
    <w:p w14:paraId="7C65C0C9" w14:textId="77777777" w:rsidR="00613372" w:rsidRPr="003C0D21" w:rsidRDefault="00613372" w:rsidP="00613372">
      <w:pPr>
        <w:rPr>
          <w:rFonts w:ascii="Times New Roman" w:hAnsi="Times New Roman" w:cs="Times New Roman"/>
        </w:rPr>
      </w:pPr>
      <w:r w:rsidRPr="003C0D21">
        <w:rPr>
          <w:rFonts w:ascii="Times New Roman" w:hAnsi="Times New Roman" w:cs="Times New Roman"/>
        </w:rPr>
        <w:t xml:space="preserve">       GDDP - IBDiM, Warszawa 2001</w:t>
      </w:r>
    </w:p>
    <w:p w14:paraId="66A1E657" w14:textId="77777777" w:rsidR="00613372" w:rsidRPr="003C0D21" w:rsidRDefault="00613372" w:rsidP="00613372">
      <w:pPr>
        <w:rPr>
          <w:rFonts w:ascii="Times New Roman" w:hAnsi="Times New Roman" w:cs="Times New Roman"/>
        </w:rPr>
      </w:pPr>
    </w:p>
    <w:p w14:paraId="6C0E733E" w14:textId="77777777" w:rsidR="00613372" w:rsidRPr="003C0D21" w:rsidRDefault="00613372" w:rsidP="00613372">
      <w:pPr>
        <w:rPr>
          <w:rFonts w:ascii="Times New Roman" w:hAnsi="Times New Roman" w:cs="Times New Roman"/>
        </w:rPr>
      </w:pPr>
    </w:p>
    <w:p w14:paraId="0167F0FC" w14:textId="77777777" w:rsidR="00613372" w:rsidRPr="003C0D21" w:rsidRDefault="00613372" w:rsidP="00613372">
      <w:pPr>
        <w:rPr>
          <w:rFonts w:ascii="Times New Roman" w:hAnsi="Times New Roman" w:cs="Times New Roman"/>
        </w:rPr>
      </w:pPr>
    </w:p>
    <w:p w14:paraId="0B94B6E9" w14:textId="77777777" w:rsidR="00613372" w:rsidRDefault="00613372">
      <w:pPr>
        <w:rPr>
          <w:rFonts w:ascii="Times New Roman" w:hAnsi="Times New Roman" w:cs="Times New Roman"/>
          <w:color w:val="000000" w:themeColor="text1"/>
        </w:rPr>
      </w:pPr>
    </w:p>
    <w:p w14:paraId="6339C76F" w14:textId="77777777" w:rsidR="00955A27" w:rsidRPr="001667DB" w:rsidRDefault="00955A27" w:rsidP="00955A27">
      <w:pPr>
        <w:spacing w:after="120" w:line="360" w:lineRule="auto"/>
        <w:rPr>
          <w:rFonts w:ascii="Times New Roman" w:hAnsi="Times New Roman" w:cs="Times New Roman"/>
          <w:color w:val="000000" w:themeColor="text1"/>
        </w:rPr>
      </w:pPr>
      <w:bookmarkStart w:id="444" w:name="_Toc413234103"/>
      <w:r w:rsidRPr="001667DB">
        <w:rPr>
          <w:rFonts w:ascii="Times New Roman" w:hAnsi="Times New Roman" w:cs="Times New Roman"/>
          <w:b/>
          <w:color w:val="000000" w:themeColor="text1"/>
        </w:rPr>
        <w:lastRenderedPageBreak/>
        <w:t>D – 04.07.01</w:t>
      </w:r>
      <w:r w:rsidR="00CE5FD3">
        <w:rPr>
          <w:rFonts w:ascii="Times New Roman" w:hAnsi="Times New Roman" w:cs="Times New Roman"/>
          <w:b/>
          <w:color w:val="000000" w:themeColor="text1"/>
        </w:rPr>
        <w:t>a</w:t>
      </w:r>
      <w:r w:rsidRPr="001667DB">
        <w:rPr>
          <w:rFonts w:ascii="Times New Roman" w:hAnsi="Times New Roman" w:cs="Times New Roman"/>
          <w:b/>
          <w:color w:val="000000" w:themeColor="text1"/>
        </w:rPr>
        <w:tab/>
        <w:t>PODBUDOWA  Z  BETONU ASFALTOWEGO</w:t>
      </w:r>
    </w:p>
    <w:p w14:paraId="3AA4DAE8" w14:textId="77777777" w:rsidR="00955A27" w:rsidRPr="001667DB" w:rsidRDefault="00955A27" w:rsidP="00EE0962">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1. Wstęp</w:t>
      </w:r>
      <w:bookmarkEnd w:id="444"/>
    </w:p>
    <w:p w14:paraId="616ED5E3"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1.1. Przedmiot ST</w:t>
      </w:r>
    </w:p>
    <w:p w14:paraId="74105CF9" w14:textId="77777777" w:rsidR="00955A27" w:rsidRPr="001667DB" w:rsidRDefault="00955A27" w:rsidP="00955A27">
      <w:pPr>
        <w:pStyle w:val="Standardowytekst0"/>
        <w:spacing w:after="120" w:line="360" w:lineRule="auto"/>
        <w:rPr>
          <w:b/>
          <w:color w:val="000000" w:themeColor="text1"/>
          <w:sz w:val="22"/>
          <w:szCs w:val="22"/>
        </w:rPr>
      </w:pPr>
      <w:r w:rsidRPr="001667DB">
        <w:rPr>
          <w:color w:val="000000" w:themeColor="text1"/>
          <w:sz w:val="22"/>
          <w:szCs w:val="22"/>
        </w:rPr>
        <w:tab/>
        <w:t xml:space="preserve">Przedmiotem niniejszej specyfikacji technicznej (ST) są wymagania dotyczące wykonania i odbioru robót związanych z wykonaniem podbudowy z betonu asfaltowego w ramach realizacji zadania:  </w:t>
      </w:r>
      <w:r w:rsidR="00882724" w:rsidRPr="00FD3B41">
        <w:rPr>
          <w:b/>
          <w:color w:val="000000" w:themeColor="text1"/>
          <w:sz w:val="22"/>
          <w:szCs w:val="22"/>
        </w:rPr>
        <w:t>„Rozbudowa drogi wojewódzkiej nr 461 w m. Dąbrówka Łubniańska i Łubniany” – Etap I ( km od 9+741,88 do 10+371,13)</w:t>
      </w:r>
    </w:p>
    <w:p w14:paraId="32CBB1CC"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1.2. Zakres stosowania ST</w:t>
      </w:r>
    </w:p>
    <w:p w14:paraId="4B70A3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ST jest stosowana jako dokument przetargowy i kontraktowy przy zlecaniu i realizacji robót wymienionych w pkt.1.1. </w:t>
      </w:r>
    </w:p>
    <w:p w14:paraId="3B4F3829"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1.3. Zakres robót objętych ST</w:t>
      </w:r>
    </w:p>
    <w:p w14:paraId="692A594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wykonaniem i odbiorem warstwy podbudowy z betonu asfaltowego wg PN-EN 13108-1 [51] i WT-2 [82] [83] z mieszanki mineralno-asfaltowej dostarczonej od producenta. W przypadku produkcji mieszanki mineralno-asfaltowej przez Wykonawcę dla potrzeb budowy, Wykonawca zobowiązany jest prowadzić zakładową kontrolę produkcji (ZKP) zgodnie z WT-2 [82] [83] wg PN-EN 13108-21 [55].</w:t>
      </w:r>
    </w:p>
    <w:p w14:paraId="18AFF793" w14:textId="77777777" w:rsidR="00955A27" w:rsidRPr="001667DB" w:rsidRDefault="00955A27" w:rsidP="00955A27">
      <w:pPr>
        <w:tabs>
          <w:tab w:val="left" w:pos="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Zakres robót obejmuje wykonywanie podbudowy zasadniczej z </w:t>
      </w:r>
      <w:r w:rsidRPr="001667DB">
        <w:rPr>
          <w:rFonts w:ascii="Times New Roman" w:hAnsi="Times New Roman" w:cs="Times New Roman"/>
          <w:b/>
          <w:color w:val="000000" w:themeColor="text1"/>
        </w:rPr>
        <w:t>AC 22P gr. 10 cm</w:t>
      </w:r>
      <w:r w:rsidRPr="001667DB">
        <w:rPr>
          <w:rFonts w:ascii="Times New Roman" w:hAnsi="Times New Roman" w:cs="Times New Roman"/>
          <w:color w:val="000000" w:themeColor="text1"/>
        </w:rPr>
        <w:t xml:space="preserve"> pod konstrukcją jezdni zgodnie z Dokumentacją Projektową.</w:t>
      </w:r>
    </w:p>
    <w:p w14:paraId="31B982C4"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1.4. Określenia podstawowe</w:t>
      </w:r>
    </w:p>
    <w:p w14:paraId="34DA742B"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 </w:t>
      </w:r>
      <w:r w:rsidRPr="001667DB">
        <w:rPr>
          <w:rFonts w:ascii="Times New Roman" w:hAnsi="Times New Roman"/>
          <w:color w:val="000000" w:themeColor="text1"/>
          <w:sz w:val="22"/>
          <w:szCs w:val="22"/>
        </w:rPr>
        <w:t>Nawierzchnia – konstrukcja składająca się z jednej lub kilku warstw służących do przejmowania i rozkładania obciążeń od ruchu pojazdów na podłoże.</w:t>
      </w:r>
    </w:p>
    <w:p w14:paraId="3BA75CBB"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1.4.2. </w:t>
      </w:r>
      <w:r w:rsidRPr="001667DB">
        <w:rPr>
          <w:rFonts w:ascii="Times New Roman" w:hAnsi="Times New Roman"/>
          <w:color w:val="000000" w:themeColor="text1"/>
          <w:sz w:val="22"/>
          <w:szCs w:val="22"/>
        </w:rPr>
        <w:t>Podbudowa – główny element konstrukcyjny nawierzchni, który może być ułożony w jednej lub kilku warstwach.</w:t>
      </w:r>
    </w:p>
    <w:p w14:paraId="1E9D33DF"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1.4.3. </w:t>
      </w:r>
      <w:r w:rsidRPr="001667DB">
        <w:rPr>
          <w:rFonts w:ascii="Times New Roman" w:hAnsi="Times New Roman"/>
          <w:color w:val="000000" w:themeColor="text1"/>
          <w:sz w:val="22"/>
          <w:szCs w:val="22"/>
        </w:rPr>
        <w:t>Mieszanka mineralno-asfaltowa (MMA) – mieszanka kruszyw i lepiszcza asfaltowego.</w:t>
      </w:r>
    </w:p>
    <w:p w14:paraId="0FDBC5DC"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1.4.4. </w:t>
      </w:r>
      <w:r w:rsidRPr="001667DB">
        <w:rPr>
          <w:rFonts w:ascii="Times New Roman" w:hAnsi="Times New Roman"/>
          <w:color w:val="000000" w:themeColor="text1"/>
          <w:sz w:val="22"/>
          <w:szCs w:val="22"/>
        </w:rPr>
        <w:t>Wymiar mieszanki mineralno-asfaltowej – określenie mieszanki mineralno-asfaltowej ze względu na największy wymiar kruszywa D, np. wymiar 16, 22 lub 32.</w:t>
      </w:r>
    </w:p>
    <w:p w14:paraId="7D424636"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1.4.5. </w:t>
      </w:r>
      <w:r w:rsidRPr="001667DB">
        <w:rPr>
          <w:rFonts w:ascii="Times New Roman" w:hAnsi="Times New Roman"/>
          <w:color w:val="000000" w:themeColor="text1"/>
          <w:sz w:val="22"/>
          <w:szCs w:val="22"/>
        </w:rPr>
        <w:t>Beton asfaltowy – mieszanka mineralno-asfaltowa, w której kruszywo o uziarnieniu ciągłym lub nieciągłym tworzy strukturę wzajemnie klinującą się.</w:t>
      </w:r>
    </w:p>
    <w:p w14:paraId="728C75C8"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1.4.6. </w:t>
      </w:r>
      <w:r w:rsidRPr="001667DB">
        <w:rPr>
          <w:rFonts w:ascii="Times New Roman" w:hAnsi="Times New Roman"/>
          <w:color w:val="000000" w:themeColor="text1"/>
          <w:sz w:val="22"/>
          <w:szCs w:val="22"/>
        </w:rPr>
        <w:t>Uziarnienie – skład ziarnowy kruszywa, wyrażony w procentach masy ziaren przechodzących przez określony zestaw sit.</w:t>
      </w:r>
    </w:p>
    <w:p w14:paraId="118F76B7"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lastRenderedPageBreak/>
        <w:t xml:space="preserve">1.4.7. </w:t>
      </w:r>
      <w:r w:rsidRPr="001667DB">
        <w:rPr>
          <w:rFonts w:ascii="Times New Roman" w:hAnsi="Times New Roman"/>
          <w:color w:val="000000" w:themeColor="text1"/>
          <w:sz w:val="22"/>
          <w:szCs w:val="22"/>
        </w:rPr>
        <w:t>Kategoria ruchu – obciążenie drogi ruchem samochodowym, wyrażone w osiach obliczeniowych (100 kN) wg „Katalogu typowych konstrukcji nawierzchni podatnych i półsztywnych” GDDKiA [84].</w:t>
      </w:r>
    </w:p>
    <w:p w14:paraId="47CA041A"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1.4.8. </w:t>
      </w:r>
      <w:r w:rsidRPr="001667DB">
        <w:rPr>
          <w:rFonts w:ascii="Times New Roman" w:hAnsi="Times New Roman"/>
          <w:color w:val="000000" w:themeColor="text1"/>
          <w:sz w:val="22"/>
          <w:szCs w:val="22"/>
        </w:rPr>
        <w:t>Wymiar kruszywa – wielkość ziaren kruszywa, określona przez dolny (d) i górny (D) wymiar sita.</w:t>
      </w:r>
    </w:p>
    <w:p w14:paraId="2C0C2713"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1.4.9. </w:t>
      </w:r>
      <w:r w:rsidRPr="001667DB">
        <w:rPr>
          <w:rFonts w:ascii="Times New Roman" w:hAnsi="Times New Roman"/>
          <w:color w:val="000000" w:themeColor="text1"/>
          <w:sz w:val="22"/>
          <w:szCs w:val="22"/>
        </w:rPr>
        <w:t xml:space="preserve">Kruszywo grube – kruszywo z ziaren o wymiarze: D ≤ </w:t>
      </w:r>
      <w:smartTag w:uri="urn:schemas-microsoft-com:office:smarttags" w:element="metricconverter">
        <w:smartTagPr>
          <w:attr w:name="ProductID" w:val="45 mm"/>
        </w:smartTagPr>
        <w:r w:rsidRPr="001667DB">
          <w:rPr>
            <w:rFonts w:ascii="Times New Roman" w:hAnsi="Times New Roman"/>
            <w:color w:val="000000" w:themeColor="text1"/>
            <w:sz w:val="22"/>
            <w:szCs w:val="22"/>
          </w:rPr>
          <w:t>45 mm</w:t>
        </w:r>
      </w:smartTag>
      <w:r w:rsidRPr="001667DB">
        <w:rPr>
          <w:rFonts w:ascii="Times New Roman" w:hAnsi="Times New Roman"/>
          <w:color w:val="000000" w:themeColor="text1"/>
          <w:sz w:val="22"/>
          <w:szCs w:val="22"/>
        </w:rPr>
        <w:t xml:space="preserve"> oraz d &gt; </w:t>
      </w:r>
      <w:smartTag w:uri="urn:schemas-microsoft-com:office:smarttags" w:element="metricconverter">
        <w:smartTagPr>
          <w:attr w:name="ProductID" w:val="2 mm"/>
        </w:smartTagPr>
        <w:r w:rsidRPr="001667DB">
          <w:rPr>
            <w:rFonts w:ascii="Times New Roman" w:hAnsi="Times New Roman"/>
            <w:color w:val="000000" w:themeColor="text1"/>
            <w:sz w:val="22"/>
            <w:szCs w:val="22"/>
          </w:rPr>
          <w:t>2 mm</w:t>
        </w:r>
      </w:smartTag>
      <w:r w:rsidRPr="001667DB">
        <w:rPr>
          <w:rFonts w:ascii="Times New Roman" w:hAnsi="Times New Roman"/>
          <w:color w:val="000000" w:themeColor="text1"/>
          <w:sz w:val="22"/>
          <w:szCs w:val="22"/>
        </w:rPr>
        <w:t>.</w:t>
      </w:r>
    </w:p>
    <w:p w14:paraId="6943BE45"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1.4.10. </w:t>
      </w:r>
      <w:r w:rsidRPr="001667DB">
        <w:rPr>
          <w:rFonts w:ascii="Times New Roman" w:hAnsi="Times New Roman"/>
          <w:color w:val="000000" w:themeColor="text1"/>
          <w:sz w:val="22"/>
          <w:szCs w:val="22"/>
        </w:rPr>
        <w:t xml:space="preserve">Kruszywo drobne – kruszywo z ziaren o wymiarze: D ≤ </w:t>
      </w:r>
      <w:smartTag w:uri="urn:schemas-microsoft-com:office:smarttags" w:element="metricconverter">
        <w:smartTagPr>
          <w:attr w:name="ProductID" w:val="2 mm"/>
        </w:smartTagPr>
        <w:r w:rsidRPr="001667DB">
          <w:rPr>
            <w:rFonts w:ascii="Times New Roman" w:hAnsi="Times New Roman"/>
            <w:color w:val="000000" w:themeColor="text1"/>
            <w:sz w:val="22"/>
            <w:szCs w:val="22"/>
          </w:rPr>
          <w:t>2 mm</w:t>
        </w:r>
      </w:smartTag>
      <w:r w:rsidRPr="001667DB">
        <w:rPr>
          <w:rFonts w:ascii="Times New Roman" w:hAnsi="Times New Roman"/>
          <w:color w:val="000000" w:themeColor="text1"/>
          <w:sz w:val="22"/>
          <w:szCs w:val="22"/>
        </w:rPr>
        <w:t xml:space="preserve">, którego większa część pozostaje na sicie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w:t>
      </w:r>
    </w:p>
    <w:p w14:paraId="66E74A03"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1.4.11. </w:t>
      </w:r>
      <w:r w:rsidRPr="001667DB">
        <w:rPr>
          <w:rFonts w:ascii="Times New Roman" w:hAnsi="Times New Roman"/>
          <w:color w:val="000000" w:themeColor="text1"/>
          <w:sz w:val="22"/>
          <w:szCs w:val="22"/>
        </w:rPr>
        <w:t xml:space="preserve">Pył – kruszywo z ziaren przechodzących przez sito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w:t>
      </w:r>
    </w:p>
    <w:p w14:paraId="520F32F9"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1.4.12. </w:t>
      </w:r>
      <w:r w:rsidRPr="001667DB">
        <w:rPr>
          <w:rFonts w:ascii="Times New Roman" w:hAnsi="Times New Roman"/>
          <w:color w:val="000000" w:themeColor="text1"/>
          <w:sz w:val="22"/>
          <w:szCs w:val="22"/>
        </w:rPr>
        <w:t xml:space="preserve">Wypełniacz – kruszywo, którego większa część przechodzi przez sito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 (Wypełniacz mieszany – kruszywo, które składa się z wypełniacza pochodzenia mineralnego i wodorotlenku wapnia. Wypełniacz dodany – wypełniacz pochodzenia mineralnego, wyprodukowany oddzielnie).</w:t>
      </w:r>
    </w:p>
    <w:p w14:paraId="2C236B27"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1.4.13.</w:t>
      </w:r>
      <w:r w:rsidRPr="001667DB">
        <w:rPr>
          <w:rFonts w:ascii="Times New Roman" w:hAnsi="Times New Roman"/>
          <w:color w:val="000000" w:themeColor="text1"/>
          <w:sz w:val="22"/>
          <w:szCs w:val="22"/>
        </w:rPr>
        <w:t xml:space="preserve"> Granulat asfaltowy – jest to przetworzony destrukt asfaltowy o udokumentowanej jakości jako materiał składowy w produkcji mieszanek mineralno-asfaltowych w technologii na gorąco.</w:t>
      </w:r>
    </w:p>
    <w:p w14:paraId="65D271D6"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1.4.14. </w:t>
      </w:r>
      <w:r w:rsidRPr="001667DB">
        <w:rPr>
          <w:rFonts w:ascii="Times New Roman" w:hAnsi="Times New Roman"/>
          <w:color w:val="000000" w:themeColor="text1"/>
          <w:sz w:val="22"/>
          <w:szCs w:val="22"/>
        </w:rPr>
        <w:t>Destrukt asfaltowy – jest to mieszanka mineralno-asfaltowa, która jest uzyskiwana w wyniku frezowania warstw asfaltowych, rozkruszenia płyt wyciętych z nawierzchni asfaltowej, brył uzyskiwanych z płyt oraz z mieszanki mineralno-asfaltowej odrzuconej lub będącej nadwyżką produkcji.</w:t>
      </w:r>
    </w:p>
    <w:p w14:paraId="55660132"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1.4.15. </w:t>
      </w:r>
      <w:r w:rsidRPr="001667DB">
        <w:rPr>
          <w:rFonts w:ascii="Times New Roman" w:hAnsi="Times New Roman"/>
          <w:color w:val="000000" w:themeColor="text1"/>
          <w:sz w:val="22"/>
          <w:szCs w:val="22"/>
        </w:rPr>
        <w:t>Kationowa emulsja asfaltowa – emulsja, w której emulgator nadaje dodatnie ładunki cząstkom zdyspergowanego asfaltu.</w:t>
      </w:r>
    </w:p>
    <w:p w14:paraId="4548CEEE"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b/>
          <w:bCs/>
          <w:color w:val="000000" w:themeColor="text1"/>
        </w:rPr>
        <w:t>1.4.16. </w:t>
      </w:r>
      <w:r w:rsidRPr="001667DB">
        <w:rPr>
          <w:rFonts w:ascii="Times New Roman" w:hAnsi="Times New Roman" w:cs="Times New Roman"/>
          <w:bCs/>
          <w:color w:val="000000" w:themeColor="text1"/>
        </w:rPr>
        <w:t xml:space="preserve">Połączenia technologiczne </w:t>
      </w:r>
      <w:r w:rsidRPr="001667DB">
        <w:rPr>
          <w:rFonts w:ascii="Times New Roman" w:hAnsi="Times New Roman" w:cs="Times New Roman"/>
          <w:b/>
          <w:bCs/>
          <w:color w:val="000000" w:themeColor="text1"/>
        </w:rPr>
        <w:t xml:space="preserve">– </w:t>
      </w:r>
      <w:r w:rsidRPr="001667DB">
        <w:rPr>
          <w:rFonts w:ascii="Times New Roman" w:hAnsi="Times New Roman" w:cs="Times New Roman"/>
          <w:color w:val="000000" w:themeColor="text1"/>
        </w:rPr>
        <w:t>połączenia rożnych warstw ze sobą lub tych samych warstw wykonywanych w rożnym czasie niebędących połączeniem międzywarstwowym.</w:t>
      </w:r>
    </w:p>
    <w:p w14:paraId="15374C4B"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b/>
          <w:bCs/>
          <w:color w:val="000000" w:themeColor="text1"/>
        </w:rPr>
        <w:t>1.4.17. </w:t>
      </w:r>
      <w:r w:rsidRPr="001667DB">
        <w:rPr>
          <w:rFonts w:ascii="Times New Roman" w:hAnsi="Times New Roman" w:cs="Times New Roman"/>
          <w:bCs/>
          <w:color w:val="000000" w:themeColor="text1"/>
        </w:rPr>
        <w:t>Złącza podłużne i poprzeczne</w:t>
      </w:r>
      <w:r w:rsidRPr="001667DB">
        <w:rPr>
          <w:rFonts w:ascii="Times New Roman" w:hAnsi="Times New Roman" w:cs="Times New Roman"/>
          <w:b/>
          <w:bCs/>
          <w:color w:val="000000" w:themeColor="text1"/>
        </w:rPr>
        <w:t xml:space="preserve"> </w:t>
      </w:r>
      <w:r w:rsidRPr="001667DB">
        <w:rPr>
          <w:rFonts w:ascii="Times New Roman" w:hAnsi="Times New Roman" w:cs="Times New Roman"/>
          <w:color w:val="000000" w:themeColor="text1"/>
        </w:rPr>
        <w:t>– połączenia tego samego materiału wbudowywanego w rożnym czasie.</w:t>
      </w:r>
    </w:p>
    <w:p w14:paraId="057685D5" w14:textId="77777777" w:rsidR="00955A27" w:rsidRPr="001667DB" w:rsidRDefault="00955A27" w:rsidP="00955A27">
      <w:pPr>
        <w:spacing w:before="120" w:after="120" w:line="360" w:lineRule="auto"/>
        <w:rPr>
          <w:rFonts w:ascii="Times New Roman" w:hAnsi="Times New Roman" w:cs="Times New Roman"/>
          <w:b/>
          <w:color w:val="000000" w:themeColor="text1"/>
        </w:rPr>
      </w:pPr>
      <w:r w:rsidRPr="001667DB">
        <w:rPr>
          <w:rFonts w:ascii="Times New Roman" w:hAnsi="Times New Roman" w:cs="Times New Roman"/>
          <w:b/>
          <w:bCs/>
          <w:color w:val="000000" w:themeColor="text1"/>
        </w:rPr>
        <w:t>1.4.18. </w:t>
      </w:r>
      <w:r w:rsidRPr="001667DB">
        <w:rPr>
          <w:rFonts w:ascii="Times New Roman" w:hAnsi="Times New Roman" w:cs="Times New Roman"/>
          <w:bCs/>
          <w:color w:val="000000" w:themeColor="text1"/>
        </w:rPr>
        <w:t xml:space="preserve">Spoiny </w:t>
      </w:r>
      <w:r w:rsidRPr="001667DB">
        <w:rPr>
          <w:rFonts w:ascii="Times New Roman" w:hAnsi="Times New Roman" w:cs="Times New Roman"/>
          <w:color w:val="000000" w:themeColor="text1"/>
        </w:rPr>
        <w:t>– połączenia rożnych materiałów, np. asfaltu lanego i betonu asfaltowego oraz warstwy asfaltowej z urządzeniami obcymi w nawierzchni lub ją ograniczającymi.</w:t>
      </w:r>
    </w:p>
    <w:p w14:paraId="2EF8F2C7"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1.4.19. </w:t>
      </w:r>
      <w:r w:rsidRPr="001667DB">
        <w:rPr>
          <w:rFonts w:ascii="Times New Roman" w:hAnsi="Times New Roman"/>
          <w:color w:val="000000" w:themeColor="text1"/>
          <w:sz w:val="22"/>
          <w:szCs w:val="22"/>
        </w:rPr>
        <w:t>Pozostałe określenia podstawowe są zgodne z obowiązującymi, odpowiednimi polskimi normami i z definicjami podanymi w ST D-M-00.00.00 „Wymagania ogólne” pkt 1.4.</w:t>
      </w:r>
    </w:p>
    <w:p w14:paraId="1F869130" w14:textId="77777777" w:rsidR="00955A27" w:rsidRPr="001667DB" w:rsidRDefault="00955A27" w:rsidP="00955A27">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1.4.17. </w:t>
      </w:r>
      <w:r w:rsidRPr="001667DB">
        <w:rPr>
          <w:rFonts w:ascii="Times New Roman" w:hAnsi="Times New Roman"/>
          <w:color w:val="000000" w:themeColor="text1"/>
          <w:sz w:val="22"/>
          <w:szCs w:val="22"/>
        </w:rPr>
        <w:t>Symbole i skróty dodatkowe</w:t>
      </w:r>
    </w:p>
    <w:tbl>
      <w:tblPr>
        <w:tblW w:w="8868" w:type="dxa"/>
        <w:tblLook w:val="04A0" w:firstRow="1" w:lastRow="0" w:firstColumn="1" w:lastColumn="0" w:noHBand="0" w:noVBand="1"/>
      </w:tblPr>
      <w:tblGrid>
        <w:gridCol w:w="817"/>
        <w:gridCol w:w="8051"/>
      </w:tblGrid>
      <w:tr w:rsidR="00955A27" w:rsidRPr="001667DB" w14:paraId="15720CE2" w14:textId="77777777">
        <w:tc>
          <w:tcPr>
            <w:tcW w:w="817" w:type="dxa"/>
          </w:tcPr>
          <w:p w14:paraId="087CB090"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AC_P   </w:t>
            </w:r>
          </w:p>
        </w:tc>
        <w:tc>
          <w:tcPr>
            <w:tcW w:w="8051" w:type="dxa"/>
          </w:tcPr>
          <w:p w14:paraId="328E3AC9"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beton asfaltowy do warstwy podbudowy,</w:t>
            </w:r>
          </w:p>
        </w:tc>
      </w:tr>
      <w:tr w:rsidR="00955A27" w:rsidRPr="00326BBF" w14:paraId="7643C75E" w14:textId="77777777">
        <w:tc>
          <w:tcPr>
            <w:tcW w:w="817" w:type="dxa"/>
          </w:tcPr>
          <w:p w14:paraId="5365081A"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PMB   </w:t>
            </w:r>
          </w:p>
        </w:tc>
        <w:tc>
          <w:tcPr>
            <w:tcW w:w="8051" w:type="dxa"/>
          </w:tcPr>
          <w:p w14:paraId="65F4AAA7"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lang w:val="en-US"/>
              </w:rPr>
            </w:pPr>
            <w:r w:rsidRPr="001667DB">
              <w:rPr>
                <w:rFonts w:ascii="Times New Roman" w:hAnsi="Times New Roman"/>
                <w:color w:val="000000" w:themeColor="text1"/>
                <w:sz w:val="22"/>
                <w:szCs w:val="22"/>
                <w:lang w:val="en-US"/>
              </w:rPr>
              <w:t>polimeroasfalt (ang. polymer modified bitumen),</w:t>
            </w:r>
          </w:p>
        </w:tc>
      </w:tr>
      <w:tr w:rsidR="00955A27" w:rsidRPr="001667DB" w14:paraId="5C4ADBA4" w14:textId="77777777">
        <w:tc>
          <w:tcPr>
            <w:tcW w:w="817" w:type="dxa"/>
          </w:tcPr>
          <w:p w14:paraId="21446746"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MG</w:t>
            </w:r>
          </w:p>
        </w:tc>
        <w:tc>
          <w:tcPr>
            <w:tcW w:w="8051" w:type="dxa"/>
          </w:tcPr>
          <w:p w14:paraId="583AA14D"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asfalt wielorodzajowy (ang. multigrade)</w:t>
            </w:r>
          </w:p>
        </w:tc>
      </w:tr>
      <w:tr w:rsidR="00955A27" w:rsidRPr="001667DB" w14:paraId="4B2481AC" w14:textId="77777777">
        <w:tc>
          <w:tcPr>
            <w:tcW w:w="817" w:type="dxa"/>
          </w:tcPr>
          <w:p w14:paraId="3ED90629"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D         </w:t>
            </w:r>
          </w:p>
        </w:tc>
        <w:tc>
          <w:tcPr>
            <w:tcW w:w="8051" w:type="dxa"/>
          </w:tcPr>
          <w:p w14:paraId="26CE15BC"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górny wymiar sita (przy określaniu wielkości ziaren kruszywa),</w:t>
            </w:r>
          </w:p>
        </w:tc>
      </w:tr>
      <w:tr w:rsidR="00955A27" w:rsidRPr="001667DB" w14:paraId="654431E6" w14:textId="77777777">
        <w:tc>
          <w:tcPr>
            <w:tcW w:w="817" w:type="dxa"/>
          </w:tcPr>
          <w:p w14:paraId="528F7C0C"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lastRenderedPageBreak/>
              <w:t xml:space="preserve">d         </w:t>
            </w:r>
          </w:p>
        </w:tc>
        <w:tc>
          <w:tcPr>
            <w:tcW w:w="8051" w:type="dxa"/>
          </w:tcPr>
          <w:p w14:paraId="6596CD05"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dolny wymiar sita (przy określaniu wielkości ziaren kruszywa),</w:t>
            </w:r>
          </w:p>
        </w:tc>
      </w:tr>
      <w:tr w:rsidR="00955A27" w:rsidRPr="001667DB" w14:paraId="1EDB7D70" w14:textId="77777777">
        <w:tc>
          <w:tcPr>
            <w:tcW w:w="817" w:type="dxa"/>
          </w:tcPr>
          <w:p w14:paraId="043B32C7"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C         </w:t>
            </w:r>
          </w:p>
        </w:tc>
        <w:tc>
          <w:tcPr>
            <w:tcW w:w="8051" w:type="dxa"/>
          </w:tcPr>
          <w:p w14:paraId="6E17B72F"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kationowa emulsja asfaltowa,</w:t>
            </w:r>
          </w:p>
        </w:tc>
      </w:tr>
      <w:tr w:rsidR="00955A27" w:rsidRPr="001667DB" w14:paraId="5AFCC4F3" w14:textId="77777777">
        <w:tc>
          <w:tcPr>
            <w:tcW w:w="817" w:type="dxa"/>
          </w:tcPr>
          <w:p w14:paraId="6567F2CC"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NPD   </w:t>
            </w:r>
          </w:p>
        </w:tc>
        <w:tc>
          <w:tcPr>
            <w:tcW w:w="8051" w:type="dxa"/>
          </w:tcPr>
          <w:p w14:paraId="5FDA7664"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właściwość użytkowa nie określana (ang. No Performance Determined; producent może jej nie określać),</w:t>
            </w:r>
          </w:p>
        </w:tc>
      </w:tr>
      <w:tr w:rsidR="00955A27" w:rsidRPr="001667DB" w14:paraId="701585DB" w14:textId="77777777">
        <w:tc>
          <w:tcPr>
            <w:tcW w:w="817" w:type="dxa"/>
          </w:tcPr>
          <w:p w14:paraId="2E1C8A53"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TBR    </w:t>
            </w:r>
          </w:p>
        </w:tc>
        <w:tc>
          <w:tcPr>
            <w:tcW w:w="8051" w:type="dxa"/>
          </w:tcPr>
          <w:p w14:paraId="17F36926"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do zadeklarowania (ang. To Be Reported; producent może dostarczyć odpowiednie informacje, jednak nie jest do tego zobowiązany),</w:t>
            </w:r>
          </w:p>
        </w:tc>
      </w:tr>
      <w:tr w:rsidR="00955A27" w:rsidRPr="001667DB" w14:paraId="716592E9" w14:textId="77777777">
        <w:tc>
          <w:tcPr>
            <w:tcW w:w="817" w:type="dxa"/>
          </w:tcPr>
          <w:p w14:paraId="04BD2576"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IRI      </w:t>
            </w:r>
          </w:p>
        </w:tc>
        <w:tc>
          <w:tcPr>
            <w:tcW w:w="8051" w:type="dxa"/>
          </w:tcPr>
          <w:p w14:paraId="6752DFEE"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międzynarodowy wskaźnik równości (ang. International Roughness Index),</w:t>
            </w:r>
          </w:p>
        </w:tc>
      </w:tr>
      <w:tr w:rsidR="00955A27" w:rsidRPr="001667DB" w14:paraId="7E8B7766" w14:textId="77777777">
        <w:tc>
          <w:tcPr>
            <w:tcW w:w="817" w:type="dxa"/>
          </w:tcPr>
          <w:p w14:paraId="60C1F299"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MOP  </w:t>
            </w:r>
          </w:p>
        </w:tc>
        <w:tc>
          <w:tcPr>
            <w:tcW w:w="8051" w:type="dxa"/>
          </w:tcPr>
          <w:p w14:paraId="0B84BE76" w14:textId="77777777" w:rsidR="00955A27" w:rsidRPr="001667DB" w:rsidRDefault="00955A27" w:rsidP="00904E6C">
            <w:pPr>
              <w:pStyle w:val="StylIwony"/>
              <w:numPr>
                <w:ilvl w:val="0"/>
                <w:numId w:val="120"/>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miejsce obsługi podróżnych,</w:t>
            </w:r>
          </w:p>
        </w:tc>
      </w:tr>
      <w:tr w:rsidR="00955A27" w:rsidRPr="001667DB" w14:paraId="6FE0DDF1" w14:textId="77777777">
        <w:tc>
          <w:tcPr>
            <w:tcW w:w="817" w:type="dxa"/>
          </w:tcPr>
          <w:p w14:paraId="47708FA5"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ZKP</w:t>
            </w:r>
          </w:p>
        </w:tc>
        <w:tc>
          <w:tcPr>
            <w:tcW w:w="8051" w:type="dxa"/>
          </w:tcPr>
          <w:p w14:paraId="44439611" w14:textId="77777777" w:rsidR="00955A27" w:rsidRPr="001667DB" w:rsidRDefault="00955A27" w:rsidP="00904E6C">
            <w:pPr>
              <w:pStyle w:val="StylIwony"/>
              <w:numPr>
                <w:ilvl w:val="0"/>
                <w:numId w:val="121"/>
              </w:numPr>
              <w:spacing w:before="0" w:line="360" w:lineRule="auto"/>
              <w:ind w:left="45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zakładowa kontrola produkcji</w:t>
            </w:r>
          </w:p>
        </w:tc>
      </w:tr>
    </w:tbl>
    <w:p w14:paraId="20AF699A"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1.5. Ogólne wymagania dotyczące robót</w:t>
      </w:r>
    </w:p>
    <w:p w14:paraId="047306F3" w14:textId="77777777" w:rsidR="00955A27" w:rsidRPr="001667DB" w:rsidRDefault="00955A27" w:rsidP="00955A27">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ab/>
      </w:r>
      <w:r w:rsidRPr="001667DB">
        <w:rPr>
          <w:rFonts w:ascii="Times New Roman" w:hAnsi="Times New Roman"/>
          <w:color w:val="000000" w:themeColor="text1"/>
          <w:sz w:val="22"/>
          <w:szCs w:val="22"/>
        </w:rPr>
        <w:t>Ogólne wymagania dotyczące robót podano w ST D-M-00.00.00 „Wymagania ogólne” [1] pkt 1.5.</w:t>
      </w:r>
    </w:p>
    <w:p w14:paraId="4BDE4F20" w14:textId="77777777" w:rsidR="00955A27" w:rsidRPr="00326BBF" w:rsidRDefault="00955A27" w:rsidP="00955A27">
      <w:pPr>
        <w:pStyle w:val="Nagwek1"/>
        <w:spacing w:line="360" w:lineRule="auto"/>
        <w:rPr>
          <w:color w:val="000000" w:themeColor="text1"/>
          <w:sz w:val="22"/>
          <w:szCs w:val="22"/>
          <w:lang w:val="pl-PL"/>
        </w:rPr>
      </w:pPr>
      <w:bookmarkStart w:id="445" w:name="_Toc413234104"/>
      <w:r w:rsidRPr="00326BBF">
        <w:rPr>
          <w:color w:val="000000" w:themeColor="text1"/>
          <w:sz w:val="22"/>
          <w:szCs w:val="22"/>
          <w:lang w:val="pl-PL"/>
        </w:rPr>
        <w:t>2. Materiały</w:t>
      </w:r>
      <w:bookmarkEnd w:id="445"/>
    </w:p>
    <w:p w14:paraId="2A8E56F8"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2.1. Ogólne wymagania dotyczące materiałów</w:t>
      </w:r>
    </w:p>
    <w:p w14:paraId="31AB217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D-M-00.00.00 „Wymagania ogólne” [1] pkt 2.</w:t>
      </w:r>
    </w:p>
    <w:p w14:paraId="0D30977F" w14:textId="77777777" w:rsidR="00955A27" w:rsidRPr="001667DB" w:rsidRDefault="00955A27" w:rsidP="00955A27">
      <w:pPr>
        <w:pStyle w:val="Nagwek2"/>
        <w:spacing w:line="360" w:lineRule="auto"/>
        <w:rPr>
          <w:b w:val="0"/>
          <w:color w:val="000000" w:themeColor="text1"/>
          <w:sz w:val="22"/>
          <w:szCs w:val="22"/>
        </w:rPr>
      </w:pPr>
      <w:r w:rsidRPr="001667DB">
        <w:rPr>
          <w:b w:val="0"/>
          <w:color w:val="000000" w:themeColor="text1"/>
          <w:sz w:val="22"/>
          <w:szCs w:val="22"/>
        </w:rPr>
        <w:t>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w:t>
      </w:r>
    </w:p>
    <w:p w14:paraId="1C30A9DF"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należy stosować kruszywa ze skał magmowych, metamorficznych lub osadowych za wyjątkiem kruszywa ze skał dolomitowych i wapiennych.</w:t>
      </w:r>
    </w:p>
    <w:p w14:paraId="11F19579"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nie należy stosować kruszyw sztucznych, organicznych oraz kruszonych żwirów i piasków.</w:t>
      </w:r>
    </w:p>
    <w:p w14:paraId="7C00050A" w14:textId="77777777" w:rsidR="00955A27" w:rsidRPr="001667DB" w:rsidRDefault="00955A27" w:rsidP="00955A27">
      <w:pPr>
        <w:spacing w:after="120" w:line="360" w:lineRule="auto"/>
        <w:rPr>
          <w:rFonts w:ascii="Times New Roman" w:hAnsi="Times New Roman" w:cs="Times New Roman"/>
          <w:color w:val="000000" w:themeColor="text1"/>
        </w:rPr>
      </w:pPr>
    </w:p>
    <w:p w14:paraId="27CE58C8"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 xml:space="preserve"> 2.2. Materiały stosowane do betonu asfaltowego do warstwy podbudowy</w:t>
      </w:r>
    </w:p>
    <w:p w14:paraId="3230A5C8"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Rodzaje stosowanych materiałów do betonu asfaltowego do warstwy podbudowy w zależności od kategorii ruchu podano w tablicy 2.</w:t>
      </w:r>
    </w:p>
    <w:p w14:paraId="0F54BB2E" w14:textId="77777777" w:rsidR="00955A27" w:rsidRPr="001667DB" w:rsidRDefault="00955A27" w:rsidP="00955A27">
      <w:pPr>
        <w:spacing w:after="120" w:line="360" w:lineRule="auto"/>
        <w:ind w:firstLine="709"/>
        <w:rPr>
          <w:rFonts w:ascii="Times New Roman" w:hAnsi="Times New Roman" w:cs="Times New Roman"/>
          <w:color w:val="000000" w:themeColor="text1"/>
        </w:rPr>
      </w:pPr>
    </w:p>
    <w:p w14:paraId="409D9F2A" w14:textId="77777777" w:rsidR="00955A27" w:rsidRPr="001667DB" w:rsidRDefault="00955A27" w:rsidP="00955A27">
      <w:pPr>
        <w:spacing w:before="60" w:after="120" w:line="360" w:lineRule="auto"/>
        <w:ind w:left="900" w:hanging="900"/>
        <w:rPr>
          <w:rFonts w:ascii="Times New Roman" w:hAnsi="Times New Roman" w:cs="Times New Roman"/>
          <w:color w:val="000000" w:themeColor="text1"/>
        </w:rPr>
      </w:pPr>
      <w:r w:rsidRPr="001667DB">
        <w:rPr>
          <w:rFonts w:ascii="Times New Roman" w:hAnsi="Times New Roman" w:cs="Times New Roman"/>
          <w:color w:val="000000" w:themeColor="text1"/>
        </w:rPr>
        <w:t>Tablica 2. Materiały  do warstwy podbudowy  z betonu asfaltowego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636"/>
        <w:gridCol w:w="851"/>
        <w:gridCol w:w="709"/>
        <w:gridCol w:w="708"/>
        <w:gridCol w:w="851"/>
        <w:gridCol w:w="709"/>
        <w:gridCol w:w="708"/>
        <w:gridCol w:w="599"/>
      </w:tblGrid>
      <w:tr w:rsidR="00955A27" w:rsidRPr="001667DB" w14:paraId="76D2A07F" w14:textId="77777777" w:rsidTr="001B4B8F">
        <w:tc>
          <w:tcPr>
            <w:tcW w:w="2748" w:type="dxa"/>
            <w:vMerge w:val="restart"/>
            <w:vAlign w:val="center"/>
          </w:tcPr>
          <w:p w14:paraId="79EFE4B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Materiał</w:t>
            </w:r>
          </w:p>
        </w:tc>
        <w:tc>
          <w:tcPr>
            <w:tcW w:w="5771" w:type="dxa"/>
            <w:gridSpan w:val="8"/>
          </w:tcPr>
          <w:p w14:paraId="03267E9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Kategoria ruchu</w:t>
            </w:r>
          </w:p>
        </w:tc>
      </w:tr>
      <w:tr w:rsidR="00955A27" w:rsidRPr="001667DB" w14:paraId="7F334A46" w14:textId="77777777">
        <w:tc>
          <w:tcPr>
            <w:tcW w:w="2748" w:type="dxa"/>
            <w:vMerge/>
          </w:tcPr>
          <w:p w14:paraId="096412D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p>
        </w:tc>
        <w:tc>
          <w:tcPr>
            <w:tcW w:w="1487" w:type="dxa"/>
            <w:gridSpan w:val="2"/>
          </w:tcPr>
          <w:p w14:paraId="5F337F7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KR1÷2</w:t>
            </w:r>
          </w:p>
        </w:tc>
        <w:tc>
          <w:tcPr>
            <w:tcW w:w="2268" w:type="dxa"/>
            <w:gridSpan w:val="3"/>
          </w:tcPr>
          <w:p w14:paraId="55AE15BB" w14:textId="77777777" w:rsidR="00955A27" w:rsidRPr="001667DB" w:rsidRDefault="00955A27" w:rsidP="00955A27">
            <w:pPr>
              <w:spacing w:before="60"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KR3÷4</w:t>
            </w:r>
          </w:p>
        </w:tc>
        <w:tc>
          <w:tcPr>
            <w:tcW w:w="2016" w:type="dxa"/>
            <w:gridSpan w:val="3"/>
          </w:tcPr>
          <w:p w14:paraId="1284796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KR5÷7</w:t>
            </w:r>
          </w:p>
        </w:tc>
      </w:tr>
      <w:tr w:rsidR="00955A27" w:rsidRPr="001667DB" w14:paraId="7E6AB398" w14:textId="77777777" w:rsidTr="001B4B8F">
        <w:tc>
          <w:tcPr>
            <w:tcW w:w="2748" w:type="dxa"/>
          </w:tcPr>
          <w:p w14:paraId="6DB54D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Mieszanka mineralno-asfaltowa o wymiarze D, [mm]</w:t>
            </w:r>
          </w:p>
        </w:tc>
        <w:tc>
          <w:tcPr>
            <w:tcW w:w="636" w:type="dxa"/>
            <w:vAlign w:val="center"/>
          </w:tcPr>
          <w:p w14:paraId="5F59BB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851" w:type="dxa"/>
            <w:vAlign w:val="center"/>
          </w:tcPr>
          <w:p w14:paraId="1081882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22</w:t>
            </w:r>
          </w:p>
        </w:tc>
        <w:tc>
          <w:tcPr>
            <w:tcW w:w="709" w:type="dxa"/>
            <w:vAlign w:val="center"/>
          </w:tcPr>
          <w:p w14:paraId="545041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708" w:type="dxa"/>
            <w:vAlign w:val="center"/>
          </w:tcPr>
          <w:p w14:paraId="25E3A68A"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22</w:t>
            </w:r>
          </w:p>
        </w:tc>
        <w:tc>
          <w:tcPr>
            <w:tcW w:w="851" w:type="dxa"/>
            <w:vAlign w:val="center"/>
          </w:tcPr>
          <w:p w14:paraId="2978CCC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tc>
        <w:tc>
          <w:tcPr>
            <w:tcW w:w="709" w:type="dxa"/>
            <w:vAlign w:val="center"/>
          </w:tcPr>
          <w:p w14:paraId="1A53F30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708" w:type="dxa"/>
            <w:vAlign w:val="center"/>
          </w:tcPr>
          <w:p w14:paraId="219F81D4"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22</w:t>
            </w:r>
          </w:p>
        </w:tc>
        <w:tc>
          <w:tcPr>
            <w:tcW w:w="599" w:type="dxa"/>
            <w:vAlign w:val="center"/>
          </w:tcPr>
          <w:p w14:paraId="7F44688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tc>
      </w:tr>
      <w:tr w:rsidR="00955A27" w:rsidRPr="001667DB" w14:paraId="241BDD9D" w14:textId="77777777">
        <w:tc>
          <w:tcPr>
            <w:tcW w:w="2748" w:type="dxa"/>
          </w:tcPr>
          <w:p w14:paraId="5E78C30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Lepiszcze asfaltowe</w:t>
            </w:r>
          </w:p>
        </w:tc>
        <w:tc>
          <w:tcPr>
            <w:tcW w:w="1487" w:type="dxa"/>
            <w:gridSpan w:val="2"/>
          </w:tcPr>
          <w:p w14:paraId="59DEEAA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c>
          <w:tcPr>
            <w:tcW w:w="2268" w:type="dxa"/>
            <w:gridSpan w:val="3"/>
          </w:tcPr>
          <w:p w14:paraId="57DC5C2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35/50, 50/70</w:t>
            </w:r>
          </w:p>
          <w:p w14:paraId="3BC86EC8"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PMB 25/55-60</w:t>
            </w:r>
          </w:p>
          <w:p w14:paraId="134EB8F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MG 35/50-57/69</w:t>
            </w:r>
          </w:p>
          <w:p w14:paraId="4E1B7C9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MG 50/70-54/64</w:t>
            </w:r>
          </w:p>
        </w:tc>
        <w:tc>
          <w:tcPr>
            <w:tcW w:w="2016" w:type="dxa"/>
            <w:gridSpan w:val="3"/>
          </w:tcPr>
          <w:p w14:paraId="0F871C3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35/50, 50/70</w:t>
            </w:r>
          </w:p>
          <w:p w14:paraId="4D52841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PMB 25/55-60</w:t>
            </w:r>
          </w:p>
          <w:p w14:paraId="71A2F1F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PMB 25/55-80</w:t>
            </w:r>
          </w:p>
          <w:p w14:paraId="132ABCF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MG 35/50-57/69</w:t>
            </w:r>
          </w:p>
          <w:p w14:paraId="699F6CB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MG 50/70-54/64</w:t>
            </w:r>
          </w:p>
        </w:tc>
      </w:tr>
      <w:tr w:rsidR="00955A27" w:rsidRPr="00326BBF" w14:paraId="38C7F306" w14:textId="77777777">
        <w:tc>
          <w:tcPr>
            <w:tcW w:w="2748" w:type="dxa"/>
          </w:tcPr>
          <w:p w14:paraId="5C119E09"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Kruszywa mineralne</w:t>
            </w:r>
          </w:p>
        </w:tc>
        <w:tc>
          <w:tcPr>
            <w:tcW w:w="5771" w:type="dxa"/>
            <w:gridSpan w:val="8"/>
          </w:tcPr>
          <w:p w14:paraId="2AE89C7B" w14:textId="77777777" w:rsidR="00955A27" w:rsidRPr="00326BBF" w:rsidRDefault="00955A27" w:rsidP="00955A27">
            <w:pPr>
              <w:spacing w:before="120" w:after="120" w:line="360" w:lineRule="auto"/>
              <w:jc w:val="center"/>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Tabele 4-7 wg WT-1-2014 [81] (tablice 6-10 wg ST)</w:t>
            </w:r>
          </w:p>
        </w:tc>
      </w:tr>
    </w:tbl>
    <w:p w14:paraId="69C30CF0"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2.3. Lepiszcza asfaltowe</w:t>
      </w:r>
    </w:p>
    <w:p w14:paraId="7AD43245" w14:textId="77777777" w:rsidR="00955A27" w:rsidRPr="001667DB" w:rsidRDefault="00955A27" w:rsidP="00955A27">
      <w:pPr>
        <w:spacing w:after="120" w:line="360" w:lineRule="auto"/>
        <w:rPr>
          <w:rFonts w:ascii="Times New Roman" w:hAnsi="Times New Roman" w:cs="Times New Roman"/>
          <w:color w:val="000000" w:themeColor="text1"/>
          <w:highlight w:val="yellow"/>
        </w:rPr>
      </w:pPr>
      <w:r w:rsidRPr="001667DB">
        <w:rPr>
          <w:rFonts w:ascii="Times New Roman" w:hAnsi="Times New Roman" w:cs="Times New Roman"/>
          <w:color w:val="000000" w:themeColor="text1"/>
        </w:rPr>
        <w:tab/>
        <w:t>Należy stosować asfalty drogowe wg PN-EN 12591 [24],  polimeroasfalty wg PN-EN 14023 [66] [66a] lub asfalty wielorodzajowe wg PN-EN 13924-2[65] [65a].</w:t>
      </w:r>
    </w:p>
    <w:p w14:paraId="39996E2A"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 xml:space="preserve">Oprócz lepiszcz wymienionych w tablicy 2 można stosować inne lepiszcza nienormowe według aprobat technicznych. </w:t>
      </w:r>
    </w:p>
    <w:p w14:paraId="4E2406B7" w14:textId="77777777" w:rsidR="00955A27" w:rsidRPr="001667DB" w:rsidRDefault="00955A27" w:rsidP="00955A27">
      <w:pPr>
        <w:spacing w:after="120" w:line="360" w:lineRule="auto"/>
        <w:ind w:firstLine="708"/>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Asfalty drogowe powinny spełniać wymagania podane w tablicy 3. </w:t>
      </w:r>
    </w:p>
    <w:p w14:paraId="572282EE"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Polimeroasfalty  powinny spełniać wymagania podane  w tablicy 4.</w:t>
      </w:r>
    </w:p>
    <w:p w14:paraId="6205C63E" w14:textId="77777777" w:rsidR="00955A27" w:rsidRPr="001667DB" w:rsidRDefault="00955A27" w:rsidP="00955A27">
      <w:pPr>
        <w:spacing w:after="120" w:line="360" w:lineRule="auto"/>
        <w:ind w:firstLine="708"/>
        <w:rPr>
          <w:rFonts w:ascii="Times New Roman" w:hAnsi="Times New Roman" w:cs="Times New Roman"/>
          <w:color w:val="000000" w:themeColor="text1"/>
        </w:rPr>
      </w:pPr>
      <w:r w:rsidRPr="001667DB">
        <w:rPr>
          <w:rFonts w:ascii="Times New Roman" w:hAnsi="Times New Roman" w:cs="Times New Roman"/>
          <w:color w:val="000000" w:themeColor="text1"/>
        </w:rPr>
        <w:t>Asfalty wielorodzajowe powinny spełniać wymagania podane w tablicy 5.</w:t>
      </w:r>
    </w:p>
    <w:p w14:paraId="129313F0"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3. Wymagania wobec asfaltów drogowych wg PN-EN 12591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2775"/>
        <w:gridCol w:w="30"/>
        <w:gridCol w:w="960"/>
        <w:gridCol w:w="2160"/>
        <w:gridCol w:w="1150"/>
        <w:gridCol w:w="1150"/>
      </w:tblGrid>
      <w:tr w:rsidR="00955A27" w:rsidRPr="001667DB" w14:paraId="7E74916B" w14:textId="77777777" w:rsidTr="001B4B8F">
        <w:tc>
          <w:tcPr>
            <w:tcW w:w="543" w:type="dxa"/>
            <w:vMerge w:val="restart"/>
            <w:vAlign w:val="center"/>
          </w:tcPr>
          <w:p w14:paraId="2F70A8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2775" w:type="dxa"/>
            <w:vMerge w:val="restart"/>
            <w:vAlign w:val="center"/>
          </w:tcPr>
          <w:p w14:paraId="100650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990" w:type="dxa"/>
            <w:gridSpan w:val="2"/>
            <w:vMerge w:val="restart"/>
            <w:vAlign w:val="center"/>
          </w:tcPr>
          <w:p w14:paraId="5D4ED3A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2160" w:type="dxa"/>
            <w:vMerge w:val="restart"/>
            <w:vAlign w:val="center"/>
          </w:tcPr>
          <w:p w14:paraId="341B626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1999BE2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2300" w:type="dxa"/>
            <w:gridSpan w:val="2"/>
          </w:tcPr>
          <w:p w14:paraId="3A20269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asfaltu</w:t>
            </w:r>
          </w:p>
        </w:tc>
      </w:tr>
      <w:tr w:rsidR="00955A27" w:rsidRPr="001667DB" w14:paraId="1637D82D" w14:textId="77777777" w:rsidTr="001B4B8F">
        <w:tc>
          <w:tcPr>
            <w:tcW w:w="543" w:type="dxa"/>
            <w:vMerge/>
          </w:tcPr>
          <w:p w14:paraId="58FBA2AA"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775" w:type="dxa"/>
            <w:vMerge/>
          </w:tcPr>
          <w:p w14:paraId="489C4A12"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990" w:type="dxa"/>
            <w:gridSpan w:val="2"/>
            <w:vMerge/>
          </w:tcPr>
          <w:p w14:paraId="2ED2671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160" w:type="dxa"/>
            <w:vMerge/>
          </w:tcPr>
          <w:p w14:paraId="58CA7D74"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50" w:type="dxa"/>
          </w:tcPr>
          <w:p w14:paraId="6B3BB4A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35/50</w:t>
            </w:r>
          </w:p>
        </w:tc>
        <w:tc>
          <w:tcPr>
            <w:tcW w:w="1150" w:type="dxa"/>
          </w:tcPr>
          <w:p w14:paraId="6C8DC7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r>
      <w:tr w:rsidR="00955A27" w:rsidRPr="001667DB" w14:paraId="27E01A80" w14:textId="77777777">
        <w:tc>
          <w:tcPr>
            <w:tcW w:w="8768" w:type="dxa"/>
            <w:gridSpan w:val="7"/>
          </w:tcPr>
          <w:p w14:paraId="776CE6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OBLIGATORYJNE</w:t>
            </w:r>
          </w:p>
        </w:tc>
      </w:tr>
      <w:tr w:rsidR="00955A27" w:rsidRPr="001667DB" w14:paraId="6DD47284" w14:textId="77777777">
        <w:tc>
          <w:tcPr>
            <w:tcW w:w="543" w:type="dxa"/>
          </w:tcPr>
          <w:p w14:paraId="5B655F1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805" w:type="dxa"/>
            <w:gridSpan w:val="2"/>
          </w:tcPr>
          <w:p w14:paraId="5AFCDC5A"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960" w:type="dxa"/>
          </w:tcPr>
          <w:p w14:paraId="319E45FB"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2160" w:type="dxa"/>
          </w:tcPr>
          <w:p w14:paraId="1FEF8D7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50" w:type="dxa"/>
          </w:tcPr>
          <w:p w14:paraId="4413F66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35÷50</w:t>
            </w:r>
          </w:p>
        </w:tc>
        <w:tc>
          <w:tcPr>
            <w:tcW w:w="1150" w:type="dxa"/>
          </w:tcPr>
          <w:p w14:paraId="4CE0F99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r>
      <w:tr w:rsidR="00955A27" w:rsidRPr="001667DB" w14:paraId="0413330C" w14:textId="77777777">
        <w:tc>
          <w:tcPr>
            <w:tcW w:w="543" w:type="dxa"/>
          </w:tcPr>
          <w:p w14:paraId="0A3A2F8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805" w:type="dxa"/>
            <w:gridSpan w:val="2"/>
          </w:tcPr>
          <w:p w14:paraId="753E5EBA"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960" w:type="dxa"/>
          </w:tcPr>
          <w:p w14:paraId="74C4FC1B"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60" w:type="dxa"/>
          </w:tcPr>
          <w:p w14:paraId="44087F6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50" w:type="dxa"/>
          </w:tcPr>
          <w:p w14:paraId="150DA74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50÷58</w:t>
            </w:r>
          </w:p>
        </w:tc>
        <w:tc>
          <w:tcPr>
            <w:tcW w:w="1150" w:type="dxa"/>
          </w:tcPr>
          <w:p w14:paraId="47D651F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46÷54</w:t>
            </w:r>
          </w:p>
        </w:tc>
      </w:tr>
      <w:tr w:rsidR="00955A27" w:rsidRPr="001667DB" w14:paraId="3EEA2FA8" w14:textId="77777777">
        <w:tc>
          <w:tcPr>
            <w:tcW w:w="543" w:type="dxa"/>
          </w:tcPr>
          <w:p w14:paraId="6F99FD5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w:t>
            </w:r>
          </w:p>
        </w:tc>
        <w:tc>
          <w:tcPr>
            <w:tcW w:w="2805" w:type="dxa"/>
            <w:gridSpan w:val="2"/>
          </w:tcPr>
          <w:p w14:paraId="019801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zapłonu, </w:t>
            </w:r>
          </w:p>
          <w:p w14:paraId="3F8B60D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mniej niż</w:t>
            </w:r>
          </w:p>
        </w:tc>
        <w:tc>
          <w:tcPr>
            <w:tcW w:w="960" w:type="dxa"/>
          </w:tcPr>
          <w:p w14:paraId="610FA3E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60" w:type="dxa"/>
          </w:tcPr>
          <w:p w14:paraId="300F9AE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22592 [69]</w:t>
            </w:r>
          </w:p>
        </w:tc>
        <w:tc>
          <w:tcPr>
            <w:tcW w:w="1150" w:type="dxa"/>
          </w:tcPr>
          <w:p w14:paraId="61B65C6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240</w:t>
            </w:r>
          </w:p>
        </w:tc>
        <w:tc>
          <w:tcPr>
            <w:tcW w:w="1150" w:type="dxa"/>
          </w:tcPr>
          <w:p w14:paraId="2C04602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230</w:t>
            </w:r>
          </w:p>
        </w:tc>
      </w:tr>
      <w:tr w:rsidR="00955A27" w:rsidRPr="001667DB" w14:paraId="160C41EC" w14:textId="77777777">
        <w:tc>
          <w:tcPr>
            <w:tcW w:w="543" w:type="dxa"/>
          </w:tcPr>
          <w:p w14:paraId="393318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805" w:type="dxa"/>
            <w:gridSpan w:val="2"/>
          </w:tcPr>
          <w:p w14:paraId="7837F4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składników rozpuszczalnych, </w:t>
            </w:r>
          </w:p>
          <w:p w14:paraId="15A7D04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mniej niż</w:t>
            </w:r>
          </w:p>
        </w:tc>
        <w:tc>
          <w:tcPr>
            <w:tcW w:w="960" w:type="dxa"/>
          </w:tcPr>
          <w:p w14:paraId="61ED60B2"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AA37C0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tc>
        <w:tc>
          <w:tcPr>
            <w:tcW w:w="2160" w:type="dxa"/>
          </w:tcPr>
          <w:p w14:paraId="1CD92F6C"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2FCFB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12592 [25]</w:t>
            </w:r>
          </w:p>
        </w:tc>
        <w:tc>
          <w:tcPr>
            <w:tcW w:w="1150" w:type="dxa"/>
          </w:tcPr>
          <w:p w14:paraId="4E53EE5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4EA57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99</w:t>
            </w:r>
          </w:p>
        </w:tc>
        <w:tc>
          <w:tcPr>
            <w:tcW w:w="1150" w:type="dxa"/>
          </w:tcPr>
          <w:p w14:paraId="2D3B989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259472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99</w:t>
            </w:r>
          </w:p>
        </w:tc>
      </w:tr>
      <w:tr w:rsidR="00955A27" w:rsidRPr="001667DB" w14:paraId="1563A2F5" w14:textId="77777777">
        <w:tc>
          <w:tcPr>
            <w:tcW w:w="543" w:type="dxa"/>
          </w:tcPr>
          <w:p w14:paraId="6F49B38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805" w:type="dxa"/>
            <w:gridSpan w:val="2"/>
          </w:tcPr>
          <w:p w14:paraId="7979361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Zmiana masy po starzeniu (ubytek lub przyrost), </w:t>
            </w:r>
          </w:p>
          <w:p w14:paraId="3A1D91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więcej niż</w:t>
            </w:r>
          </w:p>
        </w:tc>
        <w:tc>
          <w:tcPr>
            <w:tcW w:w="960" w:type="dxa"/>
          </w:tcPr>
          <w:p w14:paraId="1B66F10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73847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tc>
        <w:tc>
          <w:tcPr>
            <w:tcW w:w="2160" w:type="dxa"/>
          </w:tcPr>
          <w:p w14:paraId="25252D73"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1E4D5E0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 [29]</w:t>
            </w:r>
          </w:p>
        </w:tc>
        <w:tc>
          <w:tcPr>
            <w:tcW w:w="1150" w:type="dxa"/>
          </w:tcPr>
          <w:p w14:paraId="191E31A7"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663A3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w:t>
            </w:r>
          </w:p>
        </w:tc>
        <w:tc>
          <w:tcPr>
            <w:tcW w:w="1150" w:type="dxa"/>
          </w:tcPr>
          <w:p w14:paraId="277497E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EF3432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w:t>
            </w:r>
          </w:p>
        </w:tc>
      </w:tr>
      <w:tr w:rsidR="00955A27" w:rsidRPr="001667DB" w14:paraId="7386874D" w14:textId="77777777">
        <w:tc>
          <w:tcPr>
            <w:tcW w:w="543" w:type="dxa"/>
          </w:tcPr>
          <w:p w14:paraId="2A6F53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805" w:type="dxa"/>
            <w:gridSpan w:val="2"/>
          </w:tcPr>
          <w:p w14:paraId="0BE4BA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 po starzeniu, nie mniej niż</w:t>
            </w:r>
          </w:p>
        </w:tc>
        <w:tc>
          <w:tcPr>
            <w:tcW w:w="960" w:type="dxa"/>
          </w:tcPr>
          <w:p w14:paraId="60CE447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60" w:type="dxa"/>
          </w:tcPr>
          <w:p w14:paraId="6425A2C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50" w:type="dxa"/>
          </w:tcPr>
          <w:p w14:paraId="12E1CD4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53</w:t>
            </w:r>
          </w:p>
        </w:tc>
        <w:tc>
          <w:tcPr>
            <w:tcW w:w="1150" w:type="dxa"/>
          </w:tcPr>
          <w:p w14:paraId="7B8D371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r>
      <w:tr w:rsidR="00955A27" w:rsidRPr="001667DB" w14:paraId="04C04DA9" w14:textId="77777777">
        <w:tc>
          <w:tcPr>
            <w:tcW w:w="543" w:type="dxa"/>
          </w:tcPr>
          <w:p w14:paraId="0B01863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805" w:type="dxa"/>
            <w:gridSpan w:val="2"/>
          </w:tcPr>
          <w:p w14:paraId="5485CAF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po starzeniu, nie mniej niż</w:t>
            </w:r>
          </w:p>
        </w:tc>
        <w:tc>
          <w:tcPr>
            <w:tcW w:w="960" w:type="dxa"/>
          </w:tcPr>
          <w:p w14:paraId="2BC80BF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60" w:type="dxa"/>
          </w:tcPr>
          <w:p w14:paraId="347F0ED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50" w:type="dxa"/>
          </w:tcPr>
          <w:p w14:paraId="096841D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52</w:t>
            </w:r>
          </w:p>
        </w:tc>
        <w:tc>
          <w:tcPr>
            <w:tcW w:w="1150" w:type="dxa"/>
          </w:tcPr>
          <w:p w14:paraId="7FB2ADB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48</w:t>
            </w:r>
          </w:p>
        </w:tc>
      </w:tr>
      <w:tr w:rsidR="00955A27" w:rsidRPr="001667DB" w14:paraId="11841E2B" w14:textId="77777777">
        <w:tc>
          <w:tcPr>
            <w:tcW w:w="543" w:type="dxa"/>
          </w:tcPr>
          <w:p w14:paraId="606FF4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805" w:type="dxa"/>
            <w:gridSpan w:val="2"/>
          </w:tcPr>
          <w:p w14:paraId="420E72D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 mięknienia po starzeniu, nie więcej niż</w:t>
            </w:r>
          </w:p>
        </w:tc>
        <w:tc>
          <w:tcPr>
            <w:tcW w:w="960" w:type="dxa"/>
          </w:tcPr>
          <w:p w14:paraId="3F57DE2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60" w:type="dxa"/>
          </w:tcPr>
          <w:p w14:paraId="28F214F3"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50" w:type="dxa"/>
          </w:tcPr>
          <w:p w14:paraId="6A1A6A2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1150" w:type="dxa"/>
          </w:tcPr>
          <w:p w14:paraId="1266EC4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r w:rsidR="00955A27" w:rsidRPr="001667DB" w14:paraId="7430FD97" w14:textId="77777777">
        <w:tc>
          <w:tcPr>
            <w:tcW w:w="8768" w:type="dxa"/>
            <w:gridSpan w:val="7"/>
          </w:tcPr>
          <w:p w14:paraId="148603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SPECJALNE   KRAJOWE</w:t>
            </w:r>
          </w:p>
        </w:tc>
      </w:tr>
      <w:tr w:rsidR="00955A27" w:rsidRPr="001667DB" w14:paraId="345E5098" w14:textId="77777777">
        <w:tc>
          <w:tcPr>
            <w:tcW w:w="543" w:type="dxa"/>
          </w:tcPr>
          <w:p w14:paraId="167D76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805" w:type="dxa"/>
            <w:gridSpan w:val="2"/>
          </w:tcPr>
          <w:p w14:paraId="662C758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 Fraassa, nie więcej niż</w:t>
            </w:r>
          </w:p>
        </w:tc>
        <w:tc>
          <w:tcPr>
            <w:tcW w:w="960" w:type="dxa"/>
          </w:tcPr>
          <w:p w14:paraId="52A6285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60" w:type="dxa"/>
          </w:tcPr>
          <w:p w14:paraId="4B6773F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1150" w:type="dxa"/>
          </w:tcPr>
          <w:p w14:paraId="5AD7BD9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150" w:type="dxa"/>
          </w:tcPr>
          <w:p w14:paraId="2190356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r>
      <w:tr w:rsidR="00955A27" w:rsidRPr="001667DB" w14:paraId="555BE246" w14:textId="77777777">
        <w:tc>
          <w:tcPr>
            <w:tcW w:w="543" w:type="dxa"/>
          </w:tcPr>
          <w:p w14:paraId="2146A15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2805" w:type="dxa"/>
            <w:gridSpan w:val="2"/>
          </w:tcPr>
          <w:p w14:paraId="2DA7B9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Indeks penetracji</w:t>
            </w:r>
          </w:p>
        </w:tc>
        <w:tc>
          <w:tcPr>
            <w:tcW w:w="960" w:type="dxa"/>
          </w:tcPr>
          <w:p w14:paraId="167BC79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60" w:type="dxa"/>
          </w:tcPr>
          <w:p w14:paraId="25A59E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12591[24]</w:t>
            </w:r>
          </w:p>
        </w:tc>
        <w:tc>
          <w:tcPr>
            <w:tcW w:w="1150" w:type="dxa"/>
          </w:tcPr>
          <w:p w14:paraId="5DB7397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1150" w:type="dxa"/>
          </w:tcPr>
          <w:p w14:paraId="5924018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r w:rsidR="00955A27" w:rsidRPr="001667DB" w14:paraId="056E7B9B" w14:textId="77777777">
        <w:tc>
          <w:tcPr>
            <w:tcW w:w="543" w:type="dxa"/>
          </w:tcPr>
          <w:p w14:paraId="41047A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805" w:type="dxa"/>
            <w:gridSpan w:val="2"/>
          </w:tcPr>
          <w:p w14:paraId="63E745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dynamiczna w 60°C</w:t>
            </w:r>
          </w:p>
        </w:tc>
        <w:tc>
          <w:tcPr>
            <w:tcW w:w="960" w:type="dxa"/>
          </w:tcPr>
          <w:p w14:paraId="3A5AF52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w:t>
            </w:r>
          </w:p>
        </w:tc>
        <w:tc>
          <w:tcPr>
            <w:tcW w:w="2160" w:type="dxa"/>
          </w:tcPr>
          <w:p w14:paraId="4E7C23B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12596[28]</w:t>
            </w:r>
          </w:p>
        </w:tc>
        <w:tc>
          <w:tcPr>
            <w:tcW w:w="1150" w:type="dxa"/>
          </w:tcPr>
          <w:p w14:paraId="0B7262E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1150" w:type="dxa"/>
          </w:tcPr>
          <w:p w14:paraId="3E48AF0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r w:rsidR="00955A27" w:rsidRPr="001667DB" w14:paraId="0A6734A3" w14:textId="77777777">
        <w:tc>
          <w:tcPr>
            <w:tcW w:w="543" w:type="dxa"/>
          </w:tcPr>
          <w:p w14:paraId="7A888C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805" w:type="dxa"/>
            <w:gridSpan w:val="2"/>
          </w:tcPr>
          <w:p w14:paraId="637B39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kinematyczna w 135°C</w:t>
            </w:r>
          </w:p>
        </w:tc>
        <w:tc>
          <w:tcPr>
            <w:tcW w:w="960" w:type="dxa"/>
          </w:tcPr>
          <w:p w14:paraId="094C0BE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/s</w:t>
            </w:r>
          </w:p>
        </w:tc>
        <w:tc>
          <w:tcPr>
            <w:tcW w:w="2160" w:type="dxa"/>
          </w:tcPr>
          <w:p w14:paraId="457126A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12595[27]</w:t>
            </w:r>
          </w:p>
        </w:tc>
        <w:tc>
          <w:tcPr>
            <w:tcW w:w="1150" w:type="dxa"/>
          </w:tcPr>
          <w:p w14:paraId="20E4EC6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1150" w:type="dxa"/>
          </w:tcPr>
          <w:p w14:paraId="094DD81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bl>
    <w:p w14:paraId="345AFBA0" w14:textId="77777777" w:rsidR="00955A27" w:rsidRPr="001667DB" w:rsidRDefault="00955A27" w:rsidP="00955A27">
      <w:pPr>
        <w:tabs>
          <w:tab w:val="left" w:pos="993"/>
        </w:tabs>
        <w:spacing w:before="120" w:after="120" w:line="360" w:lineRule="auto"/>
        <w:ind w:left="993" w:hanging="993"/>
        <w:rPr>
          <w:rFonts w:ascii="Times New Roman" w:hAnsi="Times New Roman" w:cs="Times New Roman"/>
          <w:color w:val="000000" w:themeColor="text1"/>
        </w:rPr>
      </w:pPr>
      <w:r w:rsidRPr="001667DB">
        <w:rPr>
          <w:rFonts w:ascii="Times New Roman" w:hAnsi="Times New Roman" w:cs="Times New Roman"/>
          <w:color w:val="000000" w:themeColor="text1"/>
        </w:rPr>
        <w:t>Tablica 4.</w:t>
      </w:r>
      <w:r w:rsidRPr="001667DB">
        <w:rPr>
          <w:rFonts w:ascii="Times New Roman" w:hAnsi="Times New Roman" w:cs="Times New Roman"/>
          <w:color w:val="000000" w:themeColor="text1"/>
        </w:rPr>
        <w:tab/>
        <w:t>Wymagania wobec asfaltów modyfikowanych polimerami (polimeroasfaltów) wg PN-EN 14023 [66] [66a]</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843"/>
        <w:gridCol w:w="1134"/>
        <w:gridCol w:w="850"/>
        <w:gridCol w:w="1276"/>
        <w:gridCol w:w="709"/>
        <w:gridCol w:w="1192"/>
        <w:gridCol w:w="650"/>
      </w:tblGrid>
      <w:tr w:rsidR="00955A27" w:rsidRPr="001667DB" w14:paraId="4036548F" w14:textId="77777777" w:rsidTr="001B4B8F">
        <w:tc>
          <w:tcPr>
            <w:tcW w:w="1384" w:type="dxa"/>
            <w:vMerge w:val="restart"/>
            <w:vAlign w:val="center"/>
          </w:tcPr>
          <w:p w14:paraId="2173FB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p w14:paraId="7988DC1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podstawowe</w:t>
            </w:r>
          </w:p>
        </w:tc>
        <w:tc>
          <w:tcPr>
            <w:tcW w:w="1843" w:type="dxa"/>
            <w:vMerge w:val="restart"/>
            <w:vAlign w:val="center"/>
          </w:tcPr>
          <w:p w14:paraId="126FB28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1134" w:type="dxa"/>
            <w:vMerge w:val="restart"/>
            <w:vAlign w:val="center"/>
          </w:tcPr>
          <w:p w14:paraId="62208E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160C891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850" w:type="dxa"/>
            <w:vMerge w:val="restart"/>
            <w:vAlign w:val="center"/>
          </w:tcPr>
          <w:p w14:paraId="79F2E4B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3827" w:type="dxa"/>
            <w:gridSpan w:val="4"/>
          </w:tcPr>
          <w:p w14:paraId="763DC36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Gatunki asfaltów modyfikowanych</w:t>
            </w:r>
          </w:p>
          <w:p w14:paraId="3A7F499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polimerami (PMB)</w:t>
            </w:r>
          </w:p>
        </w:tc>
      </w:tr>
      <w:tr w:rsidR="00955A27" w:rsidRPr="001667DB" w14:paraId="49212002" w14:textId="77777777" w:rsidTr="001B4B8F">
        <w:tc>
          <w:tcPr>
            <w:tcW w:w="1384" w:type="dxa"/>
            <w:vMerge/>
          </w:tcPr>
          <w:p w14:paraId="7F56C8B6"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843" w:type="dxa"/>
            <w:vMerge/>
          </w:tcPr>
          <w:p w14:paraId="3F5EFB5B"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tcPr>
          <w:p w14:paraId="39DDBB09"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850" w:type="dxa"/>
            <w:vMerge/>
          </w:tcPr>
          <w:p w14:paraId="0A5D0E1B"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985" w:type="dxa"/>
            <w:gridSpan w:val="2"/>
          </w:tcPr>
          <w:p w14:paraId="2EF2E060"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25/55 – 60</w:t>
            </w:r>
          </w:p>
        </w:tc>
        <w:tc>
          <w:tcPr>
            <w:tcW w:w="1842" w:type="dxa"/>
            <w:gridSpan w:val="2"/>
          </w:tcPr>
          <w:p w14:paraId="369690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25/55 – 80</w:t>
            </w:r>
          </w:p>
        </w:tc>
      </w:tr>
      <w:tr w:rsidR="00955A27" w:rsidRPr="001667DB" w14:paraId="33F34499" w14:textId="77777777" w:rsidTr="001B4B8F">
        <w:tc>
          <w:tcPr>
            <w:tcW w:w="1384" w:type="dxa"/>
            <w:vMerge/>
          </w:tcPr>
          <w:p w14:paraId="16D5CC0A"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843" w:type="dxa"/>
            <w:vMerge/>
          </w:tcPr>
          <w:p w14:paraId="230150E9"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tcPr>
          <w:p w14:paraId="0489B3B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850" w:type="dxa"/>
            <w:vMerge/>
          </w:tcPr>
          <w:p w14:paraId="31C1433C"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tcPr>
          <w:p w14:paraId="5E3D2C0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709" w:type="dxa"/>
          </w:tcPr>
          <w:p w14:paraId="6BCE596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1192" w:type="dxa"/>
          </w:tcPr>
          <w:p w14:paraId="664907A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650" w:type="dxa"/>
          </w:tcPr>
          <w:p w14:paraId="1AB885D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r>
      <w:tr w:rsidR="00955A27" w:rsidRPr="001667DB" w14:paraId="13F62193" w14:textId="77777777" w:rsidTr="001B4B8F">
        <w:tc>
          <w:tcPr>
            <w:tcW w:w="1384" w:type="dxa"/>
          </w:tcPr>
          <w:p w14:paraId="169B83F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Konsystencja w pośrednich temperaturach eksploatacyj-nych</w:t>
            </w:r>
          </w:p>
        </w:tc>
        <w:tc>
          <w:tcPr>
            <w:tcW w:w="1843" w:type="dxa"/>
            <w:vAlign w:val="center"/>
          </w:tcPr>
          <w:p w14:paraId="6722612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134" w:type="dxa"/>
            <w:vAlign w:val="center"/>
          </w:tcPr>
          <w:p w14:paraId="2CF65835" w14:textId="77777777" w:rsidR="00955A27" w:rsidRPr="001667DB" w:rsidRDefault="00955A27" w:rsidP="00955A27">
            <w:pPr>
              <w:tabs>
                <w:tab w:val="left" w:pos="28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850" w:type="dxa"/>
            <w:vAlign w:val="center"/>
          </w:tcPr>
          <w:p w14:paraId="01A2BBD4"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276" w:type="dxa"/>
            <w:vAlign w:val="center"/>
          </w:tcPr>
          <w:p w14:paraId="5B0C6DE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25-55</w:t>
            </w:r>
          </w:p>
        </w:tc>
        <w:tc>
          <w:tcPr>
            <w:tcW w:w="709" w:type="dxa"/>
            <w:tcBorders>
              <w:right w:val="single" w:sz="4" w:space="0" w:color="auto"/>
            </w:tcBorders>
            <w:vAlign w:val="center"/>
          </w:tcPr>
          <w:p w14:paraId="06E253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192" w:type="dxa"/>
            <w:tcBorders>
              <w:right w:val="single" w:sz="4" w:space="0" w:color="auto"/>
            </w:tcBorders>
            <w:vAlign w:val="center"/>
          </w:tcPr>
          <w:p w14:paraId="33A372D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25-55</w:t>
            </w:r>
          </w:p>
        </w:tc>
        <w:tc>
          <w:tcPr>
            <w:tcW w:w="650" w:type="dxa"/>
            <w:tcBorders>
              <w:right w:val="single" w:sz="4" w:space="0" w:color="auto"/>
            </w:tcBorders>
            <w:vAlign w:val="center"/>
          </w:tcPr>
          <w:p w14:paraId="207A6EB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36AC52FF" w14:textId="77777777" w:rsidTr="001B4B8F">
        <w:tc>
          <w:tcPr>
            <w:tcW w:w="1384" w:type="dxa"/>
          </w:tcPr>
          <w:p w14:paraId="6472B5A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Konsystencja  w wysokich  temp. eksplo-atacyjnych</w:t>
            </w:r>
          </w:p>
        </w:tc>
        <w:tc>
          <w:tcPr>
            <w:tcW w:w="1843" w:type="dxa"/>
            <w:vAlign w:val="center"/>
          </w:tcPr>
          <w:p w14:paraId="1FAEC84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1134" w:type="dxa"/>
            <w:vAlign w:val="center"/>
          </w:tcPr>
          <w:p w14:paraId="0F46A0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850" w:type="dxa"/>
            <w:vAlign w:val="center"/>
          </w:tcPr>
          <w:p w14:paraId="239434E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07BEB75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60</w:t>
            </w:r>
          </w:p>
        </w:tc>
        <w:tc>
          <w:tcPr>
            <w:tcW w:w="709" w:type="dxa"/>
            <w:tcBorders>
              <w:right w:val="single" w:sz="4" w:space="0" w:color="auto"/>
            </w:tcBorders>
            <w:vAlign w:val="center"/>
          </w:tcPr>
          <w:p w14:paraId="3A8B951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192" w:type="dxa"/>
            <w:tcBorders>
              <w:right w:val="single" w:sz="4" w:space="0" w:color="auto"/>
            </w:tcBorders>
            <w:vAlign w:val="center"/>
          </w:tcPr>
          <w:p w14:paraId="17E4489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80</w:t>
            </w:r>
          </w:p>
        </w:tc>
        <w:tc>
          <w:tcPr>
            <w:tcW w:w="650" w:type="dxa"/>
            <w:tcBorders>
              <w:right w:val="single" w:sz="4" w:space="0" w:color="auto"/>
            </w:tcBorders>
            <w:vAlign w:val="center"/>
          </w:tcPr>
          <w:p w14:paraId="2BC16E2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3B3CA1FD" w14:textId="77777777" w:rsidTr="001B4B8F">
        <w:tc>
          <w:tcPr>
            <w:tcW w:w="1384" w:type="dxa"/>
            <w:vMerge w:val="restart"/>
            <w:vAlign w:val="center"/>
          </w:tcPr>
          <w:p w14:paraId="0BF8BF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Kohezja</w:t>
            </w:r>
          </w:p>
        </w:tc>
        <w:tc>
          <w:tcPr>
            <w:tcW w:w="1843" w:type="dxa"/>
            <w:vAlign w:val="center"/>
          </w:tcPr>
          <w:p w14:paraId="60CEDAF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Siła rozciągania (mała prędkość rozciągania)</w:t>
            </w:r>
          </w:p>
        </w:tc>
        <w:tc>
          <w:tcPr>
            <w:tcW w:w="1134" w:type="dxa"/>
            <w:vAlign w:val="center"/>
          </w:tcPr>
          <w:p w14:paraId="7AB2025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13589 [62]      PN-EN 13703 [63]</w:t>
            </w:r>
          </w:p>
        </w:tc>
        <w:tc>
          <w:tcPr>
            <w:tcW w:w="850" w:type="dxa"/>
            <w:vAlign w:val="center"/>
          </w:tcPr>
          <w:p w14:paraId="1A11166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1C945F6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w </w:t>
            </w:r>
            <w:smartTag w:uri="urn:schemas-microsoft-com:office:smarttags" w:element="metricconverter">
              <w:smartTagPr>
                <w:attr w:name="ProductID" w:val="10ﾰC"/>
              </w:smartTagPr>
              <w:r w:rsidRPr="001667DB">
                <w:rPr>
                  <w:rFonts w:ascii="Times New Roman" w:hAnsi="Times New Roman" w:cs="Times New Roman"/>
                  <w:color w:val="000000" w:themeColor="text1"/>
                </w:rPr>
                <w:t>10°C</w:t>
              </w:r>
            </w:smartTag>
          </w:p>
        </w:tc>
        <w:tc>
          <w:tcPr>
            <w:tcW w:w="709" w:type="dxa"/>
            <w:tcBorders>
              <w:right w:val="single" w:sz="4" w:space="0" w:color="auto"/>
            </w:tcBorders>
            <w:vAlign w:val="center"/>
          </w:tcPr>
          <w:p w14:paraId="031DD0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192" w:type="dxa"/>
            <w:tcBorders>
              <w:right w:val="single" w:sz="4" w:space="0" w:color="auto"/>
            </w:tcBorders>
          </w:tcPr>
          <w:p w14:paraId="29DF6FFC"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BD7DC87"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p w14:paraId="233430E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 15°C)</w:t>
            </w:r>
          </w:p>
        </w:tc>
        <w:tc>
          <w:tcPr>
            <w:tcW w:w="650" w:type="dxa"/>
            <w:tcBorders>
              <w:right w:val="single" w:sz="4" w:space="0" w:color="auto"/>
            </w:tcBorders>
          </w:tcPr>
          <w:p w14:paraId="24453CE1"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F3D3C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144070CF" w14:textId="77777777" w:rsidTr="001B4B8F">
        <w:tc>
          <w:tcPr>
            <w:tcW w:w="1384" w:type="dxa"/>
            <w:vMerge/>
          </w:tcPr>
          <w:p w14:paraId="201F38B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68D04542" w14:textId="77777777" w:rsidR="00955A27" w:rsidRPr="001667DB" w:rsidRDefault="00955A27" w:rsidP="00955A27">
            <w:pPr>
              <w:spacing w:after="120" w:line="360" w:lineRule="auto"/>
              <w:rPr>
                <w:rFonts w:ascii="Times New Roman" w:hAnsi="Times New Roman" w:cs="Times New Roman"/>
                <w:color w:val="000000" w:themeColor="text1"/>
                <w:highlight w:val="yellow"/>
              </w:rPr>
            </w:pPr>
            <w:r w:rsidRPr="001667DB">
              <w:rPr>
                <w:rFonts w:ascii="Times New Roman" w:hAnsi="Times New Roman" w:cs="Times New Roman"/>
                <w:color w:val="000000" w:themeColor="text1"/>
              </w:rPr>
              <w:t xml:space="preserve">Rozciąganie bezpośrednie  w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xml:space="preserve"> (rozciąganie 100 mm/min)</w:t>
            </w:r>
          </w:p>
        </w:tc>
        <w:tc>
          <w:tcPr>
            <w:tcW w:w="1134" w:type="dxa"/>
            <w:vAlign w:val="center"/>
          </w:tcPr>
          <w:p w14:paraId="18FDE15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13587 [60]      PN-EN 13703 [63]</w:t>
            </w:r>
          </w:p>
        </w:tc>
        <w:tc>
          <w:tcPr>
            <w:tcW w:w="850" w:type="dxa"/>
            <w:vAlign w:val="center"/>
          </w:tcPr>
          <w:p w14:paraId="5EB9F9A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1FAB66F8"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tcBorders>
              <w:right w:val="single" w:sz="4" w:space="0" w:color="auto"/>
            </w:tcBorders>
            <w:vAlign w:val="center"/>
          </w:tcPr>
          <w:p w14:paraId="0D99EFC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tcBorders>
              <w:right w:val="single" w:sz="4" w:space="0" w:color="auto"/>
            </w:tcBorders>
          </w:tcPr>
          <w:p w14:paraId="65900A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50" w:type="dxa"/>
            <w:tcBorders>
              <w:right w:val="single" w:sz="4" w:space="0" w:color="auto"/>
            </w:tcBorders>
          </w:tcPr>
          <w:p w14:paraId="61EE766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00E9C648" w14:textId="77777777" w:rsidTr="001B4B8F">
        <w:tc>
          <w:tcPr>
            <w:tcW w:w="1384" w:type="dxa"/>
            <w:vMerge/>
          </w:tcPr>
          <w:p w14:paraId="07347B9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0374E5E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Wahadło Vialit (metoda uderzenia)</w:t>
            </w:r>
          </w:p>
        </w:tc>
        <w:tc>
          <w:tcPr>
            <w:tcW w:w="1134" w:type="dxa"/>
            <w:vAlign w:val="center"/>
          </w:tcPr>
          <w:p w14:paraId="36A5B22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13588 [61]</w:t>
            </w:r>
          </w:p>
        </w:tc>
        <w:tc>
          <w:tcPr>
            <w:tcW w:w="850" w:type="dxa"/>
            <w:vAlign w:val="center"/>
          </w:tcPr>
          <w:p w14:paraId="0DB0621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42AF5FEC"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tcBorders>
              <w:right w:val="single" w:sz="4" w:space="0" w:color="auto"/>
            </w:tcBorders>
            <w:vAlign w:val="center"/>
          </w:tcPr>
          <w:p w14:paraId="5CFFC59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tcBorders>
              <w:right w:val="single" w:sz="4" w:space="0" w:color="auto"/>
            </w:tcBorders>
          </w:tcPr>
          <w:p w14:paraId="5B4BF81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50" w:type="dxa"/>
            <w:tcBorders>
              <w:right w:val="single" w:sz="4" w:space="0" w:color="auto"/>
            </w:tcBorders>
          </w:tcPr>
          <w:p w14:paraId="0C785F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7807A401" w14:textId="77777777" w:rsidTr="001B4B8F">
        <w:tc>
          <w:tcPr>
            <w:tcW w:w="1384" w:type="dxa"/>
            <w:vMerge w:val="restart"/>
          </w:tcPr>
          <w:p w14:paraId="236870F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Stałość konsystencji (odporność na starzenie wg PN-EN </w:t>
            </w:r>
            <w:r w:rsidRPr="001667DB">
              <w:rPr>
                <w:rFonts w:ascii="Times New Roman" w:hAnsi="Times New Roman" w:cs="Times New Roman"/>
                <w:color w:val="000000" w:themeColor="text1"/>
              </w:rPr>
              <w:lastRenderedPageBreak/>
              <w:t>12607-1 lub  -3 [29][30]</w:t>
            </w:r>
          </w:p>
        </w:tc>
        <w:tc>
          <w:tcPr>
            <w:tcW w:w="1843" w:type="dxa"/>
            <w:vAlign w:val="center"/>
          </w:tcPr>
          <w:p w14:paraId="78C20E5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Zmiana masy</w:t>
            </w:r>
          </w:p>
        </w:tc>
        <w:tc>
          <w:tcPr>
            <w:tcW w:w="1134" w:type="dxa"/>
            <w:vAlign w:val="center"/>
          </w:tcPr>
          <w:p w14:paraId="47AD12C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12607-1[29]</w:t>
            </w:r>
          </w:p>
        </w:tc>
        <w:tc>
          <w:tcPr>
            <w:tcW w:w="850" w:type="dxa"/>
            <w:vAlign w:val="center"/>
          </w:tcPr>
          <w:p w14:paraId="55B7605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76F805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0,5</w:t>
            </w:r>
          </w:p>
        </w:tc>
        <w:tc>
          <w:tcPr>
            <w:tcW w:w="709" w:type="dxa"/>
            <w:tcBorders>
              <w:right w:val="single" w:sz="4" w:space="0" w:color="auto"/>
            </w:tcBorders>
            <w:vAlign w:val="center"/>
          </w:tcPr>
          <w:p w14:paraId="23F06C6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192" w:type="dxa"/>
            <w:tcBorders>
              <w:right w:val="single" w:sz="4" w:space="0" w:color="auto"/>
            </w:tcBorders>
            <w:vAlign w:val="center"/>
          </w:tcPr>
          <w:p w14:paraId="597BC15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0,5</w:t>
            </w:r>
          </w:p>
        </w:tc>
        <w:tc>
          <w:tcPr>
            <w:tcW w:w="650" w:type="dxa"/>
            <w:tcBorders>
              <w:right w:val="single" w:sz="4" w:space="0" w:color="auto"/>
            </w:tcBorders>
            <w:vAlign w:val="center"/>
          </w:tcPr>
          <w:p w14:paraId="7BB55EE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2CF7866E" w14:textId="77777777" w:rsidTr="001B4B8F">
        <w:tc>
          <w:tcPr>
            <w:tcW w:w="1384" w:type="dxa"/>
            <w:vMerge/>
          </w:tcPr>
          <w:p w14:paraId="582BA895"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1DEF3D7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w:t>
            </w:r>
          </w:p>
        </w:tc>
        <w:tc>
          <w:tcPr>
            <w:tcW w:w="1134" w:type="dxa"/>
            <w:vAlign w:val="center"/>
          </w:tcPr>
          <w:p w14:paraId="7E15AFD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850" w:type="dxa"/>
            <w:vAlign w:val="center"/>
          </w:tcPr>
          <w:p w14:paraId="210761A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333A5D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60</w:t>
            </w:r>
          </w:p>
        </w:tc>
        <w:tc>
          <w:tcPr>
            <w:tcW w:w="709" w:type="dxa"/>
            <w:tcBorders>
              <w:right w:val="single" w:sz="4" w:space="0" w:color="auto"/>
            </w:tcBorders>
            <w:vAlign w:val="center"/>
          </w:tcPr>
          <w:p w14:paraId="612D26E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192" w:type="dxa"/>
            <w:tcBorders>
              <w:right w:val="single" w:sz="4" w:space="0" w:color="auto"/>
            </w:tcBorders>
            <w:vAlign w:val="center"/>
          </w:tcPr>
          <w:p w14:paraId="1C3B98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60</w:t>
            </w:r>
          </w:p>
        </w:tc>
        <w:tc>
          <w:tcPr>
            <w:tcW w:w="650" w:type="dxa"/>
            <w:tcBorders>
              <w:right w:val="single" w:sz="4" w:space="0" w:color="auto"/>
            </w:tcBorders>
            <w:vAlign w:val="center"/>
          </w:tcPr>
          <w:p w14:paraId="35482D1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4433AB2C" w14:textId="77777777" w:rsidTr="001B4B8F">
        <w:tc>
          <w:tcPr>
            <w:tcW w:w="1384" w:type="dxa"/>
            <w:vMerge/>
          </w:tcPr>
          <w:p w14:paraId="2EECFC15"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tcBorders>
              <w:top w:val="nil"/>
            </w:tcBorders>
            <w:vAlign w:val="center"/>
          </w:tcPr>
          <w:p w14:paraId="548F8E7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temperatury mięknienia</w:t>
            </w:r>
          </w:p>
        </w:tc>
        <w:tc>
          <w:tcPr>
            <w:tcW w:w="1134" w:type="dxa"/>
            <w:tcBorders>
              <w:top w:val="nil"/>
            </w:tcBorders>
            <w:vAlign w:val="center"/>
          </w:tcPr>
          <w:p w14:paraId="225947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850" w:type="dxa"/>
            <w:tcBorders>
              <w:top w:val="nil"/>
            </w:tcBorders>
            <w:vAlign w:val="center"/>
          </w:tcPr>
          <w:p w14:paraId="560931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tcBorders>
              <w:top w:val="nil"/>
            </w:tcBorders>
            <w:vAlign w:val="center"/>
          </w:tcPr>
          <w:p w14:paraId="39C53D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09" w:type="dxa"/>
            <w:tcBorders>
              <w:top w:val="nil"/>
              <w:bottom w:val="single" w:sz="4" w:space="0" w:color="auto"/>
              <w:right w:val="single" w:sz="4" w:space="0" w:color="auto"/>
            </w:tcBorders>
            <w:vAlign w:val="center"/>
          </w:tcPr>
          <w:p w14:paraId="5EC41A6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192" w:type="dxa"/>
            <w:tcBorders>
              <w:top w:val="nil"/>
              <w:bottom w:val="single" w:sz="4" w:space="0" w:color="auto"/>
              <w:right w:val="single" w:sz="4" w:space="0" w:color="auto"/>
            </w:tcBorders>
            <w:vAlign w:val="center"/>
          </w:tcPr>
          <w:p w14:paraId="2436A75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650" w:type="dxa"/>
            <w:tcBorders>
              <w:top w:val="nil"/>
              <w:bottom w:val="single" w:sz="4" w:space="0" w:color="auto"/>
              <w:right w:val="single" w:sz="4" w:space="0" w:color="auto"/>
            </w:tcBorders>
            <w:vAlign w:val="center"/>
          </w:tcPr>
          <w:p w14:paraId="5FBF2D2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6990258C" w14:textId="77777777" w:rsidTr="001B4B8F">
        <w:trPr>
          <w:trHeight w:val="510"/>
        </w:trPr>
        <w:tc>
          <w:tcPr>
            <w:tcW w:w="1384" w:type="dxa"/>
            <w:tcBorders>
              <w:bottom w:val="single" w:sz="4" w:space="0" w:color="auto"/>
            </w:tcBorders>
            <w:vAlign w:val="center"/>
          </w:tcPr>
          <w:p w14:paraId="0D3AA2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Inne właściwości</w:t>
            </w:r>
          </w:p>
        </w:tc>
        <w:tc>
          <w:tcPr>
            <w:tcW w:w="1843" w:type="dxa"/>
            <w:tcBorders>
              <w:bottom w:val="single" w:sz="4" w:space="0" w:color="auto"/>
            </w:tcBorders>
            <w:vAlign w:val="center"/>
          </w:tcPr>
          <w:p w14:paraId="1D84A14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zapłonu</w:t>
            </w:r>
          </w:p>
        </w:tc>
        <w:tc>
          <w:tcPr>
            <w:tcW w:w="1134" w:type="dxa"/>
            <w:tcBorders>
              <w:bottom w:val="single" w:sz="4" w:space="0" w:color="auto"/>
            </w:tcBorders>
            <w:vAlign w:val="center"/>
          </w:tcPr>
          <w:p w14:paraId="042C4F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ISO 2592 [70]</w:t>
            </w:r>
          </w:p>
        </w:tc>
        <w:tc>
          <w:tcPr>
            <w:tcW w:w="850" w:type="dxa"/>
            <w:tcBorders>
              <w:bottom w:val="single" w:sz="4" w:space="0" w:color="auto"/>
            </w:tcBorders>
            <w:vAlign w:val="center"/>
          </w:tcPr>
          <w:p w14:paraId="32EB186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tcBorders>
              <w:bottom w:val="single" w:sz="4" w:space="0" w:color="auto"/>
            </w:tcBorders>
            <w:vAlign w:val="center"/>
          </w:tcPr>
          <w:p w14:paraId="001358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235</w:t>
            </w:r>
          </w:p>
        </w:tc>
        <w:tc>
          <w:tcPr>
            <w:tcW w:w="709" w:type="dxa"/>
            <w:tcBorders>
              <w:top w:val="single" w:sz="4" w:space="0" w:color="auto"/>
              <w:bottom w:val="single" w:sz="4" w:space="0" w:color="auto"/>
              <w:right w:val="single" w:sz="4" w:space="0" w:color="auto"/>
            </w:tcBorders>
            <w:vAlign w:val="center"/>
          </w:tcPr>
          <w:p w14:paraId="0137B5E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192" w:type="dxa"/>
            <w:tcBorders>
              <w:top w:val="single" w:sz="4" w:space="0" w:color="auto"/>
              <w:bottom w:val="single" w:sz="4" w:space="0" w:color="auto"/>
              <w:right w:val="single" w:sz="4" w:space="0" w:color="auto"/>
            </w:tcBorders>
            <w:vAlign w:val="center"/>
          </w:tcPr>
          <w:p w14:paraId="5149C1E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235</w:t>
            </w:r>
          </w:p>
        </w:tc>
        <w:tc>
          <w:tcPr>
            <w:tcW w:w="650" w:type="dxa"/>
            <w:tcBorders>
              <w:top w:val="single" w:sz="4" w:space="0" w:color="auto"/>
              <w:bottom w:val="single" w:sz="4" w:space="0" w:color="auto"/>
              <w:right w:val="single" w:sz="4" w:space="0" w:color="auto"/>
            </w:tcBorders>
            <w:vAlign w:val="center"/>
          </w:tcPr>
          <w:p w14:paraId="15A156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228EBA93" w14:textId="77777777" w:rsidTr="001B4B8F">
        <w:trPr>
          <w:trHeight w:val="590"/>
        </w:trPr>
        <w:tc>
          <w:tcPr>
            <w:tcW w:w="1384" w:type="dxa"/>
            <w:vMerge w:val="restart"/>
            <w:vAlign w:val="center"/>
          </w:tcPr>
          <w:p w14:paraId="59FD643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w:t>
            </w:r>
          </w:p>
          <w:p w14:paraId="68F9A11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w:t>
            </w:r>
          </w:p>
        </w:tc>
        <w:tc>
          <w:tcPr>
            <w:tcW w:w="1843" w:type="dxa"/>
            <w:tcBorders>
              <w:bottom w:val="single" w:sz="4" w:space="0" w:color="auto"/>
            </w:tcBorders>
            <w:vAlign w:val="center"/>
          </w:tcPr>
          <w:p w14:paraId="4BA4C6E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w:t>
            </w:r>
          </w:p>
        </w:tc>
        <w:tc>
          <w:tcPr>
            <w:tcW w:w="1134" w:type="dxa"/>
            <w:tcBorders>
              <w:bottom w:val="single" w:sz="4" w:space="0" w:color="auto"/>
            </w:tcBorders>
            <w:vAlign w:val="center"/>
          </w:tcPr>
          <w:p w14:paraId="0B6FF2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850" w:type="dxa"/>
            <w:tcBorders>
              <w:bottom w:val="single" w:sz="4" w:space="0" w:color="auto"/>
            </w:tcBorders>
            <w:vAlign w:val="center"/>
          </w:tcPr>
          <w:p w14:paraId="60BBA2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tcBorders>
              <w:bottom w:val="single" w:sz="4" w:space="0" w:color="auto"/>
            </w:tcBorders>
            <w:vAlign w:val="center"/>
          </w:tcPr>
          <w:p w14:paraId="19434EA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-10</w:t>
            </w:r>
          </w:p>
        </w:tc>
        <w:tc>
          <w:tcPr>
            <w:tcW w:w="709" w:type="dxa"/>
            <w:tcBorders>
              <w:bottom w:val="single" w:sz="4" w:space="0" w:color="auto"/>
              <w:right w:val="single" w:sz="4" w:space="0" w:color="auto"/>
            </w:tcBorders>
            <w:vAlign w:val="center"/>
          </w:tcPr>
          <w:p w14:paraId="462CC5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192" w:type="dxa"/>
            <w:tcBorders>
              <w:bottom w:val="single" w:sz="4" w:space="0" w:color="auto"/>
              <w:right w:val="single" w:sz="4" w:space="0" w:color="auto"/>
            </w:tcBorders>
            <w:vAlign w:val="center"/>
          </w:tcPr>
          <w:p w14:paraId="3EA50D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-15</w:t>
            </w:r>
          </w:p>
        </w:tc>
        <w:tc>
          <w:tcPr>
            <w:tcW w:w="650" w:type="dxa"/>
            <w:tcBorders>
              <w:bottom w:val="single" w:sz="4" w:space="0" w:color="auto"/>
              <w:right w:val="single" w:sz="4" w:space="0" w:color="auto"/>
            </w:tcBorders>
            <w:vAlign w:val="center"/>
          </w:tcPr>
          <w:p w14:paraId="5D0EF9B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20BEE8DB" w14:textId="77777777" w:rsidTr="001B4B8F">
        <w:tc>
          <w:tcPr>
            <w:tcW w:w="1384" w:type="dxa"/>
            <w:vMerge/>
          </w:tcPr>
          <w:p w14:paraId="58984BC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659F075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134" w:type="dxa"/>
            <w:tcBorders>
              <w:bottom w:val="single" w:sz="4" w:space="0" w:color="auto"/>
            </w:tcBorders>
            <w:vAlign w:val="center"/>
          </w:tcPr>
          <w:p w14:paraId="20E9D2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13398 [58]</w:t>
            </w:r>
          </w:p>
        </w:tc>
        <w:tc>
          <w:tcPr>
            <w:tcW w:w="850" w:type="dxa"/>
            <w:tcBorders>
              <w:bottom w:val="single" w:sz="4" w:space="0" w:color="auto"/>
            </w:tcBorders>
            <w:vAlign w:val="center"/>
          </w:tcPr>
          <w:p w14:paraId="4530D0F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tcBorders>
              <w:bottom w:val="single" w:sz="4" w:space="0" w:color="auto"/>
            </w:tcBorders>
            <w:vAlign w:val="center"/>
          </w:tcPr>
          <w:p w14:paraId="7CCCFAD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60</w:t>
            </w:r>
          </w:p>
        </w:tc>
        <w:tc>
          <w:tcPr>
            <w:tcW w:w="709" w:type="dxa"/>
            <w:tcBorders>
              <w:top w:val="nil"/>
            </w:tcBorders>
            <w:vAlign w:val="center"/>
          </w:tcPr>
          <w:p w14:paraId="5EC071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192" w:type="dxa"/>
            <w:tcBorders>
              <w:top w:val="nil"/>
            </w:tcBorders>
            <w:vAlign w:val="center"/>
          </w:tcPr>
          <w:p w14:paraId="17D717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80</w:t>
            </w:r>
          </w:p>
        </w:tc>
        <w:tc>
          <w:tcPr>
            <w:tcW w:w="650" w:type="dxa"/>
            <w:tcBorders>
              <w:top w:val="nil"/>
            </w:tcBorders>
            <w:vAlign w:val="center"/>
          </w:tcPr>
          <w:p w14:paraId="31BFA8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2AD71D59" w14:textId="77777777" w:rsidTr="001B4B8F">
        <w:tc>
          <w:tcPr>
            <w:tcW w:w="1384" w:type="dxa"/>
            <w:vMerge/>
          </w:tcPr>
          <w:p w14:paraId="56F7CB9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7B4B06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10ﾰC"/>
              </w:smartTagPr>
              <w:r w:rsidRPr="001667DB">
                <w:rPr>
                  <w:rFonts w:ascii="Times New Roman" w:hAnsi="Times New Roman" w:cs="Times New Roman"/>
                  <w:color w:val="000000" w:themeColor="text1"/>
                </w:rPr>
                <w:t>10°C</w:t>
              </w:r>
            </w:smartTag>
          </w:p>
        </w:tc>
        <w:tc>
          <w:tcPr>
            <w:tcW w:w="1134" w:type="dxa"/>
            <w:tcBorders>
              <w:top w:val="single" w:sz="4" w:space="0" w:color="auto"/>
            </w:tcBorders>
            <w:vAlign w:val="center"/>
          </w:tcPr>
          <w:p w14:paraId="08415205"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850" w:type="dxa"/>
            <w:tcBorders>
              <w:top w:val="single" w:sz="4" w:space="0" w:color="auto"/>
            </w:tcBorders>
            <w:vAlign w:val="center"/>
          </w:tcPr>
          <w:p w14:paraId="4CF4511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tcBorders>
              <w:top w:val="single" w:sz="4" w:space="0" w:color="auto"/>
            </w:tcBorders>
            <w:vAlign w:val="center"/>
          </w:tcPr>
          <w:p w14:paraId="53D715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vAlign w:val="center"/>
          </w:tcPr>
          <w:p w14:paraId="7D6B3E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tcPr>
          <w:p w14:paraId="1658BB99"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p w14:paraId="65219F57"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650" w:type="dxa"/>
          </w:tcPr>
          <w:p w14:paraId="55EAC6B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7CF250E" w14:textId="77777777" w:rsidTr="001B4B8F">
        <w:tc>
          <w:tcPr>
            <w:tcW w:w="1384" w:type="dxa"/>
            <w:vMerge/>
          </w:tcPr>
          <w:p w14:paraId="198DAD4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6B3C93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Zakres plastyczności</w:t>
            </w:r>
          </w:p>
        </w:tc>
        <w:tc>
          <w:tcPr>
            <w:tcW w:w="1134" w:type="dxa"/>
            <w:vAlign w:val="center"/>
          </w:tcPr>
          <w:p w14:paraId="0DE8A7C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14023 [66] Punkt 5.1.9</w:t>
            </w:r>
          </w:p>
        </w:tc>
        <w:tc>
          <w:tcPr>
            <w:tcW w:w="850" w:type="dxa"/>
            <w:vAlign w:val="center"/>
          </w:tcPr>
          <w:p w14:paraId="317A695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40292BB1"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vAlign w:val="center"/>
          </w:tcPr>
          <w:p w14:paraId="067DF86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tcPr>
          <w:p w14:paraId="29AF256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650" w:type="dxa"/>
          </w:tcPr>
          <w:p w14:paraId="3F3A39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69F0F200" w14:textId="77777777" w:rsidTr="001B4B8F">
        <w:tc>
          <w:tcPr>
            <w:tcW w:w="1384" w:type="dxa"/>
            <w:vMerge/>
          </w:tcPr>
          <w:p w14:paraId="20CD5FE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01E413C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Stabilność magazynowania. Różnica temperatury mięknienia</w:t>
            </w:r>
          </w:p>
        </w:tc>
        <w:tc>
          <w:tcPr>
            <w:tcW w:w="1134" w:type="dxa"/>
            <w:vAlign w:val="center"/>
          </w:tcPr>
          <w:p w14:paraId="25D6A4D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13399 [59]</w:t>
            </w:r>
          </w:p>
          <w:p w14:paraId="367F6C4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850" w:type="dxa"/>
            <w:vAlign w:val="center"/>
          </w:tcPr>
          <w:p w14:paraId="5169E74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66D9DEC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09" w:type="dxa"/>
            <w:vAlign w:val="center"/>
          </w:tcPr>
          <w:p w14:paraId="4F43CE7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192" w:type="dxa"/>
            <w:vAlign w:val="center"/>
          </w:tcPr>
          <w:p w14:paraId="7755373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650" w:type="dxa"/>
            <w:vAlign w:val="center"/>
          </w:tcPr>
          <w:p w14:paraId="1B3561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3C8E137B" w14:textId="77777777" w:rsidTr="001B4B8F">
        <w:tc>
          <w:tcPr>
            <w:tcW w:w="1384" w:type="dxa"/>
            <w:vMerge/>
          </w:tcPr>
          <w:p w14:paraId="5B80E72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7B2FC3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Stabilność magazynowania. Różnica penetracji</w:t>
            </w:r>
          </w:p>
        </w:tc>
        <w:tc>
          <w:tcPr>
            <w:tcW w:w="1134" w:type="dxa"/>
            <w:vAlign w:val="center"/>
          </w:tcPr>
          <w:p w14:paraId="7279DE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13399 [59]</w:t>
            </w:r>
          </w:p>
          <w:p w14:paraId="484D96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850" w:type="dxa"/>
            <w:vAlign w:val="center"/>
          </w:tcPr>
          <w:p w14:paraId="638BF118"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276" w:type="dxa"/>
            <w:vAlign w:val="center"/>
          </w:tcPr>
          <w:p w14:paraId="0AAD1F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vAlign w:val="center"/>
          </w:tcPr>
          <w:p w14:paraId="2EABCAE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vAlign w:val="center"/>
          </w:tcPr>
          <w:p w14:paraId="0F930E0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650" w:type="dxa"/>
            <w:vAlign w:val="center"/>
          </w:tcPr>
          <w:p w14:paraId="178DF8C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7D78B540" w14:textId="77777777" w:rsidTr="001B4B8F">
        <w:tc>
          <w:tcPr>
            <w:tcW w:w="1384" w:type="dxa"/>
            <w:vMerge w:val="restart"/>
            <w:vAlign w:val="center"/>
          </w:tcPr>
          <w:p w14:paraId="318E351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w:t>
            </w:r>
          </w:p>
          <w:p w14:paraId="3796AFC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w:t>
            </w:r>
          </w:p>
        </w:tc>
        <w:tc>
          <w:tcPr>
            <w:tcW w:w="1843" w:type="dxa"/>
            <w:vAlign w:val="center"/>
          </w:tcPr>
          <w:p w14:paraId="2AE266F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Spadek temperatury mięknienia po starzeniu wg PN-</w:t>
            </w:r>
            <w:r w:rsidRPr="001667DB">
              <w:rPr>
                <w:rFonts w:ascii="Times New Roman" w:hAnsi="Times New Roman" w:cs="Times New Roman"/>
                <w:color w:val="000000" w:themeColor="text1"/>
              </w:rPr>
              <w:lastRenderedPageBreak/>
              <w:t>EN 12607 -1 lub -3 [29][30]</w:t>
            </w:r>
          </w:p>
        </w:tc>
        <w:tc>
          <w:tcPr>
            <w:tcW w:w="1134" w:type="dxa"/>
            <w:tcBorders>
              <w:bottom w:val="single" w:sz="4" w:space="0" w:color="auto"/>
            </w:tcBorders>
            <w:vAlign w:val="center"/>
          </w:tcPr>
          <w:p w14:paraId="4A9608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PN-EN 12607-1 [29]</w:t>
            </w:r>
          </w:p>
          <w:p w14:paraId="78C6466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PN-EN 1427 [22]</w:t>
            </w:r>
          </w:p>
        </w:tc>
        <w:tc>
          <w:tcPr>
            <w:tcW w:w="850" w:type="dxa"/>
            <w:tcBorders>
              <w:bottom w:val="single" w:sz="4" w:space="0" w:color="auto"/>
            </w:tcBorders>
            <w:vAlign w:val="center"/>
          </w:tcPr>
          <w:p w14:paraId="6987B32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°C</w:t>
            </w:r>
          </w:p>
        </w:tc>
        <w:tc>
          <w:tcPr>
            <w:tcW w:w="1276" w:type="dxa"/>
            <w:vAlign w:val="center"/>
          </w:tcPr>
          <w:p w14:paraId="15F017C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tc>
        <w:tc>
          <w:tcPr>
            <w:tcW w:w="709" w:type="dxa"/>
            <w:vAlign w:val="center"/>
          </w:tcPr>
          <w:p w14:paraId="36CC69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192" w:type="dxa"/>
            <w:vAlign w:val="center"/>
          </w:tcPr>
          <w:p w14:paraId="5B0024B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tc>
        <w:tc>
          <w:tcPr>
            <w:tcW w:w="650" w:type="dxa"/>
            <w:vAlign w:val="center"/>
          </w:tcPr>
          <w:p w14:paraId="2F8E344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75DD19C7" w14:textId="77777777" w:rsidTr="001B4B8F">
        <w:tc>
          <w:tcPr>
            <w:tcW w:w="1384" w:type="dxa"/>
            <w:vMerge/>
          </w:tcPr>
          <w:p w14:paraId="1ACE453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76416D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r w:rsidRPr="001667DB">
              <w:rPr>
                <w:rFonts w:ascii="Times New Roman" w:hAnsi="Times New Roman" w:cs="Times New Roman"/>
                <w:color w:val="000000" w:themeColor="text1"/>
              </w:rPr>
              <w:t xml:space="preserve"> po starzeniu wg PN-EN 12607-1 lub  -3 [29][30]</w:t>
            </w:r>
          </w:p>
        </w:tc>
        <w:tc>
          <w:tcPr>
            <w:tcW w:w="1134" w:type="dxa"/>
            <w:vMerge w:val="restart"/>
            <w:vAlign w:val="center"/>
          </w:tcPr>
          <w:p w14:paraId="470715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 [29]</w:t>
            </w:r>
          </w:p>
          <w:p w14:paraId="75DBE5A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13398 [58]</w:t>
            </w:r>
          </w:p>
        </w:tc>
        <w:tc>
          <w:tcPr>
            <w:tcW w:w="850" w:type="dxa"/>
            <w:vMerge w:val="restart"/>
            <w:vAlign w:val="center"/>
          </w:tcPr>
          <w:p w14:paraId="10075B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0556601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50</w:t>
            </w:r>
          </w:p>
        </w:tc>
        <w:tc>
          <w:tcPr>
            <w:tcW w:w="709" w:type="dxa"/>
            <w:vAlign w:val="center"/>
          </w:tcPr>
          <w:p w14:paraId="5DB1E9D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192" w:type="dxa"/>
            <w:vAlign w:val="center"/>
          </w:tcPr>
          <w:p w14:paraId="0D64A48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50</w:t>
            </w:r>
          </w:p>
        </w:tc>
        <w:tc>
          <w:tcPr>
            <w:tcW w:w="650" w:type="dxa"/>
            <w:vAlign w:val="center"/>
          </w:tcPr>
          <w:p w14:paraId="6908136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1D48A780" w14:textId="77777777" w:rsidTr="001B4B8F">
        <w:tc>
          <w:tcPr>
            <w:tcW w:w="1384" w:type="dxa"/>
            <w:vMerge/>
          </w:tcPr>
          <w:p w14:paraId="3E32CC7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43" w:type="dxa"/>
            <w:vAlign w:val="center"/>
          </w:tcPr>
          <w:p w14:paraId="3DDA13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10ﾰC"/>
              </w:smartTagPr>
              <w:r w:rsidRPr="001667DB">
                <w:rPr>
                  <w:rFonts w:ascii="Times New Roman" w:hAnsi="Times New Roman" w:cs="Times New Roman"/>
                  <w:color w:val="000000" w:themeColor="text1"/>
                </w:rPr>
                <w:t>10°C</w:t>
              </w:r>
            </w:smartTag>
            <w:r w:rsidRPr="001667DB">
              <w:rPr>
                <w:rFonts w:ascii="Times New Roman" w:hAnsi="Times New Roman" w:cs="Times New Roman"/>
                <w:color w:val="000000" w:themeColor="text1"/>
              </w:rPr>
              <w:t xml:space="preserve"> po starzeniu wg PN-EN 12607-1 lub  -3 [29][30]</w:t>
            </w:r>
          </w:p>
        </w:tc>
        <w:tc>
          <w:tcPr>
            <w:tcW w:w="1134" w:type="dxa"/>
            <w:vMerge/>
            <w:vAlign w:val="center"/>
          </w:tcPr>
          <w:p w14:paraId="72307FCC"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850" w:type="dxa"/>
            <w:vMerge/>
            <w:vAlign w:val="center"/>
          </w:tcPr>
          <w:p w14:paraId="49A3B3AA"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vAlign w:val="center"/>
          </w:tcPr>
          <w:p w14:paraId="283052A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709" w:type="dxa"/>
            <w:vAlign w:val="center"/>
          </w:tcPr>
          <w:p w14:paraId="60DFBE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1192" w:type="dxa"/>
            <w:vAlign w:val="center"/>
          </w:tcPr>
          <w:p w14:paraId="02ADCB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NPD</w:t>
            </w:r>
            <w:r w:rsidRPr="001667DB">
              <w:rPr>
                <w:rFonts w:ascii="Times New Roman" w:hAnsi="Times New Roman" w:cs="Times New Roman"/>
                <w:color w:val="000000" w:themeColor="text1"/>
                <w:vertAlign w:val="superscript"/>
              </w:rPr>
              <w:t>a</w:t>
            </w:r>
          </w:p>
        </w:tc>
        <w:tc>
          <w:tcPr>
            <w:tcW w:w="650" w:type="dxa"/>
            <w:vAlign w:val="center"/>
          </w:tcPr>
          <w:p w14:paraId="606853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0950358B" w14:textId="77777777">
        <w:tc>
          <w:tcPr>
            <w:tcW w:w="9038" w:type="dxa"/>
            <w:gridSpan w:val="8"/>
            <w:tcBorders>
              <w:top w:val="nil"/>
            </w:tcBorders>
          </w:tcPr>
          <w:p w14:paraId="074E939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a</w:t>
            </w:r>
            <w:r w:rsidRPr="001667DB">
              <w:rPr>
                <w:rFonts w:ascii="Times New Roman" w:hAnsi="Times New Roman" w:cs="Times New Roman"/>
                <w:color w:val="000000" w:themeColor="text1"/>
              </w:rPr>
              <w:t xml:space="preserve"> NPD – No Performance Determined (właściwość użytkowa nie określana)</w:t>
            </w:r>
          </w:p>
          <w:p w14:paraId="6C80191C" w14:textId="77777777" w:rsidR="00955A27" w:rsidRPr="001667DB" w:rsidRDefault="00955A27" w:rsidP="00955A27">
            <w:pPr>
              <w:spacing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vertAlign w:val="superscript"/>
              </w:rPr>
              <w:t>b</w:t>
            </w:r>
            <w:r w:rsidRPr="001667DB">
              <w:rPr>
                <w:rFonts w:ascii="Times New Roman" w:hAnsi="Times New Roman" w:cs="Times New Roman"/>
                <w:color w:val="000000" w:themeColor="text1"/>
              </w:rPr>
              <w:t xml:space="preserve"> TBR – To Be Reported (do zadeklarowania)</w:t>
            </w:r>
          </w:p>
        </w:tc>
      </w:tr>
    </w:tbl>
    <w:p w14:paraId="6522DE66" w14:textId="77777777" w:rsidR="00955A27" w:rsidRPr="001667DB" w:rsidRDefault="00955A27" w:rsidP="00955A27">
      <w:pPr>
        <w:spacing w:before="120" w:after="120" w:line="360" w:lineRule="auto"/>
        <w:ind w:left="1200" w:hanging="1200"/>
        <w:rPr>
          <w:rFonts w:ascii="Times New Roman" w:hAnsi="Times New Roman" w:cs="Times New Roman"/>
          <w:color w:val="000000" w:themeColor="text1"/>
        </w:rPr>
      </w:pPr>
      <w:r w:rsidRPr="001667DB">
        <w:rPr>
          <w:rFonts w:ascii="Times New Roman" w:hAnsi="Times New Roman" w:cs="Times New Roman"/>
          <w:color w:val="000000" w:themeColor="text1"/>
        </w:rPr>
        <w:t>Tablica 5. Wymagania wobec asfaltów wielorodzajowych wg PN-EN 13924-2:2014-04/Ap1 i Ap2 [65a]</w:t>
      </w:r>
    </w:p>
    <w:tbl>
      <w:tblPr>
        <w:tblW w:w="8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7"/>
        <w:gridCol w:w="1649"/>
        <w:gridCol w:w="708"/>
        <w:gridCol w:w="1842"/>
        <w:gridCol w:w="1134"/>
        <w:gridCol w:w="992"/>
        <w:gridCol w:w="992"/>
        <w:gridCol w:w="992"/>
      </w:tblGrid>
      <w:tr w:rsidR="00955A27" w:rsidRPr="001667DB" w14:paraId="6055B97E" w14:textId="77777777" w:rsidTr="001B4B8F">
        <w:tc>
          <w:tcPr>
            <w:tcW w:w="588" w:type="dxa"/>
            <w:vMerge w:val="restart"/>
          </w:tcPr>
          <w:p w14:paraId="05BAE52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p>
          <w:p w14:paraId="6DF57A1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1650" w:type="dxa"/>
            <w:vMerge w:val="restart"/>
          </w:tcPr>
          <w:p w14:paraId="7D5A4A7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p>
          <w:p w14:paraId="0BE72CA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705" w:type="dxa"/>
            <w:vMerge w:val="restart"/>
          </w:tcPr>
          <w:p w14:paraId="3EA95E9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1843" w:type="dxa"/>
            <w:vMerge w:val="restart"/>
          </w:tcPr>
          <w:p w14:paraId="029E586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FB1BB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3064FA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2126" w:type="dxa"/>
            <w:gridSpan w:val="2"/>
          </w:tcPr>
          <w:p w14:paraId="2CDD326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asfalt</w:t>
            </w:r>
          </w:p>
          <w:p w14:paraId="3CE3BF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MG 50/70-54/64</w:t>
            </w:r>
          </w:p>
        </w:tc>
        <w:tc>
          <w:tcPr>
            <w:tcW w:w="1984" w:type="dxa"/>
            <w:gridSpan w:val="2"/>
          </w:tcPr>
          <w:p w14:paraId="082C398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asfalt</w:t>
            </w:r>
          </w:p>
          <w:p w14:paraId="23A732D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MG 35/50-57/69</w:t>
            </w:r>
          </w:p>
        </w:tc>
      </w:tr>
      <w:tr w:rsidR="00955A27" w:rsidRPr="001667DB" w14:paraId="78E9B226" w14:textId="77777777" w:rsidTr="001B4B8F">
        <w:tc>
          <w:tcPr>
            <w:tcW w:w="588" w:type="dxa"/>
            <w:vMerge/>
          </w:tcPr>
          <w:p w14:paraId="53BA05B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650" w:type="dxa"/>
            <w:vMerge/>
          </w:tcPr>
          <w:p w14:paraId="227B243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705" w:type="dxa"/>
            <w:vMerge/>
          </w:tcPr>
          <w:p w14:paraId="692A064F"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843" w:type="dxa"/>
            <w:vMerge/>
          </w:tcPr>
          <w:p w14:paraId="0C40EFDA"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tcPr>
          <w:p w14:paraId="323E27E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992" w:type="dxa"/>
          </w:tcPr>
          <w:p w14:paraId="158EB5F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992" w:type="dxa"/>
          </w:tcPr>
          <w:p w14:paraId="1EE7C3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992" w:type="dxa"/>
          </w:tcPr>
          <w:p w14:paraId="3C35D9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r>
      <w:tr w:rsidR="00955A27" w:rsidRPr="001667DB" w14:paraId="391ED476" w14:textId="77777777" w:rsidTr="001B4B8F">
        <w:tc>
          <w:tcPr>
            <w:tcW w:w="588" w:type="dxa"/>
          </w:tcPr>
          <w:p w14:paraId="386447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647" w:type="dxa"/>
          </w:tcPr>
          <w:p w14:paraId="7A140DF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708" w:type="dxa"/>
            <w:vAlign w:val="center"/>
          </w:tcPr>
          <w:p w14:paraId="6E688482"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843" w:type="dxa"/>
            <w:vAlign w:val="center"/>
          </w:tcPr>
          <w:p w14:paraId="3AB070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34" w:type="dxa"/>
            <w:vAlign w:val="center"/>
          </w:tcPr>
          <w:p w14:paraId="1DC69F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c>
          <w:tcPr>
            <w:tcW w:w="992" w:type="dxa"/>
          </w:tcPr>
          <w:p w14:paraId="67E86F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992" w:type="dxa"/>
            <w:vAlign w:val="center"/>
          </w:tcPr>
          <w:p w14:paraId="5B00444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35÷50</w:t>
            </w:r>
          </w:p>
        </w:tc>
        <w:tc>
          <w:tcPr>
            <w:tcW w:w="992" w:type="dxa"/>
          </w:tcPr>
          <w:p w14:paraId="344794A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25FB7C39" w14:textId="77777777" w:rsidTr="001B4B8F">
        <w:tc>
          <w:tcPr>
            <w:tcW w:w="588" w:type="dxa"/>
          </w:tcPr>
          <w:p w14:paraId="6EC98E2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647" w:type="dxa"/>
          </w:tcPr>
          <w:p w14:paraId="455E6A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708" w:type="dxa"/>
            <w:vAlign w:val="center"/>
          </w:tcPr>
          <w:p w14:paraId="523A83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843" w:type="dxa"/>
            <w:vAlign w:val="center"/>
          </w:tcPr>
          <w:p w14:paraId="29E636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34" w:type="dxa"/>
            <w:vAlign w:val="center"/>
          </w:tcPr>
          <w:p w14:paraId="7FD3675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54÷64</w:t>
            </w:r>
          </w:p>
        </w:tc>
        <w:tc>
          <w:tcPr>
            <w:tcW w:w="992" w:type="dxa"/>
          </w:tcPr>
          <w:p w14:paraId="6C316B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992" w:type="dxa"/>
            <w:vAlign w:val="center"/>
          </w:tcPr>
          <w:p w14:paraId="3F08F06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57÷69</w:t>
            </w:r>
          </w:p>
        </w:tc>
        <w:tc>
          <w:tcPr>
            <w:tcW w:w="992" w:type="dxa"/>
          </w:tcPr>
          <w:p w14:paraId="54FA6B84"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7B241F89" w14:textId="77777777" w:rsidTr="001B4B8F">
        <w:tc>
          <w:tcPr>
            <w:tcW w:w="588" w:type="dxa"/>
          </w:tcPr>
          <w:p w14:paraId="3BD965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647" w:type="dxa"/>
          </w:tcPr>
          <w:p w14:paraId="1E104FE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Indeks penetracji</w:t>
            </w:r>
          </w:p>
        </w:tc>
        <w:tc>
          <w:tcPr>
            <w:tcW w:w="708" w:type="dxa"/>
            <w:vAlign w:val="center"/>
          </w:tcPr>
          <w:p w14:paraId="72D73B3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843" w:type="dxa"/>
            <w:vAlign w:val="center"/>
          </w:tcPr>
          <w:p w14:paraId="4606CF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13924-2 [65]</w:t>
            </w:r>
          </w:p>
        </w:tc>
        <w:tc>
          <w:tcPr>
            <w:tcW w:w="1134" w:type="dxa"/>
            <w:vAlign w:val="center"/>
          </w:tcPr>
          <w:p w14:paraId="0E6353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 do +2,0</w:t>
            </w:r>
          </w:p>
        </w:tc>
        <w:tc>
          <w:tcPr>
            <w:tcW w:w="992" w:type="dxa"/>
          </w:tcPr>
          <w:p w14:paraId="1392826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992" w:type="dxa"/>
            <w:vAlign w:val="center"/>
          </w:tcPr>
          <w:p w14:paraId="76A1028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w:t>
            </w:r>
          </w:p>
          <w:p w14:paraId="19EAEAD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 +2,0</w:t>
            </w:r>
          </w:p>
        </w:tc>
        <w:tc>
          <w:tcPr>
            <w:tcW w:w="992" w:type="dxa"/>
          </w:tcPr>
          <w:p w14:paraId="643FB58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6C26322B" w14:textId="77777777" w:rsidTr="001B4B8F">
        <w:tc>
          <w:tcPr>
            <w:tcW w:w="588" w:type="dxa"/>
          </w:tcPr>
          <w:p w14:paraId="33DAB1A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647" w:type="dxa"/>
          </w:tcPr>
          <w:p w14:paraId="67DDEF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zapłonu,</w:t>
            </w:r>
          </w:p>
        </w:tc>
        <w:tc>
          <w:tcPr>
            <w:tcW w:w="708" w:type="dxa"/>
            <w:vAlign w:val="center"/>
          </w:tcPr>
          <w:p w14:paraId="4849D0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843" w:type="dxa"/>
            <w:vAlign w:val="center"/>
          </w:tcPr>
          <w:p w14:paraId="52C53F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ISO 2592 [70]</w:t>
            </w:r>
          </w:p>
        </w:tc>
        <w:tc>
          <w:tcPr>
            <w:tcW w:w="1134" w:type="dxa"/>
            <w:vAlign w:val="center"/>
          </w:tcPr>
          <w:p w14:paraId="742E287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≥250</w:t>
            </w:r>
          </w:p>
        </w:tc>
        <w:tc>
          <w:tcPr>
            <w:tcW w:w="992" w:type="dxa"/>
          </w:tcPr>
          <w:p w14:paraId="29D33A8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992" w:type="dxa"/>
            <w:vAlign w:val="center"/>
          </w:tcPr>
          <w:p w14:paraId="2778B95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≥250</w:t>
            </w:r>
          </w:p>
        </w:tc>
        <w:tc>
          <w:tcPr>
            <w:tcW w:w="992" w:type="dxa"/>
          </w:tcPr>
          <w:p w14:paraId="5D6AFAD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5F9FF5E7" w14:textId="77777777" w:rsidTr="001B4B8F">
        <w:tc>
          <w:tcPr>
            <w:tcW w:w="588" w:type="dxa"/>
          </w:tcPr>
          <w:p w14:paraId="105F859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647" w:type="dxa"/>
          </w:tcPr>
          <w:p w14:paraId="3B9405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Rozpuszczalność</w:t>
            </w:r>
          </w:p>
        </w:tc>
        <w:tc>
          <w:tcPr>
            <w:tcW w:w="708" w:type="dxa"/>
            <w:vAlign w:val="center"/>
          </w:tcPr>
          <w:p w14:paraId="38B292C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843" w:type="dxa"/>
            <w:vAlign w:val="center"/>
          </w:tcPr>
          <w:p w14:paraId="35B4E64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12592 [25]</w:t>
            </w:r>
          </w:p>
        </w:tc>
        <w:tc>
          <w:tcPr>
            <w:tcW w:w="1134" w:type="dxa"/>
            <w:vAlign w:val="center"/>
          </w:tcPr>
          <w:p w14:paraId="77F32EC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≥99,0</w:t>
            </w:r>
          </w:p>
        </w:tc>
        <w:tc>
          <w:tcPr>
            <w:tcW w:w="992" w:type="dxa"/>
          </w:tcPr>
          <w:p w14:paraId="47563AD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992" w:type="dxa"/>
            <w:vAlign w:val="center"/>
          </w:tcPr>
          <w:p w14:paraId="521D47D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≥99,0</w:t>
            </w:r>
          </w:p>
        </w:tc>
        <w:tc>
          <w:tcPr>
            <w:tcW w:w="992" w:type="dxa"/>
          </w:tcPr>
          <w:p w14:paraId="485AD4BB"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5B19ADAF" w14:textId="77777777" w:rsidTr="001B4B8F">
        <w:tc>
          <w:tcPr>
            <w:tcW w:w="588" w:type="dxa"/>
          </w:tcPr>
          <w:p w14:paraId="16A995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w:t>
            </w:r>
          </w:p>
        </w:tc>
        <w:tc>
          <w:tcPr>
            <w:tcW w:w="1647" w:type="dxa"/>
          </w:tcPr>
          <w:p w14:paraId="02D1AAE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 Fraassa</w:t>
            </w:r>
          </w:p>
        </w:tc>
        <w:tc>
          <w:tcPr>
            <w:tcW w:w="708" w:type="dxa"/>
            <w:vAlign w:val="center"/>
          </w:tcPr>
          <w:p w14:paraId="40952F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843" w:type="dxa"/>
            <w:vAlign w:val="center"/>
          </w:tcPr>
          <w:p w14:paraId="364D84A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1134" w:type="dxa"/>
            <w:vAlign w:val="center"/>
          </w:tcPr>
          <w:p w14:paraId="56E691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992" w:type="dxa"/>
          </w:tcPr>
          <w:p w14:paraId="666F444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992" w:type="dxa"/>
            <w:vAlign w:val="center"/>
          </w:tcPr>
          <w:p w14:paraId="559A6A7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992" w:type="dxa"/>
          </w:tcPr>
          <w:p w14:paraId="1FF37D4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5D4554BE" w14:textId="77777777" w:rsidTr="001B4B8F">
        <w:tc>
          <w:tcPr>
            <w:tcW w:w="588" w:type="dxa"/>
          </w:tcPr>
          <w:p w14:paraId="032908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647" w:type="dxa"/>
          </w:tcPr>
          <w:p w14:paraId="5843DF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dynamiczna w 60°C</w:t>
            </w:r>
          </w:p>
        </w:tc>
        <w:tc>
          <w:tcPr>
            <w:tcW w:w="708" w:type="dxa"/>
            <w:vAlign w:val="center"/>
          </w:tcPr>
          <w:p w14:paraId="3ED532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w:t>
            </w:r>
          </w:p>
        </w:tc>
        <w:tc>
          <w:tcPr>
            <w:tcW w:w="1843" w:type="dxa"/>
            <w:vAlign w:val="center"/>
          </w:tcPr>
          <w:p w14:paraId="14057D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12596 [28]</w:t>
            </w:r>
          </w:p>
        </w:tc>
        <w:tc>
          <w:tcPr>
            <w:tcW w:w="1134" w:type="dxa"/>
            <w:vAlign w:val="center"/>
          </w:tcPr>
          <w:p w14:paraId="31AD486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≥900</w:t>
            </w:r>
          </w:p>
        </w:tc>
        <w:tc>
          <w:tcPr>
            <w:tcW w:w="992" w:type="dxa"/>
          </w:tcPr>
          <w:p w14:paraId="5FBEB51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992" w:type="dxa"/>
            <w:vAlign w:val="center"/>
          </w:tcPr>
          <w:p w14:paraId="3236E76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≥1500</w:t>
            </w:r>
          </w:p>
        </w:tc>
        <w:tc>
          <w:tcPr>
            <w:tcW w:w="992" w:type="dxa"/>
          </w:tcPr>
          <w:p w14:paraId="7F57903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r>
      <w:tr w:rsidR="00955A27" w:rsidRPr="001667DB" w14:paraId="6CE83342" w14:textId="77777777" w:rsidTr="001B4B8F">
        <w:tc>
          <w:tcPr>
            <w:tcW w:w="588" w:type="dxa"/>
          </w:tcPr>
          <w:p w14:paraId="47D0DC1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1647" w:type="dxa"/>
          </w:tcPr>
          <w:p w14:paraId="3298E4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kinematyczna w 135°C</w:t>
            </w:r>
          </w:p>
        </w:tc>
        <w:tc>
          <w:tcPr>
            <w:tcW w:w="708" w:type="dxa"/>
            <w:vAlign w:val="center"/>
          </w:tcPr>
          <w:p w14:paraId="2E925D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/s</w:t>
            </w:r>
          </w:p>
        </w:tc>
        <w:tc>
          <w:tcPr>
            <w:tcW w:w="1843" w:type="dxa"/>
            <w:vAlign w:val="center"/>
          </w:tcPr>
          <w:p w14:paraId="4023041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12595 [27]</w:t>
            </w:r>
          </w:p>
        </w:tc>
        <w:tc>
          <w:tcPr>
            <w:tcW w:w="1134" w:type="dxa"/>
            <w:vAlign w:val="center"/>
          </w:tcPr>
          <w:p w14:paraId="1A6187F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992" w:type="dxa"/>
          </w:tcPr>
          <w:p w14:paraId="2AA977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c>
          <w:tcPr>
            <w:tcW w:w="992" w:type="dxa"/>
            <w:vAlign w:val="center"/>
          </w:tcPr>
          <w:p w14:paraId="42491EA4"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992" w:type="dxa"/>
          </w:tcPr>
          <w:p w14:paraId="0A29492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538188E9" w14:textId="77777777">
        <w:tc>
          <w:tcPr>
            <w:tcW w:w="8896" w:type="dxa"/>
            <w:gridSpan w:val="8"/>
          </w:tcPr>
          <w:p w14:paraId="23035FD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po starzeniu</w:t>
            </w:r>
          </w:p>
        </w:tc>
      </w:tr>
      <w:tr w:rsidR="00955A27" w:rsidRPr="001667DB" w14:paraId="2F8481B6" w14:textId="77777777" w:rsidTr="001B4B8F">
        <w:tc>
          <w:tcPr>
            <w:tcW w:w="588" w:type="dxa"/>
          </w:tcPr>
          <w:p w14:paraId="2B6E34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1647" w:type="dxa"/>
          </w:tcPr>
          <w:p w14:paraId="3DE0F4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 po starzeniu</w:t>
            </w:r>
          </w:p>
        </w:tc>
        <w:tc>
          <w:tcPr>
            <w:tcW w:w="708" w:type="dxa"/>
            <w:vAlign w:val="center"/>
          </w:tcPr>
          <w:p w14:paraId="7A1F488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843" w:type="dxa"/>
            <w:vAlign w:val="center"/>
          </w:tcPr>
          <w:p w14:paraId="1D2E7F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34" w:type="dxa"/>
            <w:vAlign w:val="center"/>
          </w:tcPr>
          <w:p w14:paraId="1BE6887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992" w:type="dxa"/>
          </w:tcPr>
          <w:p w14:paraId="760F0AA9"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A18DA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992" w:type="dxa"/>
            <w:vAlign w:val="center"/>
          </w:tcPr>
          <w:p w14:paraId="668DAE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≥60</w:t>
            </w:r>
          </w:p>
        </w:tc>
        <w:tc>
          <w:tcPr>
            <w:tcW w:w="992" w:type="dxa"/>
          </w:tcPr>
          <w:p w14:paraId="6471220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332D0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255293AB" w14:textId="77777777" w:rsidTr="001B4B8F">
        <w:tc>
          <w:tcPr>
            <w:tcW w:w="588" w:type="dxa"/>
          </w:tcPr>
          <w:p w14:paraId="0970F68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1647" w:type="dxa"/>
          </w:tcPr>
          <w:p w14:paraId="4DADDF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temperatury mięknienia po starzeniu</w:t>
            </w:r>
          </w:p>
        </w:tc>
        <w:tc>
          <w:tcPr>
            <w:tcW w:w="708" w:type="dxa"/>
            <w:vAlign w:val="center"/>
          </w:tcPr>
          <w:p w14:paraId="226F77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843" w:type="dxa"/>
            <w:vAlign w:val="center"/>
          </w:tcPr>
          <w:p w14:paraId="294DA2F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34" w:type="dxa"/>
            <w:vAlign w:val="center"/>
          </w:tcPr>
          <w:p w14:paraId="22710B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992" w:type="dxa"/>
          </w:tcPr>
          <w:p w14:paraId="65E595D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3B33E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992" w:type="dxa"/>
            <w:vAlign w:val="center"/>
          </w:tcPr>
          <w:p w14:paraId="7E80711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992" w:type="dxa"/>
          </w:tcPr>
          <w:p w14:paraId="20805FE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7EB9F7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12FB44CB" w14:textId="77777777" w:rsidTr="001B4B8F">
        <w:tc>
          <w:tcPr>
            <w:tcW w:w="588" w:type="dxa"/>
          </w:tcPr>
          <w:p w14:paraId="6BF7DA5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1647" w:type="dxa"/>
          </w:tcPr>
          <w:p w14:paraId="1E811A6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Zmiana masy po starzeniu</w:t>
            </w:r>
          </w:p>
        </w:tc>
        <w:tc>
          <w:tcPr>
            <w:tcW w:w="708" w:type="dxa"/>
            <w:vAlign w:val="center"/>
          </w:tcPr>
          <w:p w14:paraId="59DF65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843" w:type="dxa"/>
            <w:vAlign w:val="center"/>
          </w:tcPr>
          <w:p w14:paraId="6A50FE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12607-1[29]</w:t>
            </w:r>
          </w:p>
        </w:tc>
        <w:tc>
          <w:tcPr>
            <w:tcW w:w="1134" w:type="dxa"/>
            <w:vAlign w:val="center"/>
          </w:tcPr>
          <w:p w14:paraId="4038BCD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&lt;0,5</w:t>
            </w:r>
          </w:p>
        </w:tc>
        <w:tc>
          <w:tcPr>
            <w:tcW w:w="992" w:type="dxa"/>
          </w:tcPr>
          <w:p w14:paraId="5BB18162"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43BD816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992" w:type="dxa"/>
            <w:vAlign w:val="center"/>
          </w:tcPr>
          <w:p w14:paraId="581AA02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&lt;0,5</w:t>
            </w:r>
          </w:p>
        </w:tc>
        <w:tc>
          <w:tcPr>
            <w:tcW w:w="992" w:type="dxa"/>
          </w:tcPr>
          <w:p w14:paraId="107F513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F5C4CC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bl>
    <w:p w14:paraId="4C8ADE03" w14:textId="77777777" w:rsidR="00955A27" w:rsidRPr="001667DB" w:rsidRDefault="00955A27" w:rsidP="00955A27">
      <w:pPr>
        <w:spacing w:after="120" w:line="360" w:lineRule="auto"/>
        <w:rPr>
          <w:rFonts w:ascii="Times New Roman" w:hAnsi="Times New Roman" w:cs="Times New Roman"/>
          <w:color w:val="000000" w:themeColor="text1"/>
        </w:rPr>
      </w:pPr>
    </w:p>
    <w:p w14:paraId="0673F0C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celu ograniczenia ilości emisji gazów cieplarnianych oraz obniżenia temperatury mieszania składników i poprawienia urabialności mma dopuszcza się zastosowanie asfaltu spienionego. </w:t>
      </w:r>
    </w:p>
    <w:p w14:paraId="28E809E3"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asfaltowe należy przechowywać zgodnie z zasadami podanymi w pkt. 8.3 WT-2 2014 – część I. Zbiorniki na asfalt modyfikowany winny być wyposażone w mieszadła mechaniczne lub co najmniej winny mieć zapewniony system przepompowywania wprawiający w cyrkulację asfalt z dolnych partii zbiornika. </w:t>
      </w:r>
    </w:p>
    <w:p w14:paraId="68D000E9"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lepiszcza asfaltowego w zbiorniku magazynowym (roboczym) nie powinna przekraczać w okresie krótkotrwałym, nie dłuższym niż 5 dni,  poniższych wartości: </w:t>
      </w:r>
    </w:p>
    <w:p w14:paraId="0EBFD45F" w14:textId="77777777" w:rsidR="00955A27" w:rsidRPr="001667DB" w:rsidRDefault="00955A27" w:rsidP="00904E6C">
      <w:pPr>
        <w:numPr>
          <w:ilvl w:val="0"/>
          <w:numId w:val="13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asfaltu drogowego 35/50: 190°C,</w:t>
      </w:r>
    </w:p>
    <w:p w14:paraId="7042FF4D" w14:textId="77777777" w:rsidR="00955A27" w:rsidRPr="001667DB" w:rsidRDefault="00955A27" w:rsidP="00904E6C">
      <w:pPr>
        <w:numPr>
          <w:ilvl w:val="0"/>
          <w:numId w:val="13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asfaltu drogowego 50/70: 180°C,</w:t>
      </w:r>
    </w:p>
    <w:p w14:paraId="55490F0E" w14:textId="77777777" w:rsidR="00955A27" w:rsidRPr="001667DB" w:rsidRDefault="00955A27" w:rsidP="00904E6C">
      <w:pPr>
        <w:numPr>
          <w:ilvl w:val="0"/>
          <w:numId w:val="13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polimeroasfaltu: wg wskazań producenta,</w:t>
      </w:r>
    </w:p>
    <w:p w14:paraId="6ED35D15" w14:textId="77777777" w:rsidR="00955A27" w:rsidRPr="001667DB" w:rsidRDefault="00955A27" w:rsidP="00904E6C">
      <w:pPr>
        <w:numPr>
          <w:ilvl w:val="0"/>
          <w:numId w:val="137"/>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asfaltu drogowego wielorodzajowego: wg wskazań producenta.</w:t>
      </w:r>
    </w:p>
    <w:p w14:paraId="3DA6D608"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lastRenderedPageBreak/>
        <w:t xml:space="preserve">2.4. Kruszywo </w:t>
      </w:r>
    </w:p>
    <w:p w14:paraId="446DBDD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Do warstwy podbudowy z betonu asfaltowego należy stosować kruszywo według PN-EN 13043 [50] i WT-1 Kruszywa 201</w:t>
      </w:r>
      <w:r w:rsidR="006C3828" w:rsidRPr="001667DB">
        <w:rPr>
          <w:rFonts w:ascii="Times New Roman" w:hAnsi="Times New Roman" w:cs="Times New Roman"/>
          <w:color w:val="000000" w:themeColor="text1"/>
        </w:rPr>
        <w:t>6</w:t>
      </w:r>
      <w:r w:rsidRPr="001667DB">
        <w:rPr>
          <w:rFonts w:ascii="Times New Roman" w:hAnsi="Times New Roman" w:cs="Times New Roman"/>
          <w:color w:val="000000" w:themeColor="text1"/>
        </w:rPr>
        <w:t xml:space="preserve"> [81],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4119694E"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Jeżeli stosowana jest mieszanka kruszywa drobnego niełamanego i łamanego, to należy przyjąć proporcje kruszywa łamanego do niełamanego co najmniej 50/50.</w:t>
      </w:r>
    </w:p>
    <w:p w14:paraId="06E99AA6"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Kruszywa powinny spełniać wymag</w:t>
      </w:r>
      <w:r w:rsidR="006C3828" w:rsidRPr="001667DB">
        <w:rPr>
          <w:rFonts w:ascii="Times New Roman" w:hAnsi="Times New Roman" w:cs="Times New Roman"/>
          <w:color w:val="000000" w:themeColor="text1"/>
        </w:rPr>
        <w:t>ania podane w WT-1 Kruszywa 2016</w:t>
      </w:r>
      <w:r w:rsidRPr="001667DB">
        <w:rPr>
          <w:rFonts w:ascii="Times New Roman" w:hAnsi="Times New Roman" w:cs="Times New Roman"/>
          <w:color w:val="000000" w:themeColor="text1"/>
        </w:rPr>
        <w:t xml:space="preserve"> [81],  wg tablic poniżej.</w:t>
      </w:r>
    </w:p>
    <w:p w14:paraId="4ADE8674" w14:textId="77777777" w:rsidR="00955A27" w:rsidRPr="001667DB" w:rsidRDefault="00955A27" w:rsidP="00955A27">
      <w:pPr>
        <w:spacing w:after="120" w:line="360" w:lineRule="auto"/>
        <w:ind w:left="360" w:hanging="360"/>
        <w:rPr>
          <w:rFonts w:ascii="Times New Roman" w:hAnsi="Times New Roman" w:cs="Times New Roman"/>
          <w:color w:val="000000" w:themeColor="text1"/>
        </w:rPr>
      </w:pPr>
      <w:r w:rsidRPr="001667DB">
        <w:rPr>
          <w:rFonts w:ascii="Times New Roman" w:hAnsi="Times New Roman" w:cs="Times New Roman"/>
          <w:color w:val="000000" w:themeColor="text1"/>
        </w:rPr>
        <w:t>a) Kruszywo grube do podbudowy z betonu asfaltowego powinno spełniać wymagania podane w tablicy 6.</w:t>
      </w:r>
    </w:p>
    <w:p w14:paraId="55D8FA2A" w14:textId="77777777" w:rsidR="00955A27" w:rsidRPr="001667DB" w:rsidRDefault="00955A27" w:rsidP="00955A27">
      <w:pPr>
        <w:spacing w:before="60" w:after="120" w:line="360" w:lineRule="auto"/>
        <w:ind w:left="992" w:hanging="992"/>
        <w:rPr>
          <w:rFonts w:ascii="Times New Roman" w:hAnsi="Times New Roman" w:cs="Times New Roman"/>
          <w:color w:val="000000" w:themeColor="text1"/>
        </w:rPr>
      </w:pPr>
      <w:r w:rsidRPr="001667DB">
        <w:rPr>
          <w:rFonts w:ascii="Times New Roman" w:hAnsi="Times New Roman" w:cs="Times New Roman"/>
          <w:color w:val="000000" w:themeColor="text1"/>
        </w:rPr>
        <w:t>Tablica 6.</w:t>
      </w:r>
      <w:r w:rsidRPr="001667DB">
        <w:rPr>
          <w:rFonts w:ascii="Times New Roman" w:hAnsi="Times New Roman" w:cs="Times New Roman"/>
          <w:color w:val="000000" w:themeColor="text1"/>
        </w:rPr>
        <w:tab/>
        <w:t>Wymagane właściwości kruszywa grubego do podbudowy  z betonu asfaltowego</w:t>
      </w:r>
    </w:p>
    <w:tbl>
      <w:tblPr>
        <w:tblW w:w="88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3959"/>
        <w:gridCol w:w="9"/>
        <w:gridCol w:w="1408"/>
        <w:gridCol w:w="10"/>
        <w:gridCol w:w="1408"/>
        <w:gridCol w:w="10"/>
        <w:gridCol w:w="1418"/>
        <w:gridCol w:w="15"/>
      </w:tblGrid>
      <w:tr w:rsidR="00955A27" w:rsidRPr="001667DB" w14:paraId="69E978E4" w14:textId="77777777" w:rsidTr="001B4B8F">
        <w:trPr>
          <w:gridAfter w:val="1"/>
          <w:wAfter w:w="15" w:type="dxa"/>
        </w:trPr>
        <w:tc>
          <w:tcPr>
            <w:tcW w:w="567" w:type="dxa"/>
            <w:vMerge w:val="restart"/>
          </w:tcPr>
          <w:p w14:paraId="0001F7E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690EA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968" w:type="dxa"/>
            <w:gridSpan w:val="2"/>
            <w:vMerge w:val="restart"/>
          </w:tcPr>
          <w:p w14:paraId="607A914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925172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4254" w:type="dxa"/>
            <w:gridSpan w:val="5"/>
          </w:tcPr>
          <w:p w14:paraId="7EF722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955A27" w:rsidRPr="001667DB" w14:paraId="747EA9DD" w14:textId="77777777" w:rsidTr="001B4B8F">
        <w:trPr>
          <w:gridAfter w:val="1"/>
          <w:wAfter w:w="15" w:type="dxa"/>
        </w:trPr>
        <w:tc>
          <w:tcPr>
            <w:tcW w:w="567" w:type="dxa"/>
            <w:vMerge/>
          </w:tcPr>
          <w:p w14:paraId="3CCFB10C"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968" w:type="dxa"/>
            <w:gridSpan w:val="2"/>
            <w:vMerge/>
          </w:tcPr>
          <w:p w14:paraId="06C7FA9F"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418" w:type="dxa"/>
            <w:gridSpan w:val="2"/>
          </w:tcPr>
          <w:p w14:paraId="40E6506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KR2</w:t>
            </w:r>
          </w:p>
        </w:tc>
        <w:tc>
          <w:tcPr>
            <w:tcW w:w="1418" w:type="dxa"/>
            <w:gridSpan w:val="2"/>
          </w:tcPr>
          <w:p w14:paraId="5EA71A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KR4</w:t>
            </w:r>
          </w:p>
        </w:tc>
        <w:tc>
          <w:tcPr>
            <w:tcW w:w="1418" w:type="dxa"/>
          </w:tcPr>
          <w:p w14:paraId="4BA0D7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KR7</w:t>
            </w:r>
          </w:p>
        </w:tc>
      </w:tr>
      <w:tr w:rsidR="00955A27" w:rsidRPr="001667DB" w14:paraId="7B43B6E1" w14:textId="77777777" w:rsidTr="001B4B8F">
        <w:trPr>
          <w:gridAfter w:val="1"/>
          <w:wAfter w:w="15" w:type="dxa"/>
        </w:trPr>
        <w:tc>
          <w:tcPr>
            <w:tcW w:w="567" w:type="dxa"/>
          </w:tcPr>
          <w:p w14:paraId="3A476EF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959" w:type="dxa"/>
            <w:vAlign w:val="center"/>
          </w:tcPr>
          <w:p w14:paraId="61788797"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Uziarnienie według PN-EN 933-1 [6]; kategoria nie niższa niż:</w:t>
            </w:r>
          </w:p>
        </w:tc>
        <w:tc>
          <w:tcPr>
            <w:tcW w:w="1417" w:type="dxa"/>
            <w:gridSpan w:val="2"/>
            <w:vAlign w:val="center"/>
          </w:tcPr>
          <w:p w14:paraId="67F69CD8" w14:textId="77777777" w:rsidR="00955A27" w:rsidRPr="001667DB" w:rsidRDefault="00955A27" w:rsidP="00955A27">
            <w:pPr>
              <w:spacing w:after="120" w:line="360" w:lineRule="auto"/>
              <w:jc w:val="center"/>
              <w:rPr>
                <w:rFonts w:ascii="Times New Roman" w:hAnsi="Times New Roman" w:cs="Times New Roman"/>
                <w:b/>
                <w:color w:val="000000" w:themeColor="text1"/>
                <w:vertAlign w:val="super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85/20</w:t>
            </w:r>
          </w:p>
        </w:tc>
        <w:tc>
          <w:tcPr>
            <w:tcW w:w="1418" w:type="dxa"/>
            <w:gridSpan w:val="2"/>
          </w:tcPr>
          <w:p w14:paraId="7AEC075F"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85/20</w:t>
            </w:r>
          </w:p>
        </w:tc>
        <w:tc>
          <w:tcPr>
            <w:tcW w:w="1428" w:type="dxa"/>
            <w:gridSpan w:val="2"/>
          </w:tcPr>
          <w:p w14:paraId="4BE3BFD9"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85/20</w:t>
            </w:r>
          </w:p>
        </w:tc>
      </w:tr>
      <w:tr w:rsidR="00955A27" w:rsidRPr="001667DB" w14:paraId="4E0FAD81" w14:textId="77777777" w:rsidTr="001B4B8F">
        <w:trPr>
          <w:gridAfter w:val="1"/>
          <w:wAfter w:w="15" w:type="dxa"/>
        </w:trPr>
        <w:tc>
          <w:tcPr>
            <w:tcW w:w="567" w:type="dxa"/>
          </w:tcPr>
          <w:p w14:paraId="6FCBC7C7"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959" w:type="dxa"/>
            <w:vAlign w:val="center"/>
          </w:tcPr>
          <w:p w14:paraId="77BC08D0"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Tolerancja uziarnienia; odchylenia nie większe niż według kategorii:</w:t>
            </w:r>
          </w:p>
        </w:tc>
        <w:tc>
          <w:tcPr>
            <w:tcW w:w="1417" w:type="dxa"/>
            <w:gridSpan w:val="2"/>
          </w:tcPr>
          <w:p w14:paraId="03AB0695"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25/15</w:t>
            </w:r>
          </w:p>
          <w:p w14:paraId="53282EB6"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20/15</w:t>
            </w:r>
          </w:p>
          <w:p w14:paraId="4794D8E1"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20/17,5</w:t>
            </w:r>
          </w:p>
        </w:tc>
        <w:tc>
          <w:tcPr>
            <w:tcW w:w="1418" w:type="dxa"/>
            <w:gridSpan w:val="2"/>
          </w:tcPr>
          <w:p w14:paraId="345104A2"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25/15</w:t>
            </w:r>
          </w:p>
          <w:p w14:paraId="232B8CFA"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20/15</w:t>
            </w:r>
          </w:p>
          <w:p w14:paraId="58CC094B"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20/17,5</w:t>
            </w:r>
          </w:p>
        </w:tc>
        <w:tc>
          <w:tcPr>
            <w:tcW w:w="1428" w:type="dxa"/>
            <w:gridSpan w:val="2"/>
            <w:vAlign w:val="center"/>
          </w:tcPr>
          <w:p w14:paraId="268D5E1C"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25/15</w:t>
            </w:r>
          </w:p>
          <w:p w14:paraId="1860262D"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20/15</w:t>
            </w:r>
          </w:p>
          <w:p w14:paraId="3BA54332"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20/17,5</w:t>
            </w:r>
          </w:p>
        </w:tc>
      </w:tr>
      <w:tr w:rsidR="00955A27" w:rsidRPr="001667DB" w14:paraId="2371EC42" w14:textId="77777777" w:rsidTr="001B4B8F">
        <w:trPr>
          <w:gridAfter w:val="1"/>
          <w:wAfter w:w="15" w:type="dxa"/>
        </w:trPr>
        <w:tc>
          <w:tcPr>
            <w:tcW w:w="567" w:type="dxa"/>
          </w:tcPr>
          <w:p w14:paraId="4A800D9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959" w:type="dxa"/>
            <w:vAlign w:val="center"/>
          </w:tcPr>
          <w:p w14:paraId="2D976BD9"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Zawartość pyłu według PN-EN 933-1 [6]; kategoria nie wyższa niż:</w:t>
            </w:r>
          </w:p>
        </w:tc>
        <w:tc>
          <w:tcPr>
            <w:tcW w:w="1417" w:type="dxa"/>
            <w:gridSpan w:val="2"/>
          </w:tcPr>
          <w:p w14:paraId="25112A91"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2</w:t>
            </w:r>
          </w:p>
        </w:tc>
        <w:tc>
          <w:tcPr>
            <w:tcW w:w="1418" w:type="dxa"/>
            <w:gridSpan w:val="2"/>
          </w:tcPr>
          <w:p w14:paraId="1E9AC223"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2</w:t>
            </w:r>
          </w:p>
        </w:tc>
        <w:tc>
          <w:tcPr>
            <w:tcW w:w="1428" w:type="dxa"/>
            <w:gridSpan w:val="2"/>
            <w:vAlign w:val="center"/>
          </w:tcPr>
          <w:p w14:paraId="32167ACE"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2</w:t>
            </w:r>
          </w:p>
        </w:tc>
      </w:tr>
      <w:tr w:rsidR="00955A27" w:rsidRPr="001667DB" w14:paraId="77960174" w14:textId="77777777" w:rsidTr="001B4B8F">
        <w:trPr>
          <w:gridAfter w:val="1"/>
          <w:wAfter w:w="15" w:type="dxa"/>
        </w:trPr>
        <w:tc>
          <w:tcPr>
            <w:tcW w:w="567" w:type="dxa"/>
          </w:tcPr>
          <w:p w14:paraId="6481550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959" w:type="dxa"/>
            <w:vAlign w:val="center"/>
          </w:tcPr>
          <w:p w14:paraId="50A7B819"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Kształt kruszywa według PN-EN 933-3 [7] lub według PN-EN 933-4 [8]; kategoria nie wyższa niż:</w:t>
            </w:r>
          </w:p>
        </w:tc>
        <w:tc>
          <w:tcPr>
            <w:tcW w:w="1417" w:type="dxa"/>
            <w:gridSpan w:val="2"/>
          </w:tcPr>
          <w:p w14:paraId="4D4E66A8"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3C5111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50</w:t>
            </w:r>
          </w:p>
        </w:tc>
        <w:tc>
          <w:tcPr>
            <w:tcW w:w="1418" w:type="dxa"/>
            <w:gridSpan w:val="2"/>
          </w:tcPr>
          <w:p w14:paraId="4A2EC726"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F9AE46D"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30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30</w:t>
            </w:r>
          </w:p>
        </w:tc>
        <w:tc>
          <w:tcPr>
            <w:tcW w:w="1428" w:type="dxa"/>
            <w:gridSpan w:val="2"/>
            <w:vAlign w:val="center"/>
          </w:tcPr>
          <w:p w14:paraId="743A31D0"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30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30</w:t>
            </w:r>
          </w:p>
        </w:tc>
      </w:tr>
      <w:tr w:rsidR="00955A27" w:rsidRPr="001667DB" w14:paraId="35DC9F73" w14:textId="77777777" w:rsidTr="001B4B8F">
        <w:trPr>
          <w:gridAfter w:val="1"/>
          <w:wAfter w:w="15" w:type="dxa"/>
        </w:trPr>
        <w:tc>
          <w:tcPr>
            <w:tcW w:w="567" w:type="dxa"/>
          </w:tcPr>
          <w:p w14:paraId="50C2B9F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959" w:type="dxa"/>
            <w:vAlign w:val="center"/>
          </w:tcPr>
          <w:p w14:paraId="59646E07"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Procentowa zawartość ziaren o powierzchni przekruszonej i łamanej w kruszywie grubym według PN-EN 933-5 [9]; kategoria nie niższa niż:</w:t>
            </w:r>
          </w:p>
        </w:tc>
        <w:tc>
          <w:tcPr>
            <w:tcW w:w="1417" w:type="dxa"/>
            <w:gridSpan w:val="2"/>
          </w:tcPr>
          <w:p w14:paraId="7CDDD8B5" w14:textId="77777777" w:rsidR="00955A27" w:rsidRPr="001667DB" w:rsidRDefault="00955A27" w:rsidP="00955A27">
            <w:pPr>
              <w:spacing w:before="36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C</w:t>
            </w:r>
            <w:r w:rsidRPr="001667DB">
              <w:rPr>
                <w:rFonts w:ascii="Times New Roman" w:hAnsi="Times New Roman" w:cs="Times New Roman"/>
                <w:i/>
                <w:color w:val="000000" w:themeColor="text1"/>
                <w:vertAlign w:val="subscript"/>
              </w:rPr>
              <w:t>Deklarowana</w:t>
            </w:r>
          </w:p>
        </w:tc>
        <w:tc>
          <w:tcPr>
            <w:tcW w:w="1418" w:type="dxa"/>
            <w:gridSpan w:val="2"/>
          </w:tcPr>
          <w:p w14:paraId="65CF939C" w14:textId="77777777" w:rsidR="00955A27" w:rsidRPr="001667DB" w:rsidRDefault="00955A27" w:rsidP="00955A27">
            <w:pPr>
              <w:spacing w:before="36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C</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vertAlign w:val="subscript"/>
              </w:rPr>
              <w:t>/30</w:t>
            </w:r>
          </w:p>
        </w:tc>
        <w:tc>
          <w:tcPr>
            <w:tcW w:w="1428" w:type="dxa"/>
            <w:gridSpan w:val="2"/>
            <w:vAlign w:val="center"/>
          </w:tcPr>
          <w:p w14:paraId="675EAB40"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C</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vertAlign w:val="subscript"/>
              </w:rPr>
              <w:t>/30</w:t>
            </w:r>
          </w:p>
        </w:tc>
      </w:tr>
      <w:tr w:rsidR="00955A27" w:rsidRPr="001667DB" w14:paraId="640B64F1" w14:textId="77777777" w:rsidTr="001B4B8F">
        <w:tc>
          <w:tcPr>
            <w:tcW w:w="567" w:type="dxa"/>
          </w:tcPr>
          <w:p w14:paraId="6BDDD98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968" w:type="dxa"/>
            <w:gridSpan w:val="2"/>
            <w:vAlign w:val="center"/>
          </w:tcPr>
          <w:p w14:paraId="38EE758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Odporność kruszywa na rozdrabnianie według normy PN-EN 1097-2 [13], </w:t>
            </w:r>
            <w:r w:rsidRPr="001667DB">
              <w:rPr>
                <w:rFonts w:ascii="Times New Roman" w:hAnsi="Times New Roman" w:cs="Times New Roman"/>
                <w:color w:val="000000" w:themeColor="text1"/>
              </w:rPr>
              <w:lastRenderedPageBreak/>
              <w:t>badana na kruszywie o wymiarze 10/14, rozdział 5, kategoria nie wyższa niż:</w:t>
            </w:r>
          </w:p>
        </w:tc>
        <w:tc>
          <w:tcPr>
            <w:tcW w:w="1418" w:type="dxa"/>
            <w:gridSpan w:val="2"/>
          </w:tcPr>
          <w:p w14:paraId="2F1F3DC5"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C9168DC"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170A5E6"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lastRenderedPageBreak/>
              <w:t>LA</w:t>
            </w:r>
            <w:r w:rsidRPr="001667DB">
              <w:rPr>
                <w:rFonts w:ascii="Times New Roman" w:hAnsi="Times New Roman" w:cs="Times New Roman"/>
                <w:i/>
                <w:color w:val="000000" w:themeColor="text1"/>
                <w:vertAlign w:val="subscript"/>
              </w:rPr>
              <w:t>50</w:t>
            </w:r>
          </w:p>
        </w:tc>
        <w:tc>
          <w:tcPr>
            <w:tcW w:w="1418" w:type="dxa"/>
            <w:gridSpan w:val="2"/>
          </w:tcPr>
          <w:p w14:paraId="69994A8F"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38CE4044"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B845541"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lastRenderedPageBreak/>
              <w:t>LA</w:t>
            </w:r>
            <w:r w:rsidRPr="001667DB">
              <w:rPr>
                <w:rFonts w:ascii="Times New Roman" w:hAnsi="Times New Roman" w:cs="Times New Roman"/>
                <w:i/>
                <w:color w:val="000000" w:themeColor="text1"/>
                <w:vertAlign w:val="subscript"/>
              </w:rPr>
              <w:t>40</w:t>
            </w:r>
          </w:p>
        </w:tc>
        <w:tc>
          <w:tcPr>
            <w:tcW w:w="1433" w:type="dxa"/>
            <w:gridSpan w:val="2"/>
          </w:tcPr>
          <w:p w14:paraId="7EC795AC"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9C5D960"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631154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lastRenderedPageBreak/>
              <w:t>LA</w:t>
            </w:r>
            <w:r w:rsidRPr="001667DB">
              <w:rPr>
                <w:rFonts w:ascii="Times New Roman" w:hAnsi="Times New Roman" w:cs="Times New Roman"/>
                <w:color w:val="000000" w:themeColor="text1"/>
                <w:vertAlign w:val="subscript"/>
              </w:rPr>
              <w:t>40</w:t>
            </w:r>
          </w:p>
        </w:tc>
      </w:tr>
      <w:tr w:rsidR="00955A27" w:rsidRPr="001667DB" w14:paraId="00F97A89" w14:textId="77777777" w:rsidTr="001B4B8F">
        <w:tc>
          <w:tcPr>
            <w:tcW w:w="567" w:type="dxa"/>
          </w:tcPr>
          <w:p w14:paraId="242C6B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w:t>
            </w:r>
          </w:p>
        </w:tc>
        <w:tc>
          <w:tcPr>
            <w:tcW w:w="3968" w:type="dxa"/>
            <w:gridSpan w:val="2"/>
            <w:vAlign w:val="center"/>
          </w:tcPr>
          <w:p w14:paraId="571D95E8"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Gęstość ziaren według PN-EN 1097-6 [17], rozdział 7, 8 lub 9:</w:t>
            </w:r>
          </w:p>
        </w:tc>
        <w:tc>
          <w:tcPr>
            <w:tcW w:w="4269" w:type="dxa"/>
            <w:gridSpan w:val="6"/>
            <w:vAlign w:val="center"/>
          </w:tcPr>
          <w:p w14:paraId="250CC7D0"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p w14:paraId="765A4AEE" w14:textId="77777777" w:rsidR="00955A27" w:rsidRPr="001667DB" w:rsidRDefault="00955A27" w:rsidP="00955A27">
            <w:pPr>
              <w:spacing w:after="120" w:line="360" w:lineRule="auto"/>
              <w:rPr>
                <w:rFonts w:ascii="Times New Roman" w:hAnsi="Times New Roman" w:cs="Times New Roman"/>
                <w:b/>
                <w:color w:val="000000" w:themeColor="text1"/>
              </w:rPr>
            </w:pPr>
          </w:p>
        </w:tc>
      </w:tr>
      <w:tr w:rsidR="00955A27" w:rsidRPr="001667DB" w14:paraId="398D5190" w14:textId="77777777" w:rsidTr="001B4B8F">
        <w:tc>
          <w:tcPr>
            <w:tcW w:w="567" w:type="dxa"/>
          </w:tcPr>
          <w:p w14:paraId="7DDE86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968" w:type="dxa"/>
            <w:gridSpan w:val="2"/>
            <w:vAlign w:val="center"/>
          </w:tcPr>
          <w:p w14:paraId="5CE646AE"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Nasiąkliwość według PN-EN 1097-6 [17], rozdział 7, 8 lub 9:</w:t>
            </w:r>
          </w:p>
        </w:tc>
        <w:tc>
          <w:tcPr>
            <w:tcW w:w="4269" w:type="dxa"/>
            <w:gridSpan w:val="6"/>
            <w:vAlign w:val="center"/>
          </w:tcPr>
          <w:p w14:paraId="09326F49"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p w14:paraId="6EE3F079"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5AFAD305" w14:textId="77777777" w:rsidTr="001B4B8F">
        <w:tc>
          <w:tcPr>
            <w:tcW w:w="567" w:type="dxa"/>
          </w:tcPr>
          <w:p w14:paraId="7D7EC1A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968" w:type="dxa"/>
            <w:gridSpan w:val="2"/>
            <w:vAlign w:val="center"/>
          </w:tcPr>
          <w:p w14:paraId="02D8E4D1"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Mrozoodporność według PN-EN 1367-1 [19], badana na kruszywie 8/11, 11/16 lub 8/16; kategoria nie wyższa niż:</w:t>
            </w:r>
          </w:p>
        </w:tc>
        <w:tc>
          <w:tcPr>
            <w:tcW w:w="1418" w:type="dxa"/>
            <w:gridSpan w:val="2"/>
          </w:tcPr>
          <w:p w14:paraId="55CEC6D1"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8AE3629"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c>
          <w:tcPr>
            <w:tcW w:w="1418" w:type="dxa"/>
            <w:gridSpan w:val="2"/>
          </w:tcPr>
          <w:p w14:paraId="4E60CBDD"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279B89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c>
          <w:tcPr>
            <w:tcW w:w="1433" w:type="dxa"/>
            <w:gridSpan w:val="2"/>
          </w:tcPr>
          <w:p w14:paraId="42AC95B6"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1F83A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r>
      <w:tr w:rsidR="00955A27" w:rsidRPr="001667DB" w14:paraId="2439E725" w14:textId="77777777" w:rsidTr="001B4B8F">
        <w:tc>
          <w:tcPr>
            <w:tcW w:w="567" w:type="dxa"/>
          </w:tcPr>
          <w:p w14:paraId="637E572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968" w:type="dxa"/>
            <w:gridSpan w:val="2"/>
            <w:vAlign w:val="center"/>
          </w:tcPr>
          <w:p w14:paraId="00E197E9"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„Zgorzel słoneczna” bazaltu według </w:t>
            </w:r>
            <w:r w:rsidRPr="001667DB">
              <w:rPr>
                <w:rFonts w:ascii="Times New Roman" w:hAnsi="Times New Roman" w:cs="Times New Roman"/>
                <w:color w:val="000000" w:themeColor="text1"/>
              </w:rPr>
              <w:br/>
              <w:t>PN-EN 1367-3 [20]; wymagana kategoria:</w:t>
            </w:r>
          </w:p>
        </w:tc>
        <w:tc>
          <w:tcPr>
            <w:tcW w:w="1418" w:type="dxa"/>
            <w:gridSpan w:val="2"/>
          </w:tcPr>
          <w:p w14:paraId="698D6FFA"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20DBBB6"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c>
          <w:tcPr>
            <w:tcW w:w="1418" w:type="dxa"/>
            <w:gridSpan w:val="2"/>
          </w:tcPr>
          <w:p w14:paraId="13E71E05"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247764A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c>
          <w:tcPr>
            <w:tcW w:w="1433" w:type="dxa"/>
            <w:gridSpan w:val="2"/>
            <w:vAlign w:val="center"/>
          </w:tcPr>
          <w:p w14:paraId="135E5043"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r>
      <w:tr w:rsidR="00955A27" w:rsidRPr="001667DB" w14:paraId="27AF85CF" w14:textId="77777777" w:rsidTr="001B4B8F">
        <w:tc>
          <w:tcPr>
            <w:tcW w:w="567" w:type="dxa"/>
          </w:tcPr>
          <w:p w14:paraId="5C6530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968" w:type="dxa"/>
            <w:gridSpan w:val="2"/>
            <w:vAlign w:val="center"/>
          </w:tcPr>
          <w:p w14:paraId="31114204"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Skład chemiczny – uproszczony opis petrograficzny według PN-EN 932-3 [5]</w:t>
            </w:r>
          </w:p>
        </w:tc>
        <w:tc>
          <w:tcPr>
            <w:tcW w:w="4269" w:type="dxa"/>
            <w:gridSpan w:val="6"/>
          </w:tcPr>
          <w:p w14:paraId="7E1E6D37"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050C80B"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deklarowany przez producenta</w:t>
            </w:r>
          </w:p>
          <w:p w14:paraId="661751F1" w14:textId="77777777" w:rsidR="00955A27" w:rsidRPr="001667DB" w:rsidRDefault="00955A27" w:rsidP="00955A27">
            <w:pPr>
              <w:spacing w:after="120" w:line="360" w:lineRule="auto"/>
              <w:rPr>
                <w:rFonts w:ascii="Times New Roman" w:hAnsi="Times New Roman" w:cs="Times New Roman"/>
                <w:b/>
                <w:color w:val="000000" w:themeColor="text1"/>
              </w:rPr>
            </w:pPr>
          </w:p>
        </w:tc>
      </w:tr>
      <w:tr w:rsidR="00955A27" w:rsidRPr="001667DB" w14:paraId="61EB4FE2" w14:textId="77777777" w:rsidTr="001B4B8F">
        <w:tc>
          <w:tcPr>
            <w:tcW w:w="567" w:type="dxa"/>
          </w:tcPr>
          <w:p w14:paraId="13AD285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968" w:type="dxa"/>
            <w:gridSpan w:val="2"/>
            <w:vAlign w:val="center"/>
          </w:tcPr>
          <w:p w14:paraId="74F0AE9F"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1418" w:type="dxa"/>
            <w:gridSpan w:val="2"/>
          </w:tcPr>
          <w:p w14:paraId="50680BFD"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2A0B70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c>
          <w:tcPr>
            <w:tcW w:w="1418" w:type="dxa"/>
            <w:gridSpan w:val="2"/>
          </w:tcPr>
          <w:p w14:paraId="2A9BA599"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302CAEA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c>
          <w:tcPr>
            <w:tcW w:w="1433" w:type="dxa"/>
            <w:gridSpan w:val="2"/>
            <w:vAlign w:val="center"/>
          </w:tcPr>
          <w:p w14:paraId="3D3629B8"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r>
      <w:tr w:rsidR="00955A27" w:rsidRPr="001667DB" w14:paraId="7E8ED242" w14:textId="77777777" w:rsidTr="001B4B8F">
        <w:tc>
          <w:tcPr>
            <w:tcW w:w="567" w:type="dxa"/>
          </w:tcPr>
          <w:p w14:paraId="1B647B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3968" w:type="dxa"/>
            <w:gridSpan w:val="2"/>
            <w:vAlign w:val="center"/>
          </w:tcPr>
          <w:p w14:paraId="78DCF4E6"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krzemianowy żużla wielkopiecowego chłodzonego powie-trzem według PN-EN 1744-1 [23],       p. 19.1:</w:t>
            </w:r>
          </w:p>
        </w:tc>
        <w:tc>
          <w:tcPr>
            <w:tcW w:w="4269" w:type="dxa"/>
            <w:gridSpan w:val="6"/>
            <w:vAlign w:val="center"/>
          </w:tcPr>
          <w:p w14:paraId="4FAC0727"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p w14:paraId="159B36B7"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5414E0AB" w14:textId="77777777" w:rsidTr="001B4B8F">
        <w:tc>
          <w:tcPr>
            <w:tcW w:w="567" w:type="dxa"/>
          </w:tcPr>
          <w:p w14:paraId="48252EA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3968" w:type="dxa"/>
            <w:gridSpan w:val="2"/>
            <w:vAlign w:val="center"/>
          </w:tcPr>
          <w:p w14:paraId="557AABAE"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żelazowy żużla wielkopiecowego chłodzonego powietrzem według PN-EN 1744-1[23], p. 19.2:</w:t>
            </w:r>
          </w:p>
        </w:tc>
        <w:tc>
          <w:tcPr>
            <w:tcW w:w="4269" w:type="dxa"/>
            <w:gridSpan w:val="6"/>
            <w:vAlign w:val="center"/>
          </w:tcPr>
          <w:p w14:paraId="5E192034"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p w14:paraId="04F55D9C"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155B1951" w14:textId="77777777" w:rsidTr="001B4B8F">
        <w:tc>
          <w:tcPr>
            <w:tcW w:w="567" w:type="dxa"/>
          </w:tcPr>
          <w:p w14:paraId="3FFBE66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3968" w:type="dxa"/>
            <w:gridSpan w:val="2"/>
            <w:vAlign w:val="center"/>
          </w:tcPr>
          <w:p w14:paraId="3DC2AE92"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Stałość objętości kruszywa z żużla stalowniczego według PN-EN 1744-1 [23] p. 19.3; kategoria nie wyższa niż:</w:t>
            </w:r>
          </w:p>
        </w:tc>
        <w:tc>
          <w:tcPr>
            <w:tcW w:w="1418" w:type="dxa"/>
            <w:gridSpan w:val="2"/>
          </w:tcPr>
          <w:p w14:paraId="70AFF6DF"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299EAF11"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c>
          <w:tcPr>
            <w:tcW w:w="1418" w:type="dxa"/>
            <w:gridSpan w:val="2"/>
          </w:tcPr>
          <w:p w14:paraId="47AEE1F0"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1B1E87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c>
          <w:tcPr>
            <w:tcW w:w="1433" w:type="dxa"/>
            <w:gridSpan w:val="2"/>
          </w:tcPr>
          <w:p w14:paraId="7D529EB0"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659EBA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r>
    </w:tbl>
    <w:p w14:paraId="62E6EE86" w14:textId="77777777" w:rsidR="00955A27" w:rsidRPr="001667DB" w:rsidRDefault="00955A27" w:rsidP="00955A27">
      <w:pPr>
        <w:spacing w:after="120" w:line="360" w:lineRule="auto"/>
        <w:rPr>
          <w:rFonts w:ascii="Times New Roman" w:hAnsi="Times New Roman" w:cs="Times New Roman"/>
          <w:color w:val="000000" w:themeColor="text1"/>
        </w:rPr>
      </w:pPr>
    </w:p>
    <w:p w14:paraId="50596A10" w14:textId="77777777" w:rsidR="00955A27" w:rsidRPr="001667DB" w:rsidRDefault="00955A27" w:rsidP="00955A27">
      <w:pPr>
        <w:shd w:val="clear" w:color="auto" w:fill="FFFFFF"/>
        <w:spacing w:after="120" w:line="360" w:lineRule="auto"/>
        <w:ind w:left="360" w:hanging="360"/>
        <w:rPr>
          <w:rFonts w:ascii="Times New Roman" w:hAnsi="Times New Roman" w:cs="Times New Roman"/>
          <w:color w:val="000000" w:themeColor="text1"/>
        </w:rPr>
      </w:pPr>
      <w:r w:rsidRPr="001667DB">
        <w:rPr>
          <w:rFonts w:ascii="Times New Roman" w:hAnsi="Times New Roman" w:cs="Times New Roman"/>
          <w:color w:val="000000" w:themeColor="text1"/>
        </w:rPr>
        <w:t>b) Kruszywo niełamane drobne lub o ciągłym uziarnieniu do D≤8  do podbudowy  z betonu asfaltowego  powinno spełniać wymagania podane w tablicy  7 .</w:t>
      </w:r>
    </w:p>
    <w:p w14:paraId="1146CA6C" w14:textId="77777777" w:rsidR="00955A27" w:rsidRPr="001667DB" w:rsidRDefault="00955A27" w:rsidP="00955A27">
      <w:pPr>
        <w:shd w:val="clear" w:color="auto" w:fill="FFFFFF"/>
        <w:spacing w:before="120" w:after="120" w:line="360" w:lineRule="auto"/>
        <w:ind w:left="1321" w:hanging="1321"/>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Tablica 7. Wymagane właściwości kruszywa niełamanego drobnego lub o ciągłym uziarnieniu do D≤8  do podbudowy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969"/>
        <w:gridCol w:w="1418"/>
        <w:gridCol w:w="1417"/>
        <w:gridCol w:w="1437"/>
      </w:tblGrid>
      <w:tr w:rsidR="00955A27" w:rsidRPr="001667DB" w14:paraId="495273B3" w14:textId="77777777" w:rsidTr="001B4B8F">
        <w:tc>
          <w:tcPr>
            <w:tcW w:w="675" w:type="dxa"/>
            <w:vMerge w:val="restart"/>
          </w:tcPr>
          <w:p w14:paraId="63D0463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482249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969" w:type="dxa"/>
            <w:vMerge w:val="restart"/>
          </w:tcPr>
          <w:p w14:paraId="665F239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AE5073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4272" w:type="dxa"/>
            <w:gridSpan w:val="3"/>
          </w:tcPr>
          <w:p w14:paraId="6F5274A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955A27" w:rsidRPr="001667DB" w14:paraId="3351E18B" w14:textId="77777777" w:rsidTr="001B4B8F">
        <w:tc>
          <w:tcPr>
            <w:tcW w:w="675" w:type="dxa"/>
            <w:vMerge/>
          </w:tcPr>
          <w:p w14:paraId="7B2D810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969" w:type="dxa"/>
            <w:vMerge/>
          </w:tcPr>
          <w:p w14:paraId="1BBCC690"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418" w:type="dxa"/>
          </w:tcPr>
          <w:p w14:paraId="341A391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KR2</w:t>
            </w:r>
          </w:p>
        </w:tc>
        <w:tc>
          <w:tcPr>
            <w:tcW w:w="1417" w:type="dxa"/>
          </w:tcPr>
          <w:p w14:paraId="6D0CD25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KR4</w:t>
            </w:r>
          </w:p>
        </w:tc>
        <w:tc>
          <w:tcPr>
            <w:tcW w:w="1437" w:type="dxa"/>
          </w:tcPr>
          <w:p w14:paraId="1FEF1D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KR7</w:t>
            </w:r>
          </w:p>
        </w:tc>
      </w:tr>
      <w:tr w:rsidR="00955A27" w:rsidRPr="001667DB" w14:paraId="7180CA79" w14:textId="77777777" w:rsidTr="001B4B8F">
        <w:tc>
          <w:tcPr>
            <w:tcW w:w="675" w:type="dxa"/>
          </w:tcPr>
          <w:p w14:paraId="674662B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969" w:type="dxa"/>
          </w:tcPr>
          <w:p w14:paraId="124602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według PN-EN 933-1[6], wymagana kategoria:</w:t>
            </w:r>
          </w:p>
        </w:tc>
        <w:tc>
          <w:tcPr>
            <w:tcW w:w="2835" w:type="dxa"/>
            <w:gridSpan w:val="2"/>
            <w:vAlign w:val="center"/>
          </w:tcPr>
          <w:p w14:paraId="22E5BFF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 lub 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c>
          <w:tcPr>
            <w:tcW w:w="1437" w:type="dxa"/>
            <w:vAlign w:val="center"/>
          </w:tcPr>
          <w:p w14:paraId="63027C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w:t>
            </w:r>
          </w:p>
        </w:tc>
      </w:tr>
      <w:tr w:rsidR="00955A27" w:rsidRPr="001667DB" w14:paraId="219A88DE" w14:textId="77777777" w:rsidTr="001B4B8F">
        <w:tc>
          <w:tcPr>
            <w:tcW w:w="675" w:type="dxa"/>
          </w:tcPr>
          <w:p w14:paraId="74E46D6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969" w:type="dxa"/>
          </w:tcPr>
          <w:p w14:paraId="7A4511F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Tolerancja uziarnienia; odchylenie nie większe niż, według kategorii:</w:t>
            </w:r>
          </w:p>
        </w:tc>
        <w:tc>
          <w:tcPr>
            <w:tcW w:w="1418" w:type="dxa"/>
          </w:tcPr>
          <w:p w14:paraId="46CEB74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NR</w:t>
            </w:r>
          </w:p>
        </w:tc>
        <w:tc>
          <w:tcPr>
            <w:tcW w:w="1417" w:type="dxa"/>
            <w:vAlign w:val="center"/>
          </w:tcPr>
          <w:p w14:paraId="0358E4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20</w:t>
            </w:r>
          </w:p>
        </w:tc>
        <w:tc>
          <w:tcPr>
            <w:tcW w:w="1437" w:type="dxa"/>
          </w:tcPr>
          <w:p w14:paraId="04468CF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20</w:t>
            </w:r>
          </w:p>
        </w:tc>
      </w:tr>
      <w:tr w:rsidR="00955A27" w:rsidRPr="001667DB" w14:paraId="272CB70C" w14:textId="77777777" w:rsidTr="001B4B8F">
        <w:tc>
          <w:tcPr>
            <w:tcW w:w="675" w:type="dxa"/>
          </w:tcPr>
          <w:p w14:paraId="40817B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969" w:type="dxa"/>
          </w:tcPr>
          <w:p w14:paraId="42762D9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według PN-EN 933-1 [6], kategoria nie wyższa niż:</w:t>
            </w:r>
          </w:p>
        </w:tc>
        <w:tc>
          <w:tcPr>
            <w:tcW w:w="4272" w:type="dxa"/>
            <w:gridSpan w:val="3"/>
            <w:vAlign w:val="center"/>
          </w:tcPr>
          <w:p w14:paraId="4ABF47A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A6"/>
            </w:r>
            <w:r w:rsidRPr="001667DB">
              <w:rPr>
                <w:rFonts w:ascii="Times New Roman" w:hAnsi="Times New Roman" w:cs="Times New Roman"/>
                <w:color w:val="000000" w:themeColor="text1"/>
                <w:vertAlign w:val="subscript"/>
              </w:rPr>
              <w:t>3</w:t>
            </w:r>
          </w:p>
        </w:tc>
      </w:tr>
      <w:tr w:rsidR="00955A27" w:rsidRPr="001667DB" w14:paraId="72D21086" w14:textId="77777777" w:rsidTr="001B4B8F">
        <w:tc>
          <w:tcPr>
            <w:tcW w:w="675" w:type="dxa"/>
          </w:tcPr>
          <w:p w14:paraId="797717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969" w:type="dxa"/>
          </w:tcPr>
          <w:p w14:paraId="68DFE31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Jakość pyłów według PN-EN 933-9 [11]; kategoria nie wyższa niż:</w:t>
            </w:r>
          </w:p>
        </w:tc>
        <w:tc>
          <w:tcPr>
            <w:tcW w:w="4272" w:type="dxa"/>
            <w:gridSpan w:val="3"/>
            <w:vAlign w:val="center"/>
          </w:tcPr>
          <w:p w14:paraId="7018647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0534BB20" w14:textId="77777777" w:rsidTr="001B4B8F">
        <w:tc>
          <w:tcPr>
            <w:tcW w:w="675" w:type="dxa"/>
          </w:tcPr>
          <w:p w14:paraId="7FD0DD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969" w:type="dxa"/>
          </w:tcPr>
          <w:p w14:paraId="0AE10FC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Kanciastość kruszywa drobnego według PN-EN 933-6 [10], rozdz. 8, kategoria nie niższa niż:</w:t>
            </w:r>
          </w:p>
        </w:tc>
        <w:tc>
          <w:tcPr>
            <w:tcW w:w="4272" w:type="dxa"/>
            <w:gridSpan w:val="3"/>
            <w:vAlign w:val="center"/>
          </w:tcPr>
          <w:p w14:paraId="7725EE5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E</w:t>
            </w:r>
            <w:r w:rsidRPr="001667DB">
              <w:rPr>
                <w:rFonts w:ascii="Times New Roman" w:hAnsi="Times New Roman" w:cs="Times New Roman"/>
                <w:color w:val="000000" w:themeColor="text1"/>
                <w:vertAlign w:val="subscript"/>
              </w:rPr>
              <w:t>cs</w:t>
            </w:r>
            <w:r w:rsidRPr="001667DB">
              <w:rPr>
                <w:rFonts w:ascii="Times New Roman" w:hAnsi="Times New Roman" w:cs="Times New Roman"/>
                <w:color w:val="000000" w:themeColor="text1"/>
              </w:rPr>
              <w:t>Deklarowana</w:t>
            </w:r>
          </w:p>
        </w:tc>
      </w:tr>
      <w:tr w:rsidR="00955A27" w:rsidRPr="001667DB" w14:paraId="4026307C" w14:textId="77777777" w:rsidTr="001B4B8F">
        <w:tc>
          <w:tcPr>
            <w:tcW w:w="675" w:type="dxa"/>
          </w:tcPr>
          <w:p w14:paraId="52FB6D8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969" w:type="dxa"/>
          </w:tcPr>
          <w:p w14:paraId="12A4AE2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ziaren według PN-EN 1097-6 [17], rozdz. 7, 8 lub 9:</w:t>
            </w:r>
          </w:p>
        </w:tc>
        <w:tc>
          <w:tcPr>
            <w:tcW w:w="4272" w:type="dxa"/>
            <w:gridSpan w:val="3"/>
            <w:vAlign w:val="center"/>
          </w:tcPr>
          <w:p w14:paraId="52B9E22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1E0CD428" w14:textId="77777777" w:rsidTr="001B4B8F">
        <w:tc>
          <w:tcPr>
            <w:tcW w:w="675" w:type="dxa"/>
          </w:tcPr>
          <w:p w14:paraId="141EEC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969" w:type="dxa"/>
          </w:tcPr>
          <w:p w14:paraId="0175E3D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Nasiąkliwość według PN-EN 1097-6 [17], rozdz. 7, 8 lub 9</w:t>
            </w:r>
          </w:p>
        </w:tc>
        <w:tc>
          <w:tcPr>
            <w:tcW w:w="4272" w:type="dxa"/>
            <w:gridSpan w:val="3"/>
            <w:vAlign w:val="center"/>
          </w:tcPr>
          <w:p w14:paraId="22B1E78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2D8707B5" w14:textId="77777777" w:rsidTr="001B4B8F">
        <w:tc>
          <w:tcPr>
            <w:tcW w:w="675" w:type="dxa"/>
          </w:tcPr>
          <w:p w14:paraId="6D33CF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969" w:type="dxa"/>
          </w:tcPr>
          <w:p w14:paraId="77BB5FB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4272" w:type="dxa"/>
            <w:gridSpan w:val="3"/>
            <w:vAlign w:val="center"/>
          </w:tcPr>
          <w:p w14:paraId="6A53D7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0,1</w:t>
            </w:r>
          </w:p>
        </w:tc>
      </w:tr>
    </w:tbl>
    <w:p w14:paraId="303F7323" w14:textId="77777777" w:rsidR="00955A27" w:rsidRPr="001667DB" w:rsidRDefault="00955A27" w:rsidP="00955A27">
      <w:pPr>
        <w:spacing w:after="120" w:line="360" w:lineRule="auto"/>
        <w:rPr>
          <w:rFonts w:ascii="Times New Roman" w:hAnsi="Times New Roman" w:cs="Times New Roman"/>
          <w:color w:val="000000" w:themeColor="text1"/>
        </w:rPr>
      </w:pPr>
    </w:p>
    <w:p w14:paraId="0D30CB07" w14:textId="77777777" w:rsidR="00955A27" w:rsidRPr="001667DB" w:rsidRDefault="00955A27" w:rsidP="00955A27">
      <w:pPr>
        <w:shd w:val="clear" w:color="auto" w:fill="FFFFFF"/>
        <w:spacing w:after="120" w:line="360" w:lineRule="auto"/>
        <w:ind w:left="360" w:hanging="360"/>
        <w:rPr>
          <w:rFonts w:ascii="Times New Roman" w:hAnsi="Times New Roman" w:cs="Times New Roman"/>
          <w:color w:val="000000" w:themeColor="text1"/>
        </w:rPr>
      </w:pPr>
      <w:r w:rsidRPr="001667DB">
        <w:rPr>
          <w:rFonts w:ascii="Times New Roman" w:hAnsi="Times New Roman" w:cs="Times New Roman"/>
          <w:color w:val="000000" w:themeColor="text1"/>
        </w:rPr>
        <w:t>c) Kruszywo łamane drobne lub o ciągłym uziarnieniu do D≤8  do podbudowy  z betonu asfaltowego  powinno spełniać wymagania podane w tablicy  8 .</w:t>
      </w:r>
    </w:p>
    <w:p w14:paraId="23E97FB2" w14:textId="77777777" w:rsidR="00955A27" w:rsidRPr="001667DB" w:rsidRDefault="00955A27" w:rsidP="00955A27">
      <w:pPr>
        <w:shd w:val="clear" w:color="auto" w:fill="FFFFFF"/>
        <w:spacing w:before="120" w:after="120" w:line="360" w:lineRule="auto"/>
        <w:ind w:left="993" w:hanging="993"/>
        <w:rPr>
          <w:rFonts w:ascii="Times New Roman" w:hAnsi="Times New Roman" w:cs="Times New Roman"/>
          <w:color w:val="000000" w:themeColor="text1"/>
        </w:rPr>
      </w:pPr>
      <w:r w:rsidRPr="001667DB">
        <w:rPr>
          <w:rFonts w:ascii="Times New Roman" w:hAnsi="Times New Roman" w:cs="Times New Roman"/>
          <w:color w:val="000000" w:themeColor="text1"/>
        </w:rPr>
        <w:t>Tablica 8.</w:t>
      </w:r>
      <w:r w:rsidRPr="001667DB">
        <w:rPr>
          <w:rFonts w:ascii="Times New Roman" w:hAnsi="Times New Roman" w:cs="Times New Roman"/>
          <w:color w:val="000000" w:themeColor="text1"/>
        </w:rPr>
        <w:tab/>
        <w:t>Wymagane właściwości kruszywa łamanego drobnego lub o ciągłym uziarnieniu do D≤8  do podbudowy  z betonu asfaltowego</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3"/>
        <w:gridCol w:w="3981"/>
        <w:gridCol w:w="1418"/>
        <w:gridCol w:w="1417"/>
        <w:gridCol w:w="1418"/>
      </w:tblGrid>
      <w:tr w:rsidR="00955A27" w:rsidRPr="001667DB" w14:paraId="4D5A17FE" w14:textId="77777777" w:rsidTr="001B4B8F">
        <w:tc>
          <w:tcPr>
            <w:tcW w:w="663" w:type="dxa"/>
            <w:vMerge w:val="restart"/>
            <w:tcBorders>
              <w:right w:val="nil"/>
            </w:tcBorders>
          </w:tcPr>
          <w:p w14:paraId="4FD49353"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2924B1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981" w:type="dxa"/>
            <w:vMerge w:val="restart"/>
            <w:tcBorders>
              <w:left w:val="nil"/>
            </w:tcBorders>
          </w:tcPr>
          <w:p w14:paraId="7FC6708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AD7971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4253" w:type="dxa"/>
            <w:gridSpan w:val="3"/>
          </w:tcPr>
          <w:p w14:paraId="3BCC92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 zależności </w:t>
            </w:r>
          </w:p>
          <w:p w14:paraId="322841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kategorii ruchu</w:t>
            </w:r>
          </w:p>
        </w:tc>
      </w:tr>
      <w:tr w:rsidR="00955A27" w:rsidRPr="001667DB" w14:paraId="5B52B75D" w14:textId="77777777" w:rsidTr="001B4B8F">
        <w:tc>
          <w:tcPr>
            <w:tcW w:w="663" w:type="dxa"/>
            <w:vMerge/>
            <w:tcBorders>
              <w:right w:val="nil"/>
            </w:tcBorders>
          </w:tcPr>
          <w:p w14:paraId="14575CA5"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981" w:type="dxa"/>
            <w:vMerge/>
            <w:tcBorders>
              <w:left w:val="nil"/>
            </w:tcBorders>
          </w:tcPr>
          <w:p w14:paraId="7689D298"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418" w:type="dxa"/>
          </w:tcPr>
          <w:p w14:paraId="20611B5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KR2</w:t>
            </w:r>
          </w:p>
        </w:tc>
        <w:tc>
          <w:tcPr>
            <w:tcW w:w="1417" w:type="dxa"/>
          </w:tcPr>
          <w:p w14:paraId="48619CE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KR4</w:t>
            </w:r>
          </w:p>
        </w:tc>
        <w:tc>
          <w:tcPr>
            <w:tcW w:w="1418" w:type="dxa"/>
          </w:tcPr>
          <w:p w14:paraId="63CD701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KR7</w:t>
            </w:r>
          </w:p>
        </w:tc>
      </w:tr>
      <w:tr w:rsidR="00955A27" w:rsidRPr="001667DB" w14:paraId="2770D945" w14:textId="77777777" w:rsidTr="001B4B8F">
        <w:tc>
          <w:tcPr>
            <w:tcW w:w="663" w:type="dxa"/>
          </w:tcPr>
          <w:p w14:paraId="0F5158C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w:t>
            </w:r>
          </w:p>
        </w:tc>
        <w:tc>
          <w:tcPr>
            <w:tcW w:w="3981" w:type="dxa"/>
          </w:tcPr>
          <w:p w14:paraId="3EC7BD0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według PN-EN 933-1[6], wymagana kategoria:</w:t>
            </w:r>
          </w:p>
        </w:tc>
        <w:tc>
          <w:tcPr>
            <w:tcW w:w="4253" w:type="dxa"/>
            <w:gridSpan w:val="3"/>
            <w:vAlign w:val="center"/>
          </w:tcPr>
          <w:p w14:paraId="0FAAD3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 lub 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r>
      <w:tr w:rsidR="00955A27" w:rsidRPr="001667DB" w14:paraId="2261B2B0" w14:textId="77777777" w:rsidTr="001B4B8F">
        <w:tc>
          <w:tcPr>
            <w:tcW w:w="663" w:type="dxa"/>
          </w:tcPr>
          <w:p w14:paraId="2F4C039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981" w:type="dxa"/>
          </w:tcPr>
          <w:p w14:paraId="12324AF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Tolerancja uziarnienia; odchylenie nie większe niż według kategorii:</w:t>
            </w:r>
          </w:p>
        </w:tc>
        <w:tc>
          <w:tcPr>
            <w:tcW w:w="1418" w:type="dxa"/>
          </w:tcPr>
          <w:p w14:paraId="2E72A56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NR</w:t>
            </w:r>
          </w:p>
        </w:tc>
        <w:tc>
          <w:tcPr>
            <w:tcW w:w="1417" w:type="dxa"/>
            <w:vAlign w:val="center"/>
          </w:tcPr>
          <w:p w14:paraId="7F40E2D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20</w:t>
            </w:r>
          </w:p>
        </w:tc>
        <w:tc>
          <w:tcPr>
            <w:tcW w:w="1418" w:type="dxa"/>
          </w:tcPr>
          <w:p w14:paraId="774B64A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20</w:t>
            </w:r>
          </w:p>
        </w:tc>
      </w:tr>
      <w:tr w:rsidR="00955A27" w:rsidRPr="001667DB" w14:paraId="6C65846B" w14:textId="77777777" w:rsidTr="001B4B8F">
        <w:tc>
          <w:tcPr>
            <w:tcW w:w="663" w:type="dxa"/>
          </w:tcPr>
          <w:p w14:paraId="1910D73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981" w:type="dxa"/>
          </w:tcPr>
          <w:p w14:paraId="361C30B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według PN-EN 933-1 [6], kategoria nie wyższa niż:</w:t>
            </w:r>
          </w:p>
        </w:tc>
        <w:tc>
          <w:tcPr>
            <w:tcW w:w="4253" w:type="dxa"/>
            <w:gridSpan w:val="3"/>
            <w:vAlign w:val="center"/>
          </w:tcPr>
          <w:p w14:paraId="7284D17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A6"/>
            </w:r>
            <w:r w:rsidRPr="001667DB">
              <w:rPr>
                <w:rFonts w:ascii="Times New Roman" w:hAnsi="Times New Roman" w:cs="Times New Roman"/>
                <w:color w:val="000000" w:themeColor="text1"/>
                <w:vertAlign w:val="subscript"/>
              </w:rPr>
              <w:t>16</w:t>
            </w:r>
          </w:p>
        </w:tc>
      </w:tr>
      <w:tr w:rsidR="00955A27" w:rsidRPr="001667DB" w14:paraId="0D1A348B" w14:textId="77777777" w:rsidTr="001B4B8F">
        <w:tc>
          <w:tcPr>
            <w:tcW w:w="663" w:type="dxa"/>
          </w:tcPr>
          <w:p w14:paraId="0D95FF2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981" w:type="dxa"/>
          </w:tcPr>
          <w:p w14:paraId="4E6B10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Jakość pyłów według PN-EN 933-9 [11]; kategoria nie wyższa niż:</w:t>
            </w:r>
          </w:p>
        </w:tc>
        <w:tc>
          <w:tcPr>
            <w:tcW w:w="4253" w:type="dxa"/>
            <w:gridSpan w:val="3"/>
            <w:vAlign w:val="center"/>
          </w:tcPr>
          <w:p w14:paraId="7C52BC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147CB4F9" w14:textId="77777777" w:rsidTr="001B4B8F">
        <w:tc>
          <w:tcPr>
            <w:tcW w:w="663" w:type="dxa"/>
          </w:tcPr>
          <w:p w14:paraId="415E6ED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981" w:type="dxa"/>
          </w:tcPr>
          <w:p w14:paraId="5ECE3C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Kanciastość kruszywa drobnego według PN-EN 933-6 [10], rozdz. 8, kategoria nie niższa niż:</w:t>
            </w:r>
          </w:p>
        </w:tc>
        <w:tc>
          <w:tcPr>
            <w:tcW w:w="1418" w:type="dxa"/>
            <w:vAlign w:val="center"/>
          </w:tcPr>
          <w:p w14:paraId="28E8E03A"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E</w:t>
            </w:r>
            <w:r w:rsidRPr="001667DB">
              <w:rPr>
                <w:rFonts w:ascii="Times New Roman" w:hAnsi="Times New Roman" w:cs="Times New Roman"/>
                <w:color w:val="000000" w:themeColor="text1"/>
                <w:vertAlign w:val="subscript"/>
              </w:rPr>
              <w:t>cs</w:t>
            </w:r>
            <w:r w:rsidRPr="001667DB">
              <w:rPr>
                <w:rFonts w:ascii="Times New Roman" w:hAnsi="Times New Roman" w:cs="Times New Roman"/>
                <w:color w:val="000000" w:themeColor="text1"/>
              </w:rPr>
              <w:t>Deklaro-wana</w:t>
            </w:r>
          </w:p>
        </w:tc>
        <w:tc>
          <w:tcPr>
            <w:tcW w:w="1417" w:type="dxa"/>
            <w:vAlign w:val="center"/>
          </w:tcPr>
          <w:p w14:paraId="08EEC72C"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E</w:t>
            </w:r>
            <w:r w:rsidRPr="001667DB">
              <w:rPr>
                <w:rFonts w:ascii="Times New Roman" w:hAnsi="Times New Roman" w:cs="Times New Roman"/>
                <w:i/>
                <w:color w:val="000000" w:themeColor="text1"/>
                <w:vertAlign w:val="subscript"/>
              </w:rPr>
              <w:t>CS</w:t>
            </w:r>
            <w:r w:rsidRPr="001667DB">
              <w:rPr>
                <w:rFonts w:ascii="Times New Roman" w:hAnsi="Times New Roman" w:cs="Times New Roman"/>
                <w:color w:val="000000" w:themeColor="text1"/>
              </w:rPr>
              <w:t>30</w:t>
            </w:r>
          </w:p>
        </w:tc>
        <w:tc>
          <w:tcPr>
            <w:tcW w:w="1418" w:type="dxa"/>
            <w:vAlign w:val="center"/>
          </w:tcPr>
          <w:p w14:paraId="4B5B9C01"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E</w:t>
            </w:r>
            <w:r w:rsidRPr="001667DB">
              <w:rPr>
                <w:rFonts w:ascii="Times New Roman" w:hAnsi="Times New Roman" w:cs="Times New Roman"/>
                <w:i/>
                <w:color w:val="000000" w:themeColor="text1"/>
                <w:vertAlign w:val="subscript"/>
              </w:rPr>
              <w:t>CS</w:t>
            </w:r>
            <w:r w:rsidRPr="001667DB">
              <w:rPr>
                <w:rFonts w:ascii="Times New Roman" w:hAnsi="Times New Roman" w:cs="Times New Roman"/>
                <w:color w:val="000000" w:themeColor="text1"/>
              </w:rPr>
              <w:t>30</w:t>
            </w:r>
          </w:p>
        </w:tc>
      </w:tr>
      <w:tr w:rsidR="00955A27" w:rsidRPr="001667DB" w14:paraId="0B683F54" w14:textId="77777777" w:rsidTr="001B4B8F">
        <w:tc>
          <w:tcPr>
            <w:tcW w:w="663" w:type="dxa"/>
          </w:tcPr>
          <w:p w14:paraId="0F37696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981" w:type="dxa"/>
          </w:tcPr>
          <w:p w14:paraId="5BD48A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ziaren według PN-EN 1097-6 [17], rozdz. 7, 8 lub 9:</w:t>
            </w:r>
          </w:p>
        </w:tc>
        <w:tc>
          <w:tcPr>
            <w:tcW w:w="4253" w:type="dxa"/>
            <w:gridSpan w:val="3"/>
            <w:vAlign w:val="center"/>
          </w:tcPr>
          <w:p w14:paraId="03E1E05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4E47F779" w14:textId="77777777" w:rsidTr="001B4B8F">
        <w:tc>
          <w:tcPr>
            <w:tcW w:w="663" w:type="dxa"/>
          </w:tcPr>
          <w:p w14:paraId="395225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981" w:type="dxa"/>
          </w:tcPr>
          <w:p w14:paraId="1F69EB6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Nasiąkliwość według PN-EN 1097-6 [17], rozdz. 7, 8 lub 9</w:t>
            </w:r>
          </w:p>
        </w:tc>
        <w:tc>
          <w:tcPr>
            <w:tcW w:w="4253" w:type="dxa"/>
            <w:gridSpan w:val="3"/>
            <w:vAlign w:val="center"/>
          </w:tcPr>
          <w:p w14:paraId="3D7861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18320051" w14:textId="77777777" w:rsidTr="001B4B8F">
        <w:tc>
          <w:tcPr>
            <w:tcW w:w="663" w:type="dxa"/>
          </w:tcPr>
          <w:p w14:paraId="39EDBDB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981" w:type="dxa"/>
          </w:tcPr>
          <w:p w14:paraId="7092F5E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4253" w:type="dxa"/>
            <w:gridSpan w:val="3"/>
            <w:vAlign w:val="center"/>
          </w:tcPr>
          <w:p w14:paraId="50EFBC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0,1</w:t>
            </w:r>
          </w:p>
        </w:tc>
      </w:tr>
    </w:tbl>
    <w:p w14:paraId="5142E510" w14:textId="77777777" w:rsidR="00955A27" w:rsidRPr="001667DB" w:rsidRDefault="00955A27" w:rsidP="00955A27">
      <w:pPr>
        <w:spacing w:after="120" w:line="360" w:lineRule="auto"/>
        <w:rPr>
          <w:rFonts w:ascii="Times New Roman" w:hAnsi="Times New Roman" w:cs="Times New Roman"/>
          <w:color w:val="000000" w:themeColor="text1"/>
        </w:rPr>
      </w:pPr>
    </w:p>
    <w:p w14:paraId="0E5A7527" w14:textId="77777777" w:rsidR="00955A27" w:rsidRPr="001667DB" w:rsidRDefault="00955A27" w:rsidP="00955A27">
      <w:pPr>
        <w:shd w:val="clear" w:color="auto" w:fill="FFFFFF"/>
        <w:spacing w:after="120" w:line="360" w:lineRule="auto"/>
        <w:ind w:left="480" w:hanging="480"/>
        <w:rPr>
          <w:rFonts w:ascii="Times New Roman" w:hAnsi="Times New Roman" w:cs="Times New Roman"/>
          <w:color w:val="000000" w:themeColor="text1"/>
        </w:rPr>
      </w:pPr>
      <w:r w:rsidRPr="001667DB">
        <w:rPr>
          <w:rFonts w:ascii="Times New Roman" w:hAnsi="Times New Roman" w:cs="Times New Roman"/>
          <w:color w:val="000000" w:themeColor="text1"/>
        </w:rPr>
        <w:t>d) Kruszywo o ciągłym uziarnieniu  do podbudowy  z betonu asfaltowego  powinno spełniać wymagania podane w tablicy  9.</w:t>
      </w:r>
    </w:p>
    <w:p w14:paraId="3F4D0095" w14:textId="77777777" w:rsidR="00955A27" w:rsidRPr="001667DB" w:rsidRDefault="00955A27" w:rsidP="00955A27">
      <w:pPr>
        <w:spacing w:before="120" w:after="120" w:line="360" w:lineRule="auto"/>
        <w:ind w:left="1202" w:hanging="1202"/>
        <w:rPr>
          <w:rFonts w:ascii="Times New Roman" w:hAnsi="Times New Roman" w:cs="Times New Roman"/>
          <w:color w:val="000000" w:themeColor="text1"/>
        </w:rPr>
      </w:pPr>
      <w:r w:rsidRPr="001667DB">
        <w:rPr>
          <w:rFonts w:ascii="Times New Roman" w:hAnsi="Times New Roman" w:cs="Times New Roman"/>
          <w:color w:val="000000" w:themeColor="text1"/>
        </w:rPr>
        <w:t>Tablica 9. Wymagane właściwości kruszywa o ciągłym uziarnieniu do podbudowy  z betonu asfaltowego</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9"/>
        <w:gridCol w:w="3960"/>
        <w:gridCol w:w="1418"/>
        <w:gridCol w:w="1417"/>
        <w:gridCol w:w="1418"/>
      </w:tblGrid>
      <w:tr w:rsidR="00955A27" w:rsidRPr="001667DB" w14:paraId="1A4B7B7F" w14:textId="77777777" w:rsidTr="001B4B8F">
        <w:tc>
          <w:tcPr>
            <w:tcW w:w="567" w:type="dxa"/>
            <w:vMerge w:val="restart"/>
          </w:tcPr>
          <w:p w14:paraId="081C1C7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97BB3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969" w:type="dxa"/>
            <w:gridSpan w:val="2"/>
            <w:vMerge w:val="restart"/>
          </w:tcPr>
          <w:p w14:paraId="598FF22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24A920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4253" w:type="dxa"/>
            <w:gridSpan w:val="3"/>
          </w:tcPr>
          <w:p w14:paraId="01CFC1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955A27" w:rsidRPr="001667DB" w14:paraId="71B35D75" w14:textId="77777777" w:rsidTr="001B4B8F">
        <w:tc>
          <w:tcPr>
            <w:tcW w:w="567" w:type="dxa"/>
            <w:vMerge/>
          </w:tcPr>
          <w:p w14:paraId="5CCD7851"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969" w:type="dxa"/>
            <w:gridSpan w:val="2"/>
            <w:vMerge/>
          </w:tcPr>
          <w:p w14:paraId="518DB50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418" w:type="dxa"/>
          </w:tcPr>
          <w:p w14:paraId="4467A47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KR2</w:t>
            </w:r>
          </w:p>
        </w:tc>
        <w:tc>
          <w:tcPr>
            <w:tcW w:w="1417" w:type="dxa"/>
          </w:tcPr>
          <w:p w14:paraId="571E376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KR4</w:t>
            </w:r>
          </w:p>
        </w:tc>
        <w:tc>
          <w:tcPr>
            <w:tcW w:w="1418" w:type="dxa"/>
          </w:tcPr>
          <w:p w14:paraId="3D40957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KR7</w:t>
            </w:r>
          </w:p>
        </w:tc>
      </w:tr>
      <w:tr w:rsidR="00955A27" w:rsidRPr="001667DB" w14:paraId="454734D5" w14:textId="77777777" w:rsidTr="001B4B8F">
        <w:tc>
          <w:tcPr>
            <w:tcW w:w="576" w:type="dxa"/>
            <w:gridSpan w:val="2"/>
          </w:tcPr>
          <w:p w14:paraId="0915402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960" w:type="dxa"/>
            <w:vAlign w:val="center"/>
          </w:tcPr>
          <w:p w14:paraId="0F4BBCC4"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Uziarnienie według PN-EN 933-1[6]; kategoria nie niższa niż:</w:t>
            </w:r>
          </w:p>
        </w:tc>
        <w:tc>
          <w:tcPr>
            <w:tcW w:w="1418" w:type="dxa"/>
          </w:tcPr>
          <w:p w14:paraId="67956A7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c>
          <w:tcPr>
            <w:tcW w:w="1417" w:type="dxa"/>
          </w:tcPr>
          <w:p w14:paraId="6A21569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c>
          <w:tcPr>
            <w:tcW w:w="1418" w:type="dxa"/>
          </w:tcPr>
          <w:p w14:paraId="1C034A5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r>
      <w:tr w:rsidR="00955A27" w:rsidRPr="001667DB" w14:paraId="420E2626" w14:textId="77777777" w:rsidTr="001B4B8F">
        <w:tc>
          <w:tcPr>
            <w:tcW w:w="576" w:type="dxa"/>
            <w:gridSpan w:val="2"/>
          </w:tcPr>
          <w:p w14:paraId="57C2B1A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960" w:type="dxa"/>
            <w:vAlign w:val="center"/>
          </w:tcPr>
          <w:p w14:paraId="63276C66"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Zawartość pyłów według PN-EN 933-1 [6]; kategoria nie wyższa niż:</w:t>
            </w:r>
          </w:p>
        </w:tc>
        <w:tc>
          <w:tcPr>
            <w:tcW w:w="1418" w:type="dxa"/>
          </w:tcPr>
          <w:p w14:paraId="7A767F7C" w14:textId="77777777" w:rsidR="00955A27" w:rsidRPr="001667DB" w:rsidRDefault="00955A27" w:rsidP="00955A27">
            <w:pPr>
              <w:spacing w:before="120"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16</w:t>
            </w:r>
          </w:p>
        </w:tc>
        <w:tc>
          <w:tcPr>
            <w:tcW w:w="1417" w:type="dxa"/>
          </w:tcPr>
          <w:p w14:paraId="2F05B09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16</w:t>
            </w:r>
          </w:p>
        </w:tc>
        <w:tc>
          <w:tcPr>
            <w:tcW w:w="1418" w:type="dxa"/>
          </w:tcPr>
          <w:p w14:paraId="08550E3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16</w:t>
            </w:r>
          </w:p>
        </w:tc>
      </w:tr>
      <w:tr w:rsidR="00955A27" w:rsidRPr="001667DB" w14:paraId="3865C238" w14:textId="77777777" w:rsidTr="001B4B8F">
        <w:tc>
          <w:tcPr>
            <w:tcW w:w="576" w:type="dxa"/>
            <w:gridSpan w:val="2"/>
          </w:tcPr>
          <w:p w14:paraId="33DA4A0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960" w:type="dxa"/>
            <w:vAlign w:val="center"/>
          </w:tcPr>
          <w:p w14:paraId="5857FB83"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Zawartość pyłów według PN-EN 933-9 [11]; kategoria nie wyższa niż:</w:t>
            </w:r>
          </w:p>
        </w:tc>
        <w:tc>
          <w:tcPr>
            <w:tcW w:w="1418" w:type="dxa"/>
          </w:tcPr>
          <w:p w14:paraId="4258B72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c>
          <w:tcPr>
            <w:tcW w:w="1417" w:type="dxa"/>
          </w:tcPr>
          <w:p w14:paraId="6077B9A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c>
          <w:tcPr>
            <w:tcW w:w="1418" w:type="dxa"/>
          </w:tcPr>
          <w:p w14:paraId="6C19E4A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36089908" w14:textId="77777777" w:rsidTr="001B4B8F">
        <w:tc>
          <w:tcPr>
            <w:tcW w:w="576" w:type="dxa"/>
            <w:gridSpan w:val="2"/>
          </w:tcPr>
          <w:p w14:paraId="32D8B962"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4</w:t>
            </w:r>
          </w:p>
        </w:tc>
        <w:tc>
          <w:tcPr>
            <w:tcW w:w="3960" w:type="dxa"/>
            <w:vAlign w:val="center"/>
          </w:tcPr>
          <w:p w14:paraId="3F4CB2AD"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Kształt kruszywa według PN-EN 933-3[7] lub według PN-EN 933-4 [8]; kategoria nie wyższa niż:</w:t>
            </w:r>
          </w:p>
        </w:tc>
        <w:tc>
          <w:tcPr>
            <w:tcW w:w="1418" w:type="dxa"/>
          </w:tcPr>
          <w:p w14:paraId="7C6F7B06"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BCF8FC3"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50</w:t>
            </w:r>
          </w:p>
        </w:tc>
        <w:tc>
          <w:tcPr>
            <w:tcW w:w="1417" w:type="dxa"/>
          </w:tcPr>
          <w:p w14:paraId="44CB0BF9"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3C972B05"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30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30</w:t>
            </w:r>
          </w:p>
        </w:tc>
        <w:tc>
          <w:tcPr>
            <w:tcW w:w="1418" w:type="dxa"/>
            <w:vAlign w:val="center"/>
          </w:tcPr>
          <w:p w14:paraId="0E5A374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30</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30</w:t>
            </w:r>
          </w:p>
        </w:tc>
      </w:tr>
      <w:tr w:rsidR="00955A27" w:rsidRPr="001667DB" w14:paraId="61027836" w14:textId="77777777" w:rsidTr="001B4B8F">
        <w:tc>
          <w:tcPr>
            <w:tcW w:w="576" w:type="dxa"/>
            <w:gridSpan w:val="2"/>
          </w:tcPr>
          <w:p w14:paraId="02E39EC1"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960" w:type="dxa"/>
            <w:vAlign w:val="center"/>
          </w:tcPr>
          <w:p w14:paraId="714DF33B"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Procentowa zawartość ziaren o powierzchni przekruszonej i łamanej w kruszywie grubym według PN-EN 933-5 [9]; kategoria nie niższa niż:</w:t>
            </w:r>
          </w:p>
        </w:tc>
        <w:tc>
          <w:tcPr>
            <w:tcW w:w="1418" w:type="dxa"/>
          </w:tcPr>
          <w:p w14:paraId="56790337" w14:textId="77777777" w:rsidR="00955A27" w:rsidRPr="001667DB" w:rsidRDefault="00955A27" w:rsidP="00955A27">
            <w:pPr>
              <w:spacing w:before="120" w:after="120" w:line="360" w:lineRule="auto"/>
              <w:rPr>
                <w:rFonts w:ascii="Times New Roman" w:hAnsi="Times New Roman" w:cs="Times New Roman"/>
                <w:color w:val="000000" w:themeColor="text1"/>
              </w:rPr>
            </w:pPr>
          </w:p>
          <w:p w14:paraId="7B7D2B38" w14:textId="77777777" w:rsidR="00955A27" w:rsidRPr="001667DB" w:rsidRDefault="00955A27" w:rsidP="00955A27">
            <w:pPr>
              <w:spacing w:before="120" w:after="120" w:line="360" w:lineRule="auto"/>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C</w:t>
            </w:r>
            <w:r w:rsidRPr="001667DB">
              <w:rPr>
                <w:rFonts w:ascii="Times New Roman" w:hAnsi="Times New Roman" w:cs="Times New Roman"/>
                <w:color w:val="000000" w:themeColor="text1"/>
                <w:vertAlign w:val="subscript"/>
              </w:rPr>
              <w:t>Deklarowana</w:t>
            </w:r>
          </w:p>
        </w:tc>
        <w:tc>
          <w:tcPr>
            <w:tcW w:w="1417" w:type="dxa"/>
          </w:tcPr>
          <w:p w14:paraId="0BF0062C" w14:textId="77777777" w:rsidR="00955A27" w:rsidRPr="001667DB" w:rsidRDefault="00955A27" w:rsidP="00955A27">
            <w:pPr>
              <w:spacing w:before="120" w:after="120" w:line="360" w:lineRule="auto"/>
              <w:rPr>
                <w:rFonts w:ascii="Times New Roman" w:hAnsi="Times New Roman" w:cs="Times New Roman"/>
                <w:b/>
                <w:color w:val="000000" w:themeColor="text1"/>
              </w:rPr>
            </w:pPr>
          </w:p>
          <w:p w14:paraId="12297F28"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C</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vertAlign w:val="subscript"/>
              </w:rPr>
              <w:t>/30</w:t>
            </w:r>
          </w:p>
        </w:tc>
        <w:tc>
          <w:tcPr>
            <w:tcW w:w="1418" w:type="dxa"/>
            <w:vAlign w:val="center"/>
          </w:tcPr>
          <w:p w14:paraId="5CFFEBB5"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C</w:t>
            </w:r>
            <w:r w:rsidRPr="001667DB">
              <w:rPr>
                <w:rFonts w:ascii="Times New Roman" w:hAnsi="Times New Roman" w:cs="Times New Roman"/>
                <w:i/>
                <w:color w:val="000000" w:themeColor="text1"/>
                <w:vertAlign w:val="subscript"/>
              </w:rPr>
              <w:t>50</w:t>
            </w:r>
            <w:r w:rsidRPr="001667DB">
              <w:rPr>
                <w:rFonts w:ascii="Times New Roman" w:hAnsi="Times New Roman" w:cs="Times New Roman"/>
                <w:color w:val="000000" w:themeColor="text1"/>
                <w:vertAlign w:val="subscript"/>
              </w:rPr>
              <w:t>/30</w:t>
            </w:r>
          </w:p>
        </w:tc>
      </w:tr>
      <w:tr w:rsidR="00955A27" w:rsidRPr="001667DB" w14:paraId="25B8E785" w14:textId="77777777" w:rsidTr="001B4B8F">
        <w:trPr>
          <w:trHeight w:val="1501"/>
        </w:trPr>
        <w:tc>
          <w:tcPr>
            <w:tcW w:w="576" w:type="dxa"/>
            <w:gridSpan w:val="2"/>
          </w:tcPr>
          <w:p w14:paraId="36CA9A51"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960" w:type="dxa"/>
            <w:vAlign w:val="center"/>
          </w:tcPr>
          <w:p w14:paraId="158EE21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Odporność kruszywa na rozdrabnianie według normy PN-EN 1097-2 [13], badana na kruszywie o wymiarze 10/14, rozdział 5, kategoria nie wyższa niż:</w:t>
            </w:r>
          </w:p>
        </w:tc>
        <w:tc>
          <w:tcPr>
            <w:tcW w:w="1418" w:type="dxa"/>
          </w:tcPr>
          <w:p w14:paraId="2583EC23" w14:textId="77777777" w:rsidR="00955A27" w:rsidRPr="001667DB" w:rsidRDefault="00955A27" w:rsidP="00955A27">
            <w:pPr>
              <w:spacing w:before="120" w:after="120" w:line="360" w:lineRule="auto"/>
              <w:jc w:val="center"/>
              <w:rPr>
                <w:rFonts w:ascii="Times New Roman" w:hAnsi="Times New Roman" w:cs="Times New Roman"/>
                <w:i/>
                <w:color w:val="000000" w:themeColor="text1"/>
              </w:rPr>
            </w:pPr>
          </w:p>
          <w:p w14:paraId="5106D082" w14:textId="77777777" w:rsidR="00955A27" w:rsidRPr="001667DB" w:rsidRDefault="00955A27" w:rsidP="00955A27">
            <w:pPr>
              <w:spacing w:before="120"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LA</w:t>
            </w:r>
            <w:r w:rsidRPr="001667DB">
              <w:rPr>
                <w:rFonts w:ascii="Times New Roman" w:hAnsi="Times New Roman" w:cs="Times New Roman"/>
                <w:i/>
                <w:color w:val="000000" w:themeColor="text1"/>
                <w:vertAlign w:val="subscript"/>
              </w:rPr>
              <w:t>50</w:t>
            </w:r>
          </w:p>
        </w:tc>
        <w:tc>
          <w:tcPr>
            <w:tcW w:w="1417" w:type="dxa"/>
          </w:tcPr>
          <w:p w14:paraId="0D79E43F" w14:textId="77777777" w:rsidR="00955A27" w:rsidRPr="001667DB" w:rsidRDefault="00955A27" w:rsidP="00955A27">
            <w:pPr>
              <w:spacing w:before="120" w:after="120" w:line="360" w:lineRule="auto"/>
              <w:jc w:val="center"/>
              <w:rPr>
                <w:rFonts w:ascii="Times New Roman" w:hAnsi="Times New Roman" w:cs="Times New Roman"/>
                <w:i/>
                <w:color w:val="000000" w:themeColor="text1"/>
              </w:rPr>
            </w:pPr>
          </w:p>
          <w:p w14:paraId="1835F046"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LA</w:t>
            </w:r>
            <w:r w:rsidRPr="001667DB">
              <w:rPr>
                <w:rFonts w:ascii="Times New Roman" w:hAnsi="Times New Roman" w:cs="Times New Roman"/>
                <w:i/>
                <w:color w:val="000000" w:themeColor="text1"/>
                <w:vertAlign w:val="subscript"/>
              </w:rPr>
              <w:t>40</w:t>
            </w:r>
          </w:p>
        </w:tc>
        <w:tc>
          <w:tcPr>
            <w:tcW w:w="1418" w:type="dxa"/>
          </w:tcPr>
          <w:p w14:paraId="684F676C" w14:textId="77777777" w:rsidR="00955A27" w:rsidRPr="001667DB" w:rsidRDefault="00955A27" w:rsidP="00955A27">
            <w:pPr>
              <w:spacing w:before="120" w:after="120" w:line="360" w:lineRule="auto"/>
              <w:jc w:val="center"/>
              <w:rPr>
                <w:rFonts w:ascii="Times New Roman" w:hAnsi="Times New Roman" w:cs="Times New Roman"/>
                <w:i/>
                <w:color w:val="000000" w:themeColor="text1"/>
              </w:rPr>
            </w:pPr>
          </w:p>
          <w:p w14:paraId="493F8AB4"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LA</w:t>
            </w:r>
            <w:r w:rsidRPr="001667DB">
              <w:rPr>
                <w:rFonts w:ascii="Times New Roman" w:hAnsi="Times New Roman" w:cs="Times New Roman"/>
                <w:color w:val="000000" w:themeColor="text1"/>
                <w:vertAlign w:val="subscript"/>
              </w:rPr>
              <w:t>40</w:t>
            </w:r>
          </w:p>
        </w:tc>
      </w:tr>
      <w:tr w:rsidR="00955A27" w:rsidRPr="001667DB" w14:paraId="66E54C56" w14:textId="77777777" w:rsidTr="001B4B8F">
        <w:trPr>
          <w:trHeight w:val="696"/>
        </w:trPr>
        <w:tc>
          <w:tcPr>
            <w:tcW w:w="576" w:type="dxa"/>
            <w:gridSpan w:val="2"/>
          </w:tcPr>
          <w:p w14:paraId="4196A1C6"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960" w:type="dxa"/>
          </w:tcPr>
          <w:p w14:paraId="4AC8F53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Gęstość ziaren według PN-EN 1097-6 [17], rozdział 7, 8 lub 9:</w:t>
            </w:r>
          </w:p>
        </w:tc>
        <w:tc>
          <w:tcPr>
            <w:tcW w:w="4253" w:type="dxa"/>
            <w:gridSpan w:val="3"/>
            <w:vAlign w:val="center"/>
          </w:tcPr>
          <w:p w14:paraId="1A73C8A6"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955A27" w:rsidRPr="001667DB" w14:paraId="32618187" w14:textId="77777777" w:rsidTr="001B4B8F">
        <w:tc>
          <w:tcPr>
            <w:tcW w:w="576" w:type="dxa"/>
            <w:gridSpan w:val="2"/>
          </w:tcPr>
          <w:p w14:paraId="05AE7CC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960" w:type="dxa"/>
          </w:tcPr>
          <w:p w14:paraId="11F48EBF"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Nasiąkliwość według PN-EN 1097-6 [17], rozdział 7, 8 lub 9:</w:t>
            </w:r>
          </w:p>
        </w:tc>
        <w:tc>
          <w:tcPr>
            <w:tcW w:w="4253" w:type="dxa"/>
            <w:gridSpan w:val="3"/>
            <w:vAlign w:val="center"/>
          </w:tcPr>
          <w:p w14:paraId="6E14E351"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955A27" w:rsidRPr="001667DB" w14:paraId="17607E87" w14:textId="77777777" w:rsidTr="001B4B8F">
        <w:tc>
          <w:tcPr>
            <w:tcW w:w="576" w:type="dxa"/>
            <w:gridSpan w:val="2"/>
          </w:tcPr>
          <w:p w14:paraId="61B2EF7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960" w:type="dxa"/>
          </w:tcPr>
          <w:p w14:paraId="289A40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nasypowa wg PN-EN 1097-3 [14]</w:t>
            </w:r>
          </w:p>
        </w:tc>
        <w:tc>
          <w:tcPr>
            <w:tcW w:w="4253" w:type="dxa"/>
            <w:gridSpan w:val="3"/>
            <w:vAlign w:val="center"/>
          </w:tcPr>
          <w:p w14:paraId="40B914D1"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955A27" w:rsidRPr="001667DB" w14:paraId="7C523B9E" w14:textId="77777777" w:rsidTr="001B4B8F">
        <w:tc>
          <w:tcPr>
            <w:tcW w:w="576" w:type="dxa"/>
            <w:gridSpan w:val="2"/>
          </w:tcPr>
          <w:p w14:paraId="6BE2CA6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960" w:type="dxa"/>
            <w:vAlign w:val="center"/>
          </w:tcPr>
          <w:p w14:paraId="767B7E39"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Mrozoodporność według PN-EN 1367-1 [19], badana na kruszywie 8/11, 11/16 lub 8/16; kategoria nie wyższa niż:</w:t>
            </w:r>
          </w:p>
        </w:tc>
        <w:tc>
          <w:tcPr>
            <w:tcW w:w="1418" w:type="dxa"/>
          </w:tcPr>
          <w:p w14:paraId="7AA64285"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752E539"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c>
          <w:tcPr>
            <w:tcW w:w="1417" w:type="dxa"/>
          </w:tcPr>
          <w:p w14:paraId="22308DC1"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3BBAFA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c>
          <w:tcPr>
            <w:tcW w:w="1418" w:type="dxa"/>
          </w:tcPr>
          <w:p w14:paraId="0F3B4F2C"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7158F23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i/>
                <w:color w:val="000000" w:themeColor="text1"/>
                <w:vertAlign w:val="subscript"/>
              </w:rPr>
              <w:t>4</w:t>
            </w:r>
          </w:p>
        </w:tc>
      </w:tr>
      <w:tr w:rsidR="00955A27" w:rsidRPr="001667DB" w14:paraId="24D222C9" w14:textId="77777777" w:rsidTr="001B4B8F">
        <w:tc>
          <w:tcPr>
            <w:tcW w:w="576" w:type="dxa"/>
            <w:gridSpan w:val="2"/>
          </w:tcPr>
          <w:p w14:paraId="79C6096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960" w:type="dxa"/>
            <w:vAlign w:val="center"/>
          </w:tcPr>
          <w:p w14:paraId="3D6432CD"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„Zgorzel słoneczna” bazaltu według </w:t>
            </w:r>
            <w:r w:rsidRPr="001667DB">
              <w:rPr>
                <w:rFonts w:ascii="Times New Roman" w:hAnsi="Times New Roman" w:cs="Times New Roman"/>
                <w:color w:val="000000" w:themeColor="text1"/>
              </w:rPr>
              <w:br/>
              <w:t>PN-EN 1367-3 [20]; wymagana kategoria:</w:t>
            </w:r>
          </w:p>
        </w:tc>
        <w:tc>
          <w:tcPr>
            <w:tcW w:w="1418" w:type="dxa"/>
          </w:tcPr>
          <w:p w14:paraId="47FDAFB9"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6A4B3075"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c>
          <w:tcPr>
            <w:tcW w:w="1417" w:type="dxa"/>
          </w:tcPr>
          <w:p w14:paraId="618EFA0E"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51BC719"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c>
          <w:tcPr>
            <w:tcW w:w="1418" w:type="dxa"/>
            <w:vAlign w:val="center"/>
          </w:tcPr>
          <w:p w14:paraId="55B1E605"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r>
      <w:tr w:rsidR="00955A27" w:rsidRPr="001667DB" w14:paraId="4064ADD7" w14:textId="77777777" w:rsidTr="001B4B8F">
        <w:tc>
          <w:tcPr>
            <w:tcW w:w="576" w:type="dxa"/>
            <w:gridSpan w:val="2"/>
          </w:tcPr>
          <w:p w14:paraId="2C8D521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960" w:type="dxa"/>
            <w:vAlign w:val="center"/>
          </w:tcPr>
          <w:p w14:paraId="4493D4E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Kanciastość kruszywa drobnego lub kruszywa 0/2 wydzielonego z kruszywa o drobnym uziarnieniu wg PN-EN 933-6 [10], rozdz. 8, kategoria nie niższa niż:</w:t>
            </w:r>
          </w:p>
        </w:tc>
        <w:tc>
          <w:tcPr>
            <w:tcW w:w="1418" w:type="dxa"/>
          </w:tcPr>
          <w:p w14:paraId="765AE4B3"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180497D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CSDeklarowana</w:t>
            </w:r>
          </w:p>
        </w:tc>
        <w:tc>
          <w:tcPr>
            <w:tcW w:w="1417" w:type="dxa"/>
          </w:tcPr>
          <w:p w14:paraId="03430EC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E9A5D5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CS</w:t>
            </w:r>
            <w:r w:rsidRPr="001667DB">
              <w:rPr>
                <w:rFonts w:ascii="Times New Roman" w:hAnsi="Times New Roman" w:cs="Times New Roman"/>
                <w:color w:val="000000" w:themeColor="text1"/>
              </w:rPr>
              <w:t>30</w:t>
            </w:r>
          </w:p>
        </w:tc>
        <w:tc>
          <w:tcPr>
            <w:tcW w:w="1418" w:type="dxa"/>
          </w:tcPr>
          <w:p w14:paraId="42FC31F8"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015D3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w:t>
            </w:r>
            <w:r w:rsidRPr="001667DB">
              <w:rPr>
                <w:rFonts w:ascii="Times New Roman" w:hAnsi="Times New Roman" w:cs="Times New Roman"/>
                <w:color w:val="000000" w:themeColor="text1"/>
                <w:vertAlign w:val="subscript"/>
              </w:rPr>
              <w:t>CS</w:t>
            </w:r>
            <w:r w:rsidRPr="001667DB">
              <w:rPr>
                <w:rFonts w:ascii="Times New Roman" w:hAnsi="Times New Roman" w:cs="Times New Roman"/>
                <w:color w:val="000000" w:themeColor="text1"/>
              </w:rPr>
              <w:t>30</w:t>
            </w:r>
          </w:p>
        </w:tc>
      </w:tr>
      <w:tr w:rsidR="00955A27" w:rsidRPr="001667DB" w14:paraId="43E8633E" w14:textId="77777777" w:rsidTr="001B4B8F">
        <w:tc>
          <w:tcPr>
            <w:tcW w:w="576" w:type="dxa"/>
            <w:gridSpan w:val="2"/>
          </w:tcPr>
          <w:p w14:paraId="716DEF96"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3960" w:type="dxa"/>
            <w:vAlign w:val="center"/>
          </w:tcPr>
          <w:p w14:paraId="218D4F92"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Skład chemiczny – uproszczony opis petrograficzny według PN-EN 932-3 [5]</w:t>
            </w:r>
          </w:p>
        </w:tc>
        <w:tc>
          <w:tcPr>
            <w:tcW w:w="4253" w:type="dxa"/>
            <w:gridSpan w:val="3"/>
          </w:tcPr>
          <w:p w14:paraId="4532541A" w14:textId="77777777" w:rsidR="00955A27" w:rsidRPr="001667DB" w:rsidRDefault="00955A27" w:rsidP="00955A27">
            <w:pPr>
              <w:spacing w:after="120" w:line="360" w:lineRule="auto"/>
              <w:rPr>
                <w:rFonts w:ascii="Times New Roman" w:hAnsi="Times New Roman" w:cs="Times New Roman"/>
                <w:color w:val="000000" w:themeColor="text1"/>
              </w:rPr>
            </w:pPr>
          </w:p>
          <w:p w14:paraId="36D14EE6"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deklarowany przez producenta</w:t>
            </w:r>
          </w:p>
          <w:p w14:paraId="16CCA526" w14:textId="77777777" w:rsidR="00955A27" w:rsidRPr="001667DB" w:rsidRDefault="00955A27" w:rsidP="00955A27">
            <w:pPr>
              <w:spacing w:after="120" w:line="360" w:lineRule="auto"/>
              <w:rPr>
                <w:rFonts w:ascii="Times New Roman" w:hAnsi="Times New Roman" w:cs="Times New Roman"/>
                <w:b/>
                <w:color w:val="000000" w:themeColor="text1"/>
              </w:rPr>
            </w:pPr>
          </w:p>
        </w:tc>
      </w:tr>
      <w:tr w:rsidR="00955A27" w:rsidRPr="001667DB" w14:paraId="6065EA19" w14:textId="77777777" w:rsidTr="001B4B8F">
        <w:tc>
          <w:tcPr>
            <w:tcW w:w="576" w:type="dxa"/>
            <w:gridSpan w:val="2"/>
          </w:tcPr>
          <w:p w14:paraId="45342374"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14</w:t>
            </w:r>
          </w:p>
        </w:tc>
        <w:tc>
          <w:tcPr>
            <w:tcW w:w="3960" w:type="dxa"/>
            <w:vAlign w:val="center"/>
          </w:tcPr>
          <w:p w14:paraId="7C41027D"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1418" w:type="dxa"/>
          </w:tcPr>
          <w:p w14:paraId="65095E15"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336B4264"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c>
          <w:tcPr>
            <w:tcW w:w="1417" w:type="dxa"/>
          </w:tcPr>
          <w:p w14:paraId="34DECC59"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625239E3"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c>
          <w:tcPr>
            <w:tcW w:w="1418" w:type="dxa"/>
            <w:vAlign w:val="center"/>
          </w:tcPr>
          <w:p w14:paraId="0783A537"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r>
      <w:tr w:rsidR="00955A27" w:rsidRPr="001667DB" w14:paraId="275F995C" w14:textId="77777777" w:rsidTr="001B4B8F">
        <w:tc>
          <w:tcPr>
            <w:tcW w:w="576" w:type="dxa"/>
            <w:gridSpan w:val="2"/>
          </w:tcPr>
          <w:p w14:paraId="40D2A6F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3960" w:type="dxa"/>
            <w:vAlign w:val="center"/>
          </w:tcPr>
          <w:p w14:paraId="6C5CEC95"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krzemianowy żużla wielkopie-cowego chłodzonego powietrzem według PN-EN 1744-1[23], p. 19.1:</w:t>
            </w:r>
          </w:p>
        </w:tc>
        <w:tc>
          <w:tcPr>
            <w:tcW w:w="4253" w:type="dxa"/>
            <w:gridSpan w:val="3"/>
            <w:vAlign w:val="center"/>
          </w:tcPr>
          <w:p w14:paraId="43ED0491"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6D51300"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p w14:paraId="6746EF84"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240FAB72" w14:textId="77777777" w:rsidTr="001B4B8F">
        <w:tc>
          <w:tcPr>
            <w:tcW w:w="576" w:type="dxa"/>
            <w:gridSpan w:val="2"/>
          </w:tcPr>
          <w:p w14:paraId="198B224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3960" w:type="dxa"/>
            <w:vAlign w:val="center"/>
          </w:tcPr>
          <w:p w14:paraId="09AFF9E8"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żelazowy żużla wielkopie-cowego chłodzonego powietrzem według PN-EN 1744-1 [23], p. 19.2:</w:t>
            </w:r>
          </w:p>
        </w:tc>
        <w:tc>
          <w:tcPr>
            <w:tcW w:w="4253" w:type="dxa"/>
            <w:gridSpan w:val="3"/>
            <w:vAlign w:val="center"/>
          </w:tcPr>
          <w:p w14:paraId="3F12FE8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6BAE17F"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p w14:paraId="5A69B348" w14:textId="77777777" w:rsidR="00955A27" w:rsidRPr="001667DB" w:rsidRDefault="00955A27" w:rsidP="00955A27">
            <w:pPr>
              <w:spacing w:after="120" w:line="360" w:lineRule="auto"/>
              <w:jc w:val="center"/>
              <w:rPr>
                <w:rFonts w:ascii="Times New Roman" w:hAnsi="Times New Roman" w:cs="Times New Roman"/>
                <w:b/>
                <w:color w:val="000000" w:themeColor="text1"/>
              </w:rPr>
            </w:pPr>
          </w:p>
        </w:tc>
      </w:tr>
      <w:tr w:rsidR="00955A27" w:rsidRPr="001667DB" w14:paraId="3A03B974" w14:textId="77777777" w:rsidTr="001B4B8F">
        <w:tc>
          <w:tcPr>
            <w:tcW w:w="576" w:type="dxa"/>
            <w:gridSpan w:val="2"/>
          </w:tcPr>
          <w:p w14:paraId="0831098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3960" w:type="dxa"/>
            <w:vAlign w:val="center"/>
          </w:tcPr>
          <w:p w14:paraId="5C478D6E"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Stałość objętości kruszywa z żużla stalowniczego według PN-EN 1744-1 [23], p. 19.3; kategoria nie wyższa niż:</w:t>
            </w:r>
          </w:p>
        </w:tc>
        <w:tc>
          <w:tcPr>
            <w:tcW w:w="1418" w:type="dxa"/>
          </w:tcPr>
          <w:p w14:paraId="4009ABCC"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E108E18"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c>
          <w:tcPr>
            <w:tcW w:w="1417" w:type="dxa"/>
          </w:tcPr>
          <w:p w14:paraId="6C281884"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59416C13"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c>
          <w:tcPr>
            <w:tcW w:w="1418" w:type="dxa"/>
            <w:vAlign w:val="center"/>
          </w:tcPr>
          <w:p w14:paraId="3DDBF2F0"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6,5</w:t>
            </w:r>
          </w:p>
        </w:tc>
      </w:tr>
    </w:tbl>
    <w:p w14:paraId="3BEE6FEE" w14:textId="77777777" w:rsidR="00955A27" w:rsidRPr="001667DB" w:rsidRDefault="00955A27" w:rsidP="00955A27">
      <w:pPr>
        <w:spacing w:after="120" w:line="360" w:lineRule="auto"/>
        <w:rPr>
          <w:rFonts w:ascii="Times New Roman" w:hAnsi="Times New Roman" w:cs="Times New Roman"/>
          <w:color w:val="000000" w:themeColor="text1"/>
        </w:rPr>
      </w:pPr>
    </w:p>
    <w:p w14:paraId="4548E0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Uwaga: Dopuszcza się stosowanie kruszywa o ciągłym uziarnieniu jako jeden ze składników mieszanki mineralnej; dla KR3 ÷ KR7 nie dopuszcza się, aby kruszywo o ciągłym uziarnieniu stanowiło 100% zaprojektowanej mieszanki mineralnej.</w:t>
      </w:r>
    </w:p>
    <w:p w14:paraId="17DFC67B" w14:textId="77777777" w:rsidR="00955A27" w:rsidRPr="001667DB" w:rsidRDefault="00955A27" w:rsidP="00955A27">
      <w:pPr>
        <w:spacing w:after="120" w:line="360" w:lineRule="auto"/>
        <w:rPr>
          <w:rFonts w:ascii="Times New Roman" w:hAnsi="Times New Roman" w:cs="Times New Roman"/>
          <w:color w:val="000000" w:themeColor="text1"/>
        </w:rPr>
      </w:pPr>
    </w:p>
    <w:p w14:paraId="7ECE25A9" w14:textId="77777777" w:rsidR="00955A27" w:rsidRPr="001667DB" w:rsidRDefault="00955A27" w:rsidP="00955A27">
      <w:pPr>
        <w:widowControl w:val="0"/>
        <w:spacing w:after="120" w:line="360" w:lineRule="auto"/>
        <w:ind w:left="360" w:right="-57" w:hanging="360"/>
        <w:rPr>
          <w:rFonts w:ascii="Times New Roman" w:hAnsi="Times New Roman" w:cs="Times New Roman"/>
          <w:color w:val="000000" w:themeColor="text1"/>
        </w:rPr>
      </w:pPr>
      <w:r w:rsidRPr="001667DB">
        <w:rPr>
          <w:rFonts w:ascii="Times New Roman" w:hAnsi="Times New Roman" w:cs="Times New Roman"/>
          <w:color w:val="000000" w:themeColor="text1"/>
        </w:rPr>
        <w:t>e) Do podbudowy z betonu asfaltowego, w zależności od kategorii ruchu,  należy stosować wypełniacz spełniający wymagania podane w tablicy 10.</w:t>
      </w:r>
    </w:p>
    <w:p w14:paraId="4587C173"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10. Wymagane właściwości wypełniacza*) do podbudowy  z betonu asfaltowego</w:t>
      </w:r>
    </w:p>
    <w:tbl>
      <w:tblPr>
        <w:tblW w:w="90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28"/>
        <w:gridCol w:w="1320"/>
        <w:gridCol w:w="1389"/>
        <w:gridCol w:w="1336"/>
      </w:tblGrid>
      <w:tr w:rsidR="00955A27" w:rsidRPr="001667DB" w14:paraId="28CE5951" w14:textId="77777777">
        <w:tc>
          <w:tcPr>
            <w:tcW w:w="5028" w:type="dxa"/>
            <w:vMerge w:val="restart"/>
          </w:tcPr>
          <w:p w14:paraId="041538C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D2F5E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4045" w:type="dxa"/>
            <w:gridSpan w:val="3"/>
          </w:tcPr>
          <w:p w14:paraId="5D47DB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955A27" w:rsidRPr="001667DB" w14:paraId="6AC76528" w14:textId="77777777">
        <w:tc>
          <w:tcPr>
            <w:tcW w:w="5028" w:type="dxa"/>
            <w:vMerge/>
          </w:tcPr>
          <w:p w14:paraId="0F452FF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320" w:type="dxa"/>
          </w:tcPr>
          <w:p w14:paraId="6C4D479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KR1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KR2</w:t>
            </w:r>
          </w:p>
        </w:tc>
        <w:tc>
          <w:tcPr>
            <w:tcW w:w="1389" w:type="dxa"/>
          </w:tcPr>
          <w:p w14:paraId="6BC0E65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KR3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KR4</w:t>
            </w:r>
          </w:p>
        </w:tc>
        <w:tc>
          <w:tcPr>
            <w:tcW w:w="1336" w:type="dxa"/>
          </w:tcPr>
          <w:p w14:paraId="62517A2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KR5 </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rPr>
              <w:t xml:space="preserve"> KR7</w:t>
            </w:r>
          </w:p>
        </w:tc>
      </w:tr>
      <w:tr w:rsidR="00955A27" w:rsidRPr="001667DB" w14:paraId="44EA7197" w14:textId="77777777">
        <w:tc>
          <w:tcPr>
            <w:tcW w:w="5028" w:type="dxa"/>
          </w:tcPr>
          <w:p w14:paraId="7E80A491"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według PN-EN 933-10 [12]</w:t>
            </w:r>
          </w:p>
        </w:tc>
        <w:tc>
          <w:tcPr>
            <w:tcW w:w="4045" w:type="dxa"/>
            <w:gridSpan w:val="3"/>
            <w:vAlign w:val="center"/>
          </w:tcPr>
          <w:p w14:paraId="2836446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zgodnie z tablicą 24 w PN-EN 13043 [50]</w:t>
            </w:r>
          </w:p>
        </w:tc>
      </w:tr>
      <w:tr w:rsidR="00955A27" w:rsidRPr="001667DB" w14:paraId="165DC403" w14:textId="77777777">
        <w:tc>
          <w:tcPr>
            <w:tcW w:w="5028" w:type="dxa"/>
          </w:tcPr>
          <w:p w14:paraId="71148FB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Jakość pyłów według PN-EN 933-9 [11]; kategoria nie wyższa niż:</w:t>
            </w:r>
          </w:p>
        </w:tc>
        <w:tc>
          <w:tcPr>
            <w:tcW w:w="4045" w:type="dxa"/>
            <w:gridSpan w:val="3"/>
            <w:vAlign w:val="center"/>
          </w:tcPr>
          <w:p w14:paraId="3CDA1B8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540A93FC" w14:textId="77777777">
        <w:tc>
          <w:tcPr>
            <w:tcW w:w="5028" w:type="dxa"/>
          </w:tcPr>
          <w:p w14:paraId="263557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wody według PN-EN 1097-5 [16], nie wyższa niż:</w:t>
            </w:r>
          </w:p>
        </w:tc>
        <w:tc>
          <w:tcPr>
            <w:tcW w:w="4045" w:type="dxa"/>
            <w:gridSpan w:val="3"/>
            <w:vAlign w:val="center"/>
          </w:tcPr>
          <w:p w14:paraId="6770236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 (m/m)</w:t>
            </w:r>
          </w:p>
        </w:tc>
      </w:tr>
      <w:tr w:rsidR="00955A27" w:rsidRPr="001667DB" w14:paraId="433D17E4" w14:textId="77777777">
        <w:tc>
          <w:tcPr>
            <w:tcW w:w="5028" w:type="dxa"/>
          </w:tcPr>
          <w:p w14:paraId="34DC1086"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ziaren według PN-EN 1097-7 [18]</w:t>
            </w:r>
          </w:p>
        </w:tc>
        <w:tc>
          <w:tcPr>
            <w:tcW w:w="4045" w:type="dxa"/>
            <w:gridSpan w:val="3"/>
            <w:vAlign w:val="center"/>
          </w:tcPr>
          <w:p w14:paraId="7972C6A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3D8B7964" w14:textId="77777777">
        <w:tc>
          <w:tcPr>
            <w:tcW w:w="5028" w:type="dxa"/>
          </w:tcPr>
          <w:p w14:paraId="19CA6A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Wolne przestrzenie w suchym zagęszczonym wypełniaczu według PN-EN 1097-4 [15], wymagana kategoria:</w:t>
            </w:r>
          </w:p>
        </w:tc>
        <w:tc>
          <w:tcPr>
            <w:tcW w:w="4045" w:type="dxa"/>
            <w:gridSpan w:val="3"/>
            <w:vAlign w:val="center"/>
          </w:tcPr>
          <w:p w14:paraId="0562E22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V</w:t>
            </w:r>
            <w:r w:rsidRPr="001667DB">
              <w:rPr>
                <w:rFonts w:ascii="Times New Roman" w:hAnsi="Times New Roman" w:cs="Times New Roman"/>
                <w:color w:val="000000" w:themeColor="text1"/>
                <w:vertAlign w:val="subscript"/>
              </w:rPr>
              <w:t>28/45</w:t>
            </w:r>
          </w:p>
        </w:tc>
      </w:tr>
      <w:tr w:rsidR="00955A27" w:rsidRPr="001667DB" w14:paraId="06B7BCD8" w14:textId="77777777">
        <w:tc>
          <w:tcPr>
            <w:tcW w:w="5028" w:type="dxa"/>
          </w:tcPr>
          <w:p w14:paraId="2ABCCF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Przyrost temperatury mięknienia według PN-EN 13179-1 [56], wymagana kategoria:</w:t>
            </w:r>
          </w:p>
        </w:tc>
        <w:tc>
          <w:tcPr>
            <w:tcW w:w="4045" w:type="dxa"/>
            <w:gridSpan w:val="3"/>
            <w:vAlign w:val="center"/>
          </w:tcPr>
          <w:p w14:paraId="28635B7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44"/>
            </w:r>
            <w:r w:rsidRPr="001667DB">
              <w:rPr>
                <w:rFonts w:ascii="Times New Roman" w:hAnsi="Times New Roman" w:cs="Times New Roman"/>
                <w:color w:val="000000" w:themeColor="text1"/>
                <w:vertAlign w:val="subscript"/>
              </w:rPr>
              <w:t>R&amp;B</w:t>
            </w:r>
            <w:r w:rsidRPr="001667DB">
              <w:rPr>
                <w:rFonts w:ascii="Times New Roman" w:hAnsi="Times New Roman" w:cs="Times New Roman"/>
                <w:color w:val="000000" w:themeColor="text1"/>
              </w:rPr>
              <w:t>8/25</w:t>
            </w:r>
          </w:p>
        </w:tc>
      </w:tr>
      <w:tr w:rsidR="00955A27" w:rsidRPr="001667DB" w14:paraId="12BD79DC" w14:textId="77777777">
        <w:tc>
          <w:tcPr>
            <w:tcW w:w="5028" w:type="dxa"/>
          </w:tcPr>
          <w:p w14:paraId="51D4663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Rozpuszczalność w wodzie według PN-EN 1744-1 [23], kategoria nie wyższa niż:</w:t>
            </w:r>
          </w:p>
        </w:tc>
        <w:tc>
          <w:tcPr>
            <w:tcW w:w="4045" w:type="dxa"/>
            <w:gridSpan w:val="3"/>
            <w:vAlign w:val="center"/>
          </w:tcPr>
          <w:p w14:paraId="5C61105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w:t>
            </w:r>
            <w:r w:rsidRPr="001667DB">
              <w:rPr>
                <w:rFonts w:ascii="Times New Roman" w:hAnsi="Times New Roman" w:cs="Times New Roman"/>
                <w:color w:val="000000" w:themeColor="text1"/>
                <w:vertAlign w:val="subscript"/>
              </w:rPr>
              <w:t>10</w:t>
            </w:r>
          </w:p>
        </w:tc>
      </w:tr>
      <w:tr w:rsidR="00955A27" w:rsidRPr="001667DB" w14:paraId="7C6165C0" w14:textId="77777777">
        <w:tc>
          <w:tcPr>
            <w:tcW w:w="5028" w:type="dxa"/>
          </w:tcPr>
          <w:p w14:paraId="09F897A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CaCO</w:t>
            </w:r>
            <w:r w:rsidRPr="001667DB">
              <w:rPr>
                <w:rFonts w:ascii="Times New Roman" w:hAnsi="Times New Roman" w:cs="Times New Roman"/>
                <w:color w:val="000000" w:themeColor="text1"/>
                <w:vertAlign w:val="subscript"/>
              </w:rPr>
              <w:t>3</w:t>
            </w:r>
            <w:r w:rsidRPr="001667DB">
              <w:rPr>
                <w:rFonts w:ascii="Times New Roman" w:hAnsi="Times New Roman" w:cs="Times New Roman"/>
                <w:color w:val="000000" w:themeColor="text1"/>
              </w:rPr>
              <w:t xml:space="preserve"> w wypełniaczu wapiennym według PN-EN 196-2 [3], kategoria nie niższa niż:</w:t>
            </w:r>
          </w:p>
        </w:tc>
        <w:tc>
          <w:tcPr>
            <w:tcW w:w="4045" w:type="dxa"/>
            <w:gridSpan w:val="3"/>
            <w:vAlign w:val="center"/>
          </w:tcPr>
          <w:p w14:paraId="20DDE9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CC</w:t>
            </w:r>
            <w:r w:rsidRPr="001667DB">
              <w:rPr>
                <w:rFonts w:ascii="Times New Roman" w:hAnsi="Times New Roman" w:cs="Times New Roman"/>
                <w:color w:val="000000" w:themeColor="text1"/>
                <w:vertAlign w:val="subscript"/>
              </w:rPr>
              <w:t>70</w:t>
            </w:r>
          </w:p>
        </w:tc>
      </w:tr>
      <w:tr w:rsidR="00955A27" w:rsidRPr="001667DB" w14:paraId="02EDA741" w14:textId="77777777">
        <w:tc>
          <w:tcPr>
            <w:tcW w:w="5028" w:type="dxa"/>
          </w:tcPr>
          <w:p w14:paraId="3F8965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wodorotlenku wapnia w wypełniaczu mieszanym wg PN-EN 459-2 [4], wymagana kategoria:</w:t>
            </w:r>
          </w:p>
        </w:tc>
        <w:tc>
          <w:tcPr>
            <w:tcW w:w="4045" w:type="dxa"/>
            <w:gridSpan w:val="3"/>
            <w:vAlign w:val="center"/>
          </w:tcPr>
          <w:p w14:paraId="1515DDE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Deklarowana</w:t>
            </w:r>
          </w:p>
        </w:tc>
      </w:tr>
      <w:tr w:rsidR="00955A27" w:rsidRPr="001667DB" w14:paraId="7C5F9CAC" w14:textId="77777777">
        <w:tc>
          <w:tcPr>
            <w:tcW w:w="5028" w:type="dxa"/>
          </w:tcPr>
          <w:p w14:paraId="72362A0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„Liczba asfaltowa” według PN-EN 13179-2 [57], wymagana kategoria:</w:t>
            </w:r>
          </w:p>
        </w:tc>
        <w:tc>
          <w:tcPr>
            <w:tcW w:w="4045" w:type="dxa"/>
            <w:gridSpan w:val="3"/>
            <w:vAlign w:val="center"/>
          </w:tcPr>
          <w:p w14:paraId="22F717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BN</w:t>
            </w:r>
            <w:r w:rsidRPr="001667DB">
              <w:rPr>
                <w:rFonts w:ascii="Times New Roman" w:hAnsi="Times New Roman" w:cs="Times New Roman"/>
                <w:color w:val="000000" w:themeColor="text1"/>
                <w:vertAlign w:val="subscript"/>
              </w:rPr>
              <w:t>Deklarowana</w:t>
            </w:r>
          </w:p>
        </w:tc>
      </w:tr>
    </w:tbl>
    <w:p w14:paraId="7B0A5DEE" w14:textId="77777777" w:rsidR="00955A27" w:rsidRPr="001667DB" w:rsidRDefault="00955A27" w:rsidP="00955A27">
      <w:pPr>
        <w:spacing w:after="120" w:line="360" w:lineRule="auto"/>
        <w:ind w:left="426" w:hanging="426"/>
        <w:rPr>
          <w:rFonts w:ascii="Times New Roman" w:hAnsi="Times New Roman" w:cs="Times New Roman"/>
          <w:color w:val="000000" w:themeColor="text1"/>
        </w:rPr>
      </w:pPr>
      <w:r w:rsidRPr="001667DB">
        <w:rPr>
          <w:rFonts w:ascii="Times New Roman" w:hAnsi="Times New Roman" w:cs="Times New Roman"/>
          <w:color w:val="000000" w:themeColor="text1"/>
        </w:rPr>
        <w:t>*)</w:t>
      </w:r>
      <w:r w:rsidRPr="001667DB">
        <w:rPr>
          <w:rFonts w:ascii="Times New Roman" w:hAnsi="Times New Roman" w:cs="Times New Roman"/>
          <w:color w:val="000000" w:themeColor="text1"/>
        </w:rPr>
        <w:tab/>
        <w:t>Można stosować pyły z odpylania, pod warunkiem spełniania wymagań jak dla wypełniacza zgodnie z pkt.5 PN-EN 13043 [50]. Proporcja pyłów i wypełniacza wapiennego powinna być tak dobrana, aby kategoria zawartości CaCO</w:t>
      </w:r>
      <w:r w:rsidRPr="001667DB">
        <w:rPr>
          <w:rFonts w:ascii="Times New Roman" w:hAnsi="Times New Roman" w:cs="Times New Roman"/>
          <w:color w:val="000000" w:themeColor="text1"/>
          <w:vertAlign w:val="subscript"/>
        </w:rPr>
        <w:t>3</w:t>
      </w:r>
      <w:r w:rsidRPr="001667DB">
        <w:rPr>
          <w:rFonts w:ascii="Times New Roman" w:hAnsi="Times New Roman" w:cs="Times New Roman"/>
          <w:color w:val="000000" w:themeColor="text1"/>
        </w:rPr>
        <w:t xml:space="preserve"> w mieszance pyłów i wypełniacza wapiennego była nie niższa niż CC</w:t>
      </w:r>
      <w:r w:rsidRPr="001667DB">
        <w:rPr>
          <w:rFonts w:ascii="Times New Roman" w:hAnsi="Times New Roman" w:cs="Times New Roman"/>
          <w:color w:val="000000" w:themeColor="text1"/>
          <w:vertAlign w:val="subscript"/>
        </w:rPr>
        <w:t>70</w:t>
      </w:r>
      <w:r w:rsidRPr="001667DB">
        <w:rPr>
          <w:rFonts w:ascii="Times New Roman" w:hAnsi="Times New Roman" w:cs="Times New Roman"/>
          <w:color w:val="000000" w:themeColor="text1"/>
        </w:rPr>
        <w:t xml:space="preserve">. </w:t>
      </w:r>
    </w:p>
    <w:p w14:paraId="57C25F95" w14:textId="77777777" w:rsidR="00955A27" w:rsidRPr="001667DB" w:rsidRDefault="00955A27" w:rsidP="00955A27">
      <w:pPr>
        <w:spacing w:after="120" w:line="360" w:lineRule="auto"/>
        <w:rPr>
          <w:rFonts w:ascii="Times New Roman" w:hAnsi="Times New Roman" w:cs="Times New Roman"/>
          <w:color w:val="000000" w:themeColor="text1"/>
        </w:rPr>
      </w:pPr>
    </w:p>
    <w:p w14:paraId="56D9B5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7907E485"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2.5. Środek adhezyjny</w:t>
      </w:r>
    </w:p>
    <w:p w14:paraId="3ED6C1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[38], metoda C wynosiła co najmniej 80%.</w:t>
      </w:r>
    </w:p>
    <w:p w14:paraId="4FC8FB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Środek adhezyjny powinien odpowiadać wymaganiom określonym przez producenta.</w:t>
      </w:r>
    </w:p>
    <w:p w14:paraId="6C738DB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Składowanie środka adhezyjnego jest dozwolone tylko w oryginalnych opakowaniach, w warunkach określonych przez producenta.</w:t>
      </w:r>
    </w:p>
    <w:p w14:paraId="280FF740" w14:textId="77777777" w:rsidR="00955A27" w:rsidRPr="001667DB" w:rsidRDefault="00441A30" w:rsidP="00955A27">
      <w:pPr>
        <w:pStyle w:val="Nagwek2"/>
        <w:spacing w:line="360" w:lineRule="auto"/>
        <w:rPr>
          <w:color w:val="000000" w:themeColor="text1"/>
          <w:sz w:val="22"/>
          <w:szCs w:val="22"/>
        </w:rPr>
      </w:pPr>
      <w:r w:rsidRPr="001667DB">
        <w:rPr>
          <w:color w:val="000000" w:themeColor="text1"/>
          <w:sz w:val="22"/>
          <w:szCs w:val="22"/>
        </w:rPr>
        <w:lastRenderedPageBreak/>
        <w:t>2.6</w:t>
      </w:r>
      <w:r w:rsidR="00955A27" w:rsidRPr="001667DB">
        <w:rPr>
          <w:color w:val="000000" w:themeColor="text1"/>
          <w:sz w:val="22"/>
          <w:szCs w:val="22"/>
        </w:rPr>
        <w:t>. Materiały do uszczelnienia połączeń technologicznych i krawędzi</w:t>
      </w:r>
    </w:p>
    <w:p w14:paraId="078D29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uszczelnienia połączeń technologicznych (tj. złączy podłużnych i poprzecznych) z tego samego materiału wykonywanego w różnym czasie należy stosować elastyczne taśmy bitumiczne i pasty asfaltowe dobrane wg zasad przedstawionych w tablicy 16 oraz spełniające wymagania, w zależności od rodzaju materiału, wg tablic od 17 do 19. </w:t>
      </w:r>
    </w:p>
    <w:p w14:paraId="4D79C4AF" w14:textId="77777777" w:rsidR="00955A27" w:rsidRPr="001667DB" w:rsidRDefault="00955A27" w:rsidP="00955A27">
      <w:pPr>
        <w:tabs>
          <w:tab w:val="left" w:pos="1276"/>
        </w:tabs>
        <w:spacing w:before="120" w:after="120" w:line="360" w:lineRule="auto"/>
        <w:ind w:left="1276" w:hanging="1276"/>
        <w:rPr>
          <w:rFonts w:ascii="Times New Roman" w:hAnsi="Times New Roman" w:cs="Times New Roman"/>
          <w:color w:val="000000" w:themeColor="text1"/>
        </w:rPr>
      </w:pPr>
      <w:r w:rsidRPr="001667DB">
        <w:rPr>
          <w:rFonts w:ascii="Times New Roman" w:hAnsi="Times New Roman" w:cs="Times New Roman"/>
          <w:color w:val="000000" w:themeColor="text1"/>
        </w:rPr>
        <w:t>Tablica 16.</w:t>
      </w:r>
      <w:r w:rsidRPr="001667DB">
        <w:rPr>
          <w:rFonts w:ascii="Times New Roman" w:hAnsi="Times New Roman" w:cs="Times New Roman"/>
          <w:color w:val="000000" w:themeColor="text1"/>
        </w:rPr>
        <w:tab/>
        <w:t>Materiały do złączy podłużnych i porzecznych między fragmentami zagęszczonej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55A27" w:rsidRPr="001667DB" w14:paraId="27AF41AB" w14:textId="77777777" w:rsidTr="001B4B8F">
        <w:tc>
          <w:tcPr>
            <w:tcW w:w="1785" w:type="dxa"/>
            <w:vMerge w:val="restart"/>
            <w:vAlign w:val="center"/>
          </w:tcPr>
          <w:p w14:paraId="537B41DE"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warstwy</w:t>
            </w:r>
          </w:p>
        </w:tc>
        <w:tc>
          <w:tcPr>
            <w:tcW w:w="3570" w:type="dxa"/>
            <w:gridSpan w:val="2"/>
            <w:vAlign w:val="center"/>
          </w:tcPr>
          <w:p w14:paraId="3A9AC8C0"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Złącze podłużne</w:t>
            </w:r>
          </w:p>
        </w:tc>
        <w:tc>
          <w:tcPr>
            <w:tcW w:w="3572" w:type="dxa"/>
            <w:gridSpan w:val="2"/>
            <w:vAlign w:val="center"/>
          </w:tcPr>
          <w:p w14:paraId="5F144531"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Złącze poprzeczne</w:t>
            </w:r>
          </w:p>
        </w:tc>
      </w:tr>
      <w:tr w:rsidR="00955A27" w:rsidRPr="001667DB" w14:paraId="0141C800" w14:textId="77777777" w:rsidTr="001B4B8F">
        <w:tc>
          <w:tcPr>
            <w:tcW w:w="1785" w:type="dxa"/>
            <w:vMerge/>
            <w:vAlign w:val="center"/>
          </w:tcPr>
          <w:p w14:paraId="097700EF"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p>
        </w:tc>
        <w:tc>
          <w:tcPr>
            <w:tcW w:w="1785" w:type="dxa"/>
            <w:vAlign w:val="center"/>
          </w:tcPr>
          <w:p w14:paraId="356B9310"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w:t>
            </w:r>
          </w:p>
        </w:tc>
        <w:tc>
          <w:tcPr>
            <w:tcW w:w="1785" w:type="dxa"/>
            <w:vAlign w:val="center"/>
          </w:tcPr>
          <w:p w14:paraId="7AF5962A"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materiału</w:t>
            </w:r>
          </w:p>
        </w:tc>
        <w:tc>
          <w:tcPr>
            <w:tcW w:w="1786" w:type="dxa"/>
            <w:vAlign w:val="center"/>
          </w:tcPr>
          <w:p w14:paraId="3A8EC2CB"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w:t>
            </w:r>
          </w:p>
        </w:tc>
        <w:tc>
          <w:tcPr>
            <w:tcW w:w="1786" w:type="dxa"/>
            <w:vAlign w:val="center"/>
          </w:tcPr>
          <w:p w14:paraId="11D3B134"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materiału</w:t>
            </w:r>
          </w:p>
        </w:tc>
      </w:tr>
      <w:tr w:rsidR="00955A27" w:rsidRPr="001667DB" w14:paraId="26486C80" w14:textId="77777777" w:rsidTr="001B4B8F">
        <w:tc>
          <w:tcPr>
            <w:tcW w:w="1785" w:type="dxa"/>
            <w:vMerge w:val="restart"/>
          </w:tcPr>
          <w:p w14:paraId="53A24CA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Podbudowa</w:t>
            </w:r>
          </w:p>
        </w:tc>
        <w:tc>
          <w:tcPr>
            <w:tcW w:w="1785" w:type="dxa"/>
            <w:vMerge w:val="restart"/>
          </w:tcPr>
          <w:p w14:paraId="1463029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1-7</w:t>
            </w:r>
          </w:p>
        </w:tc>
        <w:tc>
          <w:tcPr>
            <w:tcW w:w="1785" w:type="dxa"/>
            <w:vMerge w:val="restart"/>
          </w:tcPr>
          <w:p w14:paraId="356796C7"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Pasty asfaltowe lub elastyczne taśmy bitumiczne</w:t>
            </w:r>
          </w:p>
        </w:tc>
        <w:tc>
          <w:tcPr>
            <w:tcW w:w="1786" w:type="dxa"/>
          </w:tcPr>
          <w:p w14:paraId="6210190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1-2</w:t>
            </w:r>
          </w:p>
        </w:tc>
        <w:tc>
          <w:tcPr>
            <w:tcW w:w="1786" w:type="dxa"/>
          </w:tcPr>
          <w:p w14:paraId="1E9DC983"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Pasty asfaltowe lub elastyczne taśmy bitumiczne</w:t>
            </w:r>
          </w:p>
        </w:tc>
      </w:tr>
      <w:tr w:rsidR="00955A27" w:rsidRPr="001667DB" w14:paraId="4ED749E7" w14:textId="77777777" w:rsidTr="001B4B8F">
        <w:tc>
          <w:tcPr>
            <w:tcW w:w="1785" w:type="dxa"/>
            <w:vMerge/>
          </w:tcPr>
          <w:p w14:paraId="43773009"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785" w:type="dxa"/>
            <w:vMerge/>
          </w:tcPr>
          <w:p w14:paraId="4E7A9253"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785" w:type="dxa"/>
            <w:vMerge/>
          </w:tcPr>
          <w:p w14:paraId="4F4C57D0"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786" w:type="dxa"/>
          </w:tcPr>
          <w:p w14:paraId="3ED1A25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3-7</w:t>
            </w:r>
          </w:p>
        </w:tc>
        <w:tc>
          <w:tcPr>
            <w:tcW w:w="1786" w:type="dxa"/>
          </w:tcPr>
          <w:p w14:paraId="0B4E1DBB"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Elastyczne taśmy bitumiczne</w:t>
            </w:r>
          </w:p>
        </w:tc>
      </w:tr>
    </w:tbl>
    <w:p w14:paraId="343AFAE3" w14:textId="77777777" w:rsidR="00955A27" w:rsidRPr="001667DB" w:rsidRDefault="00955A27" w:rsidP="00955A27">
      <w:pPr>
        <w:tabs>
          <w:tab w:val="left" w:pos="1620"/>
        </w:tabs>
        <w:spacing w:before="2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17.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232"/>
        <w:gridCol w:w="2232"/>
        <w:gridCol w:w="2232"/>
      </w:tblGrid>
      <w:tr w:rsidR="00955A27" w:rsidRPr="001667DB" w14:paraId="0578C3D2" w14:textId="77777777" w:rsidTr="001B4B8F">
        <w:tc>
          <w:tcPr>
            <w:tcW w:w="2231" w:type="dxa"/>
            <w:vAlign w:val="center"/>
          </w:tcPr>
          <w:p w14:paraId="55B79361"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232" w:type="dxa"/>
            <w:vAlign w:val="center"/>
          </w:tcPr>
          <w:p w14:paraId="7E9DE3ED"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232" w:type="dxa"/>
            <w:vAlign w:val="center"/>
          </w:tcPr>
          <w:p w14:paraId="0A3DE653"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Dodatkowy opis warunków badania</w:t>
            </w:r>
          </w:p>
        </w:tc>
        <w:tc>
          <w:tcPr>
            <w:tcW w:w="2232" w:type="dxa"/>
            <w:vAlign w:val="center"/>
          </w:tcPr>
          <w:p w14:paraId="03B9AEEF"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2F050B48" w14:textId="77777777" w:rsidTr="001B4B8F">
        <w:tc>
          <w:tcPr>
            <w:tcW w:w="2231" w:type="dxa"/>
          </w:tcPr>
          <w:p w14:paraId="04FCFD39"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232" w:type="dxa"/>
          </w:tcPr>
          <w:p w14:paraId="788B3471"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2232" w:type="dxa"/>
          </w:tcPr>
          <w:p w14:paraId="0F67D0D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2232" w:type="dxa"/>
          </w:tcPr>
          <w:p w14:paraId="1CC43A80"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≥90°C</w:t>
            </w:r>
          </w:p>
        </w:tc>
      </w:tr>
      <w:tr w:rsidR="00955A27" w:rsidRPr="001667DB" w14:paraId="48A72B83" w14:textId="77777777" w:rsidTr="001B4B8F">
        <w:tc>
          <w:tcPr>
            <w:tcW w:w="2231" w:type="dxa"/>
          </w:tcPr>
          <w:p w14:paraId="6F8E8745"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stożkiem</w:t>
            </w:r>
          </w:p>
        </w:tc>
        <w:tc>
          <w:tcPr>
            <w:tcW w:w="2232" w:type="dxa"/>
          </w:tcPr>
          <w:p w14:paraId="49E85229"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13880-2[71]</w:t>
            </w:r>
          </w:p>
        </w:tc>
        <w:tc>
          <w:tcPr>
            <w:tcW w:w="2232" w:type="dxa"/>
          </w:tcPr>
          <w:p w14:paraId="70A4BE8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2232" w:type="dxa"/>
          </w:tcPr>
          <w:p w14:paraId="7B2EB78E"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 do 50</w:t>
            </w:r>
          </w:p>
          <w:p w14:paraId="4A44B381"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1/10 mm</w:t>
            </w:r>
          </w:p>
        </w:tc>
      </w:tr>
      <w:tr w:rsidR="00955A27" w:rsidRPr="001667DB" w14:paraId="299D515F" w14:textId="77777777" w:rsidTr="001B4B8F">
        <w:tc>
          <w:tcPr>
            <w:tcW w:w="2231" w:type="dxa"/>
          </w:tcPr>
          <w:p w14:paraId="503D1DA6"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Odprężenie sprężyste (odbojność)</w:t>
            </w:r>
          </w:p>
        </w:tc>
        <w:tc>
          <w:tcPr>
            <w:tcW w:w="2232" w:type="dxa"/>
          </w:tcPr>
          <w:p w14:paraId="53A75A12"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13880-3[72]</w:t>
            </w:r>
          </w:p>
        </w:tc>
        <w:tc>
          <w:tcPr>
            <w:tcW w:w="2232" w:type="dxa"/>
          </w:tcPr>
          <w:p w14:paraId="56374C8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2232" w:type="dxa"/>
          </w:tcPr>
          <w:p w14:paraId="22802878"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 do 30%</w:t>
            </w:r>
          </w:p>
        </w:tc>
      </w:tr>
      <w:tr w:rsidR="00955A27" w:rsidRPr="001667DB" w14:paraId="7B02A9C7" w14:textId="77777777" w:rsidTr="001B4B8F">
        <w:tc>
          <w:tcPr>
            <w:tcW w:w="2231" w:type="dxa"/>
          </w:tcPr>
          <w:p w14:paraId="134771D2"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Zginanie na zimno</w:t>
            </w:r>
          </w:p>
        </w:tc>
        <w:tc>
          <w:tcPr>
            <w:tcW w:w="2232" w:type="dxa"/>
          </w:tcPr>
          <w:p w14:paraId="36E643A1"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DIN 52123[76]</w:t>
            </w:r>
          </w:p>
        </w:tc>
        <w:tc>
          <w:tcPr>
            <w:tcW w:w="2232" w:type="dxa"/>
          </w:tcPr>
          <w:p w14:paraId="3ABD56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test odcinka taśmy o długości 20 cm w temperaturze 0°C </w:t>
            </w:r>
          </w:p>
          <w:p w14:paraId="0C9DCC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po 24 godzinnym </w:t>
            </w:r>
          </w:p>
          <w:p w14:paraId="1CCAE4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kondycjonowaniu </w:t>
            </w:r>
          </w:p>
          <w:p w14:paraId="2EB97F38"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2232" w:type="dxa"/>
          </w:tcPr>
          <w:p w14:paraId="1D5257E5"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Bez pęknięcia</w:t>
            </w:r>
          </w:p>
        </w:tc>
      </w:tr>
      <w:tr w:rsidR="00955A27" w:rsidRPr="001667DB" w14:paraId="0CEE65D5" w14:textId="77777777" w:rsidTr="001B4B8F">
        <w:tc>
          <w:tcPr>
            <w:tcW w:w="2231" w:type="dxa"/>
          </w:tcPr>
          <w:p w14:paraId="30384356"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Możliwość wydłużenia oraz przyczepności taśmy</w:t>
            </w:r>
          </w:p>
        </w:tc>
        <w:tc>
          <w:tcPr>
            <w:tcW w:w="2232" w:type="dxa"/>
          </w:tcPr>
          <w:p w14:paraId="797C0072"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SNV 671 920</w:t>
            </w:r>
          </w:p>
          <w:p w14:paraId="252A1D30"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 [75])</w:t>
            </w:r>
          </w:p>
        </w:tc>
        <w:tc>
          <w:tcPr>
            <w:tcW w:w="2232" w:type="dxa"/>
          </w:tcPr>
          <w:p w14:paraId="5BAE7302"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temperaturze </w:t>
            </w:r>
          </w:p>
          <w:p w14:paraId="4E7EF2E3"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-10°C</w:t>
            </w:r>
          </w:p>
        </w:tc>
        <w:tc>
          <w:tcPr>
            <w:tcW w:w="2232" w:type="dxa"/>
          </w:tcPr>
          <w:p w14:paraId="7738BC2A"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p w14:paraId="56977EF5"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N/mm</w:t>
            </w:r>
            <w:r w:rsidRPr="001667DB">
              <w:rPr>
                <w:rFonts w:ascii="Times New Roman" w:hAnsi="Times New Roman" w:cs="Times New Roman"/>
                <w:color w:val="000000" w:themeColor="text1"/>
                <w:vertAlign w:val="superscript"/>
              </w:rPr>
              <w:t>2</w:t>
            </w:r>
          </w:p>
        </w:tc>
      </w:tr>
      <w:tr w:rsidR="00955A27" w:rsidRPr="001667DB" w14:paraId="1E890DBF" w14:textId="77777777" w:rsidTr="001B4B8F">
        <w:tc>
          <w:tcPr>
            <w:tcW w:w="2231" w:type="dxa"/>
          </w:tcPr>
          <w:p w14:paraId="30C55447"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Możliwość wydłużenia oraz przyczepności taśmy po starzeniu termicznym</w:t>
            </w:r>
          </w:p>
        </w:tc>
        <w:tc>
          <w:tcPr>
            <w:tcW w:w="2232" w:type="dxa"/>
          </w:tcPr>
          <w:p w14:paraId="1D3EEE9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SNV 671 920</w:t>
            </w:r>
          </w:p>
          <w:p w14:paraId="12545660"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 [75])</w:t>
            </w:r>
          </w:p>
        </w:tc>
        <w:tc>
          <w:tcPr>
            <w:tcW w:w="2232" w:type="dxa"/>
          </w:tcPr>
          <w:p w14:paraId="48825ED7"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temperaturze </w:t>
            </w:r>
          </w:p>
          <w:p w14:paraId="4C7D4043"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-10°C</w:t>
            </w:r>
          </w:p>
        </w:tc>
        <w:tc>
          <w:tcPr>
            <w:tcW w:w="2232" w:type="dxa"/>
          </w:tcPr>
          <w:p w14:paraId="7C17223A"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Należy podać wynik</w:t>
            </w:r>
          </w:p>
        </w:tc>
      </w:tr>
    </w:tbl>
    <w:p w14:paraId="0AE129D6" w14:textId="77777777" w:rsidR="00955A27" w:rsidRPr="001667DB" w:rsidRDefault="00955A27" w:rsidP="00955A27">
      <w:pPr>
        <w:spacing w:before="2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18.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55A27" w:rsidRPr="001667DB" w14:paraId="0B484CAC" w14:textId="77777777" w:rsidTr="001B4B8F">
        <w:tc>
          <w:tcPr>
            <w:tcW w:w="2975" w:type="dxa"/>
            <w:vAlign w:val="center"/>
          </w:tcPr>
          <w:p w14:paraId="7B0EBB3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976" w:type="dxa"/>
            <w:vAlign w:val="center"/>
          </w:tcPr>
          <w:p w14:paraId="7F317AA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976" w:type="dxa"/>
            <w:vAlign w:val="center"/>
          </w:tcPr>
          <w:p w14:paraId="283B701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6A9BBBB0" w14:textId="77777777" w:rsidTr="001B4B8F">
        <w:tc>
          <w:tcPr>
            <w:tcW w:w="2975" w:type="dxa"/>
          </w:tcPr>
          <w:p w14:paraId="6FB210F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Ocena organoleptyczna</w:t>
            </w:r>
          </w:p>
        </w:tc>
        <w:tc>
          <w:tcPr>
            <w:tcW w:w="2976" w:type="dxa"/>
          </w:tcPr>
          <w:p w14:paraId="1D40B8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1425 [77]</w:t>
            </w:r>
          </w:p>
        </w:tc>
        <w:tc>
          <w:tcPr>
            <w:tcW w:w="2976" w:type="dxa"/>
          </w:tcPr>
          <w:p w14:paraId="56FAB26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Pasta</w:t>
            </w:r>
          </w:p>
        </w:tc>
      </w:tr>
      <w:tr w:rsidR="00955A27" w:rsidRPr="001667DB" w14:paraId="7C9EE5A4" w14:textId="77777777" w:rsidTr="001B4B8F">
        <w:tc>
          <w:tcPr>
            <w:tcW w:w="2975" w:type="dxa"/>
          </w:tcPr>
          <w:p w14:paraId="737C42B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spływanie</w:t>
            </w:r>
          </w:p>
        </w:tc>
        <w:tc>
          <w:tcPr>
            <w:tcW w:w="2976" w:type="dxa"/>
          </w:tcPr>
          <w:p w14:paraId="0117BF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13880-5 [73]</w:t>
            </w:r>
          </w:p>
        </w:tc>
        <w:tc>
          <w:tcPr>
            <w:tcW w:w="2976" w:type="dxa"/>
          </w:tcPr>
          <w:p w14:paraId="070F9A4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spływa</w:t>
            </w:r>
          </w:p>
        </w:tc>
      </w:tr>
      <w:tr w:rsidR="00955A27" w:rsidRPr="001667DB" w14:paraId="39133BF5" w14:textId="77777777" w:rsidTr="001B4B8F">
        <w:tc>
          <w:tcPr>
            <w:tcW w:w="2975" w:type="dxa"/>
          </w:tcPr>
          <w:p w14:paraId="76DCCB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wody</w:t>
            </w:r>
          </w:p>
        </w:tc>
        <w:tc>
          <w:tcPr>
            <w:tcW w:w="2976" w:type="dxa"/>
          </w:tcPr>
          <w:p w14:paraId="0F71832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1428 [78]</w:t>
            </w:r>
          </w:p>
        </w:tc>
        <w:tc>
          <w:tcPr>
            <w:tcW w:w="2976" w:type="dxa"/>
          </w:tcPr>
          <w:p w14:paraId="10C037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 m/m</w:t>
            </w:r>
          </w:p>
        </w:tc>
      </w:tr>
      <w:tr w:rsidR="00955A27" w:rsidRPr="001667DB" w14:paraId="5C6273BB" w14:textId="77777777" w:rsidTr="001B4B8F">
        <w:tc>
          <w:tcPr>
            <w:tcW w:w="8927" w:type="dxa"/>
            <w:gridSpan w:val="3"/>
          </w:tcPr>
          <w:p w14:paraId="31EFEC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odzyskanego i ustabilizowanego lepiszcza: PN-EN 13074-1 [79] lub PN-EN 13074-2 [80]</w:t>
            </w:r>
          </w:p>
        </w:tc>
      </w:tr>
      <w:tr w:rsidR="00955A27" w:rsidRPr="001667DB" w14:paraId="5094938D" w14:textId="77777777" w:rsidTr="001B4B8F">
        <w:tc>
          <w:tcPr>
            <w:tcW w:w="2975" w:type="dxa"/>
          </w:tcPr>
          <w:p w14:paraId="47FEA90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976" w:type="dxa"/>
          </w:tcPr>
          <w:p w14:paraId="0FA707B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1427[22]</w:t>
            </w:r>
          </w:p>
        </w:tc>
        <w:tc>
          <w:tcPr>
            <w:tcW w:w="2976" w:type="dxa"/>
          </w:tcPr>
          <w:p w14:paraId="15E0150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≥70°C</w:t>
            </w:r>
          </w:p>
        </w:tc>
      </w:tr>
    </w:tbl>
    <w:p w14:paraId="6EED5D6A" w14:textId="77777777" w:rsidR="00955A27" w:rsidRPr="001667DB" w:rsidRDefault="00955A27" w:rsidP="00955A27">
      <w:pPr>
        <w:tabs>
          <w:tab w:val="left" w:pos="1134"/>
        </w:tabs>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19.</w:t>
      </w:r>
      <w:r w:rsidRPr="001667DB">
        <w:rPr>
          <w:rFonts w:ascii="Times New Roman" w:hAnsi="Times New Roman" w:cs="Times New Roman"/>
          <w:color w:val="000000" w:themeColor="text1"/>
        </w:rPr>
        <w:tab/>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55A27" w:rsidRPr="001667DB" w14:paraId="61A1A508" w14:textId="77777777" w:rsidTr="001B4B8F">
        <w:tc>
          <w:tcPr>
            <w:tcW w:w="2975" w:type="dxa"/>
            <w:vAlign w:val="center"/>
          </w:tcPr>
          <w:p w14:paraId="2325998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976" w:type="dxa"/>
            <w:vAlign w:val="center"/>
          </w:tcPr>
          <w:p w14:paraId="747EB63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976" w:type="dxa"/>
            <w:vAlign w:val="center"/>
          </w:tcPr>
          <w:p w14:paraId="3C21395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2A64F7C3" w14:textId="77777777" w:rsidTr="001B4B8F">
        <w:tc>
          <w:tcPr>
            <w:tcW w:w="2975" w:type="dxa"/>
          </w:tcPr>
          <w:p w14:paraId="114509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Zachowanie przy temperaturze lejności</w:t>
            </w:r>
          </w:p>
        </w:tc>
        <w:tc>
          <w:tcPr>
            <w:tcW w:w="2976" w:type="dxa"/>
          </w:tcPr>
          <w:p w14:paraId="2084E6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13880-6 [74]</w:t>
            </w:r>
          </w:p>
        </w:tc>
        <w:tc>
          <w:tcPr>
            <w:tcW w:w="2976" w:type="dxa"/>
          </w:tcPr>
          <w:p w14:paraId="2578E7E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Homogeniczny</w:t>
            </w:r>
          </w:p>
        </w:tc>
      </w:tr>
      <w:tr w:rsidR="00955A27" w:rsidRPr="001667DB" w14:paraId="77E78206" w14:textId="77777777" w:rsidTr="001B4B8F">
        <w:tc>
          <w:tcPr>
            <w:tcW w:w="2975" w:type="dxa"/>
          </w:tcPr>
          <w:p w14:paraId="7E81B6D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976" w:type="dxa"/>
          </w:tcPr>
          <w:p w14:paraId="514FA5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2976" w:type="dxa"/>
          </w:tcPr>
          <w:p w14:paraId="778657E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≥80°C</w:t>
            </w:r>
          </w:p>
        </w:tc>
      </w:tr>
      <w:tr w:rsidR="00955A27" w:rsidRPr="001667DB" w14:paraId="470E65EE" w14:textId="77777777" w:rsidTr="001B4B8F">
        <w:tc>
          <w:tcPr>
            <w:tcW w:w="2975" w:type="dxa"/>
          </w:tcPr>
          <w:p w14:paraId="07740E1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stożkiem w 25°C, 5 s, 150 g</w:t>
            </w:r>
          </w:p>
        </w:tc>
        <w:tc>
          <w:tcPr>
            <w:tcW w:w="2976" w:type="dxa"/>
          </w:tcPr>
          <w:p w14:paraId="0A4DC0E8" w14:textId="77777777" w:rsidR="00955A27" w:rsidRPr="001667DB" w:rsidRDefault="00955A27" w:rsidP="00955A27">
            <w:pPr>
              <w:tabs>
                <w:tab w:val="left" w:pos="300"/>
                <w:tab w:val="center" w:pos="138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PN-EN 13880-2 [71]</w:t>
            </w:r>
          </w:p>
        </w:tc>
        <w:tc>
          <w:tcPr>
            <w:tcW w:w="2976" w:type="dxa"/>
          </w:tcPr>
          <w:p w14:paraId="63EE465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 do 60  0,1 mm</w:t>
            </w:r>
          </w:p>
        </w:tc>
      </w:tr>
      <w:tr w:rsidR="00955A27" w:rsidRPr="001667DB" w14:paraId="1F990284" w14:textId="77777777" w:rsidTr="001B4B8F">
        <w:tc>
          <w:tcPr>
            <w:tcW w:w="2975" w:type="dxa"/>
          </w:tcPr>
          <w:p w14:paraId="0E6936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spływanie</w:t>
            </w:r>
          </w:p>
        </w:tc>
        <w:tc>
          <w:tcPr>
            <w:tcW w:w="2976" w:type="dxa"/>
          </w:tcPr>
          <w:p w14:paraId="756AF9E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13880-5 [73]</w:t>
            </w:r>
          </w:p>
        </w:tc>
        <w:tc>
          <w:tcPr>
            <w:tcW w:w="2976" w:type="dxa"/>
          </w:tcPr>
          <w:p w14:paraId="2402EF0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 mm</w:t>
            </w:r>
          </w:p>
        </w:tc>
      </w:tr>
      <w:tr w:rsidR="00955A27" w:rsidRPr="001667DB" w14:paraId="310F2DD9" w14:textId="77777777" w:rsidTr="001B4B8F">
        <w:tc>
          <w:tcPr>
            <w:tcW w:w="2975" w:type="dxa"/>
          </w:tcPr>
          <w:p w14:paraId="4C0238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Odprężenie sprężyste (odbojność)</w:t>
            </w:r>
          </w:p>
        </w:tc>
        <w:tc>
          <w:tcPr>
            <w:tcW w:w="2976" w:type="dxa"/>
          </w:tcPr>
          <w:p w14:paraId="0C2D2A1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13380-3 [72]</w:t>
            </w:r>
          </w:p>
        </w:tc>
        <w:tc>
          <w:tcPr>
            <w:tcW w:w="2976" w:type="dxa"/>
          </w:tcPr>
          <w:p w14:paraId="3BB5306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10-50%</w:t>
            </w:r>
          </w:p>
        </w:tc>
      </w:tr>
      <w:tr w:rsidR="00955A27" w:rsidRPr="001667DB" w14:paraId="52749987" w14:textId="77777777" w:rsidTr="001B4B8F">
        <w:tc>
          <w:tcPr>
            <w:tcW w:w="2975" w:type="dxa"/>
          </w:tcPr>
          <w:p w14:paraId="2E5EA16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Wydłużenie nieciągłe (próba przyczepności ), po 5 h, -10°C</w:t>
            </w:r>
          </w:p>
        </w:tc>
        <w:tc>
          <w:tcPr>
            <w:tcW w:w="2976" w:type="dxa"/>
          </w:tcPr>
          <w:p w14:paraId="7F63599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13880-13 [75]</w:t>
            </w:r>
          </w:p>
        </w:tc>
        <w:tc>
          <w:tcPr>
            <w:tcW w:w="2976" w:type="dxa"/>
          </w:tcPr>
          <w:p w14:paraId="216FE56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 mm</w:t>
            </w:r>
          </w:p>
          <w:p w14:paraId="5CC025B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≤0,75 N/mm</w:t>
            </w:r>
            <w:r w:rsidRPr="001667DB">
              <w:rPr>
                <w:rFonts w:ascii="Times New Roman" w:hAnsi="Times New Roman" w:cs="Times New Roman"/>
                <w:color w:val="000000" w:themeColor="text1"/>
                <w:vertAlign w:val="superscript"/>
              </w:rPr>
              <w:t>2</w:t>
            </w:r>
          </w:p>
        </w:tc>
      </w:tr>
    </w:tbl>
    <w:p w14:paraId="5E32B006" w14:textId="77777777" w:rsidR="00955A27" w:rsidRPr="001667DB" w:rsidRDefault="00955A27" w:rsidP="00955A27">
      <w:pPr>
        <w:spacing w:after="120" w:line="360" w:lineRule="auto"/>
        <w:ind w:firstLine="709"/>
        <w:rPr>
          <w:rFonts w:ascii="Times New Roman" w:hAnsi="Times New Roman" w:cs="Times New Roman"/>
          <w:color w:val="000000" w:themeColor="text1"/>
        </w:rPr>
      </w:pPr>
    </w:p>
    <w:p w14:paraId="5997CA2B"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Składowanie materiałów termoplastycznych jest dozwolone tylko w oryginalnych opakowaniach producenta, w warunkach określonych w aprobacie technicznej.</w:t>
      </w:r>
    </w:p>
    <w:p w14:paraId="2F33B45B"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Do uszczelnienia krawędzi należy stosować asfalt drogowy wg PN-EN 12591 [24], asfalt modyfikowany polimerami wg PN-EN 14023 [66] „metoda na gorąco”. Dopuszcza się inne rodzaje lepiszcza wg norm lub aprobat technicznych.</w:t>
      </w:r>
    </w:p>
    <w:p w14:paraId="6D9ACDA3" w14:textId="77777777" w:rsidR="00955A27" w:rsidRPr="001667DB" w:rsidRDefault="00441A30" w:rsidP="00955A27">
      <w:pPr>
        <w:pStyle w:val="Nagwek2"/>
        <w:spacing w:line="360" w:lineRule="auto"/>
        <w:rPr>
          <w:color w:val="000000" w:themeColor="text1"/>
          <w:sz w:val="22"/>
          <w:szCs w:val="22"/>
        </w:rPr>
      </w:pPr>
      <w:r w:rsidRPr="001667DB">
        <w:rPr>
          <w:color w:val="000000" w:themeColor="text1"/>
          <w:sz w:val="22"/>
          <w:szCs w:val="22"/>
        </w:rPr>
        <w:t>2.7</w:t>
      </w:r>
      <w:r w:rsidR="00955A27" w:rsidRPr="001667DB">
        <w:rPr>
          <w:color w:val="000000" w:themeColor="text1"/>
          <w:sz w:val="22"/>
          <w:szCs w:val="22"/>
        </w:rPr>
        <w:t>. Materiały do złączenia warstw konstrukcji</w:t>
      </w:r>
    </w:p>
    <w:p w14:paraId="66CFEA76" w14:textId="77777777" w:rsidR="00955A27" w:rsidRPr="001667DB" w:rsidRDefault="00955A27" w:rsidP="00955A27">
      <w:pPr>
        <w:tabs>
          <w:tab w:val="left" w:pos="-2694"/>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Do złączania warstw konstrukcji podbudowy należy stosować  kationowe emulsje asfaltowe niemodyfikowane lub kationowe emulsje modyfikowane polimerami według aktualnego wydania Załącznika krajowego NA do PN-EN 13808 [64].</w:t>
      </w:r>
    </w:p>
    <w:p w14:paraId="5162A1A2"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Spośród rodzajów emulsji wymienionych w Załączniku krajowym NA [64a] do normy PN-EN 13808 [64], należy stosować emulsje oznaczone kodem ZM. </w:t>
      </w:r>
    </w:p>
    <w:p w14:paraId="4FDFABDA"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i przeznaczenie emulsji asfaltowych oraz sposób ich składowania opisano w ST D-04.03.01. </w:t>
      </w:r>
    </w:p>
    <w:p w14:paraId="52D0A887" w14:textId="77777777" w:rsidR="00955A27" w:rsidRPr="001667DB" w:rsidRDefault="00441A30" w:rsidP="00955A27">
      <w:pPr>
        <w:pStyle w:val="Nagwek2"/>
        <w:spacing w:line="360" w:lineRule="auto"/>
        <w:rPr>
          <w:color w:val="000000" w:themeColor="text1"/>
          <w:sz w:val="22"/>
          <w:szCs w:val="22"/>
        </w:rPr>
      </w:pPr>
      <w:r w:rsidRPr="001667DB">
        <w:rPr>
          <w:color w:val="000000" w:themeColor="text1"/>
          <w:sz w:val="22"/>
          <w:szCs w:val="22"/>
        </w:rPr>
        <w:t>2.8</w:t>
      </w:r>
      <w:r w:rsidR="00955A27" w:rsidRPr="001667DB">
        <w:rPr>
          <w:color w:val="000000" w:themeColor="text1"/>
          <w:sz w:val="22"/>
          <w:szCs w:val="22"/>
        </w:rPr>
        <w:t xml:space="preserve">. Dodatki do mieszanki mineralno-asfaltowej </w:t>
      </w:r>
    </w:p>
    <w:p w14:paraId="29DE372F"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Mogą być stosowane dodatki stabilizujące lub modyfikujące. Pochodzenie, rodzaj i właściwości dodatków powinny być deklarowane. </w:t>
      </w:r>
    </w:p>
    <w:p w14:paraId="4CF7CE61" w14:textId="77777777" w:rsidR="00955A27" w:rsidRPr="001667DB" w:rsidRDefault="00955A27" w:rsidP="00955A27">
      <w:pPr>
        <w:widowControl w:val="0"/>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Należy używać tylko materiałów składowych o ustalonej przydatności.</w:t>
      </w:r>
    </w:p>
    <w:p w14:paraId="59B543F1"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Ustalenie przydatności powinno wynikać co najmniej jednego z następujących dokumentów: </w:t>
      </w:r>
    </w:p>
    <w:p w14:paraId="19FC5330" w14:textId="77777777" w:rsidR="00955A27" w:rsidRPr="001667DB" w:rsidRDefault="00955A27" w:rsidP="00955A27">
      <w:pPr>
        <w:widowControl w:val="0"/>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Normy Europejskiej,</w:t>
      </w:r>
    </w:p>
    <w:p w14:paraId="00101BBA" w14:textId="77777777" w:rsidR="00955A27" w:rsidRPr="001667DB" w:rsidRDefault="00955A27" w:rsidP="00955A27">
      <w:pPr>
        <w:widowControl w:val="0"/>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europejskiej aprobaty technicznej,</w:t>
      </w:r>
    </w:p>
    <w:p w14:paraId="05046665" w14:textId="77777777" w:rsidR="00955A27" w:rsidRPr="001667DB" w:rsidRDefault="00955A27" w:rsidP="00955A27">
      <w:pPr>
        <w:widowControl w:val="0"/>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xml:space="preserve">- specyfikacji materiałowych opartych na potwierdzonych pozytywnych zastosowaniach w nawierzchniach asfaltowych.  </w:t>
      </w:r>
    </w:p>
    <w:p w14:paraId="14D8F089"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Wykaz należy dostarczyć w celu udowodnienia przydatności. Wykaz może być oparty na badaniach w połączeniu z dowodami w praktyce.</w:t>
      </w:r>
    </w:p>
    <w:p w14:paraId="61906F9C"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 się stosowanie do mieszanki mineralno-asfaltowej środka obniżającego temperaturę produkcji i układania.  </w:t>
      </w:r>
    </w:p>
    <w:p w14:paraId="7D169206"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mieszanki mineralno-asfaltowej  może być stosowany dodatek asfaltu naturalnego wg PN-EN 13108-4 [52], załącznik B. </w:t>
      </w:r>
    </w:p>
    <w:p w14:paraId="65ECDC73" w14:textId="77777777" w:rsidR="00955A27" w:rsidRPr="001667DB" w:rsidRDefault="00441A30" w:rsidP="00955A27">
      <w:pPr>
        <w:pStyle w:val="Nagwek2"/>
        <w:spacing w:line="360" w:lineRule="auto"/>
        <w:rPr>
          <w:color w:val="000000" w:themeColor="text1"/>
          <w:sz w:val="22"/>
          <w:szCs w:val="22"/>
        </w:rPr>
      </w:pPr>
      <w:r w:rsidRPr="001667DB">
        <w:rPr>
          <w:color w:val="000000" w:themeColor="text1"/>
          <w:sz w:val="22"/>
          <w:szCs w:val="22"/>
        </w:rPr>
        <w:lastRenderedPageBreak/>
        <w:t>2.9</w:t>
      </w:r>
      <w:r w:rsidR="00955A27" w:rsidRPr="001667DB">
        <w:rPr>
          <w:color w:val="000000" w:themeColor="text1"/>
          <w:sz w:val="22"/>
          <w:szCs w:val="22"/>
        </w:rPr>
        <w:t xml:space="preserve">. Skład mieszanki mineralno-asfaltowej </w:t>
      </w:r>
    </w:p>
    <w:p w14:paraId="4AD213C0"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Skład mieszanki mineralno-asfaltowej powinien być ustalony na podstawie badań próbek wykonanych zgodnie z normą PN-EN 13108-20 [54], załącznik C oraz normami powiązanymi. </w:t>
      </w:r>
    </w:p>
    <w:p w14:paraId="784C7CC5"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Uziarnienie mieszanki mineralnej oraz minimalna zawartość lepiszcza podane są w tablicy 20. </w:t>
      </w:r>
    </w:p>
    <w:p w14:paraId="295B9179"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Próbki powinny spełniać wymagania podane w tablicach 21, 22 i 23, w zależności od kategorii ruchu jak i zawartości asfaltu B</w:t>
      </w:r>
      <w:r w:rsidRPr="001667DB">
        <w:rPr>
          <w:rFonts w:ascii="Times New Roman" w:hAnsi="Times New Roman" w:cs="Times New Roman"/>
          <w:color w:val="000000" w:themeColor="text1"/>
          <w:vertAlign w:val="subscript"/>
        </w:rPr>
        <w:t>min</w:t>
      </w:r>
      <w:r w:rsidRPr="001667DB">
        <w:rPr>
          <w:rFonts w:ascii="Times New Roman" w:hAnsi="Times New Roman" w:cs="Times New Roman"/>
          <w:color w:val="000000" w:themeColor="text1"/>
        </w:rPr>
        <w:t xml:space="preserve"> i temperatur zagęszczania próbek. </w:t>
      </w:r>
    </w:p>
    <w:p w14:paraId="38E884D5" w14:textId="77777777" w:rsidR="00955A27" w:rsidRPr="001667DB" w:rsidRDefault="00955A27" w:rsidP="00955A27">
      <w:pPr>
        <w:tabs>
          <w:tab w:val="left" w:pos="1134"/>
        </w:tabs>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20.</w:t>
      </w:r>
      <w:r w:rsidRPr="001667DB">
        <w:rPr>
          <w:rFonts w:ascii="Times New Roman" w:hAnsi="Times New Roman" w:cs="Times New Roman"/>
          <w:color w:val="000000" w:themeColor="text1"/>
        </w:rPr>
        <w:tab/>
        <w:t xml:space="preserve">Uziarnienie mieszanki mineralnej oraz zawartość lepiszcza do betonu asfaltowego do warstwy podbudowy dla ruchu KR1÷KR7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600"/>
        <w:gridCol w:w="700"/>
        <w:gridCol w:w="600"/>
        <w:gridCol w:w="700"/>
        <w:gridCol w:w="600"/>
        <w:gridCol w:w="700"/>
        <w:gridCol w:w="600"/>
        <w:gridCol w:w="700"/>
        <w:gridCol w:w="808"/>
        <w:gridCol w:w="720"/>
      </w:tblGrid>
      <w:tr w:rsidR="00955A27" w:rsidRPr="001667DB" w14:paraId="37A58642" w14:textId="77777777">
        <w:tc>
          <w:tcPr>
            <w:tcW w:w="1900" w:type="dxa"/>
            <w:vMerge w:val="restart"/>
          </w:tcPr>
          <w:p w14:paraId="4B3CA9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6728" w:type="dxa"/>
            <w:gridSpan w:val="10"/>
          </w:tcPr>
          <w:p w14:paraId="714D25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Przesiew,   [% (m/m)]</w:t>
            </w:r>
          </w:p>
        </w:tc>
      </w:tr>
      <w:tr w:rsidR="00955A27" w:rsidRPr="001667DB" w14:paraId="616DB7F4" w14:textId="77777777">
        <w:tc>
          <w:tcPr>
            <w:tcW w:w="1900" w:type="dxa"/>
            <w:vMerge/>
          </w:tcPr>
          <w:p w14:paraId="641C6020"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300" w:type="dxa"/>
            <w:gridSpan w:val="2"/>
          </w:tcPr>
          <w:p w14:paraId="2FA096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AC16P</w:t>
            </w:r>
          </w:p>
          <w:p w14:paraId="3EC4FA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KR1-KR2</w:t>
            </w:r>
          </w:p>
        </w:tc>
        <w:tc>
          <w:tcPr>
            <w:tcW w:w="1300" w:type="dxa"/>
            <w:gridSpan w:val="2"/>
          </w:tcPr>
          <w:p w14:paraId="25B8BF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AC22P</w:t>
            </w:r>
          </w:p>
          <w:p w14:paraId="3B862DC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KR1-KR2</w:t>
            </w:r>
          </w:p>
        </w:tc>
        <w:tc>
          <w:tcPr>
            <w:tcW w:w="1300" w:type="dxa"/>
            <w:gridSpan w:val="2"/>
          </w:tcPr>
          <w:p w14:paraId="25967C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AC16P</w:t>
            </w:r>
          </w:p>
          <w:p w14:paraId="1923479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KR3-KR7</w:t>
            </w:r>
          </w:p>
        </w:tc>
        <w:tc>
          <w:tcPr>
            <w:tcW w:w="1300" w:type="dxa"/>
            <w:gridSpan w:val="2"/>
          </w:tcPr>
          <w:p w14:paraId="797D24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AC22P</w:t>
            </w:r>
          </w:p>
          <w:p w14:paraId="50EFE2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KR3-KR7</w:t>
            </w:r>
          </w:p>
        </w:tc>
        <w:tc>
          <w:tcPr>
            <w:tcW w:w="1528" w:type="dxa"/>
            <w:gridSpan w:val="2"/>
            <w:shd w:val="clear" w:color="auto" w:fill="auto"/>
          </w:tcPr>
          <w:p w14:paraId="1DCD77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AC32P</w:t>
            </w:r>
          </w:p>
          <w:p w14:paraId="6E73897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KR3-KR-7</w:t>
            </w:r>
          </w:p>
        </w:tc>
      </w:tr>
      <w:tr w:rsidR="00955A27" w:rsidRPr="001667DB" w14:paraId="5025BEDF" w14:textId="77777777">
        <w:tc>
          <w:tcPr>
            <w:tcW w:w="1900" w:type="dxa"/>
          </w:tcPr>
          <w:p w14:paraId="4936F31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Wymiar sita #, [mm]</w:t>
            </w:r>
          </w:p>
        </w:tc>
        <w:tc>
          <w:tcPr>
            <w:tcW w:w="600" w:type="dxa"/>
          </w:tcPr>
          <w:p w14:paraId="5C1999D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700" w:type="dxa"/>
          </w:tcPr>
          <w:p w14:paraId="5D2ED18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c>
          <w:tcPr>
            <w:tcW w:w="600" w:type="dxa"/>
          </w:tcPr>
          <w:p w14:paraId="6829D3E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700" w:type="dxa"/>
          </w:tcPr>
          <w:p w14:paraId="27B34246" w14:textId="77777777" w:rsidR="00955A27" w:rsidRPr="001667DB" w:rsidRDefault="00955A27" w:rsidP="00955A27">
            <w:pPr>
              <w:spacing w:before="120" w:after="120" w:line="360" w:lineRule="auto"/>
              <w:ind w:left="70"/>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c>
          <w:tcPr>
            <w:tcW w:w="600" w:type="dxa"/>
          </w:tcPr>
          <w:p w14:paraId="23024CD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700" w:type="dxa"/>
          </w:tcPr>
          <w:p w14:paraId="2A4AFD5F"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c>
          <w:tcPr>
            <w:tcW w:w="600" w:type="dxa"/>
          </w:tcPr>
          <w:p w14:paraId="19E6E58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700" w:type="dxa"/>
          </w:tcPr>
          <w:p w14:paraId="49FF3DF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c>
          <w:tcPr>
            <w:tcW w:w="808" w:type="dxa"/>
            <w:shd w:val="clear" w:color="auto" w:fill="auto"/>
          </w:tcPr>
          <w:p w14:paraId="5FF9C84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720" w:type="dxa"/>
            <w:shd w:val="clear" w:color="auto" w:fill="auto"/>
          </w:tcPr>
          <w:p w14:paraId="0C84726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r>
      <w:tr w:rsidR="00955A27" w:rsidRPr="001667DB" w14:paraId="4B8FEB7F" w14:textId="77777777">
        <w:tc>
          <w:tcPr>
            <w:tcW w:w="1900" w:type="dxa"/>
          </w:tcPr>
          <w:p w14:paraId="531848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w:t>
            </w:r>
          </w:p>
        </w:tc>
        <w:tc>
          <w:tcPr>
            <w:tcW w:w="600" w:type="dxa"/>
          </w:tcPr>
          <w:p w14:paraId="65A622B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318FDB5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76DD9B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2EADE39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600181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34D9D2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2377BD7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43AD29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808" w:type="dxa"/>
            <w:shd w:val="clear" w:color="auto" w:fill="auto"/>
          </w:tcPr>
          <w:p w14:paraId="6529323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720" w:type="dxa"/>
            <w:shd w:val="clear" w:color="auto" w:fill="auto"/>
          </w:tcPr>
          <w:p w14:paraId="7878C0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1F224DFF" w14:textId="77777777">
        <w:tc>
          <w:tcPr>
            <w:tcW w:w="1900" w:type="dxa"/>
          </w:tcPr>
          <w:p w14:paraId="6B4A354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31,5</w:t>
            </w:r>
          </w:p>
        </w:tc>
        <w:tc>
          <w:tcPr>
            <w:tcW w:w="600" w:type="dxa"/>
          </w:tcPr>
          <w:p w14:paraId="18EB1C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0EB79C5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34F6B09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700" w:type="dxa"/>
          </w:tcPr>
          <w:p w14:paraId="76E187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45058F7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015D17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6B53CD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700" w:type="dxa"/>
          </w:tcPr>
          <w:p w14:paraId="090809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808" w:type="dxa"/>
            <w:shd w:val="clear" w:color="auto" w:fill="auto"/>
          </w:tcPr>
          <w:p w14:paraId="14614A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720" w:type="dxa"/>
            <w:shd w:val="clear" w:color="auto" w:fill="auto"/>
          </w:tcPr>
          <w:p w14:paraId="736259F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100</w:t>
            </w:r>
          </w:p>
        </w:tc>
      </w:tr>
      <w:tr w:rsidR="00955A27" w:rsidRPr="001667DB" w14:paraId="5077C721" w14:textId="77777777">
        <w:tc>
          <w:tcPr>
            <w:tcW w:w="1900" w:type="dxa"/>
          </w:tcPr>
          <w:p w14:paraId="0216ED7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22,4</w:t>
            </w:r>
          </w:p>
        </w:tc>
        <w:tc>
          <w:tcPr>
            <w:tcW w:w="600" w:type="dxa"/>
          </w:tcPr>
          <w:p w14:paraId="44A04F5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700" w:type="dxa"/>
          </w:tcPr>
          <w:p w14:paraId="55115C8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1618A62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700" w:type="dxa"/>
          </w:tcPr>
          <w:p w14:paraId="4AAAF5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600" w:type="dxa"/>
          </w:tcPr>
          <w:p w14:paraId="1B9C906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700" w:type="dxa"/>
          </w:tcPr>
          <w:p w14:paraId="605B89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32BC3F7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700" w:type="dxa"/>
          </w:tcPr>
          <w:p w14:paraId="7ADB2E0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808" w:type="dxa"/>
            <w:shd w:val="clear" w:color="auto" w:fill="auto"/>
          </w:tcPr>
          <w:p w14:paraId="45821AD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720" w:type="dxa"/>
            <w:shd w:val="clear" w:color="auto" w:fill="auto"/>
          </w:tcPr>
          <w:p w14:paraId="2B4D53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90</w:t>
            </w:r>
          </w:p>
        </w:tc>
      </w:tr>
      <w:tr w:rsidR="00955A27" w:rsidRPr="001667DB" w14:paraId="68BD480C" w14:textId="77777777">
        <w:tc>
          <w:tcPr>
            <w:tcW w:w="1900" w:type="dxa"/>
          </w:tcPr>
          <w:p w14:paraId="1E1F19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600" w:type="dxa"/>
          </w:tcPr>
          <w:p w14:paraId="2A28CF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700" w:type="dxa"/>
          </w:tcPr>
          <w:p w14:paraId="7AB7B52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600" w:type="dxa"/>
          </w:tcPr>
          <w:p w14:paraId="74AE357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700" w:type="dxa"/>
          </w:tcPr>
          <w:p w14:paraId="5A4535F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93</w:t>
            </w:r>
          </w:p>
        </w:tc>
        <w:tc>
          <w:tcPr>
            <w:tcW w:w="600" w:type="dxa"/>
          </w:tcPr>
          <w:p w14:paraId="2C33758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700" w:type="dxa"/>
          </w:tcPr>
          <w:p w14:paraId="4D30BC7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600" w:type="dxa"/>
          </w:tcPr>
          <w:p w14:paraId="61BB2E2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700" w:type="dxa"/>
          </w:tcPr>
          <w:p w14:paraId="64E71B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w:t>
            </w:r>
          </w:p>
        </w:tc>
        <w:tc>
          <w:tcPr>
            <w:tcW w:w="808" w:type="dxa"/>
            <w:shd w:val="clear" w:color="auto" w:fill="auto"/>
          </w:tcPr>
          <w:p w14:paraId="1104117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20" w:type="dxa"/>
            <w:shd w:val="clear" w:color="auto" w:fill="auto"/>
          </w:tcPr>
          <w:p w14:paraId="641DDD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2272D544" w14:textId="77777777">
        <w:tc>
          <w:tcPr>
            <w:tcW w:w="1900" w:type="dxa"/>
          </w:tcPr>
          <w:p w14:paraId="4081DAD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11,2</w:t>
            </w:r>
          </w:p>
        </w:tc>
        <w:tc>
          <w:tcPr>
            <w:tcW w:w="600" w:type="dxa"/>
          </w:tcPr>
          <w:p w14:paraId="50B6165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70</w:t>
            </w:r>
          </w:p>
        </w:tc>
        <w:tc>
          <w:tcPr>
            <w:tcW w:w="700" w:type="dxa"/>
          </w:tcPr>
          <w:p w14:paraId="7484017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92</w:t>
            </w:r>
          </w:p>
        </w:tc>
        <w:tc>
          <w:tcPr>
            <w:tcW w:w="600" w:type="dxa"/>
          </w:tcPr>
          <w:p w14:paraId="07380CD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0C5258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600" w:type="dxa"/>
          </w:tcPr>
          <w:p w14:paraId="4E24594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700" w:type="dxa"/>
          </w:tcPr>
          <w:p w14:paraId="6381DF3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85</w:t>
            </w:r>
          </w:p>
        </w:tc>
        <w:tc>
          <w:tcPr>
            <w:tcW w:w="600" w:type="dxa"/>
          </w:tcPr>
          <w:p w14:paraId="085D4CC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00" w:type="dxa"/>
          </w:tcPr>
          <w:p w14:paraId="7E5805B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808" w:type="dxa"/>
            <w:shd w:val="clear" w:color="auto" w:fill="auto"/>
          </w:tcPr>
          <w:p w14:paraId="11DF8A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720" w:type="dxa"/>
            <w:shd w:val="clear" w:color="auto" w:fill="auto"/>
          </w:tcPr>
          <w:p w14:paraId="47DDC8F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6AC5C4E0" w14:textId="77777777">
        <w:tc>
          <w:tcPr>
            <w:tcW w:w="1900" w:type="dxa"/>
          </w:tcPr>
          <w:p w14:paraId="2A6C54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600" w:type="dxa"/>
          </w:tcPr>
          <w:p w14:paraId="18DFED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700" w:type="dxa"/>
          </w:tcPr>
          <w:p w14:paraId="61B1BA5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85</w:t>
            </w:r>
          </w:p>
        </w:tc>
        <w:tc>
          <w:tcPr>
            <w:tcW w:w="600" w:type="dxa"/>
          </w:tcPr>
          <w:p w14:paraId="7A468DA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42</w:t>
            </w:r>
          </w:p>
        </w:tc>
        <w:tc>
          <w:tcPr>
            <w:tcW w:w="700" w:type="dxa"/>
          </w:tcPr>
          <w:p w14:paraId="7FB4DE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72</w:t>
            </w:r>
          </w:p>
        </w:tc>
        <w:tc>
          <w:tcPr>
            <w:tcW w:w="600" w:type="dxa"/>
          </w:tcPr>
          <w:p w14:paraId="58C1882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700" w:type="dxa"/>
          </w:tcPr>
          <w:p w14:paraId="1390A84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76</w:t>
            </w:r>
          </w:p>
        </w:tc>
        <w:tc>
          <w:tcPr>
            <w:tcW w:w="600" w:type="dxa"/>
          </w:tcPr>
          <w:p w14:paraId="2F9414B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42</w:t>
            </w:r>
          </w:p>
        </w:tc>
        <w:tc>
          <w:tcPr>
            <w:tcW w:w="700" w:type="dxa"/>
          </w:tcPr>
          <w:p w14:paraId="5EEB8C6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68</w:t>
            </w:r>
          </w:p>
        </w:tc>
        <w:tc>
          <w:tcPr>
            <w:tcW w:w="808" w:type="dxa"/>
            <w:shd w:val="clear" w:color="auto" w:fill="auto"/>
          </w:tcPr>
          <w:p w14:paraId="0D76B9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720" w:type="dxa"/>
            <w:shd w:val="clear" w:color="auto" w:fill="auto"/>
          </w:tcPr>
          <w:p w14:paraId="1EC4463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53</w:t>
            </w:r>
          </w:p>
        </w:tc>
      </w:tr>
      <w:tr w:rsidR="00955A27" w:rsidRPr="001667DB" w14:paraId="37D5196B" w14:textId="77777777">
        <w:tc>
          <w:tcPr>
            <w:tcW w:w="1900" w:type="dxa"/>
          </w:tcPr>
          <w:p w14:paraId="401EC7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600" w:type="dxa"/>
          </w:tcPr>
          <w:p w14:paraId="77EA8C5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700" w:type="dxa"/>
          </w:tcPr>
          <w:p w14:paraId="7C180E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600" w:type="dxa"/>
          </w:tcPr>
          <w:p w14:paraId="41EF280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700" w:type="dxa"/>
          </w:tcPr>
          <w:p w14:paraId="0EDF245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w:t>
            </w:r>
          </w:p>
        </w:tc>
        <w:tc>
          <w:tcPr>
            <w:tcW w:w="600" w:type="dxa"/>
          </w:tcPr>
          <w:p w14:paraId="218277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700" w:type="dxa"/>
          </w:tcPr>
          <w:p w14:paraId="251DE5D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600" w:type="dxa"/>
          </w:tcPr>
          <w:p w14:paraId="07076B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700" w:type="dxa"/>
          </w:tcPr>
          <w:p w14:paraId="42A7AA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w:t>
            </w:r>
          </w:p>
        </w:tc>
        <w:tc>
          <w:tcPr>
            <w:tcW w:w="808" w:type="dxa"/>
            <w:shd w:val="clear" w:color="auto" w:fill="auto"/>
          </w:tcPr>
          <w:p w14:paraId="3536E62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720" w:type="dxa"/>
            <w:shd w:val="clear" w:color="auto" w:fill="auto"/>
          </w:tcPr>
          <w:p w14:paraId="1628D7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40</w:t>
            </w:r>
          </w:p>
        </w:tc>
      </w:tr>
      <w:tr w:rsidR="00955A27" w:rsidRPr="001667DB" w14:paraId="663710EB" w14:textId="77777777">
        <w:tc>
          <w:tcPr>
            <w:tcW w:w="1900" w:type="dxa"/>
          </w:tcPr>
          <w:p w14:paraId="053CFFC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0,125</w:t>
            </w:r>
          </w:p>
        </w:tc>
        <w:tc>
          <w:tcPr>
            <w:tcW w:w="600" w:type="dxa"/>
          </w:tcPr>
          <w:p w14:paraId="102E44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700" w:type="dxa"/>
          </w:tcPr>
          <w:p w14:paraId="5A1314F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600" w:type="dxa"/>
          </w:tcPr>
          <w:p w14:paraId="291818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700" w:type="dxa"/>
          </w:tcPr>
          <w:p w14:paraId="1C5FA0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600" w:type="dxa"/>
          </w:tcPr>
          <w:p w14:paraId="1B8F2A6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700" w:type="dxa"/>
          </w:tcPr>
          <w:p w14:paraId="5E5A29B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600" w:type="dxa"/>
          </w:tcPr>
          <w:p w14:paraId="43FE9D0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00" w:type="dxa"/>
          </w:tcPr>
          <w:p w14:paraId="19DB10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808" w:type="dxa"/>
            <w:shd w:val="clear" w:color="auto" w:fill="auto"/>
          </w:tcPr>
          <w:p w14:paraId="04039B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20" w:type="dxa"/>
            <w:shd w:val="clear" w:color="auto" w:fill="auto"/>
          </w:tcPr>
          <w:p w14:paraId="1980332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036A515C" w14:textId="77777777">
        <w:tc>
          <w:tcPr>
            <w:tcW w:w="1900" w:type="dxa"/>
          </w:tcPr>
          <w:p w14:paraId="6990F89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0,063</w:t>
            </w:r>
          </w:p>
        </w:tc>
        <w:tc>
          <w:tcPr>
            <w:tcW w:w="600" w:type="dxa"/>
          </w:tcPr>
          <w:p w14:paraId="799D7DF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00" w:type="dxa"/>
          </w:tcPr>
          <w:p w14:paraId="29F54C2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600" w:type="dxa"/>
          </w:tcPr>
          <w:p w14:paraId="427790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00" w:type="dxa"/>
          </w:tcPr>
          <w:p w14:paraId="000240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600" w:type="dxa"/>
          </w:tcPr>
          <w:p w14:paraId="717C10B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c>
          <w:tcPr>
            <w:tcW w:w="700" w:type="dxa"/>
          </w:tcPr>
          <w:p w14:paraId="3F9966E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600" w:type="dxa"/>
          </w:tcPr>
          <w:p w14:paraId="7B0DF6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700" w:type="dxa"/>
          </w:tcPr>
          <w:p w14:paraId="61A8F32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808" w:type="dxa"/>
            <w:shd w:val="clear" w:color="auto" w:fill="auto"/>
          </w:tcPr>
          <w:p w14:paraId="2985405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720" w:type="dxa"/>
            <w:shd w:val="clear" w:color="auto" w:fill="auto"/>
          </w:tcPr>
          <w:p w14:paraId="7802184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26424F58" w14:textId="77777777">
        <w:tc>
          <w:tcPr>
            <w:tcW w:w="1900" w:type="dxa"/>
          </w:tcPr>
          <w:p w14:paraId="20BFE9C0" w14:textId="77777777" w:rsidR="00955A27" w:rsidRPr="001667DB" w:rsidRDefault="00955A27" w:rsidP="00955A27">
            <w:pPr>
              <w:spacing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Zawartość lepiszcza, minimum</w:t>
            </w:r>
            <w:r w:rsidRPr="001667DB">
              <w:rPr>
                <w:rFonts w:ascii="Times New Roman" w:hAnsi="Times New Roman" w:cs="Times New Roman"/>
                <w:color w:val="000000" w:themeColor="text1"/>
                <w:vertAlign w:val="superscript"/>
              </w:rPr>
              <w:t>*)</w:t>
            </w:r>
          </w:p>
        </w:tc>
        <w:tc>
          <w:tcPr>
            <w:tcW w:w="1300" w:type="dxa"/>
            <w:gridSpan w:val="2"/>
          </w:tcPr>
          <w:p w14:paraId="7D772E7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min4,4</w:t>
            </w:r>
          </w:p>
        </w:tc>
        <w:tc>
          <w:tcPr>
            <w:tcW w:w="1300" w:type="dxa"/>
            <w:gridSpan w:val="2"/>
          </w:tcPr>
          <w:p w14:paraId="603F2CA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min4,2</w:t>
            </w:r>
          </w:p>
        </w:tc>
        <w:tc>
          <w:tcPr>
            <w:tcW w:w="1300" w:type="dxa"/>
            <w:gridSpan w:val="2"/>
          </w:tcPr>
          <w:p w14:paraId="72A1DCC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min4,2</w:t>
            </w:r>
          </w:p>
        </w:tc>
        <w:tc>
          <w:tcPr>
            <w:tcW w:w="1300" w:type="dxa"/>
            <w:gridSpan w:val="2"/>
          </w:tcPr>
          <w:p w14:paraId="469EFE9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min4,0</w:t>
            </w:r>
          </w:p>
        </w:tc>
        <w:tc>
          <w:tcPr>
            <w:tcW w:w="1528" w:type="dxa"/>
            <w:gridSpan w:val="2"/>
            <w:shd w:val="clear" w:color="auto" w:fill="auto"/>
          </w:tcPr>
          <w:p w14:paraId="5C9A4B29" w14:textId="77777777" w:rsidR="00955A27" w:rsidRPr="001667DB" w:rsidRDefault="00955A27" w:rsidP="00955A27">
            <w:pPr>
              <w:spacing w:before="100" w:beforeAutospacing="1"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min3,8</w:t>
            </w:r>
          </w:p>
        </w:tc>
      </w:tr>
      <w:tr w:rsidR="00955A27" w:rsidRPr="001667DB" w14:paraId="3D5205CA" w14:textId="77777777">
        <w:tblPrEx>
          <w:tblCellMar>
            <w:left w:w="70" w:type="dxa"/>
            <w:right w:w="70" w:type="dxa"/>
          </w:tblCellMar>
          <w:tblLook w:val="0000" w:firstRow="0" w:lastRow="0" w:firstColumn="0" w:lastColumn="0" w:noHBand="0" w:noVBand="0"/>
        </w:tblPrEx>
        <w:trPr>
          <w:trHeight w:val="656"/>
        </w:trPr>
        <w:tc>
          <w:tcPr>
            <w:tcW w:w="8628" w:type="dxa"/>
            <w:gridSpan w:val="11"/>
          </w:tcPr>
          <w:p w14:paraId="58EAA893" w14:textId="77777777" w:rsidR="00955A27" w:rsidRPr="001667DB" w:rsidRDefault="00955A27" w:rsidP="00955A27">
            <w:pPr>
              <w:tabs>
                <w:tab w:val="left" w:pos="180"/>
              </w:tabs>
              <w:spacing w:before="120" w:after="120" w:line="360" w:lineRule="auto"/>
              <w:ind w:left="180" w:hanging="180"/>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w:t>
            </w:r>
            <w:r w:rsidRPr="001667DB">
              <w:rPr>
                <w:rFonts w:ascii="Times New Roman" w:hAnsi="Times New Roman" w:cs="Times New Roman"/>
                <w:color w:val="000000" w:themeColor="text1"/>
              </w:rPr>
              <w:tab/>
              <w:t>Minimalna zawartość lepiszcza jest określona przy założonej gęstości mieszanki mineralnej 2,650  Mg/m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Jeżeli stosowana mieszanka mineralna ma inną gęstość (</w:t>
            </w:r>
            <w:r w:rsidRPr="001667DB">
              <w:rPr>
                <w:rFonts w:ascii="Times New Roman" w:hAnsi="Times New Roman" w:cs="Times New Roman"/>
                <w:i/>
                <w:color w:val="000000" w:themeColor="text1"/>
              </w:rPr>
              <w:t>ρ</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to do wyznaczenia </w:t>
            </w:r>
            <w:r w:rsidRPr="001667DB">
              <w:rPr>
                <w:rFonts w:ascii="Times New Roman" w:hAnsi="Times New Roman" w:cs="Times New Roman"/>
                <w:color w:val="000000" w:themeColor="text1"/>
              </w:rPr>
              <w:lastRenderedPageBreak/>
              <w:t xml:space="preserve">minimalnej zawartości lepiszcza podaną wartość należy pomnożyć przez współczynnik </w:t>
            </w:r>
            <w:r w:rsidRPr="001667DB">
              <w:rPr>
                <w:rFonts w:ascii="Times New Roman" w:hAnsi="Times New Roman" w:cs="Times New Roman"/>
                <w:color w:val="000000" w:themeColor="text1"/>
                <w:position w:val="-6"/>
              </w:rPr>
              <w:object w:dxaOrig="240" w:dyaOrig="220" w14:anchorId="7444C5A6">
                <v:shape id="_x0000_i1031" type="#_x0000_t75" style="width:14.25pt;height:14.25pt" o:ole="">
                  <v:imagedata r:id="rId38" o:title=""/>
                </v:shape>
                <o:OLEObject Type="Embed" ProgID="Equation.3" ShapeID="_x0000_i1031" DrawAspect="Content" ObjectID="_1802247867" r:id="rId39"/>
              </w:object>
            </w:r>
            <w:r w:rsidRPr="001667DB">
              <w:rPr>
                <w:rFonts w:ascii="Times New Roman" w:hAnsi="Times New Roman" w:cs="Times New Roman"/>
                <w:color w:val="000000" w:themeColor="text1"/>
              </w:rPr>
              <w:t xml:space="preserve"> według równania:  </w:t>
            </w:r>
            <w:r w:rsidRPr="001667DB">
              <w:rPr>
                <w:rFonts w:ascii="Times New Roman" w:hAnsi="Times New Roman" w:cs="Times New Roman"/>
                <w:color w:val="000000" w:themeColor="text1"/>
                <w:position w:val="-30"/>
              </w:rPr>
              <w:object w:dxaOrig="880" w:dyaOrig="680" w14:anchorId="0D5F77BB">
                <v:shape id="_x0000_i1032" type="#_x0000_t75" style="width:43.5pt;height:36pt" o:ole="">
                  <v:imagedata r:id="rId40" o:title=""/>
                </v:shape>
                <o:OLEObject Type="Embed" ProgID="Equation.3" ShapeID="_x0000_i1032" DrawAspect="Content" ObjectID="_1802247868" r:id="rId41"/>
              </w:object>
            </w:r>
          </w:p>
        </w:tc>
      </w:tr>
    </w:tbl>
    <w:p w14:paraId="0EB4EFED" w14:textId="77777777" w:rsidR="00955A27" w:rsidRPr="001667DB" w:rsidRDefault="00441A30" w:rsidP="00955A27">
      <w:pPr>
        <w:pStyle w:val="Nagwek2"/>
        <w:spacing w:line="360" w:lineRule="auto"/>
        <w:ind w:left="720" w:hanging="720"/>
        <w:rPr>
          <w:color w:val="000000" w:themeColor="text1"/>
          <w:sz w:val="22"/>
          <w:szCs w:val="22"/>
        </w:rPr>
      </w:pPr>
      <w:r w:rsidRPr="001667DB">
        <w:rPr>
          <w:color w:val="000000" w:themeColor="text1"/>
          <w:sz w:val="22"/>
          <w:szCs w:val="22"/>
        </w:rPr>
        <w:lastRenderedPageBreak/>
        <w:t>2.10</w:t>
      </w:r>
      <w:r w:rsidR="00955A27" w:rsidRPr="001667DB">
        <w:rPr>
          <w:color w:val="000000" w:themeColor="text1"/>
          <w:sz w:val="22"/>
          <w:szCs w:val="22"/>
        </w:rPr>
        <w:t>. Właściwości mieszaki mineralno-asfaltowej do wykonania betonu asfaltowego do warstwy podbudowy</w:t>
      </w:r>
    </w:p>
    <w:p w14:paraId="4E650CE5"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Wymagane właściwości mieszanki mineralno-asfaltowej podane są w tablicach  21, 22 i 23. </w:t>
      </w:r>
    </w:p>
    <w:p w14:paraId="15AC9711" w14:textId="77777777" w:rsidR="00955A27" w:rsidRPr="001667DB" w:rsidRDefault="00955A27" w:rsidP="00955A27">
      <w:pPr>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21.</w:t>
      </w:r>
      <w:r w:rsidRPr="001667DB">
        <w:rPr>
          <w:rFonts w:ascii="Times New Roman" w:hAnsi="Times New Roman" w:cs="Times New Roman"/>
          <w:color w:val="000000" w:themeColor="text1"/>
        </w:rPr>
        <w:tab/>
        <w:t>Wymagane właściwości mieszanki mineralno-asfaltowej do warstwy podbudowy, dla ruchu KR1 ÷ KR2</w:t>
      </w:r>
    </w:p>
    <w:tbl>
      <w:tblPr>
        <w:tblW w:w="8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680"/>
        <w:gridCol w:w="2280"/>
        <w:gridCol w:w="1108"/>
        <w:gridCol w:w="1260"/>
      </w:tblGrid>
      <w:tr w:rsidR="00955A27" w:rsidRPr="001667DB" w14:paraId="58269071" w14:textId="77777777">
        <w:tc>
          <w:tcPr>
            <w:tcW w:w="2388" w:type="dxa"/>
            <w:vAlign w:val="center"/>
          </w:tcPr>
          <w:p w14:paraId="192C33E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1680" w:type="dxa"/>
            <w:vAlign w:val="center"/>
          </w:tcPr>
          <w:p w14:paraId="4FCFFEC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Warunki zagęszczania wg PN-EN </w:t>
            </w:r>
          </w:p>
          <w:p w14:paraId="796D2A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13108-20 [54]</w:t>
            </w:r>
          </w:p>
        </w:tc>
        <w:tc>
          <w:tcPr>
            <w:tcW w:w="2280" w:type="dxa"/>
            <w:vAlign w:val="center"/>
          </w:tcPr>
          <w:p w14:paraId="6BF6CD3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i warunki badania</w:t>
            </w:r>
          </w:p>
        </w:tc>
        <w:tc>
          <w:tcPr>
            <w:tcW w:w="1108" w:type="dxa"/>
            <w:shd w:val="clear" w:color="auto" w:fill="auto"/>
            <w:vAlign w:val="center"/>
          </w:tcPr>
          <w:p w14:paraId="762AC57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AC16P</w:t>
            </w:r>
          </w:p>
        </w:tc>
        <w:tc>
          <w:tcPr>
            <w:tcW w:w="1260" w:type="dxa"/>
            <w:shd w:val="clear" w:color="auto" w:fill="auto"/>
            <w:vAlign w:val="center"/>
          </w:tcPr>
          <w:p w14:paraId="61E6390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AC22P</w:t>
            </w:r>
          </w:p>
        </w:tc>
      </w:tr>
      <w:tr w:rsidR="00955A27" w:rsidRPr="001667DB" w14:paraId="3F842AF2" w14:textId="77777777">
        <w:tc>
          <w:tcPr>
            <w:tcW w:w="2388" w:type="dxa"/>
            <w:vAlign w:val="center"/>
          </w:tcPr>
          <w:p w14:paraId="5A80232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w:t>
            </w:r>
          </w:p>
        </w:tc>
        <w:tc>
          <w:tcPr>
            <w:tcW w:w="1680" w:type="dxa"/>
            <w:vAlign w:val="center"/>
          </w:tcPr>
          <w:p w14:paraId="00D182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280" w:type="dxa"/>
            <w:vAlign w:val="center"/>
          </w:tcPr>
          <w:p w14:paraId="009316E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[37], </w:t>
            </w:r>
          </w:p>
          <w:p w14:paraId="25E2C3D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4</w:t>
            </w:r>
          </w:p>
        </w:tc>
        <w:tc>
          <w:tcPr>
            <w:tcW w:w="1108" w:type="dxa"/>
            <w:shd w:val="clear" w:color="auto" w:fill="auto"/>
            <w:vAlign w:val="center"/>
          </w:tcPr>
          <w:p w14:paraId="077FA9E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 4,0</w:t>
            </w:r>
          </w:p>
          <w:p w14:paraId="47A5636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  8,0</w:t>
            </w:r>
          </w:p>
        </w:tc>
        <w:tc>
          <w:tcPr>
            <w:tcW w:w="1260" w:type="dxa"/>
            <w:shd w:val="clear" w:color="auto" w:fill="auto"/>
            <w:vAlign w:val="center"/>
          </w:tcPr>
          <w:p w14:paraId="2EE3919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  4,0</w:t>
            </w:r>
          </w:p>
          <w:p w14:paraId="6B5539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  8,0</w:t>
            </w:r>
          </w:p>
        </w:tc>
      </w:tr>
      <w:tr w:rsidR="00955A27" w:rsidRPr="001667DB" w14:paraId="1B710309" w14:textId="77777777">
        <w:tc>
          <w:tcPr>
            <w:tcW w:w="2388" w:type="dxa"/>
            <w:vAlign w:val="center"/>
          </w:tcPr>
          <w:p w14:paraId="4C70560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Wolne przestrzenie wypełnione lepiszczem</w:t>
            </w:r>
          </w:p>
        </w:tc>
        <w:tc>
          <w:tcPr>
            <w:tcW w:w="1680" w:type="dxa"/>
            <w:vAlign w:val="center"/>
          </w:tcPr>
          <w:p w14:paraId="0CA0919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280" w:type="dxa"/>
            <w:vAlign w:val="center"/>
          </w:tcPr>
          <w:p w14:paraId="06FE72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[37], </w:t>
            </w:r>
          </w:p>
          <w:p w14:paraId="6A8028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5</w:t>
            </w:r>
          </w:p>
        </w:tc>
        <w:tc>
          <w:tcPr>
            <w:tcW w:w="1108" w:type="dxa"/>
            <w:shd w:val="clear" w:color="auto" w:fill="auto"/>
            <w:vAlign w:val="center"/>
          </w:tcPr>
          <w:p w14:paraId="518BC44B"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min 50</w:t>
            </w:r>
          </w:p>
          <w:p w14:paraId="79F65CD7"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max 74</w:t>
            </w:r>
          </w:p>
        </w:tc>
        <w:tc>
          <w:tcPr>
            <w:tcW w:w="1260" w:type="dxa"/>
            <w:shd w:val="clear" w:color="auto" w:fill="auto"/>
            <w:vAlign w:val="center"/>
          </w:tcPr>
          <w:p w14:paraId="7B549E03"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min 50</w:t>
            </w:r>
          </w:p>
          <w:p w14:paraId="783EC7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max 74</w:t>
            </w:r>
          </w:p>
        </w:tc>
      </w:tr>
      <w:tr w:rsidR="00955A27" w:rsidRPr="001667DB" w14:paraId="2408B231" w14:textId="77777777">
        <w:tc>
          <w:tcPr>
            <w:tcW w:w="2388" w:type="dxa"/>
            <w:vAlign w:val="center"/>
          </w:tcPr>
          <w:p w14:paraId="598E21F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mieszance mineralnej</w:t>
            </w:r>
          </w:p>
        </w:tc>
        <w:tc>
          <w:tcPr>
            <w:tcW w:w="1680" w:type="dxa"/>
            <w:vAlign w:val="center"/>
          </w:tcPr>
          <w:p w14:paraId="3CB92B2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280" w:type="dxa"/>
            <w:vAlign w:val="center"/>
          </w:tcPr>
          <w:p w14:paraId="26B9B3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[37], </w:t>
            </w:r>
          </w:p>
          <w:p w14:paraId="3D26A1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5</w:t>
            </w:r>
          </w:p>
        </w:tc>
        <w:tc>
          <w:tcPr>
            <w:tcW w:w="1108" w:type="dxa"/>
            <w:shd w:val="clear" w:color="auto" w:fill="auto"/>
            <w:vAlign w:val="center"/>
          </w:tcPr>
          <w:p w14:paraId="0E0D25C7" w14:textId="77777777" w:rsidR="00955A27" w:rsidRPr="001667DB" w:rsidRDefault="00955A27"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VMA</w:t>
            </w:r>
            <w:r w:rsidRPr="001667DB">
              <w:rPr>
                <w:rFonts w:ascii="Times New Roman" w:hAnsi="Times New Roman" w:cs="Times New Roman"/>
                <w:i/>
                <w:color w:val="000000" w:themeColor="text1"/>
                <w:vertAlign w:val="subscript"/>
              </w:rPr>
              <w:t>min 14</w:t>
            </w:r>
          </w:p>
        </w:tc>
        <w:tc>
          <w:tcPr>
            <w:tcW w:w="1260" w:type="dxa"/>
            <w:shd w:val="clear" w:color="auto" w:fill="auto"/>
            <w:vAlign w:val="center"/>
          </w:tcPr>
          <w:p w14:paraId="296F0B13" w14:textId="77777777" w:rsidR="00955A27" w:rsidRPr="001667DB" w:rsidRDefault="00955A27"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VMA</w:t>
            </w:r>
            <w:r w:rsidRPr="001667DB">
              <w:rPr>
                <w:rFonts w:ascii="Times New Roman" w:hAnsi="Times New Roman" w:cs="Times New Roman"/>
                <w:i/>
                <w:color w:val="000000" w:themeColor="text1"/>
                <w:vertAlign w:val="subscript"/>
              </w:rPr>
              <w:t>min 14</w:t>
            </w:r>
          </w:p>
        </w:tc>
      </w:tr>
      <w:tr w:rsidR="00955A27" w:rsidRPr="001667DB" w14:paraId="16CB991B" w14:textId="77777777">
        <w:tc>
          <w:tcPr>
            <w:tcW w:w="2388" w:type="dxa"/>
            <w:vAlign w:val="center"/>
          </w:tcPr>
          <w:p w14:paraId="7CA8D6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Wrażliwość na działanie wody</w:t>
            </w:r>
          </w:p>
        </w:tc>
        <w:tc>
          <w:tcPr>
            <w:tcW w:w="1680" w:type="dxa"/>
            <w:vAlign w:val="center"/>
          </w:tcPr>
          <w:p w14:paraId="7449DC6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C.1.1,ubijanie, 2×35 uderzeń</w:t>
            </w:r>
          </w:p>
        </w:tc>
        <w:tc>
          <w:tcPr>
            <w:tcW w:w="2280" w:type="dxa"/>
            <w:vAlign w:val="center"/>
          </w:tcPr>
          <w:p w14:paraId="5099059A"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 xml:space="preserve">PN-EN 12697-12 [39], przechowywanie w </w:t>
            </w:r>
            <w:smartTag w:uri="urn:schemas-microsoft-com:office:smarttags" w:element="metricconverter">
              <w:smartTagPr>
                <w:attr w:name="ProductID" w:val="40ﾰC"/>
              </w:smartTagPr>
              <w:r w:rsidRPr="001667DB">
                <w:rPr>
                  <w:rFonts w:ascii="Times New Roman" w:hAnsi="Times New Roman" w:cs="Times New Roman"/>
                  <w:color w:val="000000" w:themeColor="text1"/>
                </w:rPr>
                <w:t>40°C</w:t>
              </w:r>
            </w:smartTag>
            <w:r w:rsidRPr="001667DB">
              <w:rPr>
                <w:rFonts w:ascii="Times New Roman" w:hAnsi="Times New Roman" w:cs="Times New Roman"/>
                <w:color w:val="000000" w:themeColor="text1"/>
              </w:rPr>
              <w:t xml:space="preserve"> z jednym cyklem zamrażania, </w:t>
            </w:r>
            <w:r w:rsidRPr="001667DB">
              <w:rPr>
                <w:rFonts w:ascii="Times New Roman" w:hAnsi="Times New Roman" w:cs="Times New Roman"/>
                <w:color w:val="000000" w:themeColor="text1"/>
                <w:vertAlign w:val="superscript"/>
              </w:rPr>
              <w:t>a)</w:t>
            </w:r>
          </w:p>
          <w:p w14:paraId="1978C8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108" w:type="dxa"/>
            <w:shd w:val="clear" w:color="auto" w:fill="auto"/>
            <w:vAlign w:val="center"/>
          </w:tcPr>
          <w:p w14:paraId="49C2E51A"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ITSR</w:t>
            </w:r>
            <w:r w:rsidRPr="001667DB">
              <w:rPr>
                <w:rFonts w:ascii="Times New Roman" w:hAnsi="Times New Roman" w:cs="Times New Roman"/>
                <w:i/>
                <w:color w:val="000000" w:themeColor="text1"/>
                <w:vertAlign w:val="subscript"/>
              </w:rPr>
              <w:t>70</w:t>
            </w:r>
          </w:p>
        </w:tc>
        <w:tc>
          <w:tcPr>
            <w:tcW w:w="1260" w:type="dxa"/>
            <w:shd w:val="clear" w:color="auto" w:fill="auto"/>
            <w:vAlign w:val="center"/>
          </w:tcPr>
          <w:p w14:paraId="54DBFED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ITSR</w:t>
            </w:r>
            <w:r w:rsidRPr="001667DB">
              <w:rPr>
                <w:rFonts w:ascii="Times New Roman" w:hAnsi="Times New Roman" w:cs="Times New Roman"/>
                <w:color w:val="000000" w:themeColor="text1"/>
                <w:vertAlign w:val="subscript"/>
              </w:rPr>
              <w:t>70</w:t>
            </w:r>
          </w:p>
        </w:tc>
      </w:tr>
    </w:tbl>
    <w:p w14:paraId="1BBD59FB" w14:textId="77777777" w:rsidR="00955A27" w:rsidRPr="001667DB" w:rsidRDefault="00955A27" w:rsidP="00955A27">
      <w:pPr>
        <w:spacing w:before="120" w:after="120" w:line="360" w:lineRule="auto"/>
        <w:ind w:left="142" w:hanging="142"/>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a)</w:t>
      </w:r>
      <w:r w:rsidRPr="001667DB">
        <w:rPr>
          <w:rFonts w:ascii="Times New Roman" w:hAnsi="Times New Roman" w:cs="Times New Roman"/>
          <w:color w:val="000000" w:themeColor="text1"/>
        </w:rPr>
        <w:t xml:space="preserve"> Ujednoliconą procedurę badania odporności na działanie wody podano w WT-2 2014 [82] w załączniku 1.</w:t>
      </w:r>
    </w:p>
    <w:p w14:paraId="4A31BC5D" w14:textId="77777777" w:rsidR="00955A27" w:rsidRPr="001667DB" w:rsidRDefault="00955A27" w:rsidP="00955A27">
      <w:pPr>
        <w:tabs>
          <w:tab w:val="left" w:pos="1134"/>
        </w:tabs>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22.</w:t>
      </w:r>
      <w:r w:rsidRPr="001667DB">
        <w:rPr>
          <w:rFonts w:ascii="Times New Roman" w:hAnsi="Times New Roman" w:cs="Times New Roman"/>
          <w:color w:val="000000" w:themeColor="text1"/>
        </w:rPr>
        <w:tab/>
        <w:t>Wymagane właściwości mieszanki mineralno-asfaltowej do warstwy podbudowy, dla ruchu KR3 ÷ KR4</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8"/>
        <w:gridCol w:w="1680"/>
        <w:gridCol w:w="2520"/>
        <w:gridCol w:w="1320"/>
        <w:gridCol w:w="1320"/>
      </w:tblGrid>
      <w:tr w:rsidR="00955A27" w:rsidRPr="001667DB" w14:paraId="665828DB" w14:textId="77777777">
        <w:tc>
          <w:tcPr>
            <w:tcW w:w="2028" w:type="dxa"/>
            <w:vAlign w:val="center"/>
          </w:tcPr>
          <w:p w14:paraId="71140EE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Właściwość</w:t>
            </w:r>
          </w:p>
        </w:tc>
        <w:tc>
          <w:tcPr>
            <w:tcW w:w="1680" w:type="dxa"/>
            <w:vAlign w:val="center"/>
          </w:tcPr>
          <w:p w14:paraId="298BB87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Warunki zagęszczania wg PN-EN </w:t>
            </w:r>
          </w:p>
          <w:p w14:paraId="702F6D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13108-20  [54]</w:t>
            </w:r>
          </w:p>
        </w:tc>
        <w:tc>
          <w:tcPr>
            <w:tcW w:w="2520" w:type="dxa"/>
            <w:vAlign w:val="center"/>
          </w:tcPr>
          <w:p w14:paraId="668275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i warunki badania</w:t>
            </w:r>
          </w:p>
        </w:tc>
        <w:tc>
          <w:tcPr>
            <w:tcW w:w="1320" w:type="dxa"/>
            <w:vAlign w:val="center"/>
          </w:tcPr>
          <w:p w14:paraId="35E19F4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AC16P</w:t>
            </w:r>
          </w:p>
        </w:tc>
        <w:tc>
          <w:tcPr>
            <w:tcW w:w="1320" w:type="dxa"/>
            <w:vAlign w:val="center"/>
          </w:tcPr>
          <w:p w14:paraId="2BA7B44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AC22P</w:t>
            </w:r>
          </w:p>
          <w:p w14:paraId="5BBC6AC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AC32P</w:t>
            </w:r>
          </w:p>
        </w:tc>
      </w:tr>
      <w:tr w:rsidR="00955A27" w:rsidRPr="001667DB" w14:paraId="2FAAB14E" w14:textId="77777777">
        <w:tc>
          <w:tcPr>
            <w:tcW w:w="2028" w:type="dxa"/>
            <w:vAlign w:val="center"/>
          </w:tcPr>
          <w:p w14:paraId="5F2442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w:t>
            </w:r>
          </w:p>
        </w:tc>
        <w:tc>
          <w:tcPr>
            <w:tcW w:w="1680" w:type="dxa"/>
          </w:tcPr>
          <w:p w14:paraId="0D2A86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C.1.3,ubijanie, 2×75 uderzeń</w:t>
            </w:r>
          </w:p>
        </w:tc>
        <w:tc>
          <w:tcPr>
            <w:tcW w:w="2520" w:type="dxa"/>
          </w:tcPr>
          <w:p w14:paraId="33833F3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[37], </w:t>
            </w:r>
          </w:p>
          <w:p w14:paraId="4D1D16C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4</w:t>
            </w:r>
          </w:p>
        </w:tc>
        <w:tc>
          <w:tcPr>
            <w:tcW w:w="1320" w:type="dxa"/>
          </w:tcPr>
          <w:p w14:paraId="6FFF4B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 4,0</w:t>
            </w:r>
          </w:p>
          <w:p w14:paraId="3008CE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 7,0</w:t>
            </w:r>
          </w:p>
        </w:tc>
        <w:tc>
          <w:tcPr>
            <w:tcW w:w="1320" w:type="dxa"/>
          </w:tcPr>
          <w:p w14:paraId="5CF90D7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 4,0</w:t>
            </w:r>
          </w:p>
          <w:p w14:paraId="59871E8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 7,0</w:t>
            </w:r>
          </w:p>
        </w:tc>
      </w:tr>
      <w:tr w:rsidR="00955A27" w:rsidRPr="001667DB" w14:paraId="3CB35B90" w14:textId="77777777">
        <w:tc>
          <w:tcPr>
            <w:tcW w:w="2028" w:type="dxa"/>
            <w:vAlign w:val="center"/>
          </w:tcPr>
          <w:p w14:paraId="4260C0C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Odporność na deformacje trwałe </w:t>
            </w:r>
            <w:r w:rsidRPr="001667DB">
              <w:rPr>
                <w:rFonts w:ascii="Times New Roman" w:hAnsi="Times New Roman" w:cs="Times New Roman"/>
                <w:color w:val="000000" w:themeColor="text1"/>
                <w:vertAlign w:val="superscript"/>
              </w:rPr>
              <w:t>a)c)</w:t>
            </w:r>
          </w:p>
        </w:tc>
        <w:tc>
          <w:tcPr>
            <w:tcW w:w="1680" w:type="dxa"/>
          </w:tcPr>
          <w:p w14:paraId="14D031B1"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120F0AE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C.1.20, wałowanie,</w:t>
            </w:r>
          </w:p>
          <w:p w14:paraId="6621EAD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98</w:t>
            </w: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100</w:t>
            </w:r>
          </w:p>
        </w:tc>
        <w:tc>
          <w:tcPr>
            <w:tcW w:w="2520" w:type="dxa"/>
          </w:tcPr>
          <w:p w14:paraId="3E3B8A1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12697-22 [41], metoda B       </w:t>
            </w:r>
          </w:p>
          <w:p w14:paraId="0D2E10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powietrzu, </w:t>
            </w:r>
          </w:p>
          <w:p w14:paraId="3B412D7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13108-20, </w:t>
            </w:r>
          </w:p>
          <w:p w14:paraId="4E79BF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D.1.6 [54], </w:t>
            </w:r>
            <w:smartTag w:uri="urn:schemas-microsoft-com:office:smarttags" w:element="metricconverter">
              <w:smartTagPr>
                <w:attr w:name="ProductID" w:val="60ﾰC"/>
              </w:smartTagPr>
              <w:r w:rsidRPr="001667DB">
                <w:rPr>
                  <w:rFonts w:ascii="Times New Roman" w:hAnsi="Times New Roman" w:cs="Times New Roman"/>
                  <w:color w:val="000000" w:themeColor="text1"/>
                </w:rPr>
                <w:t>60°C</w:t>
              </w:r>
            </w:smartTag>
            <w:r w:rsidRPr="001667DB">
              <w:rPr>
                <w:rFonts w:ascii="Times New Roman" w:hAnsi="Times New Roman" w:cs="Times New Roman"/>
                <w:color w:val="000000" w:themeColor="text1"/>
              </w:rPr>
              <w:t xml:space="preserve">, </w:t>
            </w:r>
          </w:p>
          <w:p w14:paraId="2FA4AA2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10 000 cykli</w:t>
            </w:r>
          </w:p>
        </w:tc>
        <w:tc>
          <w:tcPr>
            <w:tcW w:w="1320" w:type="dxa"/>
            <w:vAlign w:val="center"/>
          </w:tcPr>
          <w:p w14:paraId="5B214B80" w14:textId="77777777" w:rsidR="00955A27" w:rsidRPr="001667DB" w:rsidRDefault="00955A27" w:rsidP="00955A27">
            <w:pPr>
              <w:spacing w:after="120" w:line="360" w:lineRule="auto"/>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WTS</w:t>
            </w:r>
            <w:r w:rsidRPr="001667DB">
              <w:rPr>
                <w:rFonts w:ascii="Times New Roman" w:hAnsi="Times New Roman" w:cs="Times New Roman"/>
                <w:color w:val="000000" w:themeColor="text1"/>
                <w:vertAlign w:val="subscript"/>
              </w:rPr>
              <w:t>AIR,0,30</w:t>
            </w:r>
          </w:p>
          <w:p w14:paraId="275A4E76" w14:textId="77777777" w:rsidR="00955A27" w:rsidRPr="001667DB" w:rsidRDefault="00955A27" w:rsidP="00955A27">
            <w:pPr>
              <w:spacing w:after="120" w:line="360" w:lineRule="auto"/>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PRD</w:t>
            </w:r>
            <w:r w:rsidRPr="001667DB">
              <w:rPr>
                <w:rFonts w:ascii="Times New Roman" w:hAnsi="Times New Roman" w:cs="Times New Roman"/>
                <w:color w:val="000000" w:themeColor="text1"/>
                <w:vertAlign w:val="subscript"/>
              </w:rPr>
              <w:t>AIR 9,0</w:t>
            </w:r>
          </w:p>
        </w:tc>
        <w:tc>
          <w:tcPr>
            <w:tcW w:w="1320" w:type="dxa"/>
            <w:vAlign w:val="center"/>
          </w:tcPr>
          <w:p w14:paraId="4E80B9FE"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WTS</w:t>
            </w:r>
            <w:r w:rsidRPr="001667DB">
              <w:rPr>
                <w:rFonts w:ascii="Times New Roman" w:hAnsi="Times New Roman" w:cs="Times New Roman"/>
                <w:color w:val="000000" w:themeColor="text1"/>
                <w:vertAlign w:val="subscript"/>
              </w:rPr>
              <w:t>AIR,0,3</w:t>
            </w:r>
          </w:p>
          <w:p w14:paraId="3B6C16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PRD</w:t>
            </w:r>
            <w:r w:rsidRPr="001667DB">
              <w:rPr>
                <w:rFonts w:ascii="Times New Roman" w:hAnsi="Times New Roman" w:cs="Times New Roman"/>
                <w:color w:val="000000" w:themeColor="text1"/>
                <w:vertAlign w:val="subscript"/>
              </w:rPr>
              <w:t>AIR 9,0</w:t>
            </w:r>
          </w:p>
        </w:tc>
      </w:tr>
      <w:tr w:rsidR="00955A27" w:rsidRPr="001667DB" w14:paraId="7C606544" w14:textId="77777777">
        <w:tc>
          <w:tcPr>
            <w:tcW w:w="2028" w:type="dxa"/>
            <w:vAlign w:val="center"/>
          </w:tcPr>
          <w:p w14:paraId="47CC79C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Wrażliwość na działanie wody</w:t>
            </w:r>
          </w:p>
        </w:tc>
        <w:tc>
          <w:tcPr>
            <w:tcW w:w="1680" w:type="dxa"/>
          </w:tcPr>
          <w:p w14:paraId="0A68B8A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E80FE6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C.1.1,ubijanie, 2×35 uderzeń</w:t>
            </w:r>
          </w:p>
        </w:tc>
        <w:tc>
          <w:tcPr>
            <w:tcW w:w="2520" w:type="dxa"/>
          </w:tcPr>
          <w:p w14:paraId="65AD0C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12697-12 [39], przechowywanie w </w:t>
            </w:r>
            <w:smartTag w:uri="urn:schemas-microsoft-com:office:smarttags" w:element="metricconverter">
              <w:smartTagPr>
                <w:attr w:name="ProductID" w:val="40ﾰC"/>
              </w:smartTagPr>
              <w:r w:rsidRPr="001667DB">
                <w:rPr>
                  <w:rFonts w:ascii="Times New Roman" w:hAnsi="Times New Roman" w:cs="Times New Roman"/>
                  <w:color w:val="000000" w:themeColor="text1"/>
                </w:rPr>
                <w:t>40°C</w:t>
              </w:r>
            </w:smartTag>
            <w:r w:rsidRPr="001667DB">
              <w:rPr>
                <w:rFonts w:ascii="Times New Roman" w:hAnsi="Times New Roman" w:cs="Times New Roman"/>
                <w:color w:val="000000" w:themeColor="text1"/>
              </w:rPr>
              <w:t xml:space="preserve"> z jednym cyklem zamrażania, </w:t>
            </w:r>
          </w:p>
          <w:p w14:paraId="3ABB51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vertAlign w:val="superscript"/>
              </w:rPr>
              <w:t>b)</w:t>
            </w:r>
          </w:p>
        </w:tc>
        <w:tc>
          <w:tcPr>
            <w:tcW w:w="1320" w:type="dxa"/>
            <w:vAlign w:val="center"/>
          </w:tcPr>
          <w:p w14:paraId="3F1F9331"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ITSR</w:t>
            </w:r>
            <w:r w:rsidRPr="001667DB">
              <w:rPr>
                <w:rFonts w:ascii="Times New Roman" w:hAnsi="Times New Roman" w:cs="Times New Roman"/>
                <w:i/>
                <w:color w:val="000000" w:themeColor="text1"/>
                <w:vertAlign w:val="subscript"/>
              </w:rPr>
              <w:t>70</w:t>
            </w:r>
          </w:p>
        </w:tc>
        <w:tc>
          <w:tcPr>
            <w:tcW w:w="1320" w:type="dxa"/>
            <w:vAlign w:val="center"/>
          </w:tcPr>
          <w:p w14:paraId="395E93FF"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ITSR</w:t>
            </w:r>
            <w:r w:rsidRPr="001667DB">
              <w:rPr>
                <w:rFonts w:ascii="Times New Roman" w:hAnsi="Times New Roman" w:cs="Times New Roman"/>
                <w:i/>
                <w:color w:val="000000" w:themeColor="text1"/>
                <w:vertAlign w:val="subscript"/>
              </w:rPr>
              <w:t>70</w:t>
            </w:r>
          </w:p>
        </w:tc>
      </w:tr>
    </w:tbl>
    <w:p w14:paraId="1919D46C" w14:textId="77777777" w:rsidR="00955A27" w:rsidRPr="001667DB" w:rsidRDefault="00955A27" w:rsidP="00955A27">
      <w:pPr>
        <w:tabs>
          <w:tab w:val="left" w:pos="227"/>
        </w:tabs>
        <w:spacing w:after="120" w:line="360" w:lineRule="auto"/>
        <w:ind w:left="227" w:hanging="227"/>
        <w:rPr>
          <w:rFonts w:ascii="Times New Roman" w:hAnsi="Times New Roman" w:cs="Times New Roman"/>
          <w:color w:val="000000" w:themeColor="text1"/>
        </w:rPr>
      </w:pPr>
      <w:r w:rsidRPr="001667DB">
        <w:rPr>
          <w:rFonts w:ascii="Times New Roman" w:hAnsi="Times New Roman" w:cs="Times New Roman"/>
          <w:color w:val="000000" w:themeColor="text1"/>
        </w:rPr>
        <w:t>a)</w:t>
      </w:r>
      <w:r w:rsidRPr="001667DB">
        <w:rPr>
          <w:rFonts w:ascii="Times New Roman" w:hAnsi="Times New Roman" w:cs="Times New Roman"/>
          <w:color w:val="000000" w:themeColor="text1"/>
        </w:rPr>
        <w:tab/>
        <w:t xml:space="preserve"> grubość płyty: AC16P, AC22P 60mm, AC32P 80mm,</w:t>
      </w:r>
    </w:p>
    <w:p w14:paraId="0EF6EA4F" w14:textId="77777777" w:rsidR="00955A27" w:rsidRPr="001667DB" w:rsidRDefault="00955A27" w:rsidP="00955A27">
      <w:pPr>
        <w:tabs>
          <w:tab w:val="left" w:pos="227"/>
        </w:tabs>
        <w:spacing w:after="120" w:line="360" w:lineRule="auto"/>
        <w:ind w:left="227" w:hanging="227"/>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vertAlign w:val="superscript"/>
        </w:rPr>
        <w:t xml:space="preserve"> </w:t>
      </w:r>
      <w:r w:rsidRPr="001667DB">
        <w:rPr>
          <w:rFonts w:ascii="Times New Roman" w:hAnsi="Times New Roman" w:cs="Times New Roman"/>
          <w:color w:val="000000" w:themeColor="text1"/>
        </w:rPr>
        <w:t>ujednoliconą procedurę badania odporności na działanie wody podano w WT-2 2014 [82] w załączniku 1,</w:t>
      </w:r>
    </w:p>
    <w:p w14:paraId="31879F95" w14:textId="77777777" w:rsidR="00955A27" w:rsidRPr="001667DB" w:rsidRDefault="00955A27" w:rsidP="00955A27">
      <w:pPr>
        <w:tabs>
          <w:tab w:val="left" w:pos="227"/>
        </w:tabs>
        <w:spacing w:after="120" w:line="360" w:lineRule="auto"/>
        <w:ind w:left="227" w:hanging="227"/>
        <w:rPr>
          <w:rFonts w:ascii="Times New Roman" w:hAnsi="Times New Roman" w:cs="Times New Roman"/>
          <w:color w:val="000000" w:themeColor="text1"/>
        </w:rPr>
      </w:pPr>
      <w:r w:rsidRPr="001667DB">
        <w:rPr>
          <w:rFonts w:ascii="Times New Roman" w:hAnsi="Times New Roman" w:cs="Times New Roman"/>
          <w:color w:val="000000" w:themeColor="text1"/>
        </w:rPr>
        <w:t>c)</w:t>
      </w:r>
      <w:r w:rsidRPr="001667DB">
        <w:rPr>
          <w:rFonts w:ascii="Times New Roman" w:hAnsi="Times New Roman" w:cs="Times New Roman"/>
          <w:color w:val="000000" w:themeColor="text1"/>
        </w:rPr>
        <w:tab/>
        <w:t>procedurę kondycjonowania krótkoterminowego mma przed zagęszczeniem próbek podano w WT-2 2014 [82] w załączniku 2.</w:t>
      </w:r>
    </w:p>
    <w:p w14:paraId="3B01EA86" w14:textId="77777777" w:rsidR="00955A27" w:rsidRPr="001667DB" w:rsidRDefault="00955A27" w:rsidP="00955A27">
      <w:pPr>
        <w:tabs>
          <w:tab w:val="left" w:pos="993"/>
        </w:tabs>
        <w:spacing w:before="120" w:after="120" w:line="360" w:lineRule="auto"/>
        <w:ind w:left="993" w:hanging="1112"/>
        <w:rPr>
          <w:rFonts w:ascii="Times New Roman" w:hAnsi="Times New Roman" w:cs="Times New Roman"/>
          <w:color w:val="000000" w:themeColor="text1"/>
        </w:rPr>
      </w:pPr>
      <w:r w:rsidRPr="001667DB">
        <w:rPr>
          <w:rFonts w:ascii="Times New Roman" w:hAnsi="Times New Roman" w:cs="Times New Roman"/>
          <w:color w:val="000000" w:themeColor="text1"/>
        </w:rPr>
        <w:t>Tablica 23.</w:t>
      </w:r>
      <w:r w:rsidRPr="001667DB">
        <w:rPr>
          <w:rFonts w:ascii="Times New Roman" w:hAnsi="Times New Roman" w:cs="Times New Roman"/>
          <w:color w:val="000000" w:themeColor="text1"/>
        </w:rPr>
        <w:tab/>
        <w:t xml:space="preserve">Wymagane właściwości mieszanki mineralno-asfaltowej do warstwy podbudowy, dla ruchu KR5 ÷ KR7 </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701"/>
        <w:gridCol w:w="2835"/>
        <w:gridCol w:w="1701"/>
      </w:tblGrid>
      <w:tr w:rsidR="00955A27" w:rsidRPr="001667DB" w14:paraId="4C975DEE" w14:textId="77777777" w:rsidTr="001B4B8F">
        <w:tc>
          <w:tcPr>
            <w:tcW w:w="1951" w:type="dxa"/>
            <w:vAlign w:val="center"/>
          </w:tcPr>
          <w:p w14:paraId="538EF6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1701" w:type="dxa"/>
            <w:vAlign w:val="center"/>
          </w:tcPr>
          <w:p w14:paraId="2EA244F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Warunki zagęszczania wg PN-EN </w:t>
            </w:r>
          </w:p>
          <w:p w14:paraId="223DBF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13108-20  [54]</w:t>
            </w:r>
          </w:p>
        </w:tc>
        <w:tc>
          <w:tcPr>
            <w:tcW w:w="2835" w:type="dxa"/>
            <w:vAlign w:val="center"/>
          </w:tcPr>
          <w:p w14:paraId="35D5776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i warunki badania</w:t>
            </w:r>
          </w:p>
        </w:tc>
        <w:tc>
          <w:tcPr>
            <w:tcW w:w="1701" w:type="dxa"/>
            <w:vAlign w:val="center"/>
          </w:tcPr>
          <w:p w14:paraId="5953B0A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AC16P</w:t>
            </w:r>
          </w:p>
          <w:p w14:paraId="7AAC832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AC22P</w:t>
            </w:r>
          </w:p>
          <w:p w14:paraId="4731625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AC32P</w:t>
            </w:r>
          </w:p>
        </w:tc>
      </w:tr>
      <w:tr w:rsidR="00955A27" w:rsidRPr="001667DB" w14:paraId="5F84B721" w14:textId="77777777" w:rsidTr="001B4B8F">
        <w:tc>
          <w:tcPr>
            <w:tcW w:w="1951" w:type="dxa"/>
            <w:vAlign w:val="center"/>
          </w:tcPr>
          <w:p w14:paraId="65FB4CA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w:t>
            </w:r>
          </w:p>
        </w:tc>
        <w:tc>
          <w:tcPr>
            <w:tcW w:w="1701" w:type="dxa"/>
            <w:vAlign w:val="center"/>
          </w:tcPr>
          <w:p w14:paraId="74B775C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C.1.3,ubijanie, 2×75 uderzeń</w:t>
            </w:r>
          </w:p>
        </w:tc>
        <w:tc>
          <w:tcPr>
            <w:tcW w:w="2835" w:type="dxa"/>
            <w:vAlign w:val="center"/>
          </w:tcPr>
          <w:p w14:paraId="3D2F5E5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12697-8 [37], p. 4</w:t>
            </w:r>
          </w:p>
        </w:tc>
        <w:tc>
          <w:tcPr>
            <w:tcW w:w="1701" w:type="dxa"/>
            <w:vAlign w:val="center"/>
          </w:tcPr>
          <w:p w14:paraId="5D42144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 4,0</w:t>
            </w:r>
          </w:p>
          <w:p w14:paraId="4B10D3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 7,0</w:t>
            </w:r>
          </w:p>
        </w:tc>
      </w:tr>
      <w:tr w:rsidR="00955A27" w:rsidRPr="001667DB" w14:paraId="0EE36006" w14:textId="77777777" w:rsidTr="001B4B8F">
        <w:tc>
          <w:tcPr>
            <w:tcW w:w="1951" w:type="dxa"/>
            <w:vAlign w:val="center"/>
          </w:tcPr>
          <w:p w14:paraId="017263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Odporność na deformacje trwałe </w:t>
            </w:r>
            <w:r w:rsidRPr="001667DB">
              <w:rPr>
                <w:rFonts w:ascii="Times New Roman" w:hAnsi="Times New Roman" w:cs="Times New Roman"/>
                <w:color w:val="000000" w:themeColor="text1"/>
                <w:vertAlign w:val="superscript"/>
              </w:rPr>
              <w:t>a</w:t>
            </w:r>
            <w:r w:rsidRPr="001667DB">
              <w:rPr>
                <w:rFonts w:ascii="Times New Roman" w:hAnsi="Times New Roman" w:cs="Times New Roman"/>
                <w:color w:val="000000" w:themeColor="text1"/>
              </w:rPr>
              <w:t>)</w:t>
            </w:r>
            <w:r w:rsidRPr="001667DB">
              <w:rPr>
                <w:rFonts w:ascii="Times New Roman" w:hAnsi="Times New Roman" w:cs="Times New Roman"/>
                <w:color w:val="000000" w:themeColor="text1"/>
                <w:vertAlign w:val="superscript"/>
              </w:rPr>
              <w:t>c)</w:t>
            </w:r>
          </w:p>
        </w:tc>
        <w:tc>
          <w:tcPr>
            <w:tcW w:w="1701" w:type="dxa"/>
            <w:vAlign w:val="center"/>
          </w:tcPr>
          <w:p w14:paraId="1C5B336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C.1.20, wałowanie,</w:t>
            </w:r>
          </w:p>
          <w:p w14:paraId="71D045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98</w:t>
            </w: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100</w:t>
            </w:r>
          </w:p>
        </w:tc>
        <w:tc>
          <w:tcPr>
            <w:tcW w:w="2835" w:type="dxa"/>
            <w:vAlign w:val="center"/>
          </w:tcPr>
          <w:p w14:paraId="5E0DA67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12697-22 [41], metoda B  w powietrzu, </w:t>
            </w:r>
          </w:p>
          <w:p w14:paraId="4CB931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13108-20, D.1.6 [54] </w:t>
            </w:r>
            <w:smartTag w:uri="urn:schemas-microsoft-com:office:smarttags" w:element="metricconverter">
              <w:smartTagPr>
                <w:attr w:name="ProductID" w:val="60ﾰC"/>
              </w:smartTagPr>
              <w:r w:rsidRPr="001667DB">
                <w:rPr>
                  <w:rFonts w:ascii="Times New Roman" w:hAnsi="Times New Roman" w:cs="Times New Roman"/>
                  <w:color w:val="000000" w:themeColor="text1"/>
                </w:rPr>
                <w:t>60°C</w:t>
              </w:r>
            </w:smartTag>
            <w:r w:rsidRPr="001667DB">
              <w:rPr>
                <w:rFonts w:ascii="Times New Roman" w:hAnsi="Times New Roman" w:cs="Times New Roman"/>
                <w:color w:val="000000" w:themeColor="text1"/>
              </w:rPr>
              <w:t>, 10 000 cykli</w:t>
            </w:r>
          </w:p>
        </w:tc>
        <w:tc>
          <w:tcPr>
            <w:tcW w:w="1701" w:type="dxa"/>
            <w:vAlign w:val="center"/>
          </w:tcPr>
          <w:p w14:paraId="77B198A5"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WTS</w:t>
            </w:r>
            <w:r w:rsidRPr="001667DB">
              <w:rPr>
                <w:rFonts w:ascii="Times New Roman" w:hAnsi="Times New Roman" w:cs="Times New Roman"/>
                <w:color w:val="000000" w:themeColor="text1"/>
                <w:vertAlign w:val="subscript"/>
              </w:rPr>
              <w:t>AIR 0,15</w:t>
            </w:r>
          </w:p>
          <w:p w14:paraId="7339E3C1"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PRD</w:t>
            </w:r>
            <w:r w:rsidRPr="001667DB">
              <w:rPr>
                <w:rFonts w:ascii="Times New Roman" w:hAnsi="Times New Roman" w:cs="Times New Roman"/>
                <w:color w:val="000000" w:themeColor="text1"/>
                <w:vertAlign w:val="subscript"/>
              </w:rPr>
              <w:t>AIR 7,0</w:t>
            </w:r>
          </w:p>
        </w:tc>
      </w:tr>
      <w:tr w:rsidR="00955A27" w:rsidRPr="001667DB" w14:paraId="26A3C745" w14:textId="77777777" w:rsidTr="001B4B8F">
        <w:tc>
          <w:tcPr>
            <w:tcW w:w="1951" w:type="dxa"/>
            <w:vAlign w:val="center"/>
          </w:tcPr>
          <w:p w14:paraId="43E771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Wrażliwość na działanie wody</w:t>
            </w:r>
          </w:p>
        </w:tc>
        <w:tc>
          <w:tcPr>
            <w:tcW w:w="1701" w:type="dxa"/>
            <w:vAlign w:val="center"/>
          </w:tcPr>
          <w:p w14:paraId="2108012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C.1.1,ubijanie, 2×35 uderzeń</w:t>
            </w:r>
          </w:p>
        </w:tc>
        <w:tc>
          <w:tcPr>
            <w:tcW w:w="2835" w:type="dxa"/>
            <w:vAlign w:val="center"/>
          </w:tcPr>
          <w:p w14:paraId="4B21152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12697-12 [39], przechowywanie w </w:t>
            </w:r>
            <w:smartTag w:uri="urn:schemas-microsoft-com:office:smarttags" w:element="metricconverter">
              <w:smartTagPr>
                <w:attr w:name="ProductID" w:val="40ﾰC"/>
              </w:smartTagPr>
              <w:r w:rsidRPr="001667DB">
                <w:rPr>
                  <w:rFonts w:ascii="Times New Roman" w:hAnsi="Times New Roman" w:cs="Times New Roman"/>
                  <w:color w:val="000000" w:themeColor="text1"/>
                </w:rPr>
                <w:t>40°C</w:t>
              </w:r>
            </w:smartTag>
            <w:r w:rsidRPr="001667DB">
              <w:rPr>
                <w:rFonts w:ascii="Times New Roman" w:hAnsi="Times New Roman" w:cs="Times New Roman"/>
                <w:color w:val="000000" w:themeColor="text1"/>
              </w:rPr>
              <w:t xml:space="preserve"> z jednym cyklem zamrażania, </w:t>
            </w:r>
          </w:p>
          <w:p w14:paraId="4F3546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vertAlign w:val="superscript"/>
              </w:rPr>
              <w:t>b)</w:t>
            </w:r>
          </w:p>
        </w:tc>
        <w:tc>
          <w:tcPr>
            <w:tcW w:w="1701" w:type="dxa"/>
            <w:vAlign w:val="center"/>
          </w:tcPr>
          <w:p w14:paraId="49E9BA7A" w14:textId="77777777" w:rsidR="00955A27" w:rsidRPr="001667DB" w:rsidRDefault="00955A27"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i/>
                <w:color w:val="000000" w:themeColor="text1"/>
              </w:rPr>
              <w:t>ITSR</w:t>
            </w:r>
            <w:r w:rsidRPr="001667DB">
              <w:rPr>
                <w:rFonts w:ascii="Times New Roman" w:hAnsi="Times New Roman" w:cs="Times New Roman"/>
                <w:i/>
                <w:color w:val="000000" w:themeColor="text1"/>
                <w:vertAlign w:val="subscript"/>
              </w:rPr>
              <w:t>70</w:t>
            </w:r>
          </w:p>
        </w:tc>
      </w:tr>
    </w:tbl>
    <w:p w14:paraId="74205996" w14:textId="77777777" w:rsidR="00955A27" w:rsidRPr="001667DB" w:rsidRDefault="00955A27" w:rsidP="00C03D2F">
      <w:pPr>
        <w:tabs>
          <w:tab w:val="left" w:pos="284"/>
        </w:tabs>
        <w:spacing w:after="120" w:line="360" w:lineRule="auto"/>
        <w:ind w:left="227" w:hanging="227"/>
        <w:jc w:val="both"/>
        <w:rPr>
          <w:rFonts w:ascii="Times New Roman" w:hAnsi="Times New Roman" w:cs="Times New Roman"/>
          <w:color w:val="000000" w:themeColor="text1"/>
        </w:rPr>
      </w:pPr>
      <w:r w:rsidRPr="001667DB">
        <w:rPr>
          <w:rFonts w:ascii="Times New Roman" w:hAnsi="Times New Roman" w:cs="Times New Roman"/>
          <w:color w:val="000000" w:themeColor="text1"/>
        </w:rPr>
        <w:t>a)</w:t>
      </w:r>
      <w:r w:rsidRPr="001667DB">
        <w:rPr>
          <w:rFonts w:ascii="Times New Roman" w:hAnsi="Times New Roman" w:cs="Times New Roman"/>
          <w:color w:val="000000" w:themeColor="text1"/>
        </w:rPr>
        <w:tab/>
        <w:t>grubość płyty: AC16P, AC22P 60mm, AC32P 80mm</w:t>
      </w:r>
    </w:p>
    <w:p w14:paraId="1819C030" w14:textId="77777777" w:rsidR="00955A27" w:rsidRPr="001667DB" w:rsidRDefault="00955A27" w:rsidP="00C03D2F">
      <w:pPr>
        <w:tabs>
          <w:tab w:val="left" w:pos="284"/>
        </w:tabs>
        <w:spacing w:after="120" w:line="360" w:lineRule="auto"/>
        <w:ind w:left="227" w:hanging="227"/>
        <w:jc w:val="both"/>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rPr>
        <w:tab/>
        <w:t>ujednoliconą procedurę badania odporności na działanie wody podano w WT-2 2014 [82] w załączniku 1.</w:t>
      </w:r>
    </w:p>
    <w:p w14:paraId="2EEEAC1C" w14:textId="77777777" w:rsidR="00955A27" w:rsidRPr="001667DB" w:rsidRDefault="00955A27" w:rsidP="00C03D2F">
      <w:pPr>
        <w:tabs>
          <w:tab w:val="left" w:pos="284"/>
        </w:tabs>
        <w:spacing w:after="120" w:line="360" w:lineRule="auto"/>
        <w:ind w:left="227" w:hanging="227"/>
        <w:jc w:val="both"/>
        <w:rPr>
          <w:rFonts w:ascii="Times New Roman" w:hAnsi="Times New Roman" w:cs="Times New Roman"/>
          <w:color w:val="000000" w:themeColor="text1"/>
        </w:rPr>
      </w:pPr>
      <w:r w:rsidRPr="001667DB">
        <w:rPr>
          <w:rFonts w:ascii="Times New Roman" w:hAnsi="Times New Roman" w:cs="Times New Roman"/>
          <w:color w:val="000000" w:themeColor="text1"/>
        </w:rPr>
        <w:t>c)</w:t>
      </w:r>
      <w:r w:rsidRPr="001667DB">
        <w:rPr>
          <w:rFonts w:ascii="Times New Roman" w:hAnsi="Times New Roman" w:cs="Times New Roman"/>
          <w:color w:val="000000" w:themeColor="text1"/>
        </w:rPr>
        <w:tab/>
        <w:t xml:space="preserve"> procedurę kondycjonowania krótkoterminowego mma przed zagęszczeniem próbek podano w WT-2 2014 [82] w załączniku 2.</w:t>
      </w:r>
    </w:p>
    <w:p w14:paraId="154D6A44" w14:textId="77777777" w:rsidR="00955A27" w:rsidRPr="001667DB" w:rsidRDefault="00441A30" w:rsidP="00C03D2F">
      <w:pPr>
        <w:pStyle w:val="Nagwek2"/>
        <w:spacing w:line="360" w:lineRule="auto"/>
        <w:ind w:left="720" w:hanging="720"/>
        <w:jc w:val="both"/>
        <w:rPr>
          <w:color w:val="000000" w:themeColor="text1"/>
          <w:sz w:val="22"/>
          <w:szCs w:val="22"/>
        </w:rPr>
      </w:pPr>
      <w:r w:rsidRPr="001667DB">
        <w:rPr>
          <w:color w:val="000000" w:themeColor="text1"/>
          <w:sz w:val="22"/>
          <w:szCs w:val="22"/>
        </w:rPr>
        <w:t>2.11</w:t>
      </w:r>
      <w:r w:rsidR="00955A27" w:rsidRPr="001667DB">
        <w:rPr>
          <w:color w:val="000000" w:themeColor="text1"/>
          <w:sz w:val="22"/>
          <w:szCs w:val="22"/>
        </w:rPr>
        <w:t>. Dostawy materiałów</w:t>
      </w:r>
    </w:p>
    <w:p w14:paraId="55F2801A" w14:textId="77777777" w:rsidR="00955A27" w:rsidRPr="001667DB" w:rsidRDefault="00955A27" w:rsidP="00C03D2F">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dostawy materiałów odpowiedzialny jest Wykonawca robót zgodnie z ustaleniami określonymi w D-M-00.00.00 „Wymagania ogólne”. </w:t>
      </w:r>
    </w:p>
    <w:p w14:paraId="532957A3" w14:textId="77777777" w:rsidR="00955A27" w:rsidRPr="001667DB" w:rsidRDefault="00955A27" w:rsidP="00C03D2F">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 </w:t>
      </w:r>
    </w:p>
    <w:p w14:paraId="7413DB28" w14:textId="77777777" w:rsidR="00955A27" w:rsidRPr="00326BBF" w:rsidRDefault="00955A27" w:rsidP="00C03D2F">
      <w:pPr>
        <w:pStyle w:val="Nagwek1"/>
        <w:spacing w:line="360" w:lineRule="auto"/>
        <w:jc w:val="both"/>
        <w:rPr>
          <w:color w:val="000000" w:themeColor="text1"/>
          <w:sz w:val="22"/>
          <w:szCs w:val="22"/>
          <w:lang w:val="pl-PL"/>
        </w:rPr>
      </w:pPr>
      <w:bookmarkStart w:id="446" w:name="_Toc413234105"/>
      <w:r w:rsidRPr="00326BBF">
        <w:rPr>
          <w:color w:val="000000" w:themeColor="text1"/>
          <w:sz w:val="22"/>
          <w:szCs w:val="22"/>
          <w:lang w:val="pl-PL"/>
        </w:rPr>
        <w:t>3. Sprzęt</w:t>
      </w:r>
      <w:bookmarkEnd w:id="446"/>
    </w:p>
    <w:p w14:paraId="38CB90A8"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3.1. Ogólne wymagania dotyczące sprzętu</w:t>
      </w:r>
    </w:p>
    <w:p w14:paraId="74795212"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D-M-00.00.00 „Wymagania ogólne” [1] pkt 3.</w:t>
      </w:r>
    </w:p>
    <w:p w14:paraId="6D4E82F5"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3.2. Sprzęt stosowany do wykonania robót</w:t>
      </w:r>
    </w:p>
    <w:p w14:paraId="7802EC1C"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2328D8CC" w14:textId="77777777" w:rsidR="00955A27" w:rsidRPr="001667DB" w:rsidRDefault="00955A27" w:rsidP="00C03D2F">
      <w:pPr>
        <w:spacing w:after="120" w:line="360" w:lineRule="auto"/>
        <w:ind w:left="360"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a) wytwórnia (otaczarka</w:t>
      </w:r>
      <w:r w:rsidRPr="001667DB">
        <w:rPr>
          <w:rFonts w:ascii="Times New Roman" w:hAnsi="Times New Roman" w:cs="Times New Roman"/>
          <w:b/>
          <w:color w:val="000000" w:themeColor="text1"/>
        </w:rPr>
        <w:t>)</w:t>
      </w:r>
      <w:r w:rsidRPr="001667DB">
        <w:rPr>
          <w:rFonts w:ascii="Times New Roman" w:hAnsi="Times New Roman" w:cs="Times New Roman"/>
          <w:color w:val="000000" w:themeColor="text1"/>
        </w:rPr>
        <w:t xml:space="preserve"> o mieszaniu cyklicznym lub ciągłym, z automatycznym komputerowym sterowaniem produkcji, do wytwarzania mieszanek mineralno-asfaltowych,  </w:t>
      </w:r>
    </w:p>
    <w:p w14:paraId="7111CFDD" w14:textId="77777777" w:rsidR="00955A27" w:rsidRPr="001667DB" w:rsidRDefault="00955A27" w:rsidP="00C03D2F">
      <w:pPr>
        <w:spacing w:after="120" w:line="360" w:lineRule="auto"/>
        <w:ind w:left="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[55]. </w:t>
      </w:r>
    </w:p>
    <w:p w14:paraId="5360559C" w14:textId="77777777" w:rsidR="00955A27" w:rsidRPr="001667DB" w:rsidRDefault="00955A27" w:rsidP="00C03D2F">
      <w:pPr>
        <w:spacing w:after="120" w:line="360" w:lineRule="auto"/>
        <w:ind w:left="360"/>
        <w:jc w:val="both"/>
        <w:rPr>
          <w:rFonts w:ascii="Times New Roman" w:hAnsi="Times New Roman" w:cs="Times New Roman"/>
          <w:color w:val="000000" w:themeColor="text1"/>
        </w:rPr>
      </w:pPr>
      <w:r w:rsidRPr="001667DB">
        <w:rPr>
          <w:rFonts w:ascii="Times New Roman" w:hAnsi="Times New Roman" w:cs="Times New Roman"/>
          <w:color w:val="000000" w:themeColor="text1"/>
        </w:rPr>
        <w:t>Wytwórnia powinna być wyposażona w termometry (urządzenia pomiarowe) pozwalające na ciągłe monitorowanie temperatury poszczególnych materiałów, na różnych etapach przygotowywania materiałów, jak i na wyjściu z mieszalnika.</w:t>
      </w:r>
    </w:p>
    <w:p w14:paraId="31C1131F"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układarka gąsienicowa, z elektronicznym sterowaniem równości układanej warstwy,</w:t>
      </w:r>
    </w:p>
    <w:p w14:paraId="570750BF"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skrapiarka,</w:t>
      </w:r>
    </w:p>
    <w:p w14:paraId="4EB189F9"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stalowe gładkie, </w:t>
      </w:r>
    </w:p>
    <w:p w14:paraId="0C070674"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lekka rozsypywarka kruszywa,</w:t>
      </w:r>
    </w:p>
    <w:p w14:paraId="048F4053"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szczotki mechaniczne i/lub inne urządzenia czyszczące,</w:t>
      </w:r>
    </w:p>
    <w:p w14:paraId="06A35BC4"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samochody samowyładowcze z przykryciem brezentowym lub termosami,</w:t>
      </w:r>
    </w:p>
    <w:p w14:paraId="440416BD" w14:textId="77777777" w:rsidR="00955A27" w:rsidRPr="001667DB" w:rsidRDefault="00955A27" w:rsidP="00904E6C">
      <w:pPr>
        <w:numPr>
          <w:ilvl w:val="0"/>
          <w:numId w:val="135"/>
        </w:numPr>
        <w:tabs>
          <w:tab w:val="clear" w:pos="1077"/>
          <w:tab w:val="num" w:pos="360"/>
        </w:tabs>
        <w:overflowPunct w:val="0"/>
        <w:autoSpaceDE w:val="0"/>
        <w:autoSpaceDN w:val="0"/>
        <w:adjustRightInd w:val="0"/>
        <w:spacing w:after="120" w:line="360" w:lineRule="auto"/>
        <w:ind w:hanging="136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 drobny.</w:t>
      </w:r>
    </w:p>
    <w:p w14:paraId="6BE934C3" w14:textId="77777777" w:rsidR="00955A27" w:rsidRPr="001667DB" w:rsidRDefault="00955A27" w:rsidP="00C03D2F">
      <w:pPr>
        <w:pStyle w:val="Nagwek1"/>
        <w:spacing w:line="360" w:lineRule="auto"/>
        <w:jc w:val="both"/>
        <w:rPr>
          <w:color w:val="000000" w:themeColor="text1"/>
          <w:sz w:val="22"/>
          <w:szCs w:val="22"/>
        </w:rPr>
      </w:pPr>
      <w:bookmarkStart w:id="447" w:name="_Toc413234106"/>
      <w:r w:rsidRPr="001667DB">
        <w:rPr>
          <w:color w:val="000000" w:themeColor="text1"/>
          <w:sz w:val="22"/>
          <w:szCs w:val="22"/>
        </w:rPr>
        <w:t>4. Transport</w:t>
      </w:r>
      <w:bookmarkEnd w:id="447"/>
    </w:p>
    <w:p w14:paraId="6C9A1074"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4.1. Ogólne wymagania dotyczące transportu</w:t>
      </w:r>
    </w:p>
    <w:p w14:paraId="6D761678"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D-M-00.00.00 „Wymagania ogólne” [1] pkt 4.</w:t>
      </w:r>
      <w:r w:rsidRPr="001667DB">
        <w:rPr>
          <w:rFonts w:ascii="Times New Roman" w:hAnsi="Times New Roman" w:cs="Times New Roman"/>
          <w:color w:val="000000" w:themeColor="text1"/>
        </w:rPr>
        <w:tab/>
      </w:r>
    </w:p>
    <w:p w14:paraId="6648DBD3"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 xml:space="preserve">4.2. Transport materiałów </w:t>
      </w:r>
    </w:p>
    <w:p w14:paraId="14260C97"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Asfalt i polimeroasfalt należy przewozić zgodnie z zasadami wynikającymi z ustawy o przewozie drogowym towarów niebezpiecznych [86] wprowadzającej przepisy konwencji ADR, w cysternach kolejowych lub samochodach izolowanych i zaopatrzonych w urządzenia umożliwiające pośrednie ogrzewanie oraz w zawory spustowe.</w:t>
      </w:r>
    </w:p>
    <w:p w14:paraId="12BDB5A7"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można przewozić dowolnymi środkami transportu, w warunkach zabezpieczających je przed zanieczyszczeniem, zmieszaniem z innymi materiałami i nadmiernym zawilgoceniem. </w:t>
      </w:r>
    </w:p>
    <w:p w14:paraId="12EE955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65E51ED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Środek adhezyjny, w opakowaniu producenta, może być przewożony dowolnymi środkami transportu z uwzględnieniem zaleceń producenta. Opakowanie powinno być zabezpieczone tak, aby nie uległo uszkodzeniu. </w:t>
      </w:r>
    </w:p>
    <w:p w14:paraId="21DD53A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14:paraId="42DF324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07992E0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bookmarkStart w:id="448" w:name="_Toc413234107"/>
      <w:r w:rsidRPr="001667DB">
        <w:rPr>
          <w:rFonts w:ascii="Times New Roman" w:hAnsi="Times New Roman" w:cs="Times New Roman"/>
          <w:color w:val="000000" w:themeColor="text1"/>
        </w:rPr>
        <w:t xml:space="preserve">Powierzchnie pojemników używanych do transportu mieszanki powinny być czyste, a do zwilżania tych powierzchni można używać tylko środki antyadhezyjne niewpływające szkodliwie na mieszankę. Zabrania się skrapiania skrzyń olejem napędowym lub innymi środkami ropopochodnymi. </w:t>
      </w:r>
    </w:p>
    <w:p w14:paraId="1A889B84" w14:textId="77777777" w:rsidR="00955A27" w:rsidRPr="00326BBF" w:rsidRDefault="00955A27" w:rsidP="00C03D2F">
      <w:pPr>
        <w:pStyle w:val="Nagwek1"/>
        <w:spacing w:line="360" w:lineRule="auto"/>
        <w:jc w:val="both"/>
        <w:rPr>
          <w:color w:val="000000" w:themeColor="text1"/>
          <w:sz w:val="22"/>
          <w:szCs w:val="22"/>
          <w:lang w:val="pl-PL"/>
        </w:rPr>
      </w:pPr>
      <w:r w:rsidRPr="00326BBF">
        <w:rPr>
          <w:color w:val="000000" w:themeColor="text1"/>
          <w:sz w:val="22"/>
          <w:szCs w:val="22"/>
          <w:lang w:val="pl-PL"/>
        </w:rPr>
        <w:t>5. Wykonanie robót</w:t>
      </w:r>
      <w:bookmarkEnd w:id="448"/>
    </w:p>
    <w:p w14:paraId="05C2D4EC"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5.1. Ogólne zasady wykonania robót</w:t>
      </w:r>
    </w:p>
    <w:p w14:paraId="1E6F1D88"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D-M-00.00.00 „Wymagania ogólne” [1] pkt 5.</w:t>
      </w:r>
    </w:p>
    <w:p w14:paraId="27CC9BF0"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5.2. Projektowanie mieszanki mineralno-asfaltowej</w:t>
      </w:r>
    </w:p>
    <w:p w14:paraId="6F86FC22" w14:textId="77777777" w:rsidR="00955A27" w:rsidRPr="001667DB" w:rsidRDefault="00955A27" w:rsidP="00C03D2F">
      <w:pPr>
        <w:widowControl w:val="0"/>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dostarczy Inżynierowi do akceptacji projekt składu mieszanki mineralno-asfaltowej (AC16P, AC22P, AC32P), wyniki badań laboratoryjnych oraz próbki materiałów pobrane w obecności Inżyniera do wykonania badań kontrolnych przez Zamawiającego.</w:t>
      </w:r>
    </w:p>
    <w:p w14:paraId="28839C2A" w14:textId="77777777" w:rsidR="00955A27" w:rsidRPr="001667DB" w:rsidRDefault="00955A27" w:rsidP="00C03D2F">
      <w:pPr>
        <w:widowControl w:val="0"/>
        <w:spacing w:after="120" w:line="360" w:lineRule="auto"/>
        <w:ind w:right="-59"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 mieszanki mineralno-asfaltowej powinien określać: </w:t>
      </w:r>
    </w:p>
    <w:p w14:paraId="5C0ABBD1"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źródło wszystkich zastosowanych materiałów,</w:t>
      </w:r>
    </w:p>
    <w:p w14:paraId="22D4227C"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proporcje wszystkich składników mieszanki mineralnej,</w:t>
      </w:r>
    </w:p>
    <w:p w14:paraId="3F3BB58E"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punkty graniczne uziarnienia,</w:t>
      </w:r>
    </w:p>
    <w:p w14:paraId="70B0DF80"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wyniki badań przeprowadzonych w celu określenia właściwości mieszanki i porównanie ich z wymaganiami specyfikacji,</w:t>
      </w:r>
    </w:p>
    <w:p w14:paraId="4C7B2650"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wyniki badań dotyczących fizycznych właściwości kruszywa, </w:t>
      </w:r>
    </w:p>
    <w:p w14:paraId="2B79ABCC"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temperaturę wytwarzania i układania mieszanki. </w:t>
      </w:r>
    </w:p>
    <w:p w14:paraId="75C077B0" w14:textId="77777777" w:rsidR="00955A27" w:rsidRPr="001667DB" w:rsidRDefault="00955A27" w:rsidP="00C03D2F">
      <w:pPr>
        <w:shd w:val="clear" w:color="auto" w:fill="FFFFFF"/>
        <w:spacing w:after="120" w:line="360" w:lineRule="auto"/>
        <w:ind w:right="2" w:firstLine="709"/>
        <w:jc w:val="both"/>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1"/>
        </w:rPr>
        <w:t xml:space="preserve">W zagęszczaniu próbek laboratoryjnych mieszanek mineralno-asfaltowych należy stosować następujące temperatury mieszanki w zależności stosowanego asfaltu: </w:t>
      </w:r>
    </w:p>
    <w:p w14:paraId="73BC9F2F" w14:textId="77777777" w:rsidR="00955A27" w:rsidRPr="001667DB" w:rsidRDefault="00955A27" w:rsidP="00904E6C">
      <w:pPr>
        <w:numPr>
          <w:ilvl w:val="0"/>
          <w:numId w:val="126"/>
        </w:numPr>
        <w:shd w:val="clear" w:color="auto" w:fill="FFFFFF"/>
        <w:tabs>
          <w:tab w:val="clear" w:pos="454"/>
          <w:tab w:val="num" w:pos="360"/>
        </w:tabs>
        <w:overflowPunct w:val="0"/>
        <w:autoSpaceDE w:val="0"/>
        <w:autoSpaceDN w:val="0"/>
        <w:adjustRightInd w:val="0"/>
        <w:spacing w:after="120" w:line="360" w:lineRule="auto"/>
        <w:ind w:left="360" w:right="2" w:hanging="303"/>
        <w:jc w:val="both"/>
        <w:textAlignment w:val="baseline"/>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1"/>
        </w:rPr>
        <w:t>35/50 i 50/70: 135°C±</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rPr>
          <w:t>5°C</w:t>
        </w:r>
      </w:smartTag>
      <w:r w:rsidRPr="001667DB">
        <w:rPr>
          <w:rFonts w:ascii="Times New Roman" w:hAnsi="Times New Roman" w:cs="Times New Roman"/>
          <w:color w:val="000000" w:themeColor="text1"/>
          <w:spacing w:val="1"/>
        </w:rPr>
        <w:t>,</w:t>
      </w:r>
    </w:p>
    <w:p w14:paraId="2633BED8" w14:textId="77777777" w:rsidR="00955A27" w:rsidRPr="001667DB" w:rsidRDefault="00955A27" w:rsidP="00904E6C">
      <w:pPr>
        <w:numPr>
          <w:ilvl w:val="0"/>
          <w:numId w:val="126"/>
        </w:numPr>
        <w:tabs>
          <w:tab w:val="clear" w:pos="454"/>
          <w:tab w:val="num" w:pos="360"/>
        </w:tabs>
        <w:overflowPunct w:val="0"/>
        <w:autoSpaceDE w:val="0"/>
        <w:autoSpaceDN w:val="0"/>
        <w:adjustRightInd w:val="0"/>
        <w:spacing w:after="120" w:line="360" w:lineRule="auto"/>
        <w:ind w:left="360" w:hanging="30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MG 50/70-54/64 I MG 35/50-57/69: 140</w:t>
      </w:r>
      <w:r w:rsidRPr="001667DB">
        <w:rPr>
          <w:rFonts w:ascii="Times New Roman" w:hAnsi="Times New Roman" w:cs="Times New Roman"/>
          <w:color w:val="000000" w:themeColor="text1"/>
          <w:spacing w:val="1"/>
        </w:rPr>
        <w:t>°</w:t>
      </w:r>
      <w:r w:rsidRPr="001667DB">
        <w:rPr>
          <w:rFonts w:ascii="Times New Roman" w:hAnsi="Times New Roman" w:cs="Times New Roman"/>
          <w:color w:val="000000" w:themeColor="text1"/>
        </w:rPr>
        <w:t>C</w:t>
      </w:r>
      <w:r w:rsidRPr="001667DB">
        <w:rPr>
          <w:rFonts w:ascii="Times New Roman" w:hAnsi="Times New Roman" w:cs="Times New Roman"/>
          <w:color w:val="000000" w:themeColor="text1"/>
          <w:spacing w:val="1"/>
        </w:rPr>
        <w:t>±</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rPr>
          <w:t>5°C</w:t>
        </w:r>
      </w:smartTag>
      <w:r w:rsidRPr="001667DB">
        <w:rPr>
          <w:rFonts w:ascii="Times New Roman" w:hAnsi="Times New Roman" w:cs="Times New Roman"/>
          <w:color w:val="000000" w:themeColor="text1"/>
          <w:spacing w:val="1"/>
        </w:rPr>
        <w:t>,</w:t>
      </w:r>
      <w:r w:rsidRPr="001667DB">
        <w:rPr>
          <w:rFonts w:ascii="Times New Roman" w:hAnsi="Times New Roman" w:cs="Times New Roman"/>
          <w:color w:val="000000" w:themeColor="text1"/>
        </w:rPr>
        <w:t xml:space="preserve"> </w:t>
      </w:r>
    </w:p>
    <w:p w14:paraId="2A2D262F" w14:textId="77777777" w:rsidR="00955A27" w:rsidRPr="001667DB" w:rsidRDefault="00955A27" w:rsidP="00904E6C">
      <w:pPr>
        <w:numPr>
          <w:ilvl w:val="0"/>
          <w:numId w:val="126"/>
        </w:numPr>
        <w:tabs>
          <w:tab w:val="clear" w:pos="454"/>
          <w:tab w:val="num" w:pos="360"/>
        </w:tabs>
        <w:overflowPunct w:val="0"/>
        <w:autoSpaceDE w:val="0"/>
        <w:autoSpaceDN w:val="0"/>
        <w:adjustRightInd w:val="0"/>
        <w:spacing w:after="120" w:line="360" w:lineRule="auto"/>
        <w:ind w:left="360" w:hanging="303"/>
        <w:jc w:val="both"/>
        <w:textAlignment w:val="baseline"/>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25/ 55-60, PMB 25/55-80: 145</w:t>
      </w:r>
      <w:r w:rsidRPr="001667DB">
        <w:rPr>
          <w:rFonts w:ascii="Times New Roman" w:hAnsi="Times New Roman" w:cs="Times New Roman"/>
          <w:color w:val="000000" w:themeColor="text1"/>
          <w:spacing w:val="1"/>
          <w:lang w:val="en-US"/>
        </w:rPr>
        <w:t>°</w:t>
      </w:r>
      <w:r w:rsidRPr="001667DB">
        <w:rPr>
          <w:rFonts w:ascii="Times New Roman" w:hAnsi="Times New Roman" w:cs="Times New Roman"/>
          <w:color w:val="000000" w:themeColor="text1"/>
          <w:lang w:val="en-US"/>
        </w:rPr>
        <w:t>C</w:t>
      </w:r>
      <w:r w:rsidRPr="001667DB">
        <w:rPr>
          <w:rFonts w:ascii="Times New Roman" w:hAnsi="Times New Roman" w:cs="Times New Roman"/>
          <w:color w:val="000000" w:themeColor="text1"/>
          <w:spacing w:val="1"/>
          <w:lang w:val="en-US"/>
        </w:rPr>
        <w:t>±</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lang w:val="en-US"/>
          </w:rPr>
          <w:t>5°C</w:t>
        </w:r>
      </w:smartTag>
      <w:r w:rsidRPr="001667DB">
        <w:rPr>
          <w:rFonts w:ascii="Times New Roman" w:hAnsi="Times New Roman" w:cs="Times New Roman"/>
          <w:color w:val="000000" w:themeColor="text1"/>
          <w:spacing w:val="1"/>
          <w:lang w:val="en-US"/>
        </w:rPr>
        <w:t xml:space="preserve">. </w:t>
      </w:r>
    </w:p>
    <w:p w14:paraId="211E9804" w14:textId="77777777" w:rsidR="00955A27" w:rsidRPr="001667DB" w:rsidRDefault="00955A27" w:rsidP="00C03D2F">
      <w:pPr>
        <w:shd w:val="clear" w:color="auto" w:fill="FFFFFF"/>
        <w:spacing w:after="120" w:line="360" w:lineRule="auto"/>
        <w:ind w:right="2" w:firstLine="709"/>
        <w:jc w:val="both"/>
        <w:rPr>
          <w:rFonts w:ascii="Times New Roman" w:hAnsi="Times New Roman" w:cs="Times New Roman"/>
          <w:color w:val="000000" w:themeColor="text1"/>
          <w:spacing w:val="2"/>
        </w:rPr>
      </w:pPr>
      <w:r w:rsidRPr="001667DB">
        <w:rPr>
          <w:rFonts w:ascii="Times New Roman" w:hAnsi="Times New Roman" w:cs="Times New Roman"/>
          <w:color w:val="000000" w:themeColor="text1"/>
          <w:spacing w:val="1"/>
        </w:rPr>
        <w:t xml:space="preserve">Recepta powinna być zaprojektowana dla konkretnych materiałów, zaakceptowanych przez Inżyniera, do wbudowania i przy wykorzystaniu reprezentatywnych próbek tych materiałów.  </w:t>
      </w:r>
    </w:p>
    <w:p w14:paraId="2DBA9B1C" w14:textId="77777777" w:rsidR="00955A27" w:rsidRPr="001667DB" w:rsidRDefault="00955A27" w:rsidP="00C03D2F">
      <w:pPr>
        <w:shd w:val="clear" w:color="auto" w:fill="FFFFFF"/>
        <w:spacing w:after="120" w:line="360" w:lineRule="auto"/>
        <w:ind w:right="2" w:firstLine="709"/>
        <w:jc w:val="both"/>
        <w:rPr>
          <w:rFonts w:ascii="Times New Roman" w:hAnsi="Times New Roman" w:cs="Times New Roman"/>
          <w:color w:val="000000" w:themeColor="text1"/>
          <w:spacing w:val="2"/>
        </w:rPr>
      </w:pPr>
      <w:r w:rsidRPr="001667DB">
        <w:rPr>
          <w:rFonts w:ascii="Times New Roman" w:hAnsi="Times New Roman" w:cs="Times New Roman"/>
          <w:color w:val="000000" w:themeColor="text1"/>
          <w:spacing w:val="2"/>
        </w:rPr>
        <w:t>Jeżeli mieszanka mineralno-asfaltowa jest dostarczana z kilku wytwórni lub od kilku producentów, to należy zapewnić zgodność typu i wymiaru mieszanki oraz spełnienie wymaganej dokumentacji projektowej.</w:t>
      </w:r>
    </w:p>
    <w:p w14:paraId="6ADD49DA" w14:textId="77777777" w:rsidR="00955A27" w:rsidRPr="001667DB" w:rsidRDefault="00955A27" w:rsidP="00C03D2F">
      <w:pPr>
        <w:shd w:val="clear" w:color="auto" w:fill="FFFFFF"/>
        <w:spacing w:after="120" w:line="360" w:lineRule="auto"/>
        <w:ind w:right="2" w:firstLine="709"/>
        <w:jc w:val="both"/>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2"/>
        </w:rPr>
        <w:t xml:space="preserve">Każda zmiana składników mieszanki w czasie trwania robót wymaga akceptacji Inżyniera </w:t>
      </w:r>
      <w:r w:rsidRPr="001667DB">
        <w:rPr>
          <w:rFonts w:ascii="Times New Roman" w:hAnsi="Times New Roman" w:cs="Times New Roman"/>
          <w:color w:val="000000" w:themeColor="text1"/>
          <w:spacing w:val="1"/>
        </w:rPr>
        <w:t xml:space="preserve">oraz opracowania nowej recepty i jej zatwierdzenia.  </w:t>
      </w:r>
    </w:p>
    <w:p w14:paraId="4667116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7B128057"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Akceptacja recepty przez Inżyniera może nastąpić na podstawie przedstawionych przez Wykonawcę badań typu i sprawozdania z próby technologicznej. W przypadku kiedy Inżynier, w celu akceptacji recepty mieszanki mineralno-asfaltowej, zdecyduje się wykonać dodatkowo niezależne badania, Wykonawca dostarczy zgodnie z wymaganiami Inżyniera próbki wszystkich składników mieszanki.</w:t>
      </w:r>
    </w:p>
    <w:p w14:paraId="0FD27C1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Zaakceptowana recepta stanowi ważną podstawę produkcji.</w:t>
      </w:r>
    </w:p>
    <w:p w14:paraId="18EF938A"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5.3. Wytwarzanie mieszanki mineralno-asfaltowej</w:t>
      </w:r>
    </w:p>
    <w:p w14:paraId="39FBE169"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Mieszankę mineralno-asfaltową należy wytwarzać na gorąco w otaczarce (zespole maszyn i urządzeń dozowania, podgrzewania i mieszania składników oraz przechowywania gotowej mieszanki). Inżynier dopuści do produkcji tylko otaczarki posiadające certyfikowany system zakładowej kontroli produkcji zgodny z PN</w:t>
      </w:r>
      <w:r w:rsidRPr="001667DB">
        <w:rPr>
          <w:rFonts w:ascii="Times New Roman" w:hAnsi="Times New Roman" w:cs="Times New Roman"/>
          <w:color w:val="000000" w:themeColor="text1"/>
        </w:rPr>
        <w:noBreakHyphen/>
        <w:t xml:space="preserve">EN 13108-21 [55]. </w:t>
      </w:r>
    </w:p>
    <w:p w14:paraId="0F034F8A"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Dozowanie składników mieszanki mineralno-asfaltowej w otaczarkach, w tym także wstępne, powinno być zautomatyzowane i zgodne z receptą roboczą, a urządzenia do dozowania składników oraz </w:t>
      </w:r>
      <w:r w:rsidRPr="001667DB">
        <w:rPr>
          <w:rFonts w:ascii="Times New Roman" w:hAnsi="Times New Roman" w:cs="Times New Roman"/>
          <w:color w:val="000000" w:themeColor="text1"/>
        </w:rPr>
        <w:lastRenderedPageBreak/>
        <w:t>pomiaru temperatury powinny być okresowo sprawdzane. Kruszywo o różnym uziarnieniu lub pochodzeniu należy dodawać odmierzone oddzielnie.</w:t>
      </w:r>
    </w:p>
    <w:p w14:paraId="0D0F252C"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Temperatura lepiszcza asfaltowego w zbiorniku magazynowym (roboczym) nie może przekraczać wartości podanych w pkcie 2.2.</w:t>
      </w:r>
    </w:p>
    <w:p w14:paraId="1911B9C4" w14:textId="77777777" w:rsidR="00955A27" w:rsidRPr="001667DB" w:rsidRDefault="00955A27" w:rsidP="00C03D2F">
      <w:pPr>
        <w:spacing w:after="120"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(ewentualnie z wypełniaczem) powinno być wysuszone i podgrzane tak, aby mieszanka mineralna uzyskała temperaturę właściwą do otoczenia lepiszczem asfaltowym. Temperatura mieszanki mineralnej nie powinna być wyższa o więcej niż </w:t>
      </w:r>
      <w:smartTag w:uri="urn:schemas-microsoft-com:office:smarttags" w:element="metricconverter">
        <w:smartTagPr>
          <w:attr w:name="ProductID" w:val="30ﾰC"/>
        </w:smartTagPr>
        <w:r w:rsidRPr="001667DB">
          <w:rPr>
            <w:rFonts w:ascii="Times New Roman" w:hAnsi="Times New Roman" w:cs="Times New Roman"/>
            <w:color w:val="000000" w:themeColor="text1"/>
          </w:rPr>
          <w:t>30°C</w:t>
        </w:r>
      </w:smartTag>
      <w:r w:rsidRPr="001667DB">
        <w:rPr>
          <w:rFonts w:ascii="Times New Roman" w:hAnsi="Times New Roman" w:cs="Times New Roman"/>
          <w:color w:val="000000" w:themeColor="text1"/>
        </w:rPr>
        <w:t xml:space="preserve"> od najwyższej temperatury mieszanki mineralno-asfaltowej podanej w tablicy 24. W tej tablicy najniższa temperatura dotyczy mieszanki mineralno-asfaltowej dostarczonej na miejsce wbudowania, a najwyższa temperatura dotyczy mieszanki mineralno-asfaltowej bezpośrednio po wytworzeniu w wytwórni.</w:t>
      </w:r>
    </w:p>
    <w:p w14:paraId="58105132"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24. Najwyższa i najniższa temperatura mieszanki AC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2590"/>
      </w:tblGrid>
      <w:tr w:rsidR="00955A27" w:rsidRPr="001667DB" w14:paraId="25C45BC0" w14:textId="77777777">
        <w:tc>
          <w:tcPr>
            <w:tcW w:w="2371" w:type="dxa"/>
          </w:tcPr>
          <w:p w14:paraId="0507BF7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Lepiszcze asfaltowe</w:t>
            </w:r>
          </w:p>
        </w:tc>
        <w:tc>
          <w:tcPr>
            <w:tcW w:w="2590" w:type="dxa"/>
          </w:tcPr>
          <w:p w14:paraId="1548D29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Temperatura mieszanki [°C]</w:t>
            </w:r>
          </w:p>
        </w:tc>
      </w:tr>
      <w:tr w:rsidR="00955A27" w:rsidRPr="001667DB" w14:paraId="0493391A" w14:textId="77777777">
        <w:tc>
          <w:tcPr>
            <w:tcW w:w="2371" w:type="dxa"/>
          </w:tcPr>
          <w:p w14:paraId="7900AD9D"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Asfalt 35/50</w:t>
            </w:r>
          </w:p>
          <w:p w14:paraId="2A114A36"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Asfalt 50/70</w:t>
            </w:r>
          </w:p>
          <w:p w14:paraId="7458BBED"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25/55-60</w:t>
            </w:r>
          </w:p>
          <w:p w14:paraId="0B2E69CA"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25/55-80</w:t>
            </w:r>
          </w:p>
          <w:p w14:paraId="0E9D1312"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MG 50/70-54/64</w:t>
            </w:r>
          </w:p>
          <w:p w14:paraId="3AF16538" w14:textId="77777777" w:rsidR="00955A27" w:rsidRPr="001667DB" w:rsidRDefault="00955A27" w:rsidP="00955A27">
            <w:pPr>
              <w:spacing w:before="60"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MG 35/50-57/69</w:t>
            </w:r>
          </w:p>
        </w:tc>
        <w:tc>
          <w:tcPr>
            <w:tcW w:w="2590" w:type="dxa"/>
          </w:tcPr>
          <w:p w14:paraId="59C4DA5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150 do 190</w:t>
            </w:r>
          </w:p>
          <w:p w14:paraId="6FF993B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140 do 180</w:t>
            </w:r>
          </w:p>
          <w:p w14:paraId="54A40E2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34C0873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59107C5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687FA96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tc>
      </w:tr>
    </w:tbl>
    <w:p w14:paraId="1F025C03"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Podana temperatura nie znajduje zastosowania do mieszanek mineralno-asfaltowych, do których jest dodawany dodatek w celu obniżenia temperatury jej wytwarzania i wbudowania lub gdy stosowane lepiszcze asfaltowe zawiera taki środek.</w:t>
      </w:r>
    </w:p>
    <w:p w14:paraId="38909018" w14:textId="77777777" w:rsidR="00955A27" w:rsidRPr="001667DB" w:rsidRDefault="00955A27" w:rsidP="00C03D2F">
      <w:pPr>
        <w:spacing w:after="120"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Sposób i 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1CF4BA9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Dopuszcza się dostawy mieszanek mineralno-asfaltowych z kilku wytwórni, pod warunkiem skoordynowania między sobą deklarowanych przydatności mieszanek (m.in.: typ, rodzaj składników, właściwości objętościowe) z zachowaniem dopuszczalnych różnic ich składu:</w:t>
      </w:r>
    </w:p>
    <w:p w14:paraId="73A80754" w14:textId="77777777" w:rsidR="00955A27" w:rsidRPr="001667DB" w:rsidRDefault="00955A27" w:rsidP="00904E6C">
      <w:pPr>
        <w:numPr>
          <w:ilvl w:val="0"/>
          <w:numId w:val="136"/>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0,3% (m/m),</w:t>
      </w:r>
    </w:p>
    <w:p w14:paraId="102E09BE" w14:textId="77777777" w:rsidR="00955A27" w:rsidRPr="001667DB" w:rsidRDefault="00955A27" w:rsidP="00904E6C">
      <w:pPr>
        <w:numPr>
          <w:ilvl w:val="0"/>
          <w:numId w:val="136"/>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zawartość kruszywa drobnego: 3,0% (m/m),</w:t>
      </w:r>
    </w:p>
    <w:p w14:paraId="51388AF9" w14:textId="77777777" w:rsidR="00955A27" w:rsidRPr="001667DB" w:rsidRDefault="00955A27" w:rsidP="00904E6C">
      <w:pPr>
        <w:numPr>
          <w:ilvl w:val="0"/>
          <w:numId w:val="136"/>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zawartość wypełniacza: 1,0% (m/m).</w:t>
      </w:r>
    </w:p>
    <w:p w14:paraId="0138613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6AF5CD32" w14:textId="77777777" w:rsidR="00955A27" w:rsidRPr="001667DB" w:rsidRDefault="00955A27" w:rsidP="00C03D2F">
      <w:pPr>
        <w:spacing w:after="120"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powinna być tak zaplanowana, aby nie dopuścić do zbyt długiego przechowywania mieszanki w silosach; należy wykluczyć możliwość szkodliwych zmian. </w:t>
      </w:r>
    </w:p>
    <w:p w14:paraId="72CDF80A" w14:textId="77777777" w:rsidR="00955A27" w:rsidRPr="001667DB" w:rsidRDefault="00955A27" w:rsidP="00C03D2F">
      <w:pPr>
        <w:spacing w:after="120"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Czas przechowywania – magazynowania mieszanki  MMA powinien uwzględniać możliwości wytwórni (sposób podgrzewania silosów gotowej mieszanki MMA i rodzaj izolacji), warunki atmosferyczne  oraz czas transportu na budowę.</w:t>
      </w:r>
    </w:p>
    <w:p w14:paraId="62B18D32"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5.4. Przygotowanie podłoża</w:t>
      </w:r>
    </w:p>
    <w:p w14:paraId="508290DA"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Podłoże (podbudowa z kruszywa niezwiązanego lub związanego) pod warstwę podbudowy z betonu asfaltowego powinno być na całej powierzchni:</w:t>
      </w:r>
    </w:p>
    <w:p w14:paraId="3BFBE54B"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ustabilizowane i nośne,</w:t>
      </w:r>
    </w:p>
    <w:p w14:paraId="49984FE1"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czyste, bez zanieczyszczenia lub pozostałości luźnego kruszywa,</w:t>
      </w:r>
    </w:p>
    <w:p w14:paraId="733D3836"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wyprofilowane, równe i bez kolein,</w:t>
      </w:r>
    </w:p>
    <w:p w14:paraId="0EA268C8"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suche,</w:t>
      </w:r>
    </w:p>
    <w:p w14:paraId="079A6932"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skropione emulsją asfaltową lub asfaltem zapewniającym powiązanie warstw.</w:t>
      </w:r>
    </w:p>
    <w:p w14:paraId="49C260E8"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Maksymalne nierówności podłoża pod warstwę podbudowy, nie powinny przekraczać wartości podanych w tablicy 25.</w:t>
      </w:r>
    </w:p>
    <w:p w14:paraId="410C7188" w14:textId="77777777" w:rsidR="00955A27" w:rsidRPr="001667DB" w:rsidRDefault="00955A27" w:rsidP="00C03D2F">
      <w:pPr>
        <w:spacing w:before="120" w:after="120" w:line="360" w:lineRule="auto"/>
        <w:ind w:left="1320" w:hanging="1320"/>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25.</w:t>
      </w:r>
      <w:r w:rsidRPr="001667DB">
        <w:rPr>
          <w:rFonts w:ascii="Times New Roman" w:hAnsi="Times New Roman" w:cs="Times New Roman"/>
          <w:color w:val="000000" w:themeColor="text1"/>
        </w:rPr>
        <w:tab/>
        <w:t xml:space="preserve">Maksymalne nierówności podłoża pod warstwę podbudowy z betonu asfaltowego (pomiar łatą 4-metrową lub równoważną metodą)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5226"/>
        <w:gridCol w:w="2535"/>
      </w:tblGrid>
      <w:tr w:rsidR="00955A27" w:rsidRPr="001667DB" w14:paraId="21016F54" w14:textId="77777777">
        <w:tc>
          <w:tcPr>
            <w:tcW w:w="1242" w:type="dxa"/>
          </w:tcPr>
          <w:p w14:paraId="156C52A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7ABF89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5226" w:type="dxa"/>
          </w:tcPr>
          <w:p w14:paraId="1B6C482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241869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535" w:type="dxa"/>
          </w:tcPr>
          <w:p w14:paraId="5781936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Maksymalna nierówność podłoża pod warstwę podbudowy [mm]</w:t>
            </w:r>
          </w:p>
        </w:tc>
      </w:tr>
      <w:tr w:rsidR="00955A27" w:rsidRPr="001667DB" w14:paraId="7BA2BC56" w14:textId="77777777">
        <w:tc>
          <w:tcPr>
            <w:tcW w:w="1242" w:type="dxa"/>
            <w:vMerge w:val="restart"/>
          </w:tcPr>
          <w:p w14:paraId="4F189B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 S, GP</w:t>
            </w:r>
          </w:p>
        </w:tc>
        <w:tc>
          <w:tcPr>
            <w:tcW w:w="5226" w:type="dxa"/>
          </w:tcPr>
          <w:p w14:paraId="7E206F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awaryjne, dodatkowe, </w:t>
            </w:r>
          </w:p>
          <w:p w14:paraId="3D7121F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włączenia i wyłączenia, jezdnie łącznic, </w:t>
            </w:r>
          </w:p>
          <w:p w14:paraId="383009A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utwardzone pobocza </w:t>
            </w:r>
          </w:p>
        </w:tc>
        <w:tc>
          <w:tcPr>
            <w:tcW w:w="2535" w:type="dxa"/>
          </w:tcPr>
          <w:p w14:paraId="25EFCD4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520C51E0" w14:textId="77777777">
        <w:tc>
          <w:tcPr>
            <w:tcW w:w="1242" w:type="dxa"/>
            <w:vMerge/>
          </w:tcPr>
          <w:p w14:paraId="2D201B24"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5226" w:type="dxa"/>
          </w:tcPr>
          <w:p w14:paraId="43BDFD22"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MOP</w:t>
            </w:r>
          </w:p>
        </w:tc>
        <w:tc>
          <w:tcPr>
            <w:tcW w:w="2535" w:type="dxa"/>
          </w:tcPr>
          <w:p w14:paraId="6AA4DF0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955A27" w:rsidRPr="001667DB" w14:paraId="6E9FFAC7" w14:textId="77777777">
        <w:tc>
          <w:tcPr>
            <w:tcW w:w="1242" w:type="dxa"/>
          </w:tcPr>
          <w:p w14:paraId="3DADEBC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 Z</w:t>
            </w:r>
          </w:p>
        </w:tc>
        <w:tc>
          <w:tcPr>
            <w:tcW w:w="5226" w:type="dxa"/>
          </w:tcPr>
          <w:p w14:paraId="543AC5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w:t>
            </w:r>
          </w:p>
          <w:p w14:paraId="6DC6E08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dodatkowe, włączenia </w:t>
            </w:r>
          </w:p>
          <w:p w14:paraId="01A0319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 wyłączenia, postojowe, </w:t>
            </w:r>
          </w:p>
          <w:p w14:paraId="799B87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utwardzone pobocza </w:t>
            </w:r>
          </w:p>
          <w:p w14:paraId="5EBC9A6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535" w:type="dxa"/>
          </w:tcPr>
          <w:p w14:paraId="047B335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56E2C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955A27" w:rsidRPr="001667DB" w14:paraId="22C23796" w14:textId="77777777">
        <w:tc>
          <w:tcPr>
            <w:tcW w:w="1242" w:type="dxa"/>
          </w:tcPr>
          <w:p w14:paraId="0A6489C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 D, place, parkingi</w:t>
            </w:r>
          </w:p>
        </w:tc>
        <w:tc>
          <w:tcPr>
            <w:tcW w:w="5226" w:type="dxa"/>
          </w:tcPr>
          <w:p w14:paraId="4E053C2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pasy ruchu </w:t>
            </w:r>
          </w:p>
          <w:p w14:paraId="39E08C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 powierzchnie </w:t>
            </w:r>
          </w:p>
          <w:p w14:paraId="7675A57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przeznaczone do ruchu </w:t>
            </w:r>
          </w:p>
          <w:p w14:paraId="1A59FD0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 postoju pojazdów </w:t>
            </w:r>
          </w:p>
          <w:p w14:paraId="094DE3B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535" w:type="dxa"/>
          </w:tcPr>
          <w:p w14:paraId="0C25D75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18</w:t>
            </w:r>
          </w:p>
        </w:tc>
      </w:tr>
    </w:tbl>
    <w:p w14:paraId="0FDB4452"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nierówności  są większe niż dopuszczalne, to należy wyrównać podłoże.</w:t>
      </w:r>
    </w:p>
    <w:p w14:paraId="69D8B48F"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Rzędne wysokościowe podłoża oraz urządzeń usytuowanych w nawierzchni lub ją ograniczających powinny być zgodne z dokumentacją projektową. Z podłoża powinien być zapewniony odpływ wody.</w:t>
      </w:r>
    </w:p>
    <w:p w14:paraId="3993C9AF"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75AD2273"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celu polepszenia połączenia między warstwami technologicznymi nawierzchni powierzchnia podłoża powinna być w ocenie wizualnej chropowata.</w:t>
      </w:r>
    </w:p>
    <w:p w14:paraId="0E0F9ADA"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Szerokie szczeliny w podłożu należy wypełnić odpowiednim materiałem, np. zalewami drogowymi według PN-EN 14188-1 [67] lub PN-EN 14188-2 [68] albo innymi materiałami według norm lub aprobat technicznych.</w:t>
      </w:r>
    </w:p>
    <w:p w14:paraId="07B46774"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 podłożu wykazującym zniszczenia w postaci siatki spękań zmęczeniowych lub spękań poprzecznych zaleca się stosowanie membrany przeciwspękaniowej, np. mieszanki mineralno-asfaltowej, warstwy SAMI lub z geosyntetyków według norm lub aprobat technicznych lub podłoże należy wymienić.</w:t>
      </w:r>
    </w:p>
    <w:p w14:paraId="2EF180D8"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 do skropienia emulsją należy wykonać zgodnie z ST D-04.03.01.</w:t>
      </w:r>
    </w:p>
    <w:p w14:paraId="01E89EB0"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 xml:space="preserve">5.5. Próba technologiczna </w:t>
      </w:r>
    </w:p>
    <w:p w14:paraId="541C6C9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przed przystąpieniem do produkcji mieszanki jest zobowiązany do przeprowadzenia w obecności Inżyniera próby technologicznej, która ma na celu sprawdzenie </w:t>
      </w:r>
      <w:r w:rsidRPr="001667DB">
        <w:rPr>
          <w:rFonts w:ascii="Times New Roman" w:hAnsi="Times New Roman" w:cs="Times New Roman"/>
          <w:color w:val="000000" w:themeColor="text1"/>
        </w:rPr>
        <w:lastRenderedPageBreak/>
        <w:t xml:space="preserve">zgodności właściwości wyprodukowanej mieszanki z receptą. W tym celu należy zaprogramować otaczarkę zgodnie z receptą roboczą i w cyklu automatycznym produkować mieszankę. Do badań należy pobrać mieszankę wyprodukowaną po ustabilizowaniu się pracy otaczarki. W przypadku produkcji mieszanki mineralno- asfaltowej w kilku otaczarkach próba powinna być przeprowadzona na każdej wytwórni. </w:t>
      </w:r>
    </w:p>
    <w:p w14:paraId="617F1F4C"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 dopuszcza się oceniania dokładności pracy otaczarki oraz prawidłowości składu mieszanki mineralnej na podstawie tzw. suchego zarobu, z uwagi na możliwą segregację kruszywa.</w:t>
      </w:r>
    </w:p>
    <w:p w14:paraId="64E07ECC"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próby technologicznej Wykonawca użyje takich materiałów, jakie będą stosowane do wykonania właściwej mieszanki mineralno-asfaltowej. </w:t>
      </w:r>
    </w:p>
    <w:p w14:paraId="136D504C"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czasie wykonywania zarobu próbnego dozowania ilościowe poszczególnych materiałów składowych mieszanki mineralno-asfaltowej powinny być zgodne z ilościami podanymi w przedłożonej przez Wykonawcę i zatwierdzonej przez Inżyniera recepcie. Sprawdzenie zawartości asfaltu w mieszance określa się wykonując ekstrakcję. Sprawdzenie uziarnienia mieszanki mineralnej wykonuje się poprzez analizę sitową kruszywa.</w:t>
      </w:r>
    </w:p>
    <w:p w14:paraId="63AE349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sprawdzenia składu granulometrycznego mieszanki mineralnej i zawartości asfaltu zaleca się pobrać próbki z co najmniej trzeciego zarobu po uruchomieniu produkcji. Tolerancje zawartości składników mieszanki mineralno-asfaltowej względem składu zaprojektowanego, powinny być zawarte w granicach podanych w punkcie 6.  </w:t>
      </w:r>
    </w:p>
    <w:p w14:paraId="2D23B163"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Mieszankę wyprodukowaną po ustabilizowaniu się pracy otaczarki należy zgromadzić w silosie lub załadować na samochód. Próbki do badań należy pobierać ze skrzyni samochodu zgodnie z metodą określoną w PN-EN 12697-27 [44].</w:t>
      </w:r>
    </w:p>
    <w:p w14:paraId="4D58EF77"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podstawie uzyskanych wyników Inżynier podejmuje decyzję o wykonaniu odcinka próbnego.</w:t>
      </w:r>
    </w:p>
    <w:p w14:paraId="67E79387"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5.6. Odcinek próbny</w:t>
      </w:r>
    </w:p>
    <w:p w14:paraId="3A13801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Zaakceptowanie przez Inżyniera wyników badań próbek z próbnego zarobu stanowi podstawę do wykonania przez Wykonawcę odcinka próbnego. Za zgodą Inżyniera można połączyć wykonanie próby technologicznej z wykonaniem odcinka próbnego. </w:t>
      </w:r>
    </w:p>
    <w:p w14:paraId="1925578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braku innych uzgodnień z Inżynierem, Wykonawca powinien wykonać odcinek próbny co najmniej na trzy dni przed rozpoczęciem robót, w celu:</w:t>
      </w:r>
    </w:p>
    <w:p w14:paraId="489BD532"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sprawdzenia czy użyty sprzęt jest właściwy,</w:t>
      </w:r>
    </w:p>
    <w:p w14:paraId="1D4EC25F"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określenia grubości warstwy mieszanki mineralno-asfaltowej przed zagęszczeniem, koniecznej do uzyskania wymaganej w kontrakcie grubości warstwy,</w:t>
      </w:r>
    </w:p>
    <w:p w14:paraId="71837CDE"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określenia potrzebnej liczby przejść walców dla uzyskania prawidłowego zagęszczenia warstwy.</w:t>
      </w:r>
    </w:p>
    <w:p w14:paraId="5C5A3FF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Do takiej próby Wykonawca powinien użyć takich materiałów oraz sprzętu, jaki stosowany będzie do wykonania warstwy nawierzchni. </w:t>
      </w:r>
    </w:p>
    <w:p w14:paraId="0D55CA1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Odcinek próbny powinien być zlokalizowany w miejscu uzgodnionym z Inżynierem. Powierzchnia odcinka próbnego powinna wynosić co najmniej </w:t>
      </w:r>
      <w:smartTag w:uri="urn:schemas-microsoft-com:office:smarttags" w:element="metricconverter">
        <w:smartTagPr>
          <w:attr w:name="ProductID" w:val="500 m2"/>
        </w:smartTagPr>
        <w:r w:rsidRPr="001667DB">
          <w:rPr>
            <w:rFonts w:ascii="Times New Roman" w:hAnsi="Times New Roman" w:cs="Times New Roman"/>
            <w:color w:val="000000" w:themeColor="text1"/>
          </w:rPr>
          <w:t>500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a długość co najmniej </w:t>
      </w:r>
      <w:smartTag w:uri="urn:schemas-microsoft-com:office:smarttags" w:element="metricconverter">
        <w:smartTagPr>
          <w:attr w:name="ProductID" w:val="50 m"/>
        </w:smartTagPr>
        <w:r w:rsidRPr="001667DB">
          <w:rPr>
            <w:rFonts w:ascii="Times New Roman" w:hAnsi="Times New Roman" w:cs="Times New Roman"/>
            <w:color w:val="000000" w:themeColor="text1"/>
          </w:rPr>
          <w:t>50 m</w:t>
        </w:r>
      </w:smartTag>
      <w:r w:rsidRPr="001667DB">
        <w:rPr>
          <w:rFonts w:ascii="Times New Roman" w:hAnsi="Times New Roman" w:cs="Times New Roman"/>
          <w:color w:val="000000" w:themeColor="text1"/>
        </w:rPr>
        <w:t xml:space="preserve"> i powinny być tak dobrane, aby na jego podstawie możliwa była ocena prawidłowości wbudowania i zagęszczenia mieszanki mineralno-asfaltowej.</w:t>
      </w:r>
    </w:p>
    <w:p w14:paraId="2F37A86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układanej warstwy powinna być zgodna z grubością podaną w dokumentacji projektowej. Ilość  próbek (rdzeni) pobrana z odcinka próbnego powinna być uzgodniona z Inżynierem i oceniona pod względem zgodności z </w:t>
      </w:r>
      <w:r w:rsidRPr="001667DB">
        <w:rPr>
          <w:rFonts w:ascii="Times New Roman" w:hAnsi="Times New Roman" w:cs="Times New Roman"/>
          <w:color w:val="000000" w:themeColor="text1"/>
          <w:shd w:val="clear" w:color="auto" w:fill="FFFFFF"/>
        </w:rPr>
        <w:t>wy</w:t>
      </w:r>
      <w:r w:rsidRPr="001667DB">
        <w:rPr>
          <w:rFonts w:ascii="Times New Roman" w:hAnsi="Times New Roman" w:cs="Times New Roman"/>
          <w:color w:val="000000" w:themeColor="text1"/>
        </w:rPr>
        <w:t xml:space="preserve">maganiami niniejszej specyfikacji. Należy pobrać minimum w dwóch przekrojach poprzecznych po dwie próbki (rdzenie). </w:t>
      </w:r>
    </w:p>
    <w:p w14:paraId="0543760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aby za zgodą Inżyniera, odcinek próbny zlokalizowany był w ciągu zasadniczych prac nawierzchniowych objętych danym kontraktem.</w:t>
      </w:r>
    </w:p>
    <w:p w14:paraId="08135D0F"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może przystąpić do realizacji robót po zaakceptowaniu przez Inżyniera technologii wbudowania oraz wyników z odcinka próbnego.</w:t>
      </w:r>
    </w:p>
    <w:p w14:paraId="69E5C79D"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5.7. Połączenie międzywarstwowe</w:t>
      </w:r>
    </w:p>
    <w:p w14:paraId="2F27B099"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Uzyskanie wymaganej trwałości nawierzchni jest uzależnione od zapewnienia połączenia między warstwami oraz ich współpracy w przenoszeniu obciążeń nawierzchni wywołanych ruchem pojazdów.</w:t>
      </w:r>
    </w:p>
    <w:p w14:paraId="20AE99E7"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połączenia międzywarstwowego wymaga starannego przygotowania podłoża, na którym będą układane kolejne warstwy asfaltowe, zastosowania odpowiedniej emulsji asfaltowej oraz właściwego wykonania skropienia. Podłoże należy przygotować zgodnie z ST D.04.03.01. </w:t>
      </w:r>
    </w:p>
    <w:p w14:paraId="6552EEDC"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Skropienie emulsją asfaltową ma na celu zwiększenie siły połączenia pomiędzy warstwami konstrukcyjnymi oraz zabezpieczenie przed wnikaniem i zaleganiem wody pomiędzy warstwami. </w:t>
      </w:r>
    </w:p>
    <w:p w14:paraId="39A253C0"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skropień należy stosować rodzaj emulsji i ilość w zależności od rodzaju warstwy i kategorii ruchu, zgodnie z zasadami określonymi w ST D.04.03.01.</w:t>
      </w:r>
    </w:p>
    <w:p w14:paraId="2373C0D2" w14:textId="77777777" w:rsidR="00955A27" w:rsidRPr="001667DB" w:rsidRDefault="00955A27" w:rsidP="00955A27">
      <w:pPr>
        <w:spacing w:after="120" w:line="360" w:lineRule="auto"/>
        <w:ind w:firstLine="709"/>
        <w:rPr>
          <w:rFonts w:ascii="Times New Roman" w:hAnsi="Times New Roman" w:cs="Times New Roman"/>
          <w:color w:val="000000" w:themeColor="text1"/>
        </w:rPr>
      </w:pPr>
    </w:p>
    <w:p w14:paraId="2AB90A7D" w14:textId="77777777" w:rsidR="00955A27" w:rsidRPr="001667DB" w:rsidRDefault="00AB678D" w:rsidP="00955A27">
      <w:pPr>
        <w:spacing w:after="120" w:line="360" w:lineRule="auto"/>
        <w:jc w:val="center"/>
        <w:rPr>
          <w:rFonts w:ascii="Times New Roman" w:hAnsi="Times New Roman" w:cs="Times New Roman"/>
          <w:color w:val="000000" w:themeColor="text1"/>
        </w:rPr>
      </w:pPr>
      <w:r>
        <w:rPr>
          <w:rFonts w:ascii="Times New Roman" w:hAnsi="Times New Roman" w:cs="Times New Roman"/>
          <w:noProof/>
          <w:color w:val="000000" w:themeColor="text1"/>
        </w:rPr>
        <w:lastRenderedPageBreak/>
        <w:pict w14:anchorId="2280EF51">
          <v:shape id="_x0000_i1033" type="#_x0000_t75" style="width:439.5pt;height:208.5pt;visibility:visible">
            <v:imagedata r:id="rId42" o:title=""/>
          </v:shape>
        </w:pict>
      </w:r>
    </w:p>
    <w:p w14:paraId="17D41ADB"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Uwaga: w celu określenia ilości pozostałego lepiszcza asfaltowego, należy ilość emulsji asfaltowej podaną w tabeli pomnożyć przez 0,6.</w:t>
      </w:r>
    </w:p>
    <w:p w14:paraId="3F16F4F0"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 xml:space="preserve">5.8. Wbudowanie mieszanki mineralno-asfaltowej </w:t>
      </w:r>
    </w:p>
    <w:p w14:paraId="6EBF698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doborze rodzaju mieszanki mineralno-asfaltowej do układu warstw konstrukcyjnych należy zachować zasadę mówiącą, że grubość warstwy musi być co najmniej dwuipółkrotnie większa od wymiaru D kruszywa danej mieszanki (h ≥ 2,5xD).</w:t>
      </w:r>
    </w:p>
    <w:p w14:paraId="4041930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 </w:t>
      </w:r>
    </w:p>
    <w:p w14:paraId="2EB1512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można wbudowywać na podłożu przygotowanym zgodnie z zapisami w punktach 5.4 i 5.7. </w:t>
      </w:r>
    </w:p>
    <w:p w14:paraId="6383ED9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Temperatura podłoża pod rozkładaną warstwę nie może być niższa niż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w:t>
      </w:r>
    </w:p>
    <w:p w14:paraId="573E5CD9"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Transport mieszanki mineralno-asfaltowej asfaltowej powinien być zgodny z zaleceniami podanymi w punkcie 4.2. </w:t>
      </w:r>
    </w:p>
    <w:p w14:paraId="0E7CC401"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związane z wbudowaniem mieszanki mineralno-asfaltowej należy tak zaplanować, </w:t>
      </w:r>
    </w:p>
    <w:p w14:paraId="637825AA"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aby: </w:t>
      </w:r>
    </w:p>
    <w:p w14:paraId="1349D9A8" w14:textId="77777777" w:rsidR="00955A27" w:rsidRPr="001667DB" w:rsidRDefault="00955A27" w:rsidP="00904E6C">
      <w:pPr>
        <w:numPr>
          <w:ilvl w:val="0"/>
          <w:numId w:val="141"/>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umożliwiały układanie warstwy całą szerokością jezdni (jedną rozkładarką lub dwoma rozkładarkami pracującymi obok siebie z odpowiednim przesunięciem), a w przypadku przebudów i remontów o dopuszczonym ruchu jednokierunkowym (wahadłowym) szerokością pasa ruchu, </w:t>
      </w:r>
    </w:p>
    <w:p w14:paraId="132FAEEB" w14:textId="77777777" w:rsidR="00955A27" w:rsidRPr="001667DB" w:rsidRDefault="00955A27" w:rsidP="00904E6C">
      <w:pPr>
        <w:numPr>
          <w:ilvl w:val="0"/>
          <w:numId w:val="141"/>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dzienne działki robocze (tj. odcinki nawierzchni na których mieszanka mineralno-asfaltowa jest wbudowywana jednego dnia) powinny być możliwie jak najdłuższe min. 200 m, </w:t>
      </w:r>
    </w:p>
    <w:p w14:paraId="27561948" w14:textId="77777777" w:rsidR="00955A27" w:rsidRPr="001667DB" w:rsidRDefault="00955A27" w:rsidP="00904E6C">
      <w:pPr>
        <w:numPr>
          <w:ilvl w:val="0"/>
          <w:numId w:val="141"/>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organizacja dostaw mieszanki powinna zapewnić pracę rozkładarki bez zatrzymań. </w:t>
      </w:r>
    </w:p>
    <w:p w14:paraId="2D14A39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asfaltową należy wbudowywać w odpowiednich warunkach atmosferycznych.  Nie wolno wbudowywać betonu asfaltowego  gdy na podłożu tworzy się zamknięty film wodny. </w:t>
      </w:r>
    </w:p>
    <w:p w14:paraId="0BD3C54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Temperatura otoczenia w ciągu doby nie powinna być niższa od temperatury podanej w tablicy 26. Temperatura otoczenia może być niższa w wypadku stosowania ogrzewania podłoża i obramowania (np. promienniki podczerwieni, urządzenia mikrofalowe). Temperatura powietrza powinna być mierzona co najmniej 3 razy dziennie: przed przystąpieniem do robót oraz podczas ich wykonywania w okresach równomiernie rozłożonych w planowanym czasie realizacji dziennej działki roboczej. Nie dopuszcza się układania mieszanki mineralno-asfaltowej asfaltowej podczas silnego wiatru (V &gt; 16 m/s) oraz opadów atmosferycznych.</w:t>
      </w:r>
    </w:p>
    <w:p w14:paraId="5644C35C"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Podczas budowy nawierzchni należy dążyć do ułożenia wszystkich warstw przed sezonem zimowym, aby zapewnić szczelność nawierzchni i jej odporność na działanie wody i mrozu. Jeżeli w wyjątkowym przypadku zachodzi konieczność pozostawienia na zimę warstwy podbudowy, to należy ją powierzchniowo uszczelnić w celu zabezpieczenia przed szkodliwym działaniem wody, mrozu i ewentualnie środków odladzających.</w:t>
      </w:r>
    </w:p>
    <w:p w14:paraId="27077697"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wypadku stosowania mieszanek mineralno-asfaltowych z dodatkiem obniżającym temperaturę mieszania i wbudowania należy indywidualnie określić wymagane warunki otoczenia. </w:t>
      </w:r>
    </w:p>
    <w:p w14:paraId="645D5459" w14:textId="77777777" w:rsidR="00955A27" w:rsidRPr="001667DB" w:rsidRDefault="00955A27" w:rsidP="00C03D2F">
      <w:pPr>
        <w:spacing w:before="120" w:after="120" w:line="360" w:lineRule="auto"/>
        <w:ind w:left="1200" w:hanging="1200"/>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26. Minimalna temperatura otoczenia na wysokości 2 m podczas wykonywania warstw asfaltowych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4111"/>
      </w:tblGrid>
      <w:tr w:rsidR="00955A27" w:rsidRPr="001667DB" w14:paraId="6CB6DB64" w14:textId="77777777" w:rsidTr="001B4B8F">
        <w:trPr>
          <w:trHeight w:val="562"/>
        </w:trPr>
        <w:tc>
          <w:tcPr>
            <w:tcW w:w="3960" w:type="dxa"/>
            <w:vAlign w:val="center"/>
          </w:tcPr>
          <w:p w14:paraId="6B79BDD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robót</w:t>
            </w:r>
          </w:p>
        </w:tc>
        <w:tc>
          <w:tcPr>
            <w:tcW w:w="4111" w:type="dxa"/>
            <w:vAlign w:val="center"/>
          </w:tcPr>
          <w:p w14:paraId="38749CF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temperatura powietrza  [°C]</w:t>
            </w:r>
          </w:p>
        </w:tc>
      </w:tr>
      <w:tr w:rsidR="00955A27" w:rsidRPr="001667DB" w14:paraId="5E19D89D" w14:textId="77777777" w:rsidTr="001B4B8F">
        <w:tc>
          <w:tcPr>
            <w:tcW w:w="3960" w:type="dxa"/>
          </w:tcPr>
          <w:p w14:paraId="3E0B6A7D" w14:textId="77777777" w:rsidR="00955A27" w:rsidRPr="001667DB" w:rsidRDefault="00955A27" w:rsidP="00955A27">
            <w:pPr>
              <w:spacing w:before="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Podbudowa</w:t>
            </w:r>
          </w:p>
        </w:tc>
        <w:tc>
          <w:tcPr>
            <w:tcW w:w="4111" w:type="dxa"/>
          </w:tcPr>
          <w:p w14:paraId="57010B4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0°C (-3°C*) </w:t>
            </w:r>
          </w:p>
        </w:tc>
      </w:tr>
    </w:tbl>
    <w:p w14:paraId="2097DF9F" w14:textId="77777777" w:rsidR="00955A27" w:rsidRPr="001667DB" w:rsidRDefault="00955A27" w:rsidP="00C03D2F">
      <w:pPr>
        <w:spacing w:after="120" w:line="36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Do decyzji Inżyniera, przy czym temperatura podłoża powinna wynosić co najmniej 5°C.</w:t>
      </w:r>
      <w:r w:rsidRPr="001667DB">
        <w:rPr>
          <w:rFonts w:ascii="Times New Roman" w:hAnsi="Times New Roman" w:cs="Times New Roman"/>
          <w:color w:val="000000" w:themeColor="text1"/>
        </w:rPr>
        <w:tab/>
      </w:r>
    </w:p>
    <w:p w14:paraId="7D6A8F67"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Mieszanka mineralno-asfaltowa powinna być wbudowywana rozkładarką wyposażoną w układ automatycznego sterowania grubości warstwy i utrzymywania niwelety zgodnie z dokumentacją projektową. W miejscach niedostępnych dla sprzętu dopuszcza się wbudowywanie ręczne. </w:t>
      </w:r>
    </w:p>
    <w:p w14:paraId="7C0C6EE8"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Grubość wykonywanej warstwy powinna być sprawdzana co </w:t>
      </w:r>
      <w:smartTag w:uri="urn:schemas-microsoft-com:office:smarttags" w:element="metricconverter">
        <w:smartTagPr>
          <w:attr w:name="ProductID" w:val="25 m"/>
        </w:smartTagPr>
        <w:r w:rsidRPr="001667DB">
          <w:rPr>
            <w:rFonts w:ascii="Times New Roman" w:hAnsi="Times New Roman" w:cs="Times New Roman"/>
            <w:color w:val="000000" w:themeColor="text1"/>
          </w:rPr>
          <w:t>25 m</w:t>
        </w:r>
      </w:smartTag>
      <w:r w:rsidRPr="001667DB">
        <w:rPr>
          <w:rFonts w:ascii="Times New Roman" w:hAnsi="Times New Roman" w:cs="Times New Roman"/>
          <w:color w:val="000000" w:themeColor="text1"/>
        </w:rPr>
        <w:t>, w co najmniej trzech miejscach (w osi i przy brzegach warstwy).</w:t>
      </w:r>
    </w:p>
    <w:p w14:paraId="0407AA4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Warstwy wałowane powinny być równomiernie zagęszczone ciężkimi walcami drogowymi. Do warstw z betonu asfaltowego należy stosować walce drogowe stalowe gładkie z możliwością wibracji, oscylacji lub walce ogumione. </w:t>
      </w:r>
    </w:p>
    <w:p w14:paraId="351D14B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Po wykonanych warstwach podbudowy i warstwie wiążącej powinien odbywać się wyłącznie ruch pojazdów związanych z układaniem następnej warstwy. W przypadku konieczności dopuszczenia innego ruchu należy zastosować zabiegi zabezpieczające uzyskanie wymaganego połączenia międzywarstwowego.</w:t>
      </w:r>
    </w:p>
    <w:p w14:paraId="37B10BB9" w14:textId="77777777" w:rsidR="00955A27" w:rsidRPr="001667DB" w:rsidRDefault="00955A27" w:rsidP="00C03D2F">
      <w:pPr>
        <w:pStyle w:val="Nagwek2"/>
        <w:spacing w:line="360" w:lineRule="auto"/>
        <w:jc w:val="both"/>
        <w:rPr>
          <w:color w:val="000000" w:themeColor="text1"/>
          <w:sz w:val="22"/>
          <w:szCs w:val="22"/>
        </w:rPr>
      </w:pPr>
      <w:bookmarkStart w:id="449" w:name="_Toc413234108"/>
      <w:r w:rsidRPr="001667DB">
        <w:rPr>
          <w:color w:val="000000" w:themeColor="text1"/>
          <w:sz w:val="22"/>
          <w:szCs w:val="22"/>
        </w:rPr>
        <w:t>5.9. Połączenia technologiczne</w:t>
      </w:r>
    </w:p>
    <w:p w14:paraId="1E1B7E1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Połączenia technologiczne należy wykonywać jako</w:t>
      </w:r>
    </w:p>
    <w:p w14:paraId="1FC20A6F" w14:textId="77777777" w:rsidR="00955A27" w:rsidRPr="001667DB" w:rsidRDefault="00955A27" w:rsidP="00904E6C">
      <w:pPr>
        <w:numPr>
          <w:ilvl w:val="0"/>
          <w:numId w:val="14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złącza podłużne i poprzeczne (wg definicji p. 1.4.17.),</w:t>
      </w:r>
    </w:p>
    <w:p w14:paraId="72170D60"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Połączenia technologiczne powinny być jednorodne i szczelne.   </w:t>
      </w:r>
    </w:p>
    <w:p w14:paraId="79691FE5"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5.9.1.</w:t>
      </w:r>
      <w:r w:rsidRPr="001667DB">
        <w:rPr>
          <w:rFonts w:ascii="Times New Roman" w:hAnsi="Times New Roman" w:cs="Times New Roman"/>
          <w:color w:val="000000" w:themeColor="text1"/>
        </w:rPr>
        <w:t xml:space="preserve"> Wykonanie złączy</w:t>
      </w:r>
    </w:p>
    <w:p w14:paraId="50F9967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5.9.1.1. Sposób wykonania złączy - wymagania ogólne</w:t>
      </w:r>
    </w:p>
    <w:p w14:paraId="120F34D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w warstwach nawierzchni powinny być wykonywane w linii prostej.</w:t>
      </w:r>
    </w:p>
    <w:p w14:paraId="6C6A15F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podłużnego nie można umiejscawiać w śladach kół.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1667DB">
          <w:rPr>
            <w:rFonts w:ascii="Times New Roman" w:hAnsi="Times New Roman" w:cs="Times New Roman"/>
            <w:color w:val="000000" w:themeColor="text1"/>
          </w:rPr>
          <w:t>2 m</w:t>
        </w:r>
      </w:smartTag>
      <w:r w:rsidRPr="001667DB">
        <w:rPr>
          <w:rFonts w:ascii="Times New Roman" w:hAnsi="Times New Roman" w:cs="Times New Roman"/>
          <w:color w:val="000000" w:themeColor="text1"/>
        </w:rPr>
        <w:t xml:space="preserve"> w kierunku podłużnym do osi jezdni.</w:t>
      </w:r>
    </w:p>
    <w:p w14:paraId="3CDA392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powinny być całkowicie związane, a powierzchnie przylegających warstw powinny być w jednym poziomie.</w:t>
      </w:r>
    </w:p>
    <w:p w14:paraId="1ACEF6C4"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5.9.1.2. Technologia rozkładania „gorące przy gorącym”</w:t>
      </w:r>
    </w:p>
    <w:p w14:paraId="10DD8B2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1E2F473C"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Walce zagęszczające mieszankę za każdą rozkładarką powinny być o zbliżonych parametrach. Zagęszczanie każdego z pasów należy rozpoczynać od zewnętrznej krawędzi pasa i stopniowo zagęszczać pas w kierunku złącza.</w:t>
      </w:r>
    </w:p>
    <w:p w14:paraId="16CC7EE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tej metodzie nie stosuje się dodatkowych materiałów do złączy.</w:t>
      </w:r>
    </w:p>
    <w:p w14:paraId="3E2CF693"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5.9.1.3. Technologia rozkładania „gorące przy zimnym” </w:t>
      </w:r>
    </w:p>
    <w:p w14:paraId="5DFC480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3263501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Wcześniej wykonany pas warstwy technologicznej powinien mieć wyprofilowaną krawędź równomiernie zagęszczoną, bez pęknięć. Krawędź ta nie może być pionowa, lecz powinna być skośna (pochylenie około 3:1 tj.pod kątem 70-80˚ w stosunku do warstwy niżej leżącej). Skos wykonany „na gorąco”, powinien być uformowany podczas układania pierwszego pasa ruchu, przy zastosowaniu rolki dociskowej lub noża talerzowego.</w:t>
      </w:r>
    </w:p>
    <w:p w14:paraId="27035FC3"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skos nie został uformowany „na gorąco”, należy uzyskać go przez frezowanie zimnego pasa, z zachowaniem wymaganego kąta. Powierzchnia styku powinna być czysta i sucha. Przed ułożeniem sąsiedniego pasa całą powierzchnię styku należy pokryć przylepną taśmą bitumiczną lub pastą zgodnie z wymaganiami i w ilości podanej w punktach 5.9.1.5.  i 5.9.1.6.</w:t>
      </w:r>
    </w:p>
    <w:p w14:paraId="477D8F8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Drugi pas powinien być wykonywany z zakładem 2-3 cm licząc od górnej krawędzi złącza, zachodzącym na pas wykonany wcześniej.</w:t>
      </w:r>
    </w:p>
    <w:p w14:paraId="36F8507D"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5.9.1.4. Zakończenie działki roboczej </w:t>
      </w:r>
    </w:p>
    <w:p w14:paraId="6F349D7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Zakończenie działki roboczej należy wykonać w sposób i przy pomocy urządzeń zapewniających uzyskanie nieregularnej powierzchni spoiny (przy pomocy wstawianej kantówki lub frezarki). Zakończenie działki roboczej należy wykonać prostopadle do osi drogi. Krawędź działki roboczej jest równocześnie krawędzią poprzeczną złącza.</w:t>
      </w:r>
    </w:p>
    <w:p w14:paraId="5089675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poprzeczne między działkami roboczymi układanych pasów kolejnych warstw technologicznych należy przesunąć względem siebie o co najmniej 3 m w kierunku podłużnym do osi jezdni.</w:t>
      </w:r>
    </w:p>
    <w:p w14:paraId="424F87A5" w14:textId="77777777" w:rsidR="00955A27" w:rsidRPr="001667DB" w:rsidRDefault="00955A27" w:rsidP="00C03D2F">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5.9.1.5.</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Wymagania wobec wbudowania taśm bitumicznych</w:t>
      </w:r>
    </w:p>
    <w:p w14:paraId="0013A08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wysokość taśmy wynosi 4 cm. Grubość taśmy powinna wynosić 10 mm.</w:t>
      </w:r>
    </w:p>
    <w:p w14:paraId="0C014D5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Krawędź boczna złącza podłużnego powinna być uformowana zgodnie z opisem w punkcie 5.9.1.3. Krawędź boczna złącza poprzecznego powinna być uformowana w taki sposób i za pomocą urządzeń umożliwiających uzyskanie nieregularnej powierzchni.</w:t>
      </w:r>
    </w:p>
    <w:p w14:paraId="2901636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Powierzchnie krawędzi do których klejona będzie taśma, powinny być czyste i suche. Przed przyklejeniem taśmy w metodzie „gorące przy zimnym”, krawędzie „zimnej” warstwy na całkowitej grubości, należy zagruntować zgodnie z zaleceniami producenta</w:t>
      </w:r>
    </w:p>
    <w:p w14:paraId="354ED7D4"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taśmy.</w:t>
      </w:r>
    </w:p>
    <w:p w14:paraId="2CBAA1E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Taśma bitumiczna powinna być wstępnie przyklejona do zimnej krawędzi złącza pokrywając 2/3 wysokości warstwy licząc od górnej powierzchni.</w:t>
      </w:r>
    </w:p>
    <w:p w14:paraId="0EE1019E" w14:textId="77777777" w:rsidR="00955A27" w:rsidRPr="001667DB" w:rsidRDefault="00955A27" w:rsidP="00C03D2F">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5.9.1.6.</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Wymagania wobec wbudowywania past bitumicznych</w:t>
      </w:r>
    </w:p>
    <w:p w14:paraId="6907CBC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krawędzi bocznych jak w przypadku stosowania taśm bitumicznych.</w:t>
      </w:r>
    </w:p>
    <w:p w14:paraId="6B22B3F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w:t>
      </w:r>
    </w:p>
    <w:p w14:paraId="2D5FF16A"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ręczne nanoszenie past w miejscach niedostępnych.</w:t>
      </w:r>
    </w:p>
    <w:p w14:paraId="54BD36C4"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 xml:space="preserve">5.10. Krawędzie </w:t>
      </w:r>
    </w:p>
    <w:p w14:paraId="79EACD13"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warstw nawierzchni bez urządzeń ograniczających (np. krawężników) krawędziom należy nadać spadki o nachyleniu nie większym niż 2:1, przy pomocy rolki dociskowej mocowanej do walca lub elementu mocowanego do rozkładarki tzw „buta” („na gorąco”).</w:t>
      </w:r>
    </w:p>
    <w:p w14:paraId="3FCA43D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krawędzie nie zostały uformowane na gorąco krawędzie należy wyfrezować na zimno.</w:t>
      </w:r>
    </w:p>
    <w:p w14:paraId="4D9A8020"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 wykonaniu nawierzchni asfaltowej o jednostronnym nachyleniu jezdni należy uszczelnić krawędź położoną wyżej (niżej położona krawędź powinna zostać nieuszczelniona).</w:t>
      </w:r>
    </w:p>
    <w:p w14:paraId="3B323BB8"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nawierzchni o dwustronnym nachyleniu (przekrój daszkowy) decyzję o potrzebie i sposobie uszczelnienia krawędzi zewnętrznych podejmie Projektant w uzgodnieniu z Inżynierem.</w:t>
      </w:r>
    </w:p>
    <w:p w14:paraId="1129D17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Krawędzie zewnętrzne oraz powierzchnie odsadzek poziomych należy uszczelnić przez pokrycie gorącym asfaltem w ilości:</w:t>
      </w:r>
    </w:p>
    <w:p w14:paraId="0C56ABD6" w14:textId="77777777" w:rsidR="00955A27" w:rsidRPr="001667DB" w:rsidRDefault="00955A27" w:rsidP="00904E6C">
      <w:pPr>
        <w:numPr>
          <w:ilvl w:val="0"/>
          <w:numId w:val="142"/>
        </w:numPr>
        <w:autoSpaceDE w:val="0"/>
        <w:autoSpaceDN w:val="0"/>
        <w:adjustRightInd w:val="0"/>
        <w:spacing w:after="120" w:line="360" w:lineRule="auto"/>
        <w:ind w:left="426"/>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powierzchnie odsadzek - 1,5 kg/m2,</w:t>
      </w:r>
    </w:p>
    <w:p w14:paraId="740AFB25" w14:textId="77777777" w:rsidR="00955A27" w:rsidRPr="001667DB" w:rsidRDefault="00955A27" w:rsidP="00904E6C">
      <w:pPr>
        <w:numPr>
          <w:ilvl w:val="0"/>
          <w:numId w:val="142"/>
        </w:numPr>
        <w:autoSpaceDE w:val="0"/>
        <w:autoSpaceDN w:val="0"/>
        <w:adjustRightInd w:val="0"/>
        <w:spacing w:after="120" w:line="360" w:lineRule="auto"/>
        <w:ind w:left="426"/>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krawędzie zewnętrzne - 4 kg/m2.</w:t>
      </w:r>
    </w:p>
    <w:p w14:paraId="6451A27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Gorący asfalt może być nanoszony w kilku przejściach roboczych. Do uszczelniania krawędzi zewnętrznych należy stosować asfalt drogowy według PN-EN 12591 [24], asfalt modyfikowany polimerami według PN-EN 14023[66], asfalt wielorodzajowy wg PN-EN 13924-2[65], albo inne lepiszcza według norm lub aprobat technicznych. Uszczelnienie krawędzi zewnętrznej należy wykonać gorącym lepiszczem.</w:t>
      </w:r>
    </w:p>
    <w:p w14:paraId="2AD1A763"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powinno być naniesione odpowiednio szybko tak, aby krawędzie nie uległy zabrudzeniu. Niżej położona krawędź (z wyjątkiem strefy zmiany przechyłki) powinna pozostać nieuszczelniona. </w:t>
      </w:r>
    </w:p>
    <w:p w14:paraId="480F4EB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jednoczesne uszczelnianie krawędzi kolejnych warstw, jeżeli warstwy były ułożone jedna po drugiej, a krawędzie były zabezpieczone przed zanieczyszczeniem. Jeżeli krawędź </w:t>
      </w:r>
      <w:r w:rsidRPr="001667DB">
        <w:rPr>
          <w:rFonts w:ascii="Times New Roman" w:hAnsi="Times New Roman" w:cs="Times New Roman"/>
          <w:color w:val="000000" w:themeColor="text1"/>
        </w:rPr>
        <w:lastRenderedPageBreak/>
        <w:t xml:space="preserve">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1667DB">
          <w:rPr>
            <w:rFonts w:ascii="Times New Roman" w:hAnsi="Times New Roman" w:cs="Times New Roman"/>
            <w:color w:val="000000" w:themeColor="text1"/>
          </w:rPr>
          <w:t>10 cm</w:t>
        </w:r>
      </w:smartTag>
      <w:r w:rsidRPr="001667DB">
        <w:rPr>
          <w:rFonts w:ascii="Times New Roman" w:hAnsi="Times New Roman" w:cs="Times New Roman"/>
          <w:color w:val="000000" w:themeColor="text1"/>
        </w:rPr>
        <w:t>.</w:t>
      </w:r>
    </w:p>
    <w:p w14:paraId="0E4C9755" w14:textId="77777777" w:rsidR="00955A27" w:rsidRPr="00326BBF" w:rsidRDefault="00955A27" w:rsidP="00C03D2F">
      <w:pPr>
        <w:pStyle w:val="Nagwek1"/>
        <w:spacing w:line="360" w:lineRule="auto"/>
        <w:jc w:val="both"/>
        <w:rPr>
          <w:color w:val="000000" w:themeColor="text1"/>
          <w:sz w:val="22"/>
          <w:szCs w:val="22"/>
          <w:lang w:val="pl-PL"/>
        </w:rPr>
      </w:pPr>
      <w:r w:rsidRPr="00326BBF">
        <w:rPr>
          <w:color w:val="000000" w:themeColor="text1"/>
          <w:sz w:val="22"/>
          <w:szCs w:val="22"/>
          <w:lang w:val="pl-PL"/>
        </w:rPr>
        <w:t>6. Kontrola jakości robót</w:t>
      </w:r>
      <w:bookmarkEnd w:id="449"/>
    </w:p>
    <w:p w14:paraId="2B565639"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6.1. Ogólne zasady kontroli jakości robót</w:t>
      </w:r>
    </w:p>
    <w:p w14:paraId="2A3680FB"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D-M-00.00.00 „Wymagania ogólne” [1] pkt 6.</w:t>
      </w:r>
    </w:p>
    <w:p w14:paraId="07FEE079"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6.2. Badania przed przystąpieniem do robót</w:t>
      </w:r>
    </w:p>
    <w:p w14:paraId="57F639C7"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6.2.1.</w:t>
      </w:r>
      <w:r w:rsidRPr="001667DB">
        <w:rPr>
          <w:rFonts w:ascii="Times New Roman" w:hAnsi="Times New Roman" w:cs="Times New Roman"/>
          <w:color w:val="000000" w:themeColor="text1"/>
        </w:rPr>
        <w:t xml:space="preserve"> Dokumenty i wyniki badań materiałów</w:t>
      </w:r>
    </w:p>
    <w:p w14:paraId="1C136D7F" w14:textId="77777777" w:rsidR="00955A27" w:rsidRPr="001667DB" w:rsidRDefault="00955A27" w:rsidP="00C03D2F">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Wykonawca powinien: </w:t>
      </w:r>
    </w:p>
    <w:p w14:paraId="305C71B0"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65822A87"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przez Inżyniera.</w:t>
      </w:r>
    </w:p>
    <w:p w14:paraId="4DA662B8"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03261958" w14:textId="77777777" w:rsidR="00955A27" w:rsidRPr="001667DB" w:rsidRDefault="00955A27" w:rsidP="00C03D2F">
      <w:pPr>
        <w:widowControl w:val="0"/>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zmiany rodzaju i właściwości materiałów budowlanych należy ponownie wykazać ich przydatność do przewidywanego celu.  </w:t>
      </w:r>
    </w:p>
    <w:p w14:paraId="67A6F90B"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6.2.2.</w:t>
      </w:r>
      <w:r w:rsidRPr="001667DB">
        <w:rPr>
          <w:rFonts w:ascii="Times New Roman" w:hAnsi="Times New Roman" w:cs="Times New Roman"/>
          <w:color w:val="000000" w:themeColor="text1"/>
        </w:rPr>
        <w:t xml:space="preserve"> Badanie typu </w:t>
      </w:r>
    </w:p>
    <w:p w14:paraId="0BACFE0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przystąpieniem do robót, w terminie uzgodnionym z Inżynierem, Wykonawca przedstawi do akceptacji badania typu mieszanek mineralno-asfaltowych wraz z wymaganymi w normie PN-EN 13108-20 [54] załącznikami, w celu zatwierdzenia do stosowania. W przypadku zaistnienia podanych poniżej sytuacji wymagających powtórzenia badania typu, należy je ponownie wykonać i przedstawić do akceptacji.</w:t>
      </w:r>
    </w:p>
    <w:p w14:paraId="069B2E8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Badanie typu powinno zawierać:</w:t>
      </w:r>
    </w:p>
    <w:p w14:paraId="0A541FC0"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 informacje ogólne:</w:t>
      </w:r>
    </w:p>
    <w:p w14:paraId="5852B927"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nazwę i adres producenta mieszanki mineralno-asfaltowej,</w:t>
      </w:r>
    </w:p>
    <w:p w14:paraId="7895F40B"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datę wydania,</w:t>
      </w:r>
    </w:p>
    <w:p w14:paraId="2BC032E6"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nazwę wytwórni produkującej mieszankę mineralno –asfaltową,</w:t>
      </w:r>
    </w:p>
    <w:p w14:paraId="076D606C"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określenie typu mieszanki i kategorii, z którymi jest deklarowana zgodność,</w:t>
      </w:r>
    </w:p>
    <w:p w14:paraId="0A18D1ED"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zestawienie metod przygotowania próbek oraz metod i warunków badania poszczególnych właściwości,</w:t>
      </w:r>
    </w:p>
    <w:p w14:paraId="753A1788"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 informacje o składnikach:</w:t>
      </w:r>
    </w:p>
    <w:p w14:paraId="50A5C394"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każdy wymiar kruszywa: źródło i rodzaj</w:t>
      </w:r>
    </w:p>
    <w:p w14:paraId="024CD252"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lepiszcze: typ i rodzaj,</w:t>
      </w:r>
    </w:p>
    <w:p w14:paraId="582D4730"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wypełniacz: źródło i rodzaj,</w:t>
      </w:r>
    </w:p>
    <w:p w14:paraId="5C10ED81"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dodatki: źródło i rodzaj,</w:t>
      </w:r>
    </w:p>
    <w:p w14:paraId="10746261" w14:textId="77777777" w:rsidR="00955A27" w:rsidRPr="001667DB" w:rsidRDefault="00955A27" w:rsidP="00904E6C">
      <w:pPr>
        <w:numPr>
          <w:ilvl w:val="0"/>
          <w:numId w:val="13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wszystkie składniki: wyniki badań zgodnie z zestawieniem podanym w tablicy 27,</w:t>
      </w:r>
    </w:p>
    <w:p w14:paraId="5BEEE805"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27. Rodzaj i liczba badań składników mieszanki mineralno-asfaltowej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20"/>
        <w:gridCol w:w="2760"/>
        <w:gridCol w:w="1878"/>
      </w:tblGrid>
      <w:tr w:rsidR="00955A27" w:rsidRPr="001667DB" w14:paraId="1ACF7FD0" w14:textId="77777777">
        <w:tc>
          <w:tcPr>
            <w:tcW w:w="2268" w:type="dxa"/>
          </w:tcPr>
          <w:p w14:paraId="7747FE46"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Składnik</w:t>
            </w:r>
          </w:p>
        </w:tc>
        <w:tc>
          <w:tcPr>
            <w:tcW w:w="1920" w:type="dxa"/>
          </w:tcPr>
          <w:p w14:paraId="1FF2CA4E"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760" w:type="dxa"/>
          </w:tcPr>
          <w:p w14:paraId="4047C404"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Metoda badania</w:t>
            </w:r>
          </w:p>
        </w:tc>
        <w:tc>
          <w:tcPr>
            <w:tcW w:w="1878" w:type="dxa"/>
          </w:tcPr>
          <w:p w14:paraId="1C379157"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Liczba badań</w:t>
            </w:r>
          </w:p>
        </w:tc>
      </w:tr>
      <w:tr w:rsidR="00955A27" w:rsidRPr="001667DB" w14:paraId="733CF4DE" w14:textId="77777777">
        <w:tc>
          <w:tcPr>
            <w:tcW w:w="2268" w:type="dxa"/>
            <w:vMerge w:val="restart"/>
          </w:tcPr>
          <w:p w14:paraId="256713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Kruszywo</w:t>
            </w:r>
          </w:p>
          <w:p w14:paraId="7E6F4C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 [50])</w:t>
            </w:r>
          </w:p>
        </w:tc>
        <w:tc>
          <w:tcPr>
            <w:tcW w:w="1920" w:type="dxa"/>
          </w:tcPr>
          <w:p w14:paraId="0EDC90D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w:t>
            </w:r>
          </w:p>
        </w:tc>
        <w:tc>
          <w:tcPr>
            <w:tcW w:w="2760" w:type="dxa"/>
          </w:tcPr>
          <w:p w14:paraId="3EAC560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 [6]</w:t>
            </w:r>
          </w:p>
        </w:tc>
        <w:tc>
          <w:tcPr>
            <w:tcW w:w="1878" w:type="dxa"/>
          </w:tcPr>
          <w:p w14:paraId="746C21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na frakcję</w:t>
            </w:r>
          </w:p>
        </w:tc>
      </w:tr>
      <w:tr w:rsidR="00955A27" w:rsidRPr="001667DB" w14:paraId="415886D0" w14:textId="77777777">
        <w:tc>
          <w:tcPr>
            <w:tcW w:w="2268" w:type="dxa"/>
            <w:vMerge/>
          </w:tcPr>
          <w:p w14:paraId="048AE05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20" w:type="dxa"/>
          </w:tcPr>
          <w:p w14:paraId="5ECC13A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w:t>
            </w:r>
          </w:p>
        </w:tc>
        <w:tc>
          <w:tcPr>
            <w:tcW w:w="2760" w:type="dxa"/>
          </w:tcPr>
          <w:p w14:paraId="561C0A5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1097-6 [17]</w:t>
            </w:r>
          </w:p>
        </w:tc>
        <w:tc>
          <w:tcPr>
            <w:tcW w:w="1878" w:type="dxa"/>
          </w:tcPr>
          <w:p w14:paraId="0CC6CAA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na frakcję</w:t>
            </w:r>
          </w:p>
        </w:tc>
      </w:tr>
      <w:tr w:rsidR="00955A27" w:rsidRPr="001667DB" w14:paraId="56114D07" w14:textId="77777777">
        <w:tc>
          <w:tcPr>
            <w:tcW w:w="2268" w:type="dxa"/>
            <w:vMerge w:val="restart"/>
          </w:tcPr>
          <w:p w14:paraId="7C38AA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w:t>
            </w:r>
          </w:p>
          <w:p w14:paraId="24FF96D6" w14:textId="77777777" w:rsidR="00955A27" w:rsidRPr="00326BBF" w:rsidRDefault="00955A27" w:rsidP="00955A27">
            <w:pPr>
              <w:spacing w:after="120" w:line="360" w:lineRule="auto"/>
              <w:rPr>
                <w:rFonts w:ascii="Times New Roman" w:hAnsi="Times New Roman" w:cs="Times New Roman"/>
                <w:color w:val="000000" w:themeColor="text1"/>
              </w:rPr>
            </w:pPr>
            <w:r w:rsidRPr="00326BBF">
              <w:rPr>
                <w:rFonts w:ascii="Times New Roman" w:hAnsi="Times New Roman" w:cs="Times New Roman"/>
                <w:color w:val="000000" w:themeColor="text1"/>
              </w:rPr>
              <w:t>(PN-EN 12591 [24], PN-EN 13924-2[65], PN-EN 14023 [66])</w:t>
            </w:r>
          </w:p>
        </w:tc>
        <w:tc>
          <w:tcPr>
            <w:tcW w:w="1920" w:type="dxa"/>
          </w:tcPr>
          <w:p w14:paraId="7C4A4C3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lub temperatura mięknienia</w:t>
            </w:r>
          </w:p>
        </w:tc>
        <w:tc>
          <w:tcPr>
            <w:tcW w:w="2760" w:type="dxa"/>
          </w:tcPr>
          <w:p w14:paraId="495A7D7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1426 [21] lub</w:t>
            </w:r>
          </w:p>
          <w:p w14:paraId="2F8D4E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878" w:type="dxa"/>
          </w:tcPr>
          <w:p w14:paraId="5B17A3C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4F27F7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37F5CEC" w14:textId="77777777">
        <w:tc>
          <w:tcPr>
            <w:tcW w:w="2268" w:type="dxa"/>
            <w:vMerge/>
          </w:tcPr>
          <w:p w14:paraId="70C4D9F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20" w:type="dxa"/>
          </w:tcPr>
          <w:p w14:paraId="4AEB8D96" w14:textId="77777777" w:rsidR="00955A27" w:rsidRPr="001667DB" w:rsidRDefault="00955A27" w:rsidP="00955A27">
            <w:pPr>
              <w:spacing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Nawrót sprężysty</w:t>
            </w:r>
            <w:r w:rsidRPr="001667DB">
              <w:rPr>
                <w:rFonts w:ascii="Times New Roman" w:hAnsi="Times New Roman" w:cs="Times New Roman"/>
                <w:color w:val="000000" w:themeColor="text1"/>
                <w:vertAlign w:val="superscript"/>
              </w:rPr>
              <w:t>*)</w:t>
            </w:r>
          </w:p>
        </w:tc>
        <w:tc>
          <w:tcPr>
            <w:tcW w:w="2760" w:type="dxa"/>
          </w:tcPr>
          <w:p w14:paraId="49A382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13398 [58]</w:t>
            </w:r>
          </w:p>
        </w:tc>
        <w:tc>
          <w:tcPr>
            <w:tcW w:w="1878" w:type="dxa"/>
          </w:tcPr>
          <w:p w14:paraId="20DF59A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57E5B32F" w14:textId="77777777">
        <w:tc>
          <w:tcPr>
            <w:tcW w:w="2268" w:type="dxa"/>
            <w:vMerge w:val="restart"/>
          </w:tcPr>
          <w:p w14:paraId="381C89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w:t>
            </w:r>
          </w:p>
          <w:p w14:paraId="39E21C6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 [50])</w:t>
            </w:r>
          </w:p>
        </w:tc>
        <w:tc>
          <w:tcPr>
            <w:tcW w:w="1920" w:type="dxa"/>
          </w:tcPr>
          <w:p w14:paraId="3269A1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w:t>
            </w:r>
          </w:p>
        </w:tc>
        <w:tc>
          <w:tcPr>
            <w:tcW w:w="2760" w:type="dxa"/>
          </w:tcPr>
          <w:p w14:paraId="1970CF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933-10 [12]</w:t>
            </w:r>
          </w:p>
        </w:tc>
        <w:tc>
          <w:tcPr>
            <w:tcW w:w="1878" w:type="dxa"/>
          </w:tcPr>
          <w:p w14:paraId="17E56F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E22AA06" w14:textId="77777777">
        <w:tc>
          <w:tcPr>
            <w:tcW w:w="2268" w:type="dxa"/>
            <w:vMerge/>
          </w:tcPr>
          <w:p w14:paraId="2217FCA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920" w:type="dxa"/>
          </w:tcPr>
          <w:p w14:paraId="0D4344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w:t>
            </w:r>
          </w:p>
        </w:tc>
        <w:tc>
          <w:tcPr>
            <w:tcW w:w="2760" w:type="dxa"/>
          </w:tcPr>
          <w:p w14:paraId="68B4C7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1097-7 [18]</w:t>
            </w:r>
          </w:p>
        </w:tc>
        <w:tc>
          <w:tcPr>
            <w:tcW w:w="1878" w:type="dxa"/>
          </w:tcPr>
          <w:p w14:paraId="7A4B846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7E2642AF" w14:textId="77777777">
        <w:tc>
          <w:tcPr>
            <w:tcW w:w="2268" w:type="dxa"/>
          </w:tcPr>
          <w:p w14:paraId="52E17CE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Dodatki</w:t>
            </w:r>
          </w:p>
        </w:tc>
        <w:tc>
          <w:tcPr>
            <w:tcW w:w="1920" w:type="dxa"/>
          </w:tcPr>
          <w:p w14:paraId="2F82544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Typ</w:t>
            </w:r>
          </w:p>
        </w:tc>
        <w:tc>
          <w:tcPr>
            <w:tcW w:w="2760" w:type="dxa"/>
          </w:tcPr>
          <w:p w14:paraId="35E8333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878" w:type="dxa"/>
          </w:tcPr>
          <w:p w14:paraId="28025FE9"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r>
    </w:tbl>
    <w:p w14:paraId="1CD93A00" w14:textId="77777777" w:rsidR="00955A27" w:rsidRPr="001667DB" w:rsidRDefault="00955A27" w:rsidP="00955A27">
      <w:pPr>
        <w:tabs>
          <w:tab w:val="left" w:pos="586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dotyczy jedynie lepiszczy wg PN-EN 14023 [66],</w:t>
      </w:r>
      <w:r w:rsidRPr="001667DB">
        <w:rPr>
          <w:rFonts w:ascii="Times New Roman" w:hAnsi="Times New Roman" w:cs="Times New Roman"/>
          <w:color w:val="000000" w:themeColor="text1"/>
        </w:rPr>
        <w:tab/>
      </w:r>
    </w:p>
    <w:p w14:paraId="5492C061"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 informacje o mieszance mineralno-asfaltowej:</w:t>
      </w:r>
    </w:p>
    <w:p w14:paraId="1CEB33CA" w14:textId="77777777" w:rsidR="00955A27" w:rsidRPr="001667DB" w:rsidRDefault="00955A27" w:rsidP="00904E6C">
      <w:pPr>
        <w:numPr>
          <w:ilvl w:val="0"/>
          <w:numId w:val="13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skład mieszaki podany jako wejściowy (w przypadku walidacji w laboratorium) lub wyjściowy skład (w wypadku walidacji produkcji),</w:t>
      </w:r>
    </w:p>
    <w:p w14:paraId="062E8B1A" w14:textId="77777777" w:rsidR="00955A27" w:rsidRPr="001667DB" w:rsidRDefault="00955A27" w:rsidP="00904E6C">
      <w:pPr>
        <w:numPr>
          <w:ilvl w:val="0"/>
          <w:numId w:val="13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wyniki badań zgodnie z zestawieniem podanym w tablicy 28.</w:t>
      </w:r>
    </w:p>
    <w:p w14:paraId="429B1932"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28.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260"/>
        <w:gridCol w:w="1672"/>
      </w:tblGrid>
      <w:tr w:rsidR="00955A27" w:rsidRPr="001667DB" w14:paraId="6BC117A4" w14:textId="77777777" w:rsidTr="001B4B8F">
        <w:tc>
          <w:tcPr>
            <w:tcW w:w="3936" w:type="dxa"/>
          </w:tcPr>
          <w:p w14:paraId="5322683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3260" w:type="dxa"/>
          </w:tcPr>
          <w:p w14:paraId="6A04994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badania</w:t>
            </w:r>
          </w:p>
        </w:tc>
        <w:tc>
          <w:tcPr>
            <w:tcW w:w="1672" w:type="dxa"/>
          </w:tcPr>
          <w:p w14:paraId="4D7A66A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Liczba badań</w:t>
            </w:r>
          </w:p>
        </w:tc>
      </w:tr>
      <w:tr w:rsidR="00955A27" w:rsidRPr="001667DB" w14:paraId="33160745" w14:textId="77777777" w:rsidTr="001B4B8F">
        <w:tc>
          <w:tcPr>
            <w:tcW w:w="3936" w:type="dxa"/>
          </w:tcPr>
          <w:p w14:paraId="69B4DBE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(obowiązkowa)</w:t>
            </w:r>
          </w:p>
        </w:tc>
        <w:tc>
          <w:tcPr>
            <w:tcW w:w="3260" w:type="dxa"/>
          </w:tcPr>
          <w:p w14:paraId="5A64E0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12697-1[31]</w:t>
            </w:r>
          </w:p>
          <w:p w14:paraId="6B1853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12697-39 [46]</w:t>
            </w:r>
          </w:p>
        </w:tc>
        <w:tc>
          <w:tcPr>
            <w:tcW w:w="1672" w:type="dxa"/>
          </w:tcPr>
          <w:p w14:paraId="1F419C4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2416DF64" w14:textId="77777777" w:rsidTr="001B4B8F">
        <w:tc>
          <w:tcPr>
            <w:tcW w:w="3936" w:type="dxa"/>
          </w:tcPr>
          <w:p w14:paraId="6F21BEFA"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Uziarnienie (obowiązkowa)</w:t>
            </w:r>
          </w:p>
        </w:tc>
        <w:tc>
          <w:tcPr>
            <w:tcW w:w="3260" w:type="dxa"/>
          </w:tcPr>
          <w:p w14:paraId="7CA85FA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 [32]</w:t>
            </w:r>
          </w:p>
        </w:tc>
        <w:tc>
          <w:tcPr>
            <w:tcW w:w="1672" w:type="dxa"/>
          </w:tcPr>
          <w:p w14:paraId="626A539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67409854" w14:textId="77777777" w:rsidTr="001B4B8F">
        <w:tc>
          <w:tcPr>
            <w:tcW w:w="3936" w:type="dxa"/>
          </w:tcPr>
          <w:p w14:paraId="1C84D6F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łącznie z VFB i VMA przy wyma-ganej zawartości wolnych przestrzeni V</w:t>
            </w:r>
            <w:r w:rsidRPr="001667DB">
              <w:rPr>
                <w:rFonts w:ascii="Times New Roman" w:hAnsi="Times New Roman" w:cs="Times New Roman"/>
                <w:color w:val="000000" w:themeColor="text1"/>
                <w:vertAlign w:val="subscript"/>
              </w:rPr>
              <w:t>max</w:t>
            </w:r>
            <w:r w:rsidRPr="001667DB">
              <w:rPr>
                <w:rFonts w:ascii="Times New Roman" w:hAnsi="Times New Roman" w:cs="Times New Roman"/>
                <w:color w:val="000000" w:themeColor="text1"/>
              </w:rPr>
              <w:t>≤7% (obowiązkowa)</w:t>
            </w:r>
          </w:p>
        </w:tc>
        <w:tc>
          <w:tcPr>
            <w:tcW w:w="3260" w:type="dxa"/>
          </w:tcPr>
          <w:p w14:paraId="2F38BC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12697-8[37]</w:t>
            </w:r>
          </w:p>
          <w:p w14:paraId="2E92CF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objętościowa wg PN-EN 12697-6 [36], metoda B, w stanie nasyconym powierzch-niowo suchym.</w:t>
            </w:r>
          </w:p>
          <w:p w14:paraId="513AFB8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wg PN-EN 12697-5 [35], metoda A w wodzie</w:t>
            </w:r>
          </w:p>
        </w:tc>
        <w:tc>
          <w:tcPr>
            <w:tcW w:w="1672" w:type="dxa"/>
          </w:tcPr>
          <w:p w14:paraId="5ED1821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26790187"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B3C68F8"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2793AC2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6D0674EF" w14:textId="77777777" w:rsidTr="001B4B8F">
        <w:tc>
          <w:tcPr>
            <w:tcW w:w="3936" w:type="dxa"/>
          </w:tcPr>
          <w:p w14:paraId="3420BCE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Wrażliwość na działanie wody (powiązana funkcjonalnie)</w:t>
            </w:r>
          </w:p>
        </w:tc>
        <w:tc>
          <w:tcPr>
            <w:tcW w:w="3260" w:type="dxa"/>
          </w:tcPr>
          <w:p w14:paraId="66FB194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12697-12 [39]</w:t>
            </w:r>
          </w:p>
        </w:tc>
        <w:tc>
          <w:tcPr>
            <w:tcW w:w="1672" w:type="dxa"/>
          </w:tcPr>
          <w:p w14:paraId="4A06415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01ACB80D" w14:textId="77777777" w:rsidTr="001B4B8F">
        <w:tc>
          <w:tcPr>
            <w:tcW w:w="3936" w:type="dxa"/>
          </w:tcPr>
          <w:p w14:paraId="2BC0E1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deformacje trwałe (powiązana funkcjonalnie), dotyczy betonu asfaltowego zaprojekto-wanego do maksymalnego obcią-żenia osi poniżej 130 kN</w:t>
            </w:r>
          </w:p>
        </w:tc>
        <w:tc>
          <w:tcPr>
            <w:tcW w:w="3260" w:type="dxa"/>
          </w:tcPr>
          <w:p w14:paraId="218841B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12697-22 [41]</w:t>
            </w:r>
          </w:p>
          <w:p w14:paraId="034CF3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mały aparat, metoda B w powietrzu, przy wymaganej temperaturze</w:t>
            </w:r>
          </w:p>
        </w:tc>
        <w:tc>
          <w:tcPr>
            <w:tcW w:w="1672" w:type="dxa"/>
          </w:tcPr>
          <w:p w14:paraId="3A1F90B1"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7FEB276"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11159B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31B7520" w14:textId="77777777" w:rsidTr="001B4B8F">
        <w:tc>
          <w:tcPr>
            <w:tcW w:w="3936" w:type="dxa"/>
          </w:tcPr>
          <w:p w14:paraId="5A1D7F0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Sztywność (funkcjonalna)</w:t>
            </w:r>
          </w:p>
        </w:tc>
        <w:tc>
          <w:tcPr>
            <w:tcW w:w="3260" w:type="dxa"/>
          </w:tcPr>
          <w:p w14:paraId="389EDAC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12697-26 [43]</w:t>
            </w:r>
          </w:p>
        </w:tc>
        <w:tc>
          <w:tcPr>
            <w:tcW w:w="1672" w:type="dxa"/>
          </w:tcPr>
          <w:p w14:paraId="413BED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291BEF06" w14:textId="77777777" w:rsidTr="001B4B8F">
        <w:tc>
          <w:tcPr>
            <w:tcW w:w="3936" w:type="dxa"/>
          </w:tcPr>
          <w:p w14:paraId="3F6918D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Zmęczenie (funkcjonalna) do nawierzchni zaprojektowanych wg kryterium opartym na cztero-punktowym zginaniu </w:t>
            </w:r>
          </w:p>
        </w:tc>
        <w:tc>
          <w:tcPr>
            <w:tcW w:w="3260" w:type="dxa"/>
          </w:tcPr>
          <w:p w14:paraId="3DEA4C71" w14:textId="77777777" w:rsidR="00955A27" w:rsidRPr="001667DB" w:rsidRDefault="00955A27" w:rsidP="00955A27">
            <w:pPr>
              <w:spacing w:before="2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12697-24 [42] Załącznik D</w:t>
            </w:r>
          </w:p>
        </w:tc>
        <w:tc>
          <w:tcPr>
            <w:tcW w:w="1672" w:type="dxa"/>
          </w:tcPr>
          <w:p w14:paraId="608353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6DCA1E29" w14:textId="77777777" w:rsidTr="001B4B8F">
        <w:tc>
          <w:tcPr>
            <w:tcW w:w="3936" w:type="dxa"/>
          </w:tcPr>
          <w:p w14:paraId="2FAD79B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paliwo (powiązana funkcjonalnie)</w:t>
            </w:r>
          </w:p>
        </w:tc>
        <w:tc>
          <w:tcPr>
            <w:tcW w:w="3260" w:type="dxa"/>
          </w:tcPr>
          <w:p w14:paraId="2D22643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12697-43 [49]</w:t>
            </w:r>
          </w:p>
        </w:tc>
        <w:tc>
          <w:tcPr>
            <w:tcW w:w="1672" w:type="dxa"/>
          </w:tcPr>
          <w:p w14:paraId="1B6ADDC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76A2C191" w14:textId="77777777" w:rsidTr="001B4B8F">
        <w:tc>
          <w:tcPr>
            <w:tcW w:w="3936" w:type="dxa"/>
          </w:tcPr>
          <w:p w14:paraId="7DF3FE0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środki odladzające (powiązana funkcjonalnie)</w:t>
            </w:r>
          </w:p>
        </w:tc>
        <w:tc>
          <w:tcPr>
            <w:tcW w:w="3260" w:type="dxa"/>
          </w:tcPr>
          <w:p w14:paraId="146666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12697-41 [47]</w:t>
            </w:r>
          </w:p>
        </w:tc>
        <w:tc>
          <w:tcPr>
            <w:tcW w:w="1672" w:type="dxa"/>
          </w:tcPr>
          <w:p w14:paraId="37709F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bl>
    <w:p w14:paraId="5CE8C4FF"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typu należy przeprowadzić zgodnie z PN-EN 13108-20 [54] przy pierwszym wprowadzeniu mieszanek mineralno-asfaltowych do obrotu i powinno być powtórzone w wypadku: </w:t>
      </w:r>
    </w:p>
    <w:p w14:paraId="68DA4513"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upływu trzech lat,</w:t>
      </w:r>
    </w:p>
    <w:p w14:paraId="1898CCF6"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złoża kruszywa,</w:t>
      </w:r>
    </w:p>
    <w:p w14:paraId="38FBB1CA"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rodzaju kruszywa (typu petrograficznego),</w:t>
      </w:r>
    </w:p>
    <w:p w14:paraId="2AE0639B"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kategorii kruszywa grubego, jak definiowano w PN-EN 13043 [50], jednej z następujących właściwości: kształtu, udziału ziaren częściowo przekruszonych, odporności na rozdrabnianie, odporności na ścieranie lub kanciastości kruszywa drobnego,</w:t>
      </w:r>
    </w:p>
    <w:p w14:paraId="7D5A073F"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zmiany gęstości ziaren (średnia ważona) o więcej niż 0,05 Mg/m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w:t>
      </w:r>
    </w:p>
    <w:p w14:paraId="01D50935"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rodzaju lepiszcza,</w:t>
      </w:r>
    </w:p>
    <w:p w14:paraId="64CED98B"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typu mineralogicznego wypełniacza.</w:t>
      </w:r>
    </w:p>
    <w:p w14:paraId="6E7C988A"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 </w:t>
      </w:r>
    </w:p>
    <w:p w14:paraId="3CF4DE51"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6.3. Badania w czasie robót</w:t>
      </w:r>
    </w:p>
    <w:p w14:paraId="1901B0C1"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6.3.1. </w:t>
      </w:r>
      <w:r w:rsidRPr="001667DB">
        <w:rPr>
          <w:rFonts w:ascii="Times New Roman" w:hAnsi="Times New Roman" w:cs="Times New Roman"/>
          <w:color w:val="000000" w:themeColor="text1"/>
        </w:rPr>
        <w:t>Uwagi ogólne</w:t>
      </w:r>
    </w:p>
    <w:p w14:paraId="70E6A218"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dzielą się na:</w:t>
      </w:r>
    </w:p>
    <w:p w14:paraId="5AE56595" w14:textId="77777777" w:rsidR="00955A27" w:rsidRPr="001667DB" w:rsidRDefault="00955A27" w:rsidP="00904E6C">
      <w:pPr>
        <w:numPr>
          <w:ilvl w:val="0"/>
          <w:numId w:val="1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Wykonawcy (w ramach własnego nadzoru),</w:t>
      </w:r>
    </w:p>
    <w:p w14:paraId="2D76F081" w14:textId="77777777" w:rsidR="00955A27" w:rsidRPr="001667DB" w:rsidRDefault="00955A27" w:rsidP="00904E6C">
      <w:pPr>
        <w:numPr>
          <w:ilvl w:val="0"/>
          <w:numId w:val="1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kontrolne (w ramach nadzoru Zleceniodawcy – Inżyniera).</w:t>
      </w:r>
    </w:p>
    <w:p w14:paraId="46F54381" w14:textId="77777777" w:rsidR="00955A27" w:rsidRPr="001667DB" w:rsidRDefault="00955A27" w:rsidP="00904E6C">
      <w:pPr>
        <w:numPr>
          <w:ilvl w:val="0"/>
          <w:numId w:val="123"/>
        </w:numPr>
        <w:overflowPunct w:val="0"/>
        <w:autoSpaceDE w:val="0"/>
        <w:autoSpaceDN w:val="0"/>
        <w:adjustRightInd w:val="0"/>
        <w:spacing w:after="120" w:line="360" w:lineRule="auto"/>
        <w:ind w:hanging="3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dodatkowe,</w:t>
      </w:r>
    </w:p>
    <w:p w14:paraId="4A2B8002" w14:textId="77777777" w:rsidR="00955A27" w:rsidRPr="001667DB" w:rsidRDefault="00955A27" w:rsidP="00904E6C">
      <w:pPr>
        <w:numPr>
          <w:ilvl w:val="0"/>
          <w:numId w:val="123"/>
        </w:numPr>
        <w:overflowPunct w:val="0"/>
        <w:autoSpaceDE w:val="0"/>
        <w:autoSpaceDN w:val="0"/>
        <w:adjustRightInd w:val="0"/>
        <w:spacing w:after="120" w:line="360" w:lineRule="auto"/>
        <w:ind w:hanging="3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arbitrażowe.</w:t>
      </w:r>
    </w:p>
    <w:p w14:paraId="01DAA5E5"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6.3.2. </w:t>
      </w:r>
      <w:r w:rsidRPr="001667DB">
        <w:rPr>
          <w:rFonts w:ascii="Times New Roman" w:hAnsi="Times New Roman" w:cs="Times New Roman"/>
          <w:color w:val="000000" w:themeColor="text1"/>
        </w:rPr>
        <w:t>Badania Wykonawcy</w:t>
      </w:r>
    </w:p>
    <w:p w14:paraId="3C1AFB83"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6.3.2.1. Badania w czasie wytwarzania mieszanki mineralno-asfaltowej </w:t>
      </w:r>
    </w:p>
    <w:p w14:paraId="722FA8B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Wykonawcy w czasie wytwarzania mieszanki mineralno–asfaltowej powinny być wykonywane w ramach zakładowej kontroli produkcji, zgodnie z normą PN-EN 13108-21 [55].</w:t>
      </w:r>
    </w:p>
    <w:p w14:paraId="2968099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badań Wykonawcy w systemie zakładowej kontroli produkcji obejmuje:</w:t>
      </w:r>
    </w:p>
    <w:p w14:paraId="17458835" w14:textId="77777777" w:rsidR="00955A27" w:rsidRPr="001667DB" w:rsidRDefault="00955A27" w:rsidP="00904E6C">
      <w:pPr>
        <w:numPr>
          <w:ilvl w:val="0"/>
          <w:numId w:val="12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materiałów wsadowych do mieszanki mineralno-asfaltowej (asfaltów, kruszyw wypełniacza  i dodatków), </w:t>
      </w:r>
    </w:p>
    <w:p w14:paraId="61870742" w14:textId="77777777" w:rsidR="00955A27" w:rsidRPr="001667DB" w:rsidRDefault="00955A27" w:rsidP="00904E6C">
      <w:pPr>
        <w:numPr>
          <w:ilvl w:val="0"/>
          <w:numId w:val="12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badanie składu i właściwości mieszanki mineralno-asfaltowej.</w:t>
      </w:r>
    </w:p>
    <w:p w14:paraId="142E5D0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Częstotliwość oraz zakres badań i pomiarów w czasie wytwarzania mieszanki mineralno-asfaltowej powinno być zgodne z certyfikowanym systemem ZKP. </w:t>
      </w:r>
    </w:p>
    <w:p w14:paraId="51B468AE"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6.3.2.2.  Badania w czasie wykonywania warstwy asfaltowej i badania gotowej warstwy</w:t>
      </w:r>
      <w:r w:rsidRPr="001667DB">
        <w:rPr>
          <w:rFonts w:ascii="Times New Roman" w:hAnsi="Times New Roman" w:cs="Times New Roman"/>
          <w:color w:val="000000" w:themeColor="text1"/>
        </w:rPr>
        <w:tab/>
      </w:r>
    </w:p>
    <w:p w14:paraId="1120B47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2EB7866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51ACFDF4"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Wyniki badań Wykonawcy należy przekazywać Inżynierowi na jego żądanie. Inżynier może zdecydować o dokonaniu odbioru na podstawie badań Wykonawcy. W razie zastrzeżeń Inżynier może przeprowadzić badania kontrolne według pktu 6.5.</w:t>
      </w:r>
    </w:p>
    <w:p w14:paraId="74976B3B"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Zakres badań Wykonawcy związany z wykonywaniem nawierzchni:</w:t>
      </w:r>
    </w:p>
    <w:p w14:paraId="6FF99E5B"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powietrza,</w:t>
      </w:r>
    </w:p>
    <w:p w14:paraId="563D06DD"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mieszanki mineralno-asfaltowej podczas wykonywania nawierzchni (wg PN-EN 12697-13 [40]),</w:t>
      </w:r>
    </w:p>
    <w:p w14:paraId="7E3D2539"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mieszanki mineralno-asfaltowej,</w:t>
      </w:r>
    </w:p>
    <w:p w14:paraId="0AC9ECDA"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wykaz ilości materiałów lub grubości wykonanej warstwy,</w:t>
      </w:r>
    </w:p>
    <w:p w14:paraId="7F902575"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spadku poprzecznego warstwy asfaltowej,</w:t>
      </w:r>
    </w:p>
    <w:p w14:paraId="57F9F788"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równości warstwy asfaltowej (wg pktu 6.5.4),</w:t>
      </w:r>
    </w:p>
    <w:p w14:paraId="2B9A0A54"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parametrów geometrycznych poboczy,</w:t>
      </w:r>
    </w:p>
    <w:p w14:paraId="4F8AFDE6"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jednorodności powierzchni warstwy,</w:t>
      </w:r>
    </w:p>
    <w:p w14:paraId="223B420A"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jakości wykonania połączeń technologicznych.</w:t>
      </w:r>
    </w:p>
    <w:p w14:paraId="5661392C"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6.3.3.  </w:t>
      </w:r>
      <w:r w:rsidRPr="001667DB">
        <w:rPr>
          <w:rFonts w:ascii="Times New Roman" w:hAnsi="Times New Roman" w:cs="Times New Roman"/>
          <w:color w:val="000000" w:themeColor="text1"/>
        </w:rPr>
        <w:t>Badania kontrolne Zamawiającego</w:t>
      </w:r>
    </w:p>
    <w:p w14:paraId="6ADB2805"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Inżynier w obecności Wykonawcy. Badania odbywają się również wtedy, gdy Wykonawca zostanie w porę powiadomiony o ich terminie, jednak nie będzie przy nich obecny. Wykonawca może pobierać i pakować próbki do badań kontrolnych. Do wysłania próbek i przeprowadzenia badań kontrolnych jest upoważniony tylko Zamawiający lub uznana przez niego placówka badawcza. Zamawiający decyduje o wyborze takiej placówki.</w:t>
      </w:r>
    </w:p>
    <w:p w14:paraId="749B3C41" w14:textId="77777777" w:rsidR="00955A27" w:rsidRPr="001667DB" w:rsidRDefault="00955A27" w:rsidP="00C03D2F">
      <w:pPr>
        <w:pStyle w:val="Wcicienormalne"/>
        <w:spacing w:before="0" w:line="360" w:lineRule="auto"/>
        <w:ind w:left="0" w:firstLine="709"/>
        <w:rPr>
          <w:color w:val="000000" w:themeColor="text1"/>
          <w:sz w:val="22"/>
          <w:szCs w:val="22"/>
        </w:rPr>
      </w:pPr>
      <w:r w:rsidRPr="001667DB">
        <w:rPr>
          <w:color w:val="000000" w:themeColor="text1"/>
          <w:sz w:val="22"/>
          <w:szCs w:val="22"/>
        </w:rPr>
        <w:t xml:space="preserve">Rodzaj i zakres badań kontrolnych Zamawiającego mieszanki mineralno-asfaltowej i wykonanej warstwy jest następujący: </w:t>
      </w:r>
    </w:p>
    <w:p w14:paraId="02636DF2" w14:textId="77777777" w:rsidR="00955A27" w:rsidRPr="001667DB" w:rsidRDefault="00955A27" w:rsidP="00904E6C">
      <w:pPr>
        <w:numPr>
          <w:ilvl w:val="0"/>
          <w:numId w:val="13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materiałów wsadowych do mieszanki mineralno-asfaltowej (asfaltów, kruszyw, wypełniacza  i dodatków).</w:t>
      </w:r>
    </w:p>
    <w:p w14:paraId="3B7D98C8" w14:textId="77777777" w:rsidR="00955A27" w:rsidRPr="001667DB" w:rsidRDefault="00955A27" w:rsidP="00C03D2F">
      <w:pPr>
        <w:pStyle w:val="Wcicienormalne"/>
        <w:spacing w:before="0" w:line="360" w:lineRule="auto"/>
        <w:ind w:left="0" w:firstLine="709"/>
        <w:rPr>
          <w:color w:val="000000" w:themeColor="text1"/>
          <w:sz w:val="22"/>
          <w:szCs w:val="22"/>
        </w:rPr>
      </w:pPr>
      <w:r w:rsidRPr="001667DB">
        <w:rPr>
          <w:color w:val="000000" w:themeColor="text1"/>
          <w:sz w:val="22"/>
          <w:szCs w:val="22"/>
        </w:rPr>
        <w:t xml:space="preserve">Mieszanka mineralno-asfaltowa </w:t>
      </w:r>
      <w:r w:rsidRPr="001667DB">
        <w:rPr>
          <w:color w:val="000000" w:themeColor="text1"/>
          <w:sz w:val="22"/>
          <w:szCs w:val="22"/>
          <w:vertAlign w:val="superscript"/>
        </w:rPr>
        <w:t>a)</w:t>
      </w:r>
      <w:r w:rsidRPr="001667DB">
        <w:rPr>
          <w:color w:val="000000" w:themeColor="text1"/>
          <w:sz w:val="22"/>
          <w:szCs w:val="22"/>
        </w:rPr>
        <w:t>:</w:t>
      </w:r>
    </w:p>
    <w:p w14:paraId="5C5B0F84"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lastRenderedPageBreak/>
        <w:t>uziarnienie,</w:t>
      </w:r>
    </w:p>
    <w:p w14:paraId="2C6F2A26"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zawartość lepiszcza,</w:t>
      </w:r>
    </w:p>
    <w:p w14:paraId="3FB0BC8F"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temperatura mięknienia odzyskanego lepiszcza,</w:t>
      </w:r>
    </w:p>
    <w:p w14:paraId="7A3EA219"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gęstość i zawartość wolnych przestrzeni próbki.</w:t>
      </w:r>
    </w:p>
    <w:p w14:paraId="4FDD855A"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Warunki technologiczne wbudowywania mieszanki mineralno-asfaltowej:</w:t>
      </w:r>
    </w:p>
    <w:p w14:paraId="0051B9AC"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powietrza podczas pobrania  próby do badań,</w:t>
      </w:r>
    </w:p>
    <w:p w14:paraId="5A4CA525"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mieszanki mineralno-asfaltowej,</w:t>
      </w:r>
    </w:p>
    <w:p w14:paraId="496855FB"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dostarczonej mieszanki mineralno-asfaltowej.</w:t>
      </w:r>
    </w:p>
    <w:p w14:paraId="42B768B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Wykonana warstwa:</w:t>
      </w:r>
    </w:p>
    <w:p w14:paraId="1139B304"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wskaźnik zagęszczenia</w:t>
      </w:r>
    </w:p>
    <w:p w14:paraId="6D955533"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grubość warstwy lub ilość zużytego materiału,</w:t>
      </w:r>
    </w:p>
    <w:p w14:paraId="14F280F0"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równość podłużna i poprzeczna,</w:t>
      </w:r>
    </w:p>
    <w:p w14:paraId="364930F5"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spadki poprzeczne,</w:t>
      </w:r>
    </w:p>
    <w:p w14:paraId="30E80291"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zawartość wolnych przestrzeni,</w:t>
      </w:r>
    </w:p>
    <w:p w14:paraId="4FB74D2A"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złącza technologiczne,</w:t>
      </w:r>
    </w:p>
    <w:p w14:paraId="461831F4"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szerokość warstwy,</w:t>
      </w:r>
    </w:p>
    <w:p w14:paraId="2941347C"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rzędne wysokościowe,</w:t>
      </w:r>
    </w:p>
    <w:p w14:paraId="45874087"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ukształtowanie osi w planie,</w:t>
      </w:r>
    </w:p>
    <w:p w14:paraId="70C35FD2"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ocena wizualna warstwy.</w:t>
      </w:r>
    </w:p>
    <w:p w14:paraId="123FE0E5" w14:textId="77777777" w:rsidR="00955A27" w:rsidRPr="001667DB" w:rsidRDefault="00955A27" w:rsidP="00C03D2F">
      <w:pPr>
        <w:keepNext/>
        <w:spacing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vertAlign w:val="superscript"/>
        </w:rPr>
        <w:t>a)</w:t>
      </w:r>
      <w:r w:rsidRPr="001667DB">
        <w:rPr>
          <w:rFonts w:ascii="Times New Roman" w:hAnsi="Times New Roman" w:cs="Times New Roman"/>
          <w:color w:val="000000" w:themeColor="text1"/>
        </w:rPr>
        <w:t xml:space="preserve">   w razie potrzeby specjalne kruszywa i dodatki.</w:t>
      </w:r>
    </w:p>
    <w:p w14:paraId="37A3705B" w14:textId="77777777" w:rsidR="00955A27" w:rsidRPr="001667DB" w:rsidRDefault="00955A27" w:rsidP="00C03D2F">
      <w:pPr>
        <w:keepNext/>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6.3.4.</w:t>
      </w:r>
      <w:r w:rsidRPr="001667DB">
        <w:rPr>
          <w:rFonts w:ascii="Times New Roman" w:hAnsi="Times New Roman" w:cs="Times New Roman"/>
          <w:color w:val="000000" w:themeColor="text1"/>
        </w:rPr>
        <w:t xml:space="preserve"> </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Badanie materiałów wsadowych</w:t>
      </w:r>
    </w:p>
    <w:p w14:paraId="141A319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materiałów wsadowych należy oceniać na podstawie badań pobranych próbek w miejscu produkcji  mieszanki mineralno-asfaltowej. </w:t>
      </w:r>
    </w:p>
    <w:p w14:paraId="4BEE5D1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jakości materiałów wsadowych mieszanki mineralno-asfaltowej, za zgodą nadzoru i Zamawiającego mogą posłużyć wyniki badań wykonanych w ramach zakładowej kontroli produkcji. </w:t>
      </w:r>
    </w:p>
    <w:p w14:paraId="1275AA93" w14:textId="77777777" w:rsidR="00955A27" w:rsidRPr="001667DB" w:rsidRDefault="00955A27" w:rsidP="00C03D2F">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6.3.5.</w:t>
      </w:r>
      <w:r w:rsidRPr="001667DB">
        <w:rPr>
          <w:rFonts w:ascii="Times New Roman" w:hAnsi="Times New Roman" w:cs="Times New Roman"/>
          <w:color w:val="000000" w:themeColor="text1"/>
        </w:rPr>
        <w:t xml:space="preserve"> </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Kruszywa i wypełniacz</w:t>
      </w:r>
    </w:p>
    <w:p w14:paraId="471D88DE"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kruszywa należy pobrać i zbadać średnie próbki. Wielkość pobranej średniej próbki nie może być mniejsza niż: </w:t>
      </w:r>
    </w:p>
    <w:p w14:paraId="531880B8" w14:textId="77777777" w:rsidR="00955A27" w:rsidRPr="001667DB" w:rsidRDefault="00C03D2F"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Pr>
          <w:rFonts w:ascii="Times New Roman" w:hAnsi="Times New Roman" w:cs="Times New Roman"/>
          <w:color w:val="000000" w:themeColor="text1"/>
        </w:rPr>
        <w:t>wypełniacz</w:t>
      </w:r>
      <w:r>
        <w:rPr>
          <w:rFonts w:ascii="Times New Roman" w:hAnsi="Times New Roman" w:cs="Times New Roman"/>
          <w:color w:val="000000" w:themeColor="text1"/>
        </w:rPr>
        <w:tab/>
      </w:r>
      <w:r>
        <w:rPr>
          <w:rFonts w:ascii="Times New Roman" w:hAnsi="Times New Roman" w:cs="Times New Roman"/>
          <w:color w:val="000000" w:themeColor="text1"/>
        </w:rPr>
        <w:tab/>
      </w:r>
      <w:r>
        <w:rPr>
          <w:rFonts w:ascii="Times New Roman" w:hAnsi="Times New Roman" w:cs="Times New Roman"/>
          <w:color w:val="000000" w:themeColor="text1"/>
        </w:rPr>
        <w:tab/>
      </w:r>
      <w:r>
        <w:rPr>
          <w:rFonts w:ascii="Times New Roman" w:hAnsi="Times New Roman" w:cs="Times New Roman"/>
          <w:color w:val="000000" w:themeColor="text1"/>
        </w:rPr>
        <w:tab/>
      </w:r>
      <w:smartTag w:uri="urn:schemas-microsoft-com:office:smarttags" w:element="metricconverter">
        <w:smartTagPr>
          <w:attr w:name="ProductID" w:val="2 kg"/>
        </w:smartTagPr>
        <w:r w:rsidR="00955A27" w:rsidRPr="001667DB">
          <w:rPr>
            <w:rFonts w:ascii="Times New Roman" w:hAnsi="Times New Roman" w:cs="Times New Roman"/>
            <w:color w:val="000000" w:themeColor="text1"/>
          </w:rPr>
          <w:t>2 kg</w:t>
        </w:r>
      </w:smartTag>
      <w:r w:rsidR="00955A27" w:rsidRPr="001667DB">
        <w:rPr>
          <w:rFonts w:ascii="Times New Roman" w:hAnsi="Times New Roman" w:cs="Times New Roman"/>
          <w:color w:val="000000" w:themeColor="text1"/>
        </w:rPr>
        <w:t>,</w:t>
      </w:r>
    </w:p>
    <w:p w14:paraId="6E0EE50A"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kruszywa o uziarnieniu do </w:t>
      </w:r>
      <w:smartTag w:uri="urn:schemas-microsoft-com:office:smarttags" w:element="metricconverter">
        <w:smartTagPr>
          <w:attr w:name="ProductID" w:val="8 mm"/>
        </w:smartTagPr>
        <w:r w:rsidRPr="001667DB">
          <w:rPr>
            <w:rFonts w:ascii="Times New Roman" w:hAnsi="Times New Roman" w:cs="Times New Roman"/>
            <w:color w:val="000000" w:themeColor="text1"/>
          </w:rPr>
          <w:t>8 mm</w:t>
        </w:r>
      </w:smartTag>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smartTag w:uri="urn:schemas-microsoft-com:office:smarttags" w:element="metricconverter">
        <w:smartTagPr>
          <w:attr w:name="ProductID" w:val="5 kg"/>
        </w:smartTagPr>
        <w:r w:rsidRPr="001667DB">
          <w:rPr>
            <w:rFonts w:ascii="Times New Roman" w:hAnsi="Times New Roman" w:cs="Times New Roman"/>
            <w:color w:val="000000" w:themeColor="text1"/>
          </w:rPr>
          <w:t>5 kg</w:t>
        </w:r>
      </w:smartTag>
      <w:r w:rsidRPr="001667DB">
        <w:rPr>
          <w:rFonts w:ascii="Times New Roman" w:hAnsi="Times New Roman" w:cs="Times New Roman"/>
          <w:color w:val="000000" w:themeColor="text1"/>
        </w:rPr>
        <w:t>,</w:t>
      </w:r>
    </w:p>
    <w:p w14:paraId="4C759470"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o uziarnieniu powyżej </w:t>
      </w:r>
      <w:smartTag w:uri="urn:schemas-microsoft-com:office:smarttags" w:element="metricconverter">
        <w:smartTagPr>
          <w:attr w:name="ProductID" w:val="8 mm"/>
        </w:smartTagPr>
        <w:r w:rsidRPr="001667DB">
          <w:rPr>
            <w:rFonts w:ascii="Times New Roman" w:hAnsi="Times New Roman" w:cs="Times New Roman"/>
            <w:color w:val="000000" w:themeColor="text1"/>
          </w:rPr>
          <w:t>8 mm</w:t>
        </w:r>
      </w:smartTag>
      <w:r w:rsidRPr="001667DB">
        <w:rPr>
          <w:rFonts w:ascii="Times New Roman" w:hAnsi="Times New Roman" w:cs="Times New Roman"/>
          <w:color w:val="000000" w:themeColor="text1"/>
        </w:rPr>
        <w:tab/>
        <w:t xml:space="preserve"> </w:t>
      </w:r>
      <w:smartTag w:uri="urn:schemas-microsoft-com:office:smarttags" w:element="metricconverter">
        <w:smartTagPr>
          <w:attr w:name="ProductID" w:val="15 kg"/>
        </w:smartTagPr>
        <w:r w:rsidRPr="001667DB">
          <w:rPr>
            <w:rFonts w:ascii="Times New Roman" w:hAnsi="Times New Roman" w:cs="Times New Roman"/>
            <w:color w:val="000000" w:themeColor="text1"/>
          </w:rPr>
          <w:t>15 kg</w:t>
        </w:r>
      </w:smartTag>
      <w:r w:rsidRPr="001667DB">
        <w:rPr>
          <w:rFonts w:ascii="Times New Roman" w:hAnsi="Times New Roman" w:cs="Times New Roman"/>
          <w:color w:val="000000" w:themeColor="text1"/>
        </w:rPr>
        <w:t>.</w:t>
      </w:r>
    </w:p>
    <w:p w14:paraId="55CC646D" w14:textId="77777777" w:rsidR="00955A27" w:rsidRPr="001667DB" w:rsidRDefault="00955A27" w:rsidP="00C03D2F">
      <w:pPr>
        <w:widowControl w:val="0"/>
        <w:tabs>
          <w:tab w:val="left" w:pos="426"/>
        </w:tabs>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Wypełniacz i kruszywa powinny spełniać wymagania podane w pkcie  2.4.</w:t>
      </w:r>
    </w:p>
    <w:p w14:paraId="1D359E57" w14:textId="77777777" w:rsidR="00955A27" w:rsidRPr="001667DB" w:rsidRDefault="00955A27" w:rsidP="00C03D2F">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6.3.6.</w:t>
      </w:r>
      <w:r w:rsidRPr="001667DB">
        <w:rPr>
          <w:rFonts w:ascii="Times New Roman" w:hAnsi="Times New Roman" w:cs="Times New Roman"/>
          <w:color w:val="000000" w:themeColor="text1"/>
        </w:rPr>
        <w:t xml:space="preserve">  Lepiszcze </w:t>
      </w:r>
    </w:p>
    <w:p w14:paraId="2D0822EF"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lepiszcza należy pobrać próbkę średnią składająca się z 3 próbek częściowych po </w:t>
      </w:r>
      <w:smartTag w:uri="urn:schemas-microsoft-com:office:smarttags" w:element="metricconverter">
        <w:smartTagPr>
          <w:attr w:name="ProductID" w:val="2 kg"/>
        </w:smartTagPr>
        <w:r w:rsidRPr="001667DB">
          <w:rPr>
            <w:rFonts w:ascii="Times New Roman" w:hAnsi="Times New Roman" w:cs="Times New Roman"/>
            <w:color w:val="000000" w:themeColor="text1"/>
          </w:rPr>
          <w:t>2 kg</w:t>
        </w:r>
      </w:smartTag>
      <w:r w:rsidRPr="001667DB">
        <w:rPr>
          <w:rFonts w:ascii="Times New Roman" w:hAnsi="Times New Roman" w:cs="Times New Roman"/>
          <w:color w:val="000000" w:themeColor="text1"/>
        </w:rPr>
        <w:t>. Z tego jedną próbkę częściową należy poddać badaniom. Ponadto należy  zbadać kolejną próbkę, jeżeli wygląd zewnętrzny (jednolitość, kolor, zapach, zanieczyszczenia) może budzić obawy.</w:t>
      </w:r>
    </w:p>
    <w:p w14:paraId="2C30EE90"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Asfalty powinny spełniać wymagania podane w pkcie 2.3.</w:t>
      </w:r>
    </w:p>
    <w:p w14:paraId="6C3CC594" w14:textId="77777777" w:rsidR="00955A27" w:rsidRPr="001667DB" w:rsidRDefault="00955A27" w:rsidP="00C03D2F">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6.3.7.</w:t>
      </w:r>
      <w:r w:rsidRPr="001667DB">
        <w:rPr>
          <w:rFonts w:ascii="Times New Roman" w:hAnsi="Times New Roman" w:cs="Times New Roman"/>
          <w:color w:val="000000" w:themeColor="text1"/>
        </w:rPr>
        <w:t xml:space="preserve">  Materiały do uszczelniania połączeń </w:t>
      </w:r>
    </w:p>
    <w:p w14:paraId="7274B29A"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lepiszcza lub materiałów termoplastycznych należy pobrać próbki średnie składające się z 3 próbek częściowych po </w:t>
      </w:r>
      <w:smartTag w:uri="urn:schemas-microsoft-com:office:smarttags" w:element="metricconverter">
        <w:smartTagPr>
          <w:attr w:name="ProductID" w:val="2 kg"/>
        </w:smartTagPr>
        <w:r w:rsidRPr="001667DB">
          <w:rPr>
            <w:rFonts w:ascii="Times New Roman" w:hAnsi="Times New Roman" w:cs="Times New Roman"/>
            <w:color w:val="000000" w:themeColor="text1"/>
          </w:rPr>
          <w:t>2 kg</w:t>
        </w:r>
      </w:smartTag>
      <w:r w:rsidRPr="001667DB">
        <w:rPr>
          <w:rFonts w:ascii="Times New Roman" w:hAnsi="Times New Roman" w:cs="Times New Roman"/>
          <w:color w:val="000000" w:themeColor="text1"/>
        </w:rPr>
        <w:t>. Z tego jedną próbkę częściową należy poddać badaniom. Ponadto należy pobrać i zbadać kolejną próbkę, jeżeli zewnętrzny wygląd (jednolitość, kolor, połysk, zapach, zanieczyszczenia) może budzić obawy.</w:t>
      </w:r>
    </w:p>
    <w:p w14:paraId="01F4B742"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do uszczelniania połączeń powinny spełniać wymagania podane w pkcie 2.7.</w:t>
      </w:r>
    </w:p>
    <w:p w14:paraId="24271574"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 xml:space="preserve">6.4.  Badania mieszanki mineralno-asfaltowej  </w:t>
      </w:r>
    </w:p>
    <w:p w14:paraId="0A6EB8A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54AE5095"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jakości mieszanki mineralno-asfaltowej za zgodą nadzoru i Zamawiającego mogą posłużyć wyniki badań wykonanych w ramach zakładowej kontroli produkcji.  </w:t>
      </w:r>
    </w:p>
    <w:p w14:paraId="3E56384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0CB9AE9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materiałów budowlanych należy określać dla każdej warstwy technologicznej, a metody badań powinny być zgodne z wymaganiami podanymi poniżej, chyba że ST lub dokumentacja projektowa podają inaczej. </w:t>
      </w:r>
    </w:p>
    <w:p w14:paraId="4A6BDCE7" w14:textId="77777777" w:rsidR="00955A27" w:rsidRPr="001667DB" w:rsidRDefault="00955A27" w:rsidP="00C03D2F">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6.4.1.</w:t>
      </w:r>
      <w:r w:rsidRPr="001667DB">
        <w:rPr>
          <w:rFonts w:ascii="Times New Roman" w:hAnsi="Times New Roman" w:cs="Times New Roman"/>
          <w:color w:val="000000" w:themeColor="text1"/>
        </w:rPr>
        <w:t xml:space="preserve"> Uziarnienie </w:t>
      </w:r>
    </w:p>
    <w:p w14:paraId="27066209"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jest to różnica wartości bezwzględnej pomiędzy procentową zawartością ziaren w wyekstrahowanej mieszance mineralnej uzyskaną z badań laboratoryjnych a procentową zawartością ziaren w mieszance mineralnej podaną w Badaniu Typu (%). </w:t>
      </w:r>
    </w:p>
    <w:p w14:paraId="3AEBBE20"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odchyłki w zakresie uziarnienia podano w tabeli 29. </w:t>
      </w:r>
    </w:p>
    <w:p w14:paraId="00E996B7"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p>
    <w:p w14:paraId="1C4789BA"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29. Dopuszczalne odchyłki w zakresie uziarnienia.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2268"/>
        <w:gridCol w:w="1701"/>
        <w:gridCol w:w="1985"/>
      </w:tblGrid>
      <w:tr w:rsidR="00955A27" w:rsidRPr="001667DB" w14:paraId="3900420B" w14:textId="77777777" w:rsidTr="001B4B8F">
        <w:trPr>
          <w:trHeight w:val="364"/>
        </w:trPr>
        <w:tc>
          <w:tcPr>
            <w:tcW w:w="2518" w:type="dxa"/>
            <w:vMerge w:val="restart"/>
          </w:tcPr>
          <w:p w14:paraId="7F7B7497" w14:textId="77777777" w:rsidR="00955A27" w:rsidRPr="001667DB" w:rsidRDefault="00955A27" w:rsidP="00955A27">
            <w:pPr>
              <w:tabs>
                <w:tab w:val="left" w:pos="1877"/>
              </w:tabs>
              <w:spacing w:after="120" w:line="360" w:lineRule="auto"/>
              <w:ind w:right="-57"/>
              <w:jc w:val="center"/>
              <w:rPr>
                <w:rFonts w:ascii="Times New Roman" w:hAnsi="Times New Roman" w:cs="Times New Roman"/>
                <w:color w:val="000000" w:themeColor="text1"/>
              </w:rPr>
            </w:pPr>
          </w:p>
          <w:p w14:paraId="3E34D043" w14:textId="77777777" w:rsidR="00955A27" w:rsidRPr="001667DB" w:rsidRDefault="00955A27" w:rsidP="00955A27">
            <w:pPr>
              <w:tabs>
                <w:tab w:val="left" w:pos="1877"/>
              </w:tabs>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Przechodzi przez sito #, mm</w:t>
            </w:r>
          </w:p>
        </w:tc>
        <w:tc>
          <w:tcPr>
            <w:tcW w:w="3969" w:type="dxa"/>
            <w:gridSpan w:val="2"/>
          </w:tcPr>
          <w:p w14:paraId="0B265EE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Odchyłki dopuszczalne dla pojedynczego wyniku, %</w:t>
            </w:r>
          </w:p>
        </w:tc>
        <w:tc>
          <w:tcPr>
            <w:tcW w:w="1985" w:type="dxa"/>
          </w:tcPr>
          <w:p w14:paraId="5A137F1C"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Odchyłki dopuszczalne dla wartości średniej, %</w:t>
            </w:r>
          </w:p>
        </w:tc>
      </w:tr>
      <w:tr w:rsidR="00955A27" w:rsidRPr="001667DB" w14:paraId="518E1104" w14:textId="77777777" w:rsidTr="001B4B8F">
        <w:trPr>
          <w:trHeight w:val="516"/>
        </w:trPr>
        <w:tc>
          <w:tcPr>
            <w:tcW w:w="2518" w:type="dxa"/>
            <w:vMerge/>
          </w:tcPr>
          <w:p w14:paraId="59F276E9" w14:textId="77777777" w:rsidR="00955A27" w:rsidRPr="001667DB" w:rsidRDefault="00955A27" w:rsidP="00955A27">
            <w:pPr>
              <w:tabs>
                <w:tab w:val="left" w:pos="1877"/>
              </w:tabs>
              <w:spacing w:after="120" w:line="360" w:lineRule="auto"/>
              <w:ind w:right="-57"/>
              <w:jc w:val="center"/>
              <w:rPr>
                <w:rFonts w:ascii="Times New Roman" w:hAnsi="Times New Roman" w:cs="Times New Roman"/>
                <w:color w:val="000000" w:themeColor="text1"/>
              </w:rPr>
            </w:pPr>
          </w:p>
        </w:tc>
        <w:tc>
          <w:tcPr>
            <w:tcW w:w="2268" w:type="dxa"/>
          </w:tcPr>
          <w:p w14:paraId="45C8BD7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 3-7</w:t>
            </w:r>
          </w:p>
        </w:tc>
        <w:tc>
          <w:tcPr>
            <w:tcW w:w="1701" w:type="dxa"/>
          </w:tcPr>
          <w:p w14:paraId="41191229"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 1-2</w:t>
            </w:r>
          </w:p>
        </w:tc>
        <w:tc>
          <w:tcPr>
            <w:tcW w:w="1985" w:type="dxa"/>
          </w:tcPr>
          <w:p w14:paraId="79DA94DE"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 1-7</w:t>
            </w:r>
          </w:p>
        </w:tc>
      </w:tr>
      <w:tr w:rsidR="00955A27" w:rsidRPr="001667DB" w14:paraId="5E10BBA0" w14:textId="77777777" w:rsidTr="001B4B8F">
        <w:tc>
          <w:tcPr>
            <w:tcW w:w="2518" w:type="dxa"/>
          </w:tcPr>
          <w:p w14:paraId="522FB6C5" w14:textId="77777777" w:rsidR="00955A27" w:rsidRPr="001667DB" w:rsidRDefault="00955A27" w:rsidP="00955A27">
            <w:pPr>
              <w:tabs>
                <w:tab w:val="left" w:pos="1877"/>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0,063</w:t>
            </w:r>
          </w:p>
        </w:tc>
        <w:tc>
          <w:tcPr>
            <w:tcW w:w="2268" w:type="dxa"/>
          </w:tcPr>
          <w:p w14:paraId="0B83882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1701" w:type="dxa"/>
          </w:tcPr>
          <w:p w14:paraId="5009DDF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c>
          <w:tcPr>
            <w:tcW w:w="1985" w:type="dxa"/>
          </w:tcPr>
          <w:p w14:paraId="2594F1E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955A27" w:rsidRPr="001667DB" w14:paraId="6A98BFEB" w14:textId="77777777" w:rsidTr="001B4B8F">
        <w:tc>
          <w:tcPr>
            <w:tcW w:w="2518" w:type="dxa"/>
          </w:tcPr>
          <w:p w14:paraId="42FAD65F" w14:textId="77777777" w:rsidR="00955A27" w:rsidRPr="001667DB" w:rsidRDefault="00955A27" w:rsidP="00955A27">
            <w:pPr>
              <w:tabs>
                <w:tab w:val="left" w:pos="1877"/>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0,125</w:t>
            </w:r>
          </w:p>
        </w:tc>
        <w:tc>
          <w:tcPr>
            <w:tcW w:w="2268" w:type="dxa"/>
          </w:tcPr>
          <w:p w14:paraId="2BFECDE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701" w:type="dxa"/>
          </w:tcPr>
          <w:p w14:paraId="692E1D7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985" w:type="dxa"/>
          </w:tcPr>
          <w:p w14:paraId="292E26F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28484A86" w14:textId="77777777" w:rsidTr="001B4B8F">
        <w:tc>
          <w:tcPr>
            <w:tcW w:w="2518" w:type="dxa"/>
          </w:tcPr>
          <w:p w14:paraId="01078872" w14:textId="77777777" w:rsidR="00955A27" w:rsidRPr="001667DB" w:rsidRDefault="00955A27" w:rsidP="00955A27">
            <w:pPr>
              <w:tabs>
                <w:tab w:val="left" w:pos="1877"/>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268" w:type="dxa"/>
          </w:tcPr>
          <w:p w14:paraId="190A2A6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701" w:type="dxa"/>
          </w:tcPr>
          <w:p w14:paraId="360857C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985" w:type="dxa"/>
          </w:tcPr>
          <w:p w14:paraId="791B52E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r>
      <w:tr w:rsidR="00955A27" w:rsidRPr="001667DB" w14:paraId="1FB0B572" w14:textId="77777777" w:rsidTr="001B4B8F">
        <w:tc>
          <w:tcPr>
            <w:tcW w:w="2518" w:type="dxa"/>
          </w:tcPr>
          <w:p w14:paraId="785FD204" w14:textId="77777777" w:rsidR="00955A27" w:rsidRPr="001667DB" w:rsidRDefault="00955A27" w:rsidP="00955A27">
            <w:pPr>
              <w:tabs>
                <w:tab w:val="left" w:pos="1877"/>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D/2 lub sito charakterystyczne</w:t>
            </w:r>
          </w:p>
        </w:tc>
        <w:tc>
          <w:tcPr>
            <w:tcW w:w="2268" w:type="dxa"/>
          </w:tcPr>
          <w:p w14:paraId="0F08CD6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701" w:type="dxa"/>
          </w:tcPr>
          <w:p w14:paraId="5FBCBC4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985" w:type="dxa"/>
          </w:tcPr>
          <w:p w14:paraId="668F39FE"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r>
      <w:tr w:rsidR="00955A27" w:rsidRPr="001667DB" w14:paraId="327870F9" w14:textId="77777777" w:rsidTr="001B4B8F">
        <w:tc>
          <w:tcPr>
            <w:tcW w:w="2518" w:type="dxa"/>
          </w:tcPr>
          <w:p w14:paraId="592D86AB" w14:textId="77777777" w:rsidR="00955A27" w:rsidRPr="001667DB" w:rsidRDefault="00955A27" w:rsidP="00955A27">
            <w:pPr>
              <w:tabs>
                <w:tab w:val="left" w:pos="1877"/>
              </w:tabs>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w:t>
            </w:r>
          </w:p>
        </w:tc>
        <w:tc>
          <w:tcPr>
            <w:tcW w:w="2268" w:type="dxa"/>
          </w:tcPr>
          <w:p w14:paraId="4294271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701" w:type="dxa"/>
          </w:tcPr>
          <w:p w14:paraId="48AB5B9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1985" w:type="dxa"/>
          </w:tcPr>
          <w:p w14:paraId="70E5945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r>
    </w:tbl>
    <w:p w14:paraId="5192D01B"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dotyczące udziału kruszywa grubego, drobnego i wypełniacza powinny być spełnione jednocześnie. </w:t>
      </w:r>
    </w:p>
    <w:p w14:paraId="084678E0"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wielkości dopuszczalnych odchyłek dla wartości średniej w zakresie uziarnienia należy postępować zgodnie z Instrukcją DP-T14 Ocena jakości na drogach krajowych. Część I-Roboty drogowe. 2017. </w:t>
      </w:r>
    </w:p>
    <w:p w14:paraId="1297CD6B"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Dla kryterium dotyczącego pojedynczego wyniku nie stosuje się potrąceń – należy je spełnić wg wyżej wymienionych wymagań.</w:t>
      </w:r>
    </w:p>
    <w:p w14:paraId="64B04382"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p>
    <w:p w14:paraId="591AB08F"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6.4.2.</w:t>
      </w:r>
      <w:r w:rsidRPr="001667DB">
        <w:rPr>
          <w:rFonts w:ascii="Times New Roman" w:hAnsi="Times New Roman" w:cs="Times New Roman"/>
          <w:color w:val="000000" w:themeColor="text1"/>
        </w:rPr>
        <w:t xml:space="preserve">  Zawartość lepiszcza</w:t>
      </w:r>
    </w:p>
    <w:p w14:paraId="6FF45216"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polega na wykonaniu ekstrakcji lepiszcza, zgodnie PN-EN 12697-1, z próbki pobranej z mieszanki mineralno-asfaltowej. </w:t>
      </w:r>
    </w:p>
    <w:p w14:paraId="0AFE04AA"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Jakości wbudowanej mieszanki mineralno-asfaltowej należy ocenić na podstawie: </w:t>
      </w:r>
    </w:p>
    <w:p w14:paraId="4E05AC2C"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wielkości odchyłki obliczonej dla wartości średniej (średnia arytmetyczna wszystkich wyników z całej drogi dla danego typu MMA i danej warstwy asfaltowej) z dokładnością do 0,01 %, </w:t>
      </w:r>
    </w:p>
    <w:p w14:paraId="4AAAF996"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wielkości odchyłki obliczonej dla pojedynczego wyniku (próbki) z dokładnością do 0,1 %. </w:t>
      </w:r>
    </w:p>
    <w:p w14:paraId="1C35D506"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Wyżej wymienione kryteria należy stosować jednocześnie (oba podlegają ocenie jakości MMA). Odchyłka jest to różnica wartości bezwzględnej pomiędzy procentową zawartością lepiszcza </w:t>
      </w:r>
      <w:r w:rsidRPr="001667DB">
        <w:rPr>
          <w:rFonts w:ascii="Times New Roman" w:hAnsi="Times New Roman" w:cs="Times New Roman"/>
          <w:color w:val="000000" w:themeColor="text1"/>
        </w:rPr>
        <w:lastRenderedPageBreak/>
        <w:t>rozpuszczalnego uzyskaną z badań laboratoryjnych a procentową zawartością lepiszcza rozpuszczalnego podaną w Badaniu Typu (%).</w:t>
      </w:r>
    </w:p>
    <w:p w14:paraId="5839FF60"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p>
    <w:p w14:paraId="4406E88E"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30. Dopuszczalne odchyłki do odbioru dla wartości średniej policzonej z dokładnością do 0,01 %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2094"/>
        <w:gridCol w:w="1984"/>
      </w:tblGrid>
      <w:tr w:rsidR="00955A27" w:rsidRPr="001667DB" w14:paraId="06188A1B" w14:textId="77777777" w:rsidTr="001B4B8F">
        <w:tc>
          <w:tcPr>
            <w:tcW w:w="2726" w:type="dxa"/>
            <w:vMerge w:val="restart"/>
            <w:shd w:val="clear" w:color="auto" w:fill="auto"/>
          </w:tcPr>
          <w:p w14:paraId="581471E4"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Oceniany parametr</w:t>
            </w:r>
          </w:p>
        </w:tc>
        <w:tc>
          <w:tcPr>
            <w:tcW w:w="4078" w:type="dxa"/>
            <w:gridSpan w:val="2"/>
            <w:shd w:val="clear" w:color="auto" w:fill="auto"/>
          </w:tcPr>
          <w:p w14:paraId="23621DA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Wielkość odchyłki dla wartości średniej ; %</w:t>
            </w:r>
          </w:p>
        </w:tc>
      </w:tr>
      <w:tr w:rsidR="00955A27" w:rsidRPr="001667DB" w14:paraId="2FE72358" w14:textId="77777777" w:rsidTr="001B4B8F">
        <w:tc>
          <w:tcPr>
            <w:tcW w:w="2726" w:type="dxa"/>
            <w:vMerge/>
            <w:shd w:val="clear" w:color="auto" w:fill="auto"/>
          </w:tcPr>
          <w:p w14:paraId="7676D9A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p>
        </w:tc>
        <w:tc>
          <w:tcPr>
            <w:tcW w:w="4078" w:type="dxa"/>
            <w:gridSpan w:val="2"/>
            <w:shd w:val="clear" w:color="auto" w:fill="auto"/>
          </w:tcPr>
          <w:p w14:paraId="48884C6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AC</w:t>
            </w:r>
          </w:p>
        </w:tc>
      </w:tr>
      <w:tr w:rsidR="00955A27" w:rsidRPr="001667DB" w14:paraId="0122C8A0" w14:textId="77777777" w:rsidTr="001B4B8F">
        <w:tc>
          <w:tcPr>
            <w:tcW w:w="2726" w:type="dxa"/>
            <w:vMerge/>
            <w:shd w:val="clear" w:color="auto" w:fill="auto"/>
          </w:tcPr>
          <w:p w14:paraId="5143B55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p>
        </w:tc>
        <w:tc>
          <w:tcPr>
            <w:tcW w:w="2094" w:type="dxa"/>
            <w:shd w:val="clear" w:color="auto" w:fill="auto"/>
          </w:tcPr>
          <w:p w14:paraId="2D90CAA9"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KR3÷KR7</w:t>
            </w:r>
          </w:p>
        </w:tc>
        <w:tc>
          <w:tcPr>
            <w:tcW w:w="1984" w:type="dxa"/>
            <w:shd w:val="clear" w:color="auto" w:fill="auto"/>
          </w:tcPr>
          <w:p w14:paraId="26BB792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KR1÷KR2</w:t>
            </w:r>
          </w:p>
        </w:tc>
      </w:tr>
      <w:tr w:rsidR="00955A27" w:rsidRPr="001667DB" w14:paraId="20D9C24D" w14:textId="77777777" w:rsidTr="001B4B8F">
        <w:tc>
          <w:tcPr>
            <w:tcW w:w="2726" w:type="dxa"/>
            <w:shd w:val="clear" w:color="auto" w:fill="auto"/>
          </w:tcPr>
          <w:p w14:paraId="2E77493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wartość lepiszcza rozpuszczalnego S – niedomiar</w:t>
            </w:r>
          </w:p>
        </w:tc>
        <w:tc>
          <w:tcPr>
            <w:tcW w:w="2094" w:type="dxa"/>
            <w:shd w:val="clear" w:color="auto" w:fill="auto"/>
          </w:tcPr>
          <w:p w14:paraId="31417BF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0,15</w:t>
            </w:r>
          </w:p>
        </w:tc>
        <w:tc>
          <w:tcPr>
            <w:tcW w:w="1984" w:type="dxa"/>
            <w:shd w:val="clear" w:color="auto" w:fill="auto"/>
          </w:tcPr>
          <w:p w14:paraId="383D405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0,20</w:t>
            </w:r>
          </w:p>
        </w:tc>
      </w:tr>
      <w:tr w:rsidR="00955A27" w:rsidRPr="001667DB" w14:paraId="3E018AF8" w14:textId="77777777" w:rsidTr="001B4B8F">
        <w:tc>
          <w:tcPr>
            <w:tcW w:w="2726" w:type="dxa"/>
            <w:shd w:val="clear" w:color="auto" w:fill="auto"/>
          </w:tcPr>
          <w:p w14:paraId="5CFFD5CB"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wartość lepiszcza rozpuszczalnego S – nadmiar</w:t>
            </w:r>
          </w:p>
        </w:tc>
        <w:tc>
          <w:tcPr>
            <w:tcW w:w="2094" w:type="dxa"/>
            <w:shd w:val="clear" w:color="auto" w:fill="auto"/>
          </w:tcPr>
          <w:p w14:paraId="5DB9B41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0,20</w:t>
            </w:r>
          </w:p>
        </w:tc>
        <w:tc>
          <w:tcPr>
            <w:tcW w:w="1984" w:type="dxa"/>
            <w:shd w:val="clear" w:color="auto" w:fill="auto"/>
          </w:tcPr>
          <w:p w14:paraId="383E02E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0,20</w:t>
            </w:r>
          </w:p>
        </w:tc>
      </w:tr>
    </w:tbl>
    <w:p w14:paraId="5C3D1107" w14:textId="77777777" w:rsidR="00955A27" w:rsidRPr="001667DB" w:rsidRDefault="00955A27" w:rsidP="00955A27">
      <w:pPr>
        <w:spacing w:after="120" w:line="360" w:lineRule="auto"/>
        <w:ind w:right="-57"/>
        <w:rPr>
          <w:rFonts w:ascii="Times New Roman" w:hAnsi="Times New Roman" w:cs="Times New Roman"/>
          <w:color w:val="000000" w:themeColor="text1"/>
        </w:rPr>
      </w:pPr>
    </w:p>
    <w:p w14:paraId="2DC31794" w14:textId="77777777" w:rsidR="00955A27" w:rsidRPr="001667DB" w:rsidRDefault="00955A27" w:rsidP="00955A27">
      <w:pPr>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31. Dopuszczalne odchyłki do odbioru dla pojedynczego wyniku określonego z dokładnością do 0,1 %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4078"/>
      </w:tblGrid>
      <w:tr w:rsidR="00955A27" w:rsidRPr="001667DB" w14:paraId="6C98B7DE" w14:textId="77777777" w:rsidTr="001B4B8F">
        <w:tc>
          <w:tcPr>
            <w:tcW w:w="2726" w:type="dxa"/>
            <w:vMerge w:val="restart"/>
            <w:shd w:val="clear" w:color="auto" w:fill="auto"/>
          </w:tcPr>
          <w:p w14:paraId="306C610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Oceniany parametr</w:t>
            </w:r>
          </w:p>
        </w:tc>
        <w:tc>
          <w:tcPr>
            <w:tcW w:w="4078" w:type="dxa"/>
            <w:shd w:val="clear" w:color="auto" w:fill="auto"/>
          </w:tcPr>
          <w:p w14:paraId="48D348B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Wielkość odchyłki dla pojedynczego wyniku; %</w:t>
            </w:r>
          </w:p>
        </w:tc>
      </w:tr>
      <w:tr w:rsidR="00955A27" w:rsidRPr="001667DB" w14:paraId="3A167556" w14:textId="77777777" w:rsidTr="001B4B8F">
        <w:tc>
          <w:tcPr>
            <w:tcW w:w="2726" w:type="dxa"/>
            <w:vMerge/>
            <w:shd w:val="clear" w:color="auto" w:fill="auto"/>
          </w:tcPr>
          <w:p w14:paraId="39D2AC5F"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p>
        </w:tc>
        <w:tc>
          <w:tcPr>
            <w:tcW w:w="4078" w:type="dxa"/>
            <w:shd w:val="clear" w:color="auto" w:fill="auto"/>
          </w:tcPr>
          <w:p w14:paraId="622B8191"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AC</w:t>
            </w:r>
          </w:p>
        </w:tc>
      </w:tr>
      <w:tr w:rsidR="00955A27" w:rsidRPr="001667DB" w14:paraId="694C8D84" w14:textId="77777777" w:rsidTr="001B4B8F">
        <w:tc>
          <w:tcPr>
            <w:tcW w:w="2726" w:type="dxa"/>
            <w:vMerge/>
            <w:shd w:val="clear" w:color="auto" w:fill="auto"/>
          </w:tcPr>
          <w:p w14:paraId="0AA0400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p>
        </w:tc>
        <w:tc>
          <w:tcPr>
            <w:tcW w:w="4078" w:type="dxa"/>
            <w:shd w:val="clear" w:color="auto" w:fill="auto"/>
          </w:tcPr>
          <w:p w14:paraId="40C539F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KR1÷KR7</w:t>
            </w:r>
          </w:p>
        </w:tc>
      </w:tr>
      <w:tr w:rsidR="00955A27" w:rsidRPr="001667DB" w14:paraId="42F5A603" w14:textId="77777777" w:rsidTr="001B4B8F">
        <w:tc>
          <w:tcPr>
            <w:tcW w:w="2726" w:type="dxa"/>
            <w:shd w:val="clear" w:color="auto" w:fill="auto"/>
          </w:tcPr>
          <w:p w14:paraId="38DDFF4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rozpuszczalnego S – niedomiar</w:t>
            </w:r>
          </w:p>
        </w:tc>
        <w:tc>
          <w:tcPr>
            <w:tcW w:w="4078" w:type="dxa"/>
            <w:shd w:val="clear" w:color="auto" w:fill="auto"/>
          </w:tcPr>
          <w:p w14:paraId="3797507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w:t>
            </w:r>
          </w:p>
        </w:tc>
      </w:tr>
      <w:tr w:rsidR="00955A27" w:rsidRPr="001667DB" w14:paraId="6AEFDE5F" w14:textId="77777777" w:rsidTr="001B4B8F">
        <w:tc>
          <w:tcPr>
            <w:tcW w:w="2726" w:type="dxa"/>
            <w:shd w:val="clear" w:color="auto" w:fill="auto"/>
          </w:tcPr>
          <w:p w14:paraId="64EEAC4F"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rozpuszczalnego S – nadmiar</w:t>
            </w:r>
          </w:p>
        </w:tc>
        <w:tc>
          <w:tcPr>
            <w:tcW w:w="4078" w:type="dxa"/>
            <w:shd w:val="clear" w:color="auto" w:fill="auto"/>
          </w:tcPr>
          <w:p w14:paraId="33555021"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w:t>
            </w:r>
          </w:p>
        </w:tc>
      </w:tr>
    </w:tbl>
    <w:p w14:paraId="0F32E14B" w14:textId="77777777" w:rsidR="00955A27" w:rsidRPr="001667DB" w:rsidRDefault="00955A27" w:rsidP="00955A27">
      <w:pPr>
        <w:spacing w:after="120" w:line="360" w:lineRule="auto"/>
        <w:ind w:right="-57"/>
        <w:rPr>
          <w:rFonts w:ascii="Times New Roman" w:hAnsi="Times New Roman" w:cs="Times New Roman"/>
          <w:color w:val="000000" w:themeColor="text1"/>
        </w:rPr>
      </w:pPr>
    </w:p>
    <w:p w14:paraId="2DF9BA9C"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przekroczenia wielkości dopuszczalnych odchyłek dla wartości średniej i dla pojedynczego wyniku w zakresie zawartości lepiszcza rozpuszczalnego należy postępować zgodnie z Instrukcją DP-T14 Ocena jakości na drogach krajowych. Część I-Roboty drogowe. 2017.</w:t>
      </w:r>
    </w:p>
    <w:p w14:paraId="6078CDA2" w14:textId="77777777" w:rsidR="00955A27" w:rsidRPr="001667DB" w:rsidRDefault="00955A27" w:rsidP="00C03D2F">
      <w:pPr>
        <w:spacing w:after="120" w:line="360" w:lineRule="auto"/>
        <w:jc w:val="both"/>
        <w:rPr>
          <w:rFonts w:ascii="Times New Roman" w:hAnsi="Times New Roman" w:cs="Times New Roman"/>
          <w:color w:val="000000" w:themeColor="text1"/>
        </w:rPr>
      </w:pPr>
    </w:p>
    <w:p w14:paraId="1575AD53"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6.4.3.</w:t>
      </w:r>
      <w:r w:rsidRPr="001667DB">
        <w:rPr>
          <w:rFonts w:ascii="Times New Roman" w:hAnsi="Times New Roman" w:cs="Times New Roman"/>
          <w:color w:val="000000" w:themeColor="text1"/>
        </w:rPr>
        <w:t xml:space="preserve">  Temperatura mięknienia lepiszcza </w:t>
      </w:r>
    </w:p>
    <w:p w14:paraId="5E870B1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Dla asfaltów drogowych zgodnych z PN-EN 12591[24] oraz wielorodzajowych zgodnych z PN-EN 13924-2 [65] [65a],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7DC1453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w składzie mieszanki mineralno-asfaltowej jest grantulat asfaltowy, to temperatura mięknienia wyekstrahowanego lepiszcza nie może przekroczyć temperatur mięknienia T</w:t>
      </w:r>
      <w:r w:rsidRPr="001667DB">
        <w:rPr>
          <w:rFonts w:ascii="Times New Roman" w:hAnsi="Times New Roman" w:cs="Times New Roman"/>
          <w:color w:val="000000" w:themeColor="text1"/>
          <w:vertAlign w:val="subscript"/>
        </w:rPr>
        <w:t>R&amp;Bmix</w:t>
      </w:r>
      <w:r w:rsidRPr="001667DB">
        <w:rPr>
          <w:rFonts w:ascii="Times New Roman" w:hAnsi="Times New Roman" w:cs="Times New Roman"/>
          <w:color w:val="000000" w:themeColor="text1"/>
        </w:rPr>
        <w:t>, podanej w badaniu typu o więcej niż 8°C.</w:t>
      </w:r>
    </w:p>
    <w:p w14:paraId="7A88992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polimeroasfaltu wyekstrahowanego z mieszanki mineralno asfaltowej nie powinna przekroczyć wartości dopuszczalnych podanych w tablicy 31</w:t>
      </w:r>
    </w:p>
    <w:p w14:paraId="65696A07" w14:textId="77777777" w:rsidR="00955A27" w:rsidRPr="001667DB" w:rsidRDefault="00955A27" w:rsidP="00C03D2F">
      <w:pPr>
        <w:spacing w:before="120" w:after="120" w:line="360" w:lineRule="auto"/>
        <w:ind w:left="1276" w:hanging="1276"/>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31.</w:t>
      </w:r>
      <w:r w:rsidRPr="001667DB">
        <w:rPr>
          <w:rFonts w:ascii="Times New Roman" w:hAnsi="Times New Roman" w:cs="Times New Roman"/>
          <w:color w:val="000000" w:themeColor="text1"/>
        </w:rPr>
        <w:tab/>
        <w:t>Najwyższa temperatura mięknienia wyekstrahowanego polimeroasfaltu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955A27" w:rsidRPr="001667DB" w14:paraId="5F6D6C13" w14:textId="77777777" w:rsidTr="001B4B8F">
        <w:tc>
          <w:tcPr>
            <w:tcW w:w="3755" w:type="dxa"/>
            <w:vAlign w:val="center"/>
          </w:tcPr>
          <w:p w14:paraId="1815732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lepiszcza</w:t>
            </w:r>
          </w:p>
        </w:tc>
        <w:tc>
          <w:tcPr>
            <w:tcW w:w="3756" w:type="dxa"/>
            <w:vAlign w:val="center"/>
          </w:tcPr>
          <w:p w14:paraId="09F036A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Najwyższa temperatura mięknienia, °C</w:t>
            </w:r>
          </w:p>
        </w:tc>
      </w:tr>
      <w:tr w:rsidR="00955A27" w:rsidRPr="001667DB" w14:paraId="6FF73242" w14:textId="77777777">
        <w:tc>
          <w:tcPr>
            <w:tcW w:w="3755" w:type="dxa"/>
          </w:tcPr>
          <w:p w14:paraId="03D7F2B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PMB-25/55-60</w:t>
            </w:r>
          </w:p>
        </w:tc>
        <w:tc>
          <w:tcPr>
            <w:tcW w:w="3756" w:type="dxa"/>
          </w:tcPr>
          <w:p w14:paraId="0E8719D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78</w:t>
            </w:r>
          </w:p>
        </w:tc>
      </w:tr>
      <w:tr w:rsidR="00955A27" w:rsidRPr="001667DB" w14:paraId="7FEA3CE3" w14:textId="77777777">
        <w:tc>
          <w:tcPr>
            <w:tcW w:w="3755" w:type="dxa"/>
          </w:tcPr>
          <w:p w14:paraId="794FF00E"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PMB 25/55-80</w:t>
            </w:r>
          </w:p>
        </w:tc>
        <w:tc>
          <w:tcPr>
            <w:tcW w:w="3756" w:type="dxa"/>
          </w:tcPr>
          <w:p w14:paraId="0AB9407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dotyczy</w:t>
            </w:r>
          </w:p>
        </w:tc>
      </w:tr>
    </w:tbl>
    <w:p w14:paraId="582ECABF"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gdy dostarczony na wytwornię polimeroasfalt charakteryzuje się wysoką temperaturą mięknienia (tzn. większą niż dolna granica normowa + 10°C), która została udokumentowana w ramach kontroli jakości i zasad ZKP na wytworni, stosuje się wymaganie górnej granicy temperatury mięknienia wyekstrahowanego lepiszcza obliczone w następujący sposob:</w:t>
      </w:r>
    </w:p>
    <w:p w14:paraId="1624EC03"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najwyższa dopuszczalna temperatura mięknienia wyekstrahowanego polimeroasfaltu =</w:t>
      </w:r>
    </w:p>
    <w:p w14:paraId="217EF4C6"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zbadanej dostawy na wytwornię + dopuszczalny wg Załącznika</w:t>
      </w:r>
    </w:p>
    <w:p w14:paraId="1E8126EC"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krajowego NA do PN-EN 14023 [66] [66a] wzrost temperatury mięknienia po starzeniu RTFOT.</w:t>
      </w:r>
    </w:p>
    <w:p w14:paraId="5BBF0127"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wypadku mieszanki mineralno-asfaltowej z polimeroasfaltem nawrot sprężysty lepiszcza wyekstrahowanego powinien wynieść co najmniej 40%. Dotyczy to również przedwczesnego zerwania tego lepiszcza w badaniu, przy czym należy wtedy podać wartość wydłużenia (zgodnie z zapisami normy PN-EN 13398 [58]).</w:t>
      </w:r>
    </w:p>
    <w:p w14:paraId="499C11B4" w14:textId="77777777" w:rsidR="00955A27" w:rsidRPr="001667DB" w:rsidRDefault="00955A27" w:rsidP="00C03D2F">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6.4.4.</w:t>
      </w:r>
      <w:r w:rsidRPr="001667DB">
        <w:rPr>
          <w:rFonts w:ascii="Times New Roman" w:hAnsi="Times New Roman" w:cs="Times New Roman"/>
          <w:color w:val="000000" w:themeColor="text1"/>
        </w:rPr>
        <w:t xml:space="preserve">  Gęstość i zawartość wolnych przestrzeni</w:t>
      </w:r>
    </w:p>
    <w:p w14:paraId="03600CBF"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próbce Marshalla pobranej z mieszanki mineralno-asfaltowej lub wyjątkowo powtórnie rozgrzanej próbki pobranej z nawierzchni nie może wykroczyć poza wartości podane w pkcie 2.11 o więcej niż 2,0% (v/v).</w:t>
      </w:r>
    </w:p>
    <w:p w14:paraId="16D5B383"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6.4.5. </w:t>
      </w:r>
      <w:r w:rsidRPr="001667DB">
        <w:rPr>
          <w:rFonts w:ascii="Times New Roman" w:hAnsi="Times New Roman" w:cs="Times New Roman"/>
          <w:color w:val="000000" w:themeColor="text1"/>
        </w:rPr>
        <w:t xml:space="preserve">Warunki technologiczne wbudowywania mieszanki mineralno-asfaltowej </w:t>
      </w:r>
    </w:p>
    <w:p w14:paraId="1F545DF1"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powietrza powinna być mierzona przed i w czasie robót; nie powinna być mniejsza niż podano w tablicy 26.  </w:t>
      </w:r>
    </w:p>
    <w:p w14:paraId="02A4A69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0198BA7E" w14:textId="77777777" w:rsidR="00955A27" w:rsidRPr="001667DB" w:rsidRDefault="00955A27" w:rsidP="00C03D2F">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należy wykonać zgodnie z wymaganiami normy PN-EN 12697-13 [40]. </w:t>
      </w:r>
    </w:p>
    <w:p w14:paraId="5B372501" w14:textId="77777777" w:rsidR="00955A27" w:rsidRPr="001667DB" w:rsidRDefault="00955A27" w:rsidP="00C03D2F">
      <w:pPr>
        <w:spacing w:after="120" w:line="360" w:lineRule="auto"/>
        <w:ind w:firstLine="709"/>
        <w:jc w:val="both"/>
        <w:rPr>
          <w:rFonts w:ascii="Times New Roman" w:hAnsi="Times New Roman" w:cs="Times New Roman"/>
          <w:b/>
          <w:color w:val="000000" w:themeColor="text1"/>
        </w:rPr>
      </w:pPr>
      <w:r w:rsidRPr="001667DB">
        <w:rPr>
          <w:rFonts w:ascii="Times New Roman" w:hAnsi="Times New Roman" w:cs="Times New Roman"/>
          <w:color w:val="000000" w:themeColor="text1"/>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6D936ECC"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6.5. Wykonana warstwa</w:t>
      </w:r>
    </w:p>
    <w:p w14:paraId="4C0E743B"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6.5.1.</w:t>
      </w:r>
      <w:r w:rsidRPr="001667DB">
        <w:rPr>
          <w:rFonts w:ascii="Times New Roman" w:hAnsi="Times New Roman" w:cs="Times New Roman"/>
          <w:color w:val="000000" w:themeColor="text1"/>
        </w:rPr>
        <w:t xml:space="preserve"> Wskaźnik zagęszczenia i zawartość wolnych przestrzeni </w:t>
      </w:r>
    </w:p>
    <w:p w14:paraId="618DD978"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Zagęszczenie wykonanej warstwy wyrażone wskaźnikiem zagęszczenia oraz zawartością wolnych przestrzeni nie może przekroczyć wartości dopuszczalnych  podanych w tablicy 32. Dotyczy to każdego pojedynczego oznaczenia danej właściwości.</w:t>
      </w:r>
    </w:p>
    <w:p w14:paraId="19DCA8DD"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Określenie gęstości objętościowej należy wykonywać według PN-EN 12697-6 [36].</w:t>
      </w:r>
    </w:p>
    <w:p w14:paraId="4146D8B6"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32.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9"/>
        <w:gridCol w:w="1589"/>
        <w:gridCol w:w="1469"/>
        <w:gridCol w:w="2131"/>
      </w:tblGrid>
      <w:tr w:rsidR="00955A27" w:rsidRPr="001667DB" w14:paraId="400CAEE4" w14:textId="77777777" w:rsidTr="001B4B8F">
        <w:tc>
          <w:tcPr>
            <w:tcW w:w="1589" w:type="dxa"/>
            <w:vAlign w:val="center"/>
          </w:tcPr>
          <w:p w14:paraId="55F4A15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Warstwa</w:t>
            </w:r>
          </w:p>
        </w:tc>
        <w:tc>
          <w:tcPr>
            <w:tcW w:w="1589" w:type="dxa"/>
            <w:vAlign w:val="center"/>
          </w:tcPr>
          <w:p w14:paraId="24DDB383"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83C719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Typ i wymiar mieszanki</w:t>
            </w:r>
          </w:p>
        </w:tc>
        <w:tc>
          <w:tcPr>
            <w:tcW w:w="1469" w:type="dxa"/>
            <w:vAlign w:val="center"/>
          </w:tcPr>
          <w:p w14:paraId="71DDC4B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Wskaźnik zagęszczenia</w:t>
            </w:r>
          </w:p>
          <w:p w14:paraId="63D119D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31" w:type="dxa"/>
            <w:vAlign w:val="center"/>
          </w:tcPr>
          <w:p w14:paraId="67D93A2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warstwie</w:t>
            </w:r>
          </w:p>
          <w:p w14:paraId="1397C27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[%(v/v)]</w:t>
            </w:r>
          </w:p>
        </w:tc>
      </w:tr>
      <w:tr w:rsidR="00955A27" w:rsidRPr="001667DB" w14:paraId="2C77B951" w14:textId="77777777">
        <w:tc>
          <w:tcPr>
            <w:tcW w:w="1589" w:type="dxa"/>
            <w:vMerge w:val="restart"/>
          </w:tcPr>
          <w:p w14:paraId="419E423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Podbudowa</w:t>
            </w:r>
          </w:p>
        </w:tc>
        <w:tc>
          <w:tcPr>
            <w:tcW w:w="1589" w:type="dxa"/>
          </w:tcPr>
          <w:p w14:paraId="6F5FD6B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 16 P, KR1-KR2</w:t>
            </w:r>
          </w:p>
        </w:tc>
        <w:tc>
          <w:tcPr>
            <w:tcW w:w="1469" w:type="dxa"/>
          </w:tcPr>
          <w:p w14:paraId="4ABDA31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131" w:type="dxa"/>
          </w:tcPr>
          <w:p w14:paraId="68269D9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3,0÷9,0</w:t>
            </w:r>
          </w:p>
        </w:tc>
      </w:tr>
      <w:tr w:rsidR="00955A27" w:rsidRPr="001667DB" w14:paraId="5FB38E71" w14:textId="77777777">
        <w:tc>
          <w:tcPr>
            <w:tcW w:w="1589" w:type="dxa"/>
            <w:vMerge/>
          </w:tcPr>
          <w:p w14:paraId="080D12A6" w14:textId="77777777" w:rsidR="00955A27" w:rsidRPr="001667DB" w:rsidRDefault="00955A27" w:rsidP="00955A27">
            <w:pPr>
              <w:spacing w:before="60" w:after="120" w:line="360" w:lineRule="auto"/>
              <w:rPr>
                <w:rFonts w:ascii="Times New Roman" w:hAnsi="Times New Roman" w:cs="Times New Roman"/>
                <w:color w:val="000000" w:themeColor="text1"/>
              </w:rPr>
            </w:pPr>
          </w:p>
        </w:tc>
        <w:tc>
          <w:tcPr>
            <w:tcW w:w="1589" w:type="dxa"/>
          </w:tcPr>
          <w:p w14:paraId="789122F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 22 P, KR1-KR2</w:t>
            </w:r>
          </w:p>
        </w:tc>
        <w:tc>
          <w:tcPr>
            <w:tcW w:w="1469" w:type="dxa"/>
          </w:tcPr>
          <w:p w14:paraId="72F6AA6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131" w:type="dxa"/>
          </w:tcPr>
          <w:p w14:paraId="7BF4216F"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3,0÷9,0</w:t>
            </w:r>
          </w:p>
        </w:tc>
      </w:tr>
      <w:tr w:rsidR="00955A27" w:rsidRPr="001667DB" w14:paraId="201D09B0" w14:textId="77777777">
        <w:tc>
          <w:tcPr>
            <w:tcW w:w="1589" w:type="dxa"/>
            <w:vMerge/>
          </w:tcPr>
          <w:p w14:paraId="066C6D48" w14:textId="77777777" w:rsidR="00955A27" w:rsidRPr="001667DB" w:rsidRDefault="00955A27" w:rsidP="00955A27">
            <w:pPr>
              <w:spacing w:before="60" w:after="120" w:line="360" w:lineRule="auto"/>
              <w:rPr>
                <w:rFonts w:ascii="Times New Roman" w:hAnsi="Times New Roman" w:cs="Times New Roman"/>
                <w:color w:val="000000" w:themeColor="text1"/>
              </w:rPr>
            </w:pPr>
          </w:p>
        </w:tc>
        <w:tc>
          <w:tcPr>
            <w:tcW w:w="1589" w:type="dxa"/>
          </w:tcPr>
          <w:p w14:paraId="08A909A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 16 P, KR3-KR7</w:t>
            </w:r>
          </w:p>
        </w:tc>
        <w:tc>
          <w:tcPr>
            <w:tcW w:w="1469" w:type="dxa"/>
          </w:tcPr>
          <w:p w14:paraId="57E4CCE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131" w:type="dxa"/>
          </w:tcPr>
          <w:p w14:paraId="7F955CF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3,0÷8,0</w:t>
            </w:r>
          </w:p>
        </w:tc>
      </w:tr>
      <w:tr w:rsidR="00955A27" w:rsidRPr="001667DB" w14:paraId="17A63CA8" w14:textId="77777777">
        <w:tc>
          <w:tcPr>
            <w:tcW w:w="1589" w:type="dxa"/>
            <w:vMerge/>
          </w:tcPr>
          <w:p w14:paraId="15096C32" w14:textId="77777777" w:rsidR="00955A27" w:rsidRPr="001667DB" w:rsidRDefault="00955A27" w:rsidP="00955A27">
            <w:pPr>
              <w:spacing w:before="60" w:after="120" w:line="360" w:lineRule="auto"/>
              <w:rPr>
                <w:rFonts w:ascii="Times New Roman" w:hAnsi="Times New Roman" w:cs="Times New Roman"/>
                <w:color w:val="000000" w:themeColor="text1"/>
              </w:rPr>
            </w:pPr>
          </w:p>
        </w:tc>
        <w:tc>
          <w:tcPr>
            <w:tcW w:w="1589" w:type="dxa"/>
          </w:tcPr>
          <w:p w14:paraId="25888A0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 22 P, KR3-KR7</w:t>
            </w:r>
          </w:p>
        </w:tc>
        <w:tc>
          <w:tcPr>
            <w:tcW w:w="1469" w:type="dxa"/>
          </w:tcPr>
          <w:p w14:paraId="02246D3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131" w:type="dxa"/>
          </w:tcPr>
          <w:p w14:paraId="4A7F7B33"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3,0÷8,0</w:t>
            </w:r>
          </w:p>
        </w:tc>
      </w:tr>
      <w:tr w:rsidR="00955A27" w:rsidRPr="001667DB" w14:paraId="23C8943A" w14:textId="77777777">
        <w:tc>
          <w:tcPr>
            <w:tcW w:w="1589" w:type="dxa"/>
            <w:vMerge/>
          </w:tcPr>
          <w:p w14:paraId="5F71BD70" w14:textId="77777777" w:rsidR="00955A27" w:rsidRPr="001667DB" w:rsidRDefault="00955A27" w:rsidP="00955A27">
            <w:pPr>
              <w:spacing w:before="60" w:after="120" w:line="360" w:lineRule="auto"/>
              <w:rPr>
                <w:rFonts w:ascii="Times New Roman" w:hAnsi="Times New Roman" w:cs="Times New Roman"/>
                <w:color w:val="000000" w:themeColor="text1"/>
              </w:rPr>
            </w:pPr>
          </w:p>
        </w:tc>
        <w:tc>
          <w:tcPr>
            <w:tcW w:w="1589" w:type="dxa"/>
          </w:tcPr>
          <w:p w14:paraId="297D6BA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 32 P, KR3-KR7</w:t>
            </w:r>
          </w:p>
        </w:tc>
        <w:tc>
          <w:tcPr>
            <w:tcW w:w="1469" w:type="dxa"/>
          </w:tcPr>
          <w:p w14:paraId="4B98743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131" w:type="dxa"/>
          </w:tcPr>
          <w:p w14:paraId="32AFF7F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3,0÷8,0</w:t>
            </w:r>
          </w:p>
        </w:tc>
      </w:tr>
    </w:tbl>
    <w:p w14:paraId="60EB3236" w14:textId="77777777" w:rsidR="00955A27" w:rsidRPr="001667DB" w:rsidRDefault="00955A27" w:rsidP="00C03D2F">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zagęszczenia i zawartość wolnych przestrzeni  należy badać dla każdej warstwy i na każde rozpoczęte </w:t>
      </w:r>
      <w:smartTag w:uri="urn:schemas-microsoft-com:office:smarttags" w:element="metricconverter">
        <w:smartTagPr>
          <w:attr w:name="ProductID" w:val="innyneƦАĜЈ佴ミ䗸&#10;伬Ձ澨ԾēЈ佴ミ䗸Ճ呂Ճ ĖЌ㺬ヸ佈ミ㹼ヸ䗸ꗜヘ杻Ճ㹼ヸ āЈ捻Ճ難Ճ㿨ԺĄЈ佴ミ䗸"/>
        </w:smartTagPr>
        <w:r w:rsidRPr="001667DB">
          <w:rPr>
            <w:rFonts w:ascii="Times New Roman" w:hAnsi="Times New Roman" w:cs="Times New Roman"/>
            <w:color w:val="000000" w:themeColor="text1"/>
          </w:rPr>
          <w:t>6000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nawierzchni jedna próbka; w razie potrzeby liczba próbek może zostać zwiększona (np. nawierzchnie dróg w terenie zabudowy, nawierzchnie mostowe). </w:t>
      </w:r>
    </w:p>
    <w:p w14:paraId="39F223D9" w14:textId="77777777" w:rsidR="00955A27" w:rsidRPr="001667DB" w:rsidRDefault="00955A27" w:rsidP="00C03D2F">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6.5.2.</w:t>
      </w:r>
      <w:r w:rsidRPr="001667DB">
        <w:rPr>
          <w:rFonts w:ascii="Times New Roman" w:hAnsi="Times New Roman" w:cs="Times New Roman"/>
          <w:color w:val="000000" w:themeColor="text1"/>
        </w:rPr>
        <w:t xml:space="preserve"> Grubość warstwy </w:t>
      </w:r>
    </w:p>
    <w:p w14:paraId="19561AB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Średnia grubość dla poszczególnych warstw asfaltowych oraz średnia grubość dla całego pakietu tych warstw powinna być zgodna z grubością przyjętą w projekcie konstrukcji nawierzchni. Jedynie w przypadku pojedynczych wyników pomiarów, grubości wykonanej warstwy oznaczane według PN-EN 12697-36 [45] mogą odbiegać od projektu o wartości podane w tablicy 33.</w:t>
      </w:r>
    </w:p>
    <w:p w14:paraId="174AD07F" w14:textId="77777777" w:rsidR="00955A27" w:rsidRPr="001667DB" w:rsidRDefault="00955A27" w:rsidP="00C03D2F">
      <w:pPr>
        <w:spacing w:before="120" w:after="120" w:line="360" w:lineRule="auto"/>
        <w:ind w:left="992" w:hanging="99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33.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264"/>
        <w:gridCol w:w="2331"/>
      </w:tblGrid>
      <w:tr w:rsidR="00955A27" w:rsidRPr="001667DB" w14:paraId="63A3D7F8" w14:textId="77777777" w:rsidTr="001B4B8F">
        <w:tc>
          <w:tcPr>
            <w:tcW w:w="4644" w:type="dxa"/>
            <w:vAlign w:val="center"/>
          </w:tcPr>
          <w:p w14:paraId="2C2D43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Warunki oceny</w:t>
            </w:r>
          </w:p>
        </w:tc>
        <w:tc>
          <w:tcPr>
            <w:tcW w:w="2264" w:type="dxa"/>
            <w:vAlign w:val="center"/>
          </w:tcPr>
          <w:p w14:paraId="5F8705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Pakiet: warstwa ścieralna+wiążąca +podbudowa asfaltowa razem</w:t>
            </w:r>
          </w:p>
        </w:tc>
        <w:tc>
          <w:tcPr>
            <w:tcW w:w="2331" w:type="dxa"/>
            <w:vAlign w:val="center"/>
          </w:tcPr>
          <w:p w14:paraId="59EC91D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Warstwa podbudowy</w:t>
            </w:r>
          </w:p>
        </w:tc>
      </w:tr>
      <w:tr w:rsidR="00955A27" w:rsidRPr="001667DB" w14:paraId="07EF8D84" w14:textId="77777777" w:rsidTr="001B4B8F">
        <w:trPr>
          <w:trHeight w:val="608"/>
        </w:trPr>
        <w:tc>
          <w:tcPr>
            <w:tcW w:w="4644" w:type="dxa"/>
          </w:tcPr>
          <w:p w14:paraId="1FA13065" w14:textId="77777777" w:rsidR="00955A27" w:rsidRPr="001667DB" w:rsidRDefault="00955A27" w:rsidP="00955A27">
            <w:pPr>
              <w:spacing w:after="120" w:line="360" w:lineRule="auto"/>
              <w:ind w:left="426" w:hanging="426"/>
              <w:rPr>
                <w:rFonts w:ascii="Times New Roman" w:hAnsi="Times New Roman" w:cs="Times New Roman"/>
                <w:color w:val="000000" w:themeColor="text1"/>
              </w:rPr>
            </w:pPr>
            <w:r w:rsidRPr="001667DB">
              <w:rPr>
                <w:rFonts w:ascii="Times New Roman" w:hAnsi="Times New Roman" w:cs="Times New Roman"/>
                <w:color w:val="000000" w:themeColor="text1"/>
              </w:rPr>
              <w:t>Dla wartości średniej grubości wbudowanej warstwy z całego odcinka budowy</w:t>
            </w:r>
          </w:p>
        </w:tc>
        <w:tc>
          <w:tcPr>
            <w:tcW w:w="2264" w:type="dxa"/>
          </w:tcPr>
          <w:p w14:paraId="05CA4A5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dopuszcza się zaniżenia grubości</w:t>
            </w:r>
          </w:p>
        </w:tc>
        <w:tc>
          <w:tcPr>
            <w:tcW w:w="2331" w:type="dxa"/>
          </w:tcPr>
          <w:p w14:paraId="3C93AA0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dopuszcza się zaniżenia grubości</w:t>
            </w:r>
          </w:p>
        </w:tc>
      </w:tr>
      <w:tr w:rsidR="00955A27" w:rsidRPr="001667DB" w14:paraId="3A77DB18" w14:textId="77777777" w:rsidTr="001B4B8F">
        <w:tc>
          <w:tcPr>
            <w:tcW w:w="4644" w:type="dxa"/>
          </w:tcPr>
          <w:p w14:paraId="0C14BDC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Dla wartości pojedynczych wyników pomiarów grubości wbudowanej warstwy</w:t>
            </w:r>
          </w:p>
        </w:tc>
        <w:tc>
          <w:tcPr>
            <w:tcW w:w="2264" w:type="dxa"/>
          </w:tcPr>
          <w:p w14:paraId="12C2017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0÷10%, ale nie więcej niż 1,0 cm</w:t>
            </w:r>
          </w:p>
        </w:tc>
        <w:tc>
          <w:tcPr>
            <w:tcW w:w="2331" w:type="dxa"/>
          </w:tcPr>
          <w:p w14:paraId="37BF219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0÷10%</w:t>
            </w:r>
          </w:p>
        </w:tc>
      </w:tr>
    </w:tbl>
    <w:p w14:paraId="231D07A1" w14:textId="77777777" w:rsidR="00955A27" w:rsidRPr="001667DB" w:rsidRDefault="00955A27" w:rsidP="00C03D2F">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Zwiększone grubości poszczególnych warstw będą zaliczane jako wyrównanie ewentualnych niedoborów niżej leżącej warstwy.</w:t>
      </w:r>
    </w:p>
    <w:p w14:paraId="2BBA722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Należy sprawdzić zachowanie zasady mówiącej, że grubość warstwy musi być co najmniej dwuipółkrotnie większa od wymiaru D kruszywa danej mieszanki (h ≥ 2,5×D).</w:t>
      </w:r>
    </w:p>
    <w:p w14:paraId="2AB9DA4C"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warstwy podbudowy wykonywanej z mieszanki mineralno-asfaltowej o projektowanej grubości powyżej 14 cm dopuszcza się wykonywanie warstwy w dwóch warstwach technologicznych. Warstwy technologiczne muszą być wykonywane z tej samej mieszanki mineralno-asfaltowej, a grubości tych warstw muszą być zbliżone. Wszystkie wymagane wartości parametrów </w:t>
      </w:r>
      <w:r w:rsidRPr="001667DB">
        <w:rPr>
          <w:rFonts w:ascii="Times New Roman" w:hAnsi="Times New Roman" w:cs="Times New Roman"/>
          <w:color w:val="000000" w:themeColor="text1"/>
        </w:rPr>
        <w:lastRenderedPageBreak/>
        <w:t>warstwy podbudowy wykonanej w jednym cyklu (warstwy technologicznej) muszą spełniać wymagania stawiane warstwie podbudowy.</w:t>
      </w:r>
    </w:p>
    <w:p w14:paraId="36F85BD1" w14:textId="77777777" w:rsidR="00955A27" w:rsidRPr="001667DB" w:rsidRDefault="00955A27" w:rsidP="00C03D2F">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6.5.3.</w:t>
      </w:r>
      <w:r w:rsidRPr="001667DB">
        <w:rPr>
          <w:rFonts w:ascii="Times New Roman" w:hAnsi="Times New Roman" w:cs="Times New Roman"/>
          <w:color w:val="000000" w:themeColor="text1"/>
        </w:rPr>
        <w:t xml:space="preserve"> Spadki poprzeczne</w:t>
      </w:r>
    </w:p>
    <w:p w14:paraId="70E74254"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Spadki poprzeczne nawierzchni należy badać nie rzadziej niż co </w:t>
      </w:r>
      <w:smartTag w:uri="urn:schemas-microsoft-com:office:smarttags" w:element="metricconverter">
        <w:smartTagPr>
          <w:attr w:name="ProductID" w:val="20 m"/>
        </w:smartTagPr>
        <w:r w:rsidRPr="001667DB">
          <w:rPr>
            <w:rFonts w:ascii="Times New Roman" w:hAnsi="Times New Roman" w:cs="Times New Roman"/>
            <w:color w:val="000000" w:themeColor="text1"/>
          </w:rPr>
          <w:t>20 m</w:t>
        </w:r>
      </w:smartTag>
      <w:r w:rsidRPr="001667DB">
        <w:rPr>
          <w:rFonts w:ascii="Times New Roman" w:hAnsi="Times New Roman" w:cs="Times New Roman"/>
          <w:color w:val="000000" w:themeColor="text1"/>
        </w:rPr>
        <w:t xml:space="preserve"> oraz w punktach głównych łuków poziomych.</w:t>
      </w:r>
    </w:p>
    <w:p w14:paraId="72E895CF"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powinny być zgodne z dokumentacją projektową, z tolerancją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0,5%.  </w:t>
      </w:r>
    </w:p>
    <w:p w14:paraId="5FC82BCB"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6.5.4.</w:t>
      </w:r>
      <w:r w:rsidRPr="001667DB">
        <w:rPr>
          <w:rFonts w:ascii="Times New Roman" w:hAnsi="Times New Roman" w:cs="Times New Roman"/>
          <w:color w:val="000000" w:themeColor="text1"/>
        </w:rPr>
        <w:t xml:space="preserve"> Równość podłużna i poprzeczna</w:t>
      </w:r>
    </w:p>
    <w:p w14:paraId="1D4505DB"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 Równość podłużna</w:t>
      </w:r>
      <w:r w:rsidRPr="001667DB">
        <w:rPr>
          <w:rFonts w:ascii="Times New Roman" w:hAnsi="Times New Roman" w:cs="Times New Roman"/>
          <w:color w:val="000000" w:themeColor="text1"/>
        </w:rPr>
        <w:tab/>
      </w:r>
    </w:p>
    <w:p w14:paraId="7BFE66BD"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podłużnej podbudowy nawierzchni dróg wszystkich klas należy stosować metodę pomiaru ciągłego równoważną użyciu łaty i klina np. z wykorzystaniem planografu, umożliwiającego wyznaczanie odchyleń równości podłużnej jako największej odległości (prześwitu) pomiędzy teoretyczną linią łączącą spody kółek jezdnych urządzenia a mierzoną powierzchnią warstwy [mm].</w:t>
      </w:r>
    </w:p>
    <w:p w14:paraId="69B86C1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miejscach niedostępnych dla planografu pomiar równości podłużnej warstw nawierzchni należy wykonać w sposób ciągły z użyciem łaty i klina. Długość łaty w pomiarze równości podłużnej powinna wynosić 4 m.</w:t>
      </w:r>
    </w:p>
    <w:p w14:paraId="6317FCA2"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równości podłużnej dla warstwy oznaczone pomiarem ciągłym równoważnym użyciu łaty i klina np. z wykorzystaniem planografu, łaty i klina określa tablica 34.</w:t>
      </w:r>
    </w:p>
    <w:p w14:paraId="2A43AEDD" w14:textId="77777777" w:rsidR="00955A27" w:rsidRPr="001667DB" w:rsidRDefault="00955A27" w:rsidP="00C03D2F">
      <w:pPr>
        <w:tabs>
          <w:tab w:val="left" w:pos="1276"/>
        </w:tabs>
        <w:spacing w:before="120" w:after="120" w:line="360" w:lineRule="auto"/>
        <w:ind w:left="1276" w:hanging="1276"/>
        <w:jc w:val="both"/>
        <w:rPr>
          <w:rFonts w:ascii="Times New Roman" w:hAnsi="Times New Roman" w:cs="Times New Roman"/>
          <w:color w:val="000000" w:themeColor="text1"/>
        </w:rPr>
      </w:pPr>
      <w:r w:rsidRPr="001667DB">
        <w:rPr>
          <w:rFonts w:ascii="Times New Roman" w:hAnsi="Times New Roman" w:cs="Times New Roman"/>
          <w:bCs/>
          <w:color w:val="000000" w:themeColor="text1"/>
        </w:rPr>
        <w:t>Tablica 34.</w:t>
      </w:r>
      <w:r w:rsidRPr="001667DB">
        <w:rPr>
          <w:rFonts w:ascii="Times New Roman" w:hAnsi="Times New Roman" w:cs="Times New Roman"/>
          <w:bCs/>
          <w:color w:val="000000" w:themeColor="text1"/>
        </w:rPr>
        <w:tab/>
        <w:t>Maksymalne wartości odchyleń równości podłużnej dla podbudowy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395"/>
        <w:gridCol w:w="2693"/>
      </w:tblGrid>
      <w:tr w:rsidR="00955A27" w:rsidRPr="001667DB" w14:paraId="22E7F35E" w14:textId="77777777" w:rsidTr="001B4B8F">
        <w:tc>
          <w:tcPr>
            <w:tcW w:w="1809" w:type="dxa"/>
            <w:vAlign w:val="center"/>
          </w:tcPr>
          <w:p w14:paraId="0198303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4395" w:type="dxa"/>
            <w:vAlign w:val="center"/>
          </w:tcPr>
          <w:p w14:paraId="467ECF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693" w:type="dxa"/>
            <w:vAlign w:val="center"/>
          </w:tcPr>
          <w:p w14:paraId="09F1F8F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równości podłużnej warstwy [mm] dla podbudowy</w:t>
            </w:r>
          </w:p>
        </w:tc>
      </w:tr>
      <w:tr w:rsidR="00955A27" w:rsidRPr="001667DB" w14:paraId="7FA10F3E" w14:textId="77777777" w:rsidTr="001B4B8F">
        <w:tc>
          <w:tcPr>
            <w:tcW w:w="1809" w:type="dxa"/>
            <w:vMerge w:val="restart"/>
          </w:tcPr>
          <w:p w14:paraId="3770315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A,S,GP</w:t>
            </w:r>
          </w:p>
        </w:tc>
        <w:tc>
          <w:tcPr>
            <w:tcW w:w="4395" w:type="dxa"/>
          </w:tcPr>
          <w:p w14:paraId="6622C3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awaryjne,</w:t>
            </w:r>
          </w:p>
          <w:p w14:paraId="5EAA7CB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 włączenia i wyłączenia,</w:t>
            </w:r>
          </w:p>
          <w:p w14:paraId="4D7F77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693" w:type="dxa"/>
          </w:tcPr>
          <w:p w14:paraId="2E11E59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r w:rsidR="00955A27" w:rsidRPr="001667DB" w14:paraId="2B565257" w14:textId="77777777" w:rsidTr="001B4B8F">
        <w:tc>
          <w:tcPr>
            <w:tcW w:w="1809" w:type="dxa"/>
            <w:vMerge/>
          </w:tcPr>
          <w:p w14:paraId="60D2AB5E"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395" w:type="dxa"/>
          </w:tcPr>
          <w:p w14:paraId="0D051A1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MOP</w:t>
            </w:r>
          </w:p>
        </w:tc>
        <w:tc>
          <w:tcPr>
            <w:tcW w:w="2693" w:type="dxa"/>
          </w:tcPr>
          <w:p w14:paraId="17C63E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5188839E" w14:textId="77777777" w:rsidTr="001B4B8F">
        <w:tc>
          <w:tcPr>
            <w:tcW w:w="1809" w:type="dxa"/>
          </w:tcPr>
          <w:p w14:paraId="29A18C8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G,Z</w:t>
            </w:r>
          </w:p>
        </w:tc>
        <w:tc>
          <w:tcPr>
            <w:tcW w:w="4395" w:type="dxa"/>
          </w:tcPr>
          <w:p w14:paraId="3599D8D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dodatkowe,</w:t>
            </w:r>
          </w:p>
          <w:p w14:paraId="6A214F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włączenia i wyłączenia, postojowe,</w:t>
            </w:r>
          </w:p>
          <w:p w14:paraId="1AEF25D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693" w:type="dxa"/>
          </w:tcPr>
          <w:p w14:paraId="638A73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6E88F094" w14:textId="77777777" w:rsidTr="001B4B8F">
        <w:tc>
          <w:tcPr>
            <w:tcW w:w="1809" w:type="dxa"/>
          </w:tcPr>
          <w:p w14:paraId="7D2E149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L,D, place parkingi, </w:t>
            </w:r>
          </w:p>
        </w:tc>
        <w:tc>
          <w:tcPr>
            <w:tcW w:w="4395" w:type="dxa"/>
          </w:tcPr>
          <w:p w14:paraId="6BD80C8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Wszystkie pasy ruchu i powierzchnie przeznaczone do ruchu i postoju pojazdów</w:t>
            </w:r>
          </w:p>
        </w:tc>
        <w:tc>
          <w:tcPr>
            <w:tcW w:w="2693" w:type="dxa"/>
          </w:tcPr>
          <w:p w14:paraId="5A64F7F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bl>
    <w:p w14:paraId="16824CAA" w14:textId="77777777" w:rsidR="00955A27" w:rsidRPr="001667DB" w:rsidRDefault="00955A27" w:rsidP="00C03D2F">
      <w:pPr>
        <w:spacing w:before="120" w:after="120" w:line="360" w:lineRule="auto"/>
        <w:ind w:left="66"/>
        <w:jc w:val="both"/>
        <w:rPr>
          <w:rFonts w:ascii="Times New Roman" w:hAnsi="Times New Roman" w:cs="Times New Roman"/>
          <w:color w:val="000000" w:themeColor="text1"/>
        </w:rPr>
      </w:pPr>
      <w:r w:rsidRPr="001667DB">
        <w:rPr>
          <w:rFonts w:ascii="Times New Roman" w:hAnsi="Times New Roman" w:cs="Times New Roman"/>
          <w:color w:val="000000" w:themeColor="text1"/>
        </w:rPr>
        <w:t>b) Równość poprzeczna</w:t>
      </w:r>
    </w:p>
    <w:p w14:paraId="1FC3C2A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poprzecznej warstw nawierzchni dróg wszystkich klas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14:paraId="340EDFDA"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miejscach niedostępnych dla profilografu pomiar równości poprzecznej warstw nawierzchni należy wykonać z użyciem łaty i klina. Długość łaty w pomiarze równości poprzecznej powinna wynosić 2 m. Pomiar powinien być wykonywany nie rzadziej niż co 5 m.</w:t>
      </w:r>
    </w:p>
    <w:p w14:paraId="39AE729B"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równości poprzecznej określa tablica 35.</w:t>
      </w:r>
    </w:p>
    <w:p w14:paraId="746F77ED"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Cs/>
          <w:color w:val="000000" w:themeColor="text1"/>
        </w:rPr>
        <w:t>Tablica 35. Maksymalne wartości odchyleń równości poprzecznej dla podbudowy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395"/>
        <w:gridCol w:w="2693"/>
      </w:tblGrid>
      <w:tr w:rsidR="00955A27" w:rsidRPr="001667DB" w14:paraId="3AFF0BDB" w14:textId="77777777" w:rsidTr="001B4B8F">
        <w:tc>
          <w:tcPr>
            <w:tcW w:w="1809" w:type="dxa"/>
            <w:vAlign w:val="center"/>
          </w:tcPr>
          <w:p w14:paraId="7358B43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4395" w:type="dxa"/>
            <w:vAlign w:val="center"/>
          </w:tcPr>
          <w:p w14:paraId="2D0651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693" w:type="dxa"/>
            <w:vAlign w:val="center"/>
          </w:tcPr>
          <w:p w14:paraId="667F417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równości poprzecznej warstwy [mm] dla podbudowy</w:t>
            </w:r>
          </w:p>
        </w:tc>
      </w:tr>
      <w:tr w:rsidR="00955A27" w:rsidRPr="001667DB" w14:paraId="31789160" w14:textId="77777777" w:rsidTr="001B4B8F">
        <w:tc>
          <w:tcPr>
            <w:tcW w:w="1809" w:type="dxa"/>
            <w:vMerge w:val="restart"/>
          </w:tcPr>
          <w:p w14:paraId="6576AF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A,S,GP</w:t>
            </w:r>
          </w:p>
        </w:tc>
        <w:tc>
          <w:tcPr>
            <w:tcW w:w="4395" w:type="dxa"/>
          </w:tcPr>
          <w:p w14:paraId="152614B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awaryjne,</w:t>
            </w:r>
          </w:p>
          <w:p w14:paraId="70F54A2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 włączenia i wyłączenia,</w:t>
            </w:r>
          </w:p>
          <w:p w14:paraId="0D2BAC2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693" w:type="dxa"/>
          </w:tcPr>
          <w:p w14:paraId="5F789EF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r w:rsidR="00955A27" w:rsidRPr="001667DB" w14:paraId="432623C5" w14:textId="77777777" w:rsidTr="001B4B8F">
        <w:tc>
          <w:tcPr>
            <w:tcW w:w="1809" w:type="dxa"/>
            <w:vMerge/>
          </w:tcPr>
          <w:p w14:paraId="796DE99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395" w:type="dxa"/>
          </w:tcPr>
          <w:p w14:paraId="08A623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MOP</w:t>
            </w:r>
          </w:p>
        </w:tc>
        <w:tc>
          <w:tcPr>
            <w:tcW w:w="2693" w:type="dxa"/>
          </w:tcPr>
          <w:p w14:paraId="68A954C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06F38216" w14:textId="77777777" w:rsidTr="001B4B8F">
        <w:tc>
          <w:tcPr>
            <w:tcW w:w="1809" w:type="dxa"/>
          </w:tcPr>
          <w:p w14:paraId="29370F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G,Z</w:t>
            </w:r>
          </w:p>
        </w:tc>
        <w:tc>
          <w:tcPr>
            <w:tcW w:w="4395" w:type="dxa"/>
          </w:tcPr>
          <w:p w14:paraId="4055319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dodatkowe,</w:t>
            </w:r>
          </w:p>
          <w:p w14:paraId="1F5D0A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włączenia i wyłączenia, postojowe,</w:t>
            </w:r>
          </w:p>
          <w:p w14:paraId="4F74789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693" w:type="dxa"/>
          </w:tcPr>
          <w:p w14:paraId="42425C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r w:rsidR="00955A27" w:rsidRPr="001667DB" w14:paraId="4514F0C5" w14:textId="77777777" w:rsidTr="001B4B8F">
        <w:tc>
          <w:tcPr>
            <w:tcW w:w="1809" w:type="dxa"/>
          </w:tcPr>
          <w:p w14:paraId="46D229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L,D, place parkingi, </w:t>
            </w:r>
          </w:p>
        </w:tc>
        <w:tc>
          <w:tcPr>
            <w:tcW w:w="4395" w:type="dxa"/>
          </w:tcPr>
          <w:p w14:paraId="079D9D2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Wszystkie pasy ruchu i powierzchnie przeznaczone do ruchu i postoju pojazdów</w:t>
            </w:r>
          </w:p>
        </w:tc>
        <w:tc>
          <w:tcPr>
            <w:tcW w:w="2693" w:type="dxa"/>
          </w:tcPr>
          <w:p w14:paraId="44A33AD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bl>
    <w:p w14:paraId="4F6584EA" w14:textId="77777777" w:rsidR="00955A27" w:rsidRPr="001667DB" w:rsidRDefault="00955A27" w:rsidP="00955A27">
      <w:pPr>
        <w:spacing w:after="120" w:line="360" w:lineRule="auto"/>
        <w:rPr>
          <w:rFonts w:ascii="Times New Roman" w:hAnsi="Times New Roman" w:cs="Times New Roman"/>
          <w:color w:val="000000" w:themeColor="text1"/>
        </w:rPr>
      </w:pPr>
    </w:p>
    <w:p w14:paraId="04A8EC90" w14:textId="77777777" w:rsidR="00955A27" w:rsidRPr="001667DB" w:rsidRDefault="00955A27" w:rsidP="00C03D2F">
      <w:pPr>
        <w:keepNext/>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6.5.5.</w:t>
      </w:r>
      <w:r w:rsidRPr="001667DB">
        <w:rPr>
          <w:rFonts w:ascii="Times New Roman" w:hAnsi="Times New Roman" w:cs="Times New Roman"/>
          <w:color w:val="000000" w:themeColor="text1"/>
        </w:rPr>
        <w:t xml:space="preserve"> Złącza technologiczne </w:t>
      </w:r>
    </w:p>
    <w:p w14:paraId="5F8804D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podłużne i poprzeczne, sprawdzone wizualnie, powinny być równe i związane, wykonane w linii prostej, równolegle lub prostopadle do osi drogi. Przylegające warstwy powinny być w jednym poziomie.</w:t>
      </w:r>
    </w:p>
    <w:p w14:paraId="002E6C40" w14:textId="77777777" w:rsidR="00955A27" w:rsidRPr="001667DB" w:rsidRDefault="00955A27" w:rsidP="00C03D2F">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6.5.6.</w:t>
      </w:r>
      <w:r w:rsidRPr="001667DB">
        <w:rPr>
          <w:rFonts w:ascii="Times New Roman" w:hAnsi="Times New Roman" w:cs="Times New Roman"/>
          <w:color w:val="000000" w:themeColor="text1"/>
        </w:rPr>
        <w:t xml:space="preserve"> Szerokość warstwy </w:t>
      </w:r>
    </w:p>
    <w:p w14:paraId="0FFB72F3" w14:textId="77777777" w:rsidR="00955A27" w:rsidRPr="001667DB" w:rsidRDefault="00955A27" w:rsidP="00C03D2F">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Szerokość warstwy, mierzona 10 razy na </w:t>
      </w:r>
      <w:smartTag w:uri="urn:schemas-microsoft-com:office:smarttags" w:element="metricconverter">
        <w:smartTagPr>
          <w:attr w:name="ProductID" w:val="1 km"/>
        </w:smartTagPr>
        <w:r w:rsidRPr="001667DB">
          <w:rPr>
            <w:rFonts w:ascii="Times New Roman" w:hAnsi="Times New Roman" w:cs="Times New Roman"/>
            <w:color w:val="000000" w:themeColor="text1"/>
          </w:rPr>
          <w:t>1 km</w:t>
        </w:r>
      </w:smartTag>
      <w:r w:rsidRPr="001667DB">
        <w:rPr>
          <w:rFonts w:ascii="Times New Roman" w:hAnsi="Times New Roman" w:cs="Times New Roman"/>
          <w:color w:val="000000" w:themeColor="text1"/>
        </w:rPr>
        <w:t xml:space="preserve"> każdej jezdni powinna być zgodna z dokumentacją projektową, z tolerancją  w zakresie od 0 do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 przy czym szerokość warstwy wiążącej powinna być odpowiednio szersza, tak aby stanowiła odsadzkę dla warstwy ścieralnej. W przypadku wyprofilowanej ukośnej krawędzi szerokość należy mierzyć w środku linii skosu.</w:t>
      </w:r>
    </w:p>
    <w:p w14:paraId="3C758163" w14:textId="77777777" w:rsidR="00955A27" w:rsidRPr="001667DB" w:rsidRDefault="00955A27" w:rsidP="00C03D2F">
      <w:pPr>
        <w:keepNext/>
        <w:numPr>
          <w:ilvl w:val="12"/>
          <w:numId w:val="0"/>
        </w:num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6.5.7.</w:t>
      </w:r>
      <w:r w:rsidRPr="001667DB">
        <w:rPr>
          <w:rFonts w:ascii="Times New Roman" w:hAnsi="Times New Roman" w:cs="Times New Roman"/>
          <w:color w:val="000000" w:themeColor="text1"/>
        </w:rPr>
        <w:t xml:space="preserve"> Rzędne wysokościowe </w:t>
      </w:r>
    </w:p>
    <w:p w14:paraId="02F18226"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mierzone co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na prostych i co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na osi podłużnej i krawędziach, powinny być zgodne z dokumentacją projektową, z dopuszczalną tolerancją      ± </w:t>
      </w:r>
      <w:smartTag w:uri="urn:schemas-microsoft-com:office:smarttags" w:element="metricconverter">
        <w:smartTagPr>
          <w:attr w:name="ProductID" w:val="1 cm"/>
        </w:smartTagPr>
        <w:r w:rsidRPr="001667DB">
          <w:rPr>
            <w:rFonts w:ascii="Times New Roman" w:hAnsi="Times New Roman" w:cs="Times New Roman"/>
            <w:color w:val="000000" w:themeColor="text1"/>
          </w:rPr>
          <w:t>1 cm</w:t>
        </w:r>
      </w:smartTag>
      <w:r w:rsidRPr="001667DB">
        <w:rPr>
          <w:rFonts w:ascii="Times New Roman" w:hAnsi="Times New Roman" w:cs="Times New Roman"/>
          <w:color w:val="000000" w:themeColor="text1"/>
        </w:rPr>
        <w:t>, przy czym co najmniej 95% wykonanych pomiarów nie może przekraczać przedziału dopuszczalnych odchyleń.</w:t>
      </w:r>
    </w:p>
    <w:p w14:paraId="061AA6ED" w14:textId="77777777" w:rsidR="00955A27" w:rsidRPr="001667DB" w:rsidRDefault="00955A27" w:rsidP="00C03D2F">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6.5. 8.</w:t>
      </w:r>
      <w:r w:rsidRPr="001667DB">
        <w:rPr>
          <w:rFonts w:ascii="Times New Roman" w:hAnsi="Times New Roman" w:cs="Times New Roman"/>
          <w:color w:val="000000" w:themeColor="text1"/>
        </w:rPr>
        <w:t xml:space="preserve"> Ukształtowanie osi w planie </w:t>
      </w:r>
    </w:p>
    <w:p w14:paraId="478291A4"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mierzone co </w:t>
      </w:r>
      <w:smartTag w:uri="urn:schemas-microsoft-com:office:smarttags" w:element="metricconverter">
        <w:smartTagPr>
          <w:attr w:name="ProductID" w:val="100 m"/>
        </w:smartTagPr>
        <w:r w:rsidRPr="001667DB">
          <w:rPr>
            <w:rFonts w:ascii="Times New Roman" w:hAnsi="Times New Roman" w:cs="Times New Roman"/>
            <w:color w:val="000000" w:themeColor="text1"/>
          </w:rPr>
          <w:t>100 m</w:t>
        </w:r>
      </w:smartTag>
      <w:r w:rsidRPr="001667DB">
        <w:rPr>
          <w:rFonts w:ascii="Times New Roman" w:hAnsi="Times New Roman" w:cs="Times New Roman"/>
          <w:color w:val="000000" w:themeColor="text1"/>
        </w:rPr>
        <w:t xml:space="preserve">, nie powinno różnić się od dokumentacji projektowej o więcej niż ±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w:t>
      </w:r>
    </w:p>
    <w:p w14:paraId="771A0C3E" w14:textId="77777777" w:rsidR="00955A27" w:rsidRPr="001667DB" w:rsidRDefault="00955A27" w:rsidP="00C03D2F">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6.5.9.</w:t>
      </w:r>
      <w:r w:rsidRPr="001667DB">
        <w:rPr>
          <w:rFonts w:ascii="Times New Roman" w:hAnsi="Times New Roman" w:cs="Times New Roman"/>
          <w:color w:val="000000" w:themeColor="text1"/>
        </w:rPr>
        <w:t xml:space="preserve"> Ocena wizualna warstwy </w:t>
      </w:r>
    </w:p>
    <w:p w14:paraId="3D54A8F9"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Wygląd zewnętrzny warstwy, sprawdzony wizualnie, powinien być jednorodny, bez spękań, deformacji, plam i wykruszeń.</w:t>
      </w:r>
    </w:p>
    <w:p w14:paraId="73E33B6F"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6.6. Badania kontrolne dodatkowe</w:t>
      </w:r>
    </w:p>
    <w:p w14:paraId="6F6C0F80"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wypadku uznania, że jeden z wyników badań kontrolnych nie jest reprezentatywny dla ocenianego odcinka budowy, Wykonawca ma prawo żądać przeprowadzenia badań kontrolnych dodatkowych.</w:t>
      </w:r>
    </w:p>
    <w:p w14:paraId="1F9B9D35"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2FEACFE6"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odbioru uwzględniane są wyniki badań kontrolnych i badań kontrolnych dodatkowych do wyznaczonych odcinków częściowych.</w:t>
      </w:r>
    </w:p>
    <w:p w14:paraId="5E3675A2"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Koszty badań kontrolnych dodatkowych zażądanych przez Wykonawcę ponosi Wykonawca.</w:t>
      </w:r>
    </w:p>
    <w:p w14:paraId="6A4BA1D7"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lastRenderedPageBreak/>
        <w:t>6.7. Badania arbitrażowe</w:t>
      </w:r>
    </w:p>
    <w:p w14:paraId="728C94B6"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arbitrażowe są powtórzeniem badań kontrolnych, co do których istnieją uzasadnione wątpliwości ze strony Inżyniera lub Wykonawcy (np. na podstawie własnych badań).</w:t>
      </w:r>
    </w:p>
    <w:p w14:paraId="163201A1"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arbitrażowe wykonuje na wniosek strony kontraktu niezależne laboratorium, które nie wykonywało badań kontrolnych.</w:t>
      </w:r>
    </w:p>
    <w:p w14:paraId="17754C8A"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Koszty badań arbitrażowych wraz ze wszystkimi kosztami ubocznymi ponosi strona, na której niekorzyść przemawia wynik badania.</w:t>
      </w:r>
    </w:p>
    <w:p w14:paraId="0A0615D0" w14:textId="77777777" w:rsidR="00955A27" w:rsidRPr="00326BBF" w:rsidRDefault="00955A27" w:rsidP="00C03D2F">
      <w:pPr>
        <w:pStyle w:val="Nagwek1"/>
        <w:spacing w:line="360" w:lineRule="auto"/>
        <w:jc w:val="both"/>
        <w:rPr>
          <w:color w:val="000000" w:themeColor="text1"/>
          <w:sz w:val="22"/>
          <w:szCs w:val="22"/>
          <w:lang w:val="pl-PL"/>
        </w:rPr>
      </w:pPr>
      <w:bookmarkStart w:id="450" w:name="_Toc413234109"/>
      <w:r w:rsidRPr="00326BBF">
        <w:rPr>
          <w:color w:val="000000" w:themeColor="text1"/>
          <w:sz w:val="22"/>
          <w:szCs w:val="22"/>
          <w:lang w:val="pl-PL"/>
        </w:rPr>
        <w:t>7. Obmiar robót</w:t>
      </w:r>
      <w:bookmarkEnd w:id="450"/>
    </w:p>
    <w:p w14:paraId="267F9193"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7.1. Ogólne zasady obmiaru robót</w:t>
      </w:r>
    </w:p>
    <w:p w14:paraId="0700730C"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D-M-00.00.00 „Wymagania ogólne” [1] pkt 7.</w:t>
      </w:r>
    </w:p>
    <w:p w14:paraId="374A4124"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7.2. Jednostka obmiarowa</w:t>
      </w:r>
    </w:p>
    <w:p w14:paraId="36B1DB3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 podbudowy z betonu asfaltowego (ACP).</w:t>
      </w:r>
    </w:p>
    <w:p w14:paraId="6034B935" w14:textId="77777777" w:rsidR="00955A27" w:rsidRPr="00326BBF" w:rsidRDefault="00955A27" w:rsidP="00C03D2F">
      <w:pPr>
        <w:pStyle w:val="Nagwek1"/>
        <w:spacing w:line="360" w:lineRule="auto"/>
        <w:jc w:val="both"/>
        <w:rPr>
          <w:color w:val="000000" w:themeColor="text1"/>
          <w:sz w:val="22"/>
          <w:szCs w:val="22"/>
          <w:lang w:val="pl-PL"/>
        </w:rPr>
      </w:pPr>
      <w:bookmarkStart w:id="451" w:name="_Toc413234110"/>
      <w:r w:rsidRPr="00326BBF">
        <w:rPr>
          <w:color w:val="000000" w:themeColor="text1"/>
          <w:sz w:val="22"/>
          <w:szCs w:val="22"/>
          <w:lang w:val="pl-PL"/>
        </w:rPr>
        <w:t>8. Odbiór robót</w:t>
      </w:r>
      <w:bookmarkEnd w:id="451"/>
    </w:p>
    <w:p w14:paraId="61B1FE5E"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Ogólne zasady odbioru robót podano w ST  D-M-00.00.00 „Wymagania ogólne” [1], pkt 8.</w:t>
      </w:r>
    </w:p>
    <w:p w14:paraId="04784D5E"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pktu 6 dały wyniki pozytywne.</w:t>
      </w:r>
    </w:p>
    <w:p w14:paraId="163CD43C"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 xml:space="preserve">8.1. Zasady postępowania z wadliwie wykonanymi robotami </w:t>
      </w:r>
    </w:p>
    <w:p w14:paraId="36A6C768"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wystąpią wyniki negatywne dla materiałów i robót, to Zamawiający wydaje Wykonawcy polecenie przedstawienia programu naprawczego, chyba że zostaną wykonane badania lub pomiary arbitrażowe, a ich wyniki będą pozytywne. Wykonawca w programie tym jest zobowiązany dokonać oceny wpływu na trwałość konstrukcji nawierzchni i przedstawić sposób naprawienia wady. </w:t>
      </w:r>
    </w:p>
    <w:p w14:paraId="373CB0CE"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braku zgody Zamawiającego na zastosowanie programu naprawczego wszystkie materiały i roboty nie spełniające wymagań podanych w ST zostaną odrzucone. Wykonawca wymieni materiały na właściwe i wykona prawidłowo roboty. </w:t>
      </w:r>
    </w:p>
    <w:p w14:paraId="2E57A860" w14:textId="77777777" w:rsidR="00955A27" w:rsidRPr="001667DB" w:rsidRDefault="00955A27" w:rsidP="00C03D2F">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wymiana materiałów niespełniających wymagań lub wadliwie wykonane roboty spowodowują szkodę w innych, prawidłowo wykonanych robotach, to również te roboty powinny być ponownie wykonane przez Wykonawcę.</w:t>
      </w:r>
    </w:p>
    <w:p w14:paraId="73E34709" w14:textId="77777777" w:rsidR="00955A27" w:rsidRPr="00326BBF" w:rsidRDefault="00955A27" w:rsidP="00C03D2F">
      <w:pPr>
        <w:pStyle w:val="Nagwek1"/>
        <w:spacing w:line="360" w:lineRule="auto"/>
        <w:jc w:val="both"/>
        <w:rPr>
          <w:color w:val="000000" w:themeColor="text1"/>
          <w:sz w:val="22"/>
          <w:szCs w:val="22"/>
          <w:lang w:val="pl-PL"/>
        </w:rPr>
      </w:pPr>
      <w:bookmarkStart w:id="452" w:name="_Toc413234111"/>
      <w:r w:rsidRPr="00326BBF">
        <w:rPr>
          <w:color w:val="000000" w:themeColor="text1"/>
          <w:sz w:val="22"/>
          <w:szCs w:val="22"/>
          <w:lang w:val="pl-PL"/>
        </w:rPr>
        <w:lastRenderedPageBreak/>
        <w:t>9. Podstawa płatności</w:t>
      </w:r>
      <w:bookmarkEnd w:id="452"/>
    </w:p>
    <w:p w14:paraId="71290E24"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9.1. Ogólne ustalenia dotyczące podstawy płatności</w:t>
      </w:r>
    </w:p>
    <w:p w14:paraId="4F106E3E"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D-M-00.00.00 „Wymagania ogólne” [1] pkt 9.</w:t>
      </w:r>
    </w:p>
    <w:p w14:paraId="44622168" w14:textId="77777777" w:rsidR="00955A27" w:rsidRPr="001667DB" w:rsidRDefault="00955A27" w:rsidP="00C03D2F">
      <w:pPr>
        <w:pStyle w:val="Nagwek2"/>
        <w:numPr>
          <w:ilvl w:val="12"/>
          <w:numId w:val="0"/>
        </w:numPr>
        <w:spacing w:line="360" w:lineRule="auto"/>
        <w:jc w:val="both"/>
        <w:rPr>
          <w:color w:val="000000" w:themeColor="text1"/>
          <w:sz w:val="22"/>
          <w:szCs w:val="22"/>
        </w:rPr>
      </w:pPr>
      <w:r w:rsidRPr="001667DB">
        <w:rPr>
          <w:color w:val="000000" w:themeColor="text1"/>
          <w:sz w:val="22"/>
          <w:szCs w:val="22"/>
        </w:rPr>
        <w:t>9.2. Cena jednostki obmiarowej</w:t>
      </w:r>
    </w:p>
    <w:p w14:paraId="03A8674E" w14:textId="77777777" w:rsidR="00955A27" w:rsidRPr="001667DB" w:rsidRDefault="00955A27" w:rsidP="00C03D2F">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Cena wykonania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warstwy podbudowy z betonu asfaltowego (AC P) obejmuje:</w:t>
      </w:r>
    </w:p>
    <w:p w14:paraId="6E8FCA9D"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1D5CDA7B"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0E365476"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oczyszczenie i skropienie podłoża,</w:t>
      </w:r>
    </w:p>
    <w:p w14:paraId="5552FA0C"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6B4F8DA0"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opracowanie recepty laboratoryjnej,</w:t>
      </w:r>
    </w:p>
    <w:p w14:paraId="65F92936"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próby technologicznej i odcinka próbnego,</w:t>
      </w:r>
    </w:p>
    <w:p w14:paraId="22AEE0A6"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wyprodukowanie mieszanki betonu asfaltowego i jej transport na miejsce wbudowania,</w:t>
      </w:r>
    </w:p>
    <w:p w14:paraId="29ED0697"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posmarowanie lepiszczem lub pokrycie taśmą asfaltową krawędzi urządzeń obcych i krawężników,</w:t>
      </w:r>
    </w:p>
    <w:p w14:paraId="052290DF"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rozłożenie i zagęszczenie mieszanki betonu asfaltowego,</w:t>
      </w:r>
    </w:p>
    <w:p w14:paraId="1A1C6F77"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obcięcie krawędzi i posmarowanie lepiszczem,</w:t>
      </w:r>
    </w:p>
    <w:p w14:paraId="4FECE166"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specyfikacji technicznej,</w:t>
      </w:r>
    </w:p>
    <w:p w14:paraId="4D8FF699"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b/>
          <w:color w:val="000000" w:themeColor="text1"/>
        </w:rPr>
      </w:pPr>
      <w:r w:rsidRPr="001667DB">
        <w:rPr>
          <w:rFonts w:ascii="Times New Roman" w:hAnsi="Times New Roman" w:cs="Times New Roman"/>
          <w:color w:val="000000" w:themeColor="text1"/>
        </w:rPr>
        <w:t>odwiezienie sprzętu.</w:t>
      </w:r>
    </w:p>
    <w:p w14:paraId="26F41EAE" w14:textId="77777777" w:rsidR="00955A27" w:rsidRPr="001667DB" w:rsidRDefault="00955A27" w:rsidP="00C03D2F">
      <w:pPr>
        <w:pStyle w:val="Nagwek2"/>
        <w:spacing w:line="360" w:lineRule="auto"/>
        <w:jc w:val="both"/>
        <w:rPr>
          <w:color w:val="000000" w:themeColor="text1"/>
          <w:sz w:val="22"/>
          <w:szCs w:val="22"/>
        </w:rPr>
      </w:pPr>
      <w:r w:rsidRPr="001667DB">
        <w:rPr>
          <w:color w:val="000000" w:themeColor="text1"/>
          <w:sz w:val="22"/>
          <w:szCs w:val="22"/>
        </w:rPr>
        <w:t>9.3. Sposób rozliczenia robót tymczasowych i prac towarzyszących</w:t>
      </w:r>
    </w:p>
    <w:p w14:paraId="7E49BD8B" w14:textId="77777777" w:rsidR="00955A27" w:rsidRPr="001667DB" w:rsidRDefault="00955A27" w:rsidP="00C03D2F">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6DF97082" w14:textId="77777777" w:rsidR="00955A27" w:rsidRPr="001667DB" w:rsidRDefault="00955A27" w:rsidP="00C03D2F">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155E248A" w14:textId="77777777" w:rsidR="00955A27" w:rsidRPr="001667DB" w:rsidRDefault="00955A27" w:rsidP="00F55914">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57AC789B" w14:textId="77777777" w:rsidR="00955A27" w:rsidRPr="00326BBF" w:rsidRDefault="00955A27" w:rsidP="00955A27">
      <w:pPr>
        <w:pStyle w:val="Nagwek1"/>
        <w:spacing w:line="360" w:lineRule="auto"/>
        <w:rPr>
          <w:color w:val="000000" w:themeColor="text1"/>
          <w:sz w:val="22"/>
          <w:szCs w:val="22"/>
          <w:lang w:val="pl-PL"/>
        </w:rPr>
      </w:pPr>
      <w:bookmarkStart w:id="453" w:name="_Toc413234112"/>
      <w:r w:rsidRPr="00326BBF">
        <w:rPr>
          <w:color w:val="000000" w:themeColor="text1"/>
          <w:sz w:val="22"/>
          <w:szCs w:val="22"/>
          <w:lang w:val="pl-PL"/>
        </w:rPr>
        <w:t>10. Przepisy związane</w:t>
      </w:r>
      <w:bookmarkEnd w:id="453"/>
    </w:p>
    <w:p w14:paraId="0E9BAE2D"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10.1. Specyfikacje techniczne (ST)</w:t>
      </w:r>
    </w:p>
    <w:tbl>
      <w:tblPr>
        <w:tblW w:w="0" w:type="auto"/>
        <w:tblLayout w:type="fixed"/>
        <w:tblCellMar>
          <w:left w:w="70" w:type="dxa"/>
          <w:right w:w="70" w:type="dxa"/>
        </w:tblCellMar>
        <w:tblLook w:val="0000" w:firstRow="0" w:lastRow="0" w:firstColumn="0" w:lastColumn="0" w:noHBand="0" w:noVBand="0"/>
      </w:tblPr>
      <w:tblGrid>
        <w:gridCol w:w="637"/>
        <w:gridCol w:w="1953"/>
        <w:gridCol w:w="6240"/>
      </w:tblGrid>
      <w:tr w:rsidR="00955A27" w:rsidRPr="001667DB" w14:paraId="0A65DAB0" w14:textId="77777777">
        <w:tc>
          <w:tcPr>
            <w:tcW w:w="637" w:type="dxa"/>
          </w:tcPr>
          <w:p w14:paraId="05759B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953" w:type="dxa"/>
          </w:tcPr>
          <w:p w14:paraId="0BEDEFC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D-M-00.00.00</w:t>
            </w:r>
          </w:p>
        </w:tc>
        <w:tc>
          <w:tcPr>
            <w:tcW w:w="6240" w:type="dxa"/>
          </w:tcPr>
          <w:p w14:paraId="4213BDD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bl>
    <w:p w14:paraId="00834AAA"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lastRenderedPageBreak/>
        <w:t>Normy</w:t>
      </w:r>
    </w:p>
    <w:p w14:paraId="47D3FC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(Zestawienie zawiera dodatkowo normy PN-EN związane z badaniami materiałów występujących w niniejszej ST)</w:t>
      </w:r>
    </w:p>
    <w:tbl>
      <w:tblPr>
        <w:tblW w:w="0" w:type="auto"/>
        <w:tblLayout w:type="fixed"/>
        <w:tblLook w:val="01E0" w:firstRow="1" w:lastRow="1" w:firstColumn="1" w:lastColumn="1" w:noHBand="0" w:noVBand="0"/>
      </w:tblPr>
      <w:tblGrid>
        <w:gridCol w:w="675"/>
        <w:gridCol w:w="1985"/>
        <w:gridCol w:w="6237"/>
      </w:tblGrid>
      <w:tr w:rsidR="00955A27" w:rsidRPr="001667DB" w14:paraId="09F4A503" w14:textId="77777777" w:rsidTr="001B4B8F">
        <w:tc>
          <w:tcPr>
            <w:tcW w:w="675" w:type="dxa"/>
          </w:tcPr>
          <w:p w14:paraId="2A7C437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985" w:type="dxa"/>
          </w:tcPr>
          <w:p w14:paraId="7C34605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196-2</w:t>
            </w:r>
          </w:p>
        </w:tc>
        <w:tc>
          <w:tcPr>
            <w:tcW w:w="6237" w:type="dxa"/>
          </w:tcPr>
          <w:p w14:paraId="0060504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Metody badania cementu - Część 2: Analiza chemiczna cementu</w:t>
            </w:r>
          </w:p>
        </w:tc>
      </w:tr>
      <w:tr w:rsidR="00955A27" w:rsidRPr="001667DB" w14:paraId="164536F1" w14:textId="77777777" w:rsidTr="001B4B8F">
        <w:tc>
          <w:tcPr>
            <w:tcW w:w="675" w:type="dxa"/>
          </w:tcPr>
          <w:p w14:paraId="096B292E"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985" w:type="dxa"/>
          </w:tcPr>
          <w:p w14:paraId="6F1777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459-2</w:t>
            </w:r>
          </w:p>
        </w:tc>
        <w:tc>
          <w:tcPr>
            <w:tcW w:w="6237" w:type="dxa"/>
          </w:tcPr>
          <w:p w14:paraId="7249DA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Wapno budowlane – Część 2: Metody badań</w:t>
            </w:r>
          </w:p>
        </w:tc>
      </w:tr>
      <w:tr w:rsidR="00955A27" w:rsidRPr="001667DB" w14:paraId="7FD72019" w14:textId="77777777" w:rsidTr="001B4B8F">
        <w:tc>
          <w:tcPr>
            <w:tcW w:w="675" w:type="dxa"/>
          </w:tcPr>
          <w:p w14:paraId="78596F9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985" w:type="dxa"/>
          </w:tcPr>
          <w:p w14:paraId="1A1C302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932-3</w:t>
            </w:r>
          </w:p>
        </w:tc>
        <w:tc>
          <w:tcPr>
            <w:tcW w:w="6237" w:type="dxa"/>
          </w:tcPr>
          <w:p w14:paraId="467133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podstawowych właściwości kruszyw – Procedura i terminologia uproszczonego opisu petrograficznego</w:t>
            </w:r>
          </w:p>
        </w:tc>
      </w:tr>
      <w:tr w:rsidR="00955A27" w:rsidRPr="001667DB" w14:paraId="4C9CA903" w14:textId="77777777" w:rsidTr="001B4B8F">
        <w:tc>
          <w:tcPr>
            <w:tcW w:w="675" w:type="dxa"/>
          </w:tcPr>
          <w:p w14:paraId="7AF7532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985" w:type="dxa"/>
          </w:tcPr>
          <w:p w14:paraId="7D3D9A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w:t>
            </w:r>
          </w:p>
        </w:tc>
        <w:tc>
          <w:tcPr>
            <w:tcW w:w="6237" w:type="dxa"/>
          </w:tcPr>
          <w:p w14:paraId="3F521F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1: Oznaczanie składu ziarnowego – Metoda przesiewania</w:t>
            </w:r>
          </w:p>
        </w:tc>
      </w:tr>
      <w:tr w:rsidR="00955A27" w:rsidRPr="001667DB" w14:paraId="6652F247" w14:textId="77777777" w:rsidTr="001B4B8F">
        <w:tc>
          <w:tcPr>
            <w:tcW w:w="675" w:type="dxa"/>
          </w:tcPr>
          <w:p w14:paraId="310CC87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985" w:type="dxa"/>
          </w:tcPr>
          <w:p w14:paraId="5274023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933-3</w:t>
            </w:r>
          </w:p>
        </w:tc>
        <w:tc>
          <w:tcPr>
            <w:tcW w:w="6237" w:type="dxa"/>
          </w:tcPr>
          <w:p w14:paraId="478577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3: Oznaczanie kształtu ziarn za pomocą wskaźnika płaskości</w:t>
            </w:r>
          </w:p>
        </w:tc>
      </w:tr>
      <w:tr w:rsidR="00955A27" w:rsidRPr="001667DB" w14:paraId="215189C9" w14:textId="77777777" w:rsidTr="001B4B8F">
        <w:tc>
          <w:tcPr>
            <w:tcW w:w="675" w:type="dxa"/>
          </w:tcPr>
          <w:p w14:paraId="17258E1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985" w:type="dxa"/>
          </w:tcPr>
          <w:p w14:paraId="16C8212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933-4</w:t>
            </w:r>
          </w:p>
        </w:tc>
        <w:tc>
          <w:tcPr>
            <w:tcW w:w="6237" w:type="dxa"/>
          </w:tcPr>
          <w:p w14:paraId="16ADB6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4: Oznaczanie kształtu ziarn – Wskaźnik kształtu</w:t>
            </w:r>
          </w:p>
        </w:tc>
      </w:tr>
      <w:tr w:rsidR="00955A27" w:rsidRPr="001667DB" w14:paraId="7866313E" w14:textId="77777777" w:rsidTr="001B4B8F">
        <w:tc>
          <w:tcPr>
            <w:tcW w:w="675" w:type="dxa"/>
          </w:tcPr>
          <w:p w14:paraId="501FAC4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1985" w:type="dxa"/>
          </w:tcPr>
          <w:p w14:paraId="6A1FF0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933-5</w:t>
            </w:r>
          </w:p>
        </w:tc>
        <w:tc>
          <w:tcPr>
            <w:tcW w:w="6237" w:type="dxa"/>
          </w:tcPr>
          <w:p w14:paraId="666CD64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procentowej zawartości ziarn o powierzchniach powstałych w wyniku przekruszenia lub łamania kruszyw grubych</w:t>
            </w:r>
          </w:p>
        </w:tc>
      </w:tr>
      <w:tr w:rsidR="00955A27" w:rsidRPr="001667DB" w14:paraId="7ABDE785" w14:textId="77777777" w:rsidTr="001B4B8F">
        <w:tc>
          <w:tcPr>
            <w:tcW w:w="675" w:type="dxa"/>
          </w:tcPr>
          <w:p w14:paraId="037C1F9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1985" w:type="dxa"/>
          </w:tcPr>
          <w:p w14:paraId="4BD4DE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933-6</w:t>
            </w:r>
          </w:p>
        </w:tc>
        <w:tc>
          <w:tcPr>
            <w:tcW w:w="6237" w:type="dxa"/>
          </w:tcPr>
          <w:p w14:paraId="406EEE6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6: Ocena właściwości powierzchni – Wskaźnik przepływu kruszyw</w:t>
            </w:r>
          </w:p>
        </w:tc>
      </w:tr>
      <w:tr w:rsidR="00955A27" w:rsidRPr="001667DB" w14:paraId="5EDE7297" w14:textId="77777777" w:rsidTr="001B4B8F">
        <w:tc>
          <w:tcPr>
            <w:tcW w:w="675" w:type="dxa"/>
          </w:tcPr>
          <w:p w14:paraId="6267D94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1985" w:type="dxa"/>
          </w:tcPr>
          <w:p w14:paraId="4507F56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933-9</w:t>
            </w:r>
          </w:p>
        </w:tc>
        <w:tc>
          <w:tcPr>
            <w:tcW w:w="6237" w:type="dxa"/>
          </w:tcPr>
          <w:p w14:paraId="5D5D49A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9: Ocena zawartości drobnych cząstek – Badania błękitem metylenowym</w:t>
            </w:r>
          </w:p>
        </w:tc>
      </w:tr>
      <w:tr w:rsidR="00955A27" w:rsidRPr="001667DB" w14:paraId="26E609B3" w14:textId="77777777" w:rsidTr="001B4B8F">
        <w:tc>
          <w:tcPr>
            <w:tcW w:w="675" w:type="dxa"/>
          </w:tcPr>
          <w:p w14:paraId="16DEE12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1985" w:type="dxa"/>
          </w:tcPr>
          <w:p w14:paraId="7F71386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933-10</w:t>
            </w:r>
          </w:p>
        </w:tc>
        <w:tc>
          <w:tcPr>
            <w:tcW w:w="6237" w:type="dxa"/>
          </w:tcPr>
          <w:p w14:paraId="358E15C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10: Ocena zawartości drobnych cząstek – Uziarnienie wypełniaczy (przesiewanie w strumieniu powietrza)</w:t>
            </w:r>
          </w:p>
        </w:tc>
      </w:tr>
      <w:tr w:rsidR="00955A27" w:rsidRPr="001667DB" w14:paraId="232CCD5D" w14:textId="77777777" w:rsidTr="001B4B8F">
        <w:tc>
          <w:tcPr>
            <w:tcW w:w="675" w:type="dxa"/>
          </w:tcPr>
          <w:p w14:paraId="620ED76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1985" w:type="dxa"/>
          </w:tcPr>
          <w:p w14:paraId="6E6AF0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1097-2</w:t>
            </w:r>
          </w:p>
        </w:tc>
        <w:tc>
          <w:tcPr>
            <w:tcW w:w="6237" w:type="dxa"/>
          </w:tcPr>
          <w:p w14:paraId="17AB56C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2: Metody oznaczania odporności na rozdrabnianie</w:t>
            </w:r>
          </w:p>
        </w:tc>
      </w:tr>
      <w:tr w:rsidR="00955A27" w:rsidRPr="001667DB" w14:paraId="7E3014C2" w14:textId="77777777" w:rsidTr="001B4B8F">
        <w:tc>
          <w:tcPr>
            <w:tcW w:w="675" w:type="dxa"/>
          </w:tcPr>
          <w:p w14:paraId="08CF1DB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1985" w:type="dxa"/>
          </w:tcPr>
          <w:p w14:paraId="0CB2A58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1097-3</w:t>
            </w:r>
          </w:p>
        </w:tc>
        <w:tc>
          <w:tcPr>
            <w:tcW w:w="6237" w:type="dxa"/>
          </w:tcPr>
          <w:p w14:paraId="3C86106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Oznaczanie gęstości nasypowej i jamistości</w:t>
            </w:r>
          </w:p>
        </w:tc>
      </w:tr>
      <w:tr w:rsidR="00955A27" w:rsidRPr="001667DB" w14:paraId="47DCD539" w14:textId="77777777" w:rsidTr="001B4B8F">
        <w:tc>
          <w:tcPr>
            <w:tcW w:w="675" w:type="dxa"/>
          </w:tcPr>
          <w:p w14:paraId="1599526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1985" w:type="dxa"/>
          </w:tcPr>
          <w:p w14:paraId="35FB4A6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1097-4</w:t>
            </w:r>
          </w:p>
        </w:tc>
        <w:tc>
          <w:tcPr>
            <w:tcW w:w="6237" w:type="dxa"/>
          </w:tcPr>
          <w:p w14:paraId="04623D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4: Oznaczanie pustych przestrzeni suchego, zagęszczonego wypełniacza</w:t>
            </w:r>
          </w:p>
        </w:tc>
      </w:tr>
      <w:tr w:rsidR="00955A27" w:rsidRPr="001667DB" w14:paraId="65F2DB51" w14:textId="77777777" w:rsidTr="001B4B8F">
        <w:tc>
          <w:tcPr>
            <w:tcW w:w="675" w:type="dxa"/>
          </w:tcPr>
          <w:p w14:paraId="7DECC11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15.</w:t>
            </w:r>
          </w:p>
        </w:tc>
        <w:tc>
          <w:tcPr>
            <w:tcW w:w="1985" w:type="dxa"/>
          </w:tcPr>
          <w:p w14:paraId="7EB9C52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1097-5</w:t>
            </w:r>
          </w:p>
        </w:tc>
        <w:tc>
          <w:tcPr>
            <w:tcW w:w="6237" w:type="dxa"/>
          </w:tcPr>
          <w:p w14:paraId="37CD9C5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5: Oznaczanie zawartości wody przez suszenie w suszarce z wentylacją</w:t>
            </w:r>
          </w:p>
        </w:tc>
      </w:tr>
      <w:tr w:rsidR="00955A27" w:rsidRPr="001667DB" w14:paraId="73BCD5B3" w14:textId="77777777" w:rsidTr="001B4B8F">
        <w:tc>
          <w:tcPr>
            <w:tcW w:w="675" w:type="dxa"/>
          </w:tcPr>
          <w:p w14:paraId="30D490F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1985" w:type="dxa"/>
          </w:tcPr>
          <w:p w14:paraId="65CAF63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1097-6</w:t>
            </w:r>
          </w:p>
        </w:tc>
        <w:tc>
          <w:tcPr>
            <w:tcW w:w="6237" w:type="dxa"/>
          </w:tcPr>
          <w:p w14:paraId="3654F16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–Część 6: Oznaczanie gęstości ziarn i nasiąkliwości</w:t>
            </w:r>
          </w:p>
        </w:tc>
      </w:tr>
      <w:tr w:rsidR="00955A27" w:rsidRPr="001667DB" w14:paraId="4E110CEC" w14:textId="77777777" w:rsidTr="001B4B8F">
        <w:tc>
          <w:tcPr>
            <w:tcW w:w="675" w:type="dxa"/>
          </w:tcPr>
          <w:p w14:paraId="2E5F2E76"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1985" w:type="dxa"/>
          </w:tcPr>
          <w:p w14:paraId="148637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1097-7</w:t>
            </w:r>
          </w:p>
        </w:tc>
        <w:tc>
          <w:tcPr>
            <w:tcW w:w="6237" w:type="dxa"/>
          </w:tcPr>
          <w:p w14:paraId="7C01045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7: Oznaczanie gęstości wypełniacza – Metoda piknometryczna</w:t>
            </w:r>
          </w:p>
        </w:tc>
      </w:tr>
      <w:tr w:rsidR="00955A27" w:rsidRPr="001667DB" w14:paraId="7F1C78C0" w14:textId="77777777" w:rsidTr="001B4B8F">
        <w:tc>
          <w:tcPr>
            <w:tcW w:w="675" w:type="dxa"/>
          </w:tcPr>
          <w:p w14:paraId="7F2988EE"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1985" w:type="dxa"/>
          </w:tcPr>
          <w:p w14:paraId="7777126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1367-1</w:t>
            </w:r>
          </w:p>
        </w:tc>
        <w:tc>
          <w:tcPr>
            <w:tcW w:w="6237" w:type="dxa"/>
          </w:tcPr>
          <w:p w14:paraId="2E0B35D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1: Oznaczanie mrozoodporności</w:t>
            </w:r>
          </w:p>
        </w:tc>
      </w:tr>
      <w:tr w:rsidR="00955A27" w:rsidRPr="001667DB" w14:paraId="31DF7C87" w14:textId="77777777" w:rsidTr="001B4B8F">
        <w:tc>
          <w:tcPr>
            <w:tcW w:w="675" w:type="dxa"/>
          </w:tcPr>
          <w:p w14:paraId="0251583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1985" w:type="dxa"/>
          </w:tcPr>
          <w:p w14:paraId="05B0D56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1367-3</w:t>
            </w:r>
          </w:p>
        </w:tc>
        <w:tc>
          <w:tcPr>
            <w:tcW w:w="6237" w:type="dxa"/>
          </w:tcPr>
          <w:p w14:paraId="6BF85B9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3: Badanie bazaltowej zgorzeli słonecznej metodą gotowania</w:t>
            </w:r>
          </w:p>
        </w:tc>
      </w:tr>
      <w:tr w:rsidR="00955A27" w:rsidRPr="001667DB" w14:paraId="3E77D958" w14:textId="77777777" w:rsidTr="001B4B8F">
        <w:tc>
          <w:tcPr>
            <w:tcW w:w="675" w:type="dxa"/>
          </w:tcPr>
          <w:p w14:paraId="65B92454"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1985" w:type="dxa"/>
          </w:tcPr>
          <w:p w14:paraId="0AB389D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1426</w:t>
            </w:r>
          </w:p>
        </w:tc>
        <w:tc>
          <w:tcPr>
            <w:tcW w:w="6237" w:type="dxa"/>
          </w:tcPr>
          <w:p w14:paraId="24BB3F4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penetracji igłą</w:t>
            </w:r>
          </w:p>
        </w:tc>
      </w:tr>
      <w:tr w:rsidR="00955A27" w:rsidRPr="001667DB" w14:paraId="7316B068" w14:textId="77777777" w:rsidTr="001B4B8F">
        <w:tc>
          <w:tcPr>
            <w:tcW w:w="675" w:type="dxa"/>
          </w:tcPr>
          <w:p w14:paraId="16D9C82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 xml:space="preserve">22. </w:t>
            </w:r>
          </w:p>
        </w:tc>
        <w:tc>
          <w:tcPr>
            <w:tcW w:w="1985" w:type="dxa"/>
          </w:tcPr>
          <w:p w14:paraId="3BE163E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1427</w:t>
            </w:r>
          </w:p>
        </w:tc>
        <w:tc>
          <w:tcPr>
            <w:tcW w:w="6237" w:type="dxa"/>
          </w:tcPr>
          <w:p w14:paraId="50C3656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temperatury mięknienia – Metoda Pierścień i Kula</w:t>
            </w:r>
          </w:p>
        </w:tc>
      </w:tr>
      <w:tr w:rsidR="00955A27" w:rsidRPr="001667DB" w14:paraId="65D9C07F" w14:textId="77777777" w:rsidTr="001B4B8F">
        <w:tc>
          <w:tcPr>
            <w:tcW w:w="675" w:type="dxa"/>
          </w:tcPr>
          <w:p w14:paraId="487A6D42"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23.</w:t>
            </w:r>
          </w:p>
        </w:tc>
        <w:tc>
          <w:tcPr>
            <w:tcW w:w="1985" w:type="dxa"/>
          </w:tcPr>
          <w:p w14:paraId="1BBE50F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1744-1</w:t>
            </w:r>
          </w:p>
        </w:tc>
        <w:tc>
          <w:tcPr>
            <w:tcW w:w="6237" w:type="dxa"/>
          </w:tcPr>
          <w:p w14:paraId="6F352BA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Analiza chemiczna</w:t>
            </w:r>
          </w:p>
        </w:tc>
      </w:tr>
      <w:tr w:rsidR="00955A27" w:rsidRPr="001667DB" w14:paraId="3187D68E" w14:textId="77777777" w:rsidTr="001B4B8F">
        <w:tc>
          <w:tcPr>
            <w:tcW w:w="675" w:type="dxa"/>
          </w:tcPr>
          <w:p w14:paraId="6DBAC5F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1985" w:type="dxa"/>
          </w:tcPr>
          <w:p w14:paraId="3148876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12591</w:t>
            </w:r>
          </w:p>
        </w:tc>
        <w:tc>
          <w:tcPr>
            <w:tcW w:w="6237" w:type="dxa"/>
          </w:tcPr>
          <w:p w14:paraId="467FD7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Wymagania dla asfaltów drogowych</w:t>
            </w:r>
          </w:p>
        </w:tc>
      </w:tr>
      <w:tr w:rsidR="00955A27" w:rsidRPr="001667DB" w14:paraId="476C5DD1" w14:textId="77777777" w:rsidTr="001B4B8F">
        <w:tc>
          <w:tcPr>
            <w:tcW w:w="675" w:type="dxa"/>
          </w:tcPr>
          <w:p w14:paraId="433EC6B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1985" w:type="dxa"/>
          </w:tcPr>
          <w:p w14:paraId="5A5994F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12592</w:t>
            </w:r>
          </w:p>
        </w:tc>
        <w:tc>
          <w:tcPr>
            <w:tcW w:w="6237" w:type="dxa"/>
          </w:tcPr>
          <w:p w14:paraId="39B3F28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rozpuszczalności</w:t>
            </w:r>
          </w:p>
        </w:tc>
      </w:tr>
      <w:tr w:rsidR="00955A27" w:rsidRPr="001667DB" w14:paraId="2E563BCD" w14:textId="77777777" w:rsidTr="001B4B8F">
        <w:tc>
          <w:tcPr>
            <w:tcW w:w="675" w:type="dxa"/>
          </w:tcPr>
          <w:p w14:paraId="2357F1E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26.</w:t>
            </w:r>
          </w:p>
        </w:tc>
        <w:tc>
          <w:tcPr>
            <w:tcW w:w="1985" w:type="dxa"/>
          </w:tcPr>
          <w:p w14:paraId="7FE899C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12593</w:t>
            </w:r>
          </w:p>
        </w:tc>
        <w:tc>
          <w:tcPr>
            <w:tcW w:w="6237" w:type="dxa"/>
          </w:tcPr>
          <w:p w14:paraId="1960B6E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temperatury łamliwości Fraassa</w:t>
            </w:r>
          </w:p>
        </w:tc>
      </w:tr>
      <w:tr w:rsidR="00955A27" w:rsidRPr="001667DB" w14:paraId="0CFCE9C7" w14:textId="77777777" w:rsidTr="001B4B8F">
        <w:tc>
          <w:tcPr>
            <w:tcW w:w="675" w:type="dxa"/>
          </w:tcPr>
          <w:p w14:paraId="3D40E69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27.</w:t>
            </w:r>
          </w:p>
        </w:tc>
        <w:tc>
          <w:tcPr>
            <w:tcW w:w="1985" w:type="dxa"/>
          </w:tcPr>
          <w:p w14:paraId="7DD9F9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12595</w:t>
            </w:r>
          </w:p>
        </w:tc>
        <w:tc>
          <w:tcPr>
            <w:tcW w:w="6237" w:type="dxa"/>
          </w:tcPr>
          <w:p w14:paraId="2E54F9B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lepkości kinematycznej</w:t>
            </w:r>
          </w:p>
        </w:tc>
      </w:tr>
      <w:tr w:rsidR="00955A27" w:rsidRPr="001667DB" w14:paraId="3AD0D36C" w14:textId="77777777" w:rsidTr="001B4B8F">
        <w:tc>
          <w:tcPr>
            <w:tcW w:w="675" w:type="dxa"/>
          </w:tcPr>
          <w:p w14:paraId="5DA13A47"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28.</w:t>
            </w:r>
          </w:p>
        </w:tc>
        <w:tc>
          <w:tcPr>
            <w:tcW w:w="1985" w:type="dxa"/>
          </w:tcPr>
          <w:p w14:paraId="0D459E7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12596</w:t>
            </w:r>
          </w:p>
        </w:tc>
        <w:tc>
          <w:tcPr>
            <w:tcW w:w="6237" w:type="dxa"/>
          </w:tcPr>
          <w:p w14:paraId="42DD31E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lepkości dynamicznej metodą próżniowej kapilary</w:t>
            </w:r>
          </w:p>
        </w:tc>
      </w:tr>
      <w:tr w:rsidR="00955A27" w:rsidRPr="001667DB" w14:paraId="658B2D84" w14:textId="77777777" w:rsidTr="001B4B8F">
        <w:tc>
          <w:tcPr>
            <w:tcW w:w="675" w:type="dxa"/>
          </w:tcPr>
          <w:p w14:paraId="784BA1E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29.</w:t>
            </w:r>
          </w:p>
        </w:tc>
        <w:tc>
          <w:tcPr>
            <w:tcW w:w="1985" w:type="dxa"/>
          </w:tcPr>
          <w:p w14:paraId="088F530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12607-1</w:t>
            </w:r>
          </w:p>
        </w:tc>
        <w:tc>
          <w:tcPr>
            <w:tcW w:w="6237" w:type="dxa"/>
          </w:tcPr>
          <w:p w14:paraId="7D70A58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Asfalty i produkty asfaltowe – Oznaczanie odporności na twardnienie pod wpływem ciepła i powietrza – Część 1: Metoda RTFOT </w:t>
            </w:r>
          </w:p>
        </w:tc>
      </w:tr>
    </w:tbl>
    <w:p w14:paraId="275E1C5D" w14:textId="77777777" w:rsidR="00955A27" w:rsidRPr="001667DB" w:rsidRDefault="00955A27" w:rsidP="00955A27">
      <w:pPr>
        <w:spacing w:after="120" w:line="360" w:lineRule="auto"/>
        <w:rPr>
          <w:rFonts w:ascii="Times New Roman" w:hAnsi="Times New Roman" w:cs="Times New Roman"/>
          <w:color w:val="000000" w:themeColor="text1"/>
        </w:rPr>
      </w:pPr>
    </w:p>
    <w:tbl>
      <w:tblPr>
        <w:tblW w:w="0" w:type="auto"/>
        <w:tblLayout w:type="fixed"/>
        <w:tblLook w:val="01E0" w:firstRow="1" w:lastRow="1" w:firstColumn="1" w:lastColumn="1" w:noHBand="0" w:noVBand="0"/>
      </w:tblPr>
      <w:tblGrid>
        <w:gridCol w:w="675"/>
        <w:gridCol w:w="1985"/>
        <w:gridCol w:w="6095"/>
      </w:tblGrid>
      <w:tr w:rsidR="00955A27" w:rsidRPr="001667DB" w14:paraId="744EA0BC" w14:textId="77777777" w:rsidTr="001B4B8F">
        <w:tc>
          <w:tcPr>
            <w:tcW w:w="675" w:type="dxa"/>
          </w:tcPr>
          <w:p w14:paraId="6072D57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30.</w:t>
            </w:r>
          </w:p>
        </w:tc>
        <w:tc>
          <w:tcPr>
            <w:tcW w:w="1985" w:type="dxa"/>
          </w:tcPr>
          <w:p w14:paraId="3074A447" w14:textId="77777777" w:rsidR="00955A27" w:rsidRPr="001667DB" w:rsidRDefault="00955A27" w:rsidP="00955A27">
            <w:pPr>
              <w:spacing w:after="120" w:line="360" w:lineRule="auto"/>
              <w:rPr>
                <w:rFonts w:ascii="Times New Roman" w:hAnsi="Times New Roman" w:cs="Times New Roman"/>
                <w:color w:val="000000" w:themeColor="text1"/>
                <w:highlight w:val="yellow"/>
              </w:rPr>
            </w:pPr>
            <w:r w:rsidRPr="001667DB">
              <w:rPr>
                <w:rFonts w:ascii="Times New Roman" w:hAnsi="Times New Roman" w:cs="Times New Roman"/>
                <w:color w:val="000000" w:themeColor="text1"/>
              </w:rPr>
              <w:t>PN-EN 12607-3</w:t>
            </w:r>
          </w:p>
        </w:tc>
        <w:tc>
          <w:tcPr>
            <w:tcW w:w="6095" w:type="dxa"/>
          </w:tcPr>
          <w:p w14:paraId="05CF1469" w14:textId="77777777" w:rsidR="00955A27" w:rsidRPr="001667DB" w:rsidRDefault="00955A27" w:rsidP="00955A27">
            <w:pPr>
              <w:spacing w:after="120" w:line="360" w:lineRule="auto"/>
              <w:rPr>
                <w:rFonts w:ascii="Times New Roman" w:hAnsi="Times New Roman" w:cs="Times New Roman"/>
                <w:color w:val="000000" w:themeColor="text1"/>
                <w:highlight w:val="yellow"/>
              </w:rPr>
            </w:pPr>
            <w:r w:rsidRPr="001667DB">
              <w:rPr>
                <w:rFonts w:ascii="Times New Roman" w:hAnsi="Times New Roman" w:cs="Times New Roman"/>
                <w:color w:val="000000" w:themeColor="text1"/>
              </w:rPr>
              <w:t>Asfalty i produkty asfaltowe – Oznaczanie odporności na twardnienie pod wpływem ciepła i powietrza – Część 3: Metoda RFT</w:t>
            </w:r>
          </w:p>
        </w:tc>
      </w:tr>
      <w:tr w:rsidR="00955A27" w:rsidRPr="001667DB" w14:paraId="4072BF4D" w14:textId="77777777" w:rsidTr="001B4B8F">
        <w:tc>
          <w:tcPr>
            <w:tcW w:w="675" w:type="dxa"/>
          </w:tcPr>
          <w:p w14:paraId="07794D07"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31.</w:t>
            </w:r>
          </w:p>
        </w:tc>
        <w:tc>
          <w:tcPr>
            <w:tcW w:w="1985" w:type="dxa"/>
          </w:tcPr>
          <w:p w14:paraId="538CBB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w:t>
            </w:r>
          </w:p>
        </w:tc>
        <w:tc>
          <w:tcPr>
            <w:tcW w:w="6095" w:type="dxa"/>
          </w:tcPr>
          <w:p w14:paraId="58FEC25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 Zawartość lepiszcza rozpuszczalnego</w:t>
            </w:r>
          </w:p>
        </w:tc>
      </w:tr>
      <w:tr w:rsidR="00955A27" w:rsidRPr="001667DB" w14:paraId="29162EAE" w14:textId="77777777" w:rsidTr="001B4B8F">
        <w:tc>
          <w:tcPr>
            <w:tcW w:w="675" w:type="dxa"/>
          </w:tcPr>
          <w:p w14:paraId="0D21C731"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32.</w:t>
            </w:r>
          </w:p>
        </w:tc>
        <w:tc>
          <w:tcPr>
            <w:tcW w:w="1985" w:type="dxa"/>
          </w:tcPr>
          <w:p w14:paraId="63E34A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w:t>
            </w:r>
          </w:p>
        </w:tc>
        <w:tc>
          <w:tcPr>
            <w:tcW w:w="6095" w:type="dxa"/>
          </w:tcPr>
          <w:p w14:paraId="21B147A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 Oznaczanie składu ziarnowego</w:t>
            </w:r>
          </w:p>
        </w:tc>
      </w:tr>
      <w:tr w:rsidR="00955A27" w:rsidRPr="001667DB" w14:paraId="095E0D16" w14:textId="77777777" w:rsidTr="001B4B8F">
        <w:tc>
          <w:tcPr>
            <w:tcW w:w="675" w:type="dxa"/>
          </w:tcPr>
          <w:p w14:paraId="5309835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1985" w:type="dxa"/>
          </w:tcPr>
          <w:p w14:paraId="2F01121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12697-3</w:t>
            </w:r>
          </w:p>
        </w:tc>
        <w:tc>
          <w:tcPr>
            <w:tcW w:w="6095" w:type="dxa"/>
          </w:tcPr>
          <w:p w14:paraId="572033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3: Odzyskiwanie asfaltu: Wyparka obrotowa</w:t>
            </w:r>
          </w:p>
        </w:tc>
      </w:tr>
      <w:tr w:rsidR="00955A27" w:rsidRPr="001667DB" w14:paraId="37A7B5DF" w14:textId="77777777" w:rsidTr="001B4B8F">
        <w:tc>
          <w:tcPr>
            <w:tcW w:w="675" w:type="dxa"/>
          </w:tcPr>
          <w:p w14:paraId="7828CA3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34.</w:t>
            </w:r>
          </w:p>
        </w:tc>
        <w:tc>
          <w:tcPr>
            <w:tcW w:w="1985" w:type="dxa"/>
          </w:tcPr>
          <w:p w14:paraId="4FE2E69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w:t>
            </w:r>
          </w:p>
        </w:tc>
        <w:tc>
          <w:tcPr>
            <w:tcW w:w="6095" w:type="dxa"/>
          </w:tcPr>
          <w:p w14:paraId="4EB6034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 Odzyskiwanie asfaltu -- Kolumna do destylacji frakcyjnej</w:t>
            </w:r>
          </w:p>
        </w:tc>
      </w:tr>
      <w:tr w:rsidR="00955A27" w:rsidRPr="001667DB" w14:paraId="001DB0F0" w14:textId="77777777" w:rsidTr="001B4B8F">
        <w:tc>
          <w:tcPr>
            <w:tcW w:w="675" w:type="dxa"/>
          </w:tcPr>
          <w:p w14:paraId="37F8FD0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35.</w:t>
            </w:r>
          </w:p>
        </w:tc>
        <w:tc>
          <w:tcPr>
            <w:tcW w:w="1985" w:type="dxa"/>
          </w:tcPr>
          <w:p w14:paraId="660F1D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12697-5</w:t>
            </w:r>
          </w:p>
        </w:tc>
        <w:tc>
          <w:tcPr>
            <w:tcW w:w="6095" w:type="dxa"/>
          </w:tcPr>
          <w:p w14:paraId="6CDD47F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5: Oznaczanie gęstości</w:t>
            </w:r>
          </w:p>
        </w:tc>
      </w:tr>
      <w:tr w:rsidR="00955A27" w:rsidRPr="001667DB" w14:paraId="10B208F9" w14:textId="77777777" w:rsidTr="001B4B8F">
        <w:tc>
          <w:tcPr>
            <w:tcW w:w="675" w:type="dxa"/>
          </w:tcPr>
          <w:p w14:paraId="0E19864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36.</w:t>
            </w:r>
          </w:p>
        </w:tc>
        <w:tc>
          <w:tcPr>
            <w:tcW w:w="1985" w:type="dxa"/>
          </w:tcPr>
          <w:p w14:paraId="0441609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12697-6</w:t>
            </w:r>
          </w:p>
        </w:tc>
        <w:tc>
          <w:tcPr>
            <w:tcW w:w="6095" w:type="dxa"/>
          </w:tcPr>
          <w:p w14:paraId="5B240A7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6: Oznaczanie gęstości objętościowej próbek mieszanki mineralno-asfaltowej</w:t>
            </w:r>
          </w:p>
        </w:tc>
      </w:tr>
      <w:tr w:rsidR="00955A27" w:rsidRPr="001667DB" w14:paraId="528849B4" w14:textId="77777777" w:rsidTr="001B4B8F">
        <w:tc>
          <w:tcPr>
            <w:tcW w:w="675" w:type="dxa"/>
          </w:tcPr>
          <w:p w14:paraId="190EF5A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37.</w:t>
            </w:r>
          </w:p>
        </w:tc>
        <w:tc>
          <w:tcPr>
            <w:tcW w:w="1985" w:type="dxa"/>
          </w:tcPr>
          <w:p w14:paraId="6DF3B0A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12697-8</w:t>
            </w:r>
          </w:p>
        </w:tc>
        <w:tc>
          <w:tcPr>
            <w:tcW w:w="6095" w:type="dxa"/>
          </w:tcPr>
          <w:p w14:paraId="38CE04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8: Oznaczanie zawartości wolnej przestrzeni</w:t>
            </w:r>
          </w:p>
        </w:tc>
      </w:tr>
      <w:tr w:rsidR="00955A27" w:rsidRPr="001667DB" w14:paraId="660EF062" w14:textId="77777777" w:rsidTr="001B4B8F">
        <w:tc>
          <w:tcPr>
            <w:tcW w:w="675" w:type="dxa"/>
          </w:tcPr>
          <w:p w14:paraId="518053A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38.</w:t>
            </w:r>
          </w:p>
        </w:tc>
        <w:tc>
          <w:tcPr>
            <w:tcW w:w="1985" w:type="dxa"/>
          </w:tcPr>
          <w:p w14:paraId="431648F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12697-11</w:t>
            </w:r>
          </w:p>
        </w:tc>
        <w:tc>
          <w:tcPr>
            <w:tcW w:w="6095" w:type="dxa"/>
          </w:tcPr>
          <w:p w14:paraId="48FB26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11: Oznaczanie powinowactwa pomiędzy kruszywem i asfaltem</w:t>
            </w:r>
          </w:p>
        </w:tc>
      </w:tr>
      <w:tr w:rsidR="00955A27" w:rsidRPr="001667DB" w14:paraId="52756AF0" w14:textId="77777777" w:rsidTr="001B4B8F">
        <w:tc>
          <w:tcPr>
            <w:tcW w:w="675" w:type="dxa"/>
          </w:tcPr>
          <w:p w14:paraId="6628C25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39.</w:t>
            </w:r>
          </w:p>
        </w:tc>
        <w:tc>
          <w:tcPr>
            <w:tcW w:w="1985" w:type="dxa"/>
          </w:tcPr>
          <w:p w14:paraId="44B506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12697-12</w:t>
            </w:r>
          </w:p>
        </w:tc>
        <w:tc>
          <w:tcPr>
            <w:tcW w:w="6095" w:type="dxa"/>
          </w:tcPr>
          <w:p w14:paraId="6FC0CC9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12: Określanie wrażliwości próbek asfaltowych na wodę</w:t>
            </w:r>
          </w:p>
        </w:tc>
      </w:tr>
      <w:tr w:rsidR="00955A27" w:rsidRPr="001667DB" w14:paraId="059CB479" w14:textId="77777777" w:rsidTr="001B4B8F">
        <w:tc>
          <w:tcPr>
            <w:tcW w:w="675" w:type="dxa"/>
          </w:tcPr>
          <w:p w14:paraId="7D9447E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40.</w:t>
            </w:r>
          </w:p>
        </w:tc>
        <w:tc>
          <w:tcPr>
            <w:tcW w:w="1985" w:type="dxa"/>
          </w:tcPr>
          <w:p w14:paraId="3C98985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12697-13</w:t>
            </w:r>
          </w:p>
        </w:tc>
        <w:tc>
          <w:tcPr>
            <w:tcW w:w="6095" w:type="dxa"/>
          </w:tcPr>
          <w:p w14:paraId="4519B0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13: Pomiar temperatury</w:t>
            </w:r>
          </w:p>
        </w:tc>
      </w:tr>
      <w:tr w:rsidR="00955A27" w:rsidRPr="001667DB" w14:paraId="3AF6B340" w14:textId="77777777" w:rsidTr="001B4B8F">
        <w:tc>
          <w:tcPr>
            <w:tcW w:w="675" w:type="dxa"/>
          </w:tcPr>
          <w:p w14:paraId="67C4399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41.</w:t>
            </w:r>
          </w:p>
        </w:tc>
        <w:tc>
          <w:tcPr>
            <w:tcW w:w="1985" w:type="dxa"/>
          </w:tcPr>
          <w:p w14:paraId="6DE1E8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12697-22</w:t>
            </w:r>
          </w:p>
        </w:tc>
        <w:tc>
          <w:tcPr>
            <w:tcW w:w="6095" w:type="dxa"/>
          </w:tcPr>
          <w:p w14:paraId="0EAA6BD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22: Koleinowanie</w:t>
            </w:r>
          </w:p>
        </w:tc>
      </w:tr>
      <w:tr w:rsidR="00955A27" w:rsidRPr="001667DB" w14:paraId="060255BB" w14:textId="77777777" w:rsidTr="001B4B8F">
        <w:tc>
          <w:tcPr>
            <w:tcW w:w="675" w:type="dxa"/>
          </w:tcPr>
          <w:p w14:paraId="254769EE"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42.</w:t>
            </w:r>
          </w:p>
        </w:tc>
        <w:tc>
          <w:tcPr>
            <w:tcW w:w="1985" w:type="dxa"/>
          </w:tcPr>
          <w:p w14:paraId="3FB794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12697-24</w:t>
            </w:r>
          </w:p>
        </w:tc>
        <w:tc>
          <w:tcPr>
            <w:tcW w:w="6095" w:type="dxa"/>
          </w:tcPr>
          <w:p w14:paraId="00C7A49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24: Odporność na zmęczenie</w:t>
            </w:r>
          </w:p>
        </w:tc>
      </w:tr>
      <w:tr w:rsidR="00955A27" w:rsidRPr="001667DB" w14:paraId="5F1D0369" w14:textId="77777777" w:rsidTr="001B4B8F">
        <w:tc>
          <w:tcPr>
            <w:tcW w:w="675" w:type="dxa"/>
          </w:tcPr>
          <w:p w14:paraId="229F99B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43.</w:t>
            </w:r>
          </w:p>
        </w:tc>
        <w:tc>
          <w:tcPr>
            <w:tcW w:w="1985" w:type="dxa"/>
          </w:tcPr>
          <w:p w14:paraId="5FD9AC7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12697-26</w:t>
            </w:r>
          </w:p>
        </w:tc>
        <w:tc>
          <w:tcPr>
            <w:tcW w:w="6095" w:type="dxa"/>
          </w:tcPr>
          <w:p w14:paraId="3CBAA37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26: Sztywność</w:t>
            </w:r>
          </w:p>
        </w:tc>
      </w:tr>
      <w:tr w:rsidR="00955A27" w:rsidRPr="001667DB" w14:paraId="77FD7E2E" w14:textId="77777777" w:rsidTr="001B4B8F">
        <w:tc>
          <w:tcPr>
            <w:tcW w:w="675" w:type="dxa"/>
          </w:tcPr>
          <w:p w14:paraId="7718B96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44.</w:t>
            </w:r>
          </w:p>
        </w:tc>
        <w:tc>
          <w:tcPr>
            <w:tcW w:w="1985" w:type="dxa"/>
          </w:tcPr>
          <w:p w14:paraId="0A8E3BC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12697-27</w:t>
            </w:r>
          </w:p>
        </w:tc>
        <w:tc>
          <w:tcPr>
            <w:tcW w:w="6095" w:type="dxa"/>
          </w:tcPr>
          <w:p w14:paraId="0D9714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27: Pobieranie próbek</w:t>
            </w:r>
          </w:p>
        </w:tc>
      </w:tr>
      <w:tr w:rsidR="00955A27" w:rsidRPr="001667DB" w14:paraId="30C8AD34" w14:textId="77777777" w:rsidTr="001B4B8F">
        <w:tc>
          <w:tcPr>
            <w:tcW w:w="675" w:type="dxa"/>
          </w:tcPr>
          <w:p w14:paraId="52DE93A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45.</w:t>
            </w:r>
          </w:p>
        </w:tc>
        <w:tc>
          <w:tcPr>
            <w:tcW w:w="1985" w:type="dxa"/>
          </w:tcPr>
          <w:p w14:paraId="3FD48C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12697-36</w:t>
            </w:r>
          </w:p>
        </w:tc>
        <w:tc>
          <w:tcPr>
            <w:tcW w:w="6095" w:type="dxa"/>
          </w:tcPr>
          <w:p w14:paraId="582C26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36: Oznaczanie grubości nawierzchni asfaltowych</w:t>
            </w:r>
          </w:p>
        </w:tc>
      </w:tr>
    </w:tbl>
    <w:p w14:paraId="1DA9818E" w14:textId="77777777" w:rsidR="00955A27" w:rsidRPr="001667DB" w:rsidRDefault="00955A27" w:rsidP="00955A27">
      <w:pPr>
        <w:spacing w:after="120" w:line="360" w:lineRule="auto"/>
        <w:rPr>
          <w:rFonts w:ascii="Times New Roman" w:hAnsi="Times New Roman" w:cs="Times New Roman"/>
          <w:color w:val="000000" w:themeColor="text1"/>
        </w:rPr>
      </w:pPr>
    </w:p>
    <w:tbl>
      <w:tblPr>
        <w:tblW w:w="0" w:type="auto"/>
        <w:tblLayout w:type="fixed"/>
        <w:tblLook w:val="01E0" w:firstRow="1" w:lastRow="1" w:firstColumn="1" w:lastColumn="1" w:noHBand="0" w:noVBand="0"/>
      </w:tblPr>
      <w:tblGrid>
        <w:gridCol w:w="675"/>
        <w:gridCol w:w="1985"/>
        <w:gridCol w:w="6095"/>
      </w:tblGrid>
      <w:tr w:rsidR="00955A27" w:rsidRPr="001667DB" w14:paraId="7835192E" w14:textId="77777777" w:rsidTr="001B4B8F">
        <w:tc>
          <w:tcPr>
            <w:tcW w:w="675" w:type="dxa"/>
          </w:tcPr>
          <w:p w14:paraId="0ADBDA0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46.</w:t>
            </w:r>
          </w:p>
        </w:tc>
        <w:tc>
          <w:tcPr>
            <w:tcW w:w="1985" w:type="dxa"/>
          </w:tcPr>
          <w:p w14:paraId="2F476C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12697-39</w:t>
            </w:r>
          </w:p>
        </w:tc>
        <w:tc>
          <w:tcPr>
            <w:tcW w:w="6095" w:type="dxa"/>
          </w:tcPr>
          <w:p w14:paraId="620BC29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39: Oznaczanie zawartości lepiszcza metodą spalania</w:t>
            </w:r>
          </w:p>
        </w:tc>
      </w:tr>
      <w:tr w:rsidR="00955A27" w:rsidRPr="001667DB" w14:paraId="3B83D09C" w14:textId="77777777" w:rsidTr="001B4B8F">
        <w:tc>
          <w:tcPr>
            <w:tcW w:w="675" w:type="dxa"/>
          </w:tcPr>
          <w:p w14:paraId="2814035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47.</w:t>
            </w:r>
          </w:p>
        </w:tc>
        <w:tc>
          <w:tcPr>
            <w:tcW w:w="1985" w:type="dxa"/>
          </w:tcPr>
          <w:p w14:paraId="22D187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12697-41</w:t>
            </w:r>
          </w:p>
        </w:tc>
        <w:tc>
          <w:tcPr>
            <w:tcW w:w="6095" w:type="dxa"/>
          </w:tcPr>
          <w:p w14:paraId="5B4685B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41: Odporność na płyny zapobiegające oblodzeniu</w:t>
            </w:r>
          </w:p>
        </w:tc>
      </w:tr>
      <w:tr w:rsidR="00955A27" w:rsidRPr="001667DB" w14:paraId="297EC011" w14:textId="77777777" w:rsidTr="001B4B8F">
        <w:tc>
          <w:tcPr>
            <w:tcW w:w="675" w:type="dxa"/>
          </w:tcPr>
          <w:p w14:paraId="4AE6CD6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48.</w:t>
            </w:r>
          </w:p>
        </w:tc>
        <w:tc>
          <w:tcPr>
            <w:tcW w:w="1985" w:type="dxa"/>
          </w:tcPr>
          <w:p w14:paraId="1363F03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12697-42</w:t>
            </w:r>
          </w:p>
        </w:tc>
        <w:tc>
          <w:tcPr>
            <w:tcW w:w="6095" w:type="dxa"/>
          </w:tcPr>
          <w:p w14:paraId="7C0366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42: Zawartość części obcych w destrukcie asfaltowym</w:t>
            </w:r>
          </w:p>
        </w:tc>
      </w:tr>
      <w:tr w:rsidR="00955A27" w:rsidRPr="001667DB" w14:paraId="66929F18" w14:textId="77777777" w:rsidTr="001B4B8F">
        <w:tc>
          <w:tcPr>
            <w:tcW w:w="675" w:type="dxa"/>
          </w:tcPr>
          <w:p w14:paraId="7E9B281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49.</w:t>
            </w:r>
          </w:p>
        </w:tc>
        <w:tc>
          <w:tcPr>
            <w:tcW w:w="1985" w:type="dxa"/>
          </w:tcPr>
          <w:p w14:paraId="215EB58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12697-43</w:t>
            </w:r>
          </w:p>
        </w:tc>
        <w:tc>
          <w:tcPr>
            <w:tcW w:w="6095" w:type="dxa"/>
          </w:tcPr>
          <w:p w14:paraId="4965EF1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43: Odporność na paliwo</w:t>
            </w:r>
          </w:p>
        </w:tc>
      </w:tr>
      <w:tr w:rsidR="00955A27" w:rsidRPr="001667DB" w14:paraId="09E8F766" w14:textId="77777777" w:rsidTr="001B4B8F">
        <w:tc>
          <w:tcPr>
            <w:tcW w:w="675" w:type="dxa"/>
          </w:tcPr>
          <w:p w14:paraId="21EE5614"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1985" w:type="dxa"/>
          </w:tcPr>
          <w:p w14:paraId="4F6908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w:t>
            </w:r>
          </w:p>
        </w:tc>
        <w:tc>
          <w:tcPr>
            <w:tcW w:w="6095" w:type="dxa"/>
          </w:tcPr>
          <w:p w14:paraId="0B77B1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Kruszywa do mieszanek bitumicznych i powierzchniowych utrwaleń stosowanych na drogach, lotniskach i innych powierzchniach przeznaczonych do ruchu</w:t>
            </w:r>
          </w:p>
        </w:tc>
      </w:tr>
      <w:tr w:rsidR="00955A27" w:rsidRPr="001667DB" w14:paraId="1414DBC4" w14:textId="77777777" w:rsidTr="001B4B8F">
        <w:tc>
          <w:tcPr>
            <w:tcW w:w="675" w:type="dxa"/>
          </w:tcPr>
          <w:p w14:paraId="4967AF96"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51.</w:t>
            </w:r>
          </w:p>
        </w:tc>
        <w:tc>
          <w:tcPr>
            <w:tcW w:w="1985" w:type="dxa"/>
          </w:tcPr>
          <w:p w14:paraId="29C7FB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13108-1</w:t>
            </w:r>
          </w:p>
        </w:tc>
        <w:tc>
          <w:tcPr>
            <w:tcW w:w="6095" w:type="dxa"/>
          </w:tcPr>
          <w:p w14:paraId="7813363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1: Beton asfaltowy</w:t>
            </w:r>
          </w:p>
        </w:tc>
      </w:tr>
      <w:tr w:rsidR="00955A27" w:rsidRPr="001667DB" w14:paraId="5F35F9DC" w14:textId="77777777" w:rsidTr="001B4B8F">
        <w:tc>
          <w:tcPr>
            <w:tcW w:w="675" w:type="dxa"/>
          </w:tcPr>
          <w:p w14:paraId="7F3FAFC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52.</w:t>
            </w:r>
          </w:p>
        </w:tc>
        <w:tc>
          <w:tcPr>
            <w:tcW w:w="1985" w:type="dxa"/>
          </w:tcPr>
          <w:p w14:paraId="4946C99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13108-4</w:t>
            </w:r>
          </w:p>
        </w:tc>
        <w:tc>
          <w:tcPr>
            <w:tcW w:w="6095" w:type="dxa"/>
          </w:tcPr>
          <w:p w14:paraId="3BAFB81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4: Mieszanka HRA</w:t>
            </w:r>
          </w:p>
        </w:tc>
      </w:tr>
      <w:tr w:rsidR="00955A27" w:rsidRPr="001667DB" w14:paraId="525CA609" w14:textId="77777777" w:rsidTr="001B4B8F">
        <w:tc>
          <w:tcPr>
            <w:tcW w:w="675" w:type="dxa"/>
          </w:tcPr>
          <w:p w14:paraId="34BF4CE8"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53.</w:t>
            </w:r>
          </w:p>
        </w:tc>
        <w:tc>
          <w:tcPr>
            <w:tcW w:w="1985" w:type="dxa"/>
          </w:tcPr>
          <w:p w14:paraId="29F62DE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13108-8</w:t>
            </w:r>
          </w:p>
        </w:tc>
        <w:tc>
          <w:tcPr>
            <w:tcW w:w="6095" w:type="dxa"/>
          </w:tcPr>
          <w:p w14:paraId="644BFE0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8: Destrukt asfaltowy</w:t>
            </w:r>
          </w:p>
        </w:tc>
      </w:tr>
      <w:tr w:rsidR="00955A27" w:rsidRPr="001667DB" w14:paraId="5BFC8C2C" w14:textId="77777777" w:rsidTr="001B4B8F">
        <w:tc>
          <w:tcPr>
            <w:tcW w:w="675" w:type="dxa"/>
          </w:tcPr>
          <w:p w14:paraId="475A8528"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54.</w:t>
            </w:r>
          </w:p>
        </w:tc>
        <w:tc>
          <w:tcPr>
            <w:tcW w:w="1985" w:type="dxa"/>
          </w:tcPr>
          <w:p w14:paraId="76B319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13108-20</w:t>
            </w:r>
          </w:p>
        </w:tc>
        <w:tc>
          <w:tcPr>
            <w:tcW w:w="6095" w:type="dxa"/>
          </w:tcPr>
          <w:p w14:paraId="4FF3EDF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20: Badanie typu</w:t>
            </w:r>
          </w:p>
        </w:tc>
      </w:tr>
      <w:tr w:rsidR="00955A27" w:rsidRPr="001667DB" w14:paraId="0823D100" w14:textId="77777777" w:rsidTr="001B4B8F">
        <w:tc>
          <w:tcPr>
            <w:tcW w:w="675" w:type="dxa"/>
          </w:tcPr>
          <w:p w14:paraId="029A485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55.</w:t>
            </w:r>
          </w:p>
        </w:tc>
        <w:tc>
          <w:tcPr>
            <w:tcW w:w="1985" w:type="dxa"/>
          </w:tcPr>
          <w:p w14:paraId="73D692C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13108-21</w:t>
            </w:r>
          </w:p>
        </w:tc>
        <w:tc>
          <w:tcPr>
            <w:tcW w:w="6095" w:type="dxa"/>
          </w:tcPr>
          <w:p w14:paraId="09C93C8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21: Zakładowa kontrola produkcji</w:t>
            </w:r>
          </w:p>
        </w:tc>
      </w:tr>
      <w:tr w:rsidR="00955A27" w:rsidRPr="001667DB" w14:paraId="75277AFA" w14:textId="77777777" w:rsidTr="001B4B8F">
        <w:tc>
          <w:tcPr>
            <w:tcW w:w="675" w:type="dxa"/>
          </w:tcPr>
          <w:p w14:paraId="6115AB3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1985" w:type="dxa"/>
          </w:tcPr>
          <w:p w14:paraId="1755478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13179-1</w:t>
            </w:r>
          </w:p>
        </w:tc>
        <w:tc>
          <w:tcPr>
            <w:tcW w:w="6095" w:type="dxa"/>
          </w:tcPr>
          <w:p w14:paraId="3DA4C5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kruszyw wypełniających stosowanych do mieszanek bitumicznych – Część 1: Badanie metodą pierścienia delta i kuli</w:t>
            </w:r>
          </w:p>
        </w:tc>
      </w:tr>
      <w:tr w:rsidR="00955A27" w:rsidRPr="001667DB" w14:paraId="0E8A6934" w14:textId="77777777" w:rsidTr="001B4B8F">
        <w:tc>
          <w:tcPr>
            <w:tcW w:w="675" w:type="dxa"/>
          </w:tcPr>
          <w:p w14:paraId="06A5B612"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57.</w:t>
            </w:r>
          </w:p>
        </w:tc>
        <w:tc>
          <w:tcPr>
            <w:tcW w:w="1985" w:type="dxa"/>
          </w:tcPr>
          <w:p w14:paraId="1E467DB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13179-2</w:t>
            </w:r>
          </w:p>
        </w:tc>
        <w:tc>
          <w:tcPr>
            <w:tcW w:w="6095" w:type="dxa"/>
          </w:tcPr>
          <w:p w14:paraId="1151E9F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kruszyw wypełniających stosowanych do mieszanek bitumicznych – Część 2: Liczba bitumiczna</w:t>
            </w:r>
          </w:p>
        </w:tc>
      </w:tr>
      <w:tr w:rsidR="00955A27" w:rsidRPr="001667DB" w14:paraId="4F40FF9B" w14:textId="77777777" w:rsidTr="001B4B8F">
        <w:tc>
          <w:tcPr>
            <w:tcW w:w="675" w:type="dxa"/>
          </w:tcPr>
          <w:p w14:paraId="6EF29EA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58.</w:t>
            </w:r>
          </w:p>
        </w:tc>
        <w:tc>
          <w:tcPr>
            <w:tcW w:w="1985" w:type="dxa"/>
          </w:tcPr>
          <w:p w14:paraId="6CBD06F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13398</w:t>
            </w:r>
          </w:p>
        </w:tc>
        <w:tc>
          <w:tcPr>
            <w:tcW w:w="6095" w:type="dxa"/>
          </w:tcPr>
          <w:p w14:paraId="2AC128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nawrotu sprężystego asfaltów modyfikowanych</w:t>
            </w:r>
          </w:p>
        </w:tc>
      </w:tr>
      <w:tr w:rsidR="00955A27" w:rsidRPr="001667DB" w14:paraId="676D223C" w14:textId="77777777" w:rsidTr="001B4B8F">
        <w:tc>
          <w:tcPr>
            <w:tcW w:w="675" w:type="dxa"/>
          </w:tcPr>
          <w:p w14:paraId="0B9AC9F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59.</w:t>
            </w:r>
          </w:p>
        </w:tc>
        <w:tc>
          <w:tcPr>
            <w:tcW w:w="1985" w:type="dxa"/>
          </w:tcPr>
          <w:p w14:paraId="4C427E0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13399</w:t>
            </w:r>
          </w:p>
        </w:tc>
        <w:tc>
          <w:tcPr>
            <w:tcW w:w="6095" w:type="dxa"/>
          </w:tcPr>
          <w:p w14:paraId="2DE93A4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stabilności podczas magazynowania asfaltów modyfikowanych</w:t>
            </w:r>
          </w:p>
        </w:tc>
      </w:tr>
      <w:tr w:rsidR="00955A27" w:rsidRPr="001667DB" w14:paraId="4D847939" w14:textId="77777777" w:rsidTr="001B4B8F">
        <w:tc>
          <w:tcPr>
            <w:tcW w:w="675" w:type="dxa"/>
          </w:tcPr>
          <w:p w14:paraId="60C74856"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60.</w:t>
            </w:r>
          </w:p>
        </w:tc>
        <w:tc>
          <w:tcPr>
            <w:tcW w:w="1985" w:type="dxa"/>
          </w:tcPr>
          <w:p w14:paraId="582F04B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13587</w:t>
            </w:r>
          </w:p>
        </w:tc>
        <w:tc>
          <w:tcPr>
            <w:tcW w:w="6095" w:type="dxa"/>
          </w:tcPr>
          <w:p w14:paraId="1ED431B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właściwości mechanicznych lepiszczy asfaltowych metodą rozciągania</w:t>
            </w:r>
          </w:p>
        </w:tc>
      </w:tr>
      <w:tr w:rsidR="00955A27" w:rsidRPr="001667DB" w14:paraId="06A9185A" w14:textId="77777777" w:rsidTr="001B4B8F">
        <w:tc>
          <w:tcPr>
            <w:tcW w:w="675" w:type="dxa"/>
          </w:tcPr>
          <w:p w14:paraId="6E2B529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61.</w:t>
            </w:r>
          </w:p>
        </w:tc>
        <w:tc>
          <w:tcPr>
            <w:tcW w:w="1985" w:type="dxa"/>
          </w:tcPr>
          <w:p w14:paraId="0F0BCD9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13588</w:t>
            </w:r>
          </w:p>
        </w:tc>
        <w:tc>
          <w:tcPr>
            <w:tcW w:w="6095" w:type="dxa"/>
          </w:tcPr>
          <w:p w14:paraId="52D9C00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kohezji lepiszczy asfaltowych metodą testu wahadłowego</w:t>
            </w:r>
          </w:p>
        </w:tc>
      </w:tr>
      <w:tr w:rsidR="00955A27" w:rsidRPr="001667DB" w14:paraId="79D52AF2" w14:textId="77777777" w:rsidTr="001B4B8F">
        <w:tc>
          <w:tcPr>
            <w:tcW w:w="675" w:type="dxa"/>
          </w:tcPr>
          <w:p w14:paraId="2017EA92"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62.</w:t>
            </w:r>
          </w:p>
        </w:tc>
        <w:tc>
          <w:tcPr>
            <w:tcW w:w="1985" w:type="dxa"/>
          </w:tcPr>
          <w:p w14:paraId="508EAD8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13589</w:t>
            </w:r>
          </w:p>
        </w:tc>
        <w:tc>
          <w:tcPr>
            <w:tcW w:w="6095" w:type="dxa"/>
          </w:tcPr>
          <w:p w14:paraId="0CA38F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siły rozciągania asfaltów modyfikowanych – Metoda z duktylometrem</w:t>
            </w:r>
          </w:p>
        </w:tc>
      </w:tr>
      <w:tr w:rsidR="00955A27" w:rsidRPr="001667DB" w14:paraId="4EC7EB73" w14:textId="77777777" w:rsidTr="001B4B8F">
        <w:tc>
          <w:tcPr>
            <w:tcW w:w="675" w:type="dxa"/>
          </w:tcPr>
          <w:p w14:paraId="01DD7A6F"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63.</w:t>
            </w:r>
          </w:p>
        </w:tc>
        <w:tc>
          <w:tcPr>
            <w:tcW w:w="1985" w:type="dxa"/>
          </w:tcPr>
          <w:p w14:paraId="28AE92D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13703</w:t>
            </w:r>
          </w:p>
        </w:tc>
        <w:tc>
          <w:tcPr>
            <w:tcW w:w="6095" w:type="dxa"/>
          </w:tcPr>
          <w:p w14:paraId="4C43595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energii odkształcenia</w:t>
            </w:r>
          </w:p>
        </w:tc>
      </w:tr>
      <w:tr w:rsidR="00955A27" w:rsidRPr="001667DB" w14:paraId="6AE9164C" w14:textId="77777777" w:rsidTr="001B4B8F">
        <w:tc>
          <w:tcPr>
            <w:tcW w:w="675" w:type="dxa"/>
          </w:tcPr>
          <w:p w14:paraId="66A06A2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64.</w:t>
            </w:r>
          </w:p>
        </w:tc>
        <w:tc>
          <w:tcPr>
            <w:tcW w:w="1985" w:type="dxa"/>
          </w:tcPr>
          <w:p w14:paraId="331435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13808</w:t>
            </w:r>
          </w:p>
        </w:tc>
        <w:tc>
          <w:tcPr>
            <w:tcW w:w="6095" w:type="dxa"/>
          </w:tcPr>
          <w:p w14:paraId="2948DA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kationowych emulsji asfaltowych</w:t>
            </w:r>
          </w:p>
        </w:tc>
      </w:tr>
      <w:tr w:rsidR="00955A27" w:rsidRPr="001667DB" w14:paraId="47CA592C" w14:textId="77777777" w:rsidTr="001B4B8F">
        <w:tc>
          <w:tcPr>
            <w:tcW w:w="675" w:type="dxa"/>
          </w:tcPr>
          <w:p w14:paraId="0B094E0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64a.</w:t>
            </w:r>
          </w:p>
        </w:tc>
        <w:tc>
          <w:tcPr>
            <w:tcW w:w="1985" w:type="dxa"/>
          </w:tcPr>
          <w:p w14:paraId="7F035C7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13808:2013-10/Ap1:2014-07</w:t>
            </w:r>
          </w:p>
        </w:tc>
        <w:tc>
          <w:tcPr>
            <w:tcW w:w="6095" w:type="dxa"/>
          </w:tcPr>
          <w:p w14:paraId="3EFE95E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kationowych emulsji asfaltowych. Załącznik krajowy NA</w:t>
            </w:r>
          </w:p>
        </w:tc>
      </w:tr>
    </w:tbl>
    <w:p w14:paraId="38CBD00A" w14:textId="77777777" w:rsidR="00955A27" w:rsidRPr="001667DB" w:rsidRDefault="00955A27" w:rsidP="00955A27">
      <w:pPr>
        <w:spacing w:after="120" w:line="360" w:lineRule="auto"/>
        <w:rPr>
          <w:rFonts w:ascii="Times New Roman" w:hAnsi="Times New Roman" w:cs="Times New Roman"/>
          <w:color w:val="000000" w:themeColor="text1"/>
        </w:rPr>
      </w:pPr>
    </w:p>
    <w:tbl>
      <w:tblPr>
        <w:tblW w:w="0" w:type="auto"/>
        <w:tblLayout w:type="fixed"/>
        <w:tblLook w:val="01E0" w:firstRow="1" w:lastRow="1" w:firstColumn="1" w:lastColumn="1" w:noHBand="0" w:noVBand="0"/>
      </w:tblPr>
      <w:tblGrid>
        <w:gridCol w:w="675"/>
        <w:gridCol w:w="1985"/>
        <w:gridCol w:w="6095"/>
      </w:tblGrid>
      <w:tr w:rsidR="00955A27" w:rsidRPr="001667DB" w14:paraId="36D80059" w14:textId="77777777" w:rsidTr="001B4B8F">
        <w:tc>
          <w:tcPr>
            <w:tcW w:w="675" w:type="dxa"/>
          </w:tcPr>
          <w:p w14:paraId="7DF8EE6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1985" w:type="dxa"/>
          </w:tcPr>
          <w:p w14:paraId="51DF501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13924-2</w:t>
            </w:r>
          </w:p>
        </w:tc>
        <w:tc>
          <w:tcPr>
            <w:tcW w:w="6095" w:type="dxa"/>
          </w:tcPr>
          <w:p w14:paraId="7F107EA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Asfalty i lepiszcza asfaltowe - Zasady klasyfikacji asfaltów drogowych specjalnych - Część 2: Asfalty drogowe wielorodzajowe </w:t>
            </w:r>
          </w:p>
        </w:tc>
      </w:tr>
      <w:tr w:rsidR="00955A27" w:rsidRPr="001667DB" w14:paraId="5EB26A05" w14:textId="77777777" w:rsidTr="001B4B8F">
        <w:tc>
          <w:tcPr>
            <w:tcW w:w="675" w:type="dxa"/>
          </w:tcPr>
          <w:p w14:paraId="17921FF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65a.</w:t>
            </w:r>
          </w:p>
        </w:tc>
        <w:tc>
          <w:tcPr>
            <w:tcW w:w="1985" w:type="dxa"/>
          </w:tcPr>
          <w:p w14:paraId="5BE1F597" w14:textId="77777777" w:rsidR="00955A27" w:rsidRPr="001667DB"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PN-EN 13924-2:</w:t>
            </w:r>
          </w:p>
          <w:p w14:paraId="0697830B" w14:textId="77777777" w:rsidR="00955A27" w:rsidRPr="001667DB"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2014-04/Ap1:</w:t>
            </w:r>
          </w:p>
          <w:p w14:paraId="7D8AE0A9" w14:textId="77777777" w:rsidR="00955A27" w:rsidRPr="001667DB"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2014-07 i PN-EN 13924-2:2014-04/Ap2:2015-09E</w:t>
            </w:r>
          </w:p>
        </w:tc>
        <w:tc>
          <w:tcPr>
            <w:tcW w:w="6095" w:type="dxa"/>
          </w:tcPr>
          <w:p w14:paraId="53D99E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klasyfikacji asfaltów drogowych specjalnych - Część 2: Asfalty drogowe wielorodzajowe. Załącznik krajowy NA</w:t>
            </w:r>
          </w:p>
        </w:tc>
      </w:tr>
      <w:tr w:rsidR="00955A27" w:rsidRPr="001667DB" w14:paraId="412D2AB6" w14:textId="77777777" w:rsidTr="001B4B8F">
        <w:tc>
          <w:tcPr>
            <w:tcW w:w="675" w:type="dxa"/>
          </w:tcPr>
          <w:p w14:paraId="7D9A3B0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66.</w:t>
            </w:r>
          </w:p>
        </w:tc>
        <w:tc>
          <w:tcPr>
            <w:tcW w:w="1985" w:type="dxa"/>
          </w:tcPr>
          <w:p w14:paraId="20D8378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14023</w:t>
            </w:r>
          </w:p>
        </w:tc>
        <w:tc>
          <w:tcPr>
            <w:tcW w:w="6095" w:type="dxa"/>
          </w:tcPr>
          <w:p w14:paraId="21D69C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asfaltów modyfikowanych polimerami</w:t>
            </w:r>
          </w:p>
        </w:tc>
      </w:tr>
      <w:tr w:rsidR="00955A27" w:rsidRPr="001667DB" w14:paraId="20619A4F" w14:textId="77777777" w:rsidTr="001B4B8F">
        <w:tc>
          <w:tcPr>
            <w:tcW w:w="675" w:type="dxa"/>
          </w:tcPr>
          <w:p w14:paraId="7CCC645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66a.</w:t>
            </w:r>
          </w:p>
        </w:tc>
        <w:tc>
          <w:tcPr>
            <w:tcW w:w="1985" w:type="dxa"/>
          </w:tcPr>
          <w:p w14:paraId="4832C18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14023:2011/Ap1:</w:t>
            </w:r>
          </w:p>
          <w:p w14:paraId="5E3793E3" w14:textId="77777777" w:rsidR="00955A27" w:rsidRPr="001667DB" w:rsidRDefault="00955A27" w:rsidP="00955A27">
            <w:pPr>
              <w:spacing w:after="120" w:line="360" w:lineRule="auto"/>
              <w:rPr>
                <w:rFonts w:ascii="Times New Roman" w:hAnsi="Times New Roman" w:cs="Times New Roman"/>
                <w:color w:val="000000" w:themeColor="text1"/>
                <w:highlight w:val="yellow"/>
              </w:rPr>
            </w:pPr>
            <w:r w:rsidRPr="001667DB">
              <w:rPr>
                <w:rFonts w:ascii="Times New Roman" w:hAnsi="Times New Roman" w:cs="Times New Roman"/>
                <w:color w:val="000000" w:themeColor="text1"/>
              </w:rPr>
              <w:t>2014-04</w:t>
            </w:r>
          </w:p>
        </w:tc>
        <w:tc>
          <w:tcPr>
            <w:tcW w:w="6095" w:type="dxa"/>
          </w:tcPr>
          <w:p w14:paraId="153153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klasyfikacji asfaltów modyfikowanych polimerami. Załącznik krajowy NA</w:t>
            </w:r>
          </w:p>
        </w:tc>
      </w:tr>
      <w:tr w:rsidR="00955A27" w:rsidRPr="001667DB" w14:paraId="182E5180" w14:textId="77777777" w:rsidTr="001B4B8F">
        <w:tc>
          <w:tcPr>
            <w:tcW w:w="675" w:type="dxa"/>
          </w:tcPr>
          <w:p w14:paraId="5B698E3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67.</w:t>
            </w:r>
          </w:p>
        </w:tc>
        <w:tc>
          <w:tcPr>
            <w:tcW w:w="1985" w:type="dxa"/>
          </w:tcPr>
          <w:p w14:paraId="7B825C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14188-1</w:t>
            </w:r>
          </w:p>
        </w:tc>
        <w:tc>
          <w:tcPr>
            <w:tcW w:w="6095" w:type="dxa"/>
          </w:tcPr>
          <w:p w14:paraId="5330F4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Wypełniacze szczelin i zalewy drogowe – Część 1: Wymagania wobec zalew drogowych na gorąco</w:t>
            </w:r>
          </w:p>
        </w:tc>
      </w:tr>
      <w:tr w:rsidR="00955A27" w:rsidRPr="001667DB" w14:paraId="696CB94D" w14:textId="77777777" w:rsidTr="001B4B8F">
        <w:tc>
          <w:tcPr>
            <w:tcW w:w="675" w:type="dxa"/>
          </w:tcPr>
          <w:p w14:paraId="43F94A1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68.</w:t>
            </w:r>
          </w:p>
        </w:tc>
        <w:tc>
          <w:tcPr>
            <w:tcW w:w="1985" w:type="dxa"/>
          </w:tcPr>
          <w:p w14:paraId="4D9CC6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14188-2</w:t>
            </w:r>
          </w:p>
        </w:tc>
        <w:tc>
          <w:tcPr>
            <w:tcW w:w="6095" w:type="dxa"/>
          </w:tcPr>
          <w:p w14:paraId="12873E4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Wypełniacze szczelin i zalewy drogowe – Część 2: Wymagania wobec zalew drogowych na zimno</w:t>
            </w:r>
          </w:p>
        </w:tc>
      </w:tr>
      <w:tr w:rsidR="00955A27" w:rsidRPr="001667DB" w14:paraId="54C7E5E9" w14:textId="77777777" w:rsidTr="001B4B8F">
        <w:tc>
          <w:tcPr>
            <w:tcW w:w="675" w:type="dxa"/>
          </w:tcPr>
          <w:p w14:paraId="0B0DAFD1"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69.</w:t>
            </w:r>
          </w:p>
        </w:tc>
        <w:tc>
          <w:tcPr>
            <w:tcW w:w="1985" w:type="dxa"/>
          </w:tcPr>
          <w:p w14:paraId="271EAD8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22592</w:t>
            </w:r>
          </w:p>
        </w:tc>
        <w:tc>
          <w:tcPr>
            <w:tcW w:w="6095" w:type="dxa"/>
          </w:tcPr>
          <w:p w14:paraId="5EF414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Przetwory naftowe – Oznaczanie temperatury zapłonu i palenia – Pomiar metodą otwartego tygla Clevelanda</w:t>
            </w:r>
          </w:p>
        </w:tc>
      </w:tr>
      <w:tr w:rsidR="00955A27" w:rsidRPr="001667DB" w14:paraId="300245DD" w14:textId="77777777" w:rsidTr="001B4B8F">
        <w:tc>
          <w:tcPr>
            <w:tcW w:w="675" w:type="dxa"/>
          </w:tcPr>
          <w:p w14:paraId="13CC06CC"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70.</w:t>
            </w:r>
          </w:p>
        </w:tc>
        <w:tc>
          <w:tcPr>
            <w:tcW w:w="1985" w:type="dxa"/>
          </w:tcPr>
          <w:p w14:paraId="152D69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ISO 2592</w:t>
            </w:r>
          </w:p>
        </w:tc>
        <w:tc>
          <w:tcPr>
            <w:tcW w:w="6095" w:type="dxa"/>
          </w:tcPr>
          <w:p w14:paraId="0A4263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Oznaczanie temperatury zapłonu i palenia – Metoda otwartego tygla Clevelanda</w:t>
            </w:r>
          </w:p>
        </w:tc>
      </w:tr>
      <w:tr w:rsidR="00955A27" w:rsidRPr="001667DB" w14:paraId="3F919DD1" w14:textId="77777777" w:rsidTr="001B4B8F">
        <w:tc>
          <w:tcPr>
            <w:tcW w:w="675" w:type="dxa"/>
          </w:tcPr>
          <w:p w14:paraId="623EF32B"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71.</w:t>
            </w:r>
          </w:p>
        </w:tc>
        <w:tc>
          <w:tcPr>
            <w:tcW w:w="1985" w:type="dxa"/>
          </w:tcPr>
          <w:p w14:paraId="2403A83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13880-2</w:t>
            </w:r>
          </w:p>
        </w:tc>
        <w:tc>
          <w:tcPr>
            <w:tcW w:w="6095" w:type="dxa"/>
          </w:tcPr>
          <w:p w14:paraId="3B58250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2: Metoda badania dla określenia penetracji stożka w temperaturze 25 C</w:t>
            </w:r>
          </w:p>
        </w:tc>
      </w:tr>
      <w:tr w:rsidR="00955A27" w:rsidRPr="001667DB" w14:paraId="23FBE290" w14:textId="77777777" w:rsidTr="001B4B8F">
        <w:tc>
          <w:tcPr>
            <w:tcW w:w="675" w:type="dxa"/>
          </w:tcPr>
          <w:p w14:paraId="506022B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72.</w:t>
            </w:r>
          </w:p>
        </w:tc>
        <w:tc>
          <w:tcPr>
            <w:tcW w:w="1985" w:type="dxa"/>
          </w:tcPr>
          <w:p w14:paraId="132054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13880-3</w:t>
            </w:r>
          </w:p>
        </w:tc>
        <w:tc>
          <w:tcPr>
            <w:tcW w:w="6095" w:type="dxa"/>
          </w:tcPr>
          <w:p w14:paraId="5A44FF1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3: Metoda badania określająca penetrację i odprężenie sprężyste (odbojność)</w:t>
            </w:r>
          </w:p>
        </w:tc>
      </w:tr>
      <w:tr w:rsidR="00955A27" w:rsidRPr="001667DB" w14:paraId="3E5B3304" w14:textId="77777777" w:rsidTr="001B4B8F">
        <w:tc>
          <w:tcPr>
            <w:tcW w:w="675" w:type="dxa"/>
          </w:tcPr>
          <w:p w14:paraId="112F7ECA"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73.</w:t>
            </w:r>
          </w:p>
        </w:tc>
        <w:tc>
          <w:tcPr>
            <w:tcW w:w="1985" w:type="dxa"/>
          </w:tcPr>
          <w:p w14:paraId="661FC20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13880-5</w:t>
            </w:r>
          </w:p>
        </w:tc>
        <w:tc>
          <w:tcPr>
            <w:tcW w:w="6095" w:type="dxa"/>
          </w:tcPr>
          <w:p w14:paraId="6B628A2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5: Metody badań do oznaczania odporności na spływanie</w:t>
            </w:r>
          </w:p>
        </w:tc>
      </w:tr>
      <w:tr w:rsidR="00955A27" w:rsidRPr="001667DB" w14:paraId="1CFF426C" w14:textId="77777777" w:rsidTr="001B4B8F">
        <w:tc>
          <w:tcPr>
            <w:tcW w:w="675" w:type="dxa"/>
          </w:tcPr>
          <w:p w14:paraId="4BC0FE7D"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74.</w:t>
            </w:r>
          </w:p>
        </w:tc>
        <w:tc>
          <w:tcPr>
            <w:tcW w:w="1985" w:type="dxa"/>
          </w:tcPr>
          <w:p w14:paraId="45EFD9A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13880-6</w:t>
            </w:r>
          </w:p>
        </w:tc>
        <w:tc>
          <w:tcPr>
            <w:tcW w:w="6095" w:type="dxa"/>
          </w:tcPr>
          <w:p w14:paraId="1D7E9AA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6: Metoda przygotowania próbek do badania</w:t>
            </w:r>
          </w:p>
        </w:tc>
      </w:tr>
      <w:tr w:rsidR="00955A27" w:rsidRPr="001667DB" w14:paraId="31EFAE41" w14:textId="77777777" w:rsidTr="001B4B8F">
        <w:tc>
          <w:tcPr>
            <w:tcW w:w="675" w:type="dxa"/>
          </w:tcPr>
          <w:p w14:paraId="07A3EF99"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75.</w:t>
            </w:r>
          </w:p>
        </w:tc>
        <w:tc>
          <w:tcPr>
            <w:tcW w:w="1985" w:type="dxa"/>
          </w:tcPr>
          <w:p w14:paraId="372B633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w:t>
            </w:r>
          </w:p>
        </w:tc>
        <w:tc>
          <w:tcPr>
            <w:tcW w:w="6095" w:type="dxa"/>
          </w:tcPr>
          <w:p w14:paraId="1689723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13: Metoda badania służąca do określenia wydłużenia nieciągłego (próba przyczepności)</w:t>
            </w:r>
          </w:p>
        </w:tc>
      </w:tr>
      <w:tr w:rsidR="00955A27" w:rsidRPr="001667DB" w14:paraId="6FEBAAF4" w14:textId="77777777" w:rsidTr="001B4B8F">
        <w:tc>
          <w:tcPr>
            <w:tcW w:w="675" w:type="dxa"/>
          </w:tcPr>
          <w:p w14:paraId="52FCBA45"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76.</w:t>
            </w:r>
          </w:p>
        </w:tc>
        <w:tc>
          <w:tcPr>
            <w:tcW w:w="1985" w:type="dxa"/>
          </w:tcPr>
          <w:p w14:paraId="4482CDE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DIN 52123</w:t>
            </w:r>
          </w:p>
        </w:tc>
        <w:tc>
          <w:tcPr>
            <w:tcW w:w="6095" w:type="dxa"/>
          </w:tcPr>
          <w:p w14:paraId="69229CF1" w14:textId="77777777" w:rsidR="00955A27" w:rsidRPr="001667DB" w:rsidRDefault="00955A27" w:rsidP="00955A27">
            <w:pPr>
              <w:pStyle w:val="Nagwek2"/>
              <w:spacing w:before="0" w:line="360" w:lineRule="auto"/>
              <w:rPr>
                <w:color w:val="000000" w:themeColor="text1"/>
                <w:sz w:val="22"/>
                <w:szCs w:val="22"/>
              </w:rPr>
            </w:pPr>
            <w:r w:rsidRPr="001667DB">
              <w:rPr>
                <w:rStyle w:val="value"/>
                <w:b w:val="0"/>
                <w:color w:val="000000" w:themeColor="text1"/>
                <w:sz w:val="22"/>
                <w:szCs w:val="22"/>
              </w:rPr>
              <w:t>Prüfung von Bitumen- und Polymerbitumenbahnen (Badanie taśm bitumicznych i polimerowo-bitumicznych)</w:t>
            </w:r>
          </w:p>
        </w:tc>
      </w:tr>
      <w:tr w:rsidR="00955A27" w:rsidRPr="001667DB" w14:paraId="58AD517F" w14:textId="77777777" w:rsidTr="001B4B8F">
        <w:tc>
          <w:tcPr>
            <w:tcW w:w="675" w:type="dxa"/>
          </w:tcPr>
          <w:p w14:paraId="3F0A57F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77.</w:t>
            </w:r>
          </w:p>
        </w:tc>
        <w:tc>
          <w:tcPr>
            <w:tcW w:w="1985" w:type="dxa"/>
          </w:tcPr>
          <w:p w14:paraId="0ADC716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1425</w:t>
            </w:r>
          </w:p>
        </w:tc>
        <w:tc>
          <w:tcPr>
            <w:tcW w:w="6095" w:type="dxa"/>
          </w:tcPr>
          <w:p w14:paraId="45F810E7" w14:textId="77777777" w:rsidR="00955A27" w:rsidRPr="001667DB" w:rsidRDefault="00955A27" w:rsidP="00955A27">
            <w:pPr>
              <w:pStyle w:val="Nagwek2"/>
              <w:spacing w:before="0" w:line="360" w:lineRule="auto"/>
              <w:rPr>
                <w:rStyle w:val="value"/>
                <w:b w:val="0"/>
                <w:color w:val="000000" w:themeColor="text1"/>
                <w:sz w:val="22"/>
                <w:szCs w:val="22"/>
              </w:rPr>
            </w:pPr>
            <w:r w:rsidRPr="001667DB">
              <w:rPr>
                <w:b w:val="0"/>
                <w:color w:val="000000" w:themeColor="text1"/>
                <w:sz w:val="22"/>
                <w:szCs w:val="22"/>
              </w:rPr>
              <w:t>Asfalty i lepiszcza asfaltowe -- Ocena organoleptyczna</w:t>
            </w:r>
          </w:p>
        </w:tc>
      </w:tr>
      <w:tr w:rsidR="00955A27" w:rsidRPr="001667DB" w14:paraId="2498500D" w14:textId="77777777" w:rsidTr="001B4B8F">
        <w:tc>
          <w:tcPr>
            <w:tcW w:w="675" w:type="dxa"/>
          </w:tcPr>
          <w:p w14:paraId="0C1C5E57"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78.</w:t>
            </w:r>
          </w:p>
        </w:tc>
        <w:tc>
          <w:tcPr>
            <w:tcW w:w="1985" w:type="dxa"/>
          </w:tcPr>
          <w:p w14:paraId="375BE3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1428</w:t>
            </w:r>
          </w:p>
        </w:tc>
        <w:tc>
          <w:tcPr>
            <w:tcW w:w="6095" w:type="dxa"/>
          </w:tcPr>
          <w:p w14:paraId="5B45ECBF"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Asfalty i lepiszcza asfaltowe -- Oznaczanie zawartości wody w emulsjach asfaltowych -- Metoda destylacji azeotropowej</w:t>
            </w:r>
          </w:p>
        </w:tc>
      </w:tr>
      <w:tr w:rsidR="00955A27" w:rsidRPr="001667DB" w14:paraId="372F5E3B" w14:textId="77777777" w:rsidTr="001B4B8F">
        <w:tc>
          <w:tcPr>
            <w:tcW w:w="675" w:type="dxa"/>
          </w:tcPr>
          <w:p w14:paraId="0243D573"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t>79.</w:t>
            </w:r>
          </w:p>
        </w:tc>
        <w:tc>
          <w:tcPr>
            <w:tcW w:w="1985" w:type="dxa"/>
          </w:tcPr>
          <w:p w14:paraId="7F603E4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13074-1</w:t>
            </w:r>
          </w:p>
        </w:tc>
        <w:tc>
          <w:tcPr>
            <w:tcW w:w="6095" w:type="dxa"/>
          </w:tcPr>
          <w:p w14:paraId="2A41BE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Odzyskiwanie lepiszcza z emulsji asfaltowych lub asfaltów upłynnionych lub fluksowanych -- Część 1: Odzyskiwanie metodą odparowania</w:t>
            </w:r>
          </w:p>
        </w:tc>
      </w:tr>
      <w:tr w:rsidR="00955A27" w:rsidRPr="001667DB" w14:paraId="7143A72C" w14:textId="77777777" w:rsidTr="001B4B8F">
        <w:tc>
          <w:tcPr>
            <w:tcW w:w="675" w:type="dxa"/>
          </w:tcPr>
          <w:p w14:paraId="2F3EBC60" w14:textId="77777777" w:rsidR="00955A27" w:rsidRPr="001667DB" w:rsidRDefault="00955A27" w:rsidP="00955A27">
            <w:pPr>
              <w:spacing w:after="120" w:line="360" w:lineRule="auto"/>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80.</w:t>
            </w:r>
          </w:p>
        </w:tc>
        <w:tc>
          <w:tcPr>
            <w:tcW w:w="1985" w:type="dxa"/>
          </w:tcPr>
          <w:p w14:paraId="14CD788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13074-2</w:t>
            </w:r>
          </w:p>
        </w:tc>
        <w:tc>
          <w:tcPr>
            <w:tcW w:w="6095" w:type="dxa"/>
          </w:tcPr>
          <w:p w14:paraId="2995C2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Odzyskiwanie lepiszcza z emulsji asfaltowych lub asfaltów upłynnionych lub fluksowanych -- Część 2: Stabilizacja po odzyskaniu metodą odparowania</w:t>
            </w:r>
          </w:p>
        </w:tc>
      </w:tr>
    </w:tbl>
    <w:p w14:paraId="4B713360"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Wymagania techniczne i katalogi</w:t>
      </w:r>
    </w:p>
    <w:p w14:paraId="50CCD565"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mieszanek mineralno-asfaltowych i powierzchniowych utrwaleń </w:t>
      </w:r>
      <w:r w:rsidR="006C3828" w:rsidRPr="001667DB">
        <w:rPr>
          <w:rFonts w:ascii="Times New Roman" w:hAnsi="Times New Roman" w:cs="Times New Roman"/>
          <w:color w:val="000000" w:themeColor="text1"/>
        </w:rPr>
        <w:t>na drogach krajowych - WT-1 2016</w:t>
      </w:r>
      <w:r w:rsidRPr="001667DB">
        <w:rPr>
          <w:rFonts w:ascii="Times New Roman" w:hAnsi="Times New Roman" w:cs="Times New Roman"/>
          <w:color w:val="000000" w:themeColor="text1"/>
        </w:rPr>
        <w:t xml:space="preserve"> - Kruszywa – Wymagania techniczne. Załącznik do Zarządzenia Generalnego Dyrektora Dróg Krajowych i Autostrad nr 46  z dnia 25 września 2014 r. i nr 8 z dnia 9 maja 2016 r.</w:t>
      </w:r>
    </w:p>
    <w:p w14:paraId="5D2376A1"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348AF0C1"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5142F607"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Katalog typowych konstrukcji nawierzchni podatnych i półsztywnych. Załącznik do Zarządzenia nr 31 Generalnego Dyrektora Dróg Krajowych i Autostrad z dnia 16 czerwca 2014 r.</w:t>
      </w:r>
    </w:p>
    <w:p w14:paraId="10E54330"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 xml:space="preserve"> Inne dokumenty</w:t>
      </w:r>
    </w:p>
    <w:p w14:paraId="464F3758"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Transportu i Gospodarki Morskiej z dnia 2 marca 1999 r. w sprawie warunków technicznych, jakim powinny odpowiadać drogi publiczne i ich usytuowanie (jednolity tekst Dz.U. z 2016, poz. 124)</w:t>
      </w:r>
    </w:p>
    <w:p w14:paraId="680AF991" w14:textId="77777777" w:rsidR="00955A27" w:rsidRPr="001667DB" w:rsidRDefault="00955A27" w:rsidP="00904E6C">
      <w:pPr>
        <w:numPr>
          <w:ilvl w:val="0"/>
          <w:numId w:val="143"/>
        </w:numPr>
        <w:tabs>
          <w:tab w:val="left" w:pos="426"/>
        </w:tabs>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Ustawa z dnia 19 sierpnia 2011 r. o przewozie drogowym towarów niebezpiecznych (Dz.U. nr 227, poz. 1367 z późn. zm.)</w:t>
      </w:r>
    </w:p>
    <w:p w14:paraId="08151E46" w14:textId="77777777" w:rsidR="00955A27" w:rsidRPr="001667DB" w:rsidRDefault="00955A27" w:rsidP="00904E6C">
      <w:pPr>
        <w:numPr>
          <w:ilvl w:val="0"/>
          <w:numId w:val="143"/>
        </w:numPr>
        <w:tabs>
          <w:tab w:val="left" w:pos="426"/>
          <w:tab w:val="left" w:pos="567"/>
        </w:tabs>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Instrukcja DP-T 14 Ocena jakości na drogach krajowych Część I - Roboty drogowe.</w:t>
      </w:r>
    </w:p>
    <w:p w14:paraId="2D371ACE" w14:textId="77777777" w:rsidR="000C6336" w:rsidRDefault="000C6336">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360C0D3B" w14:textId="77777777" w:rsidR="00A637AB" w:rsidRPr="009819ED" w:rsidRDefault="00A637AB" w:rsidP="00A637AB">
      <w:pPr>
        <w:jc w:val="both"/>
        <w:rPr>
          <w:rFonts w:ascii="Times New Roman" w:hAnsi="Times New Roman" w:cs="Times New Roman"/>
          <w:b/>
        </w:rPr>
      </w:pPr>
      <w:r w:rsidRPr="009819ED">
        <w:rPr>
          <w:rFonts w:ascii="Times New Roman" w:hAnsi="Times New Roman" w:cs="Times New Roman"/>
          <w:b/>
        </w:rPr>
        <w:lastRenderedPageBreak/>
        <w:t>D - 05.03.04</w:t>
      </w:r>
      <w:r w:rsidRPr="009819ED">
        <w:rPr>
          <w:rFonts w:ascii="Times New Roman" w:hAnsi="Times New Roman" w:cs="Times New Roman"/>
          <w:b/>
        </w:rPr>
        <w:tab/>
      </w:r>
      <w:r w:rsidRPr="009819ED">
        <w:rPr>
          <w:rFonts w:ascii="Times New Roman" w:hAnsi="Times New Roman" w:cs="Times New Roman"/>
          <w:b/>
        </w:rPr>
        <w:tab/>
        <w:t xml:space="preserve">NAWIERZCHNIA Z BETONU CEMENTOWEGO </w:t>
      </w:r>
    </w:p>
    <w:p w14:paraId="07645359" w14:textId="77777777" w:rsidR="00A637AB" w:rsidRPr="009819ED" w:rsidRDefault="00A637AB" w:rsidP="00904E6C">
      <w:pPr>
        <w:pStyle w:val="Nagwek1"/>
        <w:keepLines/>
        <w:numPr>
          <w:ilvl w:val="0"/>
          <w:numId w:val="390"/>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line="240" w:lineRule="auto"/>
        <w:jc w:val="both"/>
        <w:rPr>
          <w:sz w:val="22"/>
          <w:szCs w:val="22"/>
        </w:rPr>
      </w:pPr>
      <w:r w:rsidRPr="009819ED">
        <w:rPr>
          <w:sz w:val="22"/>
          <w:szCs w:val="22"/>
        </w:rPr>
        <w:t>1. WSTĘP</w:t>
      </w:r>
    </w:p>
    <w:p w14:paraId="2EDE38AD"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1.1. Przedmiot ST</w:t>
      </w:r>
    </w:p>
    <w:p w14:paraId="1E31194B" w14:textId="77777777" w:rsidR="00A637AB" w:rsidRPr="009819ED" w:rsidRDefault="00A637AB" w:rsidP="00A637AB">
      <w:pPr>
        <w:pStyle w:val="Standardowytekst0"/>
        <w:rPr>
          <w:b/>
          <w:sz w:val="22"/>
          <w:szCs w:val="22"/>
        </w:rPr>
      </w:pPr>
      <w:r w:rsidRPr="009819ED">
        <w:rPr>
          <w:sz w:val="22"/>
          <w:szCs w:val="22"/>
        </w:rPr>
        <w:tab/>
        <w:t xml:space="preserve">Przedmiotem niniejszej ogólnej specyfikacji technicznej (ST) są wymagania ogólne dotyczące wykonania i odbioru robót związanych z wykonywaniem nawierzchni z betonu cementowego w związku z </w:t>
      </w:r>
      <w:r w:rsidR="002824F8" w:rsidRPr="00FD3B41">
        <w:rPr>
          <w:b/>
          <w:color w:val="000000" w:themeColor="text1"/>
          <w:sz w:val="22"/>
          <w:szCs w:val="22"/>
        </w:rPr>
        <w:t>„Rozbudowa drogi wojewódzkiej nr 461 w m. Dąbrówka Łubniańska i Łubniany” – Etap I ( km od 9+741,88 do 10+371,13)</w:t>
      </w:r>
    </w:p>
    <w:p w14:paraId="5CA420EB"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1.2. Zakres stosowania ST</w:t>
      </w:r>
    </w:p>
    <w:p w14:paraId="1F8FCCF0" w14:textId="77777777" w:rsidR="00A637AB" w:rsidRPr="009819ED" w:rsidRDefault="00A637AB" w:rsidP="00A637AB">
      <w:pPr>
        <w:pStyle w:val="Standardowytekst0"/>
        <w:rPr>
          <w:sz w:val="22"/>
          <w:szCs w:val="22"/>
        </w:rPr>
      </w:pPr>
      <w:r w:rsidRPr="009819ED">
        <w:rPr>
          <w:sz w:val="22"/>
          <w:szCs w:val="22"/>
        </w:rPr>
        <w:tab/>
        <w:t>ST jest stosowana jako dokument przetargowy i kontraktowy przy zlecaniu i realizacji robót wymienionych w pkt.1.1.</w:t>
      </w:r>
    </w:p>
    <w:p w14:paraId="6AB5C670"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1.3. Zakres robót objętych ST</w:t>
      </w:r>
    </w:p>
    <w:p w14:paraId="5A8A99D1"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 xml:space="preserve">Ustalenia zawarte w niniejszej specyfikacji dotyczą zasad prowadzenia robót związanych z wykonywaniem nawierzchni z betonu cementowego. </w:t>
      </w:r>
    </w:p>
    <w:p w14:paraId="123BCCAE" w14:textId="77777777" w:rsidR="00A637AB" w:rsidRPr="009819ED" w:rsidRDefault="00A637AB" w:rsidP="00A637AB">
      <w:pPr>
        <w:ind w:firstLine="567"/>
        <w:jc w:val="both"/>
        <w:rPr>
          <w:rFonts w:ascii="Times New Roman" w:hAnsi="Times New Roman" w:cs="Times New Roman"/>
          <w:b/>
        </w:rPr>
      </w:pPr>
      <w:r w:rsidRPr="009819ED">
        <w:rPr>
          <w:rFonts w:ascii="Times New Roman" w:hAnsi="Times New Roman" w:cs="Times New Roman"/>
        </w:rPr>
        <w:tab/>
        <w:t>Zakres robót obejmuje:</w:t>
      </w:r>
    </w:p>
    <w:p w14:paraId="1B27FC51" w14:textId="77777777" w:rsidR="00A637AB" w:rsidRPr="009819ED" w:rsidRDefault="00A637AB" w:rsidP="00904E6C">
      <w:pPr>
        <w:numPr>
          <w:ilvl w:val="0"/>
          <w:numId w:val="391"/>
        </w:numPr>
        <w:spacing w:after="0" w:line="240" w:lineRule="auto"/>
        <w:jc w:val="both"/>
        <w:rPr>
          <w:rFonts w:ascii="Times New Roman" w:hAnsi="Times New Roman" w:cs="Times New Roman"/>
        </w:rPr>
      </w:pPr>
      <w:r w:rsidRPr="009819ED">
        <w:rPr>
          <w:rFonts w:ascii="Times New Roman" w:hAnsi="Times New Roman" w:cs="Times New Roman"/>
        </w:rPr>
        <w:t>wykonanie nawierzchni z betonu cementowego C30/37 gr. 23 cm na zatoce autobusowej zgodnie z Dokumentacją Projektową.</w:t>
      </w:r>
    </w:p>
    <w:p w14:paraId="68075F61"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1.4. Określenia podstawowe</w:t>
      </w:r>
    </w:p>
    <w:p w14:paraId="7DE2EFAA" w14:textId="77777777" w:rsidR="00A637AB" w:rsidRPr="009819ED" w:rsidRDefault="00A637AB" w:rsidP="00A637AB">
      <w:pPr>
        <w:spacing w:after="29"/>
        <w:jc w:val="both"/>
        <w:rPr>
          <w:rFonts w:ascii="Times New Roman" w:hAnsi="Times New Roman" w:cs="Times New Roman"/>
        </w:rPr>
      </w:pPr>
      <w:r w:rsidRPr="009819ED">
        <w:rPr>
          <w:rFonts w:ascii="Times New Roman" w:hAnsi="Times New Roman" w:cs="Times New Roman"/>
          <w:b/>
        </w:rPr>
        <w:t xml:space="preserve">1.4.1. </w:t>
      </w:r>
      <w:r w:rsidRPr="009819ED">
        <w:rPr>
          <w:rFonts w:ascii="Times New Roman" w:hAnsi="Times New Roman" w:cs="Times New Roman"/>
        </w:rPr>
        <w:t>Beton zwykły - beton o gęstości pozornej powyżej 2,0 kg/dm</w:t>
      </w:r>
      <w:r w:rsidRPr="009819ED">
        <w:rPr>
          <w:rFonts w:ascii="Times New Roman" w:hAnsi="Times New Roman" w:cs="Times New Roman"/>
          <w:vertAlign w:val="superscript"/>
        </w:rPr>
        <w:t>3</w:t>
      </w:r>
      <w:r w:rsidRPr="009819ED">
        <w:rPr>
          <w:rFonts w:ascii="Times New Roman" w:hAnsi="Times New Roman" w:cs="Times New Roman"/>
        </w:rPr>
        <w:t xml:space="preserve"> wykonany z cementu, wody, kruszywa mineralnego o frakcjach piaskowych i grubszych oraz ewentualnych dodatków mineralnych i domieszek chemicznych.</w:t>
      </w:r>
    </w:p>
    <w:p w14:paraId="06114E63" w14:textId="77777777" w:rsidR="00A637AB" w:rsidRPr="009819ED" w:rsidRDefault="00A637AB" w:rsidP="00A637AB">
      <w:pPr>
        <w:spacing w:after="0"/>
        <w:jc w:val="both"/>
        <w:rPr>
          <w:rFonts w:ascii="Times New Roman" w:hAnsi="Times New Roman" w:cs="Times New Roman"/>
        </w:rPr>
      </w:pPr>
      <w:r w:rsidRPr="009819ED">
        <w:rPr>
          <w:rFonts w:ascii="Times New Roman" w:hAnsi="Times New Roman" w:cs="Times New Roman"/>
          <w:b/>
        </w:rPr>
        <w:t xml:space="preserve">1.4.2. </w:t>
      </w:r>
      <w:r w:rsidRPr="009819ED">
        <w:rPr>
          <w:rFonts w:ascii="Times New Roman" w:hAnsi="Times New Roman" w:cs="Times New Roman"/>
        </w:rPr>
        <w:t>Zaczyn cementowy - mieszanina cementu i wody.</w:t>
      </w:r>
    </w:p>
    <w:p w14:paraId="60F8E8BB" w14:textId="77777777" w:rsidR="00A637AB" w:rsidRPr="009819ED" w:rsidRDefault="00A637AB" w:rsidP="00A637AB">
      <w:pPr>
        <w:spacing w:after="0"/>
        <w:jc w:val="both"/>
        <w:rPr>
          <w:rFonts w:ascii="Times New Roman" w:hAnsi="Times New Roman" w:cs="Times New Roman"/>
        </w:rPr>
      </w:pPr>
      <w:r w:rsidRPr="009819ED">
        <w:rPr>
          <w:rFonts w:ascii="Times New Roman" w:hAnsi="Times New Roman" w:cs="Times New Roman"/>
          <w:b/>
        </w:rPr>
        <w:t xml:space="preserve">1.4.3. </w:t>
      </w:r>
      <w:r w:rsidRPr="009819ED">
        <w:rPr>
          <w:rFonts w:ascii="Times New Roman" w:hAnsi="Times New Roman" w:cs="Times New Roman"/>
        </w:rPr>
        <w:t>Zaprawa cementowa - mieszanina cementu, kruszywa mineralnego do 2 mm i wody.</w:t>
      </w:r>
    </w:p>
    <w:p w14:paraId="480533B0" w14:textId="77777777" w:rsidR="00A637AB" w:rsidRPr="009819ED" w:rsidRDefault="00A637AB" w:rsidP="00A637AB">
      <w:pPr>
        <w:spacing w:after="0"/>
        <w:jc w:val="both"/>
        <w:rPr>
          <w:rFonts w:ascii="Times New Roman" w:hAnsi="Times New Roman" w:cs="Times New Roman"/>
        </w:rPr>
      </w:pPr>
      <w:r w:rsidRPr="009819ED">
        <w:rPr>
          <w:rFonts w:ascii="Times New Roman" w:hAnsi="Times New Roman" w:cs="Times New Roman"/>
          <w:b/>
        </w:rPr>
        <w:t xml:space="preserve">1.4.4. </w:t>
      </w:r>
      <w:r w:rsidRPr="009819ED">
        <w:rPr>
          <w:rFonts w:ascii="Times New Roman" w:hAnsi="Times New Roman" w:cs="Times New Roman"/>
        </w:rPr>
        <w:t>Mieszanka betonowa - mieszanina wszystkich składników użytych do wykonania betonu przed zagęszczeniem.</w:t>
      </w:r>
    </w:p>
    <w:p w14:paraId="0A9CB40B" w14:textId="77777777" w:rsidR="00A637AB" w:rsidRPr="009819ED" w:rsidRDefault="00A637AB" w:rsidP="00A637AB">
      <w:pPr>
        <w:spacing w:after="0"/>
        <w:jc w:val="both"/>
        <w:rPr>
          <w:rFonts w:ascii="Times New Roman" w:hAnsi="Times New Roman" w:cs="Times New Roman"/>
        </w:rPr>
      </w:pPr>
      <w:r w:rsidRPr="009819ED">
        <w:rPr>
          <w:rFonts w:ascii="Times New Roman" w:hAnsi="Times New Roman" w:cs="Times New Roman"/>
          <w:b/>
        </w:rPr>
        <w:t xml:space="preserve">1.4.5. </w:t>
      </w:r>
      <w:r w:rsidRPr="009819ED">
        <w:rPr>
          <w:rFonts w:ascii="Times New Roman" w:hAnsi="Times New Roman" w:cs="Times New Roman"/>
        </w:rPr>
        <w:t xml:space="preserve">Klasa betonu - symbol literowo-liczbowy (np. betonu klasy B40 przy </w:t>
      </w:r>
      <m:oMath>
        <m:sSubSup>
          <m:sSubSupPr>
            <m:ctrlPr>
              <w:rPr>
                <w:rFonts w:ascii="Cambria Math" w:hAnsi="Cambria Math" w:cs="Times New Roman"/>
              </w:rPr>
            </m:ctrlPr>
          </m:sSubSupPr>
          <m:e>
            <m:r>
              <w:rPr>
                <w:rFonts w:ascii="Cambria Math" w:hAnsi="Cambria Math" w:cs="Times New Roman"/>
              </w:rPr>
              <m:t>R</m:t>
            </m:r>
          </m:e>
          <m:sub>
            <m:r>
              <w:rPr>
                <w:rFonts w:ascii="Cambria Math" w:hAnsi="Cambria Math" w:cs="Times New Roman"/>
              </w:rPr>
              <m:t>b</m:t>
            </m:r>
          </m:sub>
          <m:sup>
            <m:r>
              <w:rPr>
                <w:rFonts w:ascii="Cambria Math" w:hAnsi="Cambria Math" w:cs="Times New Roman"/>
              </w:rPr>
              <m:t>G</m:t>
            </m:r>
          </m:sup>
        </m:sSubSup>
      </m:oMath>
      <w:r w:rsidRPr="009819ED">
        <w:rPr>
          <w:rFonts w:ascii="Times New Roman" w:hAnsi="Times New Roman" w:cs="Times New Roman"/>
        </w:rPr>
        <w:t xml:space="preserve"> = 40 MPa) określający wytrzymałość gwarantowaną betonu (</w:t>
      </w:r>
      <m:oMath>
        <m:sSubSup>
          <m:sSubSupPr>
            <m:ctrlPr>
              <w:rPr>
                <w:rFonts w:ascii="Cambria Math" w:hAnsi="Cambria Math" w:cs="Times New Roman"/>
              </w:rPr>
            </m:ctrlPr>
          </m:sSubSupPr>
          <m:e>
            <m:r>
              <w:rPr>
                <w:rFonts w:ascii="Cambria Math" w:hAnsi="Cambria Math" w:cs="Times New Roman"/>
              </w:rPr>
              <m:t>R</m:t>
            </m:r>
          </m:e>
          <m:sub>
            <m:r>
              <w:rPr>
                <w:rFonts w:ascii="Cambria Math" w:hAnsi="Cambria Math" w:cs="Times New Roman"/>
              </w:rPr>
              <m:t>b</m:t>
            </m:r>
          </m:sub>
          <m:sup>
            <m:r>
              <w:rPr>
                <w:rFonts w:ascii="Cambria Math" w:hAnsi="Cambria Math" w:cs="Times New Roman"/>
              </w:rPr>
              <m:t>G</m:t>
            </m:r>
          </m:sup>
        </m:sSubSup>
      </m:oMath>
      <w:r w:rsidRPr="009819ED">
        <w:rPr>
          <w:rFonts w:ascii="Times New Roman" w:hAnsi="Times New Roman" w:cs="Times New Roman"/>
        </w:rPr>
        <w:t>).</w:t>
      </w:r>
    </w:p>
    <w:p w14:paraId="38B3B9F3"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1.4.6. </w:t>
      </w:r>
      <w:r w:rsidRPr="009819ED">
        <w:rPr>
          <w:rFonts w:ascii="Times New Roman" w:hAnsi="Times New Roman" w:cs="Times New Roman"/>
        </w:rPr>
        <w:t>Beton napowietrzony - beton zawierający dodatkowo wprowadzone powietrze w postaci pęcherzyków, w ilości nie mniejszej niż 3,5% objętości zagęszczonej masy betonowej, a powstałe w wyniku działania domieszek napowietrzających, dodanych do mieszanki betonowej.</w:t>
      </w:r>
    </w:p>
    <w:p w14:paraId="61F182B5"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1.4.7. </w:t>
      </w:r>
      <w:r w:rsidRPr="009819ED">
        <w:rPr>
          <w:rFonts w:ascii="Times New Roman" w:hAnsi="Times New Roman" w:cs="Times New Roman"/>
        </w:rPr>
        <w:t>Beton nawierzchniowy - beton napowietrzony o określonej wytrzymałości na rozciąganie przy zginaniu i mrozoodporności, wbudowany w nawierzchnię.</w:t>
      </w:r>
    </w:p>
    <w:p w14:paraId="09303505"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1.4.8. </w:t>
      </w:r>
      <w:r w:rsidRPr="009819ED">
        <w:rPr>
          <w:rFonts w:ascii="Times New Roman" w:hAnsi="Times New Roman" w:cs="Times New Roman"/>
        </w:rPr>
        <w:t>Domieszki napowietrzające - preparaty powierzchniowo czynne umożliwiające wprowadzenie podczas mieszania mieszanki betonowej określonej ilości drobnych równomiernie rozmieszczonych pęcherzyków powietrza, które powstają w betonie stwardniałym.</w:t>
      </w:r>
    </w:p>
    <w:p w14:paraId="196EBD70" w14:textId="77777777" w:rsidR="00A637AB" w:rsidRPr="009819ED" w:rsidRDefault="00A637AB" w:rsidP="00A637AB">
      <w:pPr>
        <w:spacing w:after="0"/>
        <w:jc w:val="both"/>
        <w:rPr>
          <w:rFonts w:ascii="Times New Roman" w:hAnsi="Times New Roman" w:cs="Times New Roman"/>
        </w:rPr>
      </w:pPr>
      <w:r w:rsidRPr="009819ED">
        <w:rPr>
          <w:rFonts w:ascii="Times New Roman" w:hAnsi="Times New Roman" w:cs="Times New Roman"/>
          <w:b/>
        </w:rPr>
        <w:t xml:space="preserve">1.4.9. </w:t>
      </w:r>
      <w:r w:rsidRPr="009819ED">
        <w:rPr>
          <w:rFonts w:ascii="Times New Roman" w:hAnsi="Times New Roman" w:cs="Times New Roman"/>
        </w:rPr>
        <w:t>Preparaty pielęgnacyjne - produkty ciekłe służące do pielęgnacji świeżego betonu. Naniesione na jego powierzchnię, wytwarzają „powłokę” pielęgnacyjną, zabezpieczającą powierzchnię betonu przed odparowaniem wody.</w:t>
      </w:r>
    </w:p>
    <w:p w14:paraId="48662324"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1.4.10. </w:t>
      </w:r>
      <w:r w:rsidRPr="009819ED">
        <w:rPr>
          <w:rFonts w:ascii="Times New Roman" w:hAnsi="Times New Roman" w:cs="Times New Roman"/>
        </w:rPr>
        <w:t>Szczelina rozszerzania - szczelina dzieląca płyty betonowe na całej ich grubości i umożliwiająca wydłużanie się i kurczenie płyt.</w:t>
      </w:r>
    </w:p>
    <w:p w14:paraId="115EF16D"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1.4.11. </w:t>
      </w:r>
      <w:r w:rsidRPr="009819ED">
        <w:rPr>
          <w:rFonts w:ascii="Times New Roman" w:hAnsi="Times New Roman" w:cs="Times New Roman"/>
        </w:rPr>
        <w:t>Szczelina skurczowa pełna - szczelina dzieląca płyty betonowe na całej grubości i umożliwiająca tylko kurczenie się płyt.</w:t>
      </w:r>
    </w:p>
    <w:p w14:paraId="026091CE"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lastRenderedPageBreak/>
        <w:t xml:space="preserve">1.4.12. </w:t>
      </w:r>
      <w:r w:rsidRPr="009819ED">
        <w:rPr>
          <w:rFonts w:ascii="Times New Roman" w:hAnsi="Times New Roman" w:cs="Times New Roman"/>
        </w:rPr>
        <w:t>Szczelina skurczowa pozorna - szczelina dzieląca płyty betonowe w części górnej przekroju poprzecznego.</w:t>
      </w:r>
    </w:p>
    <w:p w14:paraId="4DC64FF2"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1.4.13. </w:t>
      </w:r>
      <w:r w:rsidRPr="009819ED">
        <w:rPr>
          <w:rFonts w:ascii="Times New Roman" w:hAnsi="Times New Roman" w:cs="Times New Roman"/>
        </w:rPr>
        <w:t>Szczelina podłużna - szczelina skurczowa wykonana wzdłuż osi drogi.</w:t>
      </w:r>
    </w:p>
    <w:p w14:paraId="4BF5D507"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1.4.14. </w:t>
      </w:r>
      <w:r w:rsidRPr="009819ED">
        <w:rPr>
          <w:rFonts w:ascii="Times New Roman" w:hAnsi="Times New Roman" w:cs="Times New Roman"/>
        </w:rPr>
        <w:t>Masa zalewowa na gorąco - mieszanina składająca się z asfaltu drogowego, modyfikowanego dodatkiem kauczuku lub żywic syntetycznych, wypełniaczy i innych dodatków uszlachetniających, przeznaczona do wypełniania szczelin nawierzchni na gorąco.</w:t>
      </w:r>
    </w:p>
    <w:p w14:paraId="30FA3D6B"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1.4.15. </w:t>
      </w:r>
      <w:r w:rsidRPr="009819ED">
        <w:rPr>
          <w:rFonts w:ascii="Times New Roman" w:hAnsi="Times New Roman" w:cs="Times New Roman"/>
        </w:rPr>
        <w:t>Masa zalewowa na zimno - mieszanina żywic syntetycznych, jedno- lub dwuskładnikowych, zawierająca konieczne dodatki uszlachetniające i wypełniające, przeznaczona do wypełniania szczelin na zimno.</w:t>
      </w:r>
    </w:p>
    <w:p w14:paraId="0B12FD7A"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1.4.16. </w:t>
      </w:r>
      <w:r w:rsidRPr="009819ED">
        <w:rPr>
          <w:rFonts w:ascii="Times New Roman" w:hAnsi="Times New Roman" w:cs="Times New Roman"/>
        </w:rPr>
        <w:t>Powstałe określenia podstawowe są zgodne z obowiązującymi, odpowiednimi polskimi normami i z definicjami podanymi w ST D-M-00.00.00 „Wymagania ogólne” pkt 1.4.</w:t>
      </w:r>
    </w:p>
    <w:p w14:paraId="7292EF5C"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 xml:space="preserve">1.5. Ogólne wymagania dotyczące robót </w:t>
      </w:r>
    </w:p>
    <w:p w14:paraId="09F5858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Ogólne wymagania dotyczące robót podano w ST D-M-00.00.00 „Wymagania ogólne” pkt 1.5.</w:t>
      </w:r>
    </w:p>
    <w:p w14:paraId="2B111FB5" w14:textId="77777777" w:rsidR="00A637AB" w:rsidRPr="009819ED" w:rsidRDefault="00A637AB" w:rsidP="00904E6C">
      <w:pPr>
        <w:pStyle w:val="Nagwek1"/>
        <w:keepLines/>
        <w:numPr>
          <w:ilvl w:val="0"/>
          <w:numId w:val="390"/>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line="240" w:lineRule="auto"/>
        <w:jc w:val="both"/>
        <w:rPr>
          <w:sz w:val="22"/>
          <w:szCs w:val="22"/>
        </w:rPr>
      </w:pPr>
      <w:r w:rsidRPr="009819ED">
        <w:rPr>
          <w:sz w:val="22"/>
          <w:szCs w:val="22"/>
        </w:rPr>
        <w:t>2. materiały</w:t>
      </w:r>
    </w:p>
    <w:p w14:paraId="4AFA200B"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2.1. Ogólne wymagania dotyczące materiałów</w:t>
      </w:r>
    </w:p>
    <w:p w14:paraId="78AC362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Ogólne wymagania dotyczące materiałów, ich pozyskiwania i składowania, podano w ST D-M-00.00.00 „Wymagania ogólne” pkt 2.</w:t>
      </w:r>
    </w:p>
    <w:p w14:paraId="01A6BFE1"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2.2. Cement</w:t>
      </w:r>
    </w:p>
    <w:p w14:paraId="751BCD50"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Należy stosować cementy, których właściwości odpowiadają wymaganiom normy PN-EN197-1:2002 [5].</w:t>
      </w:r>
    </w:p>
    <w:p w14:paraId="46A06735" w14:textId="77777777" w:rsidR="00A637AB" w:rsidRPr="009819ED" w:rsidRDefault="00A637AB" w:rsidP="00A637AB">
      <w:pPr>
        <w:pStyle w:val="Standardowytekst0"/>
        <w:rPr>
          <w:sz w:val="22"/>
          <w:szCs w:val="22"/>
        </w:rPr>
      </w:pPr>
      <w:r w:rsidRPr="009819ED">
        <w:rPr>
          <w:sz w:val="22"/>
          <w:szCs w:val="22"/>
        </w:rPr>
        <w:tab/>
        <w:t>Dla dróg o kategorii ruchu od KR4 do KR6 należy stosować cementy portlandzkie CEM I 32,5 N; CEM I 32,5 R i CEM I 42,5 N; CEM I 42,5 R.</w:t>
      </w:r>
    </w:p>
    <w:p w14:paraId="12A425E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Dla dróg o niższej kategorii ruchu nie wprowadza się ograniczeń stosowania cementu.</w:t>
      </w:r>
    </w:p>
    <w:p w14:paraId="3E4F2453"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 xml:space="preserve">W przypadku wykonywania nawierzchni betonowej dwuwarstwowej, do obu warstw należy stosować ten sam rodzaj i klasę cementu. </w:t>
      </w:r>
    </w:p>
    <w:p w14:paraId="7D316555" w14:textId="77777777" w:rsidR="00A637AB" w:rsidRPr="009819ED" w:rsidRDefault="00A637AB" w:rsidP="00A637AB">
      <w:pPr>
        <w:ind w:firstLine="708"/>
        <w:jc w:val="both"/>
        <w:rPr>
          <w:rFonts w:ascii="Times New Roman" w:hAnsi="Times New Roman" w:cs="Times New Roman"/>
        </w:rPr>
      </w:pPr>
      <w:r w:rsidRPr="009819ED">
        <w:rPr>
          <w:rFonts w:ascii="Times New Roman" w:hAnsi="Times New Roman" w:cs="Times New Roman"/>
        </w:rPr>
        <w:t>Przechowywanie cementu powinno się odbywać zgodnie z BN-88/6731-08 [43].</w:t>
      </w:r>
    </w:p>
    <w:p w14:paraId="6B095E45"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 xml:space="preserve">Rodzaje cementów do drogowych nawierzchni betonowych podano w tablicy 2. </w:t>
      </w:r>
    </w:p>
    <w:p w14:paraId="61726896" w14:textId="77777777" w:rsidR="00A637AB" w:rsidRPr="009819ED" w:rsidRDefault="00A637AB" w:rsidP="00A637AB">
      <w:pPr>
        <w:pStyle w:val="Standardowytekst0"/>
        <w:spacing w:after="120"/>
        <w:rPr>
          <w:sz w:val="22"/>
          <w:szCs w:val="22"/>
        </w:rPr>
      </w:pPr>
      <w:r w:rsidRPr="009819ED">
        <w:rPr>
          <w:sz w:val="22"/>
          <w:szCs w:val="22"/>
        </w:rPr>
        <w:t>Tablica 2. Cementy do drogowych nawierzchni betonowych</w:t>
      </w:r>
    </w:p>
    <w:tbl>
      <w:tblPr>
        <w:tblW w:w="7629" w:type="dxa"/>
        <w:tblInd w:w="-149"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1354"/>
        <w:gridCol w:w="731"/>
        <w:gridCol w:w="1696"/>
        <w:gridCol w:w="878"/>
        <w:gridCol w:w="1286"/>
        <w:gridCol w:w="1684"/>
      </w:tblGrid>
      <w:tr w:rsidR="00A637AB" w:rsidRPr="009819ED" w14:paraId="77ECBF2E" w14:textId="77777777" w:rsidTr="00C72960">
        <w:tc>
          <w:tcPr>
            <w:tcW w:w="1029" w:type="dxa"/>
            <w:tcBorders>
              <w:top w:val="single" w:sz="6" w:space="0" w:color="000000"/>
              <w:left w:val="single" w:sz="6" w:space="0" w:color="000000"/>
              <w:bottom w:val="double" w:sz="6" w:space="0" w:color="000000"/>
            </w:tcBorders>
            <w:shd w:val="clear" w:color="auto" w:fill="auto"/>
          </w:tcPr>
          <w:p w14:paraId="7D233581" w14:textId="77777777" w:rsidR="00A637AB" w:rsidRPr="009819ED" w:rsidRDefault="00A637AB" w:rsidP="00C72960">
            <w:pPr>
              <w:pStyle w:val="Standardowytekst0"/>
              <w:jc w:val="center"/>
              <w:rPr>
                <w:sz w:val="22"/>
                <w:szCs w:val="22"/>
              </w:rPr>
            </w:pPr>
            <w:r w:rsidRPr="009819ED">
              <w:rPr>
                <w:sz w:val="22"/>
                <w:szCs w:val="22"/>
              </w:rPr>
              <w:t>Rodzaje nawierzchni</w:t>
            </w:r>
          </w:p>
        </w:tc>
        <w:tc>
          <w:tcPr>
            <w:tcW w:w="709" w:type="dxa"/>
            <w:tcBorders>
              <w:top w:val="single" w:sz="6" w:space="0" w:color="000000"/>
              <w:left w:val="single" w:sz="6" w:space="0" w:color="000000"/>
              <w:bottom w:val="double" w:sz="6" w:space="0" w:color="000000"/>
            </w:tcBorders>
            <w:shd w:val="clear" w:color="auto" w:fill="auto"/>
          </w:tcPr>
          <w:p w14:paraId="4AC88F19" w14:textId="77777777" w:rsidR="00A637AB" w:rsidRPr="009819ED" w:rsidRDefault="00A637AB" w:rsidP="00C72960">
            <w:pPr>
              <w:pStyle w:val="Standardowytekst0"/>
              <w:jc w:val="center"/>
              <w:rPr>
                <w:sz w:val="22"/>
                <w:szCs w:val="22"/>
              </w:rPr>
            </w:pPr>
            <w:r w:rsidRPr="009819ED">
              <w:rPr>
                <w:sz w:val="22"/>
                <w:szCs w:val="22"/>
              </w:rPr>
              <w:t>Klasa betonu</w:t>
            </w:r>
          </w:p>
        </w:tc>
        <w:tc>
          <w:tcPr>
            <w:tcW w:w="1417" w:type="dxa"/>
            <w:tcBorders>
              <w:top w:val="single" w:sz="6" w:space="0" w:color="000000"/>
              <w:left w:val="single" w:sz="6" w:space="0" w:color="000000"/>
              <w:bottom w:val="double" w:sz="6" w:space="0" w:color="000000"/>
            </w:tcBorders>
            <w:shd w:val="clear" w:color="auto" w:fill="auto"/>
          </w:tcPr>
          <w:p w14:paraId="0B268807" w14:textId="77777777" w:rsidR="00A637AB" w:rsidRPr="009819ED" w:rsidRDefault="00A637AB" w:rsidP="00C72960">
            <w:pPr>
              <w:pStyle w:val="Standardowytekst0"/>
              <w:spacing w:before="120"/>
              <w:jc w:val="center"/>
              <w:rPr>
                <w:sz w:val="22"/>
                <w:szCs w:val="22"/>
              </w:rPr>
            </w:pPr>
            <w:r w:rsidRPr="009819ED">
              <w:rPr>
                <w:sz w:val="22"/>
                <w:szCs w:val="22"/>
              </w:rPr>
              <w:t>Rodzaj cementu</w:t>
            </w:r>
          </w:p>
        </w:tc>
        <w:tc>
          <w:tcPr>
            <w:tcW w:w="851" w:type="dxa"/>
            <w:tcBorders>
              <w:top w:val="single" w:sz="6" w:space="0" w:color="000000"/>
              <w:left w:val="single" w:sz="6" w:space="0" w:color="000000"/>
              <w:bottom w:val="double" w:sz="6" w:space="0" w:color="000000"/>
            </w:tcBorders>
            <w:shd w:val="clear" w:color="auto" w:fill="auto"/>
          </w:tcPr>
          <w:p w14:paraId="603D3521" w14:textId="77777777" w:rsidR="00A637AB" w:rsidRPr="009819ED" w:rsidRDefault="00A637AB" w:rsidP="00C72960">
            <w:pPr>
              <w:pStyle w:val="Standardowytekst0"/>
              <w:jc w:val="center"/>
              <w:rPr>
                <w:sz w:val="22"/>
                <w:szCs w:val="22"/>
              </w:rPr>
            </w:pPr>
            <w:r w:rsidRPr="009819ED">
              <w:rPr>
                <w:sz w:val="22"/>
                <w:szCs w:val="22"/>
              </w:rPr>
              <w:t>Klasa cementu</w:t>
            </w:r>
          </w:p>
        </w:tc>
        <w:tc>
          <w:tcPr>
            <w:tcW w:w="1437" w:type="dxa"/>
            <w:tcBorders>
              <w:top w:val="single" w:sz="6" w:space="0" w:color="000000"/>
              <w:left w:val="single" w:sz="6" w:space="0" w:color="000000"/>
              <w:bottom w:val="double" w:sz="6" w:space="0" w:color="000000"/>
            </w:tcBorders>
            <w:shd w:val="clear" w:color="auto" w:fill="auto"/>
          </w:tcPr>
          <w:p w14:paraId="272C22DC" w14:textId="77777777" w:rsidR="00A637AB" w:rsidRPr="009819ED" w:rsidRDefault="00A637AB" w:rsidP="00C72960">
            <w:pPr>
              <w:pStyle w:val="Standardowytekst0"/>
              <w:jc w:val="center"/>
              <w:rPr>
                <w:sz w:val="22"/>
                <w:szCs w:val="22"/>
              </w:rPr>
            </w:pPr>
            <w:r w:rsidRPr="009819ED">
              <w:rPr>
                <w:sz w:val="22"/>
                <w:szCs w:val="22"/>
              </w:rPr>
              <w:t>Wymagania normowe</w:t>
            </w:r>
          </w:p>
        </w:tc>
        <w:tc>
          <w:tcPr>
            <w:tcW w:w="2186" w:type="dxa"/>
            <w:tcBorders>
              <w:top w:val="single" w:sz="6" w:space="0" w:color="000000"/>
              <w:left w:val="single" w:sz="6" w:space="0" w:color="000000"/>
              <w:bottom w:val="double" w:sz="6" w:space="0" w:color="000000"/>
              <w:right w:val="single" w:sz="6" w:space="0" w:color="000000"/>
            </w:tcBorders>
            <w:shd w:val="clear" w:color="auto" w:fill="auto"/>
          </w:tcPr>
          <w:p w14:paraId="63420CAA" w14:textId="77777777" w:rsidR="00A637AB" w:rsidRPr="009819ED" w:rsidRDefault="00A637AB" w:rsidP="00C72960">
            <w:pPr>
              <w:pStyle w:val="Standardowytekst0"/>
              <w:spacing w:before="120"/>
              <w:jc w:val="center"/>
              <w:rPr>
                <w:sz w:val="22"/>
                <w:szCs w:val="22"/>
              </w:rPr>
            </w:pPr>
            <w:r w:rsidRPr="009819ED">
              <w:rPr>
                <w:sz w:val="22"/>
                <w:szCs w:val="22"/>
              </w:rPr>
              <w:t>Wymagania specjalne</w:t>
            </w:r>
          </w:p>
        </w:tc>
      </w:tr>
      <w:tr w:rsidR="00A637AB" w:rsidRPr="009819ED" w14:paraId="64007E31" w14:textId="77777777" w:rsidTr="00C72960">
        <w:tc>
          <w:tcPr>
            <w:tcW w:w="1029" w:type="dxa"/>
            <w:tcBorders>
              <w:left w:val="single" w:sz="6" w:space="0" w:color="000000"/>
            </w:tcBorders>
            <w:shd w:val="clear" w:color="auto" w:fill="auto"/>
            <w:vAlign w:val="bottom"/>
          </w:tcPr>
          <w:p w14:paraId="506F375A" w14:textId="77777777" w:rsidR="00A637AB" w:rsidRPr="009819ED" w:rsidRDefault="00A637AB" w:rsidP="00C72960">
            <w:pPr>
              <w:pStyle w:val="Standardowytekst0"/>
              <w:jc w:val="center"/>
              <w:rPr>
                <w:sz w:val="22"/>
                <w:szCs w:val="22"/>
              </w:rPr>
            </w:pPr>
            <w:r w:rsidRPr="009819ED">
              <w:rPr>
                <w:sz w:val="22"/>
                <w:szCs w:val="22"/>
              </w:rPr>
              <w:t xml:space="preserve">Typowa nawierzchnia </w:t>
            </w:r>
          </w:p>
        </w:tc>
        <w:tc>
          <w:tcPr>
            <w:tcW w:w="709" w:type="dxa"/>
            <w:tcBorders>
              <w:left w:val="single" w:sz="6" w:space="0" w:color="000000"/>
            </w:tcBorders>
            <w:shd w:val="clear" w:color="auto" w:fill="auto"/>
          </w:tcPr>
          <w:p w14:paraId="55AB6A69" w14:textId="77777777" w:rsidR="00A637AB" w:rsidRPr="009819ED" w:rsidRDefault="00A637AB" w:rsidP="00C72960">
            <w:pPr>
              <w:pStyle w:val="Standardowytekst0"/>
              <w:snapToGrid w:val="0"/>
              <w:jc w:val="center"/>
              <w:rPr>
                <w:sz w:val="22"/>
                <w:szCs w:val="22"/>
              </w:rPr>
            </w:pPr>
          </w:p>
          <w:p w14:paraId="2C1E1B82" w14:textId="77777777" w:rsidR="00A637AB" w:rsidRPr="009819ED" w:rsidRDefault="00A637AB" w:rsidP="00C72960">
            <w:pPr>
              <w:pStyle w:val="Standardowytekst0"/>
              <w:jc w:val="center"/>
              <w:rPr>
                <w:sz w:val="22"/>
                <w:szCs w:val="22"/>
              </w:rPr>
            </w:pPr>
          </w:p>
          <w:p w14:paraId="1A120A25" w14:textId="77777777" w:rsidR="00A637AB" w:rsidRPr="009819ED" w:rsidRDefault="00A637AB" w:rsidP="00C72960">
            <w:pPr>
              <w:pStyle w:val="Standardowytekst0"/>
              <w:jc w:val="center"/>
              <w:rPr>
                <w:sz w:val="22"/>
                <w:szCs w:val="22"/>
              </w:rPr>
            </w:pPr>
          </w:p>
          <w:p w14:paraId="411BDE98" w14:textId="77777777" w:rsidR="00A637AB" w:rsidRPr="009819ED" w:rsidRDefault="00A637AB" w:rsidP="00C72960">
            <w:pPr>
              <w:pStyle w:val="Standardowytekst0"/>
              <w:jc w:val="center"/>
              <w:rPr>
                <w:sz w:val="22"/>
                <w:szCs w:val="22"/>
              </w:rPr>
            </w:pPr>
          </w:p>
          <w:p w14:paraId="65374D0D" w14:textId="77777777" w:rsidR="00A637AB" w:rsidRPr="009819ED" w:rsidRDefault="00A637AB" w:rsidP="00C72960">
            <w:pPr>
              <w:pStyle w:val="Standardowytekst0"/>
              <w:jc w:val="center"/>
              <w:rPr>
                <w:sz w:val="22"/>
                <w:szCs w:val="22"/>
              </w:rPr>
            </w:pPr>
          </w:p>
          <w:p w14:paraId="1593D1C7" w14:textId="77777777" w:rsidR="00A637AB" w:rsidRPr="009819ED" w:rsidRDefault="00A637AB" w:rsidP="00C72960">
            <w:pPr>
              <w:pStyle w:val="Standardowytekst0"/>
              <w:jc w:val="center"/>
              <w:rPr>
                <w:sz w:val="22"/>
                <w:szCs w:val="22"/>
              </w:rPr>
            </w:pPr>
          </w:p>
          <w:p w14:paraId="62E381E7" w14:textId="77777777" w:rsidR="00A637AB" w:rsidRPr="009819ED" w:rsidRDefault="00A637AB" w:rsidP="00C72960">
            <w:pPr>
              <w:pStyle w:val="Standardowytekst0"/>
              <w:jc w:val="center"/>
              <w:rPr>
                <w:sz w:val="22"/>
                <w:szCs w:val="22"/>
              </w:rPr>
            </w:pPr>
          </w:p>
          <w:p w14:paraId="4CFB671D" w14:textId="77777777" w:rsidR="00A637AB" w:rsidRPr="009819ED" w:rsidRDefault="00A637AB" w:rsidP="00C72960">
            <w:pPr>
              <w:pStyle w:val="Standardowytekst0"/>
              <w:jc w:val="center"/>
              <w:rPr>
                <w:sz w:val="22"/>
                <w:szCs w:val="22"/>
              </w:rPr>
            </w:pPr>
          </w:p>
          <w:p w14:paraId="63AFA876" w14:textId="77777777" w:rsidR="00A637AB" w:rsidRPr="009819ED" w:rsidRDefault="00A637AB" w:rsidP="00C72960">
            <w:pPr>
              <w:pStyle w:val="Standardowytekst0"/>
              <w:jc w:val="center"/>
              <w:rPr>
                <w:sz w:val="22"/>
                <w:szCs w:val="22"/>
              </w:rPr>
            </w:pPr>
            <w:r w:rsidRPr="009819ED">
              <w:rPr>
                <w:sz w:val="22"/>
                <w:szCs w:val="22"/>
              </w:rPr>
              <w:t xml:space="preserve">od B 30 </w:t>
            </w:r>
          </w:p>
        </w:tc>
        <w:tc>
          <w:tcPr>
            <w:tcW w:w="1417" w:type="dxa"/>
            <w:tcBorders>
              <w:left w:val="single" w:sz="6" w:space="0" w:color="000000"/>
            </w:tcBorders>
            <w:shd w:val="clear" w:color="auto" w:fill="auto"/>
          </w:tcPr>
          <w:p w14:paraId="64DEAA68" w14:textId="77777777" w:rsidR="00A637AB" w:rsidRPr="009819ED" w:rsidRDefault="00A637AB" w:rsidP="00C72960">
            <w:pPr>
              <w:pStyle w:val="Standardowytekst0"/>
              <w:snapToGrid w:val="0"/>
              <w:jc w:val="center"/>
              <w:rPr>
                <w:sz w:val="22"/>
                <w:szCs w:val="22"/>
              </w:rPr>
            </w:pPr>
          </w:p>
          <w:p w14:paraId="4D3C3511" w14:textId="77777777" w:rsidR="00A637AB" w:rsidRPr="009819ED" w:rsidRDefault="00A637AB" w:rsidP="00C72960">
            <w:pPr>
              <w:pStyle w:val="Standardowytekst0"/>
              <w:jc w:val="center"/>
              <w:rPr>
                <w:sz w:val="22"/>
                <w:szCs w:val="22"/>
              </w:rPr>
            </w:pPr>
          </w:p>
          <w:p w14:paraId="19CCAC7D" w14:textId="77777777" w:rsidR="00A637AB" w:rsidRPr="009819ED" w:rsidRDefault="00A637AB" w:rsidP="00C72960">
            <w:pPr>
              <w:pStyle w:val="Standardowytekst0"/>
              <w:jc w:val="center"/>
              <w:rPr>
                <w:sz w:val="22"/>
                <w:szCs w:val="22"/>
              </w:rPr>
            </w:pPr>
          </w:p>
          <w:p w14:paraId="5C01ECAF" w14:textId="77777777" w:rsidR="00A637AB" w:rsidRPr="009819ED" w:rsidRDefault="00A637AB" w:rsidP="00C72960">
            <w:pPr>
              <w:pStyle w:val="Standardowytekst0"/>
              <w:jc w:val="center"/>
              <w:rPr>
                <w:sz w:val="22"/>
                <w:szCs w:val="22"/>
              </w:rPr>
            </w:pPr>
            <w:r w:rsidRPr="009819ED">
              <w:rPr>
                <w:sz w:val="22"/>
                <w:szCs w:val="22"/>
              </w:rPr>
              <w:t>cement portlandzki CEM I</w:t>
            </w:r>
          </w:p>
        </w:tc>
        <w:tc>
          <w:tcPr>
            <w:tcW w:w="851" w:type="dxa"/>
            <w:tcBorders>
              <w:left w:val="single" w:sz="6" w:space="0" w:color="000000"/>
              <w:bottom w:val="single" w:sz="6" w:space="0" w:color="000000"/>
            </w:tcBorders>
            <w:shd w:val="clear" w:color="auto" w:fill="auto"/>
          </w:tcPr>
          <w:p w14:paraId="50E1D508" w14:textId="77777777" w:rsidR="00A637AB" w:rsidRPr="009819ED" w:rsidRDefault="00A637AB" w:rsidP="00C72960">
            <w:pPr>
              <w:pStyle w:val="Standardowytekst0"/>
              <w:snapToGrid w:val="0"/>
              <w:jc w:val="center"/>
              <w:rPr>
                <w:sz w:val="22"/>
                <w:szCs w:val="22"/>
              </w:rPr>
            </w:pPr>
          </w:p>
          <w:p w14:paraId="02B67D7C" w14:textId="77777777" w:rsidR="00A637AB" w:rsidRPr="009819ED" w:rsidRDefault="00A637AB" w:rsidP="00C72960">
            <w:pPr>
              <w:pStyle w:val="Standardowytekst0"/>
              <w:jc w:val="center"/>
              <w:rPr>
                <w:sz w:val="22"/>
                <w:szCs w:val="22"/>
              </w:rPr>
            </w:pPr>
          </w:p>
          <w:p w14:paraId="2DF8AEE7" w14:textId="77777777" w:rsidR="00A637AB" w:rsidRPr="009819ED" w:rsidRDefault="00A637AB" w:rsidP="00C72960">
            <w:pPr>
              <w:pStyle w:val="Standardowytekst0"/>
              <w:jc w:val="center"/>
              <w:rPr>
                <w:sz w:val="22"/>
                <w:szCs w:val="22"/>
                <w:lang w:val="de-DE"/>
              </w:rPr>
            </w:pPr>
            <w:r w:rsidRPr="009819ED">
              <w:rPr>
                <w:sz w:val="22"/>
                <w:szCs w:val="22"/>
                <w:lang w:val="de-DE"/>
              </w:rPr>
              <w:t>32,5 N</w:t>
            </w:r>
          </w:p>
          <w:p w14:paraId="385A97E2" w14:textId="77777777" w:rsidR="00A637AB" w:rsidRPr="009819ED" w:rsidRDefault="00A637AB" w:rsidP="00C72960">
            <w:pPr>
              <w:pStyle w:val="Standardowytekst0"/>
              <w:jc w:val="center"/>
              <w:rPr>
                <w:sz w:val="22"/>
                <w:szCs w:val="22"/>
                <w:lang w:val="de-DE"/>
              </w:rPr>
            </w:pPr>
            <w:r w:rsidRPr="009819ED">
              <w:rPr>
                <w:sz w:val="22"/>
                <w:szCs w:val="22"/>
                <w:lang w:val="de-DE"/>
              </w:rPr>
              <w:t>32,5 R</w:t>
            </w:r>
          </w:p>
          <w:p w14:paraId="068179EB" w14:textId="77777777" w:rsidR="00A637AB" w:rsidRPr="009819ED" w:rsidRDefault="00A637AB" w:rsidP="00C72960">
            <w:pPr>
              <w:pStyle w:val="Standardowytekst0"/>
              <w:jc w:val="center"/>
              <w:rPr>
                <w:sz w:val="22"/>
                <w:szCs w:val="22"/>
                <w:lang w:val="de-DE"/>
              </w:rPr>
            </w:pPr>
            <w:r w:rsidRPr="009819ED">
              <w:rPr>
                <w:sz w:val="22"/>
                <w:szCs w:val="22"/>
                <w:lang w:val="de-DE"/>
              </w:rPr>
              <w:t>42,5 N</w:t>
            </w:r>
          </w:p>
          <w:p w14:paraId="302EE46B" w14:textId="77777777" w:rsidR="00A637AB" w:rsidRPr="009819ED" w:rsidRDefault="00A637AB" w:rsidP="00C72960">
            <w:pPr>
              <w:pStyle w:val="Standardowytekst0"/>
              <w:jc w:val="center"/>
              <w:rPr>
                <w:sz w:val="22"/>
                <w:szCs w:val="22"/>
                <w:lang w:val="de-DE"/>
              </w:rPr>
            </w:pPr>
            <w:r w:rsidRPr="009819ED">
              <w:rPr>
                <w:sz w:val="22"/>
                <w:szCs w:val="22"/>
                <w:lang w:val="de-DE"/>
              </w:rPr>
              <w:t>42,5 R</w:t>
            </w:r>
          </w:p>
        </w:tc>
        <w:tc>
          <w:tcPr>
            <w:tcW w:w="1437" w:type="dxa"/>
            <w:tcBorders>
              <w:left w:val="single" w:sz="6" w:space="0" w:color="000000"/>
            </w:tcBorders>
            <w:shd w:val="clear" w:color="auto" w:fill="auto"/>
          </w:tcPr>
          <w:p w14:paraId="11FDB19E" w14:textId="77777777" w:rsidR="00A637AB" w:rsidRPr="009819ED" w:rsidRDefault="00A637AB" w:rsidP="00C72960">
            <w:pPr>
              <w:pStyle w:val="Standardowytekst0"/>
              <w:snapToGrid w:val="0"/>
              <w:jc w:val="center"/>
              <w:rPr>
                <w:sz w:val="22"/>
                <w:szCs w:val="22"/>
                <w:lang w:val="de-DE"/>
              </w:rPr>
            </w:pPr>
          </w:p>
        </w:tc>
        <w:tc>
          <w:tcPr>
            <w:tcW w:w="2186" w:type="dxa"/>
            <w:tcBorders>
              <w:left w:val="single" w:sz="6" w:space="0" w:color="000000"/>
              <w:bottom w:val="single" w:sz="6" w:space="0" w:color="000000"/>
              <w:right w:val="single" w:sz="6" w:space="0" w:color="000000"/>
            </w:tcBorders>
            <w:shd w:val="clear" w:color="auto" w:fill="auto"/>
          </w:tcPr>
          <w:p w14:paraId="4C93BE95" w14:textId="77777777" w:rsidR="00A637AB" w:rsidRPr="009819ED" w:rsidRDefault="00A637AB" w:rsidP="00C72960">
            <w:pPr>
              <w:pStyle w:val="Standardowytekst0"/>
              <w:jc w:val="center"/>
              <w:rPr>
                <w:sz w:val="22"/>
                <w:szCs w:val="22"/>
              </w:rPr>
            </w:pPr>
            <w:r w:rsidRPr="009819ED">
              <w:rPr>
                <w:sz w:val="22"/>
                <w:szCs w:val="22"/>
              </w:rPr>
              <w:t xml:space="preserve">Wodożądność wg PN-EN </w:t>
            </w:r>
          </w:p>
          <w:p w14:paraId="5B033F35" w14:textId="77777777" w:rsidR="00A637AB" w:rsidRPr="009819ED" w:rsidRDefault="00A637AB" w:rsidP="00C72960">
            <w:pPr>
              <w:pStyle w:val="Standardowytekst0"/>
              <w:jc w:val="center"/>
              <w:rPr>
                <w:sz w:val="22"/>
                <w:szCs w:val="22"/>
              </w:rPr>
            </w:pPr>
            <w:r w:rsidRPr="009819ED">
              <w:rPr>
                <w:sz w:val="22"/>
                <w:szCs w:val="22"/>
              </w:rPr>
              <w:t xml:space="preserve">196-3:1996 [3] </w:t>
            </w:r>
            <w:r w:rsidR="00C03D2F">
              <w:rPr>
                <w:rFonts w:eastAsia="Symbol"/>
                <w:sz w:val="22"/>
                <w:szCs w:val="22"/>
              </w:rPr>
              <w:t>≤</w:t>
            </w:r>
            <w:r w:rsidRPr="009819ED">
              <w:rPr>
                <w:sz w:val="22"/>
                <w:szCs w:val="22"/>
              </w:rPr>
              <w:t xml:space="preserve"> 28,0%, wytrzymałość po 2 dniach wg PN-EN 196-1:1996 [1] </w:t>
            </w:r>
            <w:r w:rsidR="00C03D2F">
              <w:rPr>
                <w:rFonts w:eastAsia="Symbol"/>
                <w:sz w:val="22"/>
                <w:szCs w:val="22"/>
              </w:rPr>
              <w:t>≤</w:t>
            </w:r>
            <w:r w:rsidRPr="009819ED">
              <w:rPr>
                <w:sz w:val="22"/>
                <w:szCs w:val="22"/>
              </w:rPr>
              <w:t xml:space="preserve"> 29,0 MPa, powierzchnia właściwa wg PN-EN 196-6:1997 [4] </w:t>
            </w:r>
            <w:r w:rsidR="00C03D2F">
              <w:rPr>
                <w:rFonts w:eastAsia="Symbol"/>
                <w:sz w:val="22"/>
                <w:szCs w:val="22"/>
              </w:rPr>
              <w:t>≤</w:t>
            </w:r>
            <w:r w:rsidRPr="009819ED">
              <w:rPr>
                <w:sz w:val="22"/>
                <w:szCs w:val="22"/>
              </w:rPr>
              <w:t xml:space="preserve"> 3500 cm</w:t>
            </w:r>
            <w:r w:rsidRPr="009819ED">
              <w:rPr>
                <w:sz w:val="22"/>
                <w:szCs w:val="22"/>
                <w:vertAlign w:val="superscript"/>
              </w:rPr>
              <w:t>2</w:t>
            </w:r>
            <w:r w:rsidRPr="009819ED">
              <w:rPr>
                <w:sz w:val="22"/>
                <w:szCs w:val="22"/>
              </w:rPr>
              <w:t xml:space="preserve">/g, </w:t>
            </w:r>
            <w:r w:rsidRPr="009819ED">
              <w:rPr>
                <w:sz w:val="22"/>
                <w:szCs w:val="22"/>
              </w:rPr>
              <w:lastRenderedPageBreak/>
              <w:t xml:space="preserve">początek wiązania wg PN-EN 196-3:1996 [3] </w:t>
            </w:r>
          </w:p>
          <w:p w14:paraId="269CAF5E" w14:textId="77777777" w:rsidR="00A637AB" w:rsidRPr="009819ED" w:rsidRDefault="00C03D2F" w:rsidP="00C72960">
            <w:pPr>
              <w:pStyle w:val="Standardowytekst0"/>
              <w:jc w:val="center"/>
              <w:rPr>
                <w:sz w:val="22"/>
                <w:szCs w:val="22"/>
              </w:rPr>
            </w:pPr>
            <w:r>
              <w:rPr>
                <w:rFonts w:eastAsia="Symbol"/>
                <w:sz w:val="22"/>
                <w:szCs w:val="22"/>
              </w:rPr>
              <w:t>≥</w:t>
            </w:r>
            <w:r w:rsidR="00A637AB" w:rsidRPr="009819ED">
              <w:rPr>
                <w:sz w:val="22"/>
                <w:szCs w:val="22"/>
              </w:rPr>
              <w:t xml:space="preserve"> 120 minut</w:t>
            </w:r>
          </w:p>
        </w:tc>
      </w:tr>
      <w:tr w:rsidR="00A637AB" w:rsidRPr="009819ED" w14:paraId="5BA656F5" w14:textId="77777777" w:rsidTr="00C72960">
        <w:tc>
          <w:tcPr>
            <w:tcW w:w="1029" w:type="dxa"/>
            <w:tcBorders>
              <w:left w:val="single" w:sz="6" w:space="0" w:color="000000"/>
            </w:tcBorders>
            <w:shd w:val="clear" w:color="auto" w:fill="auto"/>
          </w:tcPr>
          <w:p w14:paraId="01F5FDDD" w14:textId="77777777" w:rsidR="00A637AB" w:rsidRPr="009819ED" w:rsidRDefault="00A637AB" w:rsidP="00C72960">
            <w:pPr>
              <w:pStyle w:val="Standardowytekst0"/>
              <w:jc w:val="center"/>
              <w:rPr>
                <w:sz w:val="22"/>
                <w:szCs w:val="22"/>
              </w:rPr>
            </w:pPr>
            <w:r w:rsidRPr="009819ED">
              <w:rPr>
                <w:sz w:val="22"/>
                <w:szCs w:val="22"/>
              </w:rPr>
              <w:lastRenderedPageBreak/>
              <w:t>betonowa</w:t>
            </w:r>
          </w:p>
        </w:tc>
        <w:tc>
          <w:tcPr>
            <w:tcW w:w="709" w:type="dxa"/>
            <w:tcBorders>
              <w:left w:val="single" w:sz="6" w:space="0" w:color="000000"/>
            </w:tcBorders>
            <w:shd w:val="clear" w:color="auto" w:fill="auto"/>
          </w:tcPr>
          <w:p w14:paraId="5518B584" w14:textId="77777777" w:rsidR="00A637AB" w:rsidRPr="009819ED" w:rsidRDefault="00A637AB" w:rsidP="00C72960">
            <w:pPr>
              <w:pStyle w:val="Standardowytekst0"/>
              <w:jc w:val="center"/>
              <w:rPr>
                <w:sz w:val="22"/>
                <w:szCs w:val="22"/>
              </w:rPr>
            </w:pPr>
            <w:r w:rsidRPr="009819ED">
              <w:rPr>
                <w:sz w:val="22"/>
                <w:szCs w:val="22"/>
              </w:rPr>
              <w:t>do B 50</w:t>
            </w:r>
          </w:p>
        </w:tc>
        <w:tc>
          <w:tcPr>
            <w:tcW w:w="1417" w:type="dxa"/>
            <w:tcBorders>
              <w:top w:val="single" w:sz="6" w:space="0" w:color="000000"/>
              <w:left w:val="single" w:sz="6" w:space="0" w:color="000000"/>
              <w:bottom w:val="single" w:sz="6" w:space="0" w:color="000000"/>
            </w:tcBorders>
            <w:shd w:val="clear" w:color="auto" w:fill="auto"/>
          </w:tcPr>
          <w:p w14:paraId="2FF86591" w14:textId="77777777" w:rsidR="00A637AB" w:rsidRPr="009819ED" w:rsidRDefault="00A637AB" w:rsidP="00C72960">
            <w:pPr>
              <w:pStyle w:val="Standardowytekst0"/>
              <w:jc w:val="center"/>
              <w:rPr>
                <w:sz w:val="22"/>
                <w:szCs w:val="22"/>
              </w:rPr>
            </w:pPr>
            <w:r w:rsidRPr="009819ED">
              <w:rPr>
                <w:sz w:val="22"/>
                <w:szCs w:val="22"/>
              </w:rPr>
              <w:t>cement portlandzki żużlowy</w:t>
            </w:r>
          </w:p>
          <w:p w14:paraId="675D49A2" w14:textId="77777777" w:rsidR="00A637AB" w:rsidRPr="009819ED" w:rsidRDefault="00A637AB" w:rsidP="00C72960">
            <w:pPr>
              <w:pStyle w:val="Standardowytekst0"/>
              <w:jc w:val="center"/>
              <w:rPr>
                <w:sz w:val="22"/>
                <w:szCs w:val="22"/>
              </w:rPr>
            </w:pPr>
            <w:r w:rsidRPr="009819ED">
              <w:rPr>
                <w:sz w:val="22"/>
                <w:szCs w:val="22"/>
              </w:rPr>
              <w:t>CEM II/A-S</w:t>
            </w:r>
          </w:p>
          <w:p w14:paraId="00DEC384" w14:textId="77777777" w:rsidR="00A637AB" w:rsidRPr="009819ED" w:rsidRDefault="00A637AB" w:rsidP="00C72960">
            <w:pPr>
              <w:pStyle w:val="Standardowytekst0"/>
              <w:jc w:val="center"/>
              <w:rPr>
                <w:sz w:val="22"/>
                <w:szCs w:val="22"/>
              </w:rPr>
            </w:pPr>
            <w:r w:rsidRPr="009819ED">
              <w:rPr>
                <w:sz w:val="22"/>
                <w:szCs w:val="22"/>
              </w:rPr>
              <w:t>CEM II/B-S</w:t>
            </w:r>
          </w:p>
        </w:tc>
        <w:tc>
          <w:tcPr>
            <w:tcW w:w="851" w:type="dxa"/>
            <w:tcBorders>
              <w:left w:val="single" w:sz="6" w:space="0" w:color="000000"/>
            </w:tcBorders>
            <w:shd w:val="clear" w:color="auto" w:fill="auto"/>
          </w:tcPr>
          <w:p w14:paraId="7CFF557F" w14:textId="77777777" w:rsidR="00A637AB" w:rsidRPr="009819ED" w:rsidRDefault="00A637AB" w:rsidP="00C72960">
            <w:pPr>
              <w:pStyle w:val="Standardowytekst0"/>
              <w:snapToGrid w:val="0"/>
              <w:jc w:val="center"/>
              <w:rPr>
                <w:sz w:val="22"/>
                <w:szCs w:val="22"/>
              </w:rPr>
            </w:pPr>
          </w:p>
          <w:p w14:paraId="6A7FF254" w14:textId="77777777" w:rsidR="00A637AB" w:rsidRPr="009819ED" w:rsidRDefault="00A637AB" w:rsidP="00C72960">
            <w:pPr>
              <w:pStyle w:val="Standardowytekst0"/>
              <w:jc w:val="center"/>
              <w:rPr>
                <w:sz w:val="22"/>
                <w:szCs w:val="22"/>
              </w:rPr>
            </w:pPr>
          </w:p>
          <w:p w14:paraId="49807C5F" w14:textId="77777777" w:rsidR="00A637AB" w:rsidRPr="009819ED" w:rsidRDefault="00A637AB" w:rsidP="00C72960">
            <w:pPr>
              <w:pStyle w:val="Standardowytekst0"/>
              <w:jc w:val="center"/>
              <w:rPr>
                <w:sz w:val="22"/>
                <w:szCs w:val="22"/>
                <w:lang w:val="de-DE"/>
              </w:rPr>
            </w:pPr>
            <w:r w:rsidRPr="009819ED">
              <w:rPr>
                <w:sz w:val="22"/>
                <w:szCs w:val="22"/>
                <w:lang w:val="de-DE"/>
              </w:rPr>
              <w:t>32,5 N</w:t>
            </w:r>
          </w:p>
          <w:p w14:paraId="61302C04" w14:textId="77777777" w:rsidR="00A637AB" w:rsidRPr="009819ED" w:rsidRDefault="00A637AB" w:rsidP="00C72960">
            <w:pPr>
              <w:pStyle w:val="Standardowytekst0"/>
              <w:jc w:val="center"/>
              <w:rPr>
                <w:sz w:val="22"/>
                <w:szCs w:val="22"/>
                <w:lang w:val="de-DE"/>
              </w:rPr>
            </w:pPr>
            <w:r w:rsidRPr="009819ED">
              <w:rPr>
                <w:sz w:val="22"/>
                <w:szCs w:val="22"/>
                <w:lang w:val="de-DE"/>
              </w:rPr>
              <w:t>32,5 R</w:t>
            </w:r>
          </w:p>
        </w:tc>
        <w:tc>
          <w:tcPr>
            <w:tcW w:w="1437" w:type="dxa"/>
            <w:tcBorders>
              <w:left w:val="single" w:sz="6" w:space="0" w:color="000000"/>
            </w:tcBorders>
            <w:shd w:val="clear" w:color="auto" w:fill="auto"/>
          </w:tcPr>
          <w:p w14:paraId="101577B0" w14:textId="77777777" w:rsidR="00A637AB" w:rsidRPr="009819ED" w:rsidRDefault="00A637AB" w:rsidP="00C72960">
            <w:pPr>
              <w:pStyle w:val="Standardowytekst0"/>
              <w:snapToGrid w:val="0"/>
              <w:jc w:val="center"/>
              <w:rPr>
                <w:sz w:val="22"/>
                <w:szCs w:val="22"/>
                <w:lang w:val="de-DE"/>
              </w:rPr>
            </w:pPr>
          </w:p>
          <w:p w14:paraId="229D5370" w14:textId="77777777" w:rsidR="00A637AB" w:rsidRPr="009819ED" w:rsidRDefault="00A637AB" w:rsidP="00C72960">
            <w:pPr>
              <w:pStyle w:val="Standardowytekst0"/>
              <w:jc w:val="center"/>
              <w:rPr>
                <w:sz w:val="22"/>
                <w:szCs w:val="22"/>
                <w:lang w:val="de-DE"/>
              </w:rPr>
            </w:pPr>
          </w:p>
          <w:p w14:paraId="0896A185" w14:textId="77777777" w:rsidR="00A637AB" w:rsidRPr="009819ED" w:rsidRDefault="00A637AB" w:rsidP="00C72960">
            <w:pPr>
              <w:pStyle w:val="Standardowytekst0"/>
              <w:jc w:val="center"/>
              <w:rPr>
                <w:sz w:val="22"/>
                <w:szCs w:val="22"/>
                <w:lang w:val="de-DE"/>
              </w:rPr>
            </w:pPr>
            <w:r w:rsidRPr="009819ED">
              <w:rPr>
                <w:sz w:val="22"/>
                <w:szCs w:val="22"/>
                <w:lang w:val="de-DE"/>
              </w:rPr>
              <w:t>PN-EN</w:t>
            </w:r>
          </w:p>
          <w:p w14:paraId="15BF16C7" w14:textId="77777777" w:rsidR="00A637AB" w:rsidRPr="009819ED" w:rsidRDefault="00A637AB" w:rsidP="00C72960">
            <w:pPr>
              <w:pStyle w:val="Standardowytekst0"/>
              <w:jc w:val="center"/>
              <w:rPr>
                <w:sz w:val="22"/>
                <w:szCs w:val="22"/>
              </w:rPr>
            </w:pPr>
            <w:r w:rsidRPr="009819ED">
              <w:rPr>
                <w:sz w:val="22"/>
                <w:szCs w:val="22"/>
              </w:rPr>
              <w:t>197-1:2002 [5]</w:t>
            </w:r>
          </w:p>
        </w:tc>
        <w:tc>
          <w:tcPr>
            <w:tcW w:w="2186" w:type="dxa"/>
            <w:tcBorders>
              <w:left w:val="single" w:sz="6" w:space="0" w:color="000000"/>
              <w:right w:val="single" w:sz="6" w:space="0" w:color="000000"/>
            </w:tcBorders>
            <w:shd w:val="clear" w:color="auto" w:fill="auto"/>
          </w:tcPr>
          <w:p w14:paraId="5ED99141" w14:textId="77777777" w:rsidR="00A637AB" w:rsidRPr="009819ED" w:rsidRDefault="00A637AB" w:rsidP="00C72960">
            <w:pPr>
              <w:pStyle w:val="Standardowytekst0"/>
              <w:snapToGrid w:val="0"/>
              <w:jc w:val="center"/>
              <w:rPr>
                <w:sz w:val="22"/>
                <w:szCs w:val="22"/>
              </w:rPr>
            </w:pPr>
          </w:p>
        </w:tc>
      </w:tr>
      <w:tr w:rsidR="00A637AB" w:rsidRPr="009819ED" w14:paraId="1B13AFE9" w14:textId="77777777" w:rsidTr="00C72960">
        <w:tc>
          <w:tcPr>
            <w:tcW w:w="1029" w:type="dxa"/>
            <w:tcBorders>
              <w:left w:val="single" w:sz="6" w:space="0" w:color="000000"/>
            </w:tcBorders>
            <w:shd w:val="clear" w:color="auto" w:fill="auto"/>
          </w:tcPr>
          <w:p w14:paraId="1762E7DF" w14:textId="77777777" w:rsidR="00A637AB" w:rsidRPr="009819ED" w:rsidRDefault="00A637AB" w:rsidP="00C72960">
            <w:pPr>
              <w:pStyle w:val="Standardowytekst0"/>
              <w:snapToGrid w:val="0"/>
              <w:jc w:val="center"/>
              <w:rPr>
                <w:sz w:val="22"/>
                <w:szCs w:val="22"/>
              </w:rPr>
            </w:pPr>
          </w:p>
        </w:tc>
        <w:tc>
          <w:tcPr>
            <w:tcW w:w="709" w:type="dxa"/>
            <w:tcBorders>
              <w:left w:val="single" w:sz="6" w:space="0" w:color="000000"/>
            </w:tcBorders>
            <w:shd w:val="clear" w:color="auto" w:fill="auto"/>
          </w:tcPr>
          <w:p w14:paraId="48661AF2" w14:textId="77777777" w:rsidR="00A637AB" w:rsidRPr="009819ED" w:rsidRDefault="00A637AB" w:rsidP="00C72960">
            <w:pPr>
              <w:pStyle w:val="Standardowytekst0"/>
              <w:snapToGrid w:val="0"/>
              <w:jc w:val="center"/>
              <w:rPr>
                <w:sz w:val="22"/>
                <w:szCs w:val="22"/>
              </w:rPr>
            </w:pPr>
          </w:p>
        </w:tc>
        <w:tc>
          <w:tcPr>
            <w:tcW w:w="1417" w:type="dxa"/>
            <w:tcBorders>
              <w:left w:val="single" w:sz="6" w:space="0" w:color="000000"/>
              <w:bottom w:val="single" w:sz="6" w:space="0" w:color="000000"/>
            </w:tcBorders>
            <w:shd w:val="clear" w:color="auto" w:fill="auto"/>
          </w:tcPr>
          <w:p w14:paraId="102493F4" w14:textId="77777777" w:rsidR="00A637AB" w:rsidRPr="009819ED" w:rsidRDefault="00A637AB" w:rsidP="00C72960">
            <w:pPr>
              <w:pStyle w:val="Standardowytekst0"/>
              <w:jc w:val="center"/>
              <w:rPr>
                <w:sz w:val="22"/>
                <w:szCs w:val="22"/>
              </w:rPr>
            </w:pPr>
            <w:r w:rsidRPr="009819ED">
              <w:rPr>
                <w:sz w:val="22"/>
                <w:szCs w:val="22"/>
              </w:rPr>
              <w:t>cement portlandzki popiołowy</w:t>
            </w:r>
          </w:p>
          <w:p w14:paraId="664CA98A" w14:textId="77777777" w:rsidR="00A637AB" w:rsidRPr="009819ED" w:rsidRDefault="00A637AB" w:rsidP="00C72960">
            <w:pPr>
              <w:pStyle w:val="Standardowytekst0"/>
              <w:jc w:val="center"/>
              <w:rPr>
                <w:sz w:val="22"/>
                <w:szCs w:val="22"/>
              </w:rPr>
            </w:pPr>
            <w:r w:rsidRPr="009819ED">
              <w:rPr>
                <w:sz w:val="22"/>
                <w:szCs w:val="22"/>
              </w:rPr>
              <w:t>CEM II/A-V</w:t>
            </w:r>
          </w:p>
          <w:p w14:paraId="2611124A" w14:textId="77777777" w:rsidR="00A637AB" w:rsidRPr="009819ED" w:rsidRDefault="00A637AB" w:rsidP="00C72960">
            <w:pPr>
              <w:pStyle w:val="Standardowytekst0"/>
              <w:jc w:val="center"/>
              <w:rPr>
                <w:sz w:val="22"/>
                <w:szCs w:val="22"/>
              </w:rPr>
            </w:pPr>
            <w:r w:rsidRPr="009819ED">
              <w:rPr>
                <w:sz w:val="22"/>
                <w:szCs w:val="22"/>
              </w:rPr>
              <w:t>CEM II/B-V</w:t>
            </w:r>
          </w:p>
        </w:tc>
        <w:tc>
          <w:tcPr>
            <w:tcW w:w="851" w:type="dxa"/>
            <w:tcBorders>
              <w:left w:val="single" w:sz="6" w:space="0" w:color="000000"/>
            </w:tcBorders>
            <w:shd w:val="clear" w:color="auto" w:fill="auto"/>
          </w:tcPr>
          <w:p w14:paraId="77F75DB9" w14:textId="77777777" w:rsidR="00A637AB" w:rsidRPr="009819ED" w:rsidRDefault="00A637AB" w:rsidP="00C72960">
            <w:pPr>
              <w:pStyle w:val="Standardowytekst0"/>
              <w:jc w:val="center"/>
              <w:rPr>
                <w:sz w:val="22"/>
                <w:szCs w:val="22"/>
              </w:rPr>
            </w:pPr>
            <w:r w:rsidRPr="009819ED">
              <w:rPr>
                <w:sz w:val="22"/>
                <w:szCs w:val="22"/>
              </w:rPr>
              <w:t>42,5 N</w:t>
            </w:r>
          </w:p>
          <w:p w14:paraId="67D36EED" w14:textId="77777777" w:rsidR="00A637AB" w:rsidRPr="009819ED" w:rsidRDefault="00A637AB" w:rsidP="00C72960">
            <w:pPr>
              <w:pStyle w:val="Standardowytekst0"/>
              <w:jc w:val="center"/>
              <w:rPr>
                <w:sz w:val="22"/>
                <w:szCs w:val="22"/>
              </w:rPr>
            </w:pPr>
            <w:r w:rsidRPr="009819ED">
              <w:rPr>
                <w:sz w:val="22"/>
                <w:szCs w:val="22"/>
              </w:rPr>
              <w:t>42,5 R</w:t>
            </w:r>
          </w:p>
        </w:tc>
        <w:tc>
          <w:tcPr>
            <w:tcW w:w="1437" w:type="dxa"/>
            <w:tcBorders>
              <w:left w:val="single" w:sz="6" w:space="0" w:color="000000"/>
            </w:tcBorders>
            <w:shd w:val="clear" w:color="auto" w:fill="auto"/>
          </w:tcPr>
          <w:p w14:paraId="35536984" w14:textId="77777777" w:rsidR="00A637AB" w:rsidRPr="009819ED" w:rsidRDefault="00A637AB" w:rsidP="00C72960">
            <w:pPr>
              <w:pStyle w:val="Standardowytekst0"/>
              <w:jc w:val="center"/>
              <w:rPr>
                <w:sz w:val="22"/>
                <w:szCs w:val="22"/>
              </w:rPr>
            </w:pPr>
            <w:r w:rsidRPr="009819ED">
              <w:rPr>
                <w:sz w:val="22"/>
                <w:szCs w:val="22"/>
              </w:rPr>
              <w:t>oraz</w:t>
            </w:r>
          </w:p>
          <w:p w14:paraId="5C03CA9D" w14:textId="77777777" w:rsidR="00A637AB" w:rsidRPr="009819ED" w:rsidRDefault="00A637AB" w:rsidP="00C72960">
            <w:pPr>
              <w:pStyle w:val="Standardowytekst0"/>
              <w:jc w:val="center"/>
              <w:rPr>
                <w:sz w:val="22"/>
                <w:szCs w:val="22"/>
              </w:rPr>
            </w:pPr>
            <w:r w:rsidRPr="009819ED">
              <w:rPr>
                <w:sz w:val="22"/>
                <w:szCs w:val="22"/>
              </w:rPr>
              <w:t>aprobata techniczna</w:t>
            </w:r>
          </w:p>
          <w:p w14:paraId="1880C4D3" w14:textId="77777777" w:rsidR="00A637AB" w:rsidRPr="009819ED" w:rsidRDefault="00A637AB" w:rsidP="00C72960">
            <w:pPr>
              <w:pStyle w:val="Standardowytekst0"/>
              <w:jc w:val="center"/>
              <w:rPr>
                <w:sz w:val="22"/>
                <w:szCs w:val="22"/>
              </w:rPr>
            </w:pPr>
            <w:r w:rsidRPr="009819ED">
              <w:rPr>
                <w:sz w:val="22"/>
                <w:szCs w:val="22"/>
              </w:rPr>
              <w:t>IBDiM</w:t>
            </w:r>
          </w:p>
        </w:tc>
        <w:tc>
          <w:tcPr>
            <w:tcW w:w="2186" w:type="dxa"/>
            <w:tcBorders>
              <w:left w:val="single" w:sz="6" w:space="0" w:color="000000"/>
              <w:right w:val="single" w:sz="6" w:space="0" w:color="000000"/>
            </w:tcBorders>
            <w:shd w:val="clear" w:color="auto" w:fill="auto"/>
          </w:tcPr>
          <w:p w14:paraId="1F0B99B0" w14:textId="77777777" w:rsidR="00A637AB" w:rsidRPr="009819ED" w:rsidRDefault="00A637AB" w:rsidP="00C72960">
            <w:pPr>
              <w:pStyle w:val="Standardowytekst0"/>
              <w:snapToGrid w:val="0"/>
              <w:jc w:val="center"/>
              <w:rPr>
                <w:sz w:val="22"/>
                <w:szCs w:val="22"/>
              </w:rPr>
            </w:pPr>
          </w:p>
        </w:tc>
      </w:tr>
      <w:tr w:rsidR="00A637AB" w:rsidRPr="009819ED" w14:paraId="41390061" w14:textId="77777777" w:rsidTr="00C72960">
        <w:tc>
          <w:tcPr>
            <w:tcW w:w="1029" w:type="dxa"/>
            <w:tcBorders>
              <w:left w:val="single" w:sz="6" w:space="0" w:color="000000"/>
            </w:tcBorders>
            <w:shd w:val="clear" w:color="auto" w:fill="auto"/>
          </w:tcPr>
          <w:p w14:paraId="5D502F3F" w14:textId="77777777" w:rsidR="00A637AB" w:rsidRPr="009819ED" w:rsidRDefault="00A637AB" w:rsidP="00C72960">
            <w:pPr>
              <w:pStyle w:val="Standardowytekst0"/>
              <w:snapToGrid w:val="0"/>
              <w:jc w:val="center"/>
              <w:rPr>
                <w:sz w:val="22"/>
                <w:szCs w:val="22"/>
              </w:rPr>
            </w:pPr>
          </w:p>
        </w:tc>
        <w:tc>
          <w:tcPr>
            <w:tcW w:w="709" w:type="dxa"/>
            <w:tcBorders>
              <w:left w:val="single" w:sz="6" w:space="0" w:color="000000"/>
            </w:tcBorders>
            <w:shd w:val="clear" w:color="auto" w:fill="auto"/>
          </w:tcPr>
          <w:p w14:paraId="6831672A" w14:textId="77777777" w:rsidR="00A637AB" w:rsidRPr="009819ED" w:rsidRDefault="00A637AB" w:rsidP="00C72960">
            <w:pPr>
              <w:pStyle w:val="Standardowytekst0"/>
              <w:snapToGrid w:val="0"/>
              <w:jc w:val="center"/>
              <w:rPr>
                <w:sz w:val="22"/>
                <w:szCs w:val="22"/>
              </w:rPr>
            </w:pPr>
          </w:p>
        </w:tc>
        <w:tc>
          <w:tcPr>
            <w:tcW w:w="1417" w:type="dxa"/>
            <w:tcBorders>
              <w:left w:val="single" w:sz="6" w:space="0" w:color="000000"/>
            </w:tcBorders>
            <w:shd w:val="clear" w:color="auto" w:fill="auto"/>
          </w:tcPr>
          <w:p w14:paraId="4A4FA9F2" w14:textId="77777777" w:rsidR="00A637AB" w:rsidRPr="009819ED" w:rsidRDefault="00A637AB" w:rsidP="00C72960">
            <w:pPr>
              <w:pStyle w:val="Standardowytekst0"/>
              <w:jc w:val="center"/>
              <w:rPr>
                <w:sz w:val="22"/>
                <w:szCs w:val="22"/>
              </w:rPr>
            </w:pPr>
            <w:r w:rsidRPr="009819ED">
              <w:rPr>
                <w:sz w:val="22"/>
                <w:szCs w:val="22"/>
              </w:rPr>
              <w:t>cement hutniczy</w:t>
            </w:r>
          </w:p>
          <w:p w14:paraId="6D379422" w14:textId="77777777" w:rsidR="00A637AB" w:rsidRPr="009819ED" w:rsidRDefault="00A637AB" w:rsidP="00C72960">
            <w:pPr>
              <w:pStyle w:val="Standardowytekst0"/>
              <w:jc w:val="center"/>
              <w:rPr>
                <w:sz w:val="22"/>
                <w:szCs w:val="22"/>
              </w:rPr>
            </w:pPr>
            <w:r w:rsidRPr="009819ED">
              <w:rPr>
                <w:sz w:val="22"/>
                <w:szCs w:val="22"/>
              </w:rPr>
              <w:t>CEM III/A</w:t>
            </w:r>
          </w:p>
        </w:tc>
        <w:tc>
          <w:tcPr>
            <w:tcW w:w="851" w:type="dxa"/>
            <w:tcBorders>
              <w:top w:val="single" w:sz="6" w:space="0" w:color="000000"/>
              <w:left w:val="single" w:sz="6" w:space="0" w:color="000000"/>
            </w:tcBorders>
            <w:shd w:val="clear" w:color="auto" w:fill="auto"/>
          </w:tcPr>
          <w:p w14:paraId="083AD9C9" w14:textId="77777777" w:rsidR="00A637AB" w:rsidRPr="009819ED" w:rsidRDefault="00A637AB" w:rsidP="00C72960">
            <w:pPr>
              <w:pStyle w:val="Standardowytekst0"/>
              <w:jc w:val="center"/>
              <w:rPr>
                <w:sz w:val="22"/>
                <w:szCs w:val="22"/>
              </w:rPr>
            </w:pPr>
            <w:r w:rsidRPr="009819ED">
              <w:rPr>
                <w:sz w:val="22"/>
                <w:szCs w:val="22"/>
              </w:rPr>
              <w:t>32,5 N</w:t>
            </w:r>
          </w:p>
          <w:p w14:paraId="54C1AA31" w14:textId="77777777" w:rsidR="00A637AB" w:rsidRPr="009819ED" w:rsidRDefault="00A637AB" w:rsidP="00C72960">
            <w:pPr>
              <w:pStyle w:val="Standardowytekst0"/>
              <w:jc w:val="center"/>
              <w:rPr>
                <w:sz w:val="22"/>
                <w:szCs w:val="22"/>
              </w:rPr>
            </w:pPr>
            <w:r w:rsidRPr="009819ED">
              <w:rPr>
                <w:sz w:val="22"/>
                <w:szCs w:val="22"/>
              </w:rPr>
              <w:t>42,5 N</w:t>
            </w:r>
          </w:p>
        </w:tc>
        <w:tc>
          <w:tcPr>
            <w:tcW w:w="1437" w:type="dxa"/>
            <w:tcBorders>
              <w:left w:val="single" w:sz="6" w:space="0" w:color="000000"/>
            </w:tcBorders>
            <w:shd w:val="clear" w:color="auto" w:fill="auto"/>
          </w:tcPr>
          <w:p w14:paraId="24AB0028" w14:textId="77777777" w:rsidR="00A637AB" w:rsidRPr="009819ED" w:rsidRDefault="00A637AB" w:rsidP="00C72960">
            <w:pPr>
              <w:pStyle w:val="Standardowytekst0"/>
              <w:snapToGrid w:val="0"/>
              <w:jc w:val="center"/>
              <w:rPr>
                <w:sz w:val="22"/>
                <w:szCs w:val="22"/>
              </w:rPr>
            </w:pPr>
          </w:p>
        </w:tc>
        <w:tc>
          <w:tcPr>
            <w:tcW w:w="2186" w:type="dxa"/>
            <w:tcBorders>
              <w:left w:val="single" w:sz="6" w:space="0" w:color="000000"/>
              <w:right w:val="single" w:sz="6" w:space="0" w:color="000000"/>
            </w:tcBorders>
            <w:shd w:val="clear" w:color="auto" w:fill="auto"/>
          </w:tcPr>
          <w:p w14:paraId="4F31B6A7" w14:textId="77777777" w:rsidR="00A637AB" w:rsidRPr="009819ED" w:rsidRDefault="00A637AB" w:rsidP="00C72960">
            <w:pPr>
              <w:pStyle w:val="Standardowytekst0"/>
              <w:snapToGrid w:val="0"/>
              <w:jc w:val="center"/>
              <w:rPr>
                <w:sz w:val="22"/>
                <w:szCs w:val="22"/>
              </w:rPr>
            </w:pPr>
          </w:p>
        </w:tc>
      </w:tr>
      <w:tr w:rsidR="00A637AB" w:rsidRPr="009819ED" w14:paraId="623E53E0" w14:textId="77777777" w:rsidTr="00C72960">
        <w:tc>
          <w:tcPr>
            <w:tcW w:w="1029" w:type="dxa"/>
            <w:tcBorders>
              <w:top w:val="single" w:sz="6" w:space="0" w:color="000000"/>
              <w:left w:val="single" w:sz="6" w:space="0" w:color="000000"/>
              <w:bottom w:val="single" w:sz="6" w:space="0" w:color="000000"/>
            </w:tcBorders>
            <w:shd w:val="clear" w:color="auto" w:fill="auto"/>
            <w:vAlign w:val="center"/>
          </w:tcPr>
          <w:p w14:paraId="42D06FAA" w14:textId="77777777" w:rsidR="00A637AB" w:rsidRPr="009819ED" w:rsidRDefault="00A637AB" w:rsidP="00C72960">
            <w:pPr>
              <w:pStyle w:val="Standardowytekst0"/>
              <w:jc w:val="center"/>
              <w:rPr>
                <w:sz w:val="22"/>
                <w:szCs w:val="22"/>
              </w:rPr>
            </w:pPr>
            <w:r w:rsidRPr="009819ED">
              <w:rPr>
                <w:sz w:val="22"/>
                <w:szCs w:val="22"/>
              </w:rPr>
              <w:t>Nawierzchnia betonowa do wczesnego obciążenia ruchem</w:t>
            </w:r>
          </w:p>
        </w:tc>
        <w:tc>
          <w:tcPr>
            <w:tcW w:w="709" w:type="dxa"/>
            <w:tcBorders>
              <w:top w:val="single" w:sz="6" w:space="0" w:color="000000"/>
              <w:left w:val="single" w:sz="6" w:space="0" w:color="000000"/>
            </w:tcBorders>
            <w:shd w:val="clear" w:color="auto" w:fill="auto"/>
          </w:tcPr>
          <w:p w14:paraId="5158B236" w14:textId="77777777" w:rsidR="00A637AB" w:rsidRPr="009819ED" w:rsidRDefault="00A637AB" w:rsidP="00C72960">
            <w:pPr>
              <w:pStyle w:val="Standardowytekst0"/>
              <w:snapToGrid w:val="0"/>
              <w:jc w:val="center"/>
              <w:rPr>
                <w:sz w:val="22"/>
                <w:szCs w:val="22"/>
              </w:rPr>
            </w:pPr>
          </w:p>
          <w:p w14:paraId="52B99935" w14:textId="77777777" w:rsidR="00A637AB" w:rsidRPr="009819ED" w:rsidRDefault="00A637AB" w:rsidP="00C72960">
            <w:pPr>
              <w:pStyle w:val="Standardowytekst0"/>
              <w:jc w:val="center"/>
              <w:rPr>
                <w:sz w:val="22"/>
                <w:szCs w:val="22"/>
              </w:rPr>
            </w:pPr>
          </w:p>
          <w:p w14:paraId="35376D0E" w14:textId="77777777" w:rsidR="00A637AB" w:rsidRPr="009819ED" w:rsidRDefault="00A637AB" w:rsidP="00C72960">
            <w:pPr>
              <w:pStyle w:val="Standardowytekst0"/>
              <w:jc w:val="center"/>
              <w:rPr>
                <w:sz w:val="22"/>
                <w:szCs w:val="22"/>
              </w:rPr>
            </w:pPr>
            <w:r w:rsidRPr="009819ED">
              <w:rPr>
                <w:sz w:val="22"/>
                <w:szCs w:val="22"/>
              </w:rPr>
              <w:t>od B 30 do B 50</w:t>
            </w:r>
          </w:p>
        </w:tc>
        <w:tc>
          <w:tcPr>
            <w:tcW w:w="1417" w:type="dxa"/>
            <w:tcBorders>
              <w:top w:val="single" w:sz="6" w:space="0" w:color="000000"/>
              <w:left w:val="single" w:sz="6" w:space="0" w:color="000000"/>
              <w:bottom w:val="single" w:sz="6" w:space="0" w:color="000000"/>
            </w:tcBorders>
            <w:shd w:val="clear" w:color="auto" w:fill="auto"/>
          </w:tcPr>
          <w:p w14:paraId="2A5F9405" w14:textId="77777777" w:rsidR="00A637AB" w:rsidRPr="009819ED" w:rsidRDefault="00A637AB" w:rsidP="00C72960">
            <w:pPr>
              <w:pStyle w:val="Standardowytekst0"/>
              <w:snapToGrid w:val="0"/>
              <w:jc w:val="center"/>
              <w:rPr>
                <w:sz w:val="22"/>
                <w:szCs w:val="22"/>
              </w:rPr>
            </w:pPr>
          </w:p>
          <w:p w14:paraId="2FBE46CE" w14:textId="77777777" w:rsidR="00A637AB" w:rsidRPr="009819ED" w:rsidRDefault="00A637AB" w:rsidP="00C72960">
            <w:pPr>
              <w:pStyle w:val="Standardowytekst0"/>
              <w:jc w:val="center"/>
              <w:rPr>
                <w:sz w:val="22"/>
                <w:szCs w:val="22"/>
              </w:rPr>
            </w:pPr>
          </w:p>
          <w:p w14:paraId="31AF0F26" w14:textId="77777777" w:rsidR="00A637AB" w:rsidRPr="009819ED" w:rsidRDefault="00A637AB" w:rsidP="00C72960">
            <w:pPr>
              <w:pStyle w:val="Standardowytekst0"/>
              <w:jc w:val="center"/>
              <w:rPr>
                <w:sz w:val="22"/>
                <w:szCs w:val="22"/>
              </w:rPr>
            </w:pPr>
            <w:r w:rsidRPr="009819ED">
              <w:rPr>
                <w:sz w:val="22"/>
                <w:szCs w:val="22"/>
              </w:rPr>
              <w:t>cement portlandzki</w:t>
            </w:r>
          </w:p>
          <w:p w14:paraId="23E4F521" w14:textId="77777777" w:rsidR="00A637AB" w:rsidRPr="009819ED" w:rsidRDefault="00A637AB" w:rsidP="00C72960">
            <w:pPr>
              <w:pStyle w:val="Standardowytekst0"/>
              <w:jc w:val="center"/>
              <w:rPr>
                <w:sz w:val="22"/>
                <w:szCs w:val="22"/>
              </w:rPr>
            </w:pPr>
            <w:r w:rsidRPr="009819ED">
              <w:rPr>
                <w:sz w:val="22"/>
                <w:szCs w:val="22"/>
              </w:rPr>
              <w:t>CEM I</w:t>
            </w:r>
          </w:p>
        </w:tc>
        <w:tc>
          <w:tcPr>
            <w:tcW w:w="851" w:type="dxa"/>
            <w:tcBorders>
              <w:top w:val="single" w:sz="6" w:space="0" w:color="000000"/>
              <w:left w:val="single" w:sz="6" w:space="0" w:color="000000"/>
            </w:tcBorders>
            <w:shd w:val="clear" w:color="auto" w:fill="auto"/>
          </w:tcPr>
          <w:p w14:paraId="219CC20A" w14:textId="77777777" w:rsidR="00A637AB" w:rsidRPr="009819ED" w:rsidRDefault="00A637AB" w:rsidP="00C72960">
            <w:pPr>
              <w:pStyle w:val="Standardowytekst0"/>
              <w:snapToGrid w:val="0"/>
              <w:jc w:val="center"/>
              <w:rPr>
                <w:sz w:val="22"/>
                <w:szCs w:val="22"/>
              </w:rPr>
            </w:pPr>
          </w:p>
          <w:p w14:paraId="15CCC550" w14:textId="77777777" w:rsidR="00A637AB" w:rsidRPr="009819ED" w:rsidRDefault="00A637AB" w:rsidP="00C72960">
            <w:pPr>
              <w:pStyle w:val="Standardowytekst0"/>
              <w:jc w:val="center"/>
              <w:rPr>
                <w:sz w:val="22"/>
                <w:szCs w:val="22"/>
              </w:rPr>
            </w:pPr>
          </w:p>
          <w:p w14:paraId="6BBA5312" w14:textId="77777777" w:rsidR="00A637AB" w:rsidRPr="009819ED" w:rsidRDefault="00A637AB" w:rsidP="00C72960">
            <w:pPr>
              <w:pStyle w:val="Standardowytekst0"/>
              <w:jc w:val="center"/>
              <w:rPr>
                <w:sz w:val="22"/>
                <w:szCs w:val="22"/>
              </w:rPr>
            </w:pPr>
            <w:r w:rsidRPr="009819ED">
              <w:rPr>
                <w:sz w:val="22"/>
                <w:szCs w:val="22"/>
              </w:rPr>
              <w:t>42,5 N</w:t>
            </w:r>
          </w:p>
          <w:p w14:paraId="6611BE8A" w14:textId="77777777" w:rsidR="00A637AB" w:rsidRPr="009819ED" w:rsidRDefault="00A637AB" w:rsidP="00C72960">
            <w:pPr>
              <w:pStyle w:val="Standardowytekst0"/>
              <w:jc w:val="center"/>
              <w:rPr>
                <w:sz w:val="22"/>
                <w:szCs w:val="22"/>
              </w:rPr>
            </w:pPr>
            <w:r w:rsidRPr="009819ED">
              <w:rPr>
                <w:sz w:val="22"/>
                <w:szCs w:val="22"/>
              </w:rPr>
              <w:t>42,5 R</w:t>
            </w:r>
          </w:p>
        </w:tc>
        <w:tc>
          <w:tcPr>
            <w:tcW w:w="1437" w:type="dxa"/>
            <w:tcBorders>
              <w:left w:val="single" w:sz="6" w:space="0" w:color="000000"/>
              <w:bottom w:val="single" w:sz="6" w:space="0" w:color="000000"/>
            </w:tcBorders>
            <w:shd w:val="clear" w:color="auto" w:fill="auto"/>
          </w:tcPr>
          <w:p w14:paraId="51C7AEA4" w14:textId="77777777" w:rsidR="00A637AB" w:rsidRPr="009819ED" w:rsidRDefault="00A637AB" w:rsidP="00C72960">
            <w:pPr>
              <w:pStyle w:val="Standardowytekst0"/>
              <w:snapToGrid w:val="0"/>
              <w:jc w:val="center"/>
              <w:rPr>
                <w:sz w:val="22"/>
                <w:szCs w:val="22"/>
              </w:rPr>
            </w:pPr>
          </w:p>
        </w:tc>
        <w:tc>
          <w:tcPr>
            <w:tcW w:w="2186" w:type="dxa"/>
            <w:tcBorders>
              <w:top w:val="single" w:sz="6" w:space="0" w:color="000000"/>
              <w:left w:val="single" w:sz="6" w:space="0" w:color="000000"/>
              <w:right w:val="single" w:sz="6" w:space="0" w:color="000000"/>
            </w:tcBorders>
            <w:shd w:val="clear" w:color="auto" w:fill="auto"/>
          </w:tcPr>
          <w:p w14:paraId="7483A2BD" w14:textId="77777777" w:rsidR="00A637AB" w:rsidRPr="009819ED" w:rsidRDefault="00A637AB" w:rsidP="00C72960">
            <w:pPr>
              <w:pStyle w:val="Standardowytekst0"/>
              <w:snapToGrid w:val="0"/>
              <w:jc w:val="center"/>
              <w:rPr>
                <w:sz w:val="22"/>
                <w:szCs w:val="22"/>
              </w:rPr>
            </w:pPr>
          </w:p>
          <w:p w14:paraId="790732B4" w14:textId="77777777" w:rsidR="00A637AB" w:rsidRPr="009819ED" w:rsidRDefault="00A637AB" w:rsidP="00C72960">
            <w:pPr>
              <w:pStyle w:val="Standardowytekst0"/>
              <w:jc w:val="center"/>
              <w:rPr>
                <w:sz w:val="22"/>
                <w:szCs w:val="22"/>
              </w:rPr>
            </w:pPr>
            <w:r w:rsidRPr="009819ED">
              <w:rPr>
                <w:sz w:val="22"/>
                <w:szCs w:val="22"/>
              </w:rPr>
              <w:t xml:space="preserve">Wodożądność wg PN-EN </w:t>
            </w:r>
          </w:p>
          <w:p w14:paraId="243121F2" w14:textId="77777777" w:rsidR="00A637AB" w:rsidRPr="009819ED" w:rsidRDefault="00A637AB" w:rsidP="00C72960">
            <w:pPr>
              <w:pStyle w:val="Standardowytekst0"/>
              <w:jc w:val="center"/>
              <w:rPr>
                <w:sz w:val="22"/>
                <w:szCs w:val="22"/>
              </w:rPr>
            </w:pPr>
            <w:r w:rsidRPr="009819ED">
              <w:rPr>
                <w:sz w:val="22"/>
                <w:szCs w:val="22"/>
              </w:rPr>
              <w:t xml:space="preserve">196-3:1996 [3] </w:t>
            </w:r>
            <w:r w:rsidR="00C03D2F">
              <w:rPr>
                <w:rFonts w:eastAsia="Symbol"/>
                <w:sz w:val="22"/>
                <w:szCs w:val="22"/>
              </w:rPr>
              <w:t>≤</w:t>
            </w:r>
            <w:r w:rsidRPr="009819ED">
              <w:rPr>
                <w:sz w:val="22"/>
                <w:szCs w:val="22"/>
              </w:rPr>
              <w:t xml:space="preserve"> 28,0%,</w:t>
            </w:r>
          </w:p>
          <w:p w14:paraId="0BF012D0" w14:textId="77777777" w:rsidR="00A637AB" w:rsidRPr="009819ED" w:rsidRDefault="00A637AB" w:rsidP="00C72960">
            <w:pPr>
              <w:pStyle w:val="Standardowytekst0"/>
              <w:jc w:val="center"/>
              <w:rPr>
                <w:sz w:val="22"/>
                <w:szCs w:val="22"/>
              </w:rPr>
            </w:pPr>
            <w:r w:rsidRPr="009819ED">
              <w:rPr>
                <w:sz w:val="22"/>
                <w:szCs w:val="22"/>
              </w:rPr>
              <w:t>wytrzymałość po 2 dniach wg</w:t>
            </w:r>
          </w:p>
          <w:p w14:paraId="140E7D7F" w14:textId="77777777" w:rsidR="00A637AB" w:rsidRPr="009819ED" w:rsidRDefault="00A637AB" w:rsidP="00C72960">
            <w:pPr>
              <w:pStyle w:val="Standardowytekst0"/>
              <w:jc w:val="center"/>
              <w:rPr>
                <w:sz w:val="22"/>
                <w:szCs w:val="22"/>
              </w:rPr>
            </w:pPr>
            <w:r w:rsidRPr="009819ED">
              <w:rPr>
                <w:sz w:val="22"/>
                <w:szCs w:val="22"/>
              </w:rPr>
              <w:t xml:space="preserve">PN-EN 196-1:1996 [1] </w:t>
            </w:r>
            <w:r w:rsidR="00C03D2F">
              <w:rPr>
                <w:rFonts w:eastAsia="Symbol"/>
                <w:sz w:val="22"/>
                <w:szCs w:val="22"/>
              </w:rPr>
              <w:t>≤</w:t>
            </w:r>
            <w:r w:rsidRPr="009819ED">
              <w:rPr>
                <w:sz w:val="22"/>
                <w:szCs w:val="22"/>
              </w:rPr>
              <w:t xml:space="preserve"> 29,0</w:t>
            </w:r>
          </w:p>
          <w:p w14:paraId="0AF13301" w14:textId="77777777" w:rsidR="00A637AB" w:rsidRPr="009819ED" w:rsidRDefault="00A637AB" w:rsidP="00C72960">
            <w:pPr>
              <w:pStyle w:val="Standardowytekst0"/>
              <w:jc w:val="center"/>
              <w:rPr>
                <w:sz w:val="22"/>
                <w:szCs w:val="22"/>
              </w:rPr>
            </w:pPr>
            <w:r w:rsidRPr="009819ED">
              <w:rPr>
                <w:sz w:val="22"/>
                <w:szCs w:val="22"/>
              </w:rPr>
              <w:t>MPa, powierzchnia właściwa</w:t>
            </w:r>
          </w:p>
        </w:tc>
      </w:tr>
      <w:tr w:rsidR="00A637AB" w:rsidRPr="009819ED" w14:paraId="0C1CBD6B" w14:textId="77777777" w:rsidTr="00C72960">
        <w:tc>
          <w:tcPr>
            <w:tcW w:w="1029" w:type="dxa"/>
            <w:tcBorders>
              <w:left w:val="single" w:sz="6" w:space="0" w:color="000000"/>
            </w:tcBorders>
            <w:shd w:val="clear" w:color="auto" w:fill="auto"/>
            <w:vAlign w:val="bottom"/>
          </w:tcPr>
          <w:p w14:paraId="0C24A027" w14:textId="77777777" w:rsidR="00A637AB" w:rsidRPr="009819ED" w:rsidRDefault="00A637AB" w:rsidP="00C72960">
            <w:pPr>
              <w:pStyle w:val="Standardowytekst0"/>
              <w:jc w:val="center"/>
              <w:rPr>
                <w:sz w:val="22"/>
                <w:szCs w:val="22"/>
              </w:rPr>
            </w:pPr>
            <w:r w:rsidRPr="009819ED">
              <w:rPr>
                <w:sz w:val="22"/>
                <w:szCs w:val="22"/>
              </w:rPr>
              <w:t xml:space="preserve">Nawierzchnia betonowa w </w:t>
            </w:r>
          </w:p>
        </w:tc>
        <w:tc>
          <w:tcPr>
            <w:tcW w:w="709" w:type="dxa"/>
            <w:tcBorders>
              <w:top w:val="single" w:sz="6" w:space="0" w:color="000000"/>
              <w:left w:val="single" w:sz="6" w:space="0" w:color="000000"/>
            </w:tcBorders>
            <w:shd w:val="clear" w:color="auto" w:fill="auto"/>
          </w:tcPr>
          <w:p w14:paraId="7420C198" w14:textId="77777777" w:rsidR="00A637AB" w:rsidRPr="009819ED" w:rsidRDefault="00A637AB" w:rsidP="00C72960">
            <w:pPr>
              <w:pStyle w:val="Standardowytekst0"/>
              <w:snapToGrid w:val="0"/>
              <w:jc w:val="center"/>
              <w:rPr>
                <w:sz w:val="22"/>
                <w:szCs w:val="22"/>
              </w:rPr>
            </w:pPr>
          </w:p>
          <w:p w14:paraId="27AFE4B9" w14:textId="77777777" w:rsidR="00A637AB" w:rsidRPr="009819ED" w:rsidRDefault="00A637AB" w:rsidP="00C72960">
            <w:pPr>
              <w:pStyle w:val="Standardowytekst0"/>
              <w:jc w:val="center"/>
              <w:rPr>
                <w:sz w:val="22"/>
                <w:szCs w:val="22"/>
              </w:rPr>
            </w:pPr>
          </w:p>
          <w:p w14:paraId="21E65477" w14:textId="77777777" w:rsidR="00A637AB" w:rsidRPr="009819ED" w:rsidRDefault="00A637AB" w:rsidP="00C72960">
            <w:pPr>
              <w:pStyle w:val="Standardowytekst0"/>
              <w:jc w:val="center"/>
              <w:rPr>
                <w:sz w:val="22"/>
                <w:szCs w:val="22"/>
              </w:rPr>
            </w:pPr>
          </w:p>
          <w:p w14:paraId="1C43291B" w14:textId="77777777" w:rsidR="00A637AB" w:rsidRPr="009819ED" w:rsidRDefault="00A637AB" w:rsidP="00C72960">
            <w:pPr>
              <w:pStyle w:val="Standardowytekst0"/>
              <w:jc w:val="center"/>
              <w:rPr>
                <w:sz w:val="22"/>
                <w:szCs w:val="22"/>
              </w:rPr>
            </w:pPr>
          </w:p>
          <w:p w14:paraId="578CBC69" w14:textId="77777777" w:rsidR="00A637AB" w:rsidRPr="009819ED" w:rsidRDefault="00A637AB" w:rsidP="00C72960">
            <w:pPr>
              <w:pStyle w:val="Standardowytekst0"/>
              <w:jc w:val="center"/>
              <w:rPr>
                <w:sz w:val="22"/>
                <w:szCs w:val="22"/>
              </w:rPr>
            </w:pPr>
            <w:r w:rsidRPr="009819ED">
              <w:rPr>
                <w:sz w:val="22"/>
                <w:szCs w:val="22"/>
              </w:rPr>
              <w:t xml:space="preserve">od B 30 </w:t>
            </w:r>
          </w:p>
        </w:tc>
        <w:tc>
          <w:tcPr>
            <w:tcW w:w="1417" w:type="dxa"/>
            <w:tcBorders>
              <w:left w:val="single" w:sz="6" w:space="0" w:color="000000"/>
            </w:tcBorders>
            <w:shd w:val="clear" w:color="auto" w:fill="auto"/>
          </w:tcPr>
          <w:p w14:paraId="4D24EC8C" w14:textId="77777777" w:rsidR="00A637AB" w:rsidRPr="009819ED" w:rsidRDefault="00A637AB" w:rsidP="00C72960">
            <w:pPr>
              <w:pStyle w:val="Standardowytekst0"/>
              <w:jc w:val="center"/>
              <w:rPr>
                <w:sz w:val="22"/>
                <w:szCs w:val="22"/>
              </w:rPr>
            </w:pPr>
            <w:r w:rsidRPr="009819ED">
              <w:rPr>
                <w:sz w:val="22"/>
                <w:szCs w:val="22"/>
              </w:rPr>
              <w:t>cement portlandzki specjalny siarczanoodporny</w:t>
            </w:r>
          </w:p>
          <w:p w14:paraId="1C939FFC" w14:textId="77777777" w:rsidR="00A637AB" w:rsidRPr="009819ED" w:rsidRDefault="00A637AB" w:rsidP="00C72960">
            <w:pPr>
              <w:pStyle w:val="Standardowytekst0"/>
              <w:jc w:val="center"/>
              <w:rPr>
                <w:sz w:val="22"/>
                <w:szCs w:val="22"/>
              </w:rPr>
            </w:pPr>
            <w:r w:rsidRPr="009819ED">
              <w:rPr>
                <w:sz w:val="22"/>
                <w:szCs w:val="22"/>
              </w:rPr>
              <w:t>CEM I HSR</w:t>
            </w:r>
          </w:p>
          <w:p w14:paraId="666D5A51" w14:textId="77777777" w:rsidR="00A637AB" w:rsidRPr="009819ED" w:rsidRDefault="00A637AB" w:rsidP="00C72960">
            <w:pPr>
              <w:pStyle w:val="Standardowytekst0"/>
              <w:jc w:val="center"/>
              <w:rPr>
                <w:sz w:val="22"/>
                <w:szCs w:val="22"/>
              </w:rPr>
            </w:pPr>
            <w:r w:rsidRPr="009819ED">
              <w:rPr>
                <w:sz w:val="22"/>
                <w:szCs w:val="22"/>
              </w:rPr>
              <w:t>CEM I MSR</w:t>
            </w:r>
          </w:p>
        </w:tc>
        <w:tc>
          <w:tcPr>
            <w:tcW w:w="851" w:type="dxa"/>
            <w:tcBorders>
              <w:top w:val="single" w:sz="6" w:space="0" w:color="000000"/>
              <w:left w:val="single" w:sz="6" w:space="0" w:color="000000"/>
            </w:tcBorders>
            <w:shd w:val="clear" w:color="auto" w:fill="auto"/>
          </w:tcPr>
          <w:p w14:paraId="0C2EB21E" w14:textId="77777777" w:rsidR="00A637AB" w:rsidRPr="009819ED" w:rsidRDefault="00A637AB" w:rsidP="00C72960">
            <w:pPr>
              <w:pStyle w:val="Standardowytekst0"/>
              <w:spacing w:before="120"/>
              <w:jc w:val="center"/>
              <w:rPr>
                <w:sz w:val="22"/>
                <w:szCs w:val="22"/>
                <w:lang w:val="de-DE"/>
              </w:rPr>
            </w:pPr>
            <w:r w:rsidRPr="009819ED">
              <w:rPr>
                <w:sz w:val="22"/>
                <w:szCs w:val="22"/>
                <w:lang w:val="de-DE"/>
              </w:rPr>
              <w:t>32,5 N</w:t>
            </w:r>
          </w:p>
          <w:p w14:paraId="7673D075" w14:textId="77777777" w:rsidR="00A637AB" w:rsidRPr="009819ED" w:rsidRDefault="00A637AB" w:rsidP="00C72960">
            <w:pPr>
              <w:pStyle w:val="Standardowytekst0"/>
              <w:jc w:val="center"/>
              <w:rPr>
                <w:sz w:val="22"/>
                <w:szCs w:val="22"/>
                <w:lang w:val="de-DE"/>
              </w:rPr>
            </w:pPr>
            <w:r w:rsidRPr="009819ED">
              <w:rPr>
                <w:sz w:val="22"/>
                <w:szCs w:val="22"/>
                <w:lang w:val="de-DE"/>
              </w:rPr>
              <w:t>32,5 R</w:t>
            </w:r>
          </w:p>
          <w:p w14:paraId="5411151C" w14:textId="77777777" w:rsidR="00A637AB" w:rsidRPr="009819ED" w:rsidRDefault="00A637AB" w:rsidP="00C72960">
            <w:pPr>
              <w:pStyle w:val="Standardowytekst0"/>
              <w:jc w:val="center"/>
              <w:rPr>
                <w:sz w:val="22"/>
                <w:szCs w:val="22"/>
                <w:lang w:val="de-DE"/>
              </w:rPr>
            </w:pPr>
            <w:r w:rsidRPr="009819ED">
              <w:rPr>
                <w:sz w:val="22"/>
                <w:szCs w:val="22"/>
                <w:lang w:val="de-DE"/>
              </w:rPr>
              <w:t>42,5 N</w:t>
            </w:r>
          </w:p>
          <w:p w14:paraId="2E63AFB6" w14:textId="77777777" w:rsidR="00A637AB" w:rsidRPr="009819ED" w:rsidRDefault="00A637AB" w:rsidP="00C72960">
            <w:pPr>
              <w:pStyle w:val="Standardowytekst0"/>
              <w:jc w:val="center"/>
              <w:rPr>
                <w:sz w:val="22"/>
                <w:szCs w:val="22"/>
                <w:lang w:val="de-DE"/>
              </w:rPr>
            </w:pPr>
            <w:r w:rsidRPr="009819ED">
              <w:rPr>
                <w:sz w:val="22"/>
                <w:szCs w:val="22"/>
                <w:lang w:val="de-DE"/>
              </w:rPr>
              <w:t>42,5 R</w:t>
            </w:r>
          </w:p>
        </w:tc>
        <w:tc>
          <w:tcPr>
            <w:tcW w:w="1437" w:type="dxa"/>
            <w:tcBorders>
              <w:left w:val="single" w:sz="6" w:space="0" w:color="000000"/>
            </w:tcBorders>
            <w:shd w:val="clear" w:color="auto" w:fill="auto"/>
          </w:tcPr>
          <w:p w14:paraId="4158991B" w14:textId="77777777" w:rsidR="00A637AB" w:rsidRPr="009819ED" w:rsidRDefault="00A637AB" w:rsidP="00C72960">
            <w:pPr>
              <w:pStyle w:val="Standardowytekst0"/>
              <w:snapToGrid w:val="0"/>
              <w:jc w:val="center"/>
              <w:rPr>
                <w:sz w:val="22"/>
                <w:szCs w:val="22"/>
                <w:lang w:val="de-DE"/>
              </w:rPr>
            </w:pPr>
          </w:p>
          <w:p w14:paraId="7EF67F4A" w14:textId="77777777" w:rsidR="00A637AB" w:rsidRPr="009819ED" w:rsidRDefault="00A637AB" w:rsidP="00C72960">
            <w:pPr>
              <w:pStyle w:val="Standardowytekst0"/>
              <w:jc w:val="center"/>
              <w:rPr>
                <w:sz w:val="22"/>
                <w:szCs w:val="22"/>
              </w:rPr>
            </w:pPr>
            <w:r w:rsidRPr="009819ED">
              <w:rPr>
                <w:sz w:val="22"/>
                <w:szCs w:val="22"/>
              </w:rPr>
              <w:t>PN-B-19705:1998 [39] oraz aprobata techniczna IBDiM</w:t>
            </w:r>
          </w:p>
        </w:tc>
        <w:tc>
          <w:tcPr>
            <w:tcW w:w="2186" w:type="dxa"/>
            <w:tcBorders>
              <w:left w:val="single" w:sz="6" w:space="0" w:color="000000"/>
              <w:bottom w:val="single" w:sz="6" w:space="0" w:color="000000"/>
              <w:right w:val="single" w:sz="6" w:space="0" w:color="000000"/>
            </w:tcBorders>
            <w:shd w:val="clear" w:color="auto" w:fill="auto"/>
          </w:tcPr>
          <w:p w14:paraId="517E3BF5" w14:textId="77777777" w:rsidR="00A637AB" w:rsidRPr="009819ED" w:rsidRDefault="00A637AB" w:rsidP="00C72960">
            <w:pPr>
              <w:pStyle w:val="Standardowytekst0"/>
              <w:jc w:val="center"/>
              <w:rPr>
                <w:sz w:val="22"/>
                <w:szCs w:val="22"/>
              </w:rPr>
            </w:pPr>
            <w:r w:rsidRPr="009819ED">
              <w:rPr>
                <w:sz w:val="22"/>
                <w:szCs w:val="22"/>
              </w:rPr>
              <w:t xml:space="preserve">wg PN-EN 196-6:1997 [4] </w:t>
            </w:r>
            <w:r w:rsidR="00C03D2F">
              <w:rPr>
                <w:rFonts w:eastAsia="Symbol"/>
                <w:sz w:val="22"/>
                <w:szCs w:val="22"/>
              </w:rPr>
              <w:t>≤</w:t>
            </w:r>
            <w:r w:rsidRPr="009819ED">
              <w:rPr>
                <w:sz w:val="22"/>
                <w:szCs w:val="22"/>
              </w:rPr>
              <w:t xml:space="preserve"> 3500 cm</w:t>
            </w:r>
            <w:r w:rsidRPr="009819ED">
              <w:rPr>
                <w:sz w:val="22"/>
                <w:szCs w:val="22"/>
                <w:vertAlign w:val="superscript"/>
              </w:rPr>
              <w:t>2</w:t>
            </w:r>
            <w:r w:rsidRPr="009819ED">
              <w:rPr>
                <w:sz w:val="22"/>
                <w:szCs w:val="22"/>
              </w:rPr>
              <w:t xml:space="preserve">/g, początek wiązania wg PN-EN 196-3:1996 [3] </w:t>
            </w:r>
          </w:p>
          <w:p w14:paraId="72CF0C6E" w14:textId="77777777" w:rsidR="00A637AB" w:rsidRPr="009819ED" w:rsidRDefault="00C03D2F" w:rsidP="00C72960">
            <w:pPr>
              <w:pStyle w:val="Standardowytekst0"/>
              <w:jc w:val="center"/>
              <w:rPr>
                <w:sz w:val="22"/>
                <w:szCs w:val="22"/>
              </w:rPr>
            </w:pPr>
            <w:r>
              <w:rPr>
                <w:rFonts w:eastAsia="Symbol"/>
                <w:sz w:val="22"/>
                <w:szCs w:val="22"/>
              </w:rPr>
              <w:t>≥</w:t>
            </w:r>
            <w:r w:rsidR="00A637AB" w:rsidRPr="009819ED">
              <w:rPr>
                <w:sz w:val="22"/>
                <w:szCs w:val="22"/>
              </w:rPr>
              <w:t>120 minut</w:t>
            </w:r>
          </w:p>
        </w:tc>
      </w:tr>
      <w:tr w:rsidR="00A637AB" w:rsidRPr="009819ED" w14:paraId="1B1D54E6" w14:textId="77777777" w:rsidTr="00C72960">
        <w:tc>
          <w:tcPr>
            <w:tcW w:w="1029" w:type="dxa"/>
            <w:tcBorders>
              <w:left w:val="single" w:sz="6" w:space="0" w:color="000000"/>
            </w:tcBorders>
            <w:shd w:val="clear" w:color="auto" w:fill="auto"/>
          </w:tcPr>
          <w:p w14:paraId="459B6340" w14:textId="77777777" w:rsidR="00A637AB" w:rsidRPr="009819ED" w:rsidRDefault="00A637AB" w:rsidP="00C72960">
            <w:pPr>
              <w:pStyle w:val="Standardowytekst0"/>
              <w:jc w:val="center"/>
              <w:rPr>
                <w:sz w:val="22"/>
                <w:szCs w:val="22"/>
              </w:rPr>
            </w:pPr>
            <w:r w:rsidRPr="009819ED">
              <w:rPr>
                <w:sz w:val="22"/>
                <w:szCs w:val="22"/>
              </w:rPr>
              <w:t>warunkach agresji siarczanowej</w:t>
            </w:r>
          </w:p>
        </w:tc>
        <w:tc>
          <w:tcPr>
            <w:tcW w:w="709" w:type="dxa"/>
            <w:tcBorders>
              <w:left w:val="single" w:sz="6" w:space="0" w:color="000000"/>
            </w:tcBorders>
            <w:shd w:val="clear" w:color="auto" w:fill="auto"/>
          </w:tcPr>
          <w:p w14:paraId="753B5C9F" w14:textId="77777777" w:rsidR="00A637AB" w:rsidRPr="009819ED" w:rsidRDefault="00A637AB" w:rsidP="00C72960">
            <w:pPr>
              <w:pStyle w:val="Standardowytekst0"/>
              <w:jc w:val="center"/>
              <w:rPr>
                <w:sz w:val="22"/>
                <w:szCs w:val="22"/>
              </w:rPr>
            </w:pPr>
            <w:r w:rsidRPr="009819ED">
              <w:rPr>
                <w:sz w:val="22"/>
                <w:szCs w:val="22"/>
              </w:rPr>
              <w:t>do B 50</w:t>
            </w:r>
          </w:p>
        </w:tc>
        <w:tc>
          <w:tcPr>
            <w:tcW w:w="1417" w:type="dxa"/>
            <w:tcBorders>
              <w:top w:val="single" w:sz="6" w:space="0" w:color="000000"/>
              <w:left w:val="single" w:sz="6" w:space="0" w:color="000000"/>
            </w:tcBorders>
            <w:shd w:val="clear" w:color="auto" w:fill="auto"/>
          </w:tcPr>
          <w:p w14:paraId="015D3FD1" w14:textId="77777777" w:rsidR="00A637AB" w:rsidRPr="009819ED" w:rsidRDefault="00A637AB" w:rsidP="00C72960">
            <w:pPr>
              <w:pStyle w:val="Standardowytekst0"/>
              <w:jc w:val="center"/>
              <w:rPr>
                <w:sz w:val="22"/>
                <w:szCs w:val="22"/>
              </w:rPr>
            </w:pPr>
            <w:r w:rsidRPr="009819ED">
              <w:rPr>
                <w:sz w:val="22"/>
                <w:szCs w:val="22"/>
              </w:rPr>
              <w:t>cement portlandzki popiołowy</w:t>
            </w:r>
          </w:p>
          <w:p w14:paraId="7165F8BC" w14:textId="77777777" w:rsidR="00A637AB" w:rsidRPr="009819ED" w:rsidRDefault="00A637AB" w:rsidP="00C72960">
            <w:pPr>
              <w:pStyle w:val="Standardowytekst0"/>
              <w:jc w:val="center"/>
              <w:rPr>
                <w:sz w:val="22"/>
                <w:szCs w:val="22"/>
              </w:rPr>
            </w:pPr>
            <w:r w:rsidRPr="009819ED">
              <w:rPr>
                <w:sz w:val="22"/>
                <w:szCs w:val="22"/>
              </w:rPr>
              <w:t>CEM II/B-V</w:t>
            </w:r>
          </w:p>
        </w:tc>
        <w:tc>
          <w:tcPr>
            <w:tcW w:w="851" w:type="dxa"/>
            <w:tcBorders>
              <w:top w:val="single" w:sz="6" w:space="0" w:color="000000"/>
              <w:left w:val="single" w:sz="6" w:space="0" w:color="000000"/>
              <w:bottom w:val="single" w:sz="6" w:space="0" w:color="000000"/>
            </w:tcBorders>
            <w:shd w:val="clear" w:color="auto" w:fill="auto"/>
          </w:tcPr>
          <w:p w14:paraId="70042CE5" w14:textId="77777777" w:rsidR="00A637AB" w:rsidRPr="009819ED" w:rsidRDefault="00A637AB" w:rsidP="00C72960">
            <w:pPr>
              <w:pStyle w:val="Standardowytekst0"/>
              <w:spacing w:before="120"/>
              <w:jc w:val="center"/>
              <w:rPr>
                <w:sz w:val="22"/>
                <w:szCs w:val="22"/>
              </w:rPr>
            </w:pPr>
            <w:r w:rsidRPr="009819ED">
              <w:rPr>
                <w:sz w:val="22"/>
                <w:szCs w:val="22"/>
              </w:rPr>
              <w:t>32,5 N</w:t>
            </w:r>
          </w:p>
          <w:p w14:paraId="6B3B4872" w14:textId="77777777" w:rsidR="00A637AB" w:rsidRPr="009819ED" w:rsidRDefault="00A637AB" w:rsidP="00C72960">
            <w:pPr>
              <w:pStyle w:val="Standardowytekst0"/>
              <w:jc w:val="center"/>
              <w:rPr>
                <w:sz w:val="22"/>
                <w:szCs w:val="22"/>
              </w:rPr>
            </w:pPr>
            <w:r w:rsidRPr="009819ED">
              <w:rPr>
                <w:sz w:val="22"/>
                <w:szCs w:val="22"/>
              </w:rPr>
              <w:t>42,5 N</w:t>
            </w:r>
          </w:p>
        </w:tc>
        <w:tc>
          <w:tcPr>
            <w:tcW w:w="1437" w:type="dxa"/>
            <w:tcBorders>
              <w:top w:val="single" w:sz="6" w:space="0" w:color="000000"/>
              <w:left w:val="single" w:sz="6" w:space="0" w:color="000000"/>
              <w:bottom w:val="single" w:sz="6" w:space="0" w:color="000000"/>
            </w:tcBorders>
            <w:shd w:val="clear" w:color="auto" w:fill="auto"/>
          </w:tcPr>
          <w:p w14:paraId="5C5735F9" w14:textId="77777777" w:rsidR="00A637AB" w:rsidRPr="009819ED" w:rsidRDefault="00A637AB" w:rsidP="00C72960">
            <w:pPr>
              <w:pStyle w:val="Standardowytekst0"/>
              <w:jc w:val="center"/>
              <w:rPr>
                <w:sz w:val="22"/>
                <w:szCs w:val="22"/>
              </w:rPr>
            </w:pPr>
            <w:r w:rsidRPr="009819ED">
              <w:rPr>
                <w:sz w:val="22"/>
                <w:szCs w:val="22"/>
              </w:rPr>
              <w:t xml:space="preserve">Aprobata techniczna </w:t>
            </w:r>
          </w:p>
          <w:p w14:paraId="18BE7557" w14:textId="77777777" w:rsidR="00A637AB" w:rsidRPr="009819ED" w:rsidRDefault="00A637AB" w:rsidP="00C72960">
            <w:pPr>
              <w:pStyle w:val="Standardowytekst0"/>
              <w:jc w:val="center"/>
              <w:rPr>
                <w:sz w:val="22"/>
                <w:szCs w:val="22"/>
              </w:rPr>
            </w:pPr>
            <w:r w:rsidRPr="009819ED">
              <w:rPr>
                <w:sz w:val="22"/>
                <w:szCs w:val="22"/>
              </w:rPr>
              <w:t>IBDiM</w:t>
            </w:r>
          </w:p>
        </w:tc>
        <w:tc>
          <w:tcPr>
            <w:tcW w:w="2186" w:type="dxa"/>
            <w:tcBorders>
              <w:left w:val="single" w:sz="6" w:space="0" w:color="000000"/>
              <w:right w:val="single" w:sz="6" w:space="0" w:color="000000"/>
            </w:tcBorders>
            <w:shd w:val="clear" w:color="auto" w:fill="auto"/>
          </w:tcPr>
          <w:p w14:paraId="5DA842F3" w14:textId="77777777" w:rsidR="00A637AB" w:rsidRPr="009819ED" w:rsidRDefault="00A637AB" w:rsidP="00C72960">
            <w:pPr>
              <w:pStyle w:val="Standardowytekst0"/>
              <w:snapToGrid w:val="0"/>
              <w:jc w:val="center"/>
              <w:rPr>
                <w:sz w:val="22"/>
                <w:szCs w:val="22"/>
              </w:rPr>
            </w:pPr>
          </w:p>
        </w:tc>
      </w:tr>
      <w:tr w:rsidR="00A637AB" w:rsidRPr="009819ED" w14:paraId="4D1449D9" w14:textId="77777777" w:rsidTr="00C72960">
        <w:tc>
          <w:tcPr>
            <w:tcW w:w="1029" w:type="dxa"/>
            <w:tcBorders>
              <w:left w:val="single" w:sz="6" w:space="0" w:color="000000"/>
            </w:tcBorders>
            <w:shd w:val="clear" w:color="auto" w:fill="auto"/>
          </w:tcPr>
          <w:p w14:paraId="4F4EAF41" w14:textId="77777777" w:rsidR="00A637AB" w:rsidRPr="009819ED" w:rsidRDefault="00A637AB" w:rsidP="00C72960">
            <w:pPr>
              <w:pStyle w:val="Standardowytekst0"/>
              <w:snapToGrid w:val="0"/>
              <w:jc w:val="center"/>
              <w:rPr>
                <w:sz w:val="22"/>
                <w:szCs w:val="22"/>
              </w:rPr>
            </w:pPr>
          </w:p>
        </w:tc>
        <w:tc>
          <w:tcPr>
            <w:tcW w:w="709" w:type="dxa"/>
            <w:tcBorders>
              <w:left w:val="single" w:sz="6" w:space="0" w:color="000000"/>
            </w:tcBorders>
            <w:shd w:val="clear" w:color="auto" w:fill="auto"/>
          </w:tcPr>
          <w:p w14:paraId="18A63731" w14:textId="77777777" w:rsidR="00A637AB" w:rsidRPr="009819ED" w:rsidRDefault="00A637AB" w:rsidP="00C72960">
            <w:pPr>
              <w:pStyle w:val="Standardowytekst0"/>
              <w:snapToGrid w:val="0"/>
              <w:jc w:val="center"/>
              <w:rPr>
                <w:sz w:val="22"/>
                <w:szCs w:val="22"/>
              </w:rPr>
            </w:pPr>
          </w:p>
        </w:tc>
        <w:tc>
          <w:tcPr>
            <w:tcW w:w="1417" w:type="dxa"/>
            <w:tcBorders>
              <w:top w:val="single" w:sz="6" w:space="0" w:color="000000"/>
              <w:left w:val="single" w:sz="6" w:space="0" w:color="000000"/>
              <w:bottom w:val="single" w:sz="6" w:space="0" w:color="000000"/>
            </w:tcBorders>
            <w:shd w:val="clear" w:color="auto" w:fill="auto"/>
          </w:tcPr>
          <w:p w14:paraId="3BA01FD4" w14:textId="77777777" w:rsidR="00A637AB" w:rsidRPr="009819ED" w:rsidRDefault="00A637AB" w:rsidP="00C72960">
            <w:pPr>
              <w:pStyle w:val="Standardowytekst0"/>
              <w:jc w:val="center"/>
              <w:rPr>
                <w:sz w:val="22"/>
                <w:szCs w:val="22"/>
              </w:rPr>
            </w:pPr>
            <w:r w:rsidRPr="009819ED">
              <w:rPr>
                <w:sz w:val="22"/>
                <w:szCs w:val="22"/>
              </w:rPr>
              <w:t>cement hutniczy</w:t>
            </w:r>
          </w:p>
          <w:p w14:paraId="08F1D75E" w14:textId="77777777" w:rsidR="00A637AB" w:rsidRPr="009819ED" w:rsidRDefault="00A637AB" w:rsidP="00C72960">
            <w:pPr>
              <w:pStyle w:val="Standardowytekst0"/>
              <w:jc w:val="center"/>
              <w:rPr>
                <w:sz w:val="22"/>
                <w:szCs w:val="22"/>
              </w:rPr>
            </w:pPr>
            <w:r w:rsidRPr="009819ED">
              <w:rPr>
                <w:sz w:val="22"/>
                <w:szCs w:val="22"/>
              </w:rPr>
              <w:t>CEM III/B</w:t>
            </w:r>
          </w:p>
        </w:tc>
        <w:tc>
          <w:tcPr>
            <w:tcW w:w="851" w:type="dxa"/>
            <w:tcBorders>
              <w:left w:val="single" w:sz="6" w:space="0" w:color="000000"/>
            </w:tcBorders>
            <w:shd w:val="clear" w:color="auto" w:fill="auto"/>
          </w:tcPr>
          <w:p w14:paraId="40DFF256" w14:textId="77777777" w:rsidR="00A637AB" w:rsidRPr="009819ED" w:rsidRDefault="00A637AB" w:rsidP="00C72960">
            <w:pPr>
              <w:pStyle w:val="Standardowytekst0"/>
              <w:snapToGrid w:val="0"/>
              <w:jc w:val="center"/>
              <w:rPr>
                <w:sz w:val="22"/>
                <w:szCs w:val="22"/>
              </w:rPr>
            </w:pPr>
          </w:p>
          <w:p w14:paraId="6A60A821" w14:textId="77777777" w:rsidR="00A637AB" w:rsidRPr="009819ED" w:rsidRDefault="00A637AB" w:rsidP="00C72960">
            <w:pPr>
              <w:pStyle w:val="Standardowytekst0"/>
              <w:jc w:val="center"/>
              <w:rPr>
                <w:sz w:val="22"/>
                <w:szCs w:val="22"/>
              </w:rPr>
            </w:pPr>
            <w:r w:rsidRPr="009819ED">
              <w:rPr>
                <w:sz w:val="22"/>
                <w:szCs w:val="22"/>
              </w:rPr>
              <w:t>32,5 N</w:t>
            </w:r>
          </w:p>
        </w:tc>
        <w:tc>
          <w:tcPr>
            <w:tcW w:w="1437" w:type="dxa"/>
            <w:tcBorders>
              <w:left w:val="single" w:sz="6" w:space="0" w:color="000000"/>
            </w:tcBorders>
            <w:shd w:val="clear" w:color="auto" w:fill="auto"/>
          </w:tcPr>
          <w:p w14:paraId="191EE07E" w14:textId="77777777" w:rsidR="00A637AB" w:rsidRPr="009819ED" w:rsidRDefault="00A637AB" w:rsidP="00C72960">
            <w:pPr>
              <w:pStyle w:val="Standardowytekst0"/>
              <w:jc w:val="center"/>
              <w:rPr>
                <w:sz w:val="22"/>
                <w:szCs w:val="22"/>
              </w:rPr>
            </w:pPr>
            <w:r w:rsidRPr="009819ED">
              <w:rPr>
                <w:sz w:val="22"/>
                <w:szCs w:val="22"/>
              </w:rPr>
              <w:t>Załącznik do PN-B-19705:1998 [39]</w:t>
            </w:r>
          </w:p>
        </w:tc>
        <w:tc>
          <w:tcPr>
            <w:tcW w:w="2186" w:type="dxa"/>
            <w:tcBorders>
              <w:left w:val="single" w:sz="6" w:space="0" w:color="000000"/>
              <w:right w:val="single" w:sz="6" w:space="0" w:color="000000"/>
            </w:tcBorders>
            <w:shd w:val="clear" w:color="auto" w:fill="auto"/>
          </w:tcPr>
          <w:p w14:paraId="509707D5" w14:textId="77777777" w:rsidR="00A637AB" w:rsidRPr="009819ED" w:rsidRDefault="00A637AB" w:rsidP="00C72960">
            <w:pPr>
              <w:pStyle w:val="Standardowytekst0"/>
              <w:snapToGrid w:val="0"/>
              <w:jc w:val="center"/>
              <w:rPr>
                <w:sz w:val="22"/>
                <w:szCs w:val="22"/>
              </w:rPr>
            </w:pPr>
          </w:p>
        </w:tc>
      </w:tr>
      <w:tr w:rsidR="00A637AB" w:rsidRPr="009819ED" w14:paraId="20202AD4" w14:textId="77777777" w:rsidTr="00C72960">
        <w:tc>
          <w:tcPr>
            <w:tcW w:w="1029" w:type="dxa"/>
            <w:tcBorders>
              <w:left w:val="single" w:sz="6" w:space="0" w:color="000000"/>
              <w:bottom w:val="single" w:sz="6" w:space="0" w:color="000000"/>
            </w:tcBorders>
            <w:shd w:val="clear" w:color="auto" w:fill="auto"/>
          </w:tcPr>
          <w:p w14:paraId="1E61F103" w14:textId="77777777" w:rsidR="00A637AB" w:rsidRPr="009819ED" w:rsidRDefault="00A637AB" w:rsidP="00C72960">
            <w:pPr>
              <w:pStyle w:val="Standardowytekst0"/>
              <w:snapToGrid w:val="0"/>
              <w:jc w:val="center"/>
              <w:rPr>
                <w:sz w:val="22"/>
                <w:szCs w:val="22"/>
              </w:rPr>
            </w:pPr>
          </w:p>
        </w:tc>
        <w:tc>
          <w:tcPr>
            <w:tcW w:w="709" w:type="dxa"/>
            <w:tcBorders>
              <w:left w:val="single" w:sz="6" w:space="0" w:color="000000"/>
              <w:bottom w:val="single" w:sz="6" w:space="0" w:color="000000"/>
            </w:tcBorders>
            <w:shd w:val="clear" w:color="auto" w:fill="auto"/>
          </w:tcPr>
          <w:p w14:paraId="2E67B823" w14:textId="77777777" w:rsidR="00A637AB" w:rsidRPr="009819ED" w:rsidRDefault="00A637AB" w:rsidP="00C72960">
            <w:pPr>
              <w:pStyle w:val="Standardowytekst0"/>
              <w:snapToGrid w:val="0"/>
              <w:jc w:val="center"/>
              <w:rPr>
                <w:sz w:val="22"/>
                <w:szCs w:val="22"/>
              </w:rPr>
            </w:pPr>
          </w:p>
        </w:tc>
        <w:tc>
          <w:tcPr>
            <w:tcW w:w="1417" w:type="dxa"/>
            <w:tcBorders>
              <w:left w:val="single" w:sz="6" w:space="0" w:color="000000"/>
              <w:bottom w:val="single" w:sz="6" w:space="0" w:color="000000"/>
            </w:tcBorders>
            <w:shd w:val="clear" w:color="auto" w:fill="auto"/>
          </w:tcPr>
          <w:p w14:paraId="5C0FEB75" w14:textId="77777777" w:rsidR="00A637AB" w:rsidRPr="009819ED" w:rsidRDefault="00A637AB" w:rsidP="00C72960">
            <w:pPr>
              <w:pStyle w:val="Standardowytekst0"/>
              <w:jc w:val="center"/>
              <w:rPr>
                <w:sz w:val="22"/>
                <w:szCs w:val="22"/>
              </w:rPr>
            </w:pPr>
            <w:r w:rsidRPr="009819ED">
              <w:rPr>
                <w:sz w:val="22"/>
                <w:szCs w:val="22"/>
              </w:rPr>
              <w:t>cement pucolanowy</w:t>
            </w:r>
          </w:p>
          <w:p w14:paraId="69C8D20D" w14:textId="77777777" w:rsidR="00A637AB" w:rsidRPr="009819ED" w:rsidRDefault="00A637AB" w:rsidP="00C72960">
            <w:pPr>
              <w:pStyle w:val="Standardowytekst0"/>
              <w:jc w:val="center"/>
              <w:rPr>
                <w:sz w:val="22"/>
                <w:szCs w:val="22"/>
              </w:rPr>
            </w:pPr>
            <w:r w:rsidRPr="009819ED">
              <w:rPr>
                <w:sz w:val="22"/>
                <w:szCs w:val="22"/>
              </w:rPr>
              <w:t>CEM IV/B</w:t>
            </w:r>
          </w:p>
        </w:tc>
        <w:tc>
          <w:tcPr>
            <w:tcW w:w="851" w:type="dxa"/>
            <w:tcBorders>
              <w:left w:val="single" w:sz="6" w:space="0" w:color="000000"/>
              <w:bottom w:val="single" w:sz="6" w:space="0" w:color="000000"/>
            </w:tcBorders>
            <w:shd w:val="clear" w:color="auto" w:fill="auto"/>
          </w:tcPr>
          <w:p w14:paraId="582F21CD" w14:textId="77777777" w:rsidR="00A637AB" w:rsidRPr="009819ED" w:rsidRDefault="00A637AB" w:rsidP="00C72960">
            <w:pPr>
              <w:pStyle w:val="Standardowytekst0"/>
              <w:jc w:val="center"/>
              <w:rPr>
                <w:sz w:val="22"/>
                <w:szCs w:val="22"/>
              </w:rPr>
            </w:pPr>
            <w:r w:rsidRPr="009819ED">
              <w:rPr>
                <w:sz w:val="22"/>
                <w:szCs w:val="22"/>
              </w:rPr>
              <w:t>42,5 N</w:t>
            </w:r>
          </w:p>
        </w:tc>
        <w:tc>
          <w:tcPr>
            <w:tcW w:w="1437" w:type="dxa"/>
            <w:tcBorders>
              <w:left w:val="single" w:sz="6" w:space="0" w:color="000000"/>
              <w:bottom w:val="single" w:sz="6" w:space="0" w:color="000000"/>
            </w:tcBorders>
            <w:shd w:val="clear" w:color="auto" w:fill="auto"/>
          </w:tcPr>
          <w:p w14:paraId="23309096" w14:textId="77777777" w:rsidR="00A637AB" w:rsidRPr="009819ED" w:rsidRDefault="00A637AB" w:rsidP="00C72960">
            <w:pPr>
              <w:pStyle w:val="Standardowytekst0"/>
              <w:jc w:val="center"/>
              <w:rPr>
                <w:sz w:val="22"/>
                <w:szCs w:val="22"/>
              </w:rPr>
            </w:pPr>
            <w:r w:rsidRPr="009819ED">
              <w:rPr>
                <w:sz w:val="22"/>
                <w:szCs w:val="22"/>
              </w:rPr>
              <w:t>oraz aprobata techniczna IBDiM</w:t>
            </w:r>
          </w:p>
        </w:tc>
        <w:tc>
          <w:tcPr>
            <w:tcW w:w="2186" w:type="dxa"/>
            <w:tcBorders>
              <w:left w:val="single" w:sz="6" w:space="0" w:color="000000"/>
              <w:bottom w:val="single" w:sz="6" w:space="0" w:color="000000"/>
              <w:right w:val="single" w:sz="6" w:space="0" w:color="000000"/>
            </w:tcBorders>
            <w:shd w:val="clear" w:color="auto" w:fill="auto"/>
          </w:tcPr>
          <w:p w14:paraId="19279F8A" w14:textId="77777777" w:rsidR="00A637AB" w:rsidRPr="009819ED" w:rsidRDefault="00A637AB" w:rsidP="00C72960">
            <w:pPr>
              <w:pStyle w:val="Standardowytekst0"/>
              <w:snapToGrid w:val="0"/>
              <w:jc w:val="center"/>
              <w:rPr>
                <w:sz w:val="22"/>
                <w:szCs w:val="22"/>
              </w:rPr>
            </w:pPr>
          </w:p>
        </w:tc>
      </w:tr>
    </w:tbl>
    <w:p w14:paraId="0D17DB9D" w14:textId="77777777" w:rsidR="00A637AB" w:rsidRPr="009819ED" w:rsidRDefault="00A637AB" w:rsidP="00A637AB">
      <w:pPr>
        <w:pStyle w:val="Standardowytekst0"/>
        <w:rPr>
          <w:sz w:val="22"/>
          <w:szCs w:val="22"/>
        </w:rPr>
      </w:pPr>
    </w:p>
    <w:p w14:paraId="6750CC48"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lastRenderedPageBreak/>
        <w:t>2.3. Kruszywo</w:t>
      </w:r>
    </w:p>
    <w:p w14:paraId="21B9D37B"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 wykonywania mieszanek betonowych do nawierzchni drogowych należy stosować kruszywa łamane, żwirowe, piasek, o maksymalnym wymiarze ziaren do 31,5 mm według norm PN-B-11111:1996 [36], PN-B-11112:1996 [37], PN-B-11113:1996 [38] i spełniające wymagania zawarte w niniejszych ST.</w:t>
      </w:r>
    </w:p>
    <w:p w14:paraId="70F2C9AE" w14:textId="77777777" w:rsidR="00A637AB" w:rsidRPr="009819ED" w:rsidRDefault="00A637AB" w:rsidP="00A637AB">
      <w:pPr>
        <w:pStyle w:val="Standardowytekst0"/>
        <w:rPr>
          <w:sz w:val="22"/>
          <w:szCs w:val="22"/>
        </w:rPr>
      </w:pPr>
      <w:r w:rsidRPr="009819ED">
        <w:rPr>
          <w:sz w:val="22"/>
          <w:szCs w:val="22"/>
        </w:rPr>
        <w:tab/>
        <w:t>W przypadku wykonywania nawierzchni dwuwarstwowo, do warstwy górnej należy stosować kruszywa łamane i/lub żwirowe płukane, o maksymalnym wymiarze ziaren do 8,0 lub 16,0 mm, zależnie od grubości warstwy. Udział kruszywa łamanego w mieszance o uziarnieniu do 8 mm powinien wynosić co najmniej 50% a w mieszance powyżej 8 mm co najmniej 35%. Do dolnej warstwy można stosować kruszywo z recyklingu pod warunkiem spełnienia parametrów betonu na zarobach próbnych.</w:t>
      </w:r>
    </w:p>
    <w:p w14:paraId="2D301AAA"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Kruszywa łamane  powinny spełniać wymagania określone w tablicy 3.</w:t>
      </w:r>
    </w:p>
    <w:p w14:paraId="297BA860"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rPr>
        <w:t>Tablica 3. Wymagania dla kruszywa łamanego</w:t>
      </w:r>
    </w:p>
    <w:tbl>
      <w:tblPr>
        <w:tblW w:w="7522"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496"/>
        <w:gridCol w:w="3827"/>
        <w:gridCol w:w="615"/>
        <w:gridCol w:w="694"/>
        <w:gridCol w:w="1890"/>
      </w:tblGrid>
      <w:tr w:rsidR="00A637AB" w:rsidRPr="009819ED" w14:paraId="0F460C7F" w14:textId="77777777" w:rsidTr="00C72960">
        <w:tc>
          <w:tcPr>
            <w:tcW w:w="496" w:type="dxa"/>
            <w:tcBorders>
              <w:top w:val="single" w:sz="6" w:space="0" w:color="000000"/>
              <w:left w:val="single" w:sz="6" w:space="0" w:color="000000"/>
              <w:bottom w:val="double" w:sz="6" w:space="0" w:color="000000"/>
            </w:tcBorders>
            <w:shd w:val="clear" w:color="auto" w:fill="auto"/>
          </w:tcPr>
          <w:p w14:paraId="07F742B2"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Lp.</w:t>
            </w:r>
          </w:p>
        </w:tc>
        <w:tc>
          <w:tcPr>
            <w:tcW w:w="3827" w:type="dxa"/>
            <w:tcBorders>
              <w:top w:val="single" w:sz="6" w:space="0" w:color="000000"/>
              <w:left w:val="single" w:sz="6" w:space="0" w:color="000000"/>
              <w:bottom w:val="double" w:sz="6" w:space="0" w:color="000000"/>
            </w:tcBorders>
            <w:shd w:val="clear" w:color="auto" w:fill="auto"/>
          </w:tcPr>
          <w:p w14:paraId="33C655A5"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Właściwości</w:t>
            </w:r>
          </w:p>
        </w:tc>
        <w:tc>
          <w:tcPr>
            <w:tcW w:w="615" w:type="dxa"/>
            <w:tcBorders>
              <w:top w:val="single" w:sz="6" w:space="0" w:color="000000"/>
              <w:left w:val="single" w:sz="6" w:space="0" w:color="000000"/>
              <w:bottom w:val="double" w:sz="6" w:space="0" w:color="000000"/>
            </w:tcBorders>
            <w:shd w:val="clear" w:color="auto" w:fill="auto"/>
          </w:tcPr>
          <w:p w14:paraId="5AD07082"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 xml:space="preserve">B40 </w:t>
            </w:r>
          </w:p>
          <w:p w14:paraId="097915B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i B50</w:t>
            </w:r>
          </w:p>
        </w:tc>
        <w:tc>
          <w:tcPr>
            <w:tcW w:w="694" w:type="dxa"/>
            <w:tcBorders>
              <w:top w:val="single" w:sz="6" w:space="0" w:color="000000"/>
              <w:left w:val="single" w:sz="6" w:space="0" w:color="000000"/>
              <w:bottom w:val="double" w:sz="6" w:space="0" w:color="000000"/>
            </w:tcBorders>
            <w:shd w:val="clear" w:color="auto" w:fill="auto"/>
          </w:tcPr>
          <w:p w14:paraId="05425224"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 xml:space="preserve">B30 </w:t>
            </w:r>
          </w:p>
          <w:p w14:paraId="5C55E7F3"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i B35</w:t>
            </w:r>
          </w:p>
        </w:tc>
        <w:tc>
          <w:tcPr>
            <w:tcW w:w="1890" w:type="dxa"/>
            <w:tcBorders>
              <w:top w:val="single" w:sz="6" w:space="0" w:color="000000"/>
              <w:left w:val="single" w:sz="6" w:space="0" w:color="000000"/>
              <w:bottom w:val="double" w:sz="6" w:space="0" w:color="000000"/>
              <w:right w:val="single" w:sz="6" w:space="0" w:color="000000"/>
            </w:tcBorders>
            <w:shd w:val="clear" w:color="auto" w:fill="auto"/>
          </w:tcPr>
          <w:p w14:paraId="66B029F2"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Badanie według</w:t>
            </w:r>
          </w:p>
        </w:tc>
      </w:tr>
      <w:tr w:rsidR="00A637AB" w:rsidRPr="009819ED" w14:paraId="46B4B12C" w14:textId="77777777" w:rsidTr="00C72960">
        <w:tc>
          <w:tcPr>
            <w:tcW w:w="496" w:type="dxa"/>
            <w:tcBorders>
              <w:left w:val="single" w:sz="6" w:space="0" w:color="000000"/>
              <w:bottom w:val="single" w:sz="6" w:space="0" w:color="000000"/>
            </w:tcBorders>
            <w:shd w:val="clear" w:color="auto" w:fill="auto"/>
          </w:tcPr>
          <w:p w14:paraId="0D5A26F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w:t>
            </w:r>
          </w:p>
        </w:tc>
        <w:tc>
          <w:tcPr>
            <w:tcW w:w="3827" w:type="dxa"/>
            <w:tcBorders>
              <w:left w:val="single" w:sz="6" w:space="0" w:color="000000"/>
              <w:bottom w:val="single" w:sz="6" w:space="0" w:color="000000"/>
            </w:tcBorders>
            <w:shd w:val="clear" w:color="auto" w:fill="auto"/>
          </w:tcPr>
          <w:p w14:paraId="5695F932"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Ścieralność w bębnie Los Angeles, %, nie więcej niż:</w:t>
            </w:r>
          </w:p>
        </w:tc>
        <w:tc>
          <w:tcPr>
            <w:tcW w:w="615" w:type="dxa"/>
            <w:tcBorders>
              <w:left w:val="single" w:sz="6" w:space="0" w:color="000000"/>
              <w:bottom w:val="single" w:sz="6" w:space="0" w:color="000000"/>
            </w:tcBorders>
            <w:shd w:val="clear" w:color="auto" w:fill="auto"/>
          </w:tcPr>
          <w:p w14:paraId="5285CBBA"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25</w:t>
            </w:r>
          </w:p>
        </w:tc>
        <w:tc>
          <w:tcPr>
            <w:tcW w:w="694" w:type="dxa"/>
            <w:tcBorders>
              <w:left w:val="single" w:sz="6" w:space="0" w:color="000000"/>
              <w:bottom w:val="single" w:sz="6" w:space="0" w:color="000000"/>
            </w:tcBorders>
            <w:shd w:val="clear" w:color="auto" w:fill="auto"/>
          </w:tcPr>
          <w:p w14:paraId="71E5933B"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35</w:t>
            </w:r>
          </w:p>
        </w:tc>
        <w:tc>
          <w:tcPr>
            <w:tcW w:w="1890" w:type="dxa"/>
            <w:tcBorders>
              <w:left w:val="single" w:sz="6" w:space="0" w:color="000000"/>
              <w:bottom w:val="single" w:sz="6" w:space="0" w:color="000000"/>
              <w:right w:val="single" w:sz="6" w:space="0" w:color="000000"/>
            </w:tcBorders>
            <w:shd w:val="clear" w:color="auto" w:fill="auto"/>
          </w:tcPr>
          <w:p w14:paraId="0F4E3785" w14:textId="77777777" w:rsidR="00A637AB" w:rsidRPr="009819ED" w:rsidRDefault="00A637AB" w:rsidP="00C72960">
            <w:pPr>
              <w:overflowPunct w:val="0"/>
              <w:autoSpaceDE w:val="0"/>
              <w:spacing w:before="120"/>
              <w:rPr>
                <w:rFonts w:ascii="Times New Roman" w:hAnsi="Times New Roman" w:cs="Times New Roman"/>
              </w:rPr>
            </w:pPr>
            <w:r w:rsidRPr="009819ED">
              <w:rPr>
                <w:rFonts w:ascii="Times New Roman" w:hAnsi="Times New Roman" w:cs="Times New Roman"/>
              </w:rPr>
              <w:t>PN-B-06714-42 [34]</w:t>
            </w:r>
          </w:p>
        </w:tc>
      </w:tr>
      <w:tr w:rsidR="00A637AB" w:rsidRPr="009819ED" w14:paraId="6C0F3F30" w14:textId="77777777" w:rsidTr="00C72960">
        <w:tc>
          <w:tcPr>
            <w:tcW w:w="496" w:type="dxa"/>
            <w:tcBorders>
              <w:top w:val="single" w:sz="6" w:space="0" w:color="000000"/>
              <w:left w:val="single" w:sz="6" w:space="0" w:color="000000"/>
              <w:bottom w:val="single" w:sz="6" w:space="0" w:color="000000"/>
            </w:tcBorders>
            <w:shd w:val="clear" w:color="auto" w:fill="auto"/>
          </w:tcPr>
          <w:p w14:paraId="1CFDC63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w:t>
            </w:r>
          </w:p>
        </w:tc>
        <w:tc>
          <w:tcPr>
            <w:tcW w:w="3827" w:type="dxa"/>
            <w:tcBorders>
              <w:top w:val="single" w:sz="6" w:space="0" w:color="000000"/>
              <w:left w:val="single" w:sz="6" w:space="0" w:color="000000"/>
              <w:bottom w:val="single" w:sz="6" w:space="0" w:color="000000"/>
            </w:tcBorders>
            <w:shd w:val="clear" w:color="auto" w:fill="auto"/>
          </w:tcPr>
          <w:p w14:paraId="4EAB0985" w14:textId="77777777" w:rsidR="00A637AB" w:rsidRPr="009819ED" w:rsidRDefault="00A637AB" w:rsidP="00C72960">
            <w:pPr>
              <w:rPr>
                <w:rFonts w:ascii="Times New Roman" w:hAnsi="Times New Roman" w:cs="Times New Roman"/>
              </w:rPr>
            </w:pPr>
            <w:r w:rsidRPr="009819ED">
              <w:rPr>
                <w:rFonts w:ascii="Times New Roman" w:hAnsi="Times New Roman" w:cs="Times New Roman"/>
              </w:rPr>
              <w:t>Nasiąkliwość, %, nie więcej niż:</w:t>
            </w:r>
          </w:p>
          <w:p w14:paraId="12991AB8" w14:textId="77777777" w:rsidR="00A637AB" w:rsidRPr="009819ED" w:rsidRDefault="00A637AB" w:rsidP="00904E6C">
            <w:pPr>
              <w:numPr>
                <w:ilvl w:val="0"/>
                <w:numId w:val="397"/>
              </w:numPr>
              <w:tabs>
                <w:tab w:val="left" w:pos="360"/>
              </w:tabs>
              <w:overflowPunct w:val="0"/>
              <w:autoSpaceDE w:val="0"/>
              <w:spacing w:after="0" w:line="240" w:lineRule="auto"/>
              <w:rPr>
                <w:rFonts w:ascii="Times New Roman" w:hAnsi="Times New Roman" w:cs="Times New Roman"/>
              </w:rPr>
            </w:pPr>
            <w:r w:rsidRPr="009819ED">
              <w:rPr>
                <w:rFonts w:ascii="Times New Roman" w:hAnsi="Times New Roman" w:cs="Times New Roman"/>
              </w:rPr>
              <w:t>kruszywa ze skał magmowych i przeobrażonych</w:t>
            </w:r>
          </w:p>
          <w:p w14:paraId="16A2D1CC" w14:textId="77777777" w:rsidR="00A637AB" w:rsidRPr="009819ED" w:rsidRDefault="00A637AB" w:rsidP="00904E6C">
            <w:pPr>
              <w:numPr>
                <w:ilvl w:val="0"/>
                <w:numId w:val="393"/>
              </w:numPr>
              <w:tabs>
                <w:tab w:val="left" w:pos="360"/>
              </w:tabs>
              <w:overflowPunct w:val="0"/>
              <w:autoSpaceDE w:val="0"/>
              <w:spacing w:after="0" w:line="240" w:lineRule="auto"/>
              <w:rPr>
                <w:rFonts w:ascii="Times New Roman" w:hAnsi="Times New Roman" w:cs="Times New Roman"/>
              </w:rPr>
            </w:pPr>
            <w:r w:rsidRPr="009819ED">
              <w:rPr>
                <w:rFonts w:ascii="Times New Roman" w:hAnsi="Times New Roman" w:cs="Times New Roman"/>
              </w:rPr>
              <w:t>frakcja od 4 mm do 8 mm</w:t>
            </w:r>
          </w:p>
          <w:p w14:paraId="7F57477D" w14:textId="77777777" w:rsidR="00A637AB" w:rsidRPr="009819ED" w:rsidRDefault="00A637AB" w:rsidP="00904E6C">
            <w:pPr>
              <w:numPr>
                <w:ilvl w:val="0"/>
                <w:numId w:val="393"/>
              </w:numPr>
              <w:tabs>
                <w:tab w:val="left" w:pos="360"/>
              </w:tabs>
              <w:overflowPunct w:val="0"/>
              <w:autoSpaceDE w:val="0"/>
              <w:spacing w:after="0" w:line="240" w:lineRule="auto"/>
              <w:rPr>
                <w:rFonts w:ascii="Times New Roman" w:hAnsi="Times New Roman" w:cs="Times New Roman"/>
              </w:rPr>
            </w:pPr>
            <w:r w:rsidRPr="009819ED">
              <w:rPr>
                <w:rFonts w:ascii="Times New Roman" w:hAnsi="Times New Roman" w:cs="Times New Roman"/>
              </w:rPr>
              <w:t>frakcja powyżej 8 mm</w:t>
            </w:r>
          </w:p>
          <w:p w14:paraId="525E7215" w14:textId="77777777" w:rsidR="00A637AB" w:rsidRPr="009819ED" w:rsidRDefault="00A637AB" w:rsidP="00904E6C">
            <w:pPr>
              <w:pStyle w:val="Stopka"/>
              <w:numPr>
                <w:ilvl w:val="0"/>
                <w:numId w:val="397"/>
              </w:numPr>
              <w:tabs>
                <w:tab w:val="clear" w:pos="4536"/>
                <w:tab w:val="clear" w:pos="9072"/>
                <w:tab w:val="left" w:pos="360"/>
              </w:tabs>
              <w:overflowPunct w:val="0"/>
              <w:autoSpaceDE w:val="0"/>
              <w:rPr>
                <w:sz w:val="22"/>
              </w:rPr>
            </w:pPr>
            <w:r w:rsidRPr="009819ED">
              <w:rPr>
                <w:sz w:val="22"/>
              </w:rPr>
              <w:t>kruszywa ze skał osadowych</w:t>
            </w:r>
          </w:p>
        </w:tc>
        <w:tc>
          <w:tcPr>
            <w:tcW w:w="615" w:type="dxa"/>
            <w:tcBorders>
              <w:top w:val="single" w:sz="6" w:space="0" w:color="000000"/>
              <w:left w:val="single" w:sz="6" w:space="0" w:color="000000"/>
              <w:bottom w:val="single" w:sz="6" w:space="0" w:color="000000"/>
            </w:tcBorders>
            <w:shd w:val="clear" w:color="auto" w:fill="auto"/>
          </w:tcPr>
          <w:p w14:paraId="0C4B6A38" w14:textId="77777777" w:rsidR="00A637AB" w:rsidRPr="009819ED" w:rsidRDefault="00A637AB" w:rsidP="00C72960">
            <w:pPr>
              <w:snapToGrid w:val="0"/>
              <w:jc w:val="center"/>
              <w:rPr>
                <w:rFonts w:ascii="Times New Roman" w:hAnsi="Times New Roman" w:cs="Times New Roman"/>
              </w:rPr>
            </w:pPr>
          </w:p>
          <w:p w14:paraId="4436B0F9" w14:textId="77777777" w:rsidR="00A637AB" w:rsidRPr="009819ED" w:rsidRDefault="00A637AB" w:rsidP="00C72960">
            <w:pPr>
              <w:jc w:val="center"/>
              <w:rPr>
                <w:rFonts w:ascii="Times New Roman" w:hAnsi="Times New Roman" w:cs="Times New Roman"/>
              </w:rPr>
            </w:pPr>
          </w:p>
          <w:p w14:paraId="01301701" w14:textId="77777777" w:rsidR="00A637AB" w:rsidRPr="009819ED" w:rsidRDefault="00A637AB" w:rsidP="00C72960">
            <w:pPr>
              <w:jc w:val="center"/>
              <w:rPr>
                <w:rFonts w:ascii="Times New Roman" w:hAnsi="Times New Roman" w:cs="Times New Roman"/>
              </w:rPr>
            </w:pPr>
          </w:p>
          <w:p w14:paraId="2CEF2CF9"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1,5</w:t>
            </w:r>
          </w:p>
          <w:p w14:paraId="6E9D1B5B"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1,2</w:t>
            </w:r>
          </w:p>
          <w:p w14:paraId="1C2F61AB"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2,0</w:t>
            </w:r>
          </w:p>
        </w:tc>
        <w:tc>
          <w:tcPr>
            <w:tcW w:w="694" w:type="dxa"/>
            <w:tcBorders>
              <w:top w:val="single" w:sz="6" w:space="0" w:color="000000"/>
              <w:left w:val="single" w:sz="6" w:space="0" w:color="000000"/>
              <w:bottom w:val="single" w:sz="6" w:space="0" w:color="000000"/>
            </w:tcBorders>
            <w:shd w:val="clear" w:color="auto" w:fill="auto"/>
          </w:tcPr>
          <w:p w14:paraId="60C292B1" w14:textId="77777777" w:rsidR="00A637AB" w:rsidRPr="009819ED" w:rsidRDefault="00A637AB" w:rsidP="00C72960">
            <w:pPr>
              <w:snapToGrid w:val="0"/>
              <w:jc w:val="center"/>
              <w:rPr>
                <w:rFonts w:ascii="Times New Roman" w:hAnsi="Times New Roman" w:cs="Times New Roman"/>
              </w:rPr>
            </w:pPr>
          </w:p>
          <w:p w14:paraId="23828BA3" w14:textId="77777777" w:rsidR="00A637AB" w:rsidRPr="009819ED" w:rsidRDefault="00A637AB" w:rsidP="00C72960">
            <w:pPr>
              <w:jc w:val="center"/>
              <w:rPr>
                <w:rFonts w:ascii="Times New Roman" w:hAnsi="Times New Roman" w:cs="Times New Roman"/>
              </w:rPr>
            </w:pPr>
          </w:p>
          <w:p w14:paraId="62339EF1" w14:textId="77777777" w:rsidR="00A637AB" w:rsidRPr="009819ED" w:rsidRDefault="00A637AB" w:rsidP="00C72960">
            <w:pPr>
              <w:jc w:val="center"/>
              <w:rPr>
                <w:rFonts w:ascii="Times New Roman" w:hAnsi="Times New Roman" w:cs="Times New Roman"/>
              </w:rPr>
            </w:pPr>
          </w:p>
          <w:p w14:paraId="71655C43"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2,0</w:t>
            </w:r>
          </w:p>
          <w:p w14:paraId="589178F0"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2,0</w:t>
            </w:r>
          </w:p>
          <w:p w14:paraId="5FD9801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3,0</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36145B62" w14:textId="77777777" w:rsidR="00A637AB" w:rsidRPr="009819ED" w:rsidRDefault="00A637AB" w:rsidP="00C72960">
            <w:pPr>
              <w:snapToGrid w:val="0"/>
              <w:spacing w:before="60" w:after="60"/>
              <w:rPr>
                <w:rFonts w:ascii="Times New Roman" w:hAnsi="Times New Roman" w:cs="Times New Roman"/>
              </w:rPr>
            </w:pPr>
          </w:p>
          <w:p w14:paraId="460294B2" w14:textId="77777777" w:rsidR="00A637AB" w:rsidRPr="009819ED" w:rsidRDefault="00A637AB" w:rsidP="00C72960">
            <w:pPr>
              <w:overflowPunct w:val="0"/>
              <w:autoSpaceDE w:val="0"/>
              <w:spacing w:before="240"/>
              <w:rPr>
                <w:rFonts w:ascii="Times New Roman" w:hAnsi="Times New Roman" w:cs="Times New Roman"/>
              </w:rPr>
            </w:pPr>
            <w:r w:rsidRPr="009819ED">
              <w:rPr>
                <w:rFonts w:ascii="Times New Roman" w:hAnsi="Times New Roman" w:cs="Times New Roman"/>
              </w:rPr>
              <w:t>PN-B-06714-18 [30]</w:t>
            </w:r>
          </w:p>
        </w:tc>
      </w:tr>
      <w:tr w:rsidR="00A637AB" w:rsidRPr="009819ED" w14:paraId="4FDF4D9D" w14:textId="77777777" w:rsidTr="00C72960">
        <w:tc>
          <w:tcPr>
            <w:tcW w:w="496" w:type="dxa"/>
            <w:tcBorders>
              <w:top w:val="single" w:sz="6" w:space="0" w:color="000000"/>
              <w:left w:val="single" w:sz="6" w:space="0" w:color="000000"/>
              <w:bottom w:val="single" w:sz="6" w:space="0" w:color="000000"/>
            </w:tcBorders>
            <w:shd w:val="clear" w:color="auto" w:fill="auto"/>
          </w:tcPr>
          <w:p w14:paraId="1FF7FC11"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w:t>
            </w:r>
          </w:p>
        </w:tc>
        <w:tc>
          <w:tcPr>
            <w:tcW w:w="3827" w:type="dxa"/>
            <w:tcBorders>
              <w:top w:val="single" w:sz="6" w:space="0" w:color="000000"/>
              <w:left w:val="single" w:sz="6" w:space="0" w:color="000000"/>
              <w:bottom w:val="single" w:sz="6" w:space="0" w:color="000000"/>
            </w:tcBorders>
            <w:shd w:val="clear" w:color="auto" w:fill="auto"/>
          </w:tcPr>
          <w:p w14:paraId="078DD3BF" w14:textId="77777777" w:rsidR="00A637AB" w:rsidRPr="009819ED" w:rsidRDefault="00A637AB" w:rsidP="00C72960">
            <w:pPr>
              <w:rPr>
                <w:rFonts w:ascii="Times New Roman" w:hAnsi="Times New Roman" w:cs="Times New Roman"/>
              </w:rPr>
            </w:pPr>
            <w:r w:rsidRPr="009819ED">
              <w:rPr>
                <w:rFonts w:ascii="Times New Roman" w:hAnsi="Times New Roman" w:cs="Times New Roman"/>
              </w:rPr>
              <w:t>Mrozoodporność, %, nie więcej niż:</w:t>
            </w:r>
          </w:p>
          <w:p w14:paraId="6701095F" w14:textId="77777777" w:rsidR="00A637AB" w:rsidRPr="009819ED" w:rsidRDefault="00A637AB" w:rsidP="00904E6C">
            <w:pPr>
              <w:numPr>
                <w:ilvl w:val="0"/>
                <w:numId w:val="398"/>
              </w:numPr>
              <w:tabs>
                <w:tab w:val="left" w:pos="360"/>
              </w:tabs>
              <w:overflowPunct w:val="0"/>
              <w:autoSpaceDE w:val="0"/>
              <w:spacing w:after="0" w:line="240" w:lineRule="auto"/>
              <w:rPr>
                <w:rFonts w:ascii="Times New Roman" w:hAnsi="Times New Roman" w:cs="Times New Roman"/>
              </w:rPr>
            </w:pPr>
            <w:r w:rsidRPr="009819ED">
              <w:rPr>
                <w:rFonts w:ascii="Times New Roman" w:hAnsi="Times New Roman" w:cs="Times New Roman"/>
              </w:rPr>
              <w:t>kruszywa ze skał magmowych</w:t>
            </w:r>
            <w:r w:rsidRPr="009819ED">
              <w:rPr>
                <w:rFonts w:ascii="Times New Roman" w:hAnsi="Times New Roman" w:cs="Times New Roman"/>
              </w:rPr>
              <w:br/>
              <w:t>i przeobrażonych</w:t>
            </w:r>
          </w:p>
          <w:p w14:paraId="2DD16A30" w14:textId="77777777" w:rsidR="00A637AB" w:rsidRPr="009819ED" w:rsidRDefault="00A637AB" w:rsidP="00904E6C">
            <w:pPr>
              <w:numPr>
                <w:ilvl w:val="0"/>
                <w:numId w:val="398"/>
              </w:numPr>
              <w:tabs>
                <w:tab w:val="left" w:pos="360"/>
              </w:tabs>
              <w:overflowPunct w:val="0"/>
              <w:autoSpaceDE w:val="0"/>
              <w:spacing w:after="0" w:line="240" w:lineRule="auto"/>
              <w:rPr>
                <w:rFonts w:ascii="Times New Roman" w:hAnsi="Times New Roman" w:cs="Times New Roman"/>
              </w:rPr>
            </w:pPr>
            <w:r w:rsidRPr="009819ED">
              <w:rPr>
                <w:rFonts w:ascii="Times New Roman" w:hAnsi="Times New Roman" w:cs="Times New Roman"/>
              </w:rPr>
              <w:t>kruszywa ze skał osadowych</w:t>
            </w:r>
          </w:p>
        </w:tc>
        <w:tc>
          <w:tcPr>
            <w:tcW w:w="615" w:type="dxa"/>
            <w:tcBorders>
              <w:top w:val="single" w:sz="6" w:space="0" w:color="000000"/>
              <w:left w:val="single" w:sz="6" w:space="0" w:color="000000"/>
              <w:bottom w:val="single" w:sz="6" w:space="0" w:color="000000"/>
            </w:tcBorders>
            <w:shd w:val="clear" w:color="auto" w:fill="auto"/>
          </w:tcPr>
          <w:p w14:paraId="55E383C2" w14:textId="77777777" w:rsidR="00A637AB" w:rsidRPr="009819ED" w:rsidRDefault="00A637AB" w:rsidP="00C72960">
            <w:pPr>
              <w:snapToGrid w:val="0"/>
              <w:jc w:val="center"/>
              <w:rPr>
                <w:rFonts w:ascii="Times New Roman" w:hAnsi="Times New Roman" w:cs="Times New Roman"/>
              </w:rPr>
            </w:pPr>
          </w:p>
          <w:p w14:paraId="14429EE4" w14:textId="77777777" w:rsidR="00A637AB" w:rsidRPr="009819ED" w:rsidRDefault="00A637AB" w:rsidP="00C72960">
            <w:pPr>
              <w:jc w:val="center"/>
              <w:rPr>
                <w:rFonts w:ascii="Times New Roman" w:hAnsi="Times New Roman" w:cs="Times New Roman"/>
              </w:rPr>
            </w:pPr>
          </w:p>
          <w:p w14:paraId="5AD65C81" w14:textId="77777777" w:rsidR="00A637AB" w:rsidRPr="009819ED" w:rsidRDefault="00A637AB" w:rsidP="00C72960">
            <w:pPr>
              <w:jc w:val="center"/>
              <w:rPr>
                <w:rFonts w:ascii="Times New Roman" w:hAnsi="Times New Roman" w:cs="Times New Roman"/>
              </w:rPr>
            </w:pPr>
            <w:r w:rsidRPr="009819ED">
              <w:rPr>
                <w:rFonts w:ascii="Times New Roman" w:hAnsi="Times New Roman" w:cs="Times New Roman"/>
              </w:rPr>
              <w:t>2,0</w:t>
            </w:r>
          </w:p>
          <w:p w14:paraId="6CA7AC3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2,0</w:t>
            </w:r>
          </w:p>
        </w:tc>
        <w:tc>
          <w:tcPr>
            <w:tcW w:w="694" w:type="dxa"/>
            <w:tcBorders>
              <w:top w:val="single" w:sz="6" w:space="0" w:color="000000"/>
              <w:left w:val="single" w:sz="6" w:space="0" w:color="000000"/>
              <w:bottom w:val="single" w:sz="6" w:space="0" w:color="000000"/>
            </w:tcBorders>
            <w:shd w:val="clear" w:color="auto" w:fill="auto"/>
          </w:tcPr>
          <w:p w14:paraId="77875ECC" w14:textId="77777777" w:rsidR="00A637AB" w:rsidRPr="009819ED" w:rsidRDefault="00A637AB" w:rsidP="00C72960">
            <w:pPr>
              <w:pStyle w:val="Tekstprzypisudolnego"/>
              <w:snapToGrid w:val="0"/>
              <w:jc w:val="center"/>
              <w:rPr>
                <w:sz w:val="22"/>
                <w:szCs w:val="22"/>
              </w:rPr>
            </w:pPr>
          </w:p>
          <w:p w14:paraId="1F4CB29F" w14:textId="77777777" w:rsidR="00A637AB" w:rsidRPr="009819ED" w:rsidRDefault="00A637AB" w:rsidP="00C72960">
            <w:pPr>
              <w:pStyle w:val="Tekstprzypisudolnego"/>
              <w:jc w:val="center"/>
              <w:rPr>
                <w:sz w:val="22"/>
                <w:szCs w:val="22"/>
              </w:rPr>
            </w:pPr>
          </w:p>
          <w:p w14:paraId="5C6D30A3" w14:textId="77777777" w:rsidR="00A637AB" w:rsidRPr="009819ED" w:rsidRDefault="00A637AB" w:rsidP="00C72960">
            <w:pPr>
              <w:pStyle w:val="Tekstprzypisudolnego"/>
              <w:jc w:val="center"/>
              <w:rPr>
                <w:sz w:val="22"/>
                <w:szCs w:val="22"/>
              </w:rPr>
            </w:pPr>
            <w:r w:rsidRPr="009819ED">
              <w:rPr>
                <w:sz w:val="22"/>
                <w:szCs w:val="22"/>
              </w:rPr>
              <w:t>4,0</w:t>
            </w:r>
          </w:p>
          <w:p w14:paraId="63EFC3DD" w14:textId="77777777" w:rsidR="00A637AB" w:rsidRPr="009819ED" w:rsidRDefault="00A637AB" w:rsidP="00C72960">
            <w:pPr>
              <w:pStyle w:val="Tekstprzypisudolnego"/>
              <w:jc w:val="center"/>
              <w:rPr>
                <w:sz w:val="22"/>
                <w:szCs w:val="22"/>
              </w:rPr>
            </w:pPr>
            <w:r w:rsidRPr="009819ED">
              <w:rPr>
                <w:sz w:val="22"/>
                <w:szCs w:val="22"/>
              </w:rPr>
              <w:t>5,0</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0039EFA6" w14:textId="77777777" w:rsidR="00A637AB" w:rsidRPr="009819ED" w:rsidRDefault="00A637AB" w:rsidP="00C72960">
            <w:pPr>
              <w:snapToGrid w:val="0"/>
              <w:jc w:val="center"/>
              <w:rPr>
                <w:rFonts w:ascii="Times New Roman" w:hAnsi="Times New Roman" w:cs="Times New Roman"/>
              </w:rPr>
            </w:pPr>
          </w:p>
          <w:p w14:paraId="49AB582B" w14:textId="77777777" w:rsidR="00A637AB" w:rsidRPr="009819ED" w:rsidRDefault="00A637AB" w:rsidP="00C72960">
            <w:pPr>
              <w:spacing w:before="60"/>
              <w:rPr>
                <w:rFonts w:ascii="Times New Roman" w:hAnsi="Times New Roman" w:cs="Times New Roman"/>
              </w:rPr>
            </w:pPr>
            <w:r w:rsidRPr="009819ED">
              <w:rPr>
                <w:rFonts w:ascii="Times New Roman" w:hAnsi="Times New Roman" w:cs="Times New Roman"/>
              </w:rPr>
              <w:t>PN-B-06714-19 [31]</w:t>
            </w:r>
          </w:p>
          <w:p w14:paraId="4D62518C" w14:textId="77777777" w:rsidR="00A637AB" w:rsidRPr="009819ED" w:rsidRDefault="00A637AB" w:rsidP="00C72960">
            <w:pPr>
              <w:overflowPunct w:val="0"/>
              <w:autoSpaceDE w:val="0"/>
              <w:jc w:val="center"/>
              <w:rPr>
                <w:rFonts w:ascii="Times New Roman" w:hAnsi="Times New Roman" w:cs="Times New Roman"/>
              </w:rPr>
            </w:pPr>
          </w:p>
        </w:tc>
      </w:tr>
      <w:tr w:rsidR="00A637AB" w:rsidRPr="009819ED" w14:paraId="15E43B4A" w14:textId="77777777" w:rsidTr="00C72960">
        <w:tc>
          <w:tcPr>
            <w:tcW w:w="496" w:type="dxa"/>
            <w:tcBorders>
              <w:top w:val="single" w:sz="6" w:space="0" w:color="000000"/>
              <w:left w:val="single" w:sz="6" w:space="0" w:color="000000"/>
              <w:bottom w:val="single" w:sz="6" w:space="0" w:color="000000"/>
            </w:tcBorders>
            <w:shd w:val="clear" w:color="auto" w:fill="auto"/>
          </w:tcPr>
          <w:p w14:paraId="44B14D23"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w:t>
            </w:r>
          </w:p>
        </w:tc>
        <w:tc>
          <w:tcPr>
            <w:tcW w:w="3827" w:type="dxa"/>
            <w:tcBorders>
              <w:top w:val="single" w:sz="6" w:space="0" w:color="000000"/>
              <w:left w:val="single" w:sz="6" w:space="0" w:color="000000"/>
              <w:bottom w:val="single" w:sz="6" w:space="0" w:color="000000"/>
            </w:tcBorders>
            <w:shd w:val="clear" w:color="auto" w:fill="auto"/>
          </w:tcPr>
          <w:p w14:paraId="60E90E08"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ziarn nieforemnych, %, nie więcej niż:</w:t>
            </w:r>
          </w:p>
        </w:tc>
        <w:tc>
          <w:tcPr>
            <w:tcW w:w="615" w:type="dxa"/>
            <w:tcBorders>
              <w:top w:val="single" w:sz="6" w:space="0" w:color="000000"/>
              <w:left w:val="single" w:sz="6" w:space="0" w:color="000000"/>
              <w:bottom w:val="single" w:sz="6" w:space="0" w:color="000000"/>
            </w:tcBorders>
            <w:shd w:val="clear" w:color="auto" w:fill="auto"/>
          </w:tcPr>
          <w:p w14:paraId="67CC2C56"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20</w:t>
            </w:r>
          </w:p>
        </w:tc>
        <w:tc>
          <w:tcPr>
            <w:tcW w:w="694" w:type="dxa"/>
            <w:tcBorders>
              <w:top w:val="single" w:sz="6" w:space="0" w:color="000000"/>
              <w:left w:val="single" w:sz="6" w:space="0" w:color="000000"/>
              <w:bottom w:val="single" w:sz="6" w:space="0" w:color="000000"/>
            </w:tcBorders>
            <w:shd w:val="clear" w:color="auto" w:fill="auto"/>
          </w:tcPr>
          <w:p w14:paraId="1ECDBA82"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25</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5578C9D8" w14:textId="77777777" w:rsidR="00A637AB" w:rsidRPr="009819ED" w:rsidRDefault="00A637AB" w:rsidP="00C72960">
            <w:pPr>
              <w:overflowPunct w:val="0"/>
              <w:autoSpaceDE w:val="0"/>
              <w:spacing w:before="120" w:after="60"/>
              <w:rPr>
                <w:rFonts w:ascii="Times New Roman" w:hAnsi="Times New Roman" w:cs="Times New Roman"/>
              </w:rPr>
            </w:pPr>
            <w:r w:rsidRPr="009819ED">
              <w:rPr>
                <w:rFonts w:ascii="Times New Roman" w:hAnsi="Times New Roman" w:cs="Times New Roman"/>
              </w:rPr>
              <w:t>PN-B-06714-16 [29]</w:t>
            </w:r>
          </w:p>
        </w:tc>
      </w:tr>
      <w:tr w:rsidR="00A637AB" w:rsidRPr="009819ED" w14:paraId="1A6650F1" w14:textId="77777777" w:rsidTr="00C72960">
        <w:tc>
          <w:tcPr>
            <w:tcW w:w="496" w:type="dxa"/>
            <w:tcBorders>
              <w:top w:val="single" w:sz="6" w:space="0" w:color="000000"/>
              <w:left w:val="single" w:sz="6" w:space="0" w:color="000000"/>
              <w:bottom w:val="single" w:sz="6" w:space="0" w:color="000000"/>
            </w:tcBorders>
            <w:shd w:val="clear" w:color="auto" w:fill="auto"/>
          </w:tcPr>
          <w:p w14:paraId="6FC334D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w:t>
            </w:r>
          </w:p>
        </w:tc>
        <w:tc>
          <w:tcPr>
            <w:tcW w:w="3827" w:type="dxa"/>
            <w:tcBorders>
              <w:top w:val="single" w:sz="6" w:space="0" w:color="000000"/>
              <w:left w:val="single" w:sz="6" w:space="0" w:color="000000"/>
              <w:bottom w:val="single" w:sz="6" w:space="0" w:color="000000"/>
            </w:tcBorders>
            <w:shd w:val="clear" w:color="auto" w:fill="auto"/>
          </w:tcPr>
          <w:p w14:paraId="2ECFD7DB"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zanieczyszczeń obcych, %, nie więcej niż:</w:t>
            </w:r>
          </w:p>
        </w:tc>
        <w:tc>
          <w:tcPr>
            <w:tcW w:w="615" w:type="dxa"/>
            <w:tcBorders>
              <w:top w:val="single" w:sz="6" w:space="0" w:color="000000"/>
              <w:left w:val="single" w:sz="6" w:space="0" w:color="000000"/>
              <w:bottom w:val="single" w:sz="6" w:space="0" w:color="000000"/>
            </w:tcBorders>
            <w:shd w:val="clear" w:color="auto" w:fill="auto"/>
          </w:tcPr>
          <w:p w14:paraId="7698B0D1"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694" w:type="dxa"/>
            <w:tcBorders>
              <w:top w:val="single" w:sz="6" w:space="0" w:color="000000"/>
              <w:left w:val="single" w:sz="6" w:space="0" w:color="000000"/>
              <w:bottom w:val="single" w:sz="6" w:space="0" w:color="000000"/>
            </w:tcBorders>
            <w:shd w:val="clear" w:color="auto" w:fill="auto"/>
          </w:tcPr>
          <w:p w14:paraId="5AC42DF9"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0,2</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3324809A" w14:textId="77777777" w:rsidR="00A637AB" w:rsidRPr="009819ED" w:rsidRDefault="00A637AB" w:rsidP="00C72960">
            <w:pPr>
              <w:overflowPunct w:val="0"/>
              <w:autoSpaceDE w:val="0"/>
              <w:spacing w:before="120" w:after="60"/>
              <w:rPr>
                <w:rFonts w:ascii="Times New Roman" w:hAnsi="Times New Roman" w:cs="Times New Roman"/>
              </w:rPr>
            </w:pPr>
            <w:r w:rsidRPr="009819ED">
              <w:rPr>
                <w:rFonts w:ascii="Times New Roman" w:hAnsi="Times New Roman" w:cs="Times New Roman"/>
              </w:rPr>
              <w:t>PN-B-06714-12 [26]</w:t>
            </w:r>
          </w:p>
        </w:tc>
      </w:tr>
      <w:tr w:rsidR="00A637AB" w:rsidRPr="009819ED" w14:paraId="143F1569" w14:textId="77777777" w:rsidTr="00C72960">
        <w:tc>
          <w:tcPr>
            <w:tcW w:w="496" w:type="dxa"/>
            <w:tcBorders>
              <w:top w:val="single" w:sz="6" w:space="0" w:color="000000"/>
              <w:left w:val="single" w:sz="6" w:space="0" w:color="000000"/>
              <w:bottom w:val="single" w:sz="6" w:space="0" w:color="000000"/>
            </w:tcBorders>
            <w:shd w:val="clear" w:color="auto" w:fill="auto"/>
          </w:tcPr>
          <w:p w14:paraId="623BDB7B"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6</w:t>
            </w:r>
          </w:p>
        </w:tc>
        <w:tc>
          <w:tcPr>
            <w:tcW w:w="3827" w:type="dxa"/>
            <w:tcBorders>
              <w:top w:val="single" w:sz="6" w:space="0" w:color="000000"/>
              <w:left w:val="single" w:sz="6" w:space="0" w:color="000000"/>
              <w:bottom w:val="single" w:sz="6" w:space="0" w:color="000000"/>
            </w:tcBorders>
            <w:shd w:val="clear" w:color="auto" w:fill="auto"/>
          </w:tcPr>
          <w:p w14:paraId="2D5FE4C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związków siarki w przeliczeniu na SO</w:t>
            </w:r>
            <w:r w:rsidRPr="009819ED">
              <w:rPr>
                <w:rFonts w:ascii="Times New Roman" w:hAnsi="Times New Roman" w:cs="Times New Roman"/>
                <w:vertAlign w:val="subscript"/>
              </w:rPr>
              <w:t>3</w:t>
            </w:r>
            <w:r w:rsidRPr="009819ED">
              <w:rPr>
                <w:rFonts w:ascii="Times New Roman" w:hAnsi="Times New Roman" w:cs="Times New Roman"/>
              </w:rPr>
              <w:t>, %, nie więcej niż:</w:t>
            </w:r>
          </w:p>
        </w:tc>
        <w:tc>
          <w:tcPr>
            <w:tcW w:w="615" w:type="dxa"/>
            <w:tcBorders>
              <w:top w:val="single" w:sz="6" w:space="0" w:color="000000"/>
              <w:left w:val="single" w:sz="6" w:space="0" w:color="000000"/>
              <w:bottom w:val="single" w:sz="6" w:space="0" w:color="000000"/>
            </w:tcBorders>
            <w:shd w:val="clear" w:color="auto" w:fill="auto"/>
          </w:tcPr>
          <w:p w14:paraId="52D8CA76"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694" w:type="dxa"/>
            <w:tcBorders>
              <w:top w:val="single" w:sz="6" w:space="0" w:color="000000"/>
              <w:left w:val="single" w:sz="6" w:space="0" w:color="000000"/>
              <w:bottom w:val="single" w:sz="6" w:space="0" w:color="000000"/>
            </w:tcBorders>
            <w:shd w:val="clear" w:color="auto" w:fill="auto"/>
          </w:tcPr>
          <w:p w14:paraId="61DBE9BB"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4CA2951B" w14:textId="77777777" w:rsidR="00A637AB" w:rsidRPr="009819ED" w:rsidRDefault="00A637AB" w:rsidP="00C72960">
            <w:pPr>
              <w:overflowPunct w:val="0"/>
              <w:autoSpaceDE w:val="0"/>
              <w:spacing w:before="120" w:after="60"/>
              <w:rPr>
                <w:rFonts w:ascii="Times New Roman" w:hAnsi="Times New Roman" w:cs="Times New Roman"/>
              </w:rPr>
            </w:pPr>
            <w:r w:rsidRPr="009819ED">
              <w:rPr>
                <w:rFonts w:ascii="Times New Roman" w:hAnsi="Times New Roman" w:cs="Times New Roman"/>
              </w:rPr>
              <w:t>PN-B-06714-28 [33]</w:t>
            </w:r>
          </w:p>
        </w:tc>
      </w:tr>
      <w:tr w:rsidR="00A637AB" w:rsidRPr="009819ED" w14:paraId="223904E0" w14:textId="77777777" w:rsidTr="00C72960">
        <w:tc>
          <w:tcPr>
            <w:tcW w:w="496" w:type="dxa"/>
            <w:tcBorders>
              <w:top w:val="single" w:sz="6" w:space="0" w:color="000000"/>
              <w:left w:val="single" w:sz="6" w:space="0" w:color="000000"/>
              <w:bottom w:val="single" w:sz="6" w:space="0" w:color="000000"/>
            </w:tcBorders>
            <w:shd w:val="clear" w:color="auto" w:fill="auto"/>
          </w:tcPr>
          <w:p w14:paraId="53252680"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7</w:t>
            </w:r>
          </w:p>
        </w:tc>
        <w:tc>
          <w:tcPr>
            <w:tcW w:w="3827" w:type="dxa"/>
            <w:tcBorders>
              <w:top w:val="single" w:sz="6" w:space="0" w:color="000000"/>
              <w:left w:val="single" w:sz="6" w:space="0" w:color="000000"/>
              <w:bottom w:val="single" w:sz="6" w:space="0" w:color="000000"/>
            </w:tcBorders>
            <w:shd w:val="clear" w:color="auto" w:fill="auto"/>
          </w:tcPr>
          <w:p w14:paraId="5342CFAB"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zanieczyszczeń organicznych. Barwa cieczy nad kruszywem nie ciemniejsza niż:</w:t>
            </w:r>
          </w:p>
        </w:tc>
        <w:tc>
          <w:tcPr>
            <w:tcW w:w="1309" w:type="dxa"/>
            <w:gridSpan w:val="2"/>
            <w:tcBorders>
              <w:top w:val="single" w:sz="6" w:space="0" w:color="000000"/>
              <w:left w:val="single" w:sz="6" w:space="0" w:color="000000"/>
              <w:bottom w:val="single" w:sz="6" w:space="0" w:color="000000"/>
            </w:tcBorders>
            <w:shd w:val="clear" w:color="auto" w:fill="auto"/>
          </w:tcPr>
          <w:p w14:paraId="4525C4CA" w14:textId="77777777" w:rsidR="00A637AB" w:rsidRPr="009819ED" w:rsidRDefault="00A637AB" w:rsidP="00C72960">
            <w:pPr>
              <w:snapToGrid w:val="0"/>
              <w:jc w:val="center"/>
              <w:rPr>
                <w:rFonts w:ascii="Times New Roman" w:hAnsi="Times New Roman" w:cs="Times New Roman"/>
              </w:rPr>
            </w:pPr>
          </w:p>
          <w:p w14:paraId="54FB41E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wzorcowa</w:t>
            </w: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14:paraId="461C8141" w14:textId="77777777" w:rsidR="00A637AB" w:rsidRPr="009819ED" w:rsidRDefault="00A637AB" w:rsidP="00C72960">
            <w:pPr>
              <w:snapToGrid w:val="0"/>
              <w:rPr>
                <w:rFonts w:ascii="Times New Roman" w:hAnsi="Times New Roman" w:cs="Times New Roman"/>
              </w:rPr>
            </w:pPr>
          </w:p>
          <w:p w14:paraId="4E976CE2"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PN-B-06714-26 [32]</w:t>
            </w:r>
          </w:p>
        </w:tc>
      </w:tr>
    </w:tbl>
    <w:p w14:paraId="007CD900" w14:textId="77777777" w:rsidR="00A637AB" w:rsidRPr="009819ED" w:rsidRDefault="00A637AB" w:rsidP="00A637AB">
      <w:pPr>
        <w:pStyle w:val="Tekstpodstawowy2"/>
        <w:spacing w:after="0"/>
        <w:rPr>
          <w:sz w:val="22"/>
          <w:szCs w:val="22"/>
        </w:rPr>
      </w:pPr>
    </w:p>
    <w:p w14:paraId="509D7D63" w14:textId="77777777" w:rsidR="00A637AB" w:rsidRPr="009819ED" w:rsidRDefault="00A637AB" w:rsidP="00A637AB">
      <w:pPr>
        <w:pStyle w:val="Tekstpodstawowy2"/>
        <w:spacing w:after="0"/>
        <w:rPr>
          <w:sz w:val="22"/>
          <w:szCs w:val="22"/>
        </w:rPr>
      </w:pPr>
      <w:r w:rsidRPr="009819ED">
        <w:rPr>
          <w:sz w:val="22"/>
          <w:szCs w:val="22"/>
        </w:rPr>
        <w:lastRenderedPageBreak/>
        <w:tab/>
        <w:t>Piasek wg PN-B-11113:1996 [38] i piasek łamany wg PN-B-11112:1996 [37] powinny spełniać wymagania określone w tablicy 4.</w:t>
      </w:r>
    </w:p>
    <w:p w14:paraId="44E01522" w14:textId="77777777" w:rsidR="00A637AB" w:rsidRPr="009819ED" w:rsidRDefault="00A637AB" w:rsidP="00A637AB">
      <w:pPr>
        <w:spacing w:after="120"/>
        <w:rPr>
          <w:rFonts w:ascii="Times New Roman" w:hAnsi="Times New Roman" w:cs="Times New Roman"/>
        </w:rPr>
      </w:pPr>
      <w:r w:rsidRPr="009819ED">
        <w:rPr>
          <w:rFonts w:ascii="Times New Roman" w:hAnsi="Times New Roman" w:cs="Times New Roman"/>
        </w:rPr>
        <w:t>Tablica 4. Wymagania dla piasku i piasku łamanego</w:t>
      </w:r>
    </w:p>
    <w:tbl>
      <w:tblPr>
        <w:tblW w:w="7598" w:type="dxa"/>
        <w:tblInd w:w="-77" w:type="dxa"/>
        <w:tblBorders>
          <w:top w:val="single" w:sz="6" w:space="0" w:color="000000"/>
          <w:left w:val="single" w:sz="6" w:space="0" w:color="000000"/>
        </w:tblBorders>
        <w:tblCellMar>
          <w:left w:w="62" w:type="dxa"/>
          <w:right w:w="70" w:type="dxa"/>
        </w:tblCellMar>
        <w:tblLook w:val="04A0" w:firstRow="1" w:lastRow="0" w:firstColumn="1" w:lastColumn="0" w:noHBand="0" w:noVBand="1"/>
      </w:tblPr>
      <w:tblGrid>
        <w:gridCol w:w="495"/>
        <w:gridCol w:w="3680"/>
        <w:gridCol w:w="742"/>
        <w:gridCol w:w="45"/>
        <w:gridCol w:w="780"/>
        <w:gridCol w:w="1856"/>
      </w:tblGrid>
      <w:tr w:rsidR="00A637AB" w:rsidRPr="009819ED" w14:paraId="779C1CC1" w14:textId="77777777" w:rsidTr="00C72960">
        <w:trPr>
          <w:trHeight w:val="360"/>
        </w:trPr>
        <w:tc>
          <w:tcPr>
            <w:tcW w:w="496" w:type="dxa"/>
            <w:tcBorders>
              <w:top w:val="single" w:sz="6" w:space="0" w:color="000000"/>
              <w:left w:val="single" w:sz="6" w:space="0" w:color="000000"/>
            </w:tcBorders>
            <w:shd w:val="clear" w:color="auto" w:fill="auto"/>
          </w:tcPr>
          <w:p w14:paraId="63979A4F"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Lp.</w:t>
            </w:r>
          </w:p>
        </w:tc>
        <w:tc>
          <w:tcPr>
            <w:tcW w:w="3685" w:type="dxa"/>
            <w:tcBorders>
              <w:top w:val="single" w:sz="6" w:space="0" w:color="000000"/>
              <w:left w:val="single" w:sz="6" w:space="0" w:color="000000"/>
            </w:tcBorders>
            <w:shd w:val="clear" w:color="auto" w:fill="auto"/>
          </w:tcPr>
          <w:p w14:paraId="4A07A430"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Właściwości</w:t>
            </w:r>
          </w:p>
        </w:tc>
        <w:tc>
          <w:tcPr>
            <w:tcW w:w="1559" w:type="dxa"/>
            <w:gridSpan w:val="3"/>
            <w:tcBorders>
              <w:top w:val="single" w:sz="6" w:space="0" w:color="000000"/>
              <w:left w:val="single" w:sz="6" w:space="0" w:color="000000"/>
              <w:bottom w:val="single" w:sz="6" w:space="0" w:color="000000"/>
            </w:tcBorders>
            <w:shd w:val="clear" w:color="auto" w:fill="auto"/>
          </w:tcPr>
          <w:p w14:paraId="223296F6" w14:textId="77777777" w:rsidR="00A637AB" w:rsidRPr="009819ED" w:rsidRDefault="00A637AB" w:rsidP="00C72960">
            <w:pPr>
              <w:overflowPunct w:val="0"/>
              <w:autoSpaceDE w:val="0"/>
              <w:spacing w:before="60"/>
              <w:jc w:val="center"/>
              <w:rPr>
                <w:rFonts w:ascii="Times New Roman" w:hAnsi="Times New Roman" w:cs="Times New Roman"/>
              </w:rPr>
            </w:pPr>
            <w:r w:rsidRPr="009819ED">
              <w:rPr>
                <w:rFonts w:ascii="Times New Roman" w:hAnsi="Times New Roman" w:cs="Times New Roman"/>
              </w:rPr>
              <w:t>Wymagania</w:t>
            </w:r>
          </w:p>
        </w:tc>
        <w:tc>
          <w:tcPr>
            <w:tcW w:w="1858" w:type="dxa"/>
            <w:tcBorders>
              <w:top w:val="single" w:sz="6" w:space="0" w:color="000000"/>
              <w:left w:val="single" w:sz="6" w:space="0" w:color="000000"/>
              <w:right w:val="single" w:sz="6" w:space="0" w:color="000000"/>
            </w:tcBorders>
            <w:shd w:val="clear" w:color="auto" w:fill="auto"/>
          </w:tcPr>
          <w:p w14:paraId="09D626D3"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 xml:space="preserve">Badanie </w:t>
            </w:r>
          </w:p>
        </w:tc>
      </w:tr>
      <w:tr w:rsidR="00A637AB" w:rsidRPr="009819ED" w14:paraId="154D0BE4" w14:textId="77777777" w:rsidTr="00C72960">
        <w:trPr>
          <w:trHeight w:val="375"/>
        </w:trPr>
        <w:tc>
          <w:tcPr>
            <w:tcW w:w="496" w:type="dxa"/>
            <w:tcBorders>
              <w:left w:val="single" w:sz="6" w:space="0" w:color="000000"/>
              <w:bottom w:val="double" w:sz="6" w:space="0" w:color="000000"/>
            </w:tcBorders>
            <w:shd w:val="clear" w:color="auto" w:fill="auto"/>
          </w:tcPr>
          <w:p w14:paraId="3B08097B" w14:textId="77777777" w:rsidR="00A637AB" w:rsidRPr="009819ED" w:rsidRDefault="00A637AB" w:rsidP="00C72960">
            <w:pPr>
              <w:overflowPunct w:val="0"/>
              <w:autoSpaceDE w:val="0"/>
              <w:snapToGrid w:val="0"/>
              <w:jc w:val="center"/>
              <w:rPr>
                <w:rFonts w:ascii="Times New Roman" w:hAnsi="Times New Roman" w:cs="Times New Roman"/>
              </w:rPr>
            </w:pPr>
          </w:p>
        </w:tc>
        <w:tc>
          <w:tcPr>
            <w:tcW w:w="3685" w:type="dxa"/>
            <w:tcBorders>
              <w:left w:val="single" w:sz="6" w:space="0" w:color="000000"/>
              <w:bottom w:val="double" w:sz="6" w:space="0" w:color="000000"/>
            </w:tcBorders>
            <w:shd w:val="clear" w:color="auto" w:fill="auto"/>
          </w:tcPr>
          <w:p w14:paraId="3E6086C8" w14:textId="77777777" w:rsidR="00A637AB" w:rsidRPr="009819ED" w:rsidRDefault="00A637AB" w:rsidP="00C72960">
            <w:pPr>
              <w:overflowPunct w:val="0"/>
              <w:autoSpaceDE w:val="0"/>
              <w:snapToGrid w:val="0"/>
              <w:jc w:val="center"/>
              <w:rPr>
                <w:rFonts w:ascii="Times New Roman" w:hAnsi="Times New Roman" w:cs="Times New Roman"/>
              </w:rPr>
            </w:pPr>
          </w:p>
        </w:tc>
        <w:tc>
          <w:tcPr>
            <w:tcW w:w="787" w:type="dxa"/>
            <w:gridSpan w:val="2"/>
            <w:tcBorders>
              <w:top w:val="single" w:sz="6" w:space="0" w:color="000000"/>
              <w:left w:val="single" w:sz="6" w:space="0" w:color="000000"/>
              <w:bottom w:val="double" w:sz="6" w:space="0" w:color="000000"/>
            </w:tcBorders>
            <w:shd w:val="clear" w:color="auto" w:fill="auto"/>
          </w:tcPr>
          <w:p w14:paraId="181F6AFE"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piasek</w:t>
            </w:r>
          </w:p>
        </w:tc>
        <w:tc>
          <w:tcPr>
            <w:tcW w:w="772" w:type="dxa"/>
            <w:tcBorders>
              <w:top w:val="single" w:sz="6" w:space="0" w:color="000000"/>
              <w:left w:val="single" w:sz="6" w:space="0" w:color="000000"/>
              <w:bottom w:val="double" w:sz="6" w:space="0" w:color="000000"/>
            </w:tcBorders>
            <w:shd w:val="clear" w:color="auto" w:fill="auto"/>
          </w:tcPr>
          <w:p w14:paraId="08585EE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piasek łamany</w:t>
            </w:r>
          </w:p>
        </w:tc>
        <w:tc>
          <w:tcPr>
            <w:tcW w:w="1858" w:type="dxa"/>
            <w:tcBorders>
              <w:left w:val="single" w:sz="6" w:space="0" w:color="000000"/>
              <w:bottom w:val="double" w:sz="6" w:space="0" w:color="000000"/>
              <w:right w:val="single" w:sz="6" w:space="0" w:color="000000"/>
            </w:tcBorders>
            <w:shd w:val="clear" w:color="auto" w:fill="auto"/>
          </w:tcPr>
          <w:p w14:paraId="413E7CF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według</w:t>
            </w:r>
          </w:p>
        </w:tc>
      </w:tr>
      <w:tr w:rsidR="00A637AB" w:rsidRPr="009819ED" w14:paraId="22163E3F" w14:textId="77777777" w:rsidTr="00C72960">
        <w:tc>
          <w:tcPr>
            <w:tcW w:w="496" w:type="dxa"/>
            <w:tcBorders>
              <w:top w:val="single" w:sz="6" w:space="0" w:color="000000"/>
              <w:left w:val="single" w:sz="6" w:space="0" w:color="000000"/>
              <w:bottom w:val="single" w:sz="6" w:space="0" w:color="000000"/>
            </w:tcBorders>
            <w:shd w:val="clear" w:color="auto" w:fill="auto"/>
          </w:tcPr>
          <w:p w14:paraId="47CDDC7B"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1</w:t>
            </w:r>
          </w:p>
        </w:tc>
        <w:tc>
          <w:tcPr>
            <w:tcW w:w="3685" w:type="dxa"/>
            <w:tcBorders>
              <w:top w:val="single" w:sz="6" w:space="0" w:color="000000"/>
              <w:left w:val="single" w:sz="6" w:space="0" w:color="000000"/>
              <w:bottom w:val="single" w:sz="6" w:space="0" w:color="000000"/>
            </w:tcBorders>
            <w:shd w:val="clear" w:color="auto" w:fill="auto"/>
          </w:tcPr>
          <w:p w14:paraId="3F902C6E" w14:textId="77777777" w:rsidR="00A637AB" w:rsidRPr="009819ED" w:rsidRDefault="00A637AB" w:rsidP="00C72960">
            <w:pPr>
              <w:overflowPunct w:val="0"/>
              <w:autoSpaceDE w:val="0"/>
              <w:spacing w:before="60" w:after="60"/>
              <w:rPr>
                <w:rFonts w:ascii="Times New Roman" w:hAnsi="Times New Roman" w:cs="Times New Roman"/>
              </w:rPr>
            </w:pPr>
            <w:r w:rsidRPr="009819ED">
              <w:rPr>
                <w:rFonts w:ascii="Times New Roman" w:hAnsi="Times New Roman" w:cs="Times New Roman"/>
              </w:rPr>
              <w:t>Wskaźnik piaskowy, większy niż</w:t>
            </w:r>
          </w:p>
        </w:tc>
        <w:tc>
          <w:tcPr>
            <w:tcW w:w="787" w:type="dxa"/>
            <w:gridSpan w:val="2"/>
            <w:tcBorders>
              <w:top w:val="single" w:sz="6" w:space="0" w:color="000000"/>
              <w:left w:val="single" w:sz="6" w:space="0" w:color="000000"/>
              <w:bottom w:val="single" w:sz="6" w:space="0" w:color="000000"/>
            </w:tcBorders>
            <w:shd w:val="clear" w:color="auto" w:fill="auto"/>
          </w:tcPr>
          <w:p w14:paraId="19055852"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75</w:t>
            </w:r>
          </w:p>
        </w:tc>
        <w:tc>
          <w:tcPr>
            <w:tcW w:w="772" w:type="dxa"/>
            <w:tcBorders>
              <w:top w:val="single" w:sz="6" w:space="0" w:color="000000"/>
              <w:left w:val="single" w:sz="6" w:space="0" w:color="000000"/>
              <w:bottom w:val="single" w:sz="6" w:space="0" w:color="000000"/>
            </w:tcBorders>
            <w:shd w:val="clear" w:color="auto" w:fill="auto"/>
          </w:tcPr>
          <w:p w14:paraId="7D1A0BE4"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65</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6B471C51" w14:textId="77777777" w:rsidR="00A637AB" w:rsidRPr="009819ED" w:rsidRDefault="00A637AB" w:rsidP="00C72960">
            <w:pPr>
              <w:overflowPunct w:val="0"/>
              <w:autoSpaceDE w:val="0"/>
              <w:spacing w:before="60" w:after="60"/>
              <w:rPr>
                <w:rFonts w:ascii="Times New Roman" w:hAnsi="Times New Roman" w:cs="Times New Roman"/>
              </w:rPr>
            </w:pPr>
            <w:r w:rsidRPr="009819ED">
              <w:rPr>
                <w:rFonts w:ascii="Times New Roman" w:hAnsi="Times New Roman" w:cs="Times New Roman"/>
              </w:rPr>
              <w:t>BN-64/8931-01 [44]</w:t>
            </w:r>
          </w:p>
        </w:tc>
      </w:tr>
      <w:tr w:rsidR="00A637AB" w:rsidRPr="009819ED" w14:paraId="08F0BE0B" w14:textId="77777777" w:rsidTr="00C72960">
        <w:tc>
          <w:tcPr>
            <w:tcW w:w="496" w:type="dxa"/>
            <w:tcBorders>
              <w:top w:val="single" w:sz="6" w:space="0" w:color="000000"/>
              <w:left w:val="single" w:sz="6" w:space="0" w:color="000000"/>
              <w:bottom w:val="single" w:sz="6" w:space="0" w:color="000000"/>
            </w:tcBorders>
            <w:shd w:val="clear" w:color="auto" w:fill="auto"/>
          </w:tcPr>
          <w:p w14:paraId="4A5EC33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w:t>
            </w:r>
          </w:p>
        </w:tc>
        <w:tc>
          <w:tcPr>
            <w:tcW w:w="3685" w:type="dxa"/>
            <w:tcBorders>
              <w:top w:val="single" w:sz="6" w:space="0" w:color="000000"/>
              <w:left w:val="single" w:sz="6" w:space="0" w:color="000000"/>
              <w:bottom w:val="single" w:sz="6" w:space="0" w:color="000000"/>
            </w:tcBorders>
            <w:shd w:val="clear" w:color="auto" w:fill="auto"/>
          </w:tcPr>
          <w:p w14:paraId="3074D88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zanieczyszczeń obcych, %, nie więcej niż:</w:t>
            </w:r>
          </w:p>
        </w:tc>
        <w:tc>
          <w:tcPr>
            <w:tcW w:w="787" w:type="dxa"/>
            <w:gridSpan w:val="2"/>
            <w:tcBorders>
              <w:top w:val="single" w:sz="6" w:space="0" w:color="000000"/>
              <w:left w:val="single" w:sz="6" w:space="0" w:color="000000"/>
              <w:bottom w:val="single" w:sz="6" w:space="0" w:color="000000"/>
            </w:tcBorders>
            <w:shd w:val="clear" w:color="auto" w:fill="auto"/>
          </w:tcPr>
          <w:p w14:paraId="0DA34C99"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772" w:type="dxa"/>
            <w:tcBorders>
              <w:top w:val="single" w:sz="6" w:space="0" w:color="000000"/>
              <w:left w:val="single" w:sz="6" w:space="0" w:color="000000"/>
              <w:bottom w:val="single" w:sz="6" w:space="0" w:color="000000"/>
            </w:tcBorders>
            <w:shd w:val="clear" w:color="auto" w:fill="auto"/>
          </w:tcPr>
          <w:p w14:paraId="4CBE3ABC"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38E01E22" w14:textId="77777777" w:rsidR="00A637AB" w:rsidRPr="009819ED" w:rsidRDefault="00A637AB" w:rsidP="00C72960">
            <w:pPr>
              <w:overflowPunct w:val="0"/>
              <w:autoSpaceDE w:val="0"/>
              <w:spacing w:before="120"/>
              <w:rPr>
                <w:rFonts w:ascii="Times New Roman" w:hAnsi="Times New Roman" w:cs="Times New Roman"/>
              </w:rPr>
            </w:pPr>
            <w:r w:rsidRPr="009819ED">
              <w:rPr>
                <w:rFonts w:ascii="Times New Roman" w:hAnsi="Times New Roman" w:cs="Times New Roman"/>
              </w:rPr>
              <w:t>PN-B-06714-12 [26]</w:t>
            </w:r>
          </w:p>
        </w:tc>
      </w:tr>
      <w:tr w:rsidR="00A637AB" w:rsidRPr="009819ED" w14:paraId="4D2AFF20" w14:textId="77777777" w:rsidTr="00C72960">
        <w:tc>
          <w:tcPr>
            <w:tcW w:w="496" w:type="dxa"/>
            <w:tcBorders>
              <w:top w:val="single" w:sz="6" w:space="0" w:color="000000"/>
              <w:left w:val="single" w:sz="6" w:space="0" w:color="000000"/>
              <w:bottom w:val="single" w:sz="6" w:space="0" w:color="000000"/>
            </w:tcBorders>
            <w:shd w:val="clear" w:color="auto" w:fill="auto"/>
          </w:tcPr>
          <w:p w14:paraId="16B76E9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w:t>
            </w:r>
          </w:p>
        </w:tc>
        <w:tc>
          <w:tcPr>
            <w:tcW w:w="3685" w:type="dxa"/>
            <w:tcBorders>
              <w:top w:val="single" w:sz="6" w:space="0" w:color="000000"/>
              <w:left w:val="single" w:sz="6" w:space="0" w:color="000000"/>
              <w:bottom w:val="single" w:sz="6" w:space="0" w:color="000000"/>
            </w:tcBorders>
            <w:shd w:val="clear" w:color="auto" w:fill="auto"/>
          </w:tcPr>
          <w:p w14:paraId="161B1C82"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związków siarki w przeliczeniu na SO</w:t>
            </w:r>
            <w:r w:rsidRPr="009819ED">
              <w:rPr>
                <w:rFonts w:ascii="Times New Roman" w:hAnsi="Times New Roman" w:cs="Times New Roman"/>
                <w:vertAlign w:val="subscript"/>
              </w:rPr>
              <w:t>3</w:t>
            </w:r>
            <w:r w:rsidRPr="009819ED">
              <w:rPr>
                <w:rFonts w:ascii="Times New Roman" w:hAnsi="Times New Roman" w:cs="Times New Roman"/>
              </w:rPr>
              <w:t>, %, nie więcej niż:</w:t>
            </w:r>
          </w:p>
        </w:tc>
        <w:tc>
          <w:tcPr>
            <w:tcW w:w="787" w:type="dxa"/>
            <w:gridSpan w:val="2"/>
            <w:tcBorders>
              <w:top w:val="single" w:sz="6" w:space="0" w:color="000000"/>
              <w:left w:val="single" w:sz="6" w:space="0" w:color="000000"/>
              <w:bottom w:val="single" w:sz="6" w:space="0" w:color="000000"/>
            </w:tcBorders>
            <w:shd w:val="clear" w:color="auto" w:fill="auto"/>
          </w:tcPr>
          <w:p w14:paraId="292165CB"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0,2</w:t>
            </w:r>
          </w:p>
        </w:tc>
        <w:tc>
          <w:tcPr>
            <w:tcW w:w="772" w:type="dxa"/>
            <w:tcBorders>
              <w:top w:val="single" w:sz="6" w:space="0" w:color="000000"/>
              <w:left w:val="single" w:sz="6" w:space="0" w:color="000000"/>
              <w:bottom w:val="single" w:sz="6" w:space="0" w:color="000000"/>
            </w:tcBorders>
            <w:shd w:val="clear" w:color="auto" w:fill="auto"/>
          </w:tcPr>
          <w:p w14:paraId="014AE9ED"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0,2</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31FCE005" w14:textId="77777777" w:rsidR="00A637AB" w:rsidRPr="009819ED" w:rsidRDefault="00A637AB" w:rsidP="00C72960">
            <w:pPr>
              <w:overflowPunct w:val="0"/>
              <w:autoSpaceDE w:val="0"/>
              <w:spacing w:before="120"/>
              <w:rPr>
                <w:rFonts w:ascii="Times New Roman" w:hAnsi="Times New Roman" w:cs="Times New Roman"/>
              </w:rPr>
            </w:pPr>
            <w:r w:rsidRPr="009819ED">
              <w:rPr>
                <w:rFonts w:ascii="Times New Roman" w:hAnsi="Times New Roman" w:cs="Times New Roman"/>
              </w:rPr>
              <w:t>PN-B-06714-28 [33]</w:t>
            </w:r>
          </w:p>
        </w:tc>
      </w:tr>
      <w:tr w:rsidR="00A637AB" w:rsidRPr="009819ED" w14:paraId="061E28BD" w14:textId="77777777" w:rsidTr="00C72960">
        <w:tc>
          <w:tcPr>
            <w:tcW w:w="496" w:type="dxa"/>
            <w:tcBorders>
              <w:top w:val="single" w:sz="6" w:space="0" w:color="000000"/>
              <w:left w:val="single" w:sz="6" w:space="0" w:color="000000"/>
              <w:bottom w:val="single" w:sz="6" w:space="0" w:color="000000"/>
            </w:tcBorders>
            <w:shd w:val="clear" w:color="auto" w:fill="auto"/>
          </w:tcPr>
          <w:p w14:paraId="058A55C5"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w:t>
            </w:r>
          </w:p>
        </w:tc>
        <w:tc>
          <w:tcPr>
            <w:tcW w:w="3685" w:type="dxa"/>
            <w:tcBorders>
              <w:top w:val="single" w:sz="6" w:space="0" w:color="000000"/>
              <w:left w:val="single" w:sz="6" w:space="0" w:color="000000"/>
              <w:bottom w:val="single" w:sz="6" w:space="0" w:color="000000"/>
            </w:tcBorders>
            <w:shd w:val="clear" w:color="auto" w:fill="auto"/>
          </w:tcPr>
          <w:p w14:paraId="270907F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zanieczyszczeń organicznych. Barwa cieczy nad kruszywem nie ciemniejsza niż:</w:t>
            </w:r>
          </w:p>
        </w:tc>
        <w:tc>
          <w:tcPr>
            <w:tcW w:w="1559" w:type="dxa"/>
            <w:gridSpan w:val="3"/>
            <w:tcBorders>
              <w:top w:val="single" w:sz="6" w:space="0" w:color="000000"/>
              <w:left w:val="single" w:sz="6" w:space="0" w:color="000000"/>
              <w:bottom w:val="single" w:sz="6" w:space="0" w:color="000000"/>
            </w:tcBorders>
            <w:shd w:val="clear" w:color="auto" w:fill="auto"/>
          </w:tcPr>
          <w:p w14:paraId="208428D6" w14:textId="77777777" w:rsidR="00A637AB" w:rsidRPr="009819ED" w:rsidRDefault="00A637AB" w:rsidP="00C72960">
            <w:pPr>
              <w:snapToGrid w:val="0"/>
              <w:jc w:val="center"/>
              <w:rPr>
                <w:rFonts w:ascii="Times New Roman" w:hAnsi="Times New Roman" w:cs="Times New Roman"/>
              </w:rPr>
            </w:pPr>
          </w:p>
          <w:p w14:paraId="091F6ED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wzorcowa</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15ECD4F3" w14:textId="77777777" w:rsidR="00A637AB" w:rsidRPr="009819ED" w:rsidRDefault="00A637AB" w:rsidP="00C72960">
            <w:pPr>
              <w:snapToGrid w:val="0"/>
              <w:rPr>
                <w:rFonts w:ascii="Times New Roman" w:hAnsi="Times New Roman" w:cs="Times New Roman"/>
              </w:rPr>
            </w:pPr>
          </w:p>
          <w:p w14:paraId="39B23EC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PN-B-06714-26 [32]</w:t>
            </w:r>
          </w:p>
        </w:tc>
      </w:tr>
      <w:tr w:rsidR="00A637AB" w:rsidRPr="009819ED" w14:paraId="2CB6BE69" w14:textId="77777777" w:rsidTr="00C72960">
        <w:tc>
          <w:tcPr>
            <w:tcW w:w="496" w:type="dxa"/>
            <w:tcBorders>
              <w:top w:val="single" w:sz="6" w:space="0" w:color="000000"/>
              <w:left w:val="single" w:sz="6" w:space="0" w:color="000000"/>
              <w:bottom w:val="single" w:sz="6" w:space="0" w:color="000000"/>
            </w:tcBorders>
            <w:shd w:val="clear" w:color="auto" w:fill="auto"/>
          </w:tcPr>
          <w:p w14:paraId="4E0D9E1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w:t>
            </w:r>
          </w:p>
        </w:tc>
        <w:tc>
          <w:tcPr>
            <w:tcW w:w="3685" w:type="dxa"/>
            <w:tcBorders>
              <w:top w:val="single" w:sz="6" w:space="0" w:color="000000"/>
              <w:left w:val="single" w:sz="6" w:space="0" w:color="000000"/>
              <w:bottom w:val="single" w:sz="6" w:space="0" w:color="000000"/>
            </w:tcBorders>
            <w:shd w:val="clear" w:color="auto" w:fill="auto"/>
          </w:tcPr>
          <w:p w14:paraId="7B76EAD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ziarn poniżej 0,075 mm, %, nie więcej niż</w:t>
            </w:r>
          </w:p>
        </w:tc>
        <w:tc>
          <w:tcPr>
            <w:tcW w:w="742" w:type="dxa"/>
            <w:tcBorders>
              <w:top w:val="single" w:sz="6" w:space="0" w:color="000000"/>
              <w:left w:val="single" w:sz="6" w:space="0" w:color="000000"/>
              <w:bottom w:val="single" w:sz="6" w:space="0" w:color="000000"/>
            </w:tcBorders>
            <w:shd w:val="clear" w:color="auto" w:fill="auto"/>
          </w:tcPr>
          <w:p w14:paraId="1C1C1811"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1,0</w:t>
            </w:r>
          </w:p>
        </w:tc>
        <w:tc>
          <w:tcPr>
            <w:tcW w:w="817" w:type="dxa"/>
            <w:gridSpan w:val="2"/>
            <w:tcBorders>
              <w:top w:val="single" w:sz="6" w:space="0" w:color="000000"/>
              <w:left w:val="single" w:sz="6" w:space="0" w:color="000000"/>
              <w:bottom w:val="single" w:sz="6" w:space="0" w:color="000000"/>
            </w:tcBorders>
            <w:shd w:val="clear" w:color="auto" w:fill="auto"/>
          </w:tcPr>
          <w:p w14:paraId="7CD4159F"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1,0</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6F4E5F9B" w14:textId="77777777" w:rsidR="00A637AB" w:rsidRPr="009819ED" w:rsidRDefault="00A637AB" w:rsidP="00C72960">
            <w:pPr>
              <w:overflowPunct w:val="0"/>
              <w:autoSpaceDE w:val="0"/>
              <w:spacing w:before="120"/>
              <w:rPr>
                <w:rFonts w:ascii="Times New Roman" w:hAnsi="Times New Roman" w:cs="Times New Roman"/>
              </w:rPr>
            </w:pPr>
            <w:r w:rsidRPr="009819ED">
              <w:rPr>
                <w:rFonts w:ascii="Times New Roman" w:hAnsi="Times New Roman" w:cs="Times New Roman"/>
              </w:rPr>
              <w:t>PN-B-06714-15 [28]</w:t>
            </w:r>
          </w:p>
        </w:tc>
      </w:tr>
      <w:tr w:rsidR="00A637AB" w:rsidRPr="009819ED" w14:paraId="5EF34918" w14:textId="77777777" w:rsidTr="00C72960">
        <w:tc>
          <w:tcPr>
            <w:tcW w:w="496" w:type="dxa"/>
            <w:tcBorders>
              <w:top w:val="single" w:sz="6" w:space="0" w:color="000000"/>
              <w:left w:val="single" w:sz="6" w:space="0" w:color="000000"/>
              <w:bottom w:val="single" w:sz="6" w:space="0" w:color="000000"/>
            </w:tcBorders>
            <w:shd w:val="clear" w:color="auto" w:fill="auto"/>
          </w:tcPr>
          <w:p w14:paraId="79B39AC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6</w:t>
            </w:r>
          </w:p>
        </w:tc>
        <w:tc>
          <w:tcPr>
            <w:tcW w:w="3685" w:type="dxa"/>
            <w:tcBorders>
              <w:top w:val="single" w:sz="6" w:space="0" w:color="000000"/>
              <w:left w:val="single" w:sz="6" w:space="0" w:color="000000"/>
              <w:bottom w:val="single" w:sz="6" w:space="0" w:color="000000"/>
            </w:tcBorders>
            <w:shd w:val="clear" w:color="auto" w:fill="auto"/>
          </w:tcPr>
          <w:p w14:paraId="7A45E64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nadziarna pow. 2  mm, %, nie więcej niż:</w:t>
            </w:r>
          </w:p>
        </w:tc>
        <w:tc>
          <w:tcPr>
            <w:tcW w:w="742" w:type="dxa"/>
            <w:tcBorders>
              <w:top w:val="single" w:sz="6" w:space="0" w:color="000000"/>
              <w:left w:val="single" w:sz="6" w:space="0" w:color="000000"/>
              <w:bottom w:val="single" w:sz="6" w:space="0" w:color="000000"/>
            </w:tcBorders>
            <w:shd w:val="clear" w:color="auto" w:fill="auto"/>
          </w:tcPr>
          <w:p w14:paraId="66A073A1"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15</w:t>
            </w:r>
          </w:p>
        </w:tc>
        <w:tc>
          <w:tcPr>
            <w:tcW w:w="817" w:type="dxa"/>
            <w:gridSpan w:val="2"/>
            <w:tcBorders>
              <w:top w:val="single" w:sz="6" w:space="0" w:color="000000"/>
              <w:left w:val="single" w:sz="6" w:space="0" w:color="000000"/>
              <w:bottom w:val="single" w:sz="6" w:space="0" w:color="000000"/>
            </w:tcBorders>
            <w:shd w:val="clear" w:color="auto" w:fill="auto"/>
          </w:tcPr>
          <w:p w14:paraId="3480E418"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15</w:t>
            </w:r>
          </w:p>
        </w:tc>
        <w:tc>
          <w:tcPr>
            <w:tcW w:w="1858" w:type="dxa"/>
            <w:tcBorders>
              <w:top w:val="single" w:sz="6" w:space="0" w:color="000000"/>
              <w:left w:val="single" w:sz="6" w:space="0" w:color="000000"/>
              <w:bottom w:val="single" w:sz="6" w:space="0" w:color="000000"/>
              <w:right w:val="single" w:sz="6" w:space="0" w:color="000000"/>
            </w:tcBorders>
            <w:shd w:val="clear" w:color="auto" w:fill="auto"/>
          </w:tcPr>
          <w:p w14:paraId="4FBB492E" w14:textId="77777777" w:rsidR="00A637AB" w:rsidRPr="009819ED" w:rsidRDefault="00A637AB" w:rsidP="00C72960">
            <w:pPr>
              <w:overflowPunct w:val="0"/>
              <w:autoSpaceDE w:val="0"/>
              <w:spacing w:before="120"/>
              <w:rPr>
                <w:rFonts w:ascii="Times New Roman" w:hAnsi="Times New Roman" w:cs="Times New Roman"/>
              </w:rPr>
            </w:pPr>
            <w:r w:rsidRPr="009819ED">
              <w:rPr>
                <w:rFonts w:ascii="Times New Roman" w:hAnsi="Times New Roman" w:cs="Times New Roman"/>
              </w:rPr>
              <w:t>PN-B-06714-15 [28]</w:t>
            </w:r>
          </w:p>
        </w:tc>
      </w:tr>
    </w:tbl>
    <w:p w14:paraId="36480053" w14:textId="77777777" w:rsidR="00A637AB" w:rsidRPr="009819ED" w:rsidRDefault="00A637AB" w:rsidP="00A637AB">
      <w:pPr>
        <w:rPr>
          <w:rFonts w:ascii="Times New Roman" w:hAnsi="Times New Roman" w:cs="Times New Roman"/>
        </w:rPr>
      </w:pPr>
    </w:p>
    <w:p w14:paraId="03414B7E" w14:textId="77777777" w:rsidR="00A637AB" w:rsidRPr="009819ED" w:rsidRDefault="00A637AB" w:rsidP="00A637AB">
      <w:pPr>
        <w:rPr>
          <w:rFonts w:ascii="Times New Roman" w:hAnsi="Times New Roman" w:cs="Times New Roman"/>
        </w:rPr>
      </w:pPr>
      <w:r w:rsidRPr="009819ED">
        <w:rPr>
          <w:rFonts w:ascii="Times New Roman" w:hAnsi="Times New Roman" w:cs="Times New Roman"/>
        </w:rPr>
        <w:tab/>
        <w:t>Żwir powinien spełniać wymagania określone w tablicy 5.</w:t>
      </w:r>
    </w:p>
    <w:p w14:paraId="7AF9E45B" w14:textId="77777777" w:rsidR="00A637AB" w:rsidRPr="009819ED" w:rsidRDefault="00A637AB" w:rsidP="00A637AB">
      <w:pPr>
        <w:rPr>
          <w:rFonts w:ascii="Times New Roman" w:hAnsi="Times New Roman" w:cs="Times New Roman"/>
        </w:rPr>
      </w:pPr>
    </w:p>
    <w:p w14:paraId="5FBA711E" w14:textId="77777777" w:rsidR="00A637AB" w:rsidRPr="009819ED" w:rsidRDefault="00A637AB" w:rsidP="00A637AB">
      <w:pPr>
        <w:spacing w:after="120"/>
        <w:rPr>
          <w:rFonts w:ascii="Times New Roman" w:hAnsi="Times New Roman" w:cs="Times New Roman"/>
        </w:rPr>
      </w:pPr>
      <w:r w:rsidRPr="009819ED">
        <w:rPr>
          <w:rFonts w:ascii="Times New Roman" w:hAnsi="Times New Roman" w:cs="Times New Roman"/>
        </w:rPr>
        <w:t xml:space="preserve">Tablica 5. Wymagania dla żwiru </w:t>
      </w:r>
    </w:p>
    <w:tbl>
      <w:tblPr>
        <w:tblW w:w="7526"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496"/>
        <w:gridCol w:w="3543"/>
        <w:gridCol w:w="709"/>
        <w:gridCol w:w="747"/>
        <w:gridCol w:w="2031"/>
      </w:tblGrid>
      <w:tr w:rsidR="00A637AB" w:rsidRPr="009819ED" w14:paraId="45BAE467" w14:textId="77777777" w:rsidTr="00C72960">
        <w:tc>
          <w:tcPr>
            <w:tcW w:w="496" w:type="dxa"/>
            <w:tcBorders>
              <w:top w:val="single" w:sz="6" w:space="0" w:color="000000"/>
              <w:left w:val="single" w:sz="6" w:space="0" w:color="000000"/>
              <w:bottom w:val="double" w:sz="6" w:space="0" w:color="000000"/>
            </w:tcBorders>
            <w:shd w:val="clear" w:color="auto" w:fill="auto"/>
          </w:tcPr>
          <w:p w14:paraId="0E92789F"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Lp.</w:t>
            </w:r>
          </w:p>
        </w:tc>
        <w:tc>
          <w:tcPr>
            <w:tcW w:w="3543" w:type="dxa"/>
            <w:tcBorders>
              <w:top w:val="single" w:sz="6" w:space="0" w:color="000000"/>
              <w:left w:val="single" w:sz="6" w:space="0" w:color="000000"/>
              <w:bottom w:val="double" w:sz="6" w:space="0" w:color="000000"/>
            </w:tcBorders>
            <w:shd w:val="clear" w:color="auto" w:fill="auto"/>
          </w:tcPr>
          <w:p w14:paraId="242A34BE"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Właściwości</w:t>
            </w:r>
          </w:p>
        </w:tc>
        <w:tc>
          <w:tcPr>
            <w:tcW w:w="709" w:type="dxa"/>
            <w:tcBorders>
              <w:top w:val="single" w:sz="6" w:space="0" w:color="000000"/>
              <w:left w:val="single" w:sz="6" w:space="0" w:color="000000"/>
              <w:bottom w:val="double" w:sz="6" w:space="0" w:color="000000"/>
            </w:tcBorders>
            <w:shd w:val="clear" w:color="auto" w:fill="auto"/>
          </w:tcPr>
          <w:p w14:paraId="023633B8"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B35</w:t>
            </w:r>
          </w:p>
        </w:tc>
        <w:tc>
          <w:tcPr>
            <w:tcW w:w="747" w:type="dxa"/>
            <w:tcBorders>
              <w:top w:val="single" w:sz="6" w:space="0" w:color="000000"/>
              <w:left w:val="single" w:sz="6" w:space="0" w:color="000000"/>
              <w:bottom w:val="double" w:sz="6" w:space="0" w:color="000000"/>
            </w:tcBorders>
            <w:shd w:val="clear" w:color="auto" w:fill="auto"/>
          </w:tcPr>
          <w:p w14:paraId="746AD363"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B30</w:t>
            </w:r>
          </w:p>
        </w:tc>
        <w:tc>
          <w:tcPr>
            <w:tcW w:w="2031" w:type="dxa"/>
            <w:tcBorders>
              <w:top w:val="single" w:sz="6" w:space="0" w:color="000000"/>
              <w:left w:val="single" w:sz="6" w:space="0" w:color="000000"/>
              <w:bottom w:val="double" w:sz="6" w:space="0" w:color="000000"/>
              <w:right w:val="single" w:sz="6" w:space="0" w:color="000000"/>
            </w:tcBorders>
            <w:shd w:val="clear" w:color="auto" w:fill="auto"/>
          </w:tcPr>
          <w:p w14:paraId="413C69FD"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Badanie według</w:t>
            </w:r>
          </w:p>
        </w:tc>
      </w:tr>
      <w:tr w:rsidR="00A637AB" w:rsidRPr="009819ED" w14:paraId="3DC90DD2" w14:textId="77777777" w:rsidTr="00C72960">
        <w:tc>
          <w:tcPr>
            <w:tcW w:w="496" w:type="dxa"/>
            <w:tcBorders>
              <w:left w:val="single" w:sz="6" w:space="0" w:color="000000"/>
              <w:bottom w:val="single" w:sz="6" w:space="0" w:color="000000"/>
            </w:tcBorders>
            <w:shd w:val="clear" w:color="auto" w:fill="auto"/>
          </w:tcPr>
          <w:p w14:paraId="2DD926E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w:t>
            </w:r>
          </w:p>
        </w:tc>
        <w:tc>
          <w:tcPr>
            <w:tcW w:w="3543" w:type="dxa"/>
            <w:tcBorders>
              <w:left w:val="single" w:sz="6" w:space="0" w:color="000000"/>
              <w:bottom w:val="single" w:sz="6" w:space="0" w:color="000000"/>
            </w:tcBorders>
            <w:shd w:val="clear" w:color="auto" w:fill="auto"/>
          </w:tcPr>
          <w:p w14:paraId="7EB70DF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Ścieralność w bębnie Los Angeles (całkowita), %,nie więcej niż</w:t>
            </w:r>
          </w:p>
        </w:tc>
        <w:tc>
          <w:tcPr>
            <w:tcW w:w="709" w:type="dxa"/>
            <w:tcBorders>
              <w:left w:val="single" w:sz="6" w:space="0" w:color="000000"/>
              <w:bottom w:val="single" w:sz="6" w:space="0" w:color="000000"/>
            </w:tcBorders>
            <w:shd w:val="clear" w:color="auto" w:fill="auto"/>
          </w:tcPr>
          <w:p w14:paraId="4F9F9B97"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25</w:t>
            </w:r>
          </w:p>
        </w:tc>
        <w:tc>
          <w:tcPr>
            <w:tcW w:w="747" w:type="dxa"/>
            <w:tcBorders>
              <w:left w:val="single" w:sz="6" w:space="0" w:color="000000"/>
              <w:bottom w:val="single" w:sz="6" w:space="0" w:color="000000"/>
            </w:tcBorders>
            <w:shd w:val="clear" w:color="auto" w:fill="auto"/>
          </w:tcPr>
          <w:p w14:paraId="3920C832"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35</w:t>
            </w:r>
          </w:p>
        </w:tc>
        <w:tc>
          <w:tcPr>
            <w:tcW w:w="2031" w:type="dxa"/>
            <w:tcBorders>
              <w:left w:val="single" w:sz="6" w:space="0" w:color="000000"/>
              <w:bottom w:val="single" w:sz="6" w:space="0" w:color="000000"/>
              <w:right w:val="single" w:sz="6" w:space="0" w:color="000000"/>
            </w:tcBorders>
            <w:shd w:val="clear" w:color="auto" w:fill="auto"/>
          </w:tcPr>
          <w:p w14:paraId="39AD05EC" w14:textId="77777777" w:rsidR="00A637AB" w:rsidRPr="009819ED" w:rsidRDefault="00A637AB" w:rsidP="00C72960">
            <w:pPr>
              <w:pStyle w:val="Stopka"/>
              <w:tabs>
                <w:tab w:val="left" w:pos="709"/>
              </w:tabs>
              <w:spacing w:before="120"/>
              <w:jc w:val="center"/>
              <w:rPr>
                <w:sz w:val="22"/>
              </w:rPr>
            </w:pPr>
            <w:r w:rsidRPr="009819ED">
              <w:rPr>
                <w:sz w:val="22"/>
              </w:rPr>
              <w:t>PN-B-06714-42 [34]</w:t>
            </w:r>
          </w:p>
        </w:tc>
      </w:tr>
      <w:tr w:rsidR="00A637AB" w:rsidRPr="009819ED" w14:paraId="4B7AB949" w14:textId="77777777" w:rsidTr="00C72960">
        <w:tc>
          <w:tcPr>
            <w:tcW w:w="496" w:type="dxa"/>
            <w:tcBorders>
              <w:top w:val="single" w:sz="6" w:space="0" w:color="000000"/>
              <w:left w:val="single" w:sz="6" w:space="0" w:color="000000"/>
              <w:bottom w:val="single" w:sz="6" w:space="0" w:color="000000"/>
            </w:tcBorders>
            <w:shd w:val="clear" w:color="auto" w:fill="auto"/>
          </w:tcPr>
          <w:p w14:paraId="6523F805"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w:t>
            </w:r>
          </w:p>
        </w:tc>
        <w:tc>
          <w:tcPr>
            <w:tcW w:w="3543" w:type="dxa"/>
            <w:tcBorders>
              <w:top w:val="single" w:sz="6" w:space="0" w:color="000000"/>
              <w:left w:val="single" w:sz="6" w:space="0" w:color="000000"/>
              <w:bottom w:val="single" w:sz="6" w:space="0" w:color="000000"/>
            </w:tcBorders>
            <w:shd w:val="clear" w:color="auto" w:fill="auto"/>
          </w:tcPr>
          <w:p w14:paraId="2FEEC3A4"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ziarn słabych, %, nie więcej niż:</w:t>
            </w:r>
          </w:p>
        </w:tc>
        <w:tc>
          <w:tcPr>
            <w:tcW w:w="709" w:type="dxa"/>
            <w:tcBorders>
              <w:top w:val="single" w:sz="6" w:space="0" w:color="000000"/>
              <w:left w:val="single" w:sz="6" w:space="0" w:color="000000"/>
              <w:bottom w:val="single" w:sz="6" w:space="0" w:color="000000"/>
            </w:tcBorders>
            <w:shd w:val="clear" w:color="auto" w:fill="auto"/>
          </w:tcPr>
          <w:p w14:paraId="75D42CA9"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7</w:t>
            </w:r>
          </w:p>
        </w:tc>
        <w:tc>
          <w:tcPr>
            <w:tcW w:w="747" w:type="dxa"/>
            <w:tcBorders>
              <w:top w:val="single" w:sz="6" w:space="0" w:color="000000"/>
              <w:left w:val="single" w:sz="6" w:space="0" w:color="000000"/>
              <w:bottom w:val="single" w:sz="6" w:space="0" w:color="000000"/>
            </w:tcBorders>
            <w:shd w:val="clear" w:color="auto" w:fill="auto"/>
          </w:tcPr>
          <w:p w14:paraId="67C2578A"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10</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25A5249F"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PN-B-06714-43 [35]</w:t>
            </w:r>
          </w:p>
        </w:tc>
      </w:tr>
      <w:tr w:rsidR="00A637AB" w:rsidRPr="009819ED" w14:paraId="371FBF24" w14:textId="77777777" w:rsidTr="00C72960">
        <w:tc>
          <w:tcPr>
            <w:tcW w:w="496" w:type="dxa"/>
            <w:tcBorders>
              <w:top w:val="single" w:sz="6" w:space="0" w:color="000000"/>
              <w:left w:val="single" w:sz="6" w:space="0" w:color="000000"/>
              <w:bottom w:val="single" w:sz="6" w:space="0" w:color="000000"/>
            </w:tcBorders>
            <w:shd w:val="clear" w:color="auto" w:fill="auto"/>
          </w:tcPr>
          <w:p w14:paraId="3E22F0F9"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3</w:t>
            </w:r>
          </w:p>
        </w:tc>
        <w:tc>
          <w:tcPr>
            <w:tcW w:w="3543" w:type="dxa"/>
            <w:tcBorders>
              <w:top w:val="single" w:sz="6" w:space="0" w:color="000000"/>
              <w:left w:val="single" w:sz="6" w:space="0" w:color="000000"/>
              <w:bottom w:val="single" w:sz="6" w:space="0" w:color="000000"/>
            </w:tcBorders>
            <w:shd w:val="clear" w:color="auto" w:fill="auto"/>
          </w:tcPr>
          <w:p w14:paraId="5D8356EC" w14:textId="77777777" w:rsidR="00A637AB" w:rsidRPr="009819ED" w:rsidRDefault="00A637AB" w:rsidP="00C72960">
            <w:pPr>
              <w:overflowPunct w:val="0"/>
              <w:autoSpaceDE w:val="0"/>
              <w:spacing w:before="60" w:after="60"/>
              <w:rPr>
                <w:rFonts w:ascii="Times New Roman" w:hAnsi="Times New Roman" w:cs="Times New Roman"/>
              </w:rPr>
            </w:pPr>
            <w:r w:rsidRPr="009819ED">
              <w:rPr>
                <w:rFonts w:ascii="Times New Roman" w:hAnsi="Times New Roman" w:cs="Times New Roman"/>
              </w:rPr>
              <w:t>Nasiąkliwość, %, nie więcej niż:</w:t>
            </w:r>
          </w:p>
        </w:tc>
        <w:tc>
          <w:tcPr>
            <w:tcW w:w="709" w:type="dxa"/>
            <w:tcBorders>
              <w:top w:val="single" w:sz="6" w:space="0" w:color="000000"/>
              <w:left w:val="single" w:sz="6" w:space="0" w:color="000000"/>
              <w:bottom w:val="single" w:sz="6" w:space="0" w:color="000000"/>
            </w:tcBorders>
            <w:shd w:val="clear" w:color="auto" w:fill="auto"/>
          </w:tcPr>
          <w:p w14:paraId="12AA8D1B"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1,0</w:t>
            </w:r>
          </w:p>
        </w:tc>
        <w:tc>
          <w:tcPr>
            <w:tcW w:w="747" w:type="dxa"/>
            <w:tcBorders>
              <w:top w:val="single" w:sz="6" w:space="0" w:color="000000"/>
              <w:left w:val="single" w:sz="6" w:space="0" w:color="000000"/>
              <w:bottom w:val="single" w:sz="6" w:space="0" w:color="000000"/>
            </w:tcBorders>
            <w:shd w:val="clear" w:color="auto" w:fill="auto"/>
          </w:tcPr>
          <w:p w14:paraId="33F3F178"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2,5</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308345F6"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PN-B-06714-18 [30]</w:t>
            </w:r>
          </w:p>
        </w:tc>
      </w:tr>
      <w:tr w:rsidR="00A637AB" w:rsidRPr="009819ED" w14:paraId="7352D2BB" w14:textId="77777777" w:rsidTr="00C72960">
        <w:tc>
          <w:tcPr>
            <w:tcW w:w="496" w:type="dxa"/>
            <w:tcBorders>
              <w:top w:val="single" w:sz="6" w:space="0" w:color="000000"/>
              <w:left w:val="single" w:sz="6" w:space="0" w:color="000000"/>
              <w:bottom w:val="single" w:sz="6" w:space="0" w:color="000000"/>
            </w:tcBorders>
            <w:shd w:val="clear" w:color="auto" w:fill="auto"/>
          </w:tcPr>
          <w:p w14:paraId="57F49A93"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4</w:t>
            </w:r>
          </w:p>
        </w:tc>
        <w:tc>
          <w:tcPr>
            <w:tcW w:w="3543" w:type="dxa"/>
            <w:tcBorders>
              <w:top w:val="single" w:sz="6" w:space="0" w:color="000000"/>
              <w:left w:val="single" w:sz="6" w:space="0" w:color="000000"/>
              <w:bottom w:val="single" w:sz="6" w:space="0" w:color="000000"/>
            </w:tcBorders>
            <w:shd w:val="clear" w:color="auto" w:fill="auto"/>
          </w:tcPr>
          <w:p w14:paraId="5DDAD2B7" w14:textId="77777777" w:rsidR="00A637AB" w:rsidRPr="009819ED" w:rsidRDefault="00A637AB" w:rsidP="00C72960">
            <w:pPr>
              <w:overflowPunct w:val="0"/>
              <w:autoSpaceDE w:val="0"/>
              <w:spacing w:before="60" w:after="60"/>
              <w:rPr>
                <w:rFonts w:ascii="Times New Roman" w:hAnsi="Times New Roman" w:cs="Times New Roman"/>
              </w:rPr>
            </w:pPr>
            <w:r w:rsidRPr="009819ED">
              <w:rPr>
                <w:rFonts w:ascii="Times New Roman" w:hAnsi="Times New Roman" w:cs="Times New Roman"/>
              </w:rPr>
              <w:t>Mrozoodporność, %, nie więcej niż:</w:t>
            </w:r>
          </w:p>
        </w:tc>
        <w:tc>
          <w:tcPr>
            <w:tcW w:w="709" w:type="dxa"/>
            <w:tcBorders>
              <w:top w:val="single" w:sz="6" w:space="0" w:color="000000"/>
              <w:left w:val="single" w:sz="6" w:space="0" w:color="000000"/>
              <w:bottom w:val="single" w:sz="6" w:space="0" w:color="000000"/>
            </w:tcBorders>
            <w:shd w:val="clear" w:color="auto" w:fill="auto"/>
          </w:tcPr>
          <w:p w14:paraId="2ED2A41A"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2,5</w:t>
            </w:r>
          </w:p>
        </w:tc>
        <w:tc>
          <w:tcPr>
            <w:tcW w:w="747" w:type="dxa"/>
            <w:tcBorders>
              <w:top w:val="single" w:sz="6" w:space="0" w:color="000000"/>
              <w:left w:val="single" w:sz="6" w:space="0" w:color="000000"/>
              <w:bottom w:val="single" w:sz="6" w:space="0" w:color="000000"/>
            </w:tcBorders>
            <w:shd w:val="clear" w:color="auto" w:fill="auto"/>
          </w:tcPr>
          <w:p w14:paraId="61EE4951"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5,0</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0D7F9A65" w14:textId="77777777" w:rsidR="00A637AB" w:rsidRPr="009819ED" w:rsidRDefault="00A637AB" w:rsidP="00C72960">
            <w:pPr>
              <w:overflowPunct w:val="0"/>
              <w:autoSpaceDE w:val="0"/>
              <w:spacing w:before="60" w:after="60"/>
              <w:jc w:val="center"/>
              <w:rPr>
                <w:rFonts w:ascii="Times New Roman" w:hAnsi="Times New Roman" w:cs="Times New Roman"/>
              </w:rPr>
            </w:pPr>
            <w:r w:rsidRPr="009819ED">
              <w:rPr>
                <w:rFonts w:ascii="Times New Roman" w:hAnsi="Times New Roman" w:cs="Times New Roman"/>
              </w:rPr>
              <w:t>PN-B-06714-19 [31]</w:t>
            </w:r>
          </w:p>
        </w:tc>
      </w:tr>
      <w:tr w:rsidR="00A637AB" w:rsidRPr="009819ED" w14:paraId="217E0560" w14:textId="77777777" w:rsidTr="00C72960">
        <w:tc>
          <w:tcPr>
            <w:tcW w:w="496" w:type="dxa"/>
            <w:tcBorders>
              <w:top w:val="single" w:sz="6" w:space="0" w:color="000000"/>
              <w:left w:val="single" w:sz="6" w:space="0" w:color="000000"/>
              <w:bottom w:val="single" w:sz="6" w:space="0" w:color="000000"/>
            </w:tcBorders>
            <w:shd w:val="clear" w:color="auto" w:fill="auto"/>
          </w:tcPr>
          <w:p w14:paraId="4B6B390F"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w:t>
            </w:r>
          </w:p>
        </w:tc>
        <w:tc>
          <w:tcPr>
            <w:tcW w:w="3543" w:type="dxa"/>
            <w:tcBorders>
              <w:top w:val="single" w:sz="6" w:space="0" w:color="000000"/>
              <w:left w:val="single" w:sz="6" w:space="0" w:color="000000"/>
              <w:bottom w:val="single" w:sz="6" w:space="0" w:color="000000"/>
            </w:tcBorders>
            <w:shd w:val="clear" w:color="auto" w:fill="auto"/>
          </w:tcPr>
          <w:p w14:paraId="6B78C84B"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ziarn nieforemnych, %, nie więcej niż:</w:t>
            </w:r>
          </w:p>
        </w:tc>
        <w:tc>
          <w:tcPr>
            <w:tcW w:w="709" w:type="dxa"/>
            <w:tcBorders>
              <w:top w:val="single" w:sz="6" w:space="0" w:color="000000"/>
              <w:left w:val="single" w:sz="6" w:space="0" w:color="000000"/>
              <w:bottom w:val="single" w:sz="6" w:space="0" w:color="000000"/>
            </w:tcBorders>
            <w:shd w:val="clear" w:color="auto" w:fill="auto"/>
          </w:tcPr>
          <w:p w14:paraId="13A8C8E7"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15</w:t>
            </w:r>
          </w:p>
        </w:tc>
        <w:tc>
          <w:tcPr>
            <w:tcW w:w="747" w:type="dxa"/>
            <w:tcBorders>
              <w:top w:val="single" w:sz="6" w:space="0" w:color="000000"/>
              <w:left w:val="single" w:sz="6" w:space="0" w:color="000000"/>
              <w:bottom w:val="single" w:sz="6" w:space="0" w:color="000000"/>
            </w:tcBorders>
            <w:shd w:val="clear" w:color="auto" w:fill="auto"/>
          </w:tcPr>
          <w:p w14:paraId="4D300FDF"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25</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47DDC291"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PN-B-06714-16 [29]</w:t>
            </w:r>
          </w:p>
        </w:tc>
      </w:tr>
      <w:tr w:rsidR="00A637AB" w:rsidRPr="009819ED" w14:paraId="72EA7091" w14:textId="77777777" w:rsidTr="00C72960">
        <w:tc>
          <w:tcPr>
            <w:tcW w:w="496" w:type="dxa"/>
            <w:tcBorders>
              <w:top w:val="single" w:sz="6" w:space="0" w:color="000000"/>
              <w:left w:val="single" w:sz="6" w:space="0" w:color="000000"/>
              <w:bottom w:val="single" w:sz="6" w:space="0" w:color="000000"/>
            </w:tcBorders>
            <w:shd w:val="clear" w:color="auto" w:fill="auto"/>
          </w:tcPr>
          <w:p w14:paraId="7AA0FF6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6</w:t>
            </w:r>
          </w:p>
        </w:tc>
        <w:tc>
          <w:tcPr>
            <w:tcW w:w="3543" w:type="dxa"/>
            <w:tcBorders>
              <w:top w:val="single" w:sz="6" w:space="0" w:color="000000"/>
              <w:left w:val="single" w:sz="6" w:space="0" w:color="000000"/>
              <w:bottom w:val="single" w:sz="6" w:space="0" w:color="000000"/>
            </w:tcBorders>
            <w:shd w:val="clear" w:color="auto" w:fill="auto"/>
          </w:tcPr>
          <w:p w14:paraId="0D72EFDB"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zanieczyszczeń obcych, %, nie więcej niż:</w:t>
            </w:r>
          </w:p>
        </w:tc>
        <w:tc>
          <w:tcPr>
            <w:tcW w:w="709" w:type="dxa"/>
            <w:tcBorders>
              <w:top w:val="single" w:sz="6" w:space="0" w:color="000000"/>
              <w:left w:val="single" w:sz="6" w:space="0" w:color="000000"/>
              <w:bottom w:val="single" w:sz="6" w:space="0" w:color="000000"/>
            </w:tcBorders>
            <w:shd w:val="clear" w:color="auto" w:fill="auto"/>
          </w:tcPr>
          <w:p w14:paraId="0D686B85"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0,1</w:t>
            </w:r>
          </w:p>
        </w:tc>
        <w:tc>
          <w:tcPr>
            <w:tcW w:w="747" w:type="dxa"/>
            <w:tcBorders>
              <w:top w:val="single" w:sz="6" w:space="0" w:color="000000"/>
              <w:left w:val="single" w:sz="6" w:space="0" w:color="000000"/>
              <w:bottom w:val="single" w:sz="6" w:space="0" w:color="000000"/>
            </w:tcBorders>
            <w:shd w:val="clear" w:color="auto" w:fill="auto"/>
          </w:tcPr>
          <w:p w14:paraId="79F18150"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0,2</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40FADC83"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PN-B-06714-12 [26]</w:t>
            </w:r>
          </w:p>
        </w:tc>
      </w:tr>
      <w:tr w:rsidR="00A637AB" w:rsidRPr="009819ED" w14:paraId="4156E89D" w14:textId="77777777" w:rsidTr="00C72960">
        <w:tc>
          <w:tcPr>
            <w:tcW w:w="496" w:type="dxa"/>
            <w:tcBorders>
              <w:top w:val="single" w:sz="6" w:space="0" w:color="000000"/>
              <w:left w:val="single" w:sz="6" w:space="0" w:color="000000"/>
              <w:bottom w:val="single" w:sz="6" w:space="0" w:color="000000"/>
            </w:tcBorders>
            <w:shd w:val="clear" w:color="auto" w:fill="auto"/>
          </w:tcPr>
          <w:p w14:paraId="26ED68DB"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lastRenderedPageBreak/>
              <w:t>7</w:t>
            </w:r>
          </w:p>
        </w:tc>
        <w:tc>
          <w:tcPr>
            <w:tcW w:w="3543" w:type="dxa"/>
            <w:tcBorders>
              <w:top w:val="single" w:sz="6" w:space="0" w:color="000000"/>
              <w:left w:val="single" w:sz="6" w:space="0" w:color="000000"/>
              <w:bottom w:val="single" w:sz="6" w:space="0" w:color="000000"/>
            </w:tcBorders>
            <w:shd w:val="clear" w:color="auto" w:fill="auto"/>
          </w:tcPr>
          <w:p w14:paraId="7CDC6EE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Zawartość związków siarki w przeliczeniu na SO</w:t>
            </w:r>
            <w:r w:rsidRPr="009819ED">
              <w:rPr>
                <w:rFonts w:ascii="Times New Roman" w:hAnsi="Times New Roman" w:cs="Times New Roman"/>
                <w:vertAlign w:val="subscript"/>
              </w:rPr>
              <w:t>3</w:t>
            </w:r>
            <w:r w:rsidRPr="009819ED">
              <w:rPr>
                <w:rFonts w:ascii="Times New Roman" w:hAnsi="Times New Roman" w:cs="Times New Roman"/>
              </w:rPr>
              <w:t>, %, nie więcej niż:</w:t>
            </w:r>
          </w:p>
        </w:tc>
        <w:tc>
          <w:tcPr>
            <w:tcW w:w="709" w:type="dxa"/>
            <w:tcBorders>
              <w:top w:val="single" w:sz="6" w:space="0" w:color="000000"/>
              <w:left w:val="single" w:sz="6" w:space="0" w:color="000000"/>
              <w:bottom w:val="single" w:sz="6" w:space="0" w:color="000000"/>
            </w:tcBorders>
            <w:shd w:val="clear" w:color="auto" w:fill="auto"/>
          </w:tcPr>
          <w:p w14:paraId="2F97697D"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0,2</w:t>
            </w:r>
          </w:p>
        </w:tc>
        <w:tc>
          <w:tcPr>
            <w:tcW w:w="747" w:type="dxa"/>
            <w:tcBorders>
              <w:top w:val="single" w:sz="6" w:space="0" w:color="000000"/>
              <w:left w:val="single" w:sz="6" w:space="0" w:color="000000"/>
              <w:bottom w:val="single" w:sz="6" w:space="0" w:color="000000"/>
            </w:tcBorders>
            <w:shd w:val="clear" w:color="auto" w:fill="auto"/>
          </w:tcPr>
          <w:p w14:paraId="5EB6A4AB"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1,0</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1FD8202C" w14:textId="77777777" w:rsidR="00A637AB" w:rsidRPr="009819ED" w:rsidRDefault="00A637AB" w:rsidP="00C72960">
            <w:pPr>
              <w:overflowPunct w:val="0"/>
              <w:autoSpaceDE w:val="0"/>
              <w:spacing w:before="120"/>
              <w:jc w:val="center"/>
              <w:rPr>
                <w:rFonts w:ascii="Times New Roman" w:hAnsi="Times New Roman" w:cs="Times New Roman"/>
              </w:rPr>
            </w:pPr>
            <w:r w:rsidRPr="009819ED">
              <w:rPr>
                <w:rFonts w:ascii="Times New Roman" w:hAnsi="Times New Roman" w:cs="Times New Roman"/>
              </w:rPr>
              <w:t>PN-B-06714-28 [33]</w:t>
            </w:r>
          </w:p>
        </w:tc>
      </w:tr>
      <w:tr w:rsidR="00A637AB" w:rsidRPr="009819ED" w14:paraId="71E0DBEC" w14:textId="77777777" w:rsidTr="00C72960">
        <w:tc>
          <w:tcPr>
            <w:tcW w:w="496" w:type="dxa"/>
            <w:tcBorders>
              <w:top w:val="single" w:sz="6" w:space="0" w:color="000000"/>
              <w:left w:val="single" w:sz="6" w:space="0" w:color="000000"/>
              <w:bottom w:val="single" w:sz="6" w:space="0" w:color="000000"/>
            </w:tcBorders>
            <w:shd w:val="clear" w:color="auto" w:fill="auto"/>
          </w:tcPr>
          <w:p w14:paraId="3E26A47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8</w:t>
            </w:r>
          </w:p>
        </w:tc>
        <w:tc>
          <w:tcPr>
            <w:tcW w:w="3543" w:type="dxa"/>
            <w:tcBorders>
              <w:top w:val="single" w:sz="6" w:space="0" w:color="000000"/>
              <w:left w:val="single" w:sz="6" w:space="0" w:color="000000"/>
              <w:bottom w:val="single" w:sz="6" w:space="0" w:color="000000"/>
            </w:tcBorders>
            <w:shd w:val="clear" w:color="auto" w:fill="auto"/>
          </w:tcPr>
          <w:p w14:paraId="6B7FD2AD" w14:textId="77777777" w:rsidR="00A637AB" w:rsidRPr="009819ED" w:rsidRDefault="00A637AB" w:rsidP="00C72960">
            <w:pPr>
              <w:rPr>
                <w:rFonts w:ascii="Times New Roman" w:hAnsi="Times New Roman" w:cs="Times New Roman"/>
              </w:rPr>
            </w:pPr>
            <w:r w:rsidRPr="009819ED">
              <w:rPr>
                <w:rFonts w:ascii="Times New Roman" w:hAnsi="Times New Roman" w:cs="Times New Roman"/>
              </w:rPr>
              <w:t>Zawartość zanieczyszczeń organicznych,</w:t>
            </w:r>
          </w:p>
          <w:p w14:paraId="21C21D34"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barwa cieczy nad kruszywem nie ciemniejsza niż:</w:t>
            </w:r>
          </w:p>
        </w:tc>
        <w:tc>
          <w:tcPr>
            <w:tcW w:w="1456" w:type="dxa"/>
            <w:gridSpan w:val="2"/>
            <w:tcBorders>
              <w:top w:val="single" w:sz="6" w:space="0" w:color="000000"/>
              <w:left w:val="single" w:sz="6" w:space="0" w:color="000000"/>
              <w:bottom w:val="single" w:sz="6" w:space="0" w:color="000000"/>
            </w:tcBorders>
            <w:shd w:val="clear" w:color="auto" w:fill="auto"/>
          </w:tcPr>
          <w:p w14:paraId="2EE70C2A" w14:textId="77777777" w:rsidR="00A637AB" w:rsidRPr="009819ED" w:rsidRDefault="00A637AB" w:rsidP="00C72960">
            <w:pPr>
              <w:snapToGrid w:val="0"/>
              <w:jc w:val="center"/>
              <w:rPr>
                <w:rFonts w:ascii="Times New Roman" w:hAnsi="Times New Roman" w:cs="Times New Roman"/>
              </w:rPr>
            </w:pPr>
          </w:p>
          <w:p w14:paraId="70CA6A8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wzorcowa</w:t>
            </w:r>
          </w:p>
        </w:tc>
        <w:tc>
          <w:tcPr>
            <w:tcW w:w="2031" w:type="dxa"/>
            <w:tcBorders>
              <w:top w:val="single" w:sz="6" w:space="0" w:color="000000"/>
              <w:left w:val="single" w:sz="6" w:space="0" w:color="000000"/>
              <w:bottom w:val="single" w:sz="6" w:space="0" w:color="000000"/>
              <w:right w:val="single" w:sz="6" w:space="0" w:color="000000"/>
            </w:tcBorders>
            <w:shd w:val="clear" w:color="auto" w:fill="auto"/>
          </w:tcPr>
          <w:p w14:paraId="206634AF" w14:textId="77777777" w:rsidR="00A637AB" w:rsidRPr="009819ED" w:rsidRDefault="00A637AB" w:rsidP="00C72960">
            <w:pPr>
              <w:snapToGrid w:val="0"/>
              <w:jc w:val="center"/>
              <w:rPr>
                <w:rFonts w:ascii="Times New Roman" w:hAnsi="Times New Roman" w:cs="Times New Roman"/>
              </w:rPr>
            </w:pPr>
          </w:p>
          <w:p w14:paraId="0BFFDD7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PN-B-06714-26 [32]</w:t>
            </w:r>
          </w:p>
        </w:tc>
      </w:tr>
    </w:tbl>
    <w:p w14:paraId="5A61F2EE" w14:textId="77777777" w:rsidR="00A637AB" w:rsidRPr="009819ED" w:rsidRDefault="00A637AB" w:rsidP="00A637AB">
      <w:pPr>
        <w:pStyle w:val="Nagwek"/>
        <w:tabs>
          <w:tab w:val="left" w:pos="709"/>
        </w:tabs>
        <w:rPr>
          <w:sz w:val="22"/>
        </w:rPr>
      </w:pPr>
    </w:p>
    <w:p w14:paraId="7AB17A96"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2.4. Woda</w:t>
      </w:r>
    </w:p>
    <w:p w14:paraId="05B8BC70" w14:textId="77777777" w:rsidR="00A637AB" w:rsidRPr="009819ED" w:rsidRDefault="00A637AB" w:rsidP="00A637AB">
      <w:pPr>
        <w:pStyle w:val="Standardowytekst0"/>
        <w:rPr>
          <w:sz w:val="22"/>
          <w:szCs w:val="22"/>
        </w:rPr>
      </w:pPr>
      <w:r w:rsidRPr="009819ED">
        <w:rPr>
          <w:sz w:val="22"/>
          <w:szCs w:val="22"/>
        </w:rPr>
        <w:tab/>
        <w:t>Zarówno do wytwarzania mieszanki betonowej jak i do pielęgnacji wykonanej nawierzchni należy stosować wodę odpowiadającą wymaganiom PN-B-32250:1988 [40].</w:t>
      </w:r>
    </w:p>
    <w:p w14:paraId="1B21D68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Bez badań laboratoryjnych można stosować wodociągową wodę pitną.</w:t>
      </w:r>
    </w:p>
    <w:p w14:paraId="7C30AC19"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2.5. Domieszki napowietrzające</w:t>
      </w:r>
    </w:p>
    <w:p w14:paraId="724722DB"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 napowietrzania mieszanki betonowej należy stosować domieszki napowietrzające, zgodne z normą PN-EN 934-2:1999 [8] lub aprobatą techniczną.</w:t>
      </w:r>
    </w:p>
    <w:p w14:paraId="2E111B6E" w14:textId="77777777" w:rsidR="00A637AB" w:rsidRPr="009819ED" w:rsidRDefault="00A637AB" w:rsidP="00A637AB">
      <w:pPr>
        <w:pStyle w:val="Standardowytekst0"/>
        <w:rPr>
          <w:sz w:val="22"/>
          <w:szCs w:val="22"/>
        </w:rPr>
      </w:pPr>
      <w:r w:rsidRPr="009819ED">
        <w:rPr>
          <w:sz w:val="22"/>
          <w:szCs w:val="22"/>
        </w:rPr>
        <w:tab/>
        <w:t>Wykonywanie mieszanek betonowych z domieszkami napowietrzającymi oraz sposób oznaczania w nich zawartości powietrza, powinny być zgodne z PN-EN 12350-7:2001 [15].</w:t>
      </w:r>
    </w:p>
    <w:p w14:paraId="615605C7"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Zalecaną zawartość powietrza w mieszance betonowej podano w tablicy 6.</w:t>
      </w:r>
    </w:p>
    <w:p w14:paraId="3C2893B0"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rPr>
        <w:t>Tablica 6. Zalecana zawartość powietrza w mieszance betonowej</w:t>
      </w:r>
    </w:p>
    <w:tbl>
      <w:tblPr>
        <w:tblW w:w="7525" w:type="dxa"/>
        <w:tblInd w:w="-77" w:type="dxa"/>
        <w:tblBorders>
          <w:top w:val="single" w:sz="6" w:space="0" w:color="000000"/>
          <w:left w:val="single" w:sz="6" w:space="0" w:color="000000"/>
        </w:tblBorders>
        <w:tblCellMar>
          <w:left w:w="62" w:type="dxa"/>
          <w:right w:w="70" w:type="dxa"/>
        </w:tblCellMar>
        <w:tblLook w:val="04A0" w:firstRow="1" w:lastRow="0" w:firstColumn="1" w:lastColumn="0" w:noHBand="0" w:noVBand="1"/>
      </w:tblPr>
      <w:tblGrid>
        <w:gridCol w:w="1502"/>
        <w:gridCol w:w="1502"/>
        <w:gridCol w:w="1502"/>
        <w:gridCol w:w="1502"/>
        <w:gridCol w:w="1517"/>
      </w:tblGrid>
      <w:tr w:rsidR="00A637AB" w:rsidRPr="009819ED" w14:paraId="407A8A72" w14:textId="77777777" w:rsidTr="00C72960">
        <w:tc>
          <w:tcPr>
            <w:tcW w:w="1502" w:type="dxa"/>
            <w:tcBorders>
              <w:top w:val="single" w:sz="6" w:space="0" w:color="000000"/>
              <w:left w:val="single" w:sz="6" w:space="0" w:color="000000"/>
            </w:tcBorders>
            <w:shd w:val="clear" w:color="auto" w:fill="auto"/>
          </w:tcPr>
          <w:p w14:paraId="7BB68C1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 xml:space="preserve">Maksymalna </w:t>
            </w:r>
          </w:p>
        </w:tc>
        <w:tc>
          <w:tcPr>
            <w:tcW w:w="6023" w:type="dxa"/>
            <w:gridSpan w:val="4"/>
            <w:tcBorders>
              <w:top w:val="single" w:sz="6" w:space="0" w:color="000000"/>
              <w:left w:val="single" w:sz="6" w:space="0" w:color="000000"/>
              <w:bottom w:val="single" w:sz="6" w:space="0" w:color="000000"/>
              <w:right w:val="single" w:sz="6" w:space="0" w:color="000000"/>
            </w:tcBorders>
            <w:shd w:val="clear" w:color="auto" w:fill="auto"/>
          </w:tcPr>
          <w:p w14:paraId="252967A9" w14:textId="77777777" w:rsidR="00A637AB" w:rsidRPr="009819ED" w:rsidRDefault="00A637AB" w:rsidP="00C72960">
            <w:pPr>
              <w:pStyle w:val="Tekstprzypisudolnego"/>
              <w:jc w:val="center"/>
              <w:rPr>
                <w:sz w:val="22"/>
                <w:szCs w:val="22"/>
              </w:rPr>
            </w:pPr>
            <w:r w:rsidRPr="009819ED">
              <w:rPr>
                <w:sz w:val="22"/>
                <w:szCs w:val="22"/>
              </w:rPr>
              <w:t>Zwartość powietrza (% obj.) w mieszance betonowej</w:t>
            </w:r>
          </w:p>
        </w:tc>
      </w:tr>
      <w:tr w:rsidR="00A637AB" w:rsidRPr="009819ED" w14:paraId="198FEFCA" w14:textId="77777777" w:rsidTr="00C72960">
        <w:tc>
          <w:tcPr>
            <w:tcW w:w="1502" w:type="dxa"/>
            <w:tcBorders>
              <w:left w:val="single" w:sz="6" w:space="0" w:color="000000"/>
            </w:tcBorders>
            <w:shd w:val="clear" w:color="auto" w:fill="auto"/>
          </w:tcPr>
          <w:p w14:paraId="381E1F4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średnica ziaren kruszywa,</w:t>
            </w:r>
          </w:p>
        </w:tc>
        <w:tc>
          <w:tcPr>
            <w:tcW w:w="3004" w:type="dxa"/>
            <w:gridSpan w:val="2"/>
            <w:tcBorders>
              <w:top w:val="single" w:sz="6" w:space="0" w:color="000000"/>
              <w:left w:val="single" w:sz="6" w:space="0" w:color="000000"/>
              <w:bottom w:val="single" w:sz="6" w:space="0" w:color="000000"/>
            </w:tcBorders>
            <w:shd w:val="clear" w:color="auto" w:fill="auto"/>
          </w:tcPr>
          <w:p w14:paraId="76A2441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bez domieszki upłynniającej lub uplastyczniającej</w:t>
            </w:r>
          </w:p>
        </w:tc>
        <w:tc>
          <w:tcPr>
            <w:tcW w:w="3019" w:type="dxa"/>
            <w:gridSpan w:val="2"/>
            <w:tcBorders>
              <w:top w:val="single" w:sz="6" w:space="0" w:color="000000"/>
              <w:left w:val="single" w:sz="6" w:space="0" w:color="000000"/>
              <w:bottom w:val="single" w:sz="6" w:space="0" w:color="000000"/>
              <w:right w:val="single" w:sz="6" w:space="0" w:color="000000"/>
            </w:tcBorders>
            <w:shd w:val="clear" w:color="auto" w:fill="auto"/>
          </w:tcPr>
          <w:p w14:paraId="4A1B6F7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z domieszką upłynniającą lub uplastyczniającą</w:t>
            </w:r>
          </w:p>
        </w:tc>
      </w:tr>
      <w:tr w:rsidR="00A637AB" w:rsidRPr="009819ED" w14:paraId="4824B651" w14:textId="77777777" w:rsidTr="00C72960">
        <w:tc>
          <w:tcPr>
            <w:tcW w:w="1502" w:type="dxa"/>
            <w:tcBorders>
              <w:left w:val="single" w:sz="6" w:space="0" w:color="000000"/>
              <w:bottom w:val="double" w:sz="6" w:space="0" w:color="000000"/>
            </w:tcBorders>
            <w:shd w:val="clear" w:color="auto" w:fill="auto"/>
          </w:tcPr>
          <w:p w14:paraId="41EEDDC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mm</w:t>
            </w:r>
          </w:p>
        </w:tc>
        <w:tc>
          <w:tcPr>
            <w:tcW w:w="1502" w:type="dxa"/>
            <w:tcBorders>
              <w:top w:val="single" w:sz="6" w:space="0" w:color="000000"/>
              <w:left w:val="single" w:sz="6" w:space="0" w:color="000000"/>
            </w:tcBorders>
            <w:shd w:val="clear" w:color="auto" w:fill="auto"/>
          </w:tcPr>
          <w:p w14:paraId="03BE89B0"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średnia dzienna</w:t>
            </w:r>
          </w:p>
        </w:tc>
        <w:tc>
          <w:tcPr>
            <w:tcW w:w="1502" w:type="dxa"/>
            <w:tcBorders>
              <w:top w:val="single" w:sz="6" w:space="0" w:color="000000"/>
              <w:left w:val="single" w:sz="6" w:space="0" w:color="000000"/>
            </w:tcBorders>
            <w:shd w:val="clear" w:color="auto" w:fill="auto"/>
          </w:tcPr>
          <w:p w14:paraId="3FB4E47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minimalna</w:t>
            </w:r>
          </w:p>
        </w:tc>
        <w:tc>
          <w:tcPr>
            <w:tcW w:w="1502" w:type="dxa"/>
            <w:tcBorders>
              <w:top w:val="single" w:sz="6" w:space="0" w:color="000000"/>
              <w:left w:val="single" w:sz="6" w:space="0" w:color="000000"/>
            </w:tcBorders>
            <w:shd w:val="clear" w:color="auto" w:fill="auto"/>
          </w:tcPr>
          <w:p w14:paraId="19ADF75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średnia dzienna</w:t>
            </w:r>
          </w:p>
        </w:tc>
        <w:tc>
          <w:tcPr>
            <w:tcW w:w="1517" w:type="dxa"/>
            <w:tcBorders>
              <w:top w:val="single" w:sz="6" w:space="0" w:color="000000"/>
              <w:left w:val="single" w:sz="6" w:space="0" w:color="000000"/>
              <w:right w:val="single" w:sz="6" w:space="0" w:color="000000"/>
            </w:tcBorders>
            <w:shd w:val="clear" w:color="auto" w:fill="auto"/>
          </w:tcPr>
          <w:p w14:paraId="41F7527F"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minimalna</w:t>
            </w:r>
          </w:p>
        </w:tc>
      </w:tr>
      <w:tr w:rsidR="00A637AB" w:rsidRPr="009819ED" w14:paraId="6D3488F9" w14:textId="77777777" w:rsidTr="00C72960">
        <w:tc>
          <w:tcPr>
            <w:tcW w:w="1502" w:type="dxa"/>
            <w:tcBorders>
              <w:left w:val="single" w:sz="6" w:space="0" w:color="000000"/>
              <w:bottom w:val="single" w:sz="6" w:space="0" w:color="000000"/>
            </w:tcBorders>
            <w:shd w:val="clear" w:color="auto" w:fill="auto"/>
          </w:tcPr>
          <w:p w14:paraId="437315A5"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 xml:space="preserve">8 </w:t>
            </w:r>
          </w:p>
        </w:tc>
        <w:tc>
          <w:tcPr>
            <w:tcW w:w="1502" w:type="dxa"/>
            <w:tcBorders>
              <w:top w:val="double" w:sz="6" w:space="0" w:color="000000"/>
              <w:left w:val="single" w:sz="6" w:space="0" w:color="000000"/>
              <w:bottom w:val="single" w:sz="6" w:space="0" w:color="000000"/>
            </w:tcBorders>
            <w:shd w:val="clear" w:color="auto" w:fill="auto"/>
          </w:tcPr>
          <w:p w14:paraId="31123B13"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5,5</w:t>
            </w:r>
          </w:p>
        </w:tc>
        <w:tc>
          <w:tcPr>
            <w:tcW w:w="1502" w:type="dxa"/>
            <w:tcBorders>
              <w:top w:val="double" w:sz="6" w:space="0" w:color="000000"/>
              <w:left w:val="single" w:sz="6" w:space="0" w:color="000000"/>
              <w:bottom w:val="single" w:sz="6" w:space="0" w:color="000000"/>
            </w:tcBorders>
            <w:shd w:val="clear" w:color="auto" w:fill="auto"/>
          </w:tcPr>
          <w:p w14:paraId="23712377"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5,0</w:t>
            </w:r>
          </w:p>
        </w:tc>
        <w:tc>
          <w:tcPr>
            <w:tcW w:w="1502" w:type="dxa"/>
            <w:tcBorders>
              <w:top w:val="double" w:sz="6" w:space="0" w:color="000000"/>
              <w:left w:val="single" w:sz="6" w:space="0" w:color="000000"/>
              <w:bottom w:val="single" w:sz="6" w:space="0" w:color="000000"/>
            </w:tcBorders>
            <w:shd w:val="clear" w:color="auto" w:fill="auto"/>
          </w:tcPr>
          <w:p w14:paraId="466A64B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6,5</w:t>
            </w:r>
          </w:p>
        </w:tc>
        <w:tc>
          <w:tcPr>
            <w:tcW w:w="1517" w:type="dxa"/>
            <w:tcBorders>
              <w:top w:val="double" w:sz="6" w:space="0" w:color="000000"/>
              <w:left w:val="single" w:sz="6" w:space="0" w:color="000000"/>
              <w:bottom w:val="single" w:sz="6" w:space="0" w:color="000000"/>
              <w:right w:val="single" w:sz="6" w:space="0" w:color="000000"/>
            </w:tcBorders>
            <w:shd w:val="clear" w:color="auto" w:fill="auto"/>
          </w:tcPr>
          <w:p w14:paraId="7AA6D48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6,0</w:t>
            </w:r>
          </w:p>
        </w:tc>
      </w:tr>
      <w:tr w:rsidR="00A637AB" w:rsidRPr="009819ED" w14:paraId="1C64CB50" w14:textId="77777777" w:rsidTr="00C72960">
        <w:tc>
          <w:tcPr>
            <w:tcW w:w="1502" w:type="dxa"/>
            <w:tcBorders>
              <w:top w:val="single" w:sz="6" w:space="0" w:color="000000"/>
              <w:left w:val="single" w:sz="6" w:space="0" w:color="000000"/>
              <w:bottom w:val="single" w:sz="6" w:space="0" w:color="000000"/>
            </w:tcBorders>
            <w:shd w:val="clear" w:color="auto" w:fill="auto"/>
          </w:tcPr>
          <w:p w14:paraId="1377A661"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 xml:space="preserve">16 </w:t>
            </w:r>
          </w:p>
        </w:tc>
        <w:tc>
          <w:tcPr>
            <w:tcW w:w="1502" w:type="dxa"/>
            <w:tcBorders>
              <w:top w:val="single" w:sz="6" w:space="0" w:color="000000"/>
              <w:left w:val="single" w:sz="6" w:space="0" w:color="000000"/>
              <w:bottom w:val="single" w:sz="6" w:space="0" w:color="000000"/>
            </w:tcBorders>
            <w:shd w:val="clear" w:color="auto" w:fill="auto"/>
          </w:tcPr>
          <w:p w14:paraId="70369CB2"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4,5</w:t>
            </w:r>
          </w:p>
        </w:tc>
        <w:tc>
          <w:tcPr>
            <w:tcW w:w="1502" w:type="dxa"/>
            <w:tcBorders>
              <w:top w:val="single" w:sz="6" w:space="0" w:color="000000"/>
              <w:left w:val="single" w:sz="6" w:space="0" w:color="000000"/>
              <w:bottom w:val="single" w:sz="6" w:space="0" w:color="000000"/>
            </w:tcBorders>
            <w:shd w:val="clear" w:color="auto" w:fill="auto"/>
          </w:tcPr>
          <w:p w14:paraId="7A26411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4,0</w:t>
            </w:r>
          </w:p>
        </w:tc>
        <w:tc>
          <w:tcPr>
            <w:tcW w:w="1502" w:type="dxa"/>
            <w:tcBorders>
              <w:top w:val="single" w:sz="6" w:space="0" w:color="000000"/>
              <w:left w:val="single" w:sz="6" w:space="0" w:color="000000"/>
              <w:bottom w:val="single" w:sz="6" w:space="0" w:color="000000"/>
            </w:tcBorders>
            <w:shd w:val="clear" w:color="auto" w:fill="auto"/>
          </w:tcPr>
          <w:p w14:paraId="289CD77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5,5</w:t>
            </w:r>
          </w:p>
        </w:tc>
        <w:tc>
          <w:tcPr>
            <w:tcW w:w="1517" w:type="dxa"/>
            <w:tcBorders>
              <w:top w:val="single" w:sz="6" w:space="0" w:color="000000"/>
              <w:left w:val="single" w:sz="6" w:space="0" w:color="000000"/>
              <w:bottom w:val="single" w:sz="6" w:space="0" w:color="000000"/>
              <w:right w:val="single" w:sz="6" w:space="0" w:color="000000"/>
            </w:tcBorders>
            <w:shd w:val="clear" w:color="auto" w:fill="auto"/>
          </w:tcPr>
          <w:p w14:paraId="2402D9A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5,0</w:t>
            </w:r>
          </w:p>
        </w:tc>
      </w:tr>
      <w:tr w:rsidR="00A637AB" w:rsidRPr="009819ED" w14:paraId="1242CEF7" w14:textId="77777777" w:rsidTr="00C72960">
        <w:tc>
          <w:tcPr>
            <w:tcW w:w="1502" w:type="dxa"/>
            <w:tcBorders>
              <w:top w:val="single" w:sz="6" w:space="0" w:color="000000"/>
              <w:left w:val="single" w:sz="6" w:space="0" w:color="000000"/>
              <w:bottom w:val="single" w:sz="6" w:space="0" w:color="000000"/>
            </w:tcBorders>
            <w:shd w:val="clear" w:color="auto" w:fill="auto"/>
          </w:tcPr>
          <w:p w14:paraId="61D88843"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 xml:space="preserve">31,5 </w:t>
            </w:r>
          </w:p>
        </w:tc>
        <w:tc>
          <w:tcPr>
            <w:tcW w:w="1502" w:type="dxa"/>
            <w:tcBorders>
              <w:top w:val="single" w:sz="6" w:space="0" w:color="000000"/>
              <w:left w:val="single" w:sz="6" w:space="0" w:color="000000"/>
              <w:bottom w:val="single" w:sz="6" w:space="0" w:color="000000"/>
            </w:tcBorders>
            <w:shd w:val="clear" w:color="auto" w:fill="auto"/>
          </w:tcPr>
          <w:p w14:paraId="4AF06820"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4,0</w:t>
            </w:r>
          </w:p>
        </w:tc>
        <w:tc>
          <w:tcPr>
            <w:tcW w:w="1502" w:type="dxa"/>
            <w:tcBorders>
              <w:top w:val="single" w:sz="6" w:space="0" w:color="000000"/>
              <w:left w:val="single" w:sz="6" w:space="0" w:color="000000"/>
              <w:bottom w:val="single" w:sz="6" w:space="0" w:color="000000"/>
            </w:tcBorders>
            <w:shd w:val="clear" w:color="auto" w:fill="auto"/>
          </w:tcPr>
          <w:p w14:paraId="03D7822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3,5</w:t>
            </w:r>
          </w:p>
        </w:tc>
        <w:tc>
          <w:tcPr>
            <w:tcW w:w="1502" w:type="dxa"/>
            <w:tcBorders>
              <w:top w:val="single" w:sz="6" w:space="0" w:color="000000"/>
              <w:left w:val="single" w:sz="6" w:space="0" w:color="000000"/>
              <w:bottom w:val="single" w:sz="6" w:space="0" w:color="000000"/>
            </w:tcBorders>
            <w:shd w:val="clear" w:color="auto" w:fill="auto"/>
          </w:tcPr>
          <w:p w14:paraId="7DA89C3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5,0</w:t>
            </w:r>
          </w:p>
        </w:tc>
        <w:tc>
          <w:tcPr>
            <w:tcW w:w="1517" w:type="dxa"/>
            <w:tcBorders>
              <w:top w:val="single" w:sz="6" w:space="0" w:color="000000"/>
              <w:left w:val="single" w:sz="6" w:space="0" w:color="000000"/>
              <w:bottom w:val="single" w:sz="6" w:space="0" w:color="000000"/>
              <w:right w:val="single" w:sz="6" w:space="0" w:color="000000"/>
            </w:tcBorders>
            <w:shd w:val="clear" w:color="auto" w:fill="auto"/>
          </w:tcPr>
          <w:p w14:paraId="487D8421"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4,5</w:t>
            </w:r>
          </w:p>
        </w:tc>
      </w:tr>
    </w:tbl>
    <w:p w14:paraId="280A9F91"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line="240" w:lineRule="auto"/>
        <w:jc w:val="both"/>
        <w:rPr>
          <w:sz w:val="22"/>
          <w:szCs w:val="22"/>
        </w:rPr>
      </w:pPr>
      <w:r w:rsidRPr="009819ED">
        <w:rPr>
          <w:sz w:val="22"/>
          <w:szCs w:val="22"/>
        </w:rPr>
        <w:t>2.6. Masy zalewowe lub wkładki uszczelniające</w:t>
      </w:r>
    </w:p>
    <w:p w14:paraId="3A983C3E"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 wypełnienia szczelin w nawierzchni betonowej należy stosować specjalne masy zalewowe, wbudowywane na gorąco lub na zimno, lub wkładki uszczelniające, posiadające aprobatę techniczną.</w:t>
      </w:r>
    </w:p>
    <w:p w14:paraId="7D4BE3B2"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2.7. Materiały do pielęgnacji nawierzchni betonowej</w:t>
      </w:r>
    </w:p>
    <w:p w14:paraId="636B2750"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 pielęgnacji nawierzchni betonowych mogą być stosowane:</w:t>
      </w:r>
    </w:p>
    <w:p w14:paraId="20D00773"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preparaty pielęgnacyjne posiadające aprobatę techniczną,</w:t>
      </w:r>
    </w:p>
    <w:p w14:paraId="67BA8305"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włókniny według PN-P-01715:1985 [41],</w:t>
      </w:r>
    </w:p>
    <w:p w14:paraId="79413227"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folie z tworzyw sztucznych,</w:t>
      </w:r>
    </w:p>
    <w:p w14:paraId="552DEC1E" w14:textId="77777777" w:rsidR="00A637AB" w:rsidRPr="009819ED" w:rsidRDefault="00A637AB" w:rsidP="00904E6C">
      <w:pPr>
        <w:numPr>
          <w:ilvl w:val="0"/>
          <w:numId w:val="392"/>
        </w:numPr>
        <w:overflowPunct w:val="0"/>
        <w:autoSpaceDE w:val="0"/>
        <w:spacing w:after="0" w:line="240" w:lineRule="auto"/>
        <w:rPr>
          <w:rFonts w:ascii="Times New Roman" w:hAnsi="Times New Roman" w:cs="Times New Roman"/>
        </w:rPr>
      </w:pPr>
      <w:r w:rsidRPr="009819ED">
        <w:rPr>
          <w:rFonts w:ascii="Times New Roman" w:hAnsi="Times New Roman" w:cs="Times New Roman"/>
        </w:rPr>
        <w:t>piasek i woda.</w:t>
      </w:r>
    </w:p>
    <w:p w14:paraId="5DC80EBE" w14:textId="77777777" w:rsidR="00A637AB" w:rsidRPr="009819ED" w:rsidRDefault="00A637AB" w:rsidP="00904E6C">
      <w:pPr>
        <w:pStyle w:val="Nagwek1"/>
        <w:keepLines/>
        <w:numPr>
          <w:ilvl w:val="0"/>
          <w:numId w:val="390"/>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line="240" w:lineRule="auto"/>
        <w:jc w:val="both"/>
        <w:rPr>
          <w:sz w:val="22"/>
          <w:szCs w:val="22"/>
        </w:rPr>
      </w:pPr>
      <w:r w:rsidRPr="009819ED">
        <w:rPr>
          <w:sz w:val="22"/>
          <w:szCs w:val="22"/>
        </w:rPr>
        <w:lastRenderedPageBreak/>
        <w:t>3. SPRZĘT</w:t>
      </w:r>
    </w:p>
    <w:p w14:paraId="5EEA72AD" w14:textId="77777777" w:rsidR="00A637AB" w:rsidRPr="009819ED" w:rsidRDefault="00A637AB" w:rsidP="00A637AB">
      <w:pPr>
        <w:pStyle w:val="Nagwek2"/>
        <w:rPr>
          <w:sz w:val="22"/>
          <w:szCs w:val="22"/>
        </w:rPr>
      </w:pPr>
      <w:r w:rsidRPr="009819ED">
        <w:rPr>
          <w:sz w:val="22"/>
          <w:szCs w:val="22"/>
        </w:rPr>
        <w:t>3.1. Ogólne wymagania dotyczące sprzętu</w:t>
      </w:r>
    </w:p>
    <w:p w14:paraId="633E4703"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b/>
        </w:rPr>
        <w:tab/>
      </w:r>
      <w:r w:rsidRPr="009819ED">
        <w:rPr>
          <w:rFonts w:ascii="Times New Roman" w:hAnsi="Times New Roman" w:cs="Times New Roman"/>
        </w:rPr>
        <w:t>Ogólne wymagania dotyczące sprzętu podano w ST D-M-00.00.00 „Wymagania ogólne” pkt 3.</w:t>
      </w:r>
    </w:p>
    <w:p w14:paraId="67373B11" w14:textId="77777777" w:rsidR="00A637AB" w:rsidRPr="009819ED" w:rsidRDefault="00A637AB" w:rsidP="00A637AB">
      <w:pPr>
        <w:pStyle w:val="Nagwek2"/>
        <w:rPr>
          <w:sz w:val="22"/>
          <w:szCs w:val="22"/>
        </w:rPr>
      </w:pPr>
      <w:r w:rsidRPr="009819ED">
        <w:rPr>
          <w:sz w:val="22"/>
          <w:szCs w:val="22"/>
        </w:rPr>
        <w:t>3.2. Sprzęt do wykonywania nawierzchni betonowych</w:t>
      </w:r>
    </w:p>
    <w:p w14:paraId="4CE1FA7A"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Wykonawca przystępujący do wykonania nawierzchni betonowej powinien wykazać się możliwością korzystania z następującego sprzętu:</w:t>
      </w:r>
    </w:p>
    <w:p w14:paraId="14530B77" w14:textId="77777777" w:rsidR="00A637AB" w:rsidRPr="009819ED" w:rsidRDefault="00A637AB" w:rsidP="00904E6C">
      <w:pPr>
        <w:numPr>
          <w:ilvl w:val="0"/>
          <w:numId w:val="392"/>
        </w:numPr>
        <w:overflowPunct w:val="0"/>
        <w:autoSpaceDE w:val="0"/>
        <w:spacing w:after="0" w:line="240" w:lineRule="auto"/>
        <w:ind w:right="-14"/>
        <w:jc w:val="both"/>
        <w:rPr>
          <w:rFonts w:ascii="Times New Roman" w:hAnsi="Times New Roman" w:cs="Times New Roman"/>
          <w:b/>
        </w:rPr>
      </w:pPr>
      <w:r w:rsidRPr="009819ED">
        <w:rPr>
          <w:rFonts w:ascii="Times New Roman" w:hAnsi="Times New Roman" w:cs="Times New Roman"/>
        </w:rPr>
        <w:t xml:space="preserve">wytwórni stacjonarnej typu ciągłego do wytwarzania mieszanki betonowej. Wytwórnia powinna być wyposażona w urządzenia do wagowego dozowania wszystkich składników, gwarantujące następujące tolerancje dozowania, wyrażone w stosunku do masy poszczególnych składników: kruszywo </w:t>
      </w:r>
      <w:r w:rsidR="00C03D2F">
        <w:rPr>
          <w:rFonts w:ascii="Times New Roman" w:eastAsia="Symbol" w:hAnsi="Times New Roman" w:cs="Times New Roman"/>
        </w:rPr>
        <w:t>±</w:t>
      </w:r>
      <w:r w:rsidRPr="009819ED">
        <w:rPr>
          <w:rFonts w:ascii="Times New Roman" w:hAnsi="Times New Roman" w:cs="Times New Roman"/>
        </w:rPr>
        <w:t xml:space="preserve"> 3%, cement </w:t>
      </w:r>
      <w:r w:rsidR="00C03D2F">
        <w:rPr>
          <w:rFonts w:ascii="Times New Roman" w:eastAsia="Symbol" w:hAnsi="Times New Roman" w:cs="Times New Roman"/>
        </w:rPr>
        <w:t>±</w:t>
      </w:r>
      <w:r w:rsidRPr="009819ED">
        <w:rPr>
          <w:rFonts w:ascii="Times New Roman" w:hAnsi="Times New Roman" w:cs="Times New Roman"/>
        </w:rPr>
        <w:t xml:space="preserve"> 0,5%, woda </w:t>
      </w:r>
      <w:r w:rsidR="00C03D2F">
        <w:rPr>
          <w:rFonts w:ascii="Times New Roman" w:eastAsia="Symbol" w:hAnsi="Times New Roman" w:cs="Times New Roman"/>
        </w:rPr>
        <w:t>±</w:t>
      </w:r>
      <w:r w:rsidRPr="009819ED">
        <w:rPr>
          <w:rFonts w:ascii="Times New Roman" w:hAnsi="Times New Roman" w:cs="Times New Roman"/>
        </w:rPr>
        <w:t xml:space="preserve"> 2%. </w:t>
      </w:r>
    </w:p>
    <w:p w14:paraId="50EB9258" w14:textId="77777777" w:rsidR="00A637AB" w:rsidRPr="009819ED" w:rsidRDefault="00A637AB" w:rsidP="00904E6C">
      <w:pPr>
        <w:numPr>
          <w:ilvl w:val="0"/>
          <w:numId w:val="392"/>
        </w:numPr>
        <w:overflowPunct w:val="0"/>
        <w:autoSpaceDE w:val="0"/>
        <w:spacing w:after="0" w:line="240" w:lineRule="auto"/>
        <w:ind w:right="-14"/>
        <w:jc w:val="both"/>
        <w:rPr>
          <w:rFonts w:ascii="Times New Roman" w:hAnsi="Times New Roman" w:cs="Times New Roman"/>
          <w:b/>
        </w:rPr>
      </w:pPr>
      <w:r w:rsidRPr="009819ED">
        <w:rPr>
          <w:rFonts w:ascii="Times New Roman" w:hAnsi="Times New Roman" w:cs="Times New Roman"/>
        </w:rPr>
        <w:t>przewoźnych zbiorników na wodę (do pielęgnacji),</w:t>
      </w:r>
    </w:p>
    <w:p w14:paraId="785A2A0F" w14:textId="77777777" w:rsidR="00A637AB" w:rsidRPr="009819ED" w:rsidRDefault="00A637AB" w:rsidP="00904E6C">
      <w:pPr>
        <w:numPr>
          <w:ilvl w:val="0"/>
          <w:numId w:val="392"/>
        </w:numPr>
        <w:overflowPunct w:val="0"/>
        <w:autoSpaceDE w:val="0"/>
        <w:spacing w:after="0" w:line="240" w:lineRule="auto"/>
        <w:ind w:right="-14"/>
        <w:jc w:val="both"/>
        <w:rPr>
          <w:rFonts w:ascii="Times New Roman" w:hAnsi="Times New Roman" w:cs="Times New Roman"/>
          <w:b/>
        </w:rPr>
      </w:pPr>
      <w:r w:rsidRPr="009819ED">
        <w:rPr>
          <w:rFonts w:ascii="Times New Roman" w:hAnsi="Times New Roman" w:cs="Times New Roman"/>
        </w:rPr>
        <w:t>układarek do rozkładania mieszanki betonowej,</w:t>
      </w:r>
    </w:p>
    <w:p w14:paraId="360C7776" w14:textId="77777777" w:rsidR="00A637AB" w:rsidRPr="009819ED" w:rsidRDefault="00A637AB" w:rsidP="00904E6C">
      <w:pPr>
        <w:numPr>
          <w:ilvl w:val="0"/>
          <w:numId w:val="392"/>
        </w:numPr>
        <w:overflowPunct w:val="0"/>
        <w:autoSpaceDE w:val="0"/>
        <w:spacing w:after="0" w:line="240" w:lineRule="auto"/>
        <w:ind w:right="-14"/>
        <w:jc w:val="both"/>
        <w:rPr>
          <w:rFonts w:ascii="Times New Roman" w:hAnsi="Times New Roman" w:cs="Times New Roman"/>
          <w:b/>
        </w:rPr>
      </w:pPr>
      <w:r w:rsidRPr="009819ED">
        <w:rPr>
          <w:rFonts w:ascii="Times New Roman" w:hAnsi="Times New Roman" w:cs="Times New Roman"/>
        </w:rPr>
        <w:t>mechanicznych listw wibracyjnych do zagęszczania mieszanki betonowej,</w:t>
      </w:r>
    </w:p>
    <w:p w14:paraId="174FC702" w14:textId="77777777" w:rsidR="00A637AB" w:rsidRPr="009819ED" w:rsidRDefault="00A637AB" w:rsidP="00904E6C">
      <w:pPr>
        <w:numPr>
          <w:ilvl w:val="0"/>
          <w:numId w:val="392"/>
        </w:numPr>
        <w:overflowPunct w:val="0"/>
        <w:autoSpaceDE w:val="0"/>
        <w:spacing w:after="0" w:line="240" w:lineRule="auto"/>
        <w:ind w:left="284" w:right="-11" w:hanging="284"/>
        <w:jc w:val="both"/>
        <w:rPr>
          <w:rFonts w:ascii="Times New Roman" w:hAnsi="Times New Roman" w:cs="Times New Roman"/>
          <w:b/>
        </w:rPr>
      </w:pPr>
      <w:r w:rsidRPr="009819ED">
        <w:rPr>
          <w:rFonts w:ascii="Times New Roman" w:hAnsi="Times New Roman" w:cs="Times New Roman"/>
        </w:rPr>
        <w:t>zagęszczarek płytowych, małych walców wibracyjnych do zagęszczania w miejscach trudno dostępnych.</w:t>
      </w:r>
    </w:p>
    <w:p w14:paraId="6A9242BC" w14:textId="77777777" w:rsidR="00A637AB" w:rsidRPr="009819ED" w:rsidRDefault="00A637AB" w:rsidP="00904E6C">
      <w:pPr>
        <w:pStyle w:val="Nagwek1"/>
        <w:keepLines/>
        <w:numPr>
          <w:ilvl w:val="0"/>
          <w:numId w:val="390"/>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line="240" w:lineRule="auto"/>
        <w:jc w:val="both"/>
        <w:rPr>
          <w:sz w:val="22"/>
          <w:szCs w:val="22"/>
        </w:rPr>
      </w:pPr>
      <w:r w:rsidRPr="009819ED">
        <w:rPr>
          <w:sz w:val="22"/>
          <w:szCs w:val="22"/>
        </w:rPr>
        <w:t>4. TRANSPORT</w:t>
      </w:r>
    </w:p>
    <w:p w14:paraId="08170A2E" w14:textId="77777777" w:rsidR="00A637AB" w:rsidRPr="009819ED" w:rsidRDefault="00A637AB" w:rsidP="00A637AB">
      <w:pPr>
        <w:pStyle w:val="Nagwek2"/>
        <w:rPr>
          <w:sz w:val="22"/>
          <w:szCs w:val="22"/>
        </w:rPr>
      </w:pPr>
      <w:r w:rsidRPr="009819ED">
        <w:rPr>
          <w:sz w:val="22"/>
          <w:szCs w:val="22"/>
        </w:rPr>
        <w:t>4.1. Ogólne wymagania dotyczące transportu</w:t>
      </w:r>
    </w:p>
    <w:p w14:paraId="76EE3F0E"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Ogólne wymagania dotyczące transportu podano w ST D-M-00.00.00 „Wymagania ogólne” pkt 4.</w:t>
      </w:r>
    </w:p>
    <w:p w14:paraId="2CF5ECB4" w14:textId="77777777" w:rsidR="00A637AB" w:rsidRPr="009819ED" w:rsidRDefault="00A637AB" w:rsidP="00A637AB">
      <w:pPr>
        <w:pStyle w:val="Nagwek2"/>
        <w:rPr>
          <w:sz w:val="22"/>
          <w:szCs w:val="22"/>
        </w:rPr>
      </w:pPr>
      <w:r w:rsidRPr="009819ED">
        <w:rPr>
          <w:sz w:val="22"/>
          <w:szCs w:val="22"/>
        </w:rPr>
        <w:t>4.2. Transport materiałów</w:t>
      </w:r>
    </w:p>
    <w:p w14:paraId="71868F87"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Transport cementu powinien odbywać się zgodnie z BN-88/6731-08 [43]. Cement luzem należy przewozić cementowozami, natomiast workowany można przewozić dowolnymi środkami transportu, w sposób zabezpieczony przed zawilgoceniem.</w:t>
      </w:r>
    </w:p>
    <w:p w14:paraId="523D1B96"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Kruszywo należy przewozić dowolnymi środkami transportu w warunkach zabezpieczających je przed zanieczyszczeniem i zawilgoceniem.</w:t>
      </w:r>
    </w:p>
    <w:p w14:paraId="0D5838EA"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Masy zalewowe i preparaty pielęgnacyjne należy dostarczać zgodnie z warunkami podanymi w świadectwach dopuszczenia.</w:t>
      </w:r>
    </w:p>
    <w:p w14:paraId="0C8C204F"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Transport mieszanki betonowej powinien odbywać się zgodnie z PN-B-06250 :1988 [25].</w:t>
      </w:r>
    </w:p>
    <w:p w14:paraId="76C02C1F" w14:textId="77777777" w:rsidR="00A637AB" w:rsidRPr="009819ED" w:rsidRDefault="00A637AB" w:rsidP="00A637AB">
      <w:pPr>
        <w:pStyle w:val="Nagwek1"/>
        <w:rPr>
          <w:sz w:val="22"/>
          <w:szCs w:val="22"/>
        </w:rPr>
      </w:pPr>
      <w:r w:rsidRPr="009819ED">
        <w:rPr>
          <w:sz w:val="22"/>
          <w:szCs w:val="22"/>
        </w:rPr>
        <w:t>5. wykonanie robót</w:t>
      </w:r>
    </w:p>
    <w:p w14:paraId="45698EA8" w14:textId="77777777" w:rsidR="00A637AB" w:rsidRPr="009819ED" w:rsidRDefault="00A637AB" w:rsidP="00A637AB">
      <w:pPr>
        <w:pStyle w:val="Nagwek2"/>
        <w:rPr>
          <w:sz w:val="22"/>
          <w:szCs w:val="22"/>
        </w:rPr>
      </w:pPr>
      <w:r w:rsidRPr="009819ED">
        <w:rPr>
          <w:sz w:val="22"/>
          <w:szCs w:val="22"/>
        </w:rPr>
        <w:t>5.1. Ogólne zasady wykonania robót</w:t>
      </w:r>
    </w:p>
    <w:p w14:paraId="7D92A45C"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Ogólne zasady wykonania robót podano w ST D-M-00.00.00 „Wymagania ogólne” pkt 5.</w:t>
      </w:r>
    </w:p>
    <w:p w14:paraId="7DB85BBF" w14:textId="77777777" w:rsidR="00A637AB" w:rsidRPr="009819ED" w:rsidRDefault="00A637AB" w:rsidP="00A637AB">
      <w:pPr>
        <w:jc w:val="both"/>
        <w:rPr>
          <w:rFonts w:ascii="Times New Roman" w:hAnsi="Times New Roman" w:cs="Times New Roman"/>
          <w:b/>
        </w:rPr>
      </w:pPr>
      <w:r w:rsidRPr="009819ED">
        <w:rPr>
          <w:rFonts w:ascii="Times New Roman" w:hAnsi="Times New Roman" w:cs="Times New Roman"/>
          <w:b/>
        </w:rPr>
        <w:t>5.2. Projektowanie mieszanki betonowej</w:t>
      </w:r>
    </w:p>
    <w:p w14:paraId="24A4B82F"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Przed przystąpieniem do robót, w terminie uzgodnionym z Inżynierem, Wykonawca dostarczy Inżynierowi do akceptacji projekt składu mieszanki betonowej oraz wyniki badań laboratoryjnych poszczególnych składników i próbki materiałów pobrane w obecności Inżyniera do wykonania badań kontrolnych przez Inżyniera.</w:t>
      </w:r>
    </w:p>
    <w:p w14:paraId="5E3A980C"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Projektowanie mieszanki betonowej polega na:</w:t>
      </w:r>
    </w:p>
    <w:p w14:paraId="08E7EE50" w14:textId="77777777" w:rsidR="00A637AB" w:rsidRPr="009819ED" w:rsidRDefault="00A637AB" w:rsidP="00904E6C">
      <w:pPr>
        <w:numPr>
          <w:ilvl w:val="0"/>
          <w:numId w:val="394"/>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lastRenderedPageBreak/>
        <w:t>doborze kruszywa do mieszanki,</w:t>
      </w:r>
    </w:p>
    <w:p w14:paraId="44AE2065" w14:textId="77777777" w:rsidR="00A637AB" w:rsidRPr="009819ED" w:rsidRDefault="00A637AB" w:rsidP="00904E6C">
      <w:pPr>
        <w:numPr>
          <w:ilvl w:val="0"/>
          <w:numId w:val="394"/>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doborze ilości cementu,</w:t>
      </w:r>
    </w:p>
    <w:p w14:paraId="671D9868" w14:textId="77777777" w:rsidR="00A637AB" w:rsidRPr="009819ED" w:rsidRDefault="00A637AB" w:rsidP="00904E6C">
      <w:pPr>
        <w:numPr>
          <w:ilvl w:val="0"/>
          <w:numId w:val="394"/>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doborze ilości wody,</w:t>
      </w:r>
    </w:p>
    <w:p w14:paraId="756CC630" w14:textId="77777777" w:rsidR="00A637AB" w:rsidRPr="009819ED" w:rsidRDefault="00A637AB" w:rsidP="00904E6C">
      <w:pPr>
        <w:numPr>
          <w:ilvl w:val="0"/>
          <w:numId w:val="394"/>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doborze domieszek.</w:t>
      </w:r>
    </w:p>
    <w:p w14:paraId="68FC1BAB" w14:textId="77777777" w:rsidR="00A637AB" w:rsidRPr="009819ED" w:rsidRDefault="00A637AB" w:rsidP="00A637AB">
      <w:pPr>
        <w:ind w:left="709"/>
        <w:jc w:val="both"/>
        <w:rPr>
          <w:rFonts w:ascii="Times New Roman" w:hAnsi="Times New Roman" w:cs="Times New Roman"/>
        </w:rPr>
      </w:pPr>
      <w:r w:rsidRPr="009819ED">
        <w:rPr>
          <w:rFonts w:ascii="Times New Roman" w:hAnsi="Times New Roman" w:cs="Times New Roman"/>
        </w:rPr>
        <w:t xml:space="preserve">Krzywa uziarnienia mieszanki mineralnej powinna mieścić się w polu dobrego </w:t>
      </w:r>
    </w:p>
    <w:p w14:paraId="2ABE4F41"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uziarnienia wyznaczonego przez krzywe graniczne.</w:t>
      </w:r>
    </w:p>
    <w:p w14:paraId="61F34C2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Zalecane rzędne krzywych granicznych uziarnienia mieszanek mineralnych podano w tablicy 7.</w:t>
      </w:r>
    </w:p>
    <w:p w14:paraId="4DBE32D6" w14:textId="77777777" w:rsidR="00A637AB" w:rsidRPr="009819ED" w:rsidRDefault="00A637AB" w:rsidP="00A637AB">
      <w:pPr>
        <w:spacing w:after="120"/>
        <w:jc w:val="both"/>
        <w:rPr>
          <w:rFonts w:ascii="Times New Roman" w:hAnsi="Times New Roman" w:cs="Times New Roman"/>
        </w:rPr>
      </w:pPr>
      <w:r w:rsidRPr="009819ED">
        <w:rPr>
          <w:rFonts w:ascii="Times New Roman" w:hAnsi="Times New Roman" w:cs="Times New Roman"/>
        </w:rPr>
        <w:t>Tablica 7. Zalecane graniczne uziarnienie mieszanki kruszyw</w:t>
      </w:r>
    </w:p>
    <w:tbl>
      <w:tblPr>
        <w:tblW w:w="7523" w:type="dxa"/>
        <w:tblInd w:w="-77" w:type="dxa"/>
        <w:tblBorders>
          <w:top w:val="single" w:sz="6" w:space="0" w:color="000000"/>
          <w:left w:val="single" w:sz="6" w:space="0" w:color="000000"/>
        </w:tblBorders>
        <w:tblCellMar>
          <w:left w:w="62" w:type="dxa"/>
          <w:right w:w="70" w:type="dxa"/>
        </w:tblCellMar>
        <w:tblLook w:val="04A0" w:firstRow="1" w:lastRow="0" w:firstColumn="1" w:lastColumn="0" w:noHBand="0" w:noVBand="1"/>
      </w:tblPr>
      <w:tblGrid>
        <w:gridCol w:w="1877"/>
        <w:gridCol w:w="1877"/>
        <w:gridCol w:w="1877"/>
        <w:gridCol w:w="1892"/>
      </w:tblGrid>
      <w:tr w:rsidR="00A637AB" w:rsidRPr="009819ED" w14:paraId="7BDC1CE2" w14:textId="77777777" w:rsidTr="00C72960">
        <w:tc>
          <w:tcPr>
            <w:tcW w:w="1877" w:type="dxa"/>
            <w:tcBorders>
              <w:top w:val="single" w:sz="6" w:space="0" w:color="000000"/>
              <w:left w:val="single" w:sz="6" w:space="0" w:color="000000"/>
            </w:tcBorders>
            <w:shd w:val="clear" w:color="auto" w:fill="auto"/>
          </w:tcPr>
          <w:p w14:paraId="14B12971" w14:textId="77777777" w:rsidR="00A637AB" w:rsidRPr="009819ED" w:rsidRDefault="00A637AB" w:rsidP="00C72960">
            <w:pPr>
              <w:overflowPunct w:val="0"/>
              <w:autoSpaceDE w:val="0"/>
              <w:snapToGrid w:val="0"/>
              <w:spacing w:after="0" w:line="240" w:lineRule="auto"/>
              <w:rPr>
                <w:rFonts w:ascii="Times New Roman" w:hAnsi="Times New Roman" w:cs="Times New Roman"/>
              </w:rPr>
            </w:pPr>
          </w:p>
        </w:tc>
        <w:tc>
          <w:tcPr>
            <w:tcW w:w="5646" w:type="dxa"/>
            <w:gridSpan w:val="3"/>
            <w:tcBorders>
              <w:top w:val="single" w:sz="6" w:space="0" w:color="000000"/>
              <w:left w:val="single" w:sz="6" w:space="0" w:color="000000"/>
              <w:bottom w:val="single" w:sz="6" w:space="0" w:color="000000"/>
              <w:right w:val="single" w:sz="6" w:space="0" w:color="000000"/>
            </w:tcBorders>
            <w:shd w:val="clear" w:color="auto" w:fill="auto"/>
          </w:tcPr>
          <w:p w14:paraId="6B8F848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Rzędne krzywych granicznych</w:t>
            </w:r>
          </w:p>
        </w:tc>
      </w:tr>
      <w:tr w:rsidR="00A637AB" w:rsidRPr="009819ED" w14:paraId="5FD751CE" w14:textId="77777777" w:rsidTr="00C72960">
        <w:tc>
          <w:tcPr>
            <w:tcW w:w="1877" w:type="dxa"/>
            <w:tcBorders>
              <w:left w:val="single" w:sz="6" w:space="0" w:color="000000"/>
            </w:tcBorders>
            <w:shd w:val="clear" w:color="auto" w:fill="auto"/>
          </w:tcPr>
          <w:p w14:paraId="464D1565"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Bok oczka sita, mm</w:t>
            </w:r>
          </w:p>
        </w:tc>
        <w:tc>
          <w:tcPr>
            <w:tcW w:w="5646" w:type="dxa"/>
            <w:gridSpan w:val="3"/>
            <w:tcBorders>
              <w:top w:val="single" w:sz="6" w:space="0" w:color="000000"/>
              <w:left w:val="single" w:sz="6" w:space="0" w:color="000000"/>
              <w:bottom w:val="single" w:sz="6" w:space="0" w:color="000000"/>
              <w:right w:val="single" w:sz="6" w:space="0" w:color="000000"/>
            </w:tcBorders>
            <w:shd w:val="clear" w:color="auto" w:fill="auto"/>
          </w:tcPr>
          <w:p w14:paraId="163A90F2"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Mieszanka mineralna, mm</w:t>
            </w:r>
          </w:p>
        </w:tc>
      </w:tr>
      <w:tr w:rsidR="00A637AB" w:rsidRPr="009819ED" w14:paraId="6994D093" w14:textId="77777777" w:rsidTr="00C72960">
        <w:tc>
          <w:tcPr>
            <w:tcW w:w="1877" w:type="dxa"/>
            <w:tcBorders>
              <w:left w:val="single" w:sz="6" w:space="0" w:color="000000"/>
              <w:bottom w:val="double" w:sz="6" w:space="0" w:color="000000"/>
            </w:tcBorders>
            <w:shd w:val="clear" w:color="auto" w:fill="auto"/>
          </w:tcPr>
          <w:p w14:paraId="626A2706" w14:textId="77777777" w:rsidR="00A637AB" w:rsidRPr="009819ED" w:rsidRDefault="00A637AB" w:rsidP="00C72960">
            <w:pPr>
              <w:overflowPunct w:val="0"/>
              <w:autoSpaceDE w:val="0"/>
              <w:snapToGrid w:val="0"/>
              <w:spacing w:after="0" w:line="240" w:lineRule="auto"/>
              <w:rPr>
                <w:rFonts w:ascii="Times New Roman" w:hAnsi="Times New Roman" w:cs="Times New Roman"/>
              </w:rPr>
            </w:pPr>
          </w:p>
        </w:tc>
        <w:tc>
          <w:tcPr>
            <w:tcW w:w="1877" w:type="dxa"/>
            <w:tcBorders>
              <w:top w:val="single" w:sz="6" w:space="0" w:color="000000"/>
              <w:left w:val="single" w:sz="6" w:space="0" w:color="000000"/>
            </w:tcBorders>
            <w:shd w:val="clear" w:color="auto" w:fill="auto"/>
          </w:tcPr>
          <w:p w14:paraId="1D67ED32"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od 0 do 8</w:t>
            </w:r>
          </w:p>
        </w:tc>
        <w:tc>
          <w:tcPr>
            <w:tcW w:w="1877" w:type="dxa"/>
            <w:tcBorders>
              <w:top w:val="single" w:sz="6" w:space="0" w:color="000000"/>
              <w:left w:val="single" w:sz="6" w:space="0" w:color="000000"/>
            </w:tcBorders>
            <w:shd w:val="clear" w:color="auto" w:fill="auto"/>
          </w:tcPr>
          <w:p w14:paraId="37034CBD"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od 0 do 16</w:t>
            </w:r>
          </w:p>
        </w:tc>
        <w:tc>
          <w:tcPr>
            <w:tcW w:w="1892" w:type="dxa"/>
            <w:tcBorders>
              <w:top w:val="single" w:sz="6" w:space="0" w:color="000000"/>
              <w:left w:val="single" w:sz="6" w:space="0" w:color="000000"/>
              <w:right w:val="single" w:sz="6" w:space="0" w:color="000000"/>
            </w:tcBorders>
            <w:shd w:val="clear" w:color="auto" w:fill="auto"/>
          </w:tcPr>
          <w:p w14:paraId="14A3C3A2"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od 0 do 31,5</w:t>
            </w:r>
          </w:p>
        </w:tc>
      </w:tr>
      <w:tr w:rsidR="00A637AB" w:rsidRPr="009819ED" w14:paraId="071FD86F" w14:textId="77777777" w:rsidTr="00C72960">
        <w:tc>
          <w:tcPr>
            <w:tcW w:w="1877" w:type="dxa"/>
            <w:tcBorders>
              <w:left w:val="single" w:sz="6" w:space="0" w:color="000000"/>
              <w:bottom w:val="single" w:sz="6" w:space="0" w:color="000000"/>
            </w:tcBorders>
            <w:shd w:val="clear" w:color="auto" w:fill="auto"/>
          </w:tcPr>
          <w:p w14:paraId="0D12967C"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przechodzi przez</w:t>
            </w:r>
          </w:p>
          <w:p w14:paraId="1D23C8EC"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31,5</w:t>
            </w:r>
          </w:p>
          <w:p w14:paraId="00DFD038"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16,0</w:t>
            </w:r>
          </w:p>
          <w:p w14:paraId="25439697"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8,0</w:t>
            </w:r>
          </w:p>
          <w:p w14:paraId="2CF4D2B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4,0</w:t>
            </w:r>
          </w:p>
          <w:p w14:paraId="47444368"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2,0</w:t>
            </w:r>
          </w:p>
          <w:p w14:paraId="20DAC037"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1,0</w:t>
            </w:r>
          </w:p>
          <w:p w14:paraId="030CCE7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0,5</w:t>
            </w:r>
          </w:p>
          <w:p w14:paraId="1D591521"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0,25</w:t>
            </w:r>
          </w:p>
        </w:tc>
        <w:tc>
          <w:tcPr>
            <w:tcW w:w="1877" w:type="dxa"/>
            <w:tcBorders>
              <w:top w:val="double" w:sz="6" w:space="0" w:color="000000"/>
              <w:left w:val="single" w:sz="6" w:space="0" w:color="000000"/>
              <w:bottom w:val="single" w:sz="6" w:space="0" w:color="000000"/>
            </w:tcBorders>
            <w:shd w:val="clear" w:color="auto" w:fill="auto"/>
          </w:tcPr>
          <w:p w14:paraId="7D8C566C" w14:textId="77777777" w:rsidR="00A637AB" w:rsidRPr="009819ED" w:rsidRDefault="00A637AB" w:rsidP="00C72960">
            <w:pPr>
              <w:snapToGrid w:val="0"/>
              <w:spacing w:after="0" w:line="240" w:lineRule="auto"/>
              <w:jc w:val="center"/>
              <w:rPr>
                <w:rFonts w:ascii="Times New Roman" w:hAnsi="Times New Roman" w:cs="Times New Roman"/>
              </w:rPr>
            </w:pPr>
          </w:p>
          <w:p w14:paraId="0BDC705D" w14:textId="77777777" w:rsidR="00A637AB" w:rsidRPr="009819ED" w:rsidRDefault="00A637AB" w:rsidP="00C72960">
            <w:pPr>
              <w:spacing w:after="0" w:line="240" w:lineRule="auto"/>
              <w:jc w:val="center"/>
              <w:rPr>
                <w:rFonts w:ascii="Times New Roman" w:hAnsi="Times New Roman" w:cs="Times New Roman"/>
              </w:rPr>
            </w:pPr>
          </w:p>
          <w:p w14:paraId="22CF4E78" w14:textId="77777777" w:rsidR="00A637AB" w:rsidRPr="009819ED" w:rsidRDefault="00A637AB" w:rsidP="00C72960">
            <w:pPr>
              <w:spacing w:after="0" w:line="240" w:lineRule="auto"/>
              <w:jc w:val="center"/>
              <w:rPr>
                <w:rFonts w:ascii="Times New Roman" w:hAnsi="Times New Roman" w:cs="Times New Roman"/>
              </w:rPr>
            </w:pPr>
          </w:p>
          <w:p w14:paraId="06020B4B"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100</w:t>
            </w:r>
          </w:p>
          <w:p w14:paraId="1777EA7B"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61 </w:t>
            </w:r>
            <w:r w:rsidR="004A5078">
              <w:rPr>
                <w:rFonts w:ascii="Times New Roman" w:eastAsia="Symbol" w:hAnsi="Times New Roman" w:cs="Times New Roman"/>
              </w:rPr>
              <w:t>-</w:t>
            </w:r>
            <w:r w:rsidRPr="009819ED">
              <w:rPr>
                <w:rFonts w:ascii="Times New Roman" w:hAnsi="Times New Roman" w:cs="Times New Roman"/>
              </w:rPr>
              <w:t xml:space="preserve"> 74</w:t>
            </w:r>
          </w:p>
          <w:p w14:paraId="6E6B26EE"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36 </w:t>
            </w:r>
            <w:r w:rsidR="004A5078">
              <w:rPr>
                <w:rFonts w:ascii="Times New Roman" w:eastAsia="Symbol" w:hAnsi="Times New Roman" w:cs="Times New Roman"/>
              </w:rPr>
              <w:t>-</w:t>
            </w:r>
            <w:r w:rsidRPr="009819ED">
              <w:rPr>
                <w:rFonts w:ascii="Times New Roman" w:hAnsi="Times New Roman" w:cs="Times New Roman"/>
              </w:rPr>
              <w:t xml:space="preserve"> 57</w:t>
            </w:r>
          </w:p>
          <w:p w14:paraId="1FC165C9"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21 </w:t>
            </w:r>
            <w:r w:rsidR="004A5078">
              <w:rPr>
                <w:rFonts w:ascii="Times New Roman" w:eastAsia="Symbol" w:hAnsi="Times New Roman" w:cs="Times New Roman"/>
              </w:rPr>
              <w:t>-</w:t>
            </w:r>
            <w:r w:rsidRPr="009819ED">
              <w:rPr>
                <w:rFonts w:ascii="Times New Roman" w:hAnsi="Times New Roman" w:cs="Times New Roman"/>
              </w:rPr>
              <w:t xml:space="preserve"> 42</w:t>
            </w:r>
          </w:p>
          <w:p w14:paraId="596A8418"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14 </w:t>
            </w:r>
            <w:r w:rsidR="004A5078">
              <w:rPr>
                <w:rFonts w:ascii="Times New Roman" w:eastAsia="Symbol" w:hAnsi="Times New Roman" w:cs="Times New Roman"/>
              </w:rPr>
              <w:t>-</w:t>
            </w:r>
            <w:r w:rsidRPr="009819ED">
              <w:rPr>
                <w:rFonts w:ascii="Times New Roman" w:hAnsi="Times New Roman" w:cs="Times New Roman"/>
              </w:rPr>
              <w:t xml:space="preserve"> 26</w:t>
            </w:r>
          </w:p>
          <w:p w14:paraId="665A6FC6"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5 </w:t>
            </w:r>
            <w:r w:rsidR="004A5078">
              <w:rPr>
                <w:rFonts w:ascii="Times New Roman" w:eastAsia="Symbol" w:hAnsi="Times New Roman" w:cs="Times New Roman"/>
              </w:rPr>
              <w:t>-</w:t>
            </w:r>
            <w:r w:rsidRPr="009819ED">
              <w:rPr>
                <w:rFonts w:ascii="Times New Roman" w:hAnsi="Times New Roman" w:cs="Times New Roman"/>
              </w:rPr>
              <w:t xml:space="preserve"> 11</w:t>
            </w:r>
          </w:p>
        </w:tc>
        <w:tc>
          <w:tcPr>
            <w:tcW w:w="1877" w:type="dxa"/>
            <w:tcBorders>
              <w:top w:val="double" w:sz="6" w:space="0" w:color="000000"/>
              <w:left w:val="single" w:sz="6" w:space="0" w:color="000000"/>
              <w:bottom w:val="single" w:sz="6" w:space="0" w:color="000000"/>
            </w:tcBorders>
            <w:shd w:val="clear" w:color="auto" w:fill="auto"/>
          </w:tcPr>
          <w:p w14:paraId="367EDDB7" w14:textId="77777777" w:rsidR="00A637AB" w:rsidRPr="009819ED" w:rsidRDefault="00A637AB" w:rsidP="00C72960">
            <w:pPr>
              <w:snapToGrid w:val="0"/>
              <w:spacing w:after="0" w:line="240" w:lineRule="auto"/>
              <w:jc w:val="center"/>
              <w:rPr>
                <w:rFonts w:ascii="Times New Roman" w:hAnsi="Times New Roman" w:cs="Times New Roman"/>
              </w:rPr>
            </w:pPr>
          </w:p>
          <w:p w14:paraId="3C0C86B4" w14:textId="77777777" w:rsidR="00A637AB" w:rsidRPr="009819ED" w:rsidRDefault="00A637AB" w:rsidP="00C72960">
            <w:pPr>
              <w:spacing w:after="0" w:line="240" w:lineRule="auto"/>
              <w:jc w:val="center"/>
              <w:rPr>
                <w:rFonts w:ascii="Times New Roman" w:hAnsi="Times New Roman" w:cs="Times New Roman"/>
              </w:rPr>
            </w:pPr>
          </w:p>
          <w:p w14:paraId="47987D5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100</w:t>
            </w:r>
          </w:p>
          <w:p w14:paraId="400D0CD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60 </w:t>
            </w:r>
            <w:r w:rsidR="004A5078">
              <w:rPr>
                <w:rFonts w:ascii="Times New Roman" w:eastAsia="Symbol" w:hAnsi="Times New Roman" w:cs="Times New Roman"/>
              </w:rPr>
              <w:t>-</w:t>
            </w:r>
            <w:r w:rsidRPr="009819ED">
              <w:rPr>
                <w:rFonts w:ascii="Times New Roman" w:hAnsi="Times New Roman" w:cs="Times New Roman"/>
              </w:rPr>
              <w:t xml:space="preserve"> 76</w:t>
            </w:r>
          </w:p>
          <w:p w14:paraId="4FB210E2"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36 </w:t>
            </w:r>
            <w:r w:rsidR="004A5078">
              <w:rPr>
                <w:rFonts w:ascii="Times New Roman" w:eastAsia="Symbol" w:hAnsi="Times New Roman" w:cs="Times New Roman"/>
              </w:rPr>
              <w:t>-</w:t>
            </w:r>
            <w:r w:rsidRPr="009819ED">
              <w:rPr>
                <w:rFonts w:ascii="Times New Roman" w:hAnsi="Times New Roman" w:cs="Times New Roman"/>
              </w:rPr>
              <w:t xml:space="preserve"> 56</w:t>
            </w:r>
          </w:p>
          <w:p w14:paraId="7D3E8F3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21 </w:t>
            </w:r>
            <w:r w:rsidR="004A5078">
              <w:rPr>
                <w:rFonts w:ascii="Times New Roman" w:eastAsia="Symbol" w:hAnsi="Times New Roman" w:cs="Times New Roman"/>
              </w:rPr>
              <w:t>-</w:t>
            </w:r>
            <w:r w:rsidRPr="009819ED">
              <w:rPr>
                <w:rFonts w:ascii="Times New Roman" w:hAnsi="Times New Roman" w:cs="Times New Roman"/>
              </w:rPr>
              <w:t xml:space="preserve"> 42</w:t>
            </w:r>
          </w:p>
          <w:p w14:paraId="6408CDAD"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12 </w:t>
            </w:r>
            <w:r w:rsidR="004A5078">
              <w:rPr>
                <w:rFonts w:ascii="Times New Roman" w:eastAsia="Symbol" w:hAnsi="Times New Roman" w:cs="Times New Roman"/>
              </w:rPr>
              <w:t>-</w:t>
            </w:r>
            <w:r w:rsidRPr="009819ED">
              <w:rPr>
                <w:rFonts w:ascii="Times New Roman" w:hAnsi="Times New Roman" w:cs="Times New Roman"/>
              </w:rPr>
              <w:t xml:space="preserve"> 32</w:t>
            </w:r>
          </w:p>
          <w:p w14:paraId="40C75591"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7 </w:t>
            </w:r>
            <w:r w:rsidR="004A5078">
              <w:rPr>
                <w:rFonts w:ascii="Times New Roman" w:eastAsia="Symbol" w:hAnsi="Times New Roman" w:cs="Times New Roman"/>
              </w:rPr>
              <w:t>-</w:t>
            </w:r>
            <w:r w:rsidRPr="009819ED">
              <w:rPr>
                <w:rFonts w:ascii="Times New Roman" w:hAnsi="Times New Roman" w:cs="Times New Roman"/>
              </w:rPr>
              <w:t xml:space="preserve"> 20</w:t>
            </w:r>
          </w:p>
          <w:p w14:paraId="3A2A6ED9"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3 </w:t>
            </w:r>
            <w:r w:rsidR="004A5078">
              <w:rPr>
                <w:rFonts w:ascii="Times New Roman" w:eastAsia="Symbol" w:hAnsi="Times New Roman" w:cs="Times New Roman"/>
              </w:rPr>
              <w:t>-</w:t>
            </w:r>
            <w:r w:rsidRPr="009819ED">
              <w:rPr>
                <w:rFonts w:ascii="Times New Roman" w:hAnsi="Times New Roman" w:cs="Times New Roman"/>
              </w:rPr>
              <w:t xml:space="preserve"> 8</w:t>
            </w:r>
          </w:p>
        </w:tc>
        <w:tc>
          <w:tcPr>
            <w:tcW w:w="1892" w:type="dxa"/>
            <w:tcBorders>
              <w:top w:val="double" w:sz="6" w:space="0" w:color="000000"/>
              <w:left w:val="single" w:sz="6" w:space="0" w:color="000000"/>
              <w:bottom w:val="single" w:sz="6" w:space="0" w:color="000000"/>
              <w:right w:val="single" w:sz="6" w:space="0" w:color="000000"/>
            </w:tcBorders>
            <w:shd w:val="clear" w:color="auto" w:fill="auto"/>
          </w:tcPr>
          <w:p w14:paraId="08EB4623" w14:textId="77777777" w:rsidR="00A637AB" w:rsidRPr="009819ED" w:rsidRDefault="00A637AB" w:rsidP="00C72960">
            <w:pPr>
              <w:snapToGrid w:val="0"/>
              <w:spacing w:after="0" w:line="240" w:lineRule="auto"/>
              <w:jc w:val="center"/>
              <w:rPr>
                <w:rFonts w:ascii="Times New Roman" w:hAnsi="Times New Roman" w:cs="Times New Roman"/>
              </w:rPr>
            </w:pPr>
          </w:p>
          <w:p w14:paraId="44EE753F"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100</w:t>
            </w:r>
          </w:p>
          <w:p w14:paraId="0B14C523"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62 </w:t>
            </w:r>
            <w:r w:rsidR="004A5078">
              <w:rPr>
                <w:rFonts w:ascii="Times New Roman" w:eastAsia="Symbol" w:hAnsi="Times New Roman" w:cs="Times New Roman"/>
              </w:rPr>
              <w:t>-</w:t>
            </w:r>
            <w:r w:rsidRPr="009819ED">
              <w:rPr>
                <w:rFonts w:ascii="Times New Roman" w:hAnsi="Times New Roman" w:cs="Times New Roman"/>
              </w:rPr>
              <w:t xml:space="preserve"> 80</w:t>
            </w:r>
          </w:p>
          <w:p w14:paraId="36DB7BA0"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38 </w:t>
            </w:r>
            <w:r w:rsidR="004A5078">
              <w:rPr>
                <w:rFonts w:ascii="Times New Roman" w:eastAsia="Symbol" w:hAnsi="Times New Roman" w:cs="Times New Roman"/>
              </w:rPr>
              <w:t>-</w:t>
            </w:r>
            <w:r w:rsidRPr="009819ED">
              <w:rPr>
                <w:rFonts w:ascii="Times New Roman" w:hAnsi="Times New Roman" w:cs="Times New Roman"/>
              </w:rPr>
              <w:t xml:space="preserve"> 62</w:t>
            </w:r>
          </w:p>
          <w:p w14:paraId="1D226D89"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23 </w:t>
            </w:r>
            <w:r w:rsidR="004A5078">
              <w:rPr>
                <w:rFonts w:ascii="Times New Roman" w:eastAsia="Symbol" w:hAnsi="Times New Roman" w:cs="Times New Roman"/>
              </w:rPr>
              <w:t>-</w:t>
            </w:r>
            <w:r w:rsidRPr="009819ED">
              <w:rPr>
                <w:rFonts w:ascii="Times New Roman" w:hAnsi="Times New Roman" w:cs="Times New Roman"/>
              </w:rPr>
              <w:t xml:space="preserve"> 47</w:t>
            </w:r>
          </w:p>
          <w:p w14:paraId="4CD0F464"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14 </w:t>
            </w:r>
            <w:r w:rsidR="004A5078">
              <w:rPr>
                <w:rFonts w:ascii="Times New Roman" w:eastAsia="Symbol" w:hAnsi="Times New Roman" w:cs="Times New Roman"/>
              </w:rPr>
              <w:t>-</w:t>
            </w:r>
            <w:r w:rsidRPr="009819ED">
              <w:rPr>
                <w:rFonts w:ascii="Times New Roman" w:hAnsi="Times New Roman" w:cs="Times New Roman"/>
              </w:rPr>
              <w:t xml:space="preserve"> 37</w:t>
            </w:r>
          </w:p>
          <w:p w14:paraId="073C6F15"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8 </w:t>
            </w:r>
            <w:r w:rsidR="004A5078">
              <w:rPr>
                <w:rFonts w:ascii="Times New Roman" w:eastAsia="Symbol" w:hAnsi="Times New Roman" w:cs="Times New Roman"/>
              </w:rPr>
              <w:t>-</w:t>
            </w:r>
            <w:r w:rsidRPr="009819ED">
              <w:rPr>
                <w:rFonts w:ascii="Times New Roman" w:hAnsi="Times New Roman" w:cs="Times New Roman"/>
              </w:rPr>
              <w:t xml:space="preserve"> 28</w:t>
            </w:r>
          </w:p>
          <w:p w14:paraId="347E286F"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5 </w:t>
            </w:r>
            <w:r w:rsidR="004A5078">
              <w:rPr>
                <w:rFonts w:ascii="Times New Roman" w:eastAsia="Symbol" w:hAnsi="Times New Roman" w:cs="Times New Roman"/>
              </w:rPr>
              <w:t>-</w:t>
            </w:r>
            <w:r w:rsidRPr="009819ED">
              <w:rPr>
                <w:rFonts w:ascii="Times New Roman" w:hAnsi="Times New Roman" w:cs="Times New Roman"/>
              </w:rPr>
              <w:t xml:space="preserve"> 18</w:t>
            </w:r>
          </w:p>
          <w:p w14:paraId="66E1FFD1"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2 </w:t>
            </w:r>
            <w:r w:rsidR="004A5078">
              <w:rPr>
                <w:rFonts w:ascii="Times New Roman" w:eastAsia="Symbol" w:hAnsi="Times New Roman" w:cs="Times New Roman"/>
              </w:rPr>
              <w:t>-</w:t>
            </w:r>
            <w:r w:rsidRPr="009819ED">
              <w:rPr>
                <w:rFonts w:ascii="Times New Roman" w:hAnsi="Times New Roman" w:cs="Times New Roman"/>
              </w:rPr>
              <w:t xml:space="preserve"> 8</w:t>
            </w:r>
          </w:p>
        </w:tc>
      </w:tr>
    </w:tbl>
    <w:p w14:paraId="6BBED631" w14:textId="77777777" w:rsidR="00A637AB" w:rsidRPr="009819ED" w:rsidRDefault="00A637AB" w:rsidP="00A637AB">
      <w:pPr>
        <w:spacing w:after="0" w:line="240" w:lineRule="auto"/>
        <w:jc w:val="both"/>
        <w:rPr>
          <w:rFonts w:ascii="Times New Roman" w:hAnsi="Times New Roman" w:cs="Times New Roman"/>
        </w:rPr>
      </w:pPr>
    </w:p>
    <w:p w14:paraId="132BF4AA"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Podczas projektowania składu betonu należy wykonać próbne zaroby w celu sprawdzenia właściwości mieszanki betonowej zgodnie z normą PN-B-06250:1988 [25], w następującym zakresie:</w:t>
      </w:r>
    </w:p>
    <w:p w14:paraId="1855CFBD" w14:textId="77777777" w:rsidR="00A637AB" w:rsidRPr="009819ED" w:rsidRDefault="00A637AB" w:rsidP="00904E6C">
      <w:pPr>
        <w:numPr>
          <w:ilvl w:val="0"/>
          <w:numId w:val="395"/>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oznaczenie konsystencji. Dopuszcza się konsystencję w od K2 do K4 (od gęstoplastycznej do półciekłej). Konsystencję mieszanki betonowej należy określać wg metody:</w:t>
      </w:r>
    </w:p>
    <w:p w14:paraId="2F0F3F0E" w14:textId="77777777" w:rsidR="00A637AB" w:rsidRPr="009819ED" w:rsidRDefault="00A637AB" w:rsidP="00904E6C">
      <w:pPr>
        <w:numPr>
          <w:ilvl w:val="0"/>
          <w:numId w:val="395"/>
        </w:numPr>
        <w:overflowPunct w:val="0"/>
        <w:autoSpaceDE w:val="0"/>
        <w:spacing w:after="0" w:line="240" w:lineRule="auto"/>
        <w:ind w:left="644"/>
        <w:jc w:val="both"/>
        <w:rPr>
          <w:rFonts w:ascii="Times New Roman" w:hAnsi="Times New Roman" w:cs="Times New Roman"/>
        </w:rPr>
      </w:pPr>
      <w:r w:rsidRPr="009819ED">
        <w:rPr>
          <w:rFonts w:ascii="Times New Roman" w:hAnsi="Times New Roman" w:cs="Times New Roman"/>
        </w:rPr>
        <w:t>pomiaru opadu stożka zgodnie z PN-B-06250:1988 [25] lub PN-EN 12350-2:2001 [10],</w:t>
      </w:r>
    </w:p>
    <w:p w14:paraId="76F2DB2B" w14:textId="77777777" w:rsidR="00A637AB" w:rsidRPr="009819ED" w:rsidRDefault="00A637AB" w:rsidP="00904E6C">
      <w:pPr>
        <w:numPr>
          <w:ilvl w:val="0"/>
          <w:numId w:val="395"/>
        </w:numPr>
        <w:overflowPunct w:val="0"/>
        <w:autoSpaceDE w:val="0"/>
        <w:spacing w:after="0" w:line="240" w:lineRule="auto"/>
        <w:ind w:left="644"/>
        <w:jc w:val="both"/>
        <w:rPr>
          <w:rFonts w:ascii="Times New Roman" w:hAnsi="Times New Roman" w:cs="Times New Roman"/>
        </w:rPr>
      </w:pPr>
      <w:r w:rsidRPr="009819ED">
        <w:rPr>
          <w:rFonts w:ascii="Times New Roman" w:hAnsi="Times New Roman" w:cs="Times New Roman"/>
        </w:rPr>
        <w:t>pomiaru metodą Ve-Be zgodnie z PN-B-06250:1988 [25] lub PN-EN 12350-3:2001 [11],</w:t>
      </w:r>
    </w:p>
    <w:p w14:paraId="5DCEEDB7" w14:textId="77777777" w:rsidR="00A637AB" w:rsidRPr="009819ED" w:rsidRDefault="00A637AB" w:rsidP="00904E6C">
      <w:pPr>
        <w:numPr>
          <w:ilvl w:val="0"/>
          <w:numId w:val="395"/>
        </w:numPr>
        <w:overflowPunct w:val="0"/>
        <w:autoSpaceDE w:val="0"/>
        <w:spacing w:after="0" w:line="240" w:lineRule="auto"/>
        <w:ind w:left="644"/>
        <w:jc w:val="both"/>
        <w:rPr>
          <w:rFonts w:ascii="Times New Roman" w:hAnsi="Times New Roman" w:cs="Times New Roman"/>
        </w:rPr>
      </w:pPr>
      <w:r w:rsidRPr="009819ED">
        <w:rPr>
          <w:rFonts w:ascii="Times New Roman" w:hAnsi="Times New Roman" w:cs="Times New Roman"/>
        </w:rPr>
        <w:t>pomiaru stopnia zagęszczenia zgodnie z PN-EN 12350-4:2001 [12],</w:t>
      </w:r>
    </w:p>
    <w:p w14:paraId="6682714D" w14:textId="77777777" w:rsidR="00A637AB" w:rsidRPr="009819ED" w:rsidRDefault="00A637AB" w:rsidP="00A637AB">
      <w:pPr>
        <w:ind w:left="360"/>
        <w:jc w:val="both"/>
        <w:rPr>
          <w:rFonts w:ascii="Times New Roman" w:hAnsi="Times New Roman" w:cs="Times New Roman"/>
        </w:rPr>
      </w:pPr>
      <w:r w:rsidRPr="009819ED">
        <w:rPr>
          <w:rFonts w:ascii="Times New Roman" w:hAnsi="Times New Roman" w:cs="Times New Roman"/>
        </w:rPr>
        <w:t>pomiaru metodą stolika rozpływowego zgodnie z PN-EN 12350-5:2001 [13],</w:t>
      </w:r>
    </w:p>
    <w:p w14:paraId="35417F6C" w14:textId="77777777" w:rsidR="00A637AB" w:rsidRPr="009819ED" w:rsidRDefault="00A637AB" w:rsidP="00904E6C">
      <w:pPr>
        <w:numPr>
          <w:ilvl w:val="0"/>
          <w:numId w:val="395"/>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oznaczenie zawartości powietrza zgodnie z PN-EN 12350-7:2001 [15]; zalecaną zawartość powietrza w mieszance betonowej podano w tablicy 6,</w:t>
      </w:r>
    </w:p>
    <w:p w14:paraId="2CC23404" w14:textId="77777777" w:rsidR="00A637AB" w:rsidRPr="009819ED" w:rsidRDefault="00A637AB" w:rsidP="00904E6C">
      <w:pPr>
        <w:numPr>
          <w:ilvl w:val="0"/>
          <w:numId w:val="395"/>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oznaczenie gęstości, zgodnie z PN-EN 12350-6:2001 [14].</w:t>
      </w:r>
    </w:p>
    <w:p w14:paraId="315258DE" w14:textId="77777777" w:rsidR="00A637AB" w:rsidRPr="009819ED" w:rsidRDefault="00A637AB" w:rsidP="00A637AB">
      <w:pPr>
        <w:tabs>
          <w:tab w:val="left" w:pos="-142"/>
        </w:tabs>
        <w:jc w:val="both"/>
        <w:rPr>
          <w:rFonts w:ascii="Times New Roman" w:hAnsi="Times New Roman" w:cs="Times New Roman"/>
        </w:rPr>
      </w:pPr>
      <w:r w:rsidRPr="009819ED">
        <w:rPr>
          <w:rFonts w:ascii="Times New Roman" w:hAnsi="Times New Roman" w:cs="Times New Roman"/>
        </w:rPr>
        <w:tab/>
        <w:t>Ustalony na zarobach próbnych stosunek wodno-cementowy powinien być mniejszy niż 0,45. Zawartość cementu nie powinna być mniejsza niż 350 kg/m</w:t>
      </w:r>
      <w:r w:rsidRPr="009819ED">
        <w:rPr>
          <w:rFonts w:ascii="Times New Roman" w:hAnsi="Times New Roman" w:cs="Times New Roman"/>
          <w:vertAlign w:val="superscript"/>
        </w:rPr>
        <w:t>3</w:t>
      </w:r>
      <w:r w:rsidRPr="009819ED">
        <w:rPr>
          <w:rFonts w:ascii="Times New Roman" w:hAnsi="Times New Roman" w:cs="Times New Roman"/>
        </w:rPr>
        <w:t>; zaleca się, aby zawartość cementu oraz ziarn do 0,25 mm nie była większa niż 450 kg/m</w:t>
      </w:r>
      <w:r w:rsidRPr="009819ED">
        <w:rPr>
          <w:rFonts w:ascii="Times New Roman" w:hAnsi="Times New Roman" w:cs="Times New Roman"/>
          <w:vertAlign w:val="superscript"/>
        </w:rPr>
        <w:t>3</w:t>
      </w:r>
      <w:r w:rsidRPr="009819ED">
        <w:rPr>
          <w:rFonts w:ascii="Times New Roman" w:hAnsi="Times New Roman" w:cs="Times New Roman"/>
        </w:rPr>
        <w:t>. W przypadku mieszanki kruszyw o uziarnieniu do 8 mm dopuszcza się 500 kg/m</w:t>
      </w:r>
      <w:r w:rsidRPr="009819ED">
        <w:rPr>
          <w:rFonts w:ascii="Times New Roman" w:hAnsi="Times New Roman" w:cs="Times New Roman"/>
          <w:vertAlign w:val="superscript"/>
        </w:rPr>
        <w:t>3</w:t>
      </w:r>
      <w:r w:rsidRPr="009819ED">
        <w:rPr>
          <w:rFonts w:ascii="Times New Roman" w:hAnsi="Times New Roman" w:cs="Times New Roman"/>
        </w:rPr>
        <w:t>.</w:t>
      </w:r>
    </w:p>
    <w:p w14:paraId="3F280734" w14:textId="77777777" w:rsidR="00A637AB" w:rsidRPr="009819ED" w:rsidRDefault="00A637AB" w:rsidP="00A637AB">
      <w:pPr>
        <w:spacing w:line="360" w:lineRule="auto"/>
        <w:jc w:val="both"/>
        <w:rPr>
          <w:rFonts w:ascii="Times New Roman" w:hAnsi="Times New Roman" w:cs="Times New Roman"/>
        </w:rPr>
      </w:pPr>
      <w:r w:rsidRPr="009819ED">
        <w:rPr>
          <w:rFonts w:ascii="Times New Roman" w:hAnsi="Times New Roman" w:cs="Times New Roman"/>
          <w:b/>
        </w:rPr>
        <w:t>5.3. Właściwości betonu</w:t>
      </w:r>
    </w:p>
    <w:p w14:paraId="7DA92576"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Należy wykonać próbki o wymiarach podanych poniżej w celu sprawdzenia cech betonu:</w:t>
      </w:r>
    </w:p>
    <w:p w14:paraId="5D0F1C52"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wytrzymałości na ściskanie zgodnie z PN-B-06250: 1988 [25] na próbkach 150 x 150 x 150 mm, sporządzonych i pielęgnowanych wg ww. normy lub PN-EN 12390-2:2001 [17],</w:t>
      </w:r>
    </w:p>
    <w:p w14:paraId="27BE6AC1"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wytrzymałości na rozciąganie przy zginaniu zgodnie z PN-S-96015:1975 [42] na próbkach 150 x 150 x 700 mm lub PN-EN 12390-6:2001[21]; dopuszcza się wytrzymałość na rozciąganie przy rozłupywaniu zgodnie z PN-EN 12390-6:2001 [21],</w:t>
      </w:r>
    </w:p>
    <w:p w14:paraId="4F123658"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odporności na działanie mrozu metodą bezpośrednią zgodnie z normą PN-B-06250: 1988 [25] na próbkach 100 x 100 x 100 mm, sporządzonych i pielęgnowanych wg ww. normy,</w:t>
      </w:r>
    </w:p>
    <w:p w14:paraId="08BBABB5"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lastRenderedPageBreak/>
        <w:t>nasiąkliwości zgodnie z normą PN-B-06250:1988 [25] na próbkach 100 x 100 x 100 mm, sporządzonych i pielęgnowanych wg ww. normy,</w:t>
      </w:r>
    </w:p>
    <w:p w14:paraId="22B6FB26"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odporności na działanie soli odladzających zgodnie z procedurą IBDiM nr PB-TB-01/2001 [48] na próbkach 100x100x100 mm sporządzonych i pielęgnowanych zgodnie z PN-B-06250:1988 [25].</w:t>
      </w:r>
    </w:p>
    <w:p w14:paraId="60CDA3B7" w14:textId="77777777" w:rsidR="00A637AB" w:rsidRPr="009819ED" w:rsidRDefault="00A637AB" w:rsidP="00A637AB">
      <w:pPr>
        <w:ind w:left="709"/>
        <w:jc w:val="both"/>
        <w:rPr>
          <w:rFonts w:ascii="Times New Roman" w:hAnsi="Times New Roman" w:cs="Times New Roman"/>
        </w:rPr>
      </w:pPr>
      <w:r w:rsidRPr="009819ED">
        <w:rPr>
          <w:rFonts w:ascii="Times New Roman" w:hAnsi="Times New Roman" w:cs="Times New Roman"/>
        </w:rPr>
        <w:t>Beton powinien spełniać wymagania określone w tablicy 8.</w:t>
      </w:r>
    </w:p>
    <w:p w14:paraId="4C0E8530" w14:textId="77777777" w:rsidR="00A637AB" w:rsidRPr="009819ED" w:rsidRDefault="00A637AB" w:rsidP="00A637AB">
      <w:pPr>
        <w:pStyle w:val="Standardowytekst0"/>
        <w:spacing w:before="120" w:after="120"/>
        <w:rPr>
          <w:sz w:val="22"/>
          <w:szCs w:val="22"/>
        </w:rPr>
      </w:pPr>
      <w:r w:rsidRPr="009819ED">
        <w:rPr>
          <w:sz w:val="22"/>
          <w:szCs w:val="22"/>
        </w:rPr>
        <w:t>Tablica 8. Wymagania dla betonu klasy od B30 do B50</w:t>
      </w:r>
    </w:p>
    <w:tbl>
      <w:tblPr>
        <w:tblW w:w="7528"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496"/>
        <w:gridCol w:w="3543"/>
        <w:gridCol w:w="1560"/>
        <w:gridCol w:w="75"/>
        <w:gridCol w:w="1854"/>
      </w:tblGrid>
      <w:tr w:rsidR="00A637AB" w:rsidRPr="009819ED" w14:paraId="1C7BA319" w14:textId="77777777" w:rsidTr="00C72960">
        <w:tc>
          <w:tcPr>
            <w:tcW w:w="496" w:type="dxa"/>
            <w:tcBorders>
              <w:top w:val="single" w:sz="6" w:space="0" w:color="000000"/>
              <w:left w:val="single" w:sz="6" w:space="0" w:color="000000"/>
              <w:bottom w:val="double" w:sz="6" w:space="0" w:color="000000"/>
            </w:tcBorders>
            <w:shd w:val="clear" w:color="auto" w:fill="auto"/>
          </w:tcPr>
          <w:p w14:paraId="641856E1"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Lp.</w:t>
            </w:r>
          </w:p>
        </w:tc>
        <w:tc>
          <w:tcPr>
            <w:tcW w:w="3543" w:type="dxa"/>
            <w:tcBorders>
              <w:top w:val="single" w:sz="6" w:space="0" w:color="000000"/>
              <w:left w:val="single" w:sz="6" w:space="0" w:color="000000"/>
              <w:bottom w:val="double" w:sz="6" w:space="0" w:color="000000"/>
            </w:tcBorders>
            <w:shd w:val="clear" w:color="auto" w:fill="auto"/>
          </w:tcPr>
          <w:p w14:paraId="14C9EAC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Właściwości</w:t>
            </w:r>
          </w:p>
        </w:tc>
        <w:tc>
          <w:tcPr>
            <w:tcW w:w="1560" w:type="dxa"/>
            <w:tcBorders>
              <w:top w:val="single" w:sz="6" w:space="0" w:color="000000"/>
              <w:left w:val="single" w:sz="6" w:space="0" w:color="000000"/>
              <w:bottom w:val="double" w:sz="6" w:space="0" w:color="000000"/>
            </w:tcBorders>
            <w:shd w:val="clear" w:color="auto" w:fill="auto"/>
          </w:tcPr>
          <w:p w14:paraId="2140A37F"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Wymagania</w:t>
            </w:r>
          </w:p>
        </w:tc>
        <w:tc>
          <w:tcPr>
            <w:tcW w:w="1929" w:type="dxa"/>
            <w:gridSpan w:val="2"/>
            <w:tcBorders>
              <w:top w:val="single" w:sz="6" w:space="0" w:color="000000"/>
              <w:left w:val="single" w:sz="6" w:space="0" w:color="000000"/>
              <w:bottom w:val="double" w:sz="6" w:space="0" w:color="000000"/>
              <w:right w:val="single" w:sz="6" w:space="0" w:color="000000"/>
            </w:tcBorders>
            <w:shd w:val="clear" w:color="auto" w:fill="auto"/>
          </w:tcPr>
          <w:p w14:paraId="47CCF263"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Badanie według</w:t>
            </w:r>
          </w:p>
        </w:tc>
      </w:tr>
      <w:tr w:rsidR="00A637AB" w:rsidRPr="009819ED" w14:paraId="0EF26064" w14:textId="77777777" w:rsidTr="00C72960">
        <w:tc>
          <w:tcPr>
            <w:tcW w:w="496" w:type="dxa"/>
            <w:tcBorders>
              <w:left w:val="single" w:sz="6" w:space="0" w:color="000000"/>
              <w:bottom w:val="single" w:sz="6" w:space="0" w:color="000000"/>
            </w:tcBorders>
            <w:shd w:val="clear" w:color="auto" w:fill="auto"/>
          </w:tcPr>
          <w:p w14:paraId="4E2CB579"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1</w:t>
            </w:r>
          </w:p>
        </w:tc>
        <w:tc>
          <w:tcPr>
            <w:tcW w:w="3543" w:type="dxa"/>
            <w:tcBorders>
              <w:left w:val="single" w:sz="6" w:space="0" w:color="000000"/>
              <w:bottom w:val="single" w:sz="6" w:space="0" w:color="000000"/>
            </w:tcBorders>
            <w:shd w:val="clear" w:color="auto" w:fill="auto"/>
          </w:tcPr>
          <w:p w14:paraId="243AB00F"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Wytrzymałość na ściskanie po 28 dniach dojrzewania, nie mniejsza niż, MPa</w:t>
            </w:r>
          </w:p>
        </w:tc>
        <w:tc>
          <w:tcPr>
            <w:tcW w:w="1560" w:type="dxa"/>
            <w:tcBorders>
              <w:left w:val="single" w:sz="6" w:space="0" w:color="000000"/>
              <w:bottom w:val="single" w:sz="6" w:space="0" w:color="000000"/>
            </w:tcBorders>
            <w:shd w:val="clear" w:color="auto" w:fill="auto"/>
          </w:tcPr>
          <w:p w14:paraId="7A8105C3" w14:textId="77777777" w:rsidR="00A637AB" w:rsidRPr="009819ED" w:rsidRDefault="00A637AB" w:rsidP="00C72960">
            <w:p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dla B30 dla B50</w:t>
            </w:r>
          </w:p>
        </w:tc>
        <w:tc>
          <w:tcPr>
            <w:tcW w:w="1929" w:type="dxa"/>
            <w:gridSpan w:val="2"/>
            <w:tcBorders>
              <w:left w:val="single" w:sz="6" w:space="0" w:color="000000"/>
              <w:bottom w:val="single" w:sz="6" w:space="0" w:color="000000"/>
              <w:right w:val="single" w:sz="6" w:space="0" w:color="000000"/>
            </w:tcBorders>
            <w:shd w:val="clear" w:color="auto" w:fill="auto"/>
          </w:tcPr>
          <w:p w14:paraId="42C713A2" w14:textId="77777777" w:rsidR="00A637AB" w:rsidRPr="009819ED" w:rsidRDefault="00A637AB" w:rsidP="00C72960">
            <w:pPr>
              <w:spacing w:after="0" w:line="240" w:lineRule="auto"/>
              <w:jc w:val="center"/>
              <w:rPr>
                <w:rFonts w:ascii="Times New Roman" w:hAnsi="Times New Roman" w:cs="Times New Roman"/>
                <w:lang w:val="de-DE"/>
              </w:rPr>
            </w:pPr>
            <w:r w:rsidRPr="009819ED">
              <w:rPr>
                <w:rFonts w:ascii="Times New Roman" w:hAnsi="Times New Roman" w:cs="Times New Roman"/>
                <w:lang w:val="de-DE"/>
              </w:rPr>
              <w:t>PN-B-06250 [25]</w:t>
            </w:r>
          </w:p>
          <w:p w14:paraId="6A490930"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lang w:val="de-DE"/>
              </w:rPr>
              <w:t>PN-EN 12390-</w:t>
            </w:r>
            <w:r w:rsidRPr="009819ED">
              <w:rPr>
                <w:rFonts w:ascii="Times New Roman" w:hAnsi="Times New Roman" w:cs="Times New Roman"/>
                <w:lang w:val="de-DE"/>
              </w:rPr>
              <w:softHyphen/>
              <w:t>3 [18]</w:t>
            </w:r>
          </w:p>
        </w:tc>
      </w:tr>
      <w:tr w:rsidR="00A637AB" w:rsidRPr="009819ED" w14:paraId="6740E6B2" w14:textId="77777777" w:rsidTr="00C72960">
        <w:tc>
          <w:tcPr>
            <w:tcW w:w="496" w:type="dxa"/>
            <w:tcBorders>
              <w:top w:val="single" w:sz="6" w:space="0" w:color="000000"/>
              <w:left w:val="single" w:sz="6" w:space="0" w:color="000000"/>
              <w:bottom w:val="single" w:sz="6" w:space="0" w:color="000000"/>
            </w:tcBorders>
            <w:shd w:val="clear" w:color="auto" w:fill="auto"/>
          </w:tcPr>
          <w:p w14:paraId="036889AA"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2</w:t>
            </w:r>
          </w:p>
        </w:tc>
        <w:tc>
          <w:tcPr>
            <w:tcW w:w="3543" w:type="dxa"/>
            <w:tcBorders>
              <w:top w:val="single" w:sz="6" w:space="0" w:color="000000"/>
              <w:left w:val="single" w:sz="6" w:space="0" w:color="000000"/>
              <w:bottom w:val="single" w:sz="6" w:space="0" w:color="000000"/>
            </w:tcBorders>
            <w:shd w:val="clear" w:color="auto" w:fill="auto"/>
          </w:tcPr>
          <w:p w14:paraId="5C75EE1C"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Wytrzymałość na rozciąganie przy zginaniu, po 28 dniach dojrzewania, nie mniejsza niż, MPa</w:t>
            </w:r>
          </w:p>
        </w:tc>
        <w:tc>
          <w:tcPr>
            <w:tcW w:w="1560" w:type="dxa"/>
            <w:tcBorders>
              <w:top w:val="single" w:sz="6" w:space="0" w:color="000000"/>
              <w:left w:val="single" w:sz="6" w:space="0" w:color="000000"/>
              <w:bottom w:val="single" w:sz="6" w:space="0" w:color="000000"/>
            </w:tcBorders>
            <w:shd w:val="clear" w:color="auto" w:fill="auto"/>
          </w:tcPr>
          <w:p w14:paraId="333CA095" w14:textId="77777777" w:rsidR="00A637AB" w:rsidRPr="009819ED" w:rsidRDefault="00A637AB" w:rsidP="00C72960">
            <w:pPr>
              <w:snapToGrid w:val="0"/>
              <w:spacing w:after="0" w:line="240" w:lineRule="auto"/>
              <w:jc w:val="center"/>
              <w:rPr>
                <w:rFonts w:ascii="Times New Roman" w:hAnsi="Times New Roman" w:cs="Times New Roman"/>
              </w:rPr>
            </w:pPr>
          </w:p>
          <w:p w14:paraId="37E949FF"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od 4,0 do 6,5</w:t>
            </w:r>
          </w:p>
        </w:tc>
        <w:tc>
          <w:tcPr>
            <w:tcW w:w="1929" w:type="dxa"/>
            <w:gridSpan w:val="2"/>
            <w:tcBorders>
              <w:top w:val="single" w:sz="6" w:space="0" w:color="000000"/>
              <w:left w:val="single" w:sz="6" w:space="0" w:color="000000"/>
              <w:bottom w:val="single" w:sz="6" w:space="0" w:color="000000"/>
              <w:right w:val="single" w:sz="6" w:space="0" w:color="000000"/>
            </w:tcBorders>
            <w:shd w:val="clear" w:color="auto" w:fill="auto"/>
          </w:tcPr>
          <w:p w14:paraId="0BC89BA0"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PN-S-96015 [42]</w:t>
            </w:r>
          </w:p>
          <w:p w14:paraId="2A06F064"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PN-E 12390-6[21]</w:t>
            </w:r>
          </w:p>
        </w:tc>
      </w:tr>
      <w:tr w:rsidR="00A637AB" w:rsidRPr="009819ED" w14:paraId="098A7A1D" w14:textId="77777777" w:rsidTr="00C72960">
        <w:tc>
          <w:tcPr>
            <w:tcW w:w="496" w:type="dxa"/>
            <w:tcBorders>
              <w:top w:val="single" w:sz="6" w:space="0" w:color="000000"/>
              <w:left w:val="single" w:sz="6" w:space="0" w:color="000000"/>
              <w:bottom w:val="single" w:sz="6" w:space="0" w:color="000000"/>
            </w:tcBorders>
            <w:shd w:val="clear" w:color="auto" w:fill="auto"/>
          </w:tcPr>
          <w:p w14:paraId="3FDF279C"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3</w:t>
            </w:r>
          </w:p>
        </w:tc>
        <w:tc>
          <w:tcPr>
            <w:tcW w:w="3543" w:type="dxa"/>
            <w:tcBorders>
              <w:top w:val="single" w:sz="6" w:space="0" w:color="000000"/>
              <w:left w:val="single" w:sz="6" w:space="0" w:color="000000"/>
              <w:bottom w:val="single" w:sz="6" w:space="0" w:color="000000"/>
            </w:tcBorders>
            <w:shd w:val="clear" w:color="auto" w:fill="auto"/>
          </w:tcPr>
          <w:p w14:paraId="6EFF698E"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Nasiąkliwość po 28 dniach dojrzewania, nie więcej niż, %</w:t>
            </w:r>
          </w:p>
        </w:tc>
        <w:tc>
          <w:tcPr>
            <w:tcW w:w="1560" w:type="dxa"/>
            <w:tcBorders>
              <w:top w:val="single" w:sz="6" w:space="0" w:color="000000"/>
              <w:left w:val="single" w:sz="6" w:space="0" w:color="000000"/>
              <w:bottom w:val="single" w:sz="6" w:space="0" w:color="000000"/>
            </w:tcBorders>
            <w:shd w:val="clear" w:color="auto" w:fill="auto"/>
          </w:tcPr>
          <w:p w14:paraId="57815D4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5,0</w:t>
            </w:r>
          </w:p>
        </w:tc>
        <w:tc>
          <w:tcPr>
            <w:tcW w:w="1929" w:type="dxa"/>
            <w:gridSpan w:val="2"/>
            <w:tcBorders>
              <w:top w:val="single" w:sz="6" w:space="0" w:color="000000"/>
              <w:left w:val="single" w:sz="6" w:space="0" w:color="000000"/>
              <w:bottom w:val="single" w:sz="6" w:space="0" w:color="000000"/>
              <w:right w:val="single" w:sz="6" w:space="0" w:color="000000"/>
            </w:tcBorders>
            <w:shd w:val="clear" w:color="auto" w:fill="auto"/>
          </w:tcPr>
          <w:p w14:paraId="18E44DD4"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PN-B-06250 [25]</w:t>
            </w:r>
          </w:p>
        </w:tc>
      </w:tr>
      <w:tr w:rsidR="00A637AB" w:rsidRPr="009819ED" w14:paraId="30A2A320" w14:textId="77777777" w:rsidTr="00C72960">
        <w:tc>
          <w:tcPr>
            <w:tcW w:w="496" w:type="dxa"/>
            <w:tcBorders>
              <w:top w:val="single" w:sz="6" w:space="0" w:color="000000"/>
              <w:left w:val="single" w:sz="6" w:space="0" w:color="000000"/>
              <w:bottom w:val="single" w:sz="6" w:space="0" w:color="000000"/>
            </w:tcBorders>
            <w:shd w:val="clear" w:color="auto" w:fill="auto"/>
          </w:tcPr>
          <w:p w14:paraId="207B5193"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4</w:t>
            </w:r>
          </w:p>
        </w:tc>
        <w:tc>
          <w:tcPr>
            <w:tcW w:w="3543" w:type="dxa"/>
            <w:tcBorders>
              <w:top w:val="single" w:sz="6" w:space="0" w:color="000000"/>
              <w:left w:val="single" w:sz="6" w:space="0" w:color="000000"/>
              <w:bottom w:val="single" w:sz="6" w:space="0" w:color="000000"/>
            </w:tcBorders>
            <w:shd w:val="clear" w:color="auto" w:fill="auto"/>
          </w:tcPr>
          <w:p w14:paraId="35F5403B" w14:textId="77777777" w:rsidR="00A637AB" w:rsidRPr="009819ED" w:rsidRDefault="00A637AB" w:rsidP="00C72960">
            <w:pPr>
              <w:spacing w:after="0" w:line="240" w:lineRule="auto"/>
              <w:rPr>
                <w:rFonts w:ascii="Times New Roman" w:hAnsi="Times New Roman" w:cs="Times New Roman"/>
              </w:rPr>
            </w:pPr>
            <w:r w:rsidRPr="009819ED">
              <w:rPr>
                <w:rFonts w:ascii="Times New Roman" w:hAnsi="Times New Roman" w:cs="Times New Roman"/>
              </w:rPr>
              <w:t>Mrozoodporność po 150 cyklach, przy badaniu bezpośrednim, ubytek masy, nie więcej niż, %</w:t>
            </w:r>
          </w:p>
          <w:p w14:paraId="1CADEA62"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Spadek wytrzymałości na ściskanie, nie więcej niż, %</w:t>
            </w:r>
          </w:p>
        </w:tc>
        <w:tc>
          <w:tcPr>
            <w:tcW w:w="1560" w:type="dxa"/>
            <w:tcBorders>
              <w:top w:val="single" w:sz="6" w:space="0" w:color="000000"/>
              <w:left w:val="single" w:sz="6" w:space="0" w:color="000000"/>
              <w:bottom w:val="single" w:sz="6" w:space="0" w:color="000000"/>
            </w:tcBorders>
            <w:shd w:val="clear" w:color="auto" w:fill="auto"/>
          </w:tcPr>
          <w:p w14:paraId="57056800" w14:textId="77777777" w:rsidR="00A637AB" w:rsidRPr="009819ED" w:rsidRDefault="00A637AB" w:rsidP="00C72960">
            <w:pPr>
              <w:snapToGrid w:val="0"/>
              <w:spacing w:after="0" w:line="240" w:lineRule="auto"/>
              <w:jc w:val="center"/>
              <w:rPr>
                <w:rFonts w:ascii="Times New Roman" w:hAnsi="Times New Roman" w:cs="Times New Roman"/>
              </w:rPr>
            </w:pPr>
          </w:p>
          <w:p w14:paraId="05739CE6" w14:textId="77777777" w:rsidR="00A637AB" w:rsidRPr="009819ED" w:rsidRDefault="00A637AB" w:rsidP="00C72960">
            <w:pPr>
              <w:spacing w:after="0" w:line="240" w:lineRule="auto"/>
              <w:jc w:val="center"/>
              <w:rPr>
                <w:rFonts w:ascii="Times New Roman" w:hAnsi="Times New Roman" w:cs="Times New Roman"/>
              </w:rPr>
            </w:pPr>
          </w:p>
          <w:p w14:paraId="3F56CF50"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5,0</w:t>
            </w:r>
          </w:p>
          <w:p w14:paraId="005C0CE7" w14:textId="77777777" w:rsidR="00A637AB" w:rsidRPr="009819ED" w:rsidRDefault="00A637AB" w:rsidP="00C72960">
            <w:pPr>
              <w:spacing w:after="0" w:line="240" w:lineRule="auto"/>
              <w:jc w:val="center"/>
              <w:rPr>
                <w:rFonts w:ascii="Times New Roman" w:hAnsi="Times New Roman" w:cs="Times New Roman"/>
              </w:rPr>
            </w:pPr>
          </w:p>
          <w:p w14:paraId="6667AF6A"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20</w:t>
            </w:r>
          </w:p>
        </w:tc>
        <w:tc>
          <w:tcPr>
            <w:tcW w:w="1929" w:type="dxa"/>
            <w:gridSpan w:val="2"/>
            <w:tcBorders>
              <w:top w:val="single" w:sz="6" w:space="0" w:color="000000"/>
              <w:left w:val="single" w:sz="6" w:space="0" w:color="000000"/>
              <w:bottom w:val="single" w:sz="6" w:space="0" w:color="000000"/>
              <w:right w:val="single" w:sz="6" w:space="0" w:color="000000"/>
            </w:tcBorders>
            <w:shd w:val="clear" w:color="auto" w:fill="auto"/>
          </w:tcPr>
          <w:p w14:paraId="32C169E0" w14:textId="77777777" w:rsidR="00A637AB" w:rsidRPr="009819ED" w:rsidRDefault="00A637AB" w:rsidP="00C72960">
            <w:pPr>
              <w:snapToGrid w:val="0"/>
              <w:spacing w:after="0" w:line="240" w:lineRule="auto"/>
              <w:jc w:val="center"/>
              <w:rPr>
                <w:rFonts w:ascii="Times New Roman" w:hAnsi="Times New Roman" w:cs="Times New Roman"/>
              </w:rPr>
            </w:pPr>
          </w:p>
          <w:p w14:paraId="41077B9C" w14:textId="77777777" w:rsidR="00A637AB" w:rsidRPr="009819ED" w:rsidRDefault="00A637AB" w:rsidP="00C72960">
            <w:pPr>
              <w:spacing w:after="0" w:line="240" w:lineRule="auto"/>
              <w:jc w:val="center"/>
              <w:rPr>
                <w:rFonts w:ascii="Times New Roman" w:hAnsi="Times New Roman" w:cs="Times New Roman"/>
              </w:rPr>
            </w:pPr>
          </w:p>
          <w:p w14:paraId="571DE33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PN-B-06250 [25]</w:t>
            </w:r>
          </w:p>
        </w:tc>
      </w:tr>
      <w:tr w:rsidR="00A637AB" w:rsidRPr="009819ED" w14:paraId="34056338" w14:textId="77777777" w:rsidTr="00C72960">
        <w:tc>
          <w:tcPr>
            <w:tcW w:w="496" w:type="dxa"/>
            <w:tcBorders>
              <w:top w:val="single" w:sz="6" w:space="0" w:color="000000"/>
              <w:left w:val="single" w:sz="6" w:space="0" w:color="000000"/>
              <w:bottom w:val="single" w:sz="6" w:space="0" w:color="000000"/>
            </w:tcBorders>
            <w:shd w:val="clear" w:color="auto" w:fill="auto"/>
          </w:tcPr>
          <w:p w14:paraId="6A58DCE9"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5</w:t>
            </w:r>
          </w:p>
        </w:tc>
        <w:tc>
          <w:tcPr>
            <w:tcW w:w="3543" w:type="dxa"/>
            <w:tcBorders>
              <w:top w:val="single" w:sz="6" w:space="0" w:color="000000"/>
              <w:left w:val="single" w:sz="6" w:space="0" w:color="000000"/>
              <w:bottom w:val="single" w:sz="6" w:space="0" w:color="000000"/>
            </w:tcBorders>
            <w:shd w:val="clear" w:color="auto" w:fill="auto"/>
          </w:tcPr>
          <w:p w14:paraId="6E1FD220"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Odporność na działanie soli odladzających po 50 cyklach w 3% NaCl</w:t>
            </w:r>
          </w:p>
        </w:tc>
        <w:tc>
          <w:tcPr>
            <w:tcW w:w="3489" w:type="dxa"/>
            <w:gridSpan w:val="3"/>
            <w:tcBorders>
              <w:top w:val="single" w:sz="6" w:space="0" w:color="000000"/>
              <w:left w:val="single" w:sz="6" w:space="0" w:color="000000"/>
              <w:bottom w:val="single" w:sz="6" w:space="0" w:color="000000"/>
              <w:right w:val="single" w:sz="6" w:space="0" w:color="000000"/>
            </w:tcBorders>
            <w:shd w:val="clear" w:color="auto" w:fill="auto"/>
          </w:tcPr>
          <w:p w14:paraId="55CCFCA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Zgodnie z procedurą IBDiM nr PB-TB-01/2001 [48]</w:t>
            </w:r>
          </w:p>
        </w:tc>
      </w:tr>
      <w:tr w:rsidR="00A637AB" w:rsidRPr="009819ED" w14:paraId="32E478F5" w14:textId="77777777" w:rsidTr="00C72960">
        <w:tc>
          <w:tcPr>
            <w:tcW w:w="496" w:type="dxa"/>
            <w:tcBorders>
              <w:top w:val="single" w:sz="6" w:space="0" w:color="000000"/>
              <w:left w:val="single" w:sz="6" w:space="0" w:color="000000"/>
              <w:bottom w:val="single" w:sz="6" w:space="0" w:color="000000"/>
            </w:tcBorders>
            <w:shd w:val="clear" w:color="auto" w:fill="auto"/>
          </w:tcPr>
          <w:p w14:paraId="4DBC18EF" w14:textId="77777777" w:rsidR="00A637AB" w:rsidRPr="009819ED" w:rsidRDefault="00A637AB" w:rsidP="00C72960">
            <w:pPr>
              <w:pStyle w:val="Standardowytekst0"/>
              <w:jc w:val="center"/>
              <w:rPr>
                <w:sz w:val="22"/>
                <w:szCs w:val="22"/>
              </w:rPr>
            </w:pPr>
            <w:r w:rsidRPr="009819ED">
              <w:rPr>
                <w:sz w:val="22"/>
                <w:szCs w:val="22"/>
              </w:rPr>
              <w:t>6</w:t>
            </w:r>
          </w:p>
        </w:tc>
        <w:tc>
          <w:tcPr>
            <w:tcW w:w="3543" w:type="dxa"/>
            <w:tcBorders>
              <w:top w:val="single" w:sz="6" w:space="0" w:color="000000"/>
              <w:left w:val="single" w:sz="6" w:space="0" w:color="000000"/>
              <w:bottom w:val="single" w:sz="6" w:space="0" w:color="000000"/>
            </w:tcBorders>
            <w:shd w:val="clear" w:color="auto" w:fill="auto"/>
          </w:tcPr>
          <w:p w14:paraId="44156E81"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Wskaźnik rozmieszczenia porów w betonie, nie więcej niż, mm</w:t>
            </w:r>
          </w:p>
        </w:tc>
        <w:tc>
          <w:tcPr>
            <w:tcW w:w="1635" w:type="dxa"/>
            <w:gridSpan w:val="2"/>
            <w:tcBorders>
              <w:top w:val="single" w:sz="6" w:space="0" w:color="000000"/>
              <w:left w:val="single" w:sz="6" w:space="0" w:color="000000"/>
              <w:bottom w:val="single" w:sz="6" w:space="0" w:color="000000"/>
            </w:tcBorders>
            <w:shd w:val="clear" w:color="auto" w:fill="auto"/>
          </w:tcPr>
          <w:p w14:paraId="053D1100"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0,200</w:t>
            </w:r>
          </w:p>
        </w:tc>
        <w:tc>
          <w:tcPr>
            <w:tcW w:w="1854" w:type="dxa"/>
            <w:tcBorders>
              <w:top w:val="single" w:sz="6" w:space="0" w:color="000000"/>
              <w:left w:val="single" w:sz="6" w:space="0" w:color="000000"/>
              <w:bottom w:val="single" w:sz="6" w:space="0" w:color="000000"/>
              <w:right w:val="single" w:sz="6" w:space="0" w:color="000000"/>
            </w:tcBorders>
            <w:shd w:val="clear" w:color="auto" w:fill="auto"/>
          </w:tcPr>
          <w:p w14:paraId="12C1E114"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PN-EN 480-11 [7]</w:t>
            </w:r>
          </w:p>
        </w:tc>
      </w:tr>
    </w:tbl>
    <w:p w14:paraId="02012DCB" w14:textId="77777777" w:rsidR="00A637AB" w:rsidRPr="009819ED" w:rsidRDefault="00A637AB" w:rsidP="00A637AB">
      <w:pPr>
        <w:pStyle w:val="Nagwek2"/>
        <w:rPr>
          <w:sz w:val="22"/>
          <w:szCs w:val="22"/>
        </w:rPr>
      </w:pPr>
      <w:r w:rsidRPr="009819ED">
        <w:rPr>
          <w:sz w:val="22"/>
          <w:szCs w:val="22"/>
        </w:rPr>
        <w:t>5.4. Warunki przystąpienia do robót</w:t>
      </w:r>
    </w:p>
    <w:p w14:paraId="02466F9C"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Nawierzchnia betonowa nie powinna być wykonywana gdy temperatura powietrza jest niższa niż 5</w:t>
      </w:r>
      <w:r w:rsidRPr="009819ED">
        <w:rPr>
          <w:rFonts w:ascii="Times New Roman" w:hAnsi="Times New Roman" w:cs="Times New Roman"/>
          <w:vertAlign w:val="superscript"/>
        </w:rPr>
        <w:t>o</w:t>
      </w:r>
      <w:r w:rsidRPr="009819ED">
        <w:rPr>
          <w:rFonts w:ascii="Times New Roman" w:hAnsi="Times New Roman" w:cs="Times New Roman"/>
        </w:rPr>
        <w:t>C i nie wyższa niż 25</w:t>
      </w:r>
      <w:r w:rsidRPr="009819ED">
        <w:rPr>
          <w:rFonts w:ascii="Times New Roman" w:hAnsi="Times New Roman" w:cs="Times New Roman"/>
          <w:vertAlign w:val="superscript"/>
        </w:rPr>
        <w:t>o</w:t>
      </w:r>
      <w:r w:rsidRPr="009819ED">
        <w:rPr>
          <w:rFonts w:ascii="Times New Roman" w:hAnsi="Times New Roman" w:cs="Times New Roman"/>
        </w:rPr>
        <w:t xml:space="preserve">C. Przestrzeganie tych przedziałów temperatur zapewnia prawidłowy przebieg hydratacji cementu i twardnienia betonu, co gwarantuje uzyskanie wymaganej wytrzymałości i trwałości nawierzchni. </w:t>
      </w:r>
    </w:p>
    <w:p w14:paraId="63346340"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Dopuszcza się wykonywanie nawierzchni betonowej w temperaturze powietrza powyżej 25</w:t>
      </w:r>
      <w:r w:rsidRPr="009819ED">
        <w:rPr>
          <w:rFonts w:ascii="Times New Roman" w:hAnsi="Times New Roman" w:cs="Times New Roman"/>
          <w:vertAlign w:val="superscript"/>
        </w:rPr>
        <w:t>0</w:t>
      </w:r>
      <w:r w:rsidRPr="009819ED">
        <w:rPr>
          <w:rFonts w:ascii="Times New Roman" w:hAnsi="Times New Roman" w:cs="Times New Roman"/>
        </w:rPr>
        <w:t>C pod warunkiem, że temperatura mieszanki betonowej nie przekroczy 30</w:t>
      </w:r>
      <w:r w:rsidRPr="009819ED">
        <w:rPr>
          <w:rFonts w:ascii="Times New Roman" w:hAnsi="Times New Roman" w:cs="Times New Roman"/>
          <w:vertAlign w:val="superscript"/>
        </w:rPr>
        <w:t>0</w:t>
      </w:r>
      <w:r w:rsidRPr="009819ED">
        <w:rPr>
          <w:rFonts w:ascii="Times New Roman" w:hAnsi="Times New Roman" w:cs="Times New Roman"/>
        </w:rPr>
        <w:t>C. W przypadkach koniecznych dopuszcza się wykonywanie nawierzchni betonowej w temperaturze powietrza poniżej 5</w:t>
      </w:r>
      <w:r w:rsidRPr="009819ED">
        <w:rPr>
          <w:rFonts w:ascii="Times New Roman" w:hAnsi="Times New Roman" w:cs="Times New Roman"/>
          <w:vertAlign w:val="superscript"/>
        </w:rPr>
        <w:t>0</w:t>
      </w:r>
      <w:r w:rsidRPr="009819ED">
        <w:rPr>
          <w:rFonts w:ascii="Times New Roman" w:hAnsi="Times New Roman" w:cs="Times New Roman"/>
        </w:rPr>
        <w:t>C pod warunkiem stosowania zabiegów specjalnych, pozwalających na utrzymanie temperatury mieszanki betonowej powyżej 5</w:t>
      </w:r>
      <w:r w:rsidRPr="009819ED">
        <w:rPr>
          <w:rFonts w:ascii="Times New Roman" w:hAnsi="Times New Roman" w:cs="Times New Roman"/>
          <w:vertAlign w:val="superscript"/>
        </w:rPr>
        <w:t>0</w:t>
      </w:r>
      <w:r w:rsidRPr="009819ED">
        <w:rPr>
          <w:rFonts w:ascii="Times New Roman" w:hAnsi="Times New Roman" w:cs="Times New Roman"/>
        </w:rPr>
        <w:t>C przez okres co najmniej 3 dni.</w:t>
      </w:r>
    </w:p>
    <w:p w14:paraId="6BD08C33" w14:textId="77777777" w:rsidR="00A637AB" w:rsidRPr="009819ED" w:rsidRDefault="00A637AB" w:rsidP="00A637AB">
      <w:pPr>
        <w:ind w:firstLine="709"/>
        <w:jc w:val="both"/>
        <w:rPr>
          <w:rFonts w:ascii="Times New Roman" w:hAnsi="Times New Roman" w:cs="Times New Roman"/>
        </w:rPr>
      </w:pPr>
      <w:r w:rsidRPr="009819ED">
        <w:rPr>
          <w:rFonts w:ascii="Times New Roman" w:hAnsi="Times New Roman" w:cs="Times New Roman"/>
        </w:rPr>
        <w:t>Betonowania nie można wykonywać podczas opadów deszczu.</w:t>
      </w:r>
    </w:p>
    <w:p w14:paraId="3A9F5FB0" w14:textId="77777777" w:rsidR="00A637AB" w:rsidRPr="009819ED" w:rsidRDefault="00A637AB" w:rsidP="00A637AB">
      <w:pPr>
        <w:ind w:firstLine="709"/>
        <w:jc w:val="both"/>
        <w:rPr>
          <w:rFonts w:ascii="Times New Roman" w:hAnsi="Times New Roman" w:cs="Times New Roman"/>
        </w:rPr>
      </w:pPr>
      <w:r w:rsidRPr="009819ED">
        <w:rPr>
          <w:rFonts w:ascii="Times New Roman" w:hAnsi="Times New Roman" w:cs="Times New Roman"/>
        </w:rPr>
        <w:t>Dopuszczalny zakres temperatury mieszanki betonowej i temperatury powietrza podano w tablicy 9.</w:t>
      </w:r>
    </w:p>
    <w:p w14:paraId="0F26B0CB" w14:textId="77777777" w:rsidR="00A637AB" w:rsidRPr="009819ED" w:rsidRDefault="00A637AB" w:rsidP="00A637AB">
      <w:pPr>
        <w:pStyle w:val="Tekstprzypisudolnego"/>
        <w:spacing w:after="120"/>
        <w:rPr>
          <w:sz w:val="22"/>
          <w:szCs w:val="22"/>
        </w:rPr>
      </w:pPr>
      <w:r w:rsidRPr="009819ED">
        <w:rPr>
          <w:sz w:val="22"/>
          <w:szCs w:val="22"/>
        </w:rPr>
        <w:t>Tablica 9. Zakres temperatur dla wykonywania nawierzchni betonowej</w:t>
      </w:r>
    </w:p>
    <w:tbl>
      <w:tblPr>
        <w:tblW w:w="7524"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1913"/>
        <w:gridCol w:w="2537"/>
        <w:gridCol w:w="3074"/>
      </w:tblGrid>
      <w:tr w:rsidR="00A637AB" w:rsidRPr="009819ED" w14:paraId="14C1E320" w14:textId="77777777" w:rsidTr="00C72960">
        <w:tc>
          <w:tcPr>
            <w:tcW w:w="1913" w:type="dxa"/>
            <w:tcBorders>
              <w:top w:val="single" w:sz="6" w:space="0" w:color="000000"/>
              <w:left w:val="single" w:sz="6" w:space="0" w:color="000000"/>
              <w:bottom w:val="double" w:sz="6" w:space="0" w:color="000000"/>
            </w:tcBorders>
            <w:shd w:val="clear" w:color="auto" w:fill="auto"/>
          </w:tcPr>
          <w:p w14:paraId="5A5904A8"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Temperatura powietrza t</w:t>
            </w:r>
            <w:r w:rsidRPr="009819ED">
              <w:rPr>
                <w:rFonts w:ascii="Times New Roman" w:hAnsi="Times New Roman" w:cs="Times New Roman"/>
                <w:vertAlign w:val="subscript"/>
              </w:rPr>
              <w:t>p,</w:t>
            </w:r>
            <w:r w:rsidRPr="009819ED">
              <w:rPr>
                <w:rFonts w:ascii="Times New Roman" w:hAnsi="Times New Roman" w:cs="Times New Roman"/>
              </w:rPr>
              <w:t xml:space="preserve"> </w:t>
            </w:r>
            <w:r w:rsidRPr="009819ED">
              <w:rPr>
                <w:rFonts w:ascii="Times New Roman" w:hAnsi="Times New Roman" w:cs="Times New Roman"/>
                <w:vertAlign w:val="superscript"/>
              </w:rPr>
              <w:t>0</w:t>
            </w:r>
            <w:r w:rsidRPr="009819ED">
              <w:rPr>
                <w:rFonts w:ascii="Times New Roman" w:hAnsi="Times New Roman" w:cs="Times New Roman"/>
              </w:rPr>
              <w:t>C</w:t>
            </w:r>
          </w:p>
        </w:tc>
        <w:tc>
          <w:tcPr>
            <w:tcW w:w="2537" w:type="dxa"/>
            <w:tcBorders>
              <w:top w:val="single" w:sz="6" w:space="0" w:color="000000"/>
              <w:left w:val="single" w:sz="6" w:space="0" w:color="000000"/>
              <w:bottom w:val="double" w:sz="6" w:space="0" w:color="000000"/>
            </w:tcBorders>
            <w:shd w:val="clear" w:color="auto" w:fill="auto"/>
          </w:tcPr>
          <w:p w14:paraId="2414819E"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Temperatura układanej mieszanki betonowej t</w:t>
            </w:r>
            <w:r w:rsidRPr="009819ED">
              <w:rPr>
                <w:rFonts w:ascii="Times New Roman" w:hAnsi="Times New Roman" w:cs="Times New Roman"/>
                <w:vertAlign w:val="subscript"/>
              </w:rPr>
              <w:t>b,</w:t>
            </w:r>
            <w:r w:rsidRPr="009819ED">
              <w:rPr>
                <w:rFonts w:ascii="Times New Roman" w:hAnsi="Times New Roman" w:cs="Times New Roman"/>
              </w:rPr>
              <w:t xml:space="preserve"> </w:t>
            </w:r>
            <w:r w:rsidRPr="009819ED">
              <w:rPr>
                <w:rFonts w:ascii="Times New Roman" w:hAnsi="Times New Roman" w:cs="Times New Roman"/>
                <w:vertAlign w:val="superscript"/>
              </w:rPr>
              <w:t>o</w:t>
            </w:r>
            <w:r w:rsidRPr="009819ED">
              <w:rPr>
                <w:rFonts w:ascii="Times New Roman" w:hAnsi="Times New Roman" w:cs="Times New Roman"/>
              </w:rPr>
              <w:t>C</w:t>
            </w:r>
          </w:p>
        </w:tc>
        <w:tc>
          <w:tcPr>
            <w:tcW w:w="3074" w:type="dxa"/>
            <w:tcBorders>
              <w:top w:val="single" w:sz="6" w:space="0" w:color="000000"/>
              <w:left w:val="single" w:sz="6" w:space="0" w:color="000000"/>
              <w:bottom w:val="double" w:sz="6" w:space="0" w:color="000000"/>
              <w:right w:val="single" w:sz="6" w:space="0" w:color="000000"/>
            </w:tcBorders>
            <w:shd w:val="clear" w:color="auto" w:fill="auto"/>
          </w:tcPr>
          <w:p w14:paraId="41BD430B" w14:textId="77777777" w:rsidR="00A637AB" w:rsidRPr="009819ED" w:rsidRDefault="00A637AB" w:rsidP="00C72960">
            <w:pPr>
              <w:overflowPunct w:val="0"/>
              <w:autoSpaceDE w:val="0"/>
              <w:spacing w:before="120" w:after="0" w:line="240" w:lineRule="auto"/>
              <w:jc w:val="center"/>
              <w:rPr>
                <w:rFonts w:ascii="Times New Roman" w:hAnsi="Times New Roman" w:cs="Times New Roman"/>
              </w:rPr>
            </w:pPr>
            <w:r w:rsidRPr="009819ED">
              <w:rPr>
                <w:rFonts w:ascii="Times New Roman" w:hAnsi="Times New Roman" w:cs="Times New Roman"/>
              </w:rPr>
              <w:t>Uwagi</w:t>
            </w:r>
          </w:p>
        </w:tc>
      </w:tr>
      <w:tr w:rsidR="00A637AB" w:rsidRPr="009819ED" w14:paraId="24D1A5CC" w14:textId="77777777" w:rsidTr="00C72960">
        <w:tc>
          <w:tcPr>
            <w:tcW w:w="1913" w:type="dxa"/>
            <w:tcBorders>
              <w:left w:val="single" w:sz="6" w:space="0" w:color="000000"/>
              <w:bottom w:val="single" w:sz="6" w:space="0" w:color="000000"/>
            </w:tcBorders>
            <w:shd w:val="clear" w:color="auto" w:fill="auto"/>
          </w:tcPr>
          <w:p w14:paraId="6D330C34" w14:textId="77777777" w:rsidR="00A637AB" w:rsidRPr="009819ED" w:rsidRDefault="00A637AB" w:rsidP="00C03D2F">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+ 5 </w:t>
            </w:r>
            <w:r w:rsidR="00C03D2F">
              <w:rPr>
                <w:rFonts w:ascii="Times New Roman" w:eastAsia="Symbol" w:hAnsi="Times New Roman" w:cs="Times New Roman"/>
              </w:rPr>
              <w:t>&lt;</w:t>
            </w:r>
            <w:r w:rsidRPr="009819ED">
              <w:rPr>
                <w:rFonts w:ascii="Times New Roman" w:hAnsi="Times New Roman" w:cs="Times New Roman"/>
              </w:rPr>
              <w:t xml:space="preserve"> t</w:t>
            </w:r>
            <w:r w:rsidRPr="009819ED">
              <w:rPr>
                <w:rFonts w:ascii="Times New Roman" w:hAnsi="Times New Roman" w:cs="Times New Roman"/>
                <w:vertAlign w:val="subscript"/>
              </w:rPr>
              <w:t>p</w:t>
            </w:r>
            <w:r w:rsidRPr="009819ED">
              <w:rPr>
                <w:rFonts w:ascii="Times New Roman" w:hAnsi="Times New Roman" w:cs="Times New Roman"/>
              </w:rPr>
              <w:t xml:space="preserve"> </w:t>
            </w:r>
            <w:r w:rsidR="00C03D2F">
              <w:rPr>
                <w:rFonts w:ascii="Times New Roman" w:eastAsia="Symbol" w:hAnsi="Times New Roman" w:cs="Times New Roman"/>
              </w:rPr>
              <w:t>≤</w:t>
            </w:r>
            <w:r w:rsidRPr="009819ED">
              <w:rPr>
                <w:rFonts w:ascii="Times New Roman" w:hAnsi="Times New Roman" w:cs="Times New Roman"/>
              </w:rPr>
              <w:t xml:space="preserve"> + 25</w:t>
            </w:r>
          </w:p>
        </w:tc>
        <w:tc>
          <w:tcPr>
            <w:tcW w:w="2537" w:type="dxa"/>
            <w:tcBorders>
              <w:left w:val="single" w:sz="6" w:space="0" w:color="000000"/>
              <w:bottom w:val="single" w:sz="6" w:space="0" w:color="000000"/>
            </w:tcBorders>
            <w:shd w:val="clear" w:color="auto" w:fill="auto"/>
          </w:tcPr>
          <w:p w14:paraId="5A680EF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+ 5 </w:t>
            </w:r>
            <w:r w:rsidR="00C03D2F">
              <w:rPr>
                <w:rFonts w:ascii="Times New Roman" w:eastAsia="Symbol" w:hAnsi="Times New Roman" w:cs="Times New Roman"/>
              </w:rPr>
              <w:t>≤</w:t>
            </w:r>
            <w:r w:rsidRPr="009819ED">
              <w:rPr>
                <w:rFonts w:ascii="Times New Roman" w:hAnsi="Times New Roman" w:cs="Times New Roman"/>
              </w:rPr>
              <w:t xml:space="preserve"> t</w:t>
            </w:r>
            <w:r w:rsidRPr="009819ED">
              <w:rPr>
                <w:rFonts w:ascii="Times New Roman" w:hAnsi="Times New Roman" w:cs="Times New Roman"/>
                <w:vertAlign w:val="subscript"/>
              </w:rPr>
              <w:t>b</w:t>
            </w:r>
            <w:r w:rsidR="00C03D2F">
              <w:rPr>
                <w:rFonts w:ascii="Times New Roman" w:eastAsia="Symbol" w:hAnsi="Times New Roman" w:cs="Times New Roman"/>
              </w:rPr>
              <w:t>≤</w:t>
            </w:r>
            <w:r w:rsidRPr="009819ED">
              <w:rPr>
                <w:rFonts w:ascii="Times New Roman" w:hAnsi="Times New Roman" w:cs="Times New Roman"/>
              </w:rPr>
              <w:t xml:space="preserve"> + 30</w:t>
            </w:r>
          </w:p>
        </w:tc>
        <w:tc>
          <w:tcPr>
            <w:tcW w:w="3074" w:type="dxa"/>
            <w:tcBorders>
              <w:left w:val="single" w:sz="6" w:space="0" w:color="000000"/>
              <w:bottom w:val="single" w:sz="6" w:space="0" w:color="000000"/>
              <w:right w:val="single" w:sz="6" w:space="0" w:color="000000"/>
            </w:tcBorders>
            <w:shd w:val="clear" w:color="auto" w:fill="auto"/>
          </w:tcPr>
          <w:p w14:paraId="6512FF1B"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dopuszcza się prowadzenie robót</w:t>
            </w:r>
          </w:p>
        </w:tc>
      </w:tr>
      <w:tr w:rsidR="00A637AB" w:rsidRPr="009819ED" w14:paraId="0786EAC4" w14:textId="77777777" w:rsidTr="00C72960">
        <w:tc>
          <w:tcPr>
            <w:tcW w:w="1913" w:type="dxa"/>
            <w:tcBorders>
              <w:top w:val="single" w:sz="6" w:space="0" w:color="000000"/>
              <w:left w:val="single" w:sz="6" w:space="0" w:color="000000"/>
              <w:bottom w:val="single" w:sz="6" w:space="0" w:color="000000"/>
            </w:tcBorders>
            <w:shd w:val="clear" w:color="auto" w:fill="auto"/>
          </w:tcPr>
          <w:p w14:paraId="19D247AC"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 xml:space="preserve">+ 25 </w:t>
            </w:r>
            <w:r w:rsidR="00C03D2F">
              <w:rPr>
                <w:rFonts w:ascii="Times New Roman" w:eastAsia="Symbol" w:hAnsi="Times New Roman" w:cs="Times New Roman"/>
              </w:rPr>
              <w:t>&lt;</w:t>
            </w:r>
            <w:r w:rsidRPr="009819ED">
              <w:rPr>
                <w:rFonts w:ascii="Times New Roman" w:hAnsi="Times New Roman" w:cs="Times New Roman"/>
              </w:rPr>
              <w:t xml:space="preserve"> t</w:t>
            </w:r>
            <w:r w:rsidRPr="009819ED">
              <w:rPr>
                <w:rFonts w:ascii="Times New Roman" w:hAnsi="Times New Roman" w:cs="Times New Roman"/>
                <w:vertAlign w:val="subscript"/>
              </w:rPr>
              <w:t>p</w:t>
            </w:r>
            <w:r w:rsidRPr="009819ED">
              <w:rPr>
                <w:rFonts w:ascii="Times New Roman" w:hAnsi="Times New Roman" w:cs="Times New Roman"/>
              </w:rPr>
              <w:t xml:space="preserve"> </w:t>
            </w:r>
            <w:r w:rsidR="00C03D2F">
              <w:rPr>
                <w:rFonts w:ascii="Times New Roman" w:eastAsia="Symbol" w:hAnsi="Times New Roman" w:cs="Times New Roman"/>
              </w:rPr>
              <w:t>&lt;</w:t>
            </w:r>
            <w:r w:rsidRPr="009819ED">
              <w:rPr>
                <w:rFonts w:ascii="Times New Roman" w:hAnsi="Times New Roman" w:cs="Times New Roman"/>
              </w:rPr>
              <w:t xml:space="preserve"> + 30</w:t>
            </w:r>
          </w:p>
        </w:tc>
        <w:tc>
          <w:tcPr>
            <w:tcW w:w="2537" w:type="dxa"/>
            <w:tcBorders>
              <w:top w:val="single" w:sz="6" w:space="0" w:color="000000"/>
              <w:left w:val="single" w:sz="6" w:space="0" w:color="000000"/>
              <w:bottom w:val="single" w:sz="6" w:space="0" w:color="000000"/>
            </w:tcBorders>
            <w:shd w:val="clear" w:color="auto" w:fill="auto"/>
          </w:tcPr>
          <w:p w14:paraId="33144CAE"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t</w:t>
            </w:r>
            <w:r w:rsidRPr="009819ED">
              <w:rPr>
                <w:rFonts w:ascii="Times New Roman" w:hAnsi="Times New Roman" w:cs="Times New Roman"/>
                <w:vertAlign w:val="subscript"/>
              </w:rPr>
              <w:t>b</w:t>
            </w:r>
            <w:r w:rsidRPr="009819ED">
              <w:rPr>
                <w:rFonts w:ascii="Times New Roman" w:hAnsi="Times New Roman" w:cs="Times New Roman"/>
              </w:rPr>
              <w:t xml:space="preserve"> </w:t>
            </w:r>
            <w:r w:rsidR="00C03D2F">
              <w:rPr>
                <w:rFonts w:ascii="Times New Roman" w:eastAsia="Symbol" w:hAnsi="Times New Roman" w:cs="Times New Roman"/>
              </w:rPr>
              <w:t>≤</w:t>
            </w:r>
            <w:r w:rsidRPr="009819ED">
              <w:rPr>
                <w:rFonts w:ascii="Times New Roman" w:hAnsi="Times New Roman" w:cs="Times New Roman"/>
              </w:rPr>
              <w:t xml:space="preserve"> + 30</w:t>
            </w:r>
          </w:p>
        </w:tc>
        <w:tc>
          <w:tcPr>
            <w:tcW w:w="3074" w:type="dxa"/>
            <w:tcBorders>
              <w:top w:val="single" w:sz="6" w:space="0" w:color="000000"/>
              <w:left w:val="single" w:sz="6" w:space="0" w:color="000000"/>
              <w:bottom w:val="single" w:sz="6" w:space="0" w:color="000000"/>
              <w:right w:val="single" w:sz="6" w:space="0" w:color="000000"/>
            </w:tcBorders>
            <w:shd w:val="clear" w:color="auto" w:fill="auto"/>
          </w:tcPr>
          <w:p w14:paraId="2CCE75B8"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stosowanie specjalnych zabiegów</w:t>
            </w:r>
          </w:p>
        </w:tc>
      </w:tr>
    </w:tbl>
    <w:p w14:paraId="5DE9094A" w14:textId="77777777" w:rsidR="00A637AB" w:rsidRPr="009819ED" w:rsidRDefault="00A637AB" w:rsidP="00A637AB">
      <w:pPr>
        <w:pStyle w:val="Nagwek2"/>
        <w:rPr>
          <w:sz w:val="22"/>
          <w:szCs w:val="22"/>
        </w:rPr>
      </w:pPr>
      <w:r w:rsidRPr="009819ED">
        <w:rPr>
          <w:sz w:val="22"/>
          <w:szCs w:val="22"/>
        </w:rPr>
        <w:lastRenderedPageBreak/>
        <w:t>5.5. Przygotowanie podbudowy</w:t>
      </w:r>
    </w:p>
    <w:p w14:paraId="50163C8A" w14:textId="77777777" w:rsidR="00A637AB" w:rsidRPr="009819ED" w:rsidRDefault="00A637AB" w:rsidP="00A637AB">
      <w:pPr>
        <w:pStyle w:val="Standardowytekst0"/>
        <w:rPr>
          <w:sz w:val="22"/>
          <w:szCs w:val="22"/>
        </w:rPr>
      </w:pPr>
      <w:r w:rsidRPr="009819ED">
        <w:rPr>
          <w:sz w:val="22"/>
          <w:szCs w:val="22"/>
        </w:rPr>
        <w:tab/>
        <w:t>Podbudowę może stanowić: chudy beton wg ST D-04.06.01 „Podbudowa z chudego betonu”, grunt stabilizowany cementem wg ST D-04.05.00 „Podbudowa i ulepszone podłoże z gruntu lub kruszywa stabilizowanego cementem”, kruszywo stabilizowane mechanicznie wg ST D-04.04.02 „Podbudowa z kruszywa łamanego stabilizowanego mechanicznie”, beton asfaltowy wg ST D-04.07.01 „Podbudowa z betonu asfaltowego” lub istniejąca stara nawierzchnia.</w:t>
      </w:r>
    </w:p>
    <w:p w14:paraId="001D601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Podbudowa powinna być przygotowana zgodnie z wymaganiami określonymi w SST dla poszczególnych rodzajów podbudów.</w:t>
      </w:r>
    </w:p>
    <w:p w14:paraId="01FCF42F" w14:textId="77777777" w:rsidR="00A637AB" w:rsidRPr="009819ED" w:rsidRDefault="00A637AB" w:rsidP="00A637AB">
      <w:pPr>
        <w:pStyle w:val="Nagwek2"/>
        <w:rPr>
          <w:sz w:val="22"/>
          <w:szCs w:val="22"/>
        </w:rPr>
      </w:pPr>
      <w:r w:rsidRPr="009819ED">
        <w:rPr>
          <w:sz w:val="22"/>
          <w:szCs w:val="22"/>
        </w:rPr>
        <w:t>5.6. Wytwarzanie mieszanki betonowej</w:t>
      </w:r>
    </w:p>
    <w:p w14:paraId="603052AA"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Mieszankę betonową o ściśle określonym składzie zawartym w recepcie laboratoryjnej, należy wytwarzać w wytwórniach betonu, zapewniających ciągłość produkcji i gwarantujących otrzymanie jednorodnej mieszanki.</w:t>
      </w:r>
    </w:p>
    <w:p w14:paraId="38E036B0" w14:textId="77777777" w:rsidR="00A637AB" w:rsidRPr="009819ED" w:rsidRDefault="00A637AB" w:rsidP="00A637AB">
      <w:pPr>
        <w:pStyle w:val="Standardowytekst0"/>
        <w:rPr>
          <w:sz w:val="22"/>
          <w:szCs w:val="22"/>
        </w:rPr>
      </w:pPr>
      <w:r w:rsidRPr="009819ED">
        <w:rPr>
          <w:sz w:val="22"/>
          <w:szCs w:val="22"/>
        </w:rPr>
        <w:tab/>
        <w:t>Składniki betonu powinny być dozowane zgodnie z normą PN-B-06250:1988 [25] lub PN-EN 206-1:2000 [6]. Domieszkę napowietrzającą należy dozować razem z wodą zarobową.</w:t>
      </w:r>
    </w:p>
    <w:p w14:paraId="0C9EC9EB"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Mieszanka po wyprodukowaniu powinna być od razu transportowana na miejsce wbudowania w sposób zabezpieczający przed segregacją i wysychaniem.</w:t>
      </w:r>
    </w:p>
    <w:p w14:paraId="42B4F6E4" w14:textId="77777777" w:rsidR="00A637AB" w:rsidRPr="009819ED" w:rsidRDefault="00A637AB" w:rsidP="00A637AB">
      <w:pPr>
        <w:pStyle w:val="Nagwek2"/>
        <w:rPr>
          <w:sz w:val="22"/>
          <w:szCs w:val="22"/>
        </w:rPr>
      </w:pPr>
      <w:r w:rsidRPr="009819ED">
        <w:rPr>
          <w:sz w:val="22"/>
          <w:szCs w:val="22"/>
        </w:rPr>
        <w:t>5.7. Wbudowywanie mieszanki betonowej</w:t>
      </w:r>
    </w:p>
    <w:p w14:paraId="33705D5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Wbudowywanie mieszanki betonowej może się odbywać się:</w:t>
      </w:r>
    </w:p>
    <w:p w14:paraId="78B9F4F9"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 deskowaniu stałym (w prowadnicach),</w:t>
      </w:r>
    </w:p>
    <w:p w14:paraId="10F7E5E7"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 deskowaniu przesuwnym (ślizgowym).</w:t>
      </w:r>
    </w:p>
    <w:p w14:paraId="113B82B2"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Wbudowywanie mieszanki betonowej w nawierzchnię należy wykonywać mechanicznie, przy zastosowaniu odpowiedniego sprzętu, zapewniającego równomierne rozłożenie masy oraz zachowanie jej jednorodności, zgodnie z wymaganiami normy PN-S-96015:1975 [42]. Do zagęszczenia mieszanki betonowej należy stosować mechaniczne urządzenia wibracyjne, zapewniające jednolite zagęszczenie. Świeżo zagęszczonej nawierzchni betonowej należy nadać teksturę. Sposób nadania tekstury powinien być określony w SST i zaakceptowany przez Inżyniera.</w:t>
      </w:r>
    </w:p>
    <w:p w14:paraId="3311ADD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Dopuszcza się ręczne wbudowywanie mieszanki betonowej, przy układaniu małych, o nieregularnych kształtach powierzchni, po uzyskaniu  na to zgody Inżyniera.</w:t>
      </w:r>
    </w:p>
    <w:p w14:paraId="484726BD"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5.7.1. </w:t>
      </w:r>
      <w:r w:rsidRPr="009819ED">
        <w:rPr>
          <w:rFonts w:ascii="Times New Roman" w:hAnsi="Times New Roman" w:cs="Times New Roman"/>
        </w:rPr>
        <w:t>Wbudowywanie w deskowaniu stałym</w:t>
      </w:r>
    </w:p>
    <w:p w14:paraId="6CA5F062"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 xml:space="preserve">Wbudowywanie mieszanki betonowej w deskowaniu stałym odbywa się za pomocą maszyn poruszających się po prowadnicach. Prowadnice powinny być przytwierdzone do podłoża w sposób uniemożliwiający ich przemieszczanie i zapewniający ciągłość na złączach. Powierzchnie styku deskowań </w:t>
      </w:r>
      <w:r w:rsidRPr="009819ED">
        <w:rPr>
          <w:rFonts w:ascii="Times New Roman" w:hAnsi="Times New Roman" w:cs="Times New Roman"/>
        </w:rPr>
        <w:br/>
        <w:t>z mieszanką betonową muszą być gładkie, czyste, pozbawione resztek stwardniałego betonu i natłuszczone olejem mineralnym w sposób uniemożliwiający przyczepność betonu do prowadnic.</w:t>
      </w:r>
    </w:p>
    <w:p w14:paraId="3503C3A2"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Ustawienie prowadnic winno być takie, ażeby zapewniało uzyskanie przez nawierzchnię wymaganej niwelety i spadków podłużnych i poprzecznych.</w:t>
      </w:r>
    </w:p>
    <w:p w14:paraId="6C74E435"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5.7.2. </w:t>
      </w:r>
      <w:r w:rsidRPr="009819ED">
        <w:rPr>
          <w:rFonts w:ascii="Times New Roman" w:hAnsi="Times New Roman" w:cs="Times New Roman"/>
        </w:rPr>
        <w:t>Wbudowywanie w deskowaniu przesuwnym</w:t>
      </w:r>
    </w:p>
    <w:p w14:paraId="5B63B499" w14:textId="77777777" w:rsidR="00A637AB" w:rsidRPr="009819ED" w:rsidRDefault="00A637AB" w:rsidP="00A637AB">
      <w:pPr>
        <w:pStyle w:val="Standardowytekst0"/>
        <w:spacing w:before="120"/>
        <w:rPr>
          <w:sz w:val="22"/>
          <w:szCs w:val="22"/>
        </w:rPr>
      </w:pPr>
      <w:r w:rsidRPr="009819ED">
        <w:rPr>
          <w:sz w:val="22"/>
          <w:szCs w:val="22"/>
        </w:rPr>
        <w:tab/>
        <w:t>Wbudowywanie mieszanki betonowej dokonuje się rozkładarką, która przesuwając się formuje płytą betonową, ograniczając ją z boku deskowaniem ślizgowym.</w:t>
      </w:r>
    </w:p>
    <w:p w14:paraId="1B14286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 xml:space="preserve">Zespół wibratorów układarki powinien być wyregulowany w ten sposób, by zagęszczenie masy betonowej było równomierne na całej szerokości i grubości wbudowywanego betonu. Ruch układarki </w:t>
      </w:r>
      <w:r w:rsidRPr="009819ED">
        <w:rPr>
          <w:rFonts w:ascii="Times New Roman" w:hAnsi="Times New Roman" w:cs="Times New Roman"/>
        </w:rPr>
        <w:lastRenderedPageBreak/>
        <w:t>powinien być płynny, bez zatrzymań, co zabezpiecza przed powstawaniem nierówności. W przypadku nieplanowanej przerwy w betonowaniu, należy na nawierzchni wykonać szczelinę roboczą.</w:t>
      </w:r>
    </w:p>
    <w:p w14:paraId="6F5FA514" w14:textId="77777777" w:rsidR="00A637AB" w:rsidRPr="009819ED" w:rsidRDefault="00A637AB" w:rsidP="00A637AB">
      <w:pPr>
        <w:pStyle w:val="Nagwek2"/>
        <w:rPr>
          <w:sz w:val="22"/>
          <w:szCs w:val="22"/>
        </w:rPr>
      </w:pPr>
      <w:r w:rsidRPr="009819ED">
        <w:rPr>
          <w:sz w:val="22"/>
          <w:szCs w:val="22"/>
        </w:rPr>
        <w:t>5.8. Pielęgnacja nawierzchni</w:t>
      </w:r>
    </w:p>
    <w:p w14:paraId="434CD50B"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Dla zabezpieczenia świeżego betonu nawierzchni przed skutkami szybkiego odparowania wody, należy stosować pielęgnację preparatem pielęgnacyjnym, jako metodę najbardziej skuteczną i najmniej pracochłonną.</w:t>
      </w:r>
    </w:p>
    <w:p w14:paraId="7595ECAC" w14:textId="77777777" w:rsidR="00A637AB" w:rsidRPr="009819ED" w:rsidRDefault="00A637AB" w:rsidP="00A637AB">
      <w:pPr>
        <w:pStyle w:val="Standardowytekst0"/>
        <w:rPr>
          <w:sz w:val="22"/>
          <w:szCs w:val="22"/>
        </w:rPr>
      </w:pPr>
      <w:r w:rsidRPr="009819ED">
        <w:rPr>
          <w:sz w:val="22"/>
          <w:szCs w:val="22"/>
        </w:rPr>
        <w:tab/>
        <w:t>Preparat pielęgnacyjny, posiadający aprobatę techniczną, należy nanieść możliwie szybko po zakończeniu wbudowywania betonu. Ilość preparatu powinna być zgodna z ustaleniami SST. Preparatem pielęgnacyjnym należy również pokryć boczne powierzchnie płyt.</w:t>
      </w:r>
    </w:p>
    <w:p w14:paraId="13A56EFC" w14:textId="77777777" w:rsidR="00A637AB" w:rsidRPr="009819ED" w:rsidRDefault="00A637AB" w:rsidP="00A637AB">
      <w:pPr>
        <w:pStyle w:val="Standardowytekst0"/>
        <w:rPr>
          <w:sz w:val="22"/>
          <w:szCs w:val="22"/>
        </w:rPr>
      </w:pPr>
      <w:r w:rsidRPr="009819ED">
        <w:rPr>
          <w:sz w:val="22"/>
          <w:szCs w:val="22"/>
        </w:rPr>
        <w:tab/>
        <w:t>W przypadkach słonecznej, wietrznej i suchej pogody (wilgotność powietrza poniżej 60%) powierzchnia betonu powinna być - mimo naniesienia preparatu pielęgnacyjnego - dodatkowo pielęgnowana wodą.</w:t>
      </w:r>
    </w:p>
    <w:p w14:paraId="4C9F6D9F"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 uzasadnionych przypadkach dopuszcza się stosowanie pielęgnacji polegającej na przykryciu nawierzchni matami lub włókninami i spryskiwaniu wodą przez okres 7 do 10 dni. W przypadku gdy temperatura powietrza jest powyżej 25</w:t>
      </w:r>
      <w:r w:rsidRPr="009819ED">
        <w:rPr>
          <w:rFonts w:ascii="Times New Roman" w:hAnsi="Times New Roman" w:cs="Times New Roman"/>
          <w:vertAlign w:val="superscript"/>
        </w:rPr>
        <w:t>0</w:t>
      </w:r>
      <w:r w:rsidRPr="009819ED">
        <w:rPr>
          <w:rFonts w:ascii="Times New Roman" w:hAnsi="Times New Roman" w:cs="Times New Roman"/>
        </w:rPr>
        <w:t xml:space="preserve"> C pielęgnację należy przedłużyć do 14 dni.</w:t>
      </w:r>
    </w:p>
    <w:p w14:paraId="1B3D4FD2"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Stosowanie innych środków do pielęgnacji nawierzchni wymaga każdorazowej zgody Inżyniera.</w:t>
      </w:r>
    </w:p>
    <w:p w14:paraId="1A2BE3B6" w14:textId="77777777" w:rsidR="00A637AB" w:rsidRPr="009819ED" w:rsidRDefault="00A637AB" w:rsidP="00A637AB">
      <w:pPr>
        <w:pStyle w:val="Nagwek2"/>
        <w:rPr>
          <w:sz w:val="22"/>
          <w:szCs w:val="22"/>
        </w:rPr>
      </w:pPr>
      <w:r w:rsidRPr="009819ED">
        <w:rPr>
          <w:sz w:val="22"/>
          <w:szCs w:val="22"/>
        </w:rPr>
        <w:t>5.9. Wykonanie szczelin</w:t>
      </w:r>
    </w:p>
    <w:p w14:paraId="20CB8E57"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 xml:space="preserve">Rodzaje i rozmieszczenie szczelin w nawierzchni powinno być zgodne z dokumentacją projektową. </w:t>
      </w:r>
      <w:r w:rsidRPr="009819ED">
        <w:rPr>
          <w:rFonts w:ascii="Times New Roman" w:hAnsi="Times New Roman" w:cs="Times New Roman"/>
        </w:rPr>
        <w:br/>
        <w:t>W nawierzchni betonowej są stosowane następujące rodzaje szczelin:</w:t>
      </w:r>
    </w:p>
    <w:p w14:paraId="3C20758C"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szczeliny skurczowe pełne podłużne i poprzeczne - swobodne lub dyblowane ,</w:t>
      </w:r>
    </w:p>
    <w:p w14:paraId="444A62D0"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szczeliny skurczowe pozorne,</w:t>
      </w:r>
    </w:p>
    <w:p w14:paraId="74BD8F10"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szczeliny rozszerzania podłużne i poprzeczne - swobodne lub dyblowane,</w:t>
      </w:r>
    </w:p>
    <w:p w14:paraId="27266049"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szczeliny konstrukcyjne.</w:t>
      </w:r>
    </w:p>
    <w:p w14:paraId="06489396" w14:textId="77777777" w:rsidR="00A637AB" w:rsidRPr="009819ED" w:rsidRDefault="00A637AB" w:rsidP="00A637AB">
      <w:pPr>
        <w:pStyle w:val="Tekstpodstawowywcity2"/>
        <w:rPr>
          <w:sz w:val="22"/>
          <w:szCs w:val="22"/>
        </w:rPr>
      </w:pPr>
      <w:r w:rsidRPr="009819ED">
        <w:rPr>
          <w:sz w:val="22"/>
          <w:szCs w:val="22"/>
        </w:rPr>
        <w:t>Szczeliny skurczowe pełne należy wykonywać na całej grubości płyty. Odstęp między szczelinami poprzecznymi nie powinien być większy niż 6 m. Dodatkowo szczeliny skurczowe pełne należy wykonywać w bezpośrednim sąsiedztwie przepustów oraz między odcinkami betonowania, jeżeli przerwa w betonowaniu trwała dłużej niż jedną godzinę.</w:t>
      </w:r>
    </w:p>
    <w:p w14:paraId="2952846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 xml:space="preserve">Szczeliny skurczowe pozorne  należy wykonywać przez nacinanie stwardniałego betonu tarczowymi piłami mechanicznymi do głębokość 1/3 – 1/4 grubości płyty. </w:t>
      </w:r>
    </w:p>
    <w:p w14:paraId="5DAE7C58" w14:textId="77777777" w:rsidR="00A637AB" w:rsidRPr="009819ED" w:rsidRDefault="00A637AB" w:rsidP="00A637AB">
      <w:pPr>
        <w:pStyle w:val="Standardowytekst0"/>
        <w:rPr>
          <w:sz w:val="22"/>
          <w:szCs w:val="22"/>
        </w:rPr>
      </w:pPr>
      <w:r w:rsidRPr="009819ED">
        <w:rPr>
          <w:sz w:val="22"/>
          <w:szCs w:val="22"/>
        </w:rPr>
        <w:tab/>
        <w:t>Szczeliny konstrukcyjne należy wykonać na całej grubości płyty w miejscach połączeń nawierzchni betonowej z elementami infrastruktury drogowej (studzienki kanalizacyjne, telefoniczne, energetyczne, korytka ściekowe itp.).</w:t>
      </w:r>
    </w:p>
    <w:p w14:paraId="09E531C2" w14:textId="77777777" w:rsidR="00A637AB" w:rsidRPr="009819ED" w:rsidRDefault="00A637AB" w:rsidP="00A637AB">
      <w:pPr>
        <w:ind w:left="283" w:hanging="283"/>
        <w:jc w:val="both"/>
        <w:rPr>
          <w:rFonts w:ascii="Times New Roman" w:hAnsi="Times New Roman" w:cs="Times New Roman"/>
        </w:rPr>
      </w:pPr>
      <w:r w:rsidRPr="009819ED">
        <w:rPr>
          <w:rFonts w:ascii="Times New Roman" w:hAnsi="Times New Roman" w:cs="Times New Roman"/>
        </w:rPr>
        <w:tab/>
        <w:t>Szczeliny rozszerzania należy wykonywać na pełną grubość płyty. Konstrukcja szczelin rozszerzania pozwala na zwiększanie i zmniejszanie się wymiarów płyt.</w:t>
      </w:r>
    </w:p>
    <w:p w14:paraId="38B2A7A2" w14:textId="77777777" w:rsidR="00A637AB" w:rsidRDefault="00A637AB" w:rsidP="00A637AB">
      <w:pPr>
        <w:pStyle w:val="Standardowytekst0"/>
        <w:rPr>
          <w:sz w:val="22"/>
          <w:szCs w:val="22"/>
        </w:rPr>
      </w:pPr>
      <w:r w:rsidRPr="009819ED">
        <w:rPr>
          <w:sz w:val="22"/>
          <w:szCs w:val="22"/>
        </w:rPr>
        <w:tab/>
        <w:t>Wytrzymałość betonu na ściskanie w momencie nacinania powinna wynosić od 8 do 10 MPa. Orientacyjny czas rozpoczęcia nacinania szczelin w zależności od temperatury powietrza podano w tablicy 10.</w:t>
      </w:r>
    </w:p>
    <w:p w14:paraId="38D5C89F" w14:textId="77777777" w:rsidR="003A3976" w:rsidRPr="009819ED" w:rsidRDefault="003A3976" w:rsidP="00A637AB">
      <w:pPr>
        <w:pStyle w:val="Standardowytekst0"/>
        <w:rPr>
          <w:sz w:val="22"/>
          <w:szCs w:val="22"/>
        </w:rPr>
      </w:pPr>
    </w:p>
    <w:p w14:paraId="7C7E3C46"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rPr>
        <w:t>Tablica 10. Czas rozpoczęcia nacinania szczelin</w:t>
      </w:r>
    </w:p>
    <w:tbl>
      <w:tblPr>
        <w:tblW w:w="7526" w:type="dxa"/>
        <w:tblInd w:w="-77" w:type="dxa"/>
        <w:tblBorders>
          <w:top w:val="single" w:sz="6" w:space="0" w:color="000000"/>
          <w:left w:val="single" w:sz="6" w:space="0" w:color="000000"/>
          <w:bottom w:val="single" w:sz="6" w:space="0" w:color="000000"/>
          <w:insideH w:val="single" w:sz="6" w:space="0" w:color="000000"/>
        </w:tblBorders>
        <w:tblCellMar>
          <w:left w:w="62" w:type="dxa"/>
          <w:right w:w="70" w:type="dxa"/>
        </w:tblCellMar>
        <w:tblLook w:val="04A0" w:firstRow="1" w:lastRow="0" w:firstColumn="1" w:lastColumn="0" w:noHBand="0" w:noVBand="1"/>
      </w:tblPr>
      <w:tblGrid>
        <w:gridCol w:w="3472"/>
        <w:gridCol w:w="993"/>
        <w:gridCol w:w="992"/>
        <w:gridCol w:w="992"/>
        <w:gridCol w:w="1077"/>
      </w:tblGrid>
      <w:tr w:rsidR="00A637AB" w:rsidRPr="009819ED" w14:paraId="4D8B982F" w14:textId="77777777" w:rsidTr="00C72960">
        <w:tc>
          <w:tcPr>
            <w:tcW w:w="3472" w:type="dxa"/>
            <w:tcBorders>
              <w:top w:val="single" w:sz="6" w:space="0" w:color="000000"/>
              <w:left w:val="single" w:sz="6" w:space="0" w:color="000000"/>
              <w:bottom w:val="single" w:sz="6" w:space="0" w:color="000000"/>
            </w:tcBorders>
            <w:shd w:val="clear" w:color="auto" w:fill="auto"/>
          </w:tcPr>
          <w:p w14:paraId="11DB3255"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lastRenderedPageBreak/>
              <w:t xml:space="preserve">Średnia temperatura powietrza w </w:t>
            </w:r>
            <w:r w:rsidRPr="009819ED">
              <w:rPr>
                <w:rFonts w:ascii="Times New Roman" w:hAnsi="Times New Roman" w:cs="Times New Roman"/>
                <w:vertAlign w:val="superscript"/>
              </w:rPr>
              <w:t xml:space="preserve">0 </w:t>
            </w:r>
            <w:r w:rsidRPr="009819ED">
              <w:rPr>
                <w:rFonts w:ascii="Times New Roman" w:hAnsi="Times New Roman" w:cs="Times New Roman"/>
              </w:rPr>
              <w:t>C</w:t>
            </w:r>
          </w:p>
        </w:tc>
        <w:tc>
          <w:tcPr>
            <w:tcW w:w="993" w:type="dxa"/>
            <w:tcBorders>
              <w:top w:val="single" w:sz="6" w:space="0" w:color="000000"/>
              <w:left w:val="single" w:sz="6" w:space="0" w:color="000000"/>
              <w:bottom w:val="single" w:sz="6" w:space="0" w:color="000000"/>
            </w:tcBorders>
            <w:shd w:val="clear" w:color="auto" w:fill="auto"/>
          </w:tcPr>
          <w:p w14:paraId="2126A5BF"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5</w:t>
            </w:r>
          </w:p>
        </w:tc>
        <w:tc>
          <w:tcPr>
            <w:tcW w:w="992" w:type="dxa"/>
            <w:tcBorders>
              <w:top w:val="single" w:sz="6" w:space="0" w:color="000000"/>
              <w:left w:val="single" w:sz="6" w:space="0" w:color="000000"/>
              <w:bottom w:val="single" w:sz="6" w:space="0" w:color="000000"/>
            </w:tcBorders>
            <w:shd w:val="clear" w:color="auto" w:fill="auto"/>
          </w:tcPr>
          <w:p w14:paraId="62B15312"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5 </w:t>
            </w:r>
          </w:p>
          <w:p w14:paraId="47CCCCB4"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15</w:t>
            </w:r>
          </w:p>
        </w:tc>
        <w:tc>
          <w:tcPr>
            <w:tcW w:w="992" w:type="dxa"/>
            <w:tcBorders>
              <w:top w:val="single" w:sz="6" w:space="0" w:color="000000"/>
              <w:left w:val="single" w:sz="6" w:space="0" w:color="000000"/>
              <w:bottom w:val="single" w:sz="6" w:space="0" w:color="000000"/>
            </w:tcBorders>
            <w:shd w:val="clear" w:color="auto" w:fill="auto"/>
          </w:tcPr>
          <w:p w14:paraId="16D5F633"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15 </w:t>
            </w:r>
          </w:p>
          <w:p w14:paraId="2952D014"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25</w:t>
            </w:r>
          </w:p>
        </w:tc>
        <w:tc>
          <w:tcPr>
            <w:tcW w:w="1077" w:type="dxa"/>
            <w:tcBorders>
              <w:top w:val="single" w:sz="6" w:space="0" w:color="000000"/>
              <w:left w:val="single" w:sz="6" w:space="0" w:color="000000"/>
              <w:bottom w:val="single" w:sz="6" w:space="0" w:color="000000"/>
              <w:right w:val="single" w:sz="6" w:space="0" w:color="000000"/>
            </w:tcBorders>
            <w:shd w:val="clear" w:color="auto" w:fill="auto"/>
          </w:tcPr>
          <w:p w14:paraId="69056907"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25 </w:t>
            </w:r>
          </w:p>
          <w:p w14:paraId="0F9B229D"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30</w:t>
            </w:r>
          </w:p>
        </w:tc>
      </w:tr>
      <w:tr w:rsidR="00A637AB" w:rsidRPr="009819ED" w14:paraId="193AA7F5" w14:textId="77777777" w:rsidTr="00C72960">
        <w:tc>
          <w:tcPr>
            <w:tcW w:w="3472" w:type="dxa"/>
            <w:tcBorders>
              <w:top w:val="single" w:sz="6" w:space="0" w:color="000000"/>
              <w:left w:val="single" w:sz="6" w:space="0" w:color="000000"/>
              <w:bottom w:val="single" w:sz="6" w:space="0" w:color="000000"/>
            </w:tcBorders>
            <w:shd w:val="clear" w:color="auto" w:fill="auto"/>
          </w:tcPr>
          <w:p w14:paraId="7F5A10EC" w14:textId="77777777" w:rsidR="00A637AB" w:rsidRPr="009819ED" w:rsidRDefault="00A637AB" w:rsidP="00C72960">
            <w:pPr>
              <w:overflowPunct w:val="0"/>
              <w:autoSpaceDE w:val="0"/>
              <w:spacing w:after="0" w:line="240" w:lineRule="auto"/>
              <w:rPr>
                <w:rFonts w:ascii="Times New Roman" w:hAnsi="Times New Roman" w:cs="Times New Roman"/>
              </w:rPr>
            </w:pPr>
            <w:r w:rsidRPr="009819ED">
              <w:rPr>
                <w:rFonts w:ascii="Times New Roman" w:hAnsi="Times New Roman" w:cs="Times New Roman"/>
              </w:rPr>
              <w:t>Ilość godzin od ułożenia mieszanki do osiągnięcia przez beton wytrzymałości 10 MPa</w:t>
            </w:r>
          </w:p>
        </w:tc>
        <w:tc>
          <w:tcPr>
            <w:tcW w:w="993" w:type="dxa"/>
            <w:tcBorders>
              <w:top w:val="single" w:sz="6" w:space="0" w:color="000000"/>
              <w:left w:val="single" w:sz="6" w:space="0" w:color="000000"/>
              <w:bottom w:val="single" w:sz="6" w:space="0" w:color="000000"/>
            </w:tcBorders>
            <w:shd w:val="clear" w:color="auto" w:fill="auto"/>
          </w:tcPr>
          <w:p w14:paraId="3D48235F"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20 </w:t>
            </w:r>
          </w:p>
          <w:p w14:paraId="1381D43F"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30</w:t>
            </w:r>
          </w:p>
        </w:tc>
        <w:tc>
          <w:tcPr>
            <w:tcW w:w="992" w:type="dxa"/>
            <w:tcBorders>
              <w:top w:val="single" w:sz="6" w:space="0" w:color="000000"/>
              <w:left w:val="single" w:sz="6" w:space="0" w:color="000000"/>
              <w:bottom w:val="single" w:sz="6" w:space="0" w:color="000000"/>
            </w:tcBorders>
            <w:shd w:val="clear" w:color="auto" w:fill="auto"/>
          </w:tcPr>
          <w:p w14:paraId="76B83B77"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15 </w:t>
            </w:r>
          </w:p>
          <w:p w14:paraId="14CE487B"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20</w:t>
            </w:r>
          </w:p>
        </w:tc>
        <w:tc>
          <w:tcPr>
            <w:tcW w:w="992" w:type="dxa"/>
            <w:tcBorders>
              <w:top w:val="single" w:sz="6" w:space="0" w:color="000000"/>
              <w:left w:val="single" w:sz="6" w:space="0" w:color="000000"/>
              <w:bottom w:val="single" w:sz="6" w:space="0" w:color="000000"/>
            </w:tcBorders>
            <w:shd w:val="clear" w:color="auto" w:fill="auto"/>
          </w:tcPr>
          <w:p w14:paraId="48BF6116"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od 10 </w:t>
            </w:r>
          </w:p>
          <w:p w14:paraId="70FC70FD"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do 15</w:t>
            </w:r>
          </w:p>
        </w:tc>
        <w:tc>
          <w:tcPr>
            <w:tcW w:w="1077" w:type="dxa"/>
            <w:tcBorders>
              <w:top w:val="single" w:sz="6" w:space="0" w:color="000000"/>
              <w:left w:val="single" w:sz="6" w:space="0" w:color="000000"/>
              <w:bottom w:val="single" w:sz="6" w:space="0" w:color="000000"/>
              <w:right w:val="single" w:sz="6" w:space="0" w:color="000000"/>
            </w:tcBorders>
            <w:shd w:val="clear" w:color="auto" w:fill="auto"/>
          </w:tcPr>
          <w:p w14:paraId="1F879E9C" w14:textId="77777777" w:rsidR="00A637AB" w:rsidRPr="009819ED" w:rsidRDefault="00A637AB" w:rsidP="00C72960">
            <w:pPr>
              <w:snapToGrid w:val="0"/>
              <w:spacing w:after="0" w:line="240" w:lineRule="auto"/>
              <w:jc w:val="center"/>
              <w:rPr>
                <w:rFonts w:ascii="Times New Roman" w:hAnsi="Times New Roman" w:cs="Times New Roman"/>
              </w:rPr>
            </w:pPr>
          </w:p>
          <w:p w14:paraId="30DC9486"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od 6 do 10</w:t>
            </w:r>
          </w:p>
        </w:tc>
      </w:tr>
    </w:tbl>
    <w:p w14:paraId="7A4A1C38" w14:textId="77777777" w:rsidR="00A637AB" w:rsidRPr="009819ED" w:rsidRDefault="00A637AB" w:rsidP="00A637AB">
      <w:pPr>
        <w:jc w:val="both"/>
        <w:rPr>
          <w:rFonts w:ascii="Times New Roman" w:hAnsi="Times New Roman" w:cs="Times New Roman"/>
        </w:rPr>
      </w:pPr>
    </w:p>
    <w:p w14:paraId="082995B8"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5.10. Zbrojenie szczelin</w:t>
      </w:r>
    </w:p>
    <w:p w14:paraId="3E61739C"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 miejscu występowania szczelin stosuje się:</w:t>
      </w:r>
    </w:p>
    <w:p w14:paraId="3B9CF141"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dyble jako zbrojenie szczelin poprzecznych,</w:t>
      </w:r>
    </w:p>
    <w:p w14:paraId="0EE00C54" w14:textId="77777777" w:rsidR="00A637AB" w:rsidRPr="009819ED" w:rsidRDefault="00A637AB" w:rsidP="00904E6C">
      <w:pPr>
        <w:numPr>
          <w:ilvl w:val="0"/>
          <w:numId w:val="396"/>
        </w:numPr>
        <w:tabs>
          <w:tab w:val="left" w:pos="360"/>
        </w:tabs>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kotwy jako zbrojenie szczelin podłużnych.</w:t>
      </w:r>
    </w:p>
    <w:p w14:paraId="4445B175" w14:textId="77777777" w:rsidR="00A637AB" w:rsidRPr="009819ED" w:rsidRDefault="00A637AB" w:rsidP="00A637AB">
      <w:pPr>
        <w:pStyle w:val="Tekstpodstawowywcity3"/>
        <w:rPr>
          <w:sz w:val="22"/>
          <w:szCs w:val="22"/>
        </w:rPr>
      </w:pPr>
      <w:r w:rsidRPr="009819ED">
        <w:rPr>
          <w:sz w:val="22"/>
          <w:szCs w:val="22"/>
        </w:rPr>
        <w:t>Rozmieszczenie, długość, średnica oraz rodzaj stali dybli i kotew powinno być zgodne z dokumentacją projektową i SST.</w:t>
      </w:r>
    </w:p>
    <w:p w14:paraId="40B59F29" w14:textId="77777777" w:rsidR="00A637AB" w:rsidRPr="009819ED" w:rsidRDefault="00A637AB" w:rsidP="00A637AB">
      <w:pPr>
        <w:pStyle w:val="Nagwek2"/>
        <w:rPr>
          <w:sz w:val="22"/>
          <w:szCs w:val="22"/>
        </w:rPr>
      </w:pPr>
      <w:r w:rsidRPr="009819ED">
        <w:rPr>
          <w:sz w:val="22"/>
          <w:szCs w:val="22"/>
        </w:rPr>
        <w:t>5.11. Wypełnienie szczelin masami zalewowymi lub wkładkami</w:t>
      </w:r>
    </w:p>
    <w:p w14:paraId="12A7B094" w14:textId="77777777" w:rsidR="00A637AB" w:rsidRPr="009819ED" w:rsidRDefault="00A637AB" w:rsidP="00A637AB">
      <w:pPr>
        <w:pStyle w:val="Standardowytekst0"/>
        <w:rPr>
          <w:sz w:val="22"/>
          <w:szCs w:val="22"/>
        </w:rPr>
      </w:pPr>
      <w:r w:rsidRPr="009819ED">
        <w:rPr>
          <w:sz w:val="22"/>
          <w:szCs w:val="22"/>
        </w:rPr>
        <w:tab/>
        <w:t>Do wypełnienia szczelin w nawierzchni betonowej stosuje się masy zalewowe na zimno lub gorąco, lub wkładki uszczelniające posiadające aprobatę techniczną i zgodne z dokumentacją projektową i SST.</w:t>
      </w:r>
    </w:p>
    <w:p w14:paraId="462DD896"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Przed przystąpieniem do wypełniania szczelin, muszą być one dokładnie oczyszczone z zanieczyszczeń obcych, pozostałości po cięciu betonu itp. Pionowe ściany szczelin muszą być suche, czyste, nie wykazywać pozostałości pylastych.</w:t>
      </w:r>
    </w:p>
    <w:p w14:paraId="67DABC85"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Wypełnianie szczelin masami, zarówno na gorąco jak i na zimno, wolno wykonywać przy bezdeszczowej, możliwie bezwietrznej pogodzie.</w:t>
      </w:r>
    </w:p>
    <w:p w14:paraId="4D7F25D7"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Nawierzchnia, po oczyszczeniu szczelin wewnątrz, powinna być oczyszczona (zamieciona) po obu stronach szczeliny, pasem o szerokości ok. 1 m.</w:t>
      </w:r>
    </w:p>
    <w:p w14:paraId="21DB75AF"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Wypełnianie szczelin masą zalewową należy wykonywać ściśle według zaleceń producenta.</w:t>
      </w:r>
    </w:p>
    <w:p w14:paraId="7B3E8679" w14:textId="77777777" w:rsidR="00A637AB" w:rsidRPr="009819ED" w:rsidRDefault="00A637AB" w:rsidP="00A637AB">
      <w:pPr>
        <w:pStyle w:val="Nagwek2"/>
        <w:rPr>
          <w:sz w:val="22"/>
          <w:szCs w:val="22"/>
        </w:rPr>
      </w:pPr>
      <w:r w:rsidRPr="009819ED">
        <w:rPr>
          <w:sz w:val="22"/>
          <w:szCs w:val="22"/>
        </w:rPr>
        <w:t>5.12. Odcinek próbny</w:t>
      </w:r>
    </w:p>
    <w:p w14:paraId="28B9D03C" w14:textId="77777777" w:rsidR="00A637AB" w:rsidRPr="009819ED" w:rsidRDefault="00A637AB" w:rsidP="00A637AB">
      <w:pPr>
        <w:pStyle w:val="tekstost"/>
        <w:rPr>
          <w:sz w:val="22"/>
          <w:szCs w:val="22"/>
        </w:rPr>
      </w:pPr>
      <w:r w:rsidRPr="009819ED">
        <w:rPr>
          <w:sz w:val="22"/>
          <w:szCs w:val="22"/>
        </w:rPr>
        <w:tab/>
        <w:t xml:space="preserve"> Wykonawca powinien wykonać odcinek próbny w celu:</w:t>
      </w:r>
    </w:p>
    <w:p w14:paraId="7B76666F" w14:textId="77777777" w:rsidR="00A637AB" w:rsidRPr="009819ED" w:rsidRDefault="00A637AB" w:rsidP="00904E6C">
      <w:pPr>
        <w:pStyle w:val="tekstost"/>
        <w:numPr>
          <w:ilvl w:val="0"/>
          <w:numId w:val="392"/>
        </w:numPr>
        <w:autoSpaceDN/>
        <w:adjustRightInd/>
        <w:textAlignment w:val="auto"/>
        <w:rPr>
          <w:sz w:val="22"/>
          <w:szCs w:val="22"/>
        </w:rPr>
      </w:pPr>
      <w:r w:rsidRPr="009819ED">
        <w:rPr>
          <w:sz w:val="22"/>
          <w:szCs w:val="22"/>
        </w:rPr>
        <w:t>stwierdzenia czy sprzęt do produkcji mieszanki betonowej, rozkładania i zagęszczania jest właściwy,</w:t>
      </w:r>
    </w:p>
    <w:p w14:paraId="0844ABF6" w14:textId="77777777" w:rsidR="00A637AB" w:rsidRPr="009819ED" w:rsidRDefault="00A637AB" w:rsidP="00904E6C">
      <w:pPr>
        <w:pStyle w:val="tekstost"/>
        <w:numPr>
          <w:ilvl w:val="0"/>
          <w:numId w:val="392"/>
        </w:numPr>
        <w:autoSpaceDN/>
        <w:adjustRightInd/>
        <w:textAlignment w:val="auto"/>
        <w:rPr>
          <w:sz w:val="22"/>
          <w:szCs w:val="22"/>
        </w:rPr>
      </w:pPr>
      <w:r w:rsidRPr="009819ED">
        <w:rPr>
          <w:sz w:val="22"/>
          <w:szCs w:val="22"/>
        </w:rPr>
        <w:t>określenia grubości warstwy wbudowanej mieszanki przed zagęszczaniem, koniecznej do uzyskania wymaganej grubości nawierzchni,</w:t>
      </w:r>
    </w:p>
    <w:p w14:paraId="4D85A4C1" w14:textId="77777777" w:rsidR="00A637AB" w:rsidRPr="009819ED" w:rsidRDefault="00A637AB" w:rsidP="00904E6C">
      <w:pPr>
        <w:pStyle w:val="tekstost"/>
        <w:numPr>
          <w:ilvl w:val="0"/>
          <w:numId w:val="392"/>
        </w:numPr>
        <w:autoSpaceDN/>
        <w:adjustRightInd/>
        <w:textAlignment w:val="auto"/>
        <w:rPr>
          <w:sz w:val="22"/>
          <w:szCs w:val="22"/>
        </w:rPr>
      </w:pPr>
      <w:r w:rsidRPr="009819ED">
        <w:rPr>
          <w:sz w:val="22"/>
          <w:szCs w:val="22"/>
        </w:rPr>
        <w:t>określenia liczby przejść sprzętu zagęszczającego lub czasu wibrowania urządzeń wibracyjnych dla uzyskania jednolitego zagęszczenia całej warstwy.</w:t>
      </w:r>
    </w:p>
    <w:p w14:paraId="1B0E5649" w14:textId="77777777" w:rsidR="00A637AB" w:rsidRPr="009819ED" w:rsidRDefault="00A637AB" w:rsidP="00A637AB">
      <w:pPr>
        <w:pStyle w:val="tekstost"/>
        <w:ind w:firstLine="709"/>
        <w:rPr>
          <w:sz w:val="22"/>
          <w:szCs w:val="22"/>
        </w:rPr>
      </w:pPr>
      <w:r w:rsidRPr="009819ED">
        <w:rPr>
          <w:sz w:val="22"/>
          <w:szCs w:val="22"/>
        </w:rPr>
        <w:t xml:space="preserve">Na odcinku próbnym Wykonawca powinien użyć materiałów oraz sprzętu do mieszania, rozkładania </w:t>
      </w:r>
      <w:r w:rsidRPr="009819ED">
        <w:rPr>
          <w:sz w:val="22"/>
          <w:szCs w:val="22"/>
        </w:rPr>
        <w:br/>
        <w:t>i zagęszczania jakie będą stosowane do wykonywania nawierzchni.</w:t>
      </w:r>
    </w:p>
    <w:p w14:paraId="1010DDA7" w14:textId="77777777" w:rsidR="00A637AB" w:rsidRPr="009819ED" w:rsidRDefault="00A637AB" w:rsidP="00A637AB">
      <w:pPr>
        <w:pStyle w:val="tekstost"/>
        <w:ind w:firstLine="709"/>
        <w:rPr>
          <w:sz w:val="22"/>
          <w:szCs w:val="22"/>
        </w:rPr>
      </w:pPr>
      <w:r w:rsidRPr="009819ED">
        <w:rPr>
          <w:sz w:val="22"/>
          <w:szCs w:val="22"/>
        </w:rPr>
        <w:t>Powierzchnia odcinka próbnego powinna wynosić od 400 m</w:t>
      </w:r>
      <w:r w:rsidRPr="009819ED">
        <w:rPr>
          <w:sz w:val="22"/>
          <w:szCs w:val="22"/>
          <w:vertAlign w:val="superscript"/>
        </w:rPr>
        <w:t>2</w:t>
      </w:r>
      <w:r w:rsidRPr="009819ED">
        <w:rPr>
          <w:sz w:val="22"/>
          <w:szCs w:val="22"/>
        </w:rPr>
        <w:t xml:space="preserve"> do 800 m</w:t>
      </w:r>
      <w:r w:rsidRPr="009819ED">
        <w:rPr>
          <w:sz w:val="22"/>
          <w:szCs w:val="22"/>
          <w:vertAlign w:val="superscript"/>
        </w:rPr>
        <w:t>2</w:t>
      </w:r>
      <w:r w:rsidRPr="009819ED">
        <w:rPr>
          <w:sz w:val="22"/>
          <w:szCs w:val="22"/>
        </w:rPr>
        <w:t>, a długość nie powinna być mniejsza niż 200 m.</w:t>
      </w:r>
    </w:p>
    <w:p w14:paraId="72140CCF" w14:textId="77777777" w:rsidR="00A637AB" w:rsidRPr="009819ED" w:rsidRDefault="00A637AB" w:rsidP="00A637AB">
      <w:pPr>
        <w:pStyle w:val="tekstost"/>
        <w:ind w:firstLine="709"/>
        <w:rPr>
          <w:sz w:val="22"/>
          <w:szCs w:val="22"/>
        </w:rPr>
      </w:pPr>
      <w:r w:rsidRPr="009819ED">
        <w:rPr>
          <w:sz w:val="22"/>
          <w:szCs w:val="22"/>
        </w:rPr>
        <w:t>Odcinek próbny powinien być zlokalizowany w miejscu uzgodnionym przez Inżyniera.</w:t>
      </w:r>
    </w:p>
    <w:p w14:paraId="063C436F" w14:textId="77777777" w:rsidR="00A637AB" w:rsidRPr="009819ED" w:rsidRDefault="00A637AB" w:rsidP="00A637AB">
      <w:pPr>
        <w:pStyle w:val="tekstost"/>
        <w:ind w:firstLine="709"/>
        <w:rPr>
          <w:sz w:val="22"/>
          <w:szCs w:val="22"/>
        </w:rPr>
      </w:pPr>
      <w:r w:rsidRPr="009819ED">
        <w:rPr>
          <w:sz w:val="22"/>
          <w:szCs w:val="22"/>
        </w:rPr>
        <w:t>W czasie wykonywania odcinka próbnego Wykonawca powinien przeprowadzić badania:</w:t>
      </w:r>
    </w:p>
    <w:p w14:paraId="50F3B1E5" w14:textId="77777777" w:rsidR="00A637AB" w:rsidRPr="009819ED" w:rsidRDefault="00A637AB" w:rsidP="00904E6C">
      <w:pPr>
        <w:pStyle w:val="tekstost"/>
        <w:numPr>
          <w:ilvl w:val="0"/>
          <w:numId w:val="392"/>
        </w:numPr>
        <w:autoSpaceDN/>
        <w:adjustRightInd/>
        <w:textAlignment w:val="auto"/>
        <w:rPr>
          <w:sz w:val="22"/>
          <w:szCs w:val="22"/>
        </w:rPr>
      </w:pPr>
      <w:r w:rsidRPr="009819ED">
        <w:rPr>
          <w:sz w:val="22"/>
          <w:szCs w:val="22"/>
        </w:rPr>
        <w:t xml:space="preserve">mieszanki betonowej zgodnie z wymaganiami podanymi w pkcie 5.2 </w:t>
      </w:r>
    </w:p>
    <w:p w14:paraId="2FFC7D5A" w14:textId="77777777" w:rsidR="00A637AB" w:rsidRPr="009819ED" w:rsidRDefault="00A637AB" w:rsidP="00904E6C">
      <w:pPr>
        <w:pStyle w:val="tekstost"/>
        <w:numPr>
          <w:ilvl w:val="0"/>
          <w:numId w:val="392"/>
        </w:numPr>
        <w:autoSpaceDN/>
        <w:adjustRightInd/>
        <w:textAlignment w:val="auto"/>
        <w:rPr>
          <w:sz w:val="22"/>
          <w:szCs w:val="22"/>
        </w:rPr>
      </w:pPr>
      <w:r w:rsidRPr="009819ED">
        <w:rPr>
          <w:sz w:val="22"/>
          <w:szCs w:val="22"/>
        </w:rPr>
        <w:t>betonu zgodnie z wymaganiami podanymi w tablicy 8 (zaleca się wykonanie badań na odwiertach pobranych z tego odcinka).</w:t>
      </w:r>
    </w:p>
    <w:p w14:paraId="0461B366" w14:textId="77777777" w:rsidR="00A637AB" w:rsidRPr="009819ED" w:rsidRDefault="00A637AB" w:rsidP="00A637AB">
      <w:pPr>
        <w:pStyle w:val="Standardowytekst0"/>
        <w:ind w:firstLine="709"/>
        <w:rPr>
          <w:sz w:val="22"/>
          <w:szCs w:val="22"/>
        </w:rPr>
      </w:pPr>
      <w:r w:rsidRPr="009819ED">
        <w:rPr>
          <w:sz w:val="22"/>
          <w:szCs w:val="22"/>
        </w:rPr>
        <w:t xml:space="preserve">Wykonawca może przystąpić do wykonywania nawierzchni po zaakceptowaniu wyników badań </w:t>
      </w:r>
      <w:r w:rsidRPr="009819ED">
        <w:rPr>
          <w:sz w:val="22"/>
          <w:szCs w:val="22"/>
        </w:rPr>
        <w:br/>
        <w:t>i pomiarów z odcinka próbnego przez Inżyniera.</w:t>
      </w:r>
      <w:r w:rsidRPr="009819ED">
        <w:rPr>
          <w:sz w:val="22"/>
          <w:szCs w:val="22"/>
        </w:rPr>
        <w:tab/>
      </w:r>
    </w:p>
    <w:p w14:paraId="332C1165" w14:textId="77777777" w:rsidR="00A637AB" w:rsidRPr="009819ED" w:rsidRDefault="00A637AB" w:rsidP="00A637AB">
      <w:pPr>
        <w:pStyle w:val="Nagwek1"/>
        <w:rPr>
          <w:sz w:val="22"/>
          <w:szCs w:val="22"/>
        </w:rPr>
      </w:pPr>
      <w:r w:rsidRPr="009819ED">
        <w:rPr>
          <w:sz w:val="22"/>
          <w:szCs w:val="22"/>
        </w:rPr>
        <w:lastRenderedPageBreak/>
        <w:t>6. kontrola jakości robót</w:t>
      </w:r>
    </w:p>
    <w:p w14:paraId="3CA41227" w14:textId="77777777" w:rsidR="00A637AB" w:rsidRPr="009819ED" w:rsidRDefault="00A637AB" w:rsidP="00A637AB">
      <w:pPr>
        <w:pStyle w:val="Nagwek2"/>
        <w:rPr>
          <w:sz w:val="22"/>
          <w:szCs w:val="22"/>
        </w:rPr>
      </w:pPr>
      <w:r w:rsidRPr="009819ED">
        <w:rPr>
          <w:sz w:val="22"/>
          <w:szCs w:val="22"/>
        </w:rPr>
        <w:t>6.1. Ogólne zasady kontroli jakości robót</w:t>
      </w:r>
    </w:p>
    <w:p w14:paraId="7D59406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Ogólne zasady kontroli jakości robót podano w ST D-M-00.00.00 „Wymagania ogólne” pkt 6.</w:t>
      </w:r>
    </w:p>
    <w:p w14:paraId="640982C4" w14:textId="77777777" w:rsidR="00A637AB" w:rsidRPr="009819ED" w:rsidRDefault="00A637AB" w:rsidP="00A637AB">
      <w:pPr>
        <w:pStyle w:val="Nagwek2"/>
        <w:rPr>
          <w:sz w:val="22"/>
          <w:szCs w:val="22"/>
        </w:rPr>
      </w:pPr>
      <w:r w:rsidRPr="009819ED">
        <w:rPr>
          <w:sz w:val="22"/>
          <w:szCs w:val="22"/>
        </w:rPr>
        <w:t>6.2. Badania przed przystąpieniem do robót</w:t>
      </w:r>
    </w:p>
    <w:p w14:paraId="5BEA8C11"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Przed przystąpieniem do robót Wykonawca powinien wykonać badania cementu, kruszywa oraz w przypadkach wątpliwych wody i przedstawić wyniki tych badań Inżynierowi w celu akceptacji.</w:t>
      </w:r>
    </w:p>
    <w:p w14:paraId="500C5379"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Badania te powinny obejmować wszystkie właściwości określone w punktach od 2.2 do 2.4 oraz w punktach  5.2 i 5.3 niniejszej ST.</w:t>
      </w:r>
    </w:p>
    <w:p w14:paraId="03EB26FF" w14:textId="77777777" w:rsidR="00A637AB" w:rsidRPr="009819ED" w:rsidRDefault="00A637AB" w:rsidP="00A637AB">
      <w:pPr>
        <w:pStyle w:val="Nagwek2"/>
        <w:rPr>
          <w:sz w:val="22"/>
          <w:szCs w:val="22"/>
        </w:rPr>
      </w:pPr>
      <w:r w:rsidRPr="009819ED">
        <w:rPr>
          <w:sz w:val="22"/>
          <w:szCs w:val="22"/>
        </w:rPr>
        <w:t>6.3. Badania w czasie robót</w:t>
      </w:r>
    </w:p>
    <w:p w14:paraId="6F43B689" w14:textId="77777777" w:rsidR="00A637AB" w:rsidRPr="009819ED" w:rsidRDefault="00A637AB" w:rsidP="00A637AB">
      <w:pPr>
        <w:spacing w:after="120"/>
        <w:jc w:val="both"/>
        <w:rPr>
          <w:rFonts w:ascii="Times New Roman" w:hAnsi="Times New Roman" w:cs="Times New Roman"/>
        </w:rPr>
      </w:pPr>
      <w:r w:rsidRPr="009819ED">
        <w:rPr>
          <w:rFonts w:ascii="Times New Roman" w:hAnsi="Times New Roman" w:cs="Times New Roman"/>
          <w:b/>
        </w:rPr>
        <w:t xml:space="preserve">6.3.1. </w:t>
      </w:r>
      <w:r w:rsidRPr="009819ED">
        <w:rPr>
          <w:rFonts w:ascii="Times New Roman" w:hAnsi="Times New Roman" w:cs="Times New Roman"/>
        </w:rPr>
        <w:t>Częstotliwość oraz zakres badań i pomiarów</w:t>
      </w:r>
    </w:p>
    <w:p w14:paraId="13BEA4E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Częstotliwość i zakres badań i pomiarów w czasie wykonywania nawierzchni betonowej podano w tablicy 11.</w:t>
      </w:r>
    </w:p>
    <w:p w14:paraId="13C9D504" w14:textId="77777777" w:rsidR="00A637AB" w:rsidRPr="009819ED" w:rsidRDefault="00A637AB" w:rsidP="00A637AB">
      <w:pPr>
        <w:spacing w:before="120" w:after="120"/>
        <w:rPr>
          <w:rFonts w:ascii="Times New Roman" w:hAnsi="Times New Roman" w:cs="Times New Roman"/>
        </w:rPr>
      </w:pPr>
      <w:r w:rsidRPr="009819ED">
        <w:rPr>
          <w:rFonts w:ascii="Times New Roman" w:hAnsi="Times New Roman" w:cs="Times New Roman"/>
          <w:b/>
        </w:rPr>
        <w:t xml:space="preserve">6.3.2. </w:t>
      </w:r>
      <w:r w:rsidRPr="009819ED">
        <w:rPr>
          <w:rFonts w:ascii="Times New Roman" w:hAnsi="Times New Roman" w:cs="Times New Roman"/>
        </w:rPr>
        <w:t>Właściwości kruszywa</w:t>
      </w:r>
    </w:p>
    <w:p w14:paraId="40FDC7C8"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Właściwości kruszywa należy określić przy każdej zmianie rodzaju kruszywa i dla każdej partii. Właściwości kruszywa powinny być zgodne z wymaganiami podanymi w pkcie 2.3.</w:t>
      </w:r>
    </w:p>
    <w:p w14:paraId="62E60883"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b/>
        </w:rPr>
        <w:t xml:space="preserve">6.3.3. </w:t>
      </w:r>
      <w:r w:rsidRPr="009819ED">
        <w:rPr>
          <w:rFonts w:ascii="Times New Roman" w:hAnsi="Times New Roman" w:cs="Times New Roman"/>
        </w:rPr>
        <w:t>Właściwości wody</w:t>
      </w:r>
    </w:p>
    <w:p w14:paraId="2DE18705"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W przypadkach wątpliwych należy przeprowadzić badania wody według PN-B-32250:1998 [40].</w:t>
      </w:r>
    </w:p>
    <w:p w14:paraId="4005A734"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b/>
        </w:rPr>
        <w:t xml:space="preserve">6.3.4. </w:t>
      </w:r>
      <w:r w:rsidRPr="009819ED">
        <w:rPr>
          <w:rFonts w:ascii="Times New Roman" w:hAnsi="Times New Roman" w:cs="Times New Roman"/>
        </w:rPr>
        <w:t>Właściwości cementu</w:t>
      </w:r>
    </w:p>
    <w:p w14:paraId="33EC4E4F"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Dla każdej dostawy cementu należy określić jego właściwości. Wyniki powinny być zgodne z PN-EN 197-1:2002 [5] i PN-B-19705:1998 [39].</w:t>
      </w:r>
    </w:p>
    <w:p w14:paraId="0B84ED11"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rPr>
        <w:t>Tablica 11. Częstotliwość oraz zakres badań w czasie wykonywania nawierzchni betonowej</w:t>
      </w:r>
    </w:p>
    <w:tbl>
      <w:tblPr>
        <w:tblW w:w="7525"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496"/>
        <w:gridCol w:w="4252"/>
        <w:gridCol w:w="2777"/>
      </w:tblGrid>
      <w:tr w:rsidR="00A637AB" w:rsidRPr="009819ED" w14:paraId="0E1D6E28" w14:textId="77777777" w:rsidTr="00C72960">
        <w:tc>
          <w:tcPr>
            <w:tcW w:w="496" w:type="dxa"/>
            <w:tcBorders>
              <w:top w:val="single" w:sz="6" w:space="0" w:color="000000"/>
              <w:left w:val="single" w:sz="6" w:space="0" w:color="000000"/>
              <w:bottom w:val="double" w:sz="6" w:space="0" w:color="000000"/>
            </w:tcBorders>
            <w:shd w:val="clear" w:color="auto" w:fill="auto"/>
          </w:tcPr>
          <w:p w14:paraId="058759C8" w14:textId="77777777" w:rsidR="00A637AB" w:rsidRPr="009819ED" w:rsidRDefault="00A637AB" w:rsidP="00C72960">
            <w:pPr>
              <w:snapToGrid w:val="0"/>
              <w:spacing w:after="0" w:line="240" w:lineRule="auto"/>
              <w:jc w:val="center"/>
              <w:rPr>
                <w:rFonts w:ascii="Times New Roman" w:hAnsi="Times New Roman" w:cs="Times New Roman"/>
              </w:rPr>
            </w:pPr>
          </w:p>
          <w:p w14:paraId="348BEE6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Lp.</w:t>
            </w:r>
          </w:p>
        </w:tc>
        <w:tc>
          <w:tcPr>
            <w:tcW w:w="4252" w:type="dxa"/>
            <w:tcBorders>
              <w:top w:val="single" w:sz="6" w:space="0" w:color="000000"/>
              <w:left w:val="single" w:sz="6" w:space="0" w:color="000000"/>
              <w:bottom w:val="double" w:sz="6" w:space="0" w:color="000000"/>
            </w:tcBorders>
            <w:shd w:val="clear" w:color="auto" w:fill="auto"/>
          </w:tcPr>
          <w:p w14:paraId="7745A75A" w14:textId="77777777" w:rsidR="00A637AB" w:rsidRPr="009819ED" w:rsidRDefault="00A637AB" w:rsidP="00C72960">
            <w:pPr>
              <w:snapToGrid w:val="0"/>
              <w:spacing w:after="0" w:line="240" w:lineRule="auto"/>
              <w:rPr>
                <w:rFonts w:ascii="Times New Roman" w:hAnsi="Times New Roman" w:cs="Times New Roman"/>
              </w:rPr>
            </w:pPr>
          </w:p>
          <w:p w14:paraId="463221E7"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Wyszczególnienie badań</w:t>
            </w:r>
          </w:p>
        </w:tc>
        <w:tc>
          <w:tcPr>
            <w:tcW w:w="2777" w:type="dxa"/>
            <w:tcBorders>
              <w:top w:val="single" w:sz="6" w:space="0" w:color="000000"/>
              <w:left w:val="single" w:sz="6" w:space="0" w:color="000000"/>
              <w:bottom w:val="double" w:sz="6" w:space="0" w:color="000000"/>
              <w:right w:val="single" w:sz="6" w:space="0" w:color="000000"/>
            </w:tcBorders>
            <w:shd w:val="clear" w:color="auto" w:fill="auto"/>
          </w:tcPr>
          <w:p w14:paraId="0C4B7EA7"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Częstotliwość badań.</w:t>
            </w:r>
          </w:p>
          <w:p w14:paraId="47467714" w14:textId="77777777" w:rsidR="00A637AB" w:rsidRPr="009819ED" w:rsidRDefault="00A637AB" w:rsidP="00C72960">
            <w:pPr>
              <w:spacing w:after="0" w:line="240" w:lineRule="auto"/>
              <w:jc w:val="center"/>
              <w:rPr>
                <w:rFonts w:ascii="Times New Roman" w:hAnsi="Times New Roman" w:cs="Times New Roman"/>
              </w:rPr>
            </w:pPr>
            <w:r w:rsidRPr="009819ED">
              <w:rPr>
                <w:rFonts w:ascii="Times New Roman" w:hAnsi="Times New Roman" w:cs="Times New Roman"/>
              </w:rPr>
              <w:t xml:space="preserve">Minimalna liczba </w:t>
            </w:r>
          </w:p>
          <w:p w14:paraId="75530CC2" w14:textId="77777777" w:rsidR="00A637AB" w:rsidRPr="009819ED" w:rsidRDefault="00A637AB" w:rsidP="00C72960">
            <w:pPr>
              <w:overflowPunct w:val="0"/>
              <w:autoSpaceDE w:val="0"/>
              <w:spacing w:after="0" w:line="240" w:lineRule="auto"/>
              <w:jc w:val="center"/>
              <w:rPr>
                <w:rFonts w:ascii="Times New Roman" w:hAnsi="Times New Roman" w:cs="Times New Roman"/>
              </w:rPr>
            </w:pPr>
            <w:r w:rsidRPr="009819ED">
              <w:rPr>
                <w:rFonts w:ascii="Times New Roman" w:hAnsi="Times New Roman" w:cs="Times New Roman"/>
              </w:rPr>
              <w:t>na dziennej działce roboczej</w:t>
            </w:r>
          </w:p>
        </w:tc>
      </w:tr>
      <w:tr w:rsidR="00A637AB" w:rsidRPr="009819ED" w14:paraId="4C3DC92B" w14:textId="77777777" w:rsidTr="00C72960">
        <w:tc>
          <w:tcPr>
            <w:tcW w:w="496" w:type="dxa"/>
            <w:tcBorders>
              <w:left w:val="single" w:sz="6" w:space="0" w:color="000000"/>
              <w:bottom w:val="single" w:sz="6" w:space="0" w:color="000000"/>
            </w:tcBorders>
            <w:shd w:val="clear" w:color="auto" w:fill="auto"/>
          </w:tcPr>
          <w:p w14:paraId="1A17BBCA"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1</w:t>
            </w:r>
          </w:p>
        </w:tc>
        <w:tc>
          <w:tcPr>
            <w:tcW w:w="4252" w:type="dxa"/>
            <w:tcBorders>
              <w:left w:val="single" w:sz="6" w:space="0" w:color="000000"/>
              <w:bottom w:val="single" w:sz="6" w:space="0" w:color="000000"/>
            </w:tcBorders>
            <w:shd w:val="clear" w:color="auto" w:fill="auto"/>
          </w:tcPr>
          <w:p w14:paraId="1B8C0442" w14:textId="77777777" w:rsidR="00A637AB" w:rsidRPr="009819ED" w:rsidRDefault="00A637AB" w:rsidP="00C72960">
            <w:pPr>
              <w:overflowPunct w:val="0"/>
              <w:autoSpaceDE w:val="0"/>
              <w:spacing w:before="180" w:after="0" w:line="240" w:lineRule="auto"/>
              <w:rPr>
                <w:rFonts w:ascii="Times New Roman" w:hAnsi="Times New Roman" w:cs="Times New Roman"/>
              </w:rPr>
            </w:pPr>
            <w:r w:rsidRPr="009819ED">
              <w:rPr>
                <w:rFonts w:ascii="Times New Roman" w:hAnsi="Times New Roman" w:cs="Times New Roman"/>
              </w:rPr>
              <w:t xml:space="preserve">Właściwości kruszywa </w:t>
            </w:r>
          </w:p>
        </w:tc>
        <w:tc>
          <w:tcPr>
            <w:tcW w:w="2777" w:type="dxa"/>
            <w:tcBorders>
              <w:left w:val="single" w:sz="6" w:space="0" w:color="000000"/>
              <w:bottom w:val="single" w:sz="6" w:space="0" w:color="000000"/>
              <w:right w:val="single" w:sz="6" w:space="0" w:color="000000"/>
            </w:tcBorders>
            <w:shd w:val="clear" w:color="auto" w:fill="auto"/>
          </w:tcPr>
          <w:p w14:paraId="658C2394"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Dla każdej partii kruszywa i przy każdej zmianie kruszywa</w:t>
            </w:r>
          </w:p>
        </w:tc>
      </w:tr>
      <w:tr w:rsidR="00A637AB" w:rsidRPr="009819ED" w14:paraId="05E9A704" w14:textId="77777777" w:rsidTr="00C72960">
        <w:tc>
          <w:tcPr>
            <w:tcW w:w="496" w:type="dxa"/>
            <w:tcBorders>
              <w:top w:val="single" w:sz="6" w:space="0" w:color="000000"/>
              <w:left w:val="single" w:sz="6" w:space="0" w:color="000000"/>
              <w:bottom w:val="single" w:sz="6" w:space="0" w:color="000000"/>
            </w:tcBorders>
            <w:shd w:val="clear" w:color="auto" w:fill="auto"/>
          </w:tcPr>
          <w:p w14:paraId="795B5FBE"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2</w:t>
            </w:r>
          </w:p>
        </w:tc>
        <w:tc>
          <w:tcPr>
            <w:tcW w:w="4252" w:type="dxa"/>
            <w:tcBorders>
              <w:top w:val="single" w:sz="6" w:space="0" w:color="000000"/>
              <w:left w:val="single" w:sz="6" w:space="0" w:color="000000"/>
              <w:bottom w:val="single" w:sz="6" w:space="0" w:color="000000"/>
            </w:tcBorders>
            <w:shd w:val="clear" w:color="auto" w:fill="auto"/>
          </w:tcPr>
          <w:p w14:paraId="4174F628"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Właściwości wody</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3F14395E"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Dla każdego wątpliwego źródła</w:t>
            </w:r>
          </w:p>
        </w:tc>
      </w:tr>
      <w:tr w:rsidR="00A637AB" w:rsidRPr="009819ED" w14:paraId="7E8C8335" w14:textId="77777777" w:rsidTr="00C72960">
        <w:tc>
          <w:tcPr>
            <w:tcW w:w="496" w:type="dxa"/>
            <w:tcBorders>
              <w:top w:val="single" w:sz="6" w:space="0" w:color="000000"/>
              <w:left w:val="single" w:sz="6" w:space="0" w:color="000000"/>
              <w:bottom w:val="single" w:sz="6" w:space="0" w:color="000000"/>
            </w:tcBorders>
            <w:shd w:val="clear" w:color="auto" w:fill="auto"/>
          </w:tcPr>
          <w:p w14:paraId="6FB8EC16"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3</w:t>
            </w:r>
          </w:p>
        </w:tc>
        <w:tc>
          <w:tcPr>
            <w:tcW w:w="4252" w:type="dxa"/>
            <w:tcBorders>
              <w:top w:val="single" w:sz="6" w:space="0" w:color="000000"/>
              <w:left w:val="single" w:sz="6" w:space="0" w:color="000000"/>
              <w:bottom w:val="single" w:sz="6" w:space="0" w:color="000000"/>
            </w:tcBorders>
            <w:shd w:val="clear" w:color="auto" w:fill="auto"/>
          </w:tcPr>
          <w:p w14:paraId="24460B91"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Właściwości cementu</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2E369205"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Dla każdej partii</w:t>
            </w:r>
          </w:p>
        </w:tc>
      </w:tr>
      <w:tr w:rsidR="00A637AB" w:rsidRPr="009819ED" w14:paraId="483B85D7" w14:textId="77777777" w:rsidTr="00C72960">
        <w:tc>
          <w:tcPr>
            <w:tcW w:w="496" w:type="dxa"/>
            <w:tcBorders>
              <w:top w:val="single" w:sz="6" w:space="0" w:color="000000"/>
              <w:left w:val="single" w:sz="6" w:space="0" w:color="000000"/>
              <w:bottom w:val="single" w:sz="6" w:space="0" w:color="000000"/>
            </w:tcBorders>
            <w:shd w:val="clear" w:color="auto" w:fill="auto"/>
          </w:tcPr>
          <w:p w14:paraId="6F928DB3"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4</w:t>
            </w:r>
          </w:p>
        </w:tc>
        <w:tc>
          <w:tcPr>
            <w:tcW w:w="4252" w:type="dxa"/>
            <w:tcBorders>
              <w:top w:val="single" w:sz="6" w:space="0" w:color="000000"/>
              <w:left w:val="single" w:sz="6" w:space="0" w:color="000000"/>
              <w:bottom w:val="single" w:sz="6" w:space="0" w:color="000000"/>
            </w:tcBorders>
            <w:shd w:val="clear" w:color="auto" w:fill="auto"/>
          </w:tcPr>
          <w:p w14:paraId="6452F932"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Uziarnienie mieszanki mineralnej</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5E2EE607"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1</w:t>
            </w:r>
          </w:p>
        </w:tc>
      </w:tr>
      <w:tr w:rsidR="00A637AB" w:rsidRPr="009819ED" w14:paraId="7A55C5AE" w14:textId="77777777" w:rsidTr="00C72960">
        <w:tc>
          <w:tcPr>
            <w:tcW w:w="496" w:type="dxa"/>
            <w:tcBorders>
              <w:top w:val="single" w:sz="6" w:space="0" w:color="000000"/>
              <w:left w:val="single" w:sz="6" w:space="0" w:color="000000"/>
              <w:bottom w:val="single" w:sz="6" w:space="0" w:color="000000"/>
            </w:tcBorders>
            <w:shd w:val="clear" w:color="auto" w:fill="auto"/>
          </w:tcPr>
          <w:p w14:paraId="2E8A6724"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5</w:t>
            </w:r>
          </w:p>
        </w:tc>
        <w:tc>
          <w:tcPr>
            <w:tcW w:w="4252" w:type="dxa"/>
            <w:tcBorders>
              <w:top w:val="single" w:sz="6" w:space="0" w:color="000000"/>
              <w:left w:val="single" w:sz="6" w:space="0" w:color="000000"/>
              <w:bottom w:val="single" w:sz="6" w:space="0" w:color="000000"/>
            </w:tcBorders>
            <w:shd w:val="clear" w:color="auto" w:fill="auto"/>
          </w:tcPr>
          <w:p w14:paraId="0EA3A859"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konsystencji mieszanki betonowej</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377E10C2"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3</w:t>
            </w:r>
          </w:p>
        </w:tc>
      </w:tr>
      <w:tr w:rsidR="00A637AB" w:rsidRPr="009819ED" w14:paraId="748736D7" w14:textId="77777777" w:rsidTr="00C72960">
        <w:tc>
          <w:tcPr>
            <w:tcW w:w="496" w:type="dxa"/>
            <w:tcBorders>
              <w:top w:val="single" w:sz="6" w:space="0" w:color="000000"/>
              <w:left w:val="single" w:sz="6" w:space="0" w:color="000000"/>
              <w:bottom w:val="single" w:sz="6" w:space="0" w:color="000000"/>
            </w:tcBorders>
            <w:shd w:val="clear" w:color="auto" w:fill="auto"/>
          </w:tcPr>
          <w:p w14:paraId="478D90EF"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6</w:t>
            </w:r>
          </w:p>
        </w:tc>
        <w:tc>
          <w:tcPr>
            <w:tcW w:w="4252" w:type="dxa"/>
            <w:tcBorders>
              <w:top w:val="single" w:sz="6" w:space="0" w:color="000000"/>
              <w:left w:val="single" w:sz="6" w:space="0" w:color="000000"/>
              <w:bottom w:val="single" w:sz="6" w:space="0" w:color="000000"/>
            </w:tcBorders>
            <w:shd w:val="clear" w:color="auto" w:fill="auto"/>
          </w:tcPr>
          <w:p w14:paraId="1CFDE9E2"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zawartości powietrza w mieszance betonowej</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54023A66"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3</w:t>
            </w:r>
          </w:p>
        </w:tc>
      </w:tr>
      <w:tr w:rsidR="00A637AB" w:rsidRPr="009819ED" w14:paraId="5C749740" w14:textId="77777777" w:rsidTr="00C72960">
        <w:tc>
          <w:tcPr>
            <w:tcW w:w="496" w:type="dxa"/>
            <w:tcBorders>
              <w:top w:val="single" w:sz="6" w:space="0" w:color="000000"/>
              <w:left w:val="single" w:sz="6" w:space="0" w:color="000000"/>
              <w:bottom w:val="single" w:sz="6" w:space="0" w:color="000000"/>
            </w:tcBorders>
            <w:shd w:val="clear" w:color="auto" w:fill="auto"/>
          </w:tcPr>
          <w:p w14:paraId="024FC381"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7</w:t>
            </w:r>
          </w:p>
        </w:tc>
        <w:tc>
          <w:tcPr>
            <w:tcW w:w="4252" w:type="dxa"/>
            <w:tcBorders>
              <w:top w:val="single" w:sz="6" w:space="0" w:color="000000"/>
              <w:left w:val="single" w:sz="6" w:space="0" w:color="000000"/>
              <w:bottom w:val="single" w:sz="6" w:space="0" w:color="000000"/>
            </w:tcBorders>
            <w:shd w:val="clear" w:color="auto" w:fill="auto"/>
          </w:tcPr>
          <w:p w14:paraId="490BE6D5"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wytrzymałości na ściskanie po 28 dniach</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68A35158"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3 próbki</w:t>
            </w:r>
          </w:p>
        </w:tc>
      </w:tr>
      <w:tr w:rsidR="00A637AB" w:rsidRPr="009819ED" w14:paraId="56A89D36" w14:textId="77777777" w:rsidTr="00C72960">
        <w:tc>
          <w:tcPr>
            <w:tcW w:w="496" w:type="dxa"/>
            <w:tcBorders>
              <w:top w:val="single" w:sz="6" w:space="0" w:color="000000"/>
              <w:left w:val="single" w:sz="6" w:space="0" w:color="000000"/>
              <w:bottom w:val="single" w:sz="6" w:space="0" w:color="000000"/>
            </w:tcBorders>
            <w:shd w:val="clear" w:color="auto" w:fill="auto"/>
          </w:tcPr>
          <w:p w14:paraId="7FDB5CDF"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8</w:t>
            </w:r>
          </w:p>
        </w:tc>
        <w:tc>
          <w:tcPr>
            <w:tcW w:w="4252" w:type="dxa"/>
            <w:tcBorders>
              <w:top w:val="single" w:sz="6" w:space="0" w:color="000000"/>
              <w:left w:val="single" w:sz="6" w:space="0" w:color="000000"/>
              <w:bottom w:val="single" w:sz="6" w:space="0" w:color="000000"/>
            </w:tcBorders>
            <w:shd w:val="clear" w:color="auto" w:fill="auto"/>
          </w:tcPr>
          <w:p w14:paraId="1D86C310"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wytrzymałości na rozciąganie przy zginaniu po 28 dniach</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55F5ED97" w14:textId="77777777" w:rsidR="00A637AB" w:rsidRPr="009819ED" w:rsidRDefault="00A637AB" w:rsidP="00C72960">
            <w:pPr>
              <w:overflowPunct w:val="0"/>
              <w:autoSpaceDE w:val="0"/>
              <w:spacing w:before="180" w:after="0" w:line="240" w:lineRule="auto"/>
              <w:jc w:val="center"/>
              <w:rPr>
                <w:rFonts w:ascii="Times New Roman" w:hAnsi="Times New Roman" w:cs="Times New Roman"/>
              </w:rPr>
            </w:pPr>
            <w:r w:rsidRPr="009819ED">
              <w:rPr>
                <w:rFonts w:ascii="Times New Roman" w:hAnsi="Times New Roman" w:cs="Times New Roman"/>
              </w:rPr>
              <w:t>3 próbki</w:t>
            </w:r>
          </w:p>
        </w:tc>
      </w:tr>
      <w:tr w:rsidR="00A637AB" w:rsidRPr="009819ED" w14:paraId="7C6C58E1" w14:textId="77777777" w:rsidTr="00C72960">
        <w:tc>
          <w:tcPr>
            <w:tcW w:w="496" w:type="dxa"/>
            <w:tcBorders>
              <w:top w:val="single" w:sz="6" w:space="0" w:color="000000"/>
              <w:left w:val="single" w:sz="6" w:space="0" w:color="000000"/>
              <w:bottom w:val="single" w:sz="6" w:space="0" w:color="000000"/>
            </w:tcBorders>
            <w:shd w:val="clear" w:color="auto" w:fill="auto"/>
          </w:tcPr>
          <w:p w14:paraId="1DA3F4EA"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lastRenderedPageBreak/>
              <w:t>9</w:t>
            </w:r>
          </w:p>
        </w:tc>
        <w:tc>
          <w:tcPr>
            <w:tcW w:w="4252" w:type="dxa"/>
            <w:tcBorders>
              <w:top w:val="single" w:sz="6" w:space="0" w:color="000000"/>
              <w:left w:val="single" w:sz="6" w:space="0" w:color="000000"/>
              <w:bottom w:val="single" w:sz="6" w:space="0" w:color="000000"/>
            </w:tcBorders>
            <w:shd w:val="clear" w:color="auto" w:fill="auto"/>
          </w:tcPr>
          <w:p w14:paraId="35F775BF"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nasiąkliwości betonu</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716CF7D3"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3 próbki na 1 km</w:t>
            </w:r>
          </w:p>
        </w:tc>
      </w:tr>
      <w:tr w:rsidR="00A637AB" w:rsidRPr="009819ED" w14:paraId="1C84E1FE" w14:textId="77777777" w:rsidTr="00C72960">
        <w:tc>
          <w:tcPr>
            <w:tcW w:w="496" w:type="dxa"/>
            <w:tcBorders>
              <w:top w:val="single" w:sz="6" w:space="0" w:color="000000"/>
              <w:left w:val="single" w:sz="6" w:space="0" w:color="000000"/>
              <w:bottom w:val="single" w:sz="6" w:space="0" w:color="000000"/>
            </w:tcBorders>
            <w:shd w:val="clear" w:color="auto" w:fill="auto"/>
          </w:tcPr>
          <w:p w14:paraId="639A9A0F"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10</w:t>
            </w:r>
          </w:p>
        </w:tc>
        <w:tc>
          <w:tcPr>
            <w:tcW w:w="4252" w:type="dxa"/>
            <w:tcBorders>
              <w:top w:val="single" w:sz="6" w:space="0" w:color="000000"/>
              <w:left w:val="single" w:sz="6" w:space="0" w:color="000000"/>
              <w:bottom w:val="single" w:sz="6" w:space="0" w:color="000000"/>
            </w:tcBorders>
            <w:shd w:val="clear" w:color="auto" w:fill="auto"/>
          </w:tcPr>
          <w:p w14:paraId="3D152810" w14:textId="77777777" w:rsidR="00A637AB" w:rsidRPr="009819ED" w:rsidRDefault="00A637AB" w:rsidP="00C72960">
            <w:pPr>
              <w:overflowPunct w:val="0"/>
              <w:autoSpaceDE w:val="0"/>
              <w:spacing w:before="60" w:after="0" w:line="240" w:lineRule="auto"/>
              <w:rPr>
                <w:rFonts w:ascii="Times New Roman" w:hAnsi="Times New Roman" w:cs="Times New Roman"/>
              </w:rPr>
            </w:pPr>
            <w:r w:rsidRPr="009819ED">
              <w:rPr>
                <w:rFonts w:ascii="Times New Roman" w:hAnsi="Times New Roman" w:cs="Times New Roman"/>
              </w:rPr>
              <w:t>Oznaczenie mrozoodporności betonu</w:t>
            </w:r>
          </w:p>
        </w:tc>
        <w:tc>
          <w:tcPr>
            <w:tcW w:w="2777" w:type="dxa"/>
            <w:tcBorders>
              <w:top w:val="single" w:sz="6" w:space="0" w:color="000000"/>
              <w:left w:val="single" w:sz="6" w:space="0" w:color="000000"/>
              <w:bottom w:val="single" w:sz="6" w:space="0" w:color="000000"/>
              <w:right w:val="single" w:sz="6" w:space="0" w:color="000000"/>
            </w:tcBorders>
            <w:shd w:val="clear" w:color="auto" w:fill="auto"/>
          </w:tcPr>
          <w:p w14:paraId="6FAEB5E4" w14:textId="77777777" w:rsidR="00A637AB" w:rsidRPr="009819ED" w:rsidRDefault="00A637AB" w:rsidP="00C72960">
            <w:pPr>
              <w:overflowPunct w:val="0"/>
              <w:autoSpaceDE w:val="0"/>
              <w:spacing w:before="60" w:after="0" w:line="240" w:lineRule="auto"/>
              <w:jc w:val="center"/>
              <w:rPr>
                <w:rFonts w:ascii="Times New Roman" w:hAnsi="Times New Roman" w:cs="Times New Roman"/>
              </w:rPr>
            </w:pPr>
            <w:r w:rsidRPr="009819ED">
              <w:rPr>
                <w:rFonts w:ascii="Times New Roman" w:hAnsi="Times New Roman" w:cs="Times New Roman"/>
              </w:rPr>
              <w:t>3 próbki na 1 km</w:t>
            </w:r>
          </w:p>
        </w:tc>
      </w:tr>
    </w:tbl>
    <w:p w14:paraId="30DE91FC" w14:textId="77777777" w:rsidR="00A637AB" w:rsidRPr="009819ED" w:rsidRDefault="00A637AB" w:rsidP="00A637AB">
      <w:pPr>
        <w:spacing w:before="240"/>
        <w:jc w:val="both"/>
        <w:rPr>
          <w:rFonts w:ascii="Times New Roman" w:hAnsi="Times New Roman" w:cs="Times New Roman"/>
        </w:rPr>
      </w:pPr>
      <w:r w:rsidRPr="009819ED">
        <w:rPr>
          <w:rFonts w:ascii="Times New Roman" w:hAnsi="Times New Roman" w:cs="Times New Roman"/>
          <w:b/>
        </w:rPr>
        <w:t xml:space="preserve">6.3.5. </w:t>
      </w:r>
      <w:r w:rsidRPr="009819ED">
        <w:rPr>
          <w:rFonts w:ascii="Times New Roman" w:hAnsi="Times New Roman" w:cs="Times New Roman"/>
        </w:rPr>
        <w:t>Uziarnienie mieszanki mineralnej</w:t>
      </w:r>
    </w:p>
    <w:p w14:paraId="659339AD"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Uziarnienie mieszanki mineralnej należy określić według PN-B-06714-15:1991 [28]. Krzywa uziarnienia mieszanki mineralnej powinna być zgodna z receptą.</w:t>
      </w:r>
    </w:p>
    <w:p w14:paraId="5C18867A"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6.3.6. </w:t>
      </w:r>
      <w:r w:rsidRPr="009819ED">
        <w:rPr>
          <w:rFonts w:ascii="Times New Roman" w:hAnsi="Times New Roman" w:cs="Times New Roman"/>
        </w:rPr>
        <w:t>Oznaczenie konsystencji mieszanki betonowej</w:t>
      </w:r>
    </w:p>
    <w:p w14:paraId="33EBCDFD"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 xml:space="preserve">Badanie konsystencji mieszanki betonowej należy wykonać zgodnie z normą wg metody podanej </w:t>
      </w:r>
      <w:r w:rsidRPr="009819ED">
        <w:rPr>
          <w:rFonts w:ascii="Times New Roman" w:hAnsi="Times New Roman" w:cs="Times New Roman"/>
        </w:rPr>
        <w:br/>
        <w:t>w recepcie.</w:t>
      </w:r>
    </w:p>
    <w:p w14:paraId="784A2A50"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6.3.7. </w:t>
      </w:r>
      <w:r w:rsidRPr="009819ED">
        <w:rPr>
          <w:rFonts w:ascii="Times New Roman" w:hAnsi="Times New Roman" w:cs="Times New Roman"/>
        </w:rPr>
        <w:t>Oznaczenie zawartości powietrza w mieszance betonowej</w:t>
      </w:r>
    </w:p>
    <w:p w14:paraId="5046433C" w14:textId="77777777" w:rsidR="00A637AB" w:rsidRPr="009819ED" w:rsidRDefault="00A637AB" w:rsidP="00A637AB">
      <w:pPr>
        <w:pStyle w:val="Standardowytekst0"/>
        <w:spacing w:before="120"/>
        <w:rPr>
          <w:sz w:val="22"/>
          <w:szCs w:val="22"/>
        </w:rPr>
      </w:pPr>
      <w:r w:rsidRPr="009819ED">
        <w:rPr>
          <w:sz w:val="22"/>
          <w:szCs w:val="22"/>
        </w:rPr>
        <w:tab/>
        <w:t>Badanie zawartości powietrza w mieszance betonowej należy wykonać zgodnie z PN-EN 12350-7: 2001 [15]. Wyniki badań powinny być zgodne z receptą.</w:t>
      </w:r>
    </w:p>
    <w:p w14:paraId="328E3E86"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b/>
        </w:rPr>
        <w:t xml:space="preserve">6.3.8. </w:t>
      </w:r>
      <w:r w:rsidRPr="009819ED">
        <w:rPr>
          <w:rFonts w:ascii="Times New Roman" w:hAnsi="Times New Roman" w:cs="Times New Roman"/>
        </w:rPr>
        <w:t>Wytrzymałość betonu na ściskanie</w:t>
      </w:r>
    </w:p>
    <w:p w14:paraId="16015979" w14:textId="77777777" w:rsidR="00A637AB" w:rsidRPr="009819ED" w:rsidRDefault="00A637AB" w:rsidP="00A637AB">
      <w:pPr>
        <w:pStyle w:val="Standardowytekst0"/>
        <w:ind w:firstLine="709"/>
        <w:rPr>
          <w:sz w:val="22"/>
          <w:szCs w:val="22"/>
        </w:rPr>
      </w:pPr>
      <w:r w:rsidRPr="009819ED">
        <w:rPr>
          <w:sz w:val="22"/>
          <w:szCs w:val="22"/>
        </w:rPr>
        <w:t>Przed oznaczeniem wytrzymałości na ściskanie należy przeprowadzić oznaczenie gęstości betonu wg PN-EN 12390-7:2001 [22]. Gęstość nie powinna być mniejsza niż 97% gęstości średniej podanej w recepcie.</w:t>
      </w:r>
    </w:p>
    <w:p w14:paraId="4CD232AD"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Badanie wytrzymałości betonu na ściskanie należy wykonać zgodnie z PN-B-06250:1988 [25] lub PN-EN 12390-3:2001[18]. Wyniki badań powinny być zgodne z wymaganiami podanymi w tablicy 8.</w:t>
      </w:r>
    </w:p>
    <w:p w14:paraId="36EEE7C5"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6.3.9. </w:t>
      </w:r>
      <w:r w:rsidRPr="009819ED">
        <w:rPr>
          <w:rFonts w:ascii="Times New Roman" w:hAnsi="Times New Roman" w:cs="Times New Roman"/>
        </w:rPr>
        <w:t>Wytrzymałość betonu na rozciąganie przy zginaniu</w:t>
      </w:r>
    </w:p>
    <w:p w14:paraId="063E5101" w14:textId="77777777" w:rsidR="00A637AB" w:rsidRPr="009819ED" w:rsidRDefault="00A637AB" w:rsidP="00A637AB">
      <w:pPr>
        <w:spacing w:before="120"/>
        <w:ind w:firstLine="709"/>
        <w:jc w:val="both"/>
        <w:rPr>
          <w:rFonts w:ascii="Times New Roman" w:hAnsi="Times New Roman" w:cs="Times New Roman"/>
        </w:rPr>
      </w:pPr>
      <w:r w:rsidRPr="009819ED">
        <w:rPr>
          <w:rFonts w:ascii="Times New Roman" w:hAnsi="Times New Roman" w:cs="Times New Roman"/>
        </w:rPr>
        <w:t>Badanie wytrzymałości betonu na rozciąganie przy zginaniu należy wykonać zgodnie z PN-EN 12390-5:2001 [20]. Wyniki badań powinny być zgodne z wymaganiami zawartymi w tablicy 8.</w:t>
      </w:r>
    </w:p>
    <w:p w14:paraId="1FB63E13"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6.3.10. </w:t>
      </w:r>
      <w:r w:rsidRPr="009819ED">
        <w:rPr>
          <w:rFonts w:ascii="Times New Roman" w:hAnsi="Times New Roman" w:cs="Times New Roman"/>
        </w:rPr>
        <w:t>Nasiąkliwość betonu</w:t>
      </w:r>
    </w:p>
    <w:p w14:paraId="2D7826E9" w14:textId="77777777" w:rsidR="00A637AB" w:rsidRPr="009819ED" w:rsidRDefault="00A637AB" w:rsidP="00A637AB">
      <w:pPr>
        <w:pStyle w:val="Standardowytekst0"/>
        <w:spacing w:before="120"/>
        <w:rPr>
          <w:sz w:val="22"/>
          <w:szCs w:val="22"/>
        </w:rPr>
      </w:pPr>
      <w:r w:rsidRPr="009819ED">
        <w:rPr>
          <w:sz w:val="22"/>
          <w:szCs w:val="22"/>
        </w:rPr>
        <w:tab/>
        <w:t>Badanie nasiąkliwości betonu należy wykonać zgodnie z PN-B-06250:1988 [25]. Wyniki badań powinny być zgodne z wymaganiami podanymi w tablicy 8.</w:t>
      </w:r>
    </w:p>
    <w:p w14:paraId="75798179"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b/>
        </w:rPr>
        <w:t xml:space="preserve">6.3.11. </w:t>
      </w:r>
      <w:r w:rsidRPr="009819ED">
        <w:rPr>
          <w:rFonts w:ascii="Times New Roman" w:hAnsi="Times New Roman" w:cs="Times New Roman"/>
        </w:rPr>
        <w:t>Mrozoodporność betonu</w:t>
      </w:r>
    </w:p>
    <w:p w14:paraId="5168EE13"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Badanie mrozoodporności betonu należy wykonać zgodnie z PN-B-06250:1988 [25]. Wyniki badań powinny być zgodne z wymaganiami podanymi w tablicy 8.</w:t>
      </w:r>
    </w:p>
    <w:p w14:paraId="41823721" w14:textId="77777777" w:rsidR="00A637AB" w:rsidRPr="009819ED" w:rsidRDefault="00A637AB" w:rsidP="00A637AB">
      <w:pPr>
        <w:pStyle w:val="Nagwek2"/>
        <w:rPr>
          <w:sz w:val="22"/>
          <w:szCs w:val="22"/>
        </w:rPr>
      </w:pPr>
      <w:r w:rsidRPr="009819ED">
        <w:rPr>
          <w:sz w:val="22"/>
          <w:szCs w:val="22"/>
        </w:rPr>
        <w:t>6.4. Badania dotyczące cech geometrycznych nawierzchni betonowej</w:t>
      </w:r>
    </w:p>
    <w:p w14:paraId="3B89B9DE"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b/>
        </w:rPr>
        <w:t xml:space="preserve">6.4.1. </w:t>
      </w:r>
      <w:r w:rsidRPr="009819ED">
        <w:rPr>
          <w:rFonts w:ascii="Times New Roman" w:hAnsi="Times New Roman" w:cs="Times New Roman"/>
        </w:rPr>
        <w:t>Częstotliwość oraz zakres badań i  pomiarów</w:t>
      </w:r>
    </w:p>
    <w:p w14:paraId="2DAC3B10" w14:textId="77777777" w:rsidR="00A637AB" w:rsidRPr="009819ED" w:rsidRDefault="00A637AB" w:rsidP="00A637AB">
      <w:pPr>
        <w:spacing w:before="120"/>
        <w:jc w:val="both"/>
        <w:rPr>
          <w:rFonts w:ascii="Times New Roman" w:hAnsi="Times New Roman" w:cs="Times New Roman"/>
        </w:rPr>
      </w:pPr>
      <w:r w:rsidRPr="009819ED">
        <w:rPr>
          <w:rFonts w:ascii="Times New Roman" w:hAnsi="Times New Roman" w:cs="Times New Roman"/>
        </w:rPr>
        <w:tab/>
        <w:t>Częstotliwość oraz zakres badań i  pomiarów podaje  tablica 12.</w:t>
      </w:r>
    </w:p>
    <w:p w14:paraId="43629E3E" w14:textId="77777777" w:rsidR="00A637AB" w:rsidRPr="009819ED" w:rsidRDefault="00A637AB" w:rsidP="00A637AB">
      <w:pPr>
        <w:spacing w:before="120" w:after="120"/>
        <w:jc w:val="both"/>
        <w:rPr>
          <w:rFonts w:ascii="Times New Roman" w:hAnsi="Times New Roman" w:cs="Times New Roman"/>
        </w:rPr>
      </w:pPr>
      <w:r w:rsidRPr="009819ED">
        <w:rPr>
          <w:rFonts w:ascii="Times New Roman" w:hAnsi="Times New Roman" w:cs="Times New Roman"/>
        </w:rPr>
        <w:t>Tablica 12. Częstotliwość oraz zakres badań i pomiarów wykonanej nawierzchni betonowej</w:t>
      </w:r>
    </w:p>
    <w:tbl>
      <w:tblPr>
        <w:tblW w:w="7456" w:type="dxa"/>
        <w:tblInd w:w="-77" w:type="dxa"/>
        <w:tblBorders>
          <w:top w:val="single" w:sz="6" w:space="0" w:color="000000"/>
          <w:left w:val="single" w:sz="6" w:space="0" w:color="000000"/>
          <w:bottom w:val="double" w:sz="6" w:space="0" w:color="000000"/>
          <w:insideH w:val="double" w:sz="6" w:space="0" w:color="000000"/>
        </w:tblBorders>
        <w:tblCellMar>
          <w:left w:w="62" w:type="dxa"/>
          <w:right w:w="70" w:type="dxa"/>
        </w:tblCellMar>
        <w:tblLook w:val="04A0" w:firstRow="1" w:lastRow="0" w:firstColumn="1" w:lastColumn="0" w:noHBand="0" w:noVBand="1"/>
      </w:tblPr>
      <w:tblGrid>
        <w:gridCol w:w="637"/>
        <w:gridCol w:w="3544"/>
        <w:gridCol w:w="3275"/>
      </w:tblGrid>
      <w:tr w:rsidR="00A637AB" w:rsidRPr="009819ED" w14:paraId="65010D19" w14:textId="77777777" w:rsidTr="00C72960">
        <w:tc>
          <w:tcPr>
            <w:tcW w:w="637" w:type="dxa"/>
            <w:tcBorders>
              <w:top w:val="single" w:sz="6" w:space="0" w:color="000000"/>
              <w:left w:val="single" w:sz="6" w:space="0" w:color="000000"/>
              <w:bottom w:val="double" w:sz="6" w:space="0" w:color="000000"/>
            </w:tcBorders>
            <w:shd w:val="clear" w:color="auto" w:fill="auto"/>
          </w:tcPr>
          <w:p w14:paraId="395D8AAA" w14:textId="77777777" w:rsidR="00A637AB" w:rsidRPr="009819ED" w:rsidRDefault="00A637AB" w:rsidP="00C72960">
            <w:pPr>
              <w:overflowPunct w:val="0"/>
              <w:autoSpaceDE w:val="0"/>
              <w:spacing w:after="0"/>
              <w:ind w:right="-11"/>
              <w:jc w:val="center"/>
              <w:rPr>
                <w:rFonts w:ascii="Times New Roman" w:hAnsi="Times New Roman" w:cs="Times New Roman"/>
                <w:b/>
              </w:rPr>
            </w:pPr>
            <w:r w:rsidRPr="009819ED">
              <w:rPr>
                <w:rFonts w:ascii="Times New Roman" w:hAnsi="Times New Roman" w:cs="Times New Roman"/>
              </w:rPr>
              <w:t>Lp.</w:t>
            </w:r>
          </w:p>
        </w:tc>
        <w:tc>
          <w:tcPr>
            <w:tcW w:w="3544" w:type="dxa"/>
            <w:tcBorders>
              <w:top w:val="single" w:sz="6" w:space="0" w:color="000000"/>
              <w:left w:val="single" w:sz="6" w:space="0" w:color="000000"/>
              <w:bottom w:val="double" w:sz="6" w:space="0" w:color="000000"/>
            </w:tcBorders>
            <w:shd w:val="clear" w:color="auto" w:fill="auto"/>
          </w:tcPr>
          <w:p w14:paraId="549D62F0" w14:textId="77777777" w:rsidR="00A637AB" w:rsidRPr="009819ED" w:rsidRDefault="00A637AB" w:rsidP="00C72960">
            <w:pPr>
              <w:overflowPunct w:val="0"/>
              <w:autoSpaceDE w:val="0"/>
              <w:spacing w:after="0"/>
              <w:ind w:right="-11"/>
              <w:jc w:val="center"/>
              <w:rPr>
                <w:rFonts w:ascii="Times New Roman" w:hAnsi="Times New Roman" w:cs="Times New Roman"/>
                <w:b/>
              </w:rPr>
            </w:pPr>
            <w:r w:rsidRPr="009819ED">
              <w:rPr>
                <w:rFonts w:ascii="Times New Roman" w:hAnsi="Times New Roman" w:cs="Times New Roman"/>
              </w:rPr>
              <w:t>Wyszczególnienie badań i pomiarów</w:t>
            </w:r>
          </w:p>
        </w:tc>
        <w:tc>
          <w:tcPr>
            <w:tcW w:w="3275" w:type="dxa"/>
            <w:tcBorders>
              <w:top w:val="single" w:sz="6" w:space="0" w:color="000000"/>
              <w:left w:val="single" w:sz="6" w:space="0" w:color="000000"/>
              <w:bottom w:val="double" w:sz="6" w:space="0" w:color="000000"/>
              <w:right w:val="single" w:sz="6" w:space="0" w:color="000000"/>
            </w:tcBorders>
            <w:shd w:val="clear" w:color="auto" w:fill="auto"/>
          </w:tcPr>
          <w:p w14:paraId="34E98075" w14:textId="77777777" w:rsidR="00A637AB" w:rsidRPr="009819ED" w:rsidRDefault="00A637AB" w:rsidP="00C72960">
            <w:pPr>
              <w:spacing w:after="0"/>
              <w:ind w:right="-11"/>
              <w:jc w:val="center"/>
              <w:rPr>
                <w:rFonts w:ascii="Times New Roman" w:hAnsi="Times New Roman" w:cs="Times New Roman"/>
                <w:b/>
              </w:rPr>
            </w:pPr>
            <w:r w:rsidRPr="009819ED">
              <w:rPr>
                <w:rFonts w:ascii="Times New Roman" w:hAnsi="Times New Roman" w:cs="Times New Roman"/>
              </w:rPr>
              <w:t xml:space="preserve">Minimalna częstotliwość badań </w:t>
            </w:r>
          </w:p>
          <w:p w14:paraId="7CF1D839" w14:textId="77777777" w:rsidR="00A637AB" w:rsidRPr="009819ED" w:rsidRDefault="00A637AB" w:rsidP="00C72960">
            <w:pPr>
              <w:overflowPunct w:val="0"/>
              <w:autoSpaceDE w:val="0"/>
              <w:spacing w:after="0"/>
              <w:ind w:right="-11"/>
              <w:jc w:val="center"/>
              <w:rPr>
                <w:rFonts w:ascii="Times New Roman" w:hAnsi="Times New Roman" w:cs="Times New Roman"/>
                <w:b/>
              </w:rPr>
            </w:pPr>
            <w:r w:rsidRPr="009819ED">
              <w:rPr>
                <w:rFonts w:ascii="Times New Roman" w:hAnsi="Times New Roman" w:cs="Times New Roman"/>
              </w:rPr>
              <w:t>i pomiarów</w:t>
            </w:r>
          </w:p>
        </w:tc>
      </w:tr>
      <w:tr w:rsidR="00A637AB" w:rsidRPr="009819ED" w14:paraId="30B7E80D" w14:textId="77777777" w:rsidTr="00C72960">
        <w:tc>
          <w:tcPr>
            <w:tcW w:w="637" w:type="dxa"/>
            <w:tcBorders>
              <w:left w:val="single" w:sz="6" w:space="0" w:color="000000"/>
              <w:bottom w:val="single" w:sz="6" w:space="0" w:color="000000"/>
            </w:tcBorders>
            <w:shd w:val="clear" w:color="auto" w:fill="auto"/>
          </w:tcPr>
          <w:p w14:paraId="746064CD"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1</w:t>
            </w:r>
          </w:p>
        </w:tc>
        <w:tc>
          <w:tcPr>
            <w:tcW w:w="3544" w:type="dxa"/>
            <w:tcBorders>
              <w:left w:val="single" w:sz="6" w:space="0" w:color="000000"/>
              <w:bottom w:val="single" w:sz="6" w:space="0" w:color="000000"/>
            </w:tcBorders>
            <w:shd w:val="clear" w:color="auto" w:fill="auto"/>
          </w:tcPr>
          <w:p w14:paraId="3107FBD1"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Szerokość nawierzchni</w:t>
            </w:r>
          </w:p>
        </w:tc>
        <w:tc>
          <w:tcPr>
            <w:tcW w:w="3275" w:type="dxa"/>
            <w:tcBorders>
              <w:left w:val="single" w:sz="6" w:space="0" w:color="000000"/>
              <w:bottom w:val="single" w:sz="6" w:space="0" w:color="000000"/>
              <w:right w:val="single" w:sz="6" w:space="0" w:color="000000"/>
            </w:tcBorders>
            <w:shd w:val="clear" w:color="auto" w:fill="auto"/>
          </w:tcPr>
          <w:p w14:paraId="1A5457C5"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10 razy na 1 km</w:t>
            </w:r>
          </w:p>
        </w:tc>
      </w:tr>
      <w:tr w:rsidR="00A637AB" w:rsidRPr="009819ED" w14:paraId="55597833" w14:textId="77777777" w:rsidTr="00C72960">
        <w:tc>
          <w:tcPr>
            <w:tcW w:w="637" w:type="dxa"/>
            <w:tcBorders>
              <w:top w:val="single" w:sz="6" w:space="0" w:color="000000"/>
              <w:left w:val="single" w:sz="6" w:space="0" w:color="000000"/>
              <w:bottom w:val="single" w:sz="6" w:space="0" w:color="000000"/>
            </w:tcBorders>
            <w:shd w:val="clear" w:color="auto" w:fill="auto"/>
          </w:tcPr>
          <w:p w14:paraId="1A4DF924" w14:textId="77777777" w:rsidR="00A637AB" w:rsidRPr="009819ED" w:rsidRDefault="00A637AB" w:rsidP="00C72960">
            <w:pPr>
              <w:overflowPunct w:val="0"/>
              <w:autoSpaceDE w:val="0"/>
              <w:spacing w:after="0"/>
              <w:ind w:right="-11"/>
              <w:jc w:val="center"/>
              <w:rPr>
                <w:rFonts w:ascii="Times New Roman" w:hAnsi="Times New Roman" w:cs="Times New Roman"/>
                <w:b/>
              </w:rPr>
            </w:pPr>
            <w:r w:rsidRPr="009819ED">
              <w:rPr>
                <w:rFonts w:ascii="Times New Roman" w:hAnsi="Times New Roman" w:cs="Times New Roman"/>
              </w:rPr>
              <w:t>2</w:t>
            </w:r>
          </w:p>
        </w:tc>
        <w:tc>
          <w:tcPr>
            <w:tcW w:w="3544" w:type="dxa"/>
            <w:tcBorders>
              <w:top w:val="single" w:sz="6" w:space="0" w:color="000000"/>
              <w:left w:val="single" w:sz="6" w:space="0" w:color="000000"/>
              <w:bottom w:val="single" w:sz="6" w:space="0" w:color="000000"/>
            </w:tcBorders>
            <w:shd w:val="clear" w:color="auto" w:fill="auto"/>
          </w:tcPr>
          <w:p w14:paraId="3C5B9951" w14:textId="77777777" w:rsidR="00A637AB" w:rsidRPr="009819ED" w:rsidRDefault="00A637AB" w:rsidP="00C72960">
            <w:pPr>
              <w:overflowPunct w:val="0"/>
              <w:autoSpaceDE w:val="0"/>
              <w:spacing w:after="0"/>
              <w:ind w:right="-11"/>
              <w:rPr>
                <w:rFonts w:ascii="Times New Roman" w:hAnsi="Times New Roman" w:cs="Times New Roman"/>
                <w:b/>
              </w:rPr>
            </w:pPr>
            <w:r w:rsidRPr="009819ED">
              <w:rPr>
                <w:rFonts w:ascii="Times New Roman" w:hAnsi="Times New Roman" w:cs="Times New Roman"/>
              </w:rPr>
              <w:t>Równość podłużna</w:t>
            </w:r>
          </w:p>
        </w:tc>
        <w:tc>
          <w:tcPr>
            <w:tcW w:w="3275" w:type="dxa"/>
            <w:tcBorders>
              <w:top w:val="single" w:sz="6" w:space="0" w:color="000000"/>
              <w:left w:val="single" w:sz="6" w:space="0" w:color="000000"/>
              <w:bottom w:val="single" w:sz="6" w:space="0" w:color="000000"/>
              <w:right w:val="single" w:sz="6" w:space="0" w:color="000000"/>
            </w:tcBorders>
            <w:shd w:val="clear" w:color="auto" w:fill="auto"/>
          </w:tcPr>
          <w:p w14:paraId="21159DF5"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w sposób ciągły planografem albo co 10 m łatą czterometrową</w:t>
            </w:r>
          </w:p>
        </w:tc>
      </w:tr>
      <w:tr w:rsidR="00A637AB" w:rsidRPr="009819ED" w14:paraId="2247135D" w14:textId="77777777" w:rsidTr="00C72960">
        <w:tc>
          <w:tcPr>
            <w:tcW w:w="637" w:type="dxa"/>
            <w:tcBorders>
              <w:top w:val="single" w:sz="6" w:space="0" w:color="000000"/>
              <w:left w:val="single" w:sz="6" w:space="0" w:color="000000"/>
              <w:bottom w:val="single" w:sz="6" w:space="0" w:color="000000"/>
            </w:tcBorders>
            <w:shd w:val="clear" w:color="auto" w:fill="auto"/>
          </w:tcPr>
          <w:p w14:paraId="64651F35"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3</w:t>
            </w:r>
          </w:p>
        </w:tc>
        <w:tc>
          <w:tcPr>
            <w:tcW w:w="3544" w:type="dxa"/>
            <w:tcBorders>
              <w:top w:val="single" w:sz="6" w:space="0" w:color="000000"/>
              <w:left w:val="single" w:sz="6" w:space="0" w:color="000000"/>
              <w:bottom w:val="single" w:sz="6" w:space="0" w:color="000000"/>
            </w:tcBorders>
            <w:shd w:val="clear" w:color="auto" w:fill="auto"/>
          </w:tcPr>
          <w:p w14:paraId="166B1690"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Równość poprzeczna</w:t>
            </w:r>
          </w:p>
        </w:tc>
        <w:tc>
          <w:tcPr>
            <w:tcW w:w="3275" w:type="dxa"/>
            <w:tcBorders>
              <w:top w:val="single" w:sz="6" w:space="0" w:color="000000"/>
              <w:left w:val="single" w:sz="6" w:space="0" w:color="000000"/>
              <w:bottom w:val="single" w:sz="6" w:space="0" w:color="000000"/>
              <w:right w:val="single" w:sz="6" w:space="0" w:color="000000"/>
            </w:tcBorders>
            <w:shd w:val="clear" w:color="auto" w:fill="auto"/>
          </w:tcPr>
          <w:p w14:paraId="254D51C7" w14:textId="77777777" w:rsidR="00A637AB" w:rsidRPr="009819ED" w:rsidRDefault="00A637AB" w:rsidP="00C72960">
            <w:pPr>
              <w:overflowPunct w:val="0"/>
              <w:autoSpaceDE w:val="0"/>
              <w:spacing w:after="0"/>
              <w:ind w:right="-14"/>
              <w:rPr>
                <w:rFonts w:ascii="Times New Roman" w:hAnsi="Times New Roman" w:cs="Times New Roman"/>
              </w:rPr>
            </w:pPr>
            <w:r w:rsidRPr="009819ED">
              <w:rPr>
                <w:rFonts w:ascii="Times New Roman" w:hAnsi="Times New Roman" w:cs="Times New Roman"/>
              </w:rPr>
              <w:t>nie rzadziej niż</w:t>
            </w:r>
            <w:r w:rsidRPr="009819ED">
              <w:rPr>
                <w:rFonts w:ascii="Times New Roman" w:hAnsi="Times New Roman" w:cs="Times New Roman"/>
                <w:b/>
              </w:rPr>
              <w:t xml:space="preserve"> </w:t>
            </w:r>
            <w:r w:rsidRPr="009819ED">
              <w:rPr>
                <w:rFonts w:ascii="Times New Roman" w:hAnsi="Times New Roman" w:cs="Times New Roman"/>
              </w:rPr>
              <w:t>co 5 m</w:t>
            </w:r>
          </w:p>
        </w:tc>
      </w:tr>
      <w:tr w:rsidR="00A637AB" w:rsidRPr="009819ED" w14:paraId="1E5BBA1F" w14:textId="77777777" w:rsidTr="00C72960">
        <w:trPr>
          <w:trHeight w:val="360"/>
        </w:trPr>
        <w:tc>
          <w:tcPr>
            <w:tcW w:w="637" w:type="dxa"/>
            <w:tcBorders>
              <w:top w:val="single" w:sz="6" w:space="0" w:color="000000"/>
              <w:left w:val="single" w:sz="6" w:space="0" w:color="000000"/>
              <w:bottom w:val="single" w:sz="6" w:space="0" w:color="000000"/>
            </w:tcBorders>
            <w:shd w:val="clear" w:color="auto" w:fill="auto"/>
          </w:tcPr>
          <w:p w14:paraId="1BBEA8FC"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4</w:t>
            </w:r>
          </w:p>
        </w:tc>
        <w:tc>
          <w:tcPr>
            <w:tcW w:w="3544" w:type="dxa"/>
            <w:tcBorders>
              <w:top w:val="single" w:sz="6" w:space="0" w:color="000000"/>
              <w:left w:val="single" w:sz="6" w:space="0" w:color="000000"/>
            </w:tcBorders>
            <w:shd w:val="clear" w:color="auto" w:fill="auto"/>
          </w:tcPr>
          <w:p w14:paraId="7C6588FC"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Spadki poprzeczne*</w:t>
            </w:r>
            <w:r w:rsidRPr="009819ED">
              <w:rPr>
                <w:rFonts w:ascii="Times New Roman" w:hAnsi="Times New Roman" w:cs="Times New Roman"/>
                <w:vertAlign w:val="superscript"/>
              </w:rPr>
              <w:t>)</w:t>
            </w:r>
          </w:p>
        </w:tc>
        <w:tc>
          <w:tcPr>
            <w:tcW w:w="3275" w:type="dxa"/>
            <w:tcBorders>
              <w:top w:val="single" w:sz="6" w:space="0" w:color="000000"/>
              <w:left w:val="single" w:sz="6" w:space="0" w:color="000000"/>
              <w:right w:val="single" w:sz="6" w:space="0" w:color="000000"/>
            </w:tcBorders>
            <w:shd w:val="clear" w:color="auto" w:fill="auto"/>
          </w:tcPr>
          <w:p w14:paraId="5E4529A6"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10 razy na 1 km</w:t>
            </w:r>
          </w:p>
        </w:tc>
      </w:tr>
      <w:tr w:rsidR="00A637AB" w:rsidRPr="009819ED" w14:paraId="0777FBBF" w14:textId="77777777" w:rsidTr="00C72960">
        <w:tc>
          <w:tcPr>
            <w:tcW w:w="637" w:type="dxa"/>
            <w:tcBorders>
              <w:top w:val="single" w:sz="6" w:space="0" w:color="000000"/>
              <w:left w:val="single" w:sz="6" w:space="0" w:color="000000"/>
              <w:bottom w:val="single" w:sz="6" w:space="0" w:color="000000"/>
            </w:tcBorders>
            <w:shd w:val="clear" w:color="auto" w:fill="auto"/>
          </w:tcPr>
          <w:p w14:paraId="3FFFF18E" w14:textId="77777777" w:rsidR="00A637AB" w:rsidRPr="009819ED" w:rsidRDefault="00A637AB" w:rsidP="00C72960">
            <w:pPr>
              <w:overflowPunct w:val="0"/>
              <w:autoSpaceDE w:val="0"/>
              <w:spacing w:after="0"/>
              <w:ind w:right="-11"/>
              <w:jc w:val="center"/>
              <w:rPr>
                <w:rFonts w:ascii="Times New Roman" w:hAnsi="Times New Roman" w:cs="Times New Roman"/>
                <w:b/>
              </w:rPr>
            </w:pPr>
            <w:r w:rsidRPr="009819ED">
              <w:rPr>
                <w:rFonts w:ascii="Times New Roman" w:hAnsi="Times New Roman" w:cs="Times New Roman"/>
              </w:rPr>
              <w:lastRenderedPageBreak/>
              <w:t>5</w:t>
            </w:r>
          </w:p>
        </w:tc>
        <w:tc>
          <w:tcPr>
            <w:tcW w:w="3544" w:type="dxa"/>
            <w:tcBorders>
              <w:top w:val="single" w:sz="6" w:space="0" w:color="000000"/>
              <w:left w:val="single" w:sz="6" w:space="0" w:color="000000"/>
              <w:bottom w:val="single" w:sz="6" w:space="0" w:color="000000"/>
            </w:tcBorders>
            <w:shd w:val="clear" w:color="auto" w:fill="auto"/>
          </w:tcPr>
          <w:p w14:paraId="58E2BA90" w14:textId="77777777" w:rsidR="00A637AB" w:rsidRPr="009819ED" w:rsidRDefault="00A637AB" w:rsidP="00C72960">
            <w:pPr>
              <w:overflowPunct w:val="0"/>
              <w:autoSpaceDE w:val="0"/>
              <w:spacing w:after="0"/>
              <w:ind w:right="-11"/>
              <w:rPr>
                <w:rFonts w:ascii="Times New Roman" w:hAnsi="Times New Roman" w:cs="Times New Roman"/>
                <w:b/>
              </w:rPr>
            </w:pPr>
            <w:r w:rsidRPr="009819ED">
              <w:rPr>
                <w:rFonts w:ascii="Times New Roman" w:hAnsi="Times New Roman" w:cs="Times New Roman"/>
              </w:rPr>
              <w:t>Rzędne wysokościowe</w:t>
            </w:r>
          </w:p>
        </w:tc>
        <w:tc>
          <w:tcPr>
            <w:tcW w:w="3275" w:type="dxa"/>
            <w:tcBorders>
              <w:top w:val="single" w:sz="6" w:space="0" w:color="000000"/>
              <w:left w:val="single" w:sz="6" w:space="0" w:color="000000"/>
              <w:right w:val="single" w:sz="6" w:space="0" w:color="000000"/>
            </w:tcBorders>
            <w:shd w:val="clear" w:color="auto" w:fill="auto"/>
          </w:tcPr>
          <w:p w14:paraId="0D1C0852" w14:textId="77777777" w:rsidR="00A637AB" w:rsidRPr="009819ED" w:rsidRDefault="00A637AB" w:rsidP="00C72960">
            <w:pPr>
              <w:overflowPunct w:val="0"/>
              <w:autoSpaceDE w:val="0"/>
              <w:spacing w:after="0"/>
              <w:ind w:right="-11"/>
              <w:rPr>
                <w:rFonts w:ascii="Times New Roman" w:hAnsi="Times New Roman" w:cs="Times New Roman"/>
                <w:b/>
              </w:rPr>
            </w:pPr>
            <w:r w:rsidRPr="009819ED">
              <w:rPr>
                <w:rFonts w:ascii="Times New Roman" w:hAnsi="Times New Roman" w:cs="Times New Roman"/>
              </w:rPr>
              <w:t>dla autostrad i dróg ekspresowych co 25 m</w:t>
            </w:r>
          </w:p>
        </w:tc>
      </w:tr>
      <w:tr w:rsidR="00A637AB" w:rsidRPr="009819ED" w14:paraId="657139E9" w14:textId="77777777" w:rsidTr="00C72960">
        <w:tc>
          <w:tcPr>
            <w:tcW w:w="637" w:type="dxa"/>
            <w:tcBorders>
              <w:top w:val="single" w:sz="6" w:space="0" w:color="000000"/>
              <w:left w:val="single" w:sz="6" w:space="0" w:color="000000"/>
              <w:bottom w:val="single" w:sz="6" w:space="0" w:color="000000"/>
            </w:tcBorders>
            <w:shd w:val="clear" w:color="auto" w:fill="auto"/>
          </w:tcPr>
          <w:p w14:paraId="21018C94"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6</w:t>
            </w:r>
          </w:p>
        </w:tc>
        <w:tc>
          <w:tcPr>
            <w:tcW w:w="3544" w:type="dxa"/>
            <w:tcBorders>
              <w:top w:val="single" w:sz="6" w:space="0" w:color="000000"/>
              <w:left w:val="single" w:sz="6" w:space="0" w:color="000000"/>
              <w:bottom w:val="single" w:sz="6" w:space="0" w:color="000000"/>
            </w:tcBorders>
            <w:shd w:val="clear" w:color="auto" w:fill="auto"/>
          </w:tcPr>
          <w:p w14:paraId="537ADA76"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Ukształtowanie osi w planie*</w:t>
            </w:r>
            <w:r w:rsidRPr="009819ED">
              <w:rPr>
                <w:rFonts w:ascii="Times New Roman" w:hAnsi="Times New Roman" w:cs="Times New Roman"/>
                <w:vertAlign w:val="superscript"/>
              </w:rPr>
              <w:t>)</w:t>
            </w:r>
          </w:p>
        </w:tc>
        <w:tc>
          <w:tcPr>
            <w:tcW w:w="3275" w:type="dxa"/>
            <w:tcBorders>
              <w:left w:val="single" w:sz="6" w:space="0" w:color="000000"/>
              <w:bottom w:val="single" w:sz="6" w:space="0" w:color="000000"/>
              <w:right w:val="single" w:sz="6" w:space="0" w:color="000000"/>
            </w:tcBorders>
            <w:shd w:val="clear" w:color="auto" w:fill="auto"/>
          </w:tcPr>
          <w:p w14:paraId="2B1BD2C3" w14:textId="77777777" w:rsidR="00A637AB" w:rsidRPr="009819ED" w:rsidRDefault="00A637AB" w:rsidP="00C72960">
            <w:pPr>
              <w:overflowPunct w:val="0"/>
              <w:autoSpaceDE w:val="0"/>
              <w:spacing w:after="0"/>
              <w:ind w:right="-11"/>
              <w:rPr>
                <w:rFonts w:ascii="Times New Roman" w:hAnsi="Times New Roman" w:cs="Times New Roman"/>
                <w:b/>
              </w:rPr>
            </w:pPr>
            <w:r w:rsidRPr="009819ED">
              <w:rPr>
                <w:rFonts w:ascii="Times New Roman" w:hAnsi="Times New Roman" w:cs="Times New Roman"/>
              </w:rPr>
              <w:t>dla pozostałych dróg co 100 m</w:t>
            </w:r>
          </w:p>
        </w:tc>
      </w:tr>
      <w:tr w:rsidR="00A637AB" w:rsidRPr="009819ED" w14:paraId="47649F8A" w14:textId="77777777" w:rsidTr="00C72960">
        <w:tc>
          <w:tcPr>
            <w:tcW w:w="637" w:type="dxa"/>
            <w:tcBorders>
              <w:top w:val="single" w:sz="6" w:space="0" w:color="000000"/>
              <w:left w:val="single" w:sz="6" w:space="0" w:color="000000"/>
              <w:bottom w:val="single" w:sz="6" w:space="0" w:color="000000"/>
            </w:tcBorders>
            <w:shd w:val="clear" w:color="auto" w:fill="auto"/>
          </w:tcPr>
          <w:p w14:paraId="43C78CE4"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7</w:t>
            </w:r>
          </w:p>
        </w:tc>
        <w:tc>
          <w:tcPr>
            <w:tcW w:w="3544" w:type="dxa"/>
            <w:tcBorders>
              <w:top w:val="single" w:sz="6" w:space="0" w:color="000000"/>
              <w:left w:val="single" w:sz="6" w:space="0" w:color="000000"/>
              <w:bottom w:val="single" w:sz="6" w:space="0" w:color="000000"/>
            </w:tcBorders>
            <w:shd w:val="clear" w:color="auto" w:fill="auto"/>
          </w:tcPr>
          <w:p w14:paraId="5974DA39"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Grubość nawierzchni</w:t>
            </w:r>
          </w:p>
        </w:tc>
        <w:tc>
          <w:tcPr>
            <w:tcW w:w="3275" w:type="dxa"/>
            <w:tcBorders>
              <w:top w:val="single" w:sz="6" w:space="0" w:color="000000"/>
              <w:left w:val="single" w:sz="6" w:space="0" w:color="000000"/>
              <w:bottom w:val="single" w:sz="6" w:space="0" w:color="000000"/>
              <w:right w:val="single" w:sz="6" w:space="0" w:color="000000"/>
            </w:tcBorders>
            <w:shd w:val="clear" w:color="auto" w:fill="auto"/>
          </w:tcPr>
          <w:p w14:paraId="72E49CEA" w14:textId="77777777" w:rsidR="00A637AB" w:rsidRPr="009819ED" w:rsidRDefault="00A637AB" w:rsidP="00C72960">
            <w:pPr>
              <w:overflowPunct w:val="0"/>
              <w:autoSpaceDE w:val="0"/>
              <w:spacing w:after="0"/>
              <w:ind w:right="-11"/>
              <w:rPr>
                <w:rFonts w:ascii="Times New Roman" w:hAnsi="Times New Roman" w:cs="Times New Roman"/>
                <w:b/>
              </w:rPr>
            </w:pPr>
            <w:r w:rsidRPr="009819ED">
              <w:rPr>
                <w:rFonts w:ascii="Times New Roman" w:hAnsi="Times New Roman" w:cs="Times New Roman"/>
              </w:rPr>
              <w:t>1 raz na 2 km</w:t>
            </w:r>
          </w:p>
        </w:tc>
      </w:tr>
      <w:tr w:rsidR="00A637AB" w:rsidRPr="009819ED" w14:paraId="05F86B9C" w14:textId="77777777" w:rsidTr="00C72960">
        <w:tc>
          <w:tcPr>
            <w:tcW w:w="637" w:type="dxa"/>
            <w:tcBorders>
              <w:top w:val="single" w:sz="6" w:space="0" w:color="000000"/>
              <w:left w:val="single" w:sz="6" w:space="0" w:color="000000"/>
              <w:bottom w:val="single" w:sz="6" w:space="0" w:color="000000"/>
            </w:tcBorders>
            <w:shd w:val="clear" w:color="auto" w:fill="auto"/>
          </w:tcPr>
          <w:p w14:paraId="7A494593" w14:textId="77777777" w:rsidR="00A637AB" w:rsidRPr="009819ED" w:rsidRDefault="00A637AB" w:rsidP="00C72960">
            <w:pPr>
              <w:overflowPunct w:val="0"/>
              <w:autoSpaceDE w:val="0"/>
              <w:spacing w:after="0"/>
              <w:ind w:right="-14"/>
              <w:jc w:val="center"/>
              <w:rPr>
                <w:rFonts w:ascii="Times New Roman" w:hAnsi="Times New Roman" w:cs="Times New Roman"/>
                <w:b/>
              </w:rPr>
            </w:pPr>
            <w:r w:rsidRPr="009819ED">
              <w:rPr>
                <w:rFonts w:ascii="Times New Roman" w:hAnsi="Times New Roman" w:cs="Times New Roman"/>
              </w:rPr>
              <w:t>8</w:t>
            </w:r>
          </w:p>
        </w:tc>
        <w:tc>
          <w:tcPr>
            <w:tcW w:w="3544" w:type="dxa"/>
            <w:tcBorders>
              <w:top w:val="single" w:sz="6" w:space="0" w:color="000000"/>
              <w:left w:val="single" w:sz="6" w:space="0" w:color="000000"/>
              <w:bottom w:val="single" w:sz="6" w:space="0" w:color="000000"/>
            </w:tcBorders>
            <w:shd w:val="clear" w:color="auto" w:fill="auto"/>
          </w:tcPr>
          <w:p w14:paraId="67FF0D70"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Sprawdzenie szczelin - rozmieszczenie, wypełnienie</w:t>
            </w:r>
          </w:p>
        </w:tc>
        <w:tc>
          <w:tcPr>
            <w:tcW w:w="3275" w:type="dxa"/>
            <w:tcBorders>
              <w:top w:val="single" w:sz="6" w:space="0" w:color="000000"/>
              <w:left w:val="single" w:sz="6" w:space="0" w:color="000000"/>
              <w:bottom w:val="single" w:sz="6" w:space="0" w:color="000000"/>
              <w:right w:val="single" w:sz="6" w:space="0" w:color="000000"/>
            </w:tcBorders>
            <w:shd w:val="clear" w:color="auto" w:fill="auto"/>
          </w:tcPr>
          <w:p w14:paraId="3EB37766" w14:textId="77777777" w:rsidR="00A637AB" w:rsidRPr="009819ED" w:rsidRDefault="00A637AB" w:rsidP="00C72960">
            <w:pPr>
              <w:overflowPunct w:val="0"/>
              <w:autoSpaceDE w:val="0"/>
              <w:spacing w:after="0"/>
              <w:ind w:right="-14"/>
              <w:rPr>
                <w:rFonts w:ascii="Times New Roman" w:hAnsi="Times New Roman" w:cs="Times New Roman"/>
                <w:b/>
              </w:rPr>
            </w:pPr>
            <w:r w:rsidRPr="009819ED">
              <w:rPr>
                <w:rFonts w:ascii="Times New Roman" w:hAnsi="Times New Roman" w:cs="Times New Roman"/>
              </w:rPr>
              <w:t>2 razy na 1 km i przy moście, wiadukcie i na skrzyżowaniu</w:t>
            </w:r>
          </w:p>
        </w:tc>
      </w:tr>
      <w:tr w:rsidR="00A637AB" w:rsidRPr="009819ED" w14:paraId="51FA0E2E" w14:textId="77777777" w:rsidTr="00C72960">
        <w:tc>
          <w:tcPr>
            <w:tcW w:w="637" w:type="dxa"/>
            <w:tcBorders>
              <w:top w:val="single" w:sz="6" w:space="0" w:color="000000"/>
              <w:left w:val="single" w:sz="6" w:space="0" w:color="000000"/>
              <w:bottom w:val="single" w:sz="6" w:space="0" w:color="000000"/>
            </w:tcBorders>
            <w:shd w:val="clear" w:color="auto" w:fill="auto"/>
          </w:tcPr>
          <w:p w14:paraId="2644F433" w14:textId="77777777" w:rsidR="00A637AB" w:rsidRPr="009819ED" w:rsidRDefault="00A637AB" w:rsidP="00C72960">
            <w:pPr>
              <w:overflowPunct w:val="0"/>
              <w:autoSpaceDE w:val="0"/>
              <w:spacing w:after="0"/>
              <w:ind w:right="-14"/>
              <w:jc w:val="center"/>
              <w:rPr>
                <w:rFonts w:ascii="Times New Roman" w:hAnsi="Times New Roman" w:cs="Times New Roman"/>
              </w:rPr>
            </w:pPr>
            <w:r w:rsidRPr="009819ED">
              <w:rPr>
                <w:rFonts w:ascii="Times New Roman" w:hAnsi="Times New Roman" w:cs="Times New Roman"/>
              </w:rPr>
              <w:t>9</w:t>
            </w:r>
          </w:p>
        </w:tc>
        <w:tc>
          <w:tcPr>
            <w:tcW w:w="3544" w:type="dxa"/>
            <w:tcBorders>
              <w:top w:val="single" w:sz="6" w:space="0" w:color="000000"/>
              <w:left w:val="single" w:sz="6" w:space="0" w:color="000000"/>
              <w:bottom w:val="single" w:sz="6" w:space="0" w:color="000000"/>
            </w:tcBorders>
            <w:shd w:val="clear" w:color="auto" w:fill="auto"/>
          </w:tcPr>
          <w:p w14:paraId="3E5908AB" w14:textId="77777777" w:rsidR="00A637AB" w:rsidRPr="009819ED" w:rsidRDefault="00A637AB" w:rsidP="00C72960">
            <w:pPr>
              <w:overflowPunct w:val="0"/>
              <w:autoSpaceDE w:val="0"/>
              <w:spacing w:after="0"/>
              <w:ind w:right="-14"/>
              <w:rPr>
                <w:rFonts w:ascii="Times New Roman" w:hAnsi="Times New Roman" w:cs="Times New Roman"/>
              </w:rPr>
            </w:pPr>
            <w:r w:rsidRPr="009819ED">
              <w:rPr>
                <w:rFonts w:ascii="Times New Roman" w:hAnsi="Times New Roman" w:cs="Times New Roman"/>
              </w:rPr>
              <w:t>Wytrzymałość na ściskanie, nasiąkliwość i mrozoodporność</w:t>
            </w:r>
          </w:p>
        </w:tc>
        <w:tc>
          <w:tcPr>
            <w:tcW w:w="3275" w:type="dxa"/>
            <w:tcBorders>
              <w:top w:val="single" w:sz="6" w:space="0" w:color="000000"/>
              <w:left w:val="single" w:sz="6" w:space="0" w:color="000000"/>
              <w:bottom w:val="single" w:sz="6" w:space="0" w:color="000000"/>
              <w:right w:val="single" w:sz="6" w:space="0" w:color="000000"/>
            </w:tcBorders>
            <w:shd w:val="clear" w:color="auto" w:fill="auto"/>
          </w:tcPr>
          <w:p w14:paraId="78AE4E2D" w14:textId="77777777" w:rsidR="00A637AB" w:rsidRPr="009819ED" w:rsidRDefault="00A637AB" w:rsidP="00C72960">
            <w:pPr>
              <w:overflowPunct w:val="0"/>
              <w:autoSpaceDE w:val="0"/>
              <w:spacing w:after="0"/>
              <w:ind w:right="-14"/>
              <w:rPr>
                <w:rFonts w:ascii="Times New Roman" w:hAnsi="Times New Roman" w:cs="Times New Roman"/>
              </w:rPr>
            </w:pPr>
            <w:r w:rsidRPr="009819ED">
              <w:rPr>
                <w:rFonts w:ascii="Times New Roman" w:hAnsi="Times New Roman" w:cs="Times New Roman"/>
              </w:rPr>
              <w:t>w przypadkach wątpliwych, według decyzji Inżyniera</w:t>
            </w:r>
          </w:p>
        </w:tc>
      </w:tr>
    </w:tbl>
    <w:p w14:paraId="00FEE20B" w14:textId="77777777" w:rsidR="00A637AB" w:rsidRPr="009819ED" w:rsidRDefault="00A637AB" w:rsidP="00A637AB">
      <w:pPr>
        <w:pStyle w:val="Tekstpodstawowy2"/>
        <w:rPr>
          <w:sz w:val="22"/>
          <w:szCs w:val="22"/>
        </w:rPr>
      </w:pPr>
      <w:r w:rsidRPr="009819ED">
        <w:rPr>
          <w:sz w:val="22"/>
          <w:szCs w:val="22"/>
        </w:rPr>
        <w:t>*) Dodatkowe pomiary spadków poprzecznych i ukształtowanie osi w planie należy wykonać w punktach głównych łuków poziomych.</w:t>
      </w:r>
    </w:p>
    <w:p w14:paraId="4D325F9E" w14:textId="77777777" w:rsidR="00A637AB" w:rsidRPr="009819ED" w:rsidRDefault="00A637AB" w:rsidP="00A637AB">
      <w:pPr>
        <w:keepNext/>
        <w:spacing w:before="120" w:after="120"/>
        <w:ind w:right="-11"/>
        <w:jc w:val="both"/>
        <w:rPr>
          <w:rFonts w:ascii="Times New Roman" w:hAnsi="Times New Roman" w:cs="Times New Roman"/>
        </w:rPr>
      </w:pPr>
      <w:r w:rsidRPr="009819ED">
        <w:rPr>
          <w:rFonts w:ascii="Times New Roman" w:hAnsi="Times New Roman" w:cs="Times New Roman"/>
          <w:b/>
        </w:rPr>
        <w:t xml:space="preserve">6.4.2. </w:t>
      </w:r>
      <w:r w:rsidRPr="009819ED">
        <w:rPr>
          <w:rFonts w:ascii="Times New Roman" w:hAnsi="Times New Roman" w:cs="Times New Roman"/>
        </w:rPr>
        <w:t>Szerokość nawierzchni</w:t>
      </w:r>
    </w:p>
    <w:p w14:paraId="208AFCE7"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Szerokość nawierzchni powinna być zgodna z dokumentacją projektową, z tolerancją od 0 do 3 cm.</w:t>
      </w:r>
    </w:p>
    <w:p w14:paraId="0F14FA52" w14:textId="77777777" w:rsidR="00A637AB" w:rsidRPr="009819ED" w:rsidRDefault="00A637AB" w:rsidP="00A637AB">
      <w:pPr>
        <w:keepNext/>
        <w:spacing w:before="120" w:after="120"/>
        <w:ind w:right="-11"/>
        <w:jc w:val="both"/>
        <w:rPr>
          <w:rFonts w:ascii="Times New Roman" w:hAnsi="Times New Roman" w:cs="Times New Roman"/>
        </w:rPr>
      </w:pPr>
      <w:r w:rsidRPr="009819ED">
        <w:rPr>
          <w:rFonts w:ascii="Times New Roman" w:hAnsi="Times New Roman" w:cs="Times New Roman"/>
          <w:b/>
        </w:rPr>
        <w:t xml:space="preserve">6.4.3. </w:t>
      </w:r>
      <w:r w:rsidRPr="009819ED">
        <w:rPr>
          <w:rFonts w:ascii="Times New Roman" w:hAnsi="Times New Roman" w:cs="Times New Roman"/>
        </w:rPr>
        <w:t>Równość nawierzchni</w:t>
      </w:r>
    </w:p>
    <w:p w14:paraId="32D3CB72"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 xml:space="preserve">Nierówności podłużne nawierzchni należy mierzyć planografem, wg BN-68/8931-04 [45]. </w:t>
      </w:r>
    </w:p>
    <w:p w14:paraId="02309BFA"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Nierówności nawierzchni nie mogą przekraczać:</w:t>
      </w:r>
    </w:p>
    <w:p w14:paraId="1DDC64D8" w14:textId="77777777" w:rsidR="00A637AB" w:rsidRPr="009819ED" w:rsidRDefault="00A637AB" w:rsidP="00904E6C">
      <w:pPr>
        <w:numPr>
          <w:ilvl w:val="0"/>
          <w:numId w:val="392"/>
        </w:numPr>
        <w:overflowPunct w:val="0"/>
        <w:autoSpaceDE w:val="0"/>
        <w:spacing w:after="0" w:line="240" w:lineRule="auto"/>
        <w:ind w:left="0" w:right="-11" w:firstLine="0"/>
        <w:jc w:val="both"/>
        <w:rPr>
          <w:rFonts w:ascii="Times New Roman" w:hAnsi="Times New Roman" w:cs="Times New Roman"/>
        </w:rPr>
      </w:pPr>
      <w:r w:rsidRPr="009819ED">
        <w:rPr>
          <w:rFonts w:ascii="Times New Roman" w:hAnsi="Times New Roman" w:cs="Times New Roman"/>
        </w:rPr>
        <w:t>5 mm na drogach kl. I i II,</w:t>
      </w:r>
    </w:p>
    <w:p w14:paraId="2B156D97" w14:textId="77777777" w:rsidR="00A637AB" w:rsidRPr="009819ED" w:rsidRDefault="00A637AB" w:rsidP="00904E6C">
      <w:pPr>
        <w:numPr>
          <w:ilvl w:val="0"/>
          <w:numId w:val="392"/>
        </w:numPr>
        <w:overflowPunct w:val="0"/>
        <w:autoSpaceDE w:val="0"/>
        <w:spacing w:after="0" w:line="240" w:lineRule="auto"/>
        <w:ind w:left="0" w:right="-11" w:firstLine="0"/>
        <w:jc w:val="both"/>
        <w:rPr>
          <w:rFonts w:ascii="Times New Roman" w:hAnsi="Times New Roman" w:cs="Times New Roman"/>
        </w:rPr>
      </w:pPr>
      <w:r w:rsidRPr="009819ED">
        <w:rPr>
          <w:rFonts w:ascii="Times New Roman" w:hAnsi="Times New Roman" w:cs="Times New Roman"/>
        </w:rPr>
        <w:t>6 mm na drogach pozostałych klas.</w:t>
      </w:r>
    </w:p>
    <w:p w14:paraId="701A1065"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Nierówności poprzeczne nawierzchni należy mierzyć łatą 4-metrową. Nierówności nie mogą przekraczać 5 mm.</w:t>
      </w:r>
    </w:p>
    <w:p w14:paraId="32F3EB07" w14:textId="77777777" w:rsidR="00A637AB" w:rsidRPr="009819ED" w:rsidRDefault="00A637AB" w:rsidP="00A637AB">
      <w:pPr>
        <w:spacing w:before="120" w:after="120"/>
        <w:ind w:right="-11"/>
        <w:jc w:val="both"/>
        <w:rPr>
          <w:rFonts w:ascii="Times New Roman" w:hAnsi="Times New Roman" w:cs="Times New Roman"/>
        </w:rPr>
      </w:pPr>
      <w:r w:rsidRPr="009819ED">
        <w:rPr>
          <w:rFonts w:ascii="Times New Roman" w:hAnsi="Times New Roman" w:cs="Times New Roman"/>
          <w:b/>
        </w:rPr>
        <w:t xml:space="preserve">6.4.4. </w:t>
      </w:r>
      <w:r w:rsidRPr="009819ED">
        <w:rPr>
          <w:rFonts w:ascii="Times New Roman" w:hAnsi="Times New Roman" w:cs="Times New Roman"/>
        </w:rPr>
        <w:t>Spadki poprzeczne nawierzchni</w:t>
      </w:r>
    </w:p>
    <w:p w14:paraId="528C3A97"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 xml:space="preserve">Spadki poprzeczne nawierzchni na prostych i łukach powinny być zgodne z dokumentacją projektową z tolerancją </w:t>
      </w:r>
      <w:r w:rsidRPr="009819ED">
        <w:rPr>
          <w:rFonts w:ascii="Times New Roman" w:eastAsia="Symbol" w:hAnsi="Times New Roman" w:cs="Times New Roman"/>
        </w:rPr>
        <w:t></w:t>
      </w:r>
      <w:r w:rsidRPr="009819ED">
        <w:rPr>
          <w:rFonts w:ascii="Times New Roman" w:hAnsi="Times New Roman" w:cs="Times New Roman"/>
        </w:rPr>
        <w:t xml:space="preserve"> 0,2 %.</w:t>
      </w:r>
    </w:p>
    <w:p w14:paraId="68B0A4E5" w14:textId="77777777" w:rsidR="00A637AB" w:rsidRPr="009819ED" w:rsidRDefault="00A637AB" w:rsidP="00A637AB">
      <w:pPr>
        <w:spacing w:before="120" w:after="120"/>
        <w:ind w:right="-11"/>
        <w:jc w:val="both"/>
        <w:rPr>
          <w:rFonts w:ascii="Times New Roman" w:hAnsi="Times New Roman" w:cs="Times New Roman"/>
        </w:rPr>
      </w:pPr>
      <w:r w:rsidRPr="009819ED">
        <w:rPr>
          <w:rFonts w:ascii="Times New Roman" w:hAnsi="Times New Roman" w:cs="Times New Roman"/>
          <w:b/>
        </w:rPr>
        <w:t xml:space="preserve">6.4.5. </w:t>
      </w:r>
      <w:r w:rsidRPr="009819ED">
        <w:rPr>
          <w:rFonts w:ascii="Times New Roman" w:hAnsi="Times New Roman" w:cs="Times New Roman"/>
        </w:rPr>
        <w:t>Rzędne wysokościowe nawierzchni</w:t>
      </w:r>
    </w:p>
    <w:p w14:paraId="5BB2D090" w14:textId="77777777" w:rsidR="00A637AB" w:rsidRPr="009819ED" w:rsidRDefault="00A637AB" w:rsidP="00A637AB">
      <w:pPr>
        <w:spacing w:before="120" w:after="120"/>
        <w:ind w:right="-11"/>
        <w:jc w:val="both"/>
        <w:rPr>
          <w:rFonts w:ascii="Times New Roman" w:hAnsi="Times New Roman" w:cs="Times New Roman"/>
        </w:rPr>
      </w:pPr>
      <w:r w:rsidRPr="009819ED">
        <w:rPr>
          <w:rFonts w:ascii="Times New Roman" w:hAnsi="Times New Roman" w:cs="Times New Roman"/>
        </w:rPr>
        <w:t>Rzędne wysokościowe nawierzchni powinny być zgodne z dokum</w:t>
      </w:r>
      <w:r w:rsidR="00D14686">
        <w:rPr>
          <w:rFonts w:ascii="Times New Roman" w:hAnsi="Times New Roman" w:cs="Times New Roman"/>
        </w:rPr>
        <w:t>entacją projektową z tolerancją</w:t>
      </w:r>
      <w:r w:rsidRPr="009819ED">
        <w:rPr>
          <w:rFonts w:ascii="Times New Roman" w:hAnsi="Times New Roman" w:cs="Times New Roman"/>
        </w:rPr>
        <w:t xml:space="preserve"> 1,5 cm.</w:t>
      </w:r>
    </w:p>
    <w:p w14:paraId="75F80950" w14:textId="77777777" w:rsidR="00A637AB" w:rsidRPr="009819ED" w:rsidRDefault="00A637AB" w:rsidP="00A637AB">
      <w:pPr>
        <w:spacing w:before="120" w:after="120"/>
        <w:ind w:right="-11"/>
        <w:jc w:val="both"/>
        <w:rPr>
          <w:rFonts w:ascii="Times New Roman" w:hAnsi="Times New Roman" w:cs="Times New Roman"/>
        </w:rPr>
      </w:pPr>
      <w:r w:rsidRPr="009819ED">
        <w:rPr>
          <w:rFonts w:ascii="Times New Roman" w:hAnsi="Times New Roman" w:cs="Times New Roman"/>
          <w:b/>
        </w:rPr>
        <w:t xml:space="preserve">6.4.6. </w:t>
      </w:r>
      <w:r w:rsidRPr="009819ED">
        <w:rPr>
          <w:rFonts w:ascii="Times New Roman" w:hAnsi="Times New Roman" w:cs="Times New Roman"/>
        </w:rPr>
        <w:t>Ukształtowanie osi w planie</w:t>
      </w:r>
    </w:p>
    <w:p w14:paraId="478A3C92" w14:textId="77777777" w:rsidR="00A637AB" w:rsidRPr="009819ED" w:rsidRDefault="00A637AB" w:rsidP="00A637AB">
      <w:pPr>
        <w:pStyle w:val="Tekstpodstawowy2"/>
        <w:spacing w:after="0"/>
        <w:rPr>
          <w:sz w:val="22"/>
          <w:szCs w:val="22"/>
        </w:rPr>
      </w:pPr>
      <w:r w:rsidRPr="009819ED">
        <w:rPr>
          <w:sz w:val="22"/>
          <w:szCs w:val="22"/>
        </w:rPr>
        <w:tab/>
        <w:t>Oś nawierzchni w planie powinna być usytuowana zgodnie z dokumentacją projektową z tolerancją  3 cm dla autostrad i dróg ekspresowych i  5 cm dla pozostałych dróg.</w:t>
      </w:r>
    </w:p>
    <w:p w14:paraId="1D428648" w14:textId="77777777" w:rsidR="00A637AB" w:rsidRPr="009819ED" w:rsidRDefault="00A637AB" w:rsidP="00A637AB">
      <w:pPr>
        <w:spacing w:before="120" w:after="120"/>
        <w:ind w:right="-11"/>
        <w:jc w:val="both"/>
        <w:rPr>
          <w:rFonts w:ascii="Times New Roman" w:hAnsi="Times New Roman" w:cs="Times New Roman"/>
        </w:rPr>
      </w:pPr>
      <w:r w:rsidRPr="009819ED">
        <w:rPr>
          <w:rFonts w:ascii="Times New Roman" w:hAnsi="Times New Roman" w:cs="Times New Roman"/>
          <w:b/>
        </w:rPr>
        <w:t xml:space="preserve">6.4.7. </w:t>
      </w:r>
      <w:r w:rsidRPr="009819ED">
        <w:rPr>
          <w:rFonts w:ascii="Times New Roman" w:hAnsi="Times New Roman" w:cs="Times New Roman"/>
        </w:rPr>
        <w:t>Grubość nawierzchni</w:t>
      </w:r>
    </w:p>
    <w:p w14:paraId="1C263872"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Grubość nawierzchni powinna być zgodna z dokumentacją projektową z tolerancją od 0 do 0,5%.</w:t>
      </w:r>
    </w:p>
    <w:p w14:paraId="0150416A" w14:textId="77777777" w:rsidR="00A637AB" w:rsidRPr="009819ED" w:rsidRDefault="00A637AB" w:rsidP="00A637AB">
      <w:pPr>
        <w:spacing w:before="120"/>
        <w:ind w:right="-11"/>
        <w:jc w:val="both"/>
        <w:rPr>
          <w:rFonts w:ascii="Times New Roman" w:hAnsi="Times New Roman" w:cs="Times New Roman"/>
        </w:rPr>
      </w:pPr>
      <w:r w:rsidRPr="009819ED">
        <w:rPr>
          <w:rFonts w:ascii="Times New Roman" w:hAnsi="Times New Roman" w:cs="Times New Roman"/>
          <w:b/>
        </w:rPr>
        <w:t xml:space="preserve">6.4.8. </w:t>
      </w:r>
      <w:r w:rsidRPr="009819ED">
        <w:rPr>
          <w:rFonts w:ascii="Times New Roman" w:hAnsi="Times New Roman" w:cs="Times New Roman"/>
        </w:rPr>
        <w:t>Sprawdzanie szczelin</w:t>
      </w:r>
    </w:p>
    <w:p w14:paraId="7EEA245E" w14:textId="77777777" w:rsidR="00A637AB" w:rsidRPr="009819ED" w:rsidRDefault="00A637AB" w:rsidP="00A637AB">
      <w:pPr>
        <w:spacing w:before="120"/>
        <w:ind w:right="-11"/>
        <w:jc w:val="both"/>
        <w:rPr>
          <w:rFonts w:ascii="Times New Roman" w:hAnsi="Times New Roman" w:cs="Times New Roman"/>
        </w:rPr>
      </w:pPr>
      <w:r w:rsidRPr="009819ED">
        <w:rPr>
          <w:rFonts w:ascii="Times New Roman" w:hAnsi="Times New Roman" w:cs="Times New Roman"/>
        </w:rPr>
        <w:tab/>
        <w:t xml:space="preserve">Sprawdzanie polega na oględzinach zewnętrznych i otwarciu szczeliny na długości min. 10 cm. Rozmieszczenie szczelin i wypełnienie szczelin powinno być zgodne z dokumentacją projektową z tolerancją: rozmieszczenie </w:t>
      </w:r>
      <w:r w:rsidRPr="009819ED">
        <w:rPr>
          <w:rFonts w:ascii="Times New Roman" w:eastAsia="Symbol" w:hAnsi="Times New Roman" w:cs="Times New Roman"/>
        </w:rPr>
        <w:t></w:t>
      </w:r>
      <w:r w:rsidRPr="009819ED">
        <w:rPr>
          <w:rFonts w:ascii="Times New Roman" w:hAnsi="Times New Roman" w:cs="Times New Roman"/>
        </w:rPr>
        <w:t>5 cm., wypełnienie – poziom masy w szczelinach od 0 do -5 mm (menisk wklęsły).</w:t>
      </w:r>
    </w:p>
    <w:p w14:paraId="7782386F" w14:textId="77777777" w:rsidR="00A637AB" w:rsidRPr="009819ED" w:rsidRDefault="00A637AB" w:rsidP="00A637AB">
      <w:pPr>
        <w:spacing w:before="120"/>
        <w:ind w:right="-11"/>
        <w:jc w:val="both"/>
        <w:rPr>
          <w:rFonts w:ascii="Times New Roman" w:hAnsi="Times New Roman" w:cs="Times New Roman"/>
        </w:rPr>
      </w:pPr>
      <w:r w:rsidRPr="009819ED">
        <w:rPr>
          <w:rFonts w:ascii="Times New Roman" w:hAnsi="Times New Roman" w:cs="Times New Roman"/>
          <w:b/>
        </w:rPr>
        <w:t xml:space="preserve">6.4.9. </w:t>
      </w:r>
      <w:r w:rsidRPr="009819ED">
        <w:rPr>
          <w:rFonts w:ascii="Times New Roman" w:hAnsi="Times New Roman" w:cs="Times New Roman"/>
        </w:rPr>
        <w:t>Wytrzymałość na ściskanie, nasiąkliwość i mrozoodporność</w:t>
      </w:r>
    </w:p>
    <w:p w14:paraId="59BC03AB" w14:textId="77777777" w:rsidR="00A637AB" w:rsidRPr="009819ED" w:rsidRDefault="00A637AB" w:rsidP="00A637AB">
      <w:pPr>
        <w:spacing w:before="120"/>
        <w:ind w:right="-11"/>
        <w:jc w:val="both"/>
        <w:rPr>
          <w:rFonts w:ascii="Times New Roman" w:hAnsi="Times New Roman" w:cs="Times New Roman"/>
        </w:rPr>
      </w:pPr>
      <w:r w:rsidRPr="009819ED">
        <w:rPr>
          <w:rFonts w:ascii="Times New Roman" w:hAnsi="Times New Roman" w:cs="Times New Roman"/>
        </w:rPr>
        <w:lastRenderedPageBreak/>
        <w:tab/>
        <w:t>Sprawdzenie polega na odwierceniu lub wycięciu próbek z wykonanej nawierzchni i przebadaniu w sposób określony w normach PN-B-06250:1988 [25], PN-EN 480-11:2000 [7].</w:t>
      </w:r>
    </w:p>
    <w:p w14:paraId="1CE58F04" w14:textId="77777777" w:rsidR="00A637AB" w:rsidRPr="009819ED" w:rsidRDefault="00A637AB" w:rsidP="00A637AB">
      <w:pPr>
        <w:pStyle w:val="Nagwek1"/>
        <w:rPr>
          <w:sz w:val="22"/>
          <w:szCs w:val="22"/>
        </w:rPr>
      </w:pPr>
      <w:r w:rsidRPr="009819ED">
        <w:rPr>
          <w:sz w:val="22"/>
          <w:szCs w:val="22"/>
        </w:rPr>
        <w:t>7. OBMIAR ROBÓT</w:t>
      </w:r>
    </w:p>
    <w:p w14:paraId="2DAC4267" w14:textId="77777777" w:rsidR="00A637AB" w:rsidRPr="009819ED" w:rsidRDefault="00A637AB" w:rsidP="00A637AB">
      <w:pPr>
        <w:pStyle w:val="Nagwek2"/>
        <w:rPr>
          <w:sz w:val="22"/>
          <w:szCs w:val="22"/>
        </w:rPr>
      </w:pPr>
      <w:r w:rsidRPr="009819ED">
        <w:rPr>
          <w:sz w:val="22"/>
          <w:szCs w:val="22"/>
        </w:rPr>
        <w:t>7.1. Ogólne zasady obmiaru robót</w:t>
      </w:r>
    </w:p>
    <w:p w14:paraId="447C3ADD"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Ogólne zasady obmiaru robót podano w ST D-M-00.00.00 „Wymagania ogólne” pkt 7.</w:t>
      </w:r>
    </w:p>
    <w:p w14:paraId="6CEB1B21" w14:textId="77777777" w:rsidR="00A637AB" w:rsidRPr="009819ED" w:rsidRDefault="00A637AB" w:rsidP="00A637AB">
      <w:pPr>
        <w:pStyle w:val="Nagwek2"/>
        <w:rPr>
          <w:sz w:val="22"/>
          <w:szCs w:val="22"/>
        </w:rPr>
      </w:pPr>
      <w:r w:rsidRPr="009819ED">
        <w:rPr>
          <w:sz w:val="22"/>
          <w:szCs w:val="22"/>
        </w:rPr>
        <w:t>7.2. Jednostka obmiarową</w:t>
      </w:r>
    </w:p>
    <w:p w14:paraId="127CC1F1"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Jednostką obmiarową jest  m</w:t>
      </w:r>
      <w:r w:rsidRPr="009819ED">
        <w:rPr>
          <w:rFonts w:ascii="Times New Roman" w:hAnsi="Times New Roman" w:cs="Times New Roman"/>
          <w:vertAlign w:val="superscript"/>
        </w:rPr>
        <w:t>2</w:t>
      </w:r>
      <w:r w:rsidRPr="009819ED">
        <w:rPr>
          <w:rFonts w:ascii="Times New Roman" w:hAnsi="Times New Roman" w:cs="Times New Roman"/>
        </w:rPr>
        <w:t xml:space="preserve"> (metr kwadratowy).</w:t>
      </w:r>
    </w:p>
    <w:p w14:paraId="57290541" w14:textId="77777777" w:rsidR="00A637AB" w:rsidRPr="009819ED" w:rsidRDefault="00A637AB" w:rsidP="00A637AB">
      <w:pPr>
        <w:pStyle w:val="Nagwek1"/>
        <w:rPr>
          <w:sz w:val="22"/>
          <w:szCs w:val="22"/>
        </w:rPr>
      </w:pPr>
      <w:r w:rsidRPr="009819ED">
        <w:rPr>
          <w:sz w:val="22"/>
          <w:szCs w:val="22"/>
        </w:rPr>
        <w:t>8. ODBIÓR ROBÓT</w:t>
      </w:r>
    </w:p>
    <w:p w14:paraId="5BBB6C1F"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Ogólne zasady odbioru robót podano w ST D-M-00.00.00 „Wymagania ogólne” pkt 8.</w:t>
      </w:r>
    </w:p>
    <w:p w14:paraId="402FD57A"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rPr>
        <w:tab/>
        <w:t>Roboty uznaje się za zgodne z dokumentacją projektową i SST, jeżeli wszystkie pomiary i badania z zachowaniem tolerancji wg pkt 6 dały wyniki pozytywne.</w:t>
      </w:r>
    </w:p>
    <w:p w14:paraId="061D7899" w14:textId="77777777" w:rsidR="00A637AB" w:rsidRPr="009819ED" w:rsidRDefault="00A637AB" w:rsidP="00A637AB">
      <w:pPr>
        <w:pStyle w:val="Nagwek1"/>
        <w:rPr>
          <w:sz w:val="22"/>
          <w:szCs w:val="22"/>
        </w:rPr>
      </w:pPr>
      <w:r w:rsidRPr="009819ED">
        <w:rPr>
          <w:sz w:val="22"/>
          <w:szCs w:val="22"/>
        </w:rPr>
        <w:t>9. PODSTAWA PŁATNOŚCI</w:t>
      </w:r>
    </w:p>
    <w:p w14:paraId="33A83FCD" w14:textId="77777777" w:rsidR="00A637AB" w:rsidRPr="009819ED" w:rsidRDefault="00A637AB" w:rsidP="00A637AB">
      <w:pPr>
        <w:pStyle w:val="Nagwek2"/>
        <w:rPr>
          <w:sz w:val="22"/>
          <w:szCs w:val="22"/>
        </w:rPr>
      </w:pPr>
      <w:r w:rsidRPr="009819ED">
        <w:rPr>
          <w:sz w:val="22"/>
          <w:szCs w:val="22"/>
        </w:rPr>
        <w:t>9.1. Ogólne ustalenia dotyczące podstawy płatności</w:t>
      </w:r>
    </w:p>
    <w:p w14:paraId="58A47A7B" w14:textId="77777777" w:rsidR="00A637AB" w:rsidRPr="009819ED" w:rsidRDefault="00A637AB" w:rsidP="00A637AB">
      <w:pPr>
        <w:ind w:right="-11"/>
        <w:jc w:val="both"/>
        <w:rPr>
          <w:rFonts w:ascii="Times New Roman" w:hAnsi="Times New Roman" w:cs="Times New Roman"/>
        </w:rPr>
      </w:pPr>
      <w:r w:rsidRPr="009819ED">
        <w:rPr>
          <w:rFonts w:ascii="Times New Roman" w:hAnsi="Times New Roman" w:cs="Times New Roman"/>
          <w:b/>
        </w:rPr>
        <w:tab/>
      </w:r>
      <w:r w:rsidRPr="009819ED">
        <w:rPr>
          <w:rFonts w:ascii="Times New Roman" w:hAnsi="Times New Roman" w:cs="Times New Roman"/>
        </w:rPr>
        <w:t>Ogólne ustalenia dotyczące podstawy płatności podano w ST D-M-00.00.00 „Wymagania ogólne” pkt 9.</w:t>
      </w:r>
    </w:p>
    <w:p w14:paraId="38FBA6D0" w14:textId="77777777" w:rsidR="00A637AB" w:rsidRPr="009819ED" w:rsidRDefault="00A637AB" w:rsidP="00A637AB">
      <w:pPr>
        <w:pStyle w:val="Nagwek2"/>
        <w:rPr>
          <w:sz w:val="22"/>
          <w:szCs w:val="22"/>
        </w:rPr>
      </w:pPr>
      <w:r w:rsidRPr="009819ED">
        <w:rPr>
          <w:sz w:val="22"/>
          <w:szCs w:val="22"/>
        </w:rPr>
        <w:t>9.2. Cena jednostki obmiarowej</w:t>
      </w:r>
    </w:p>
    <w:p w14:paraId="293B4325" w14:textId="77777777" w:rsidR="00A637AB" w:rsidRPr="009819ED" w:rsidRDefault="00A637AB" w:rsidP="00A637AB">
      <w:pPr>
        <w:jc w:val="both"/>
        <w:rPr>
          <w:rFonts w:ascii="Times New Roman" w:hAnsi="Times New Roman" w:cs="Times New Roman"/>
        </w:rPr>
      </w:pPr>
      <w:r w:rsidRPr="009819ED">
        <w:rPr>
          <w:rFonts w:ascii="Times New Roman" w:hAnsi="Times New Roman" w:cs="Times New Roman"/>
        </w:rPr>
        <w:tab/>
        <w:t>Cena wykonania 1 m</w:t>
      </w:r>
      <w:r w:rsidRPr="009819ED">
        <w:rPr>
          <w:rFonts w:ascii="Times New Roman" w:hAnsi="Times New Roman" w:cs="Times New Roman"/>
          <w:vertAlign w:val="superscript"/>
        </w:rPr>
        <w:t>2</w:t>
      </w:r>
      <w:r w:rsidRPr="009819ED">
        <w:rPr>
          <w:rFonts w:ascii="Times New Roman" w:hAnsi="Times New Roman" w:cs="Times New Roman"/>
        </w:rPr>
        <w:t xml:space="preserve"> nawierzchni betonowej obejmuje:</w:t>
      </w:r>
    </w:p>
    <w:p w14:paraId="618BA427"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prace pomiarowe i roboty przygotowawcze,</w:t>
      </w:r>
    </w:p>
    <w:p w14:paraId="45255179"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oznakowanie robót,</w:t>
      </w:r>
    </w:p>
    <w:p w14:paraId="43B3589D"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dostarczenie materiałów,</w:t>
      </w:r>
    </w:p>
    <w:p w14:paraId="525B47B7"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wyprodukowanie mieszanki betonowej,</w:t>
      </w:r>
    </w:p>
    <w:p w14:paraId="12DB18AA"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transport mieszanki na miejsce wbudowania,</w:t>
      </w:r>
    </w:p>
    <w:p w14:paraId="7A4DFBC9"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oczyszczenie i przygotowanie podłoża,</w:t>
      </w:r>
    </w:p>
    <w:p w14:paraId="1CC1398B"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ustawienie deskowań,</w:t>
      </w:r>
    </w:p>
    <w:p w14:paraId="3BC95626"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ułożenie warstwy nawierzchni i zagęszczenie,</w:t>
      </w:r>
    </w:p>
    <w:p w14:paraId="35FAC2AD"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pielęgnacja nawierzchni</w:t>
      </w:r>
    </w:p>
    <w:p w14:paraId="700B3CA3"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wycięcie, oczyszczenie i wypełnienie materiałem uszczelniającym podłużnych i poprzecznych szczelin,</w:t>
      </w:r>
    </w:p>
    <w:p w14:paraId="7A223897"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zbrojenie szczelin</w:t>
      </w:r>
    </w:p>
    <w:p w14:paraId="0DE1F0F8" w14:textId="77777777" w:rsidR="00A637AB" w:rsidRPr="009819ED" w:rsidRDefault="00A637AB" w:rsidP="00904E6C">
      <w:pPr>
        <w:numPr>
          <w:ilvl w:val="0"/>
          <w:numId w:val="392"/>
        </w:numPr>
        <w:overflowPunct w:val="0"/>
        <w:autoSpaceDE w:val="0"/>
        <w:spacing w:after="0" w:line="240" w:lineRule="auto"/>
        <w:jc w:val="both"/>
        <w:rPr>
          <w:rFonts w:ascii="Times New Roman" w:hAnsi="Times New Roman" w:cs="Times New Roman"/>
        </w:rPr>
      </w:pPr>
      <w:r w:rsidRPr="009819ED">
        <w:rPr>
          <w:rFonts w:ascii="Times New Roman" w:hAnsi="Times New Roman" w:cs="Times New Roman"/>
        </w:rPr>
        <w:t>przeprowadzenie pomiarów i badań laboratoryjnych wymaganych w specyfikacji technicznej.</w:t>
      </w:r>
    </w:p>
    <w:p w14:paraId="2FE6142A" w14:textId="77777777" w:rsidR="00A637AB" w:rsidRPr="009819ED" w:rsidRDefault="00A637AB" w:rsidP="00904E6C">
      <w:pPr>
        <w:pStyle w:val="Nagwek1"/>
        <w:keepLines/>
        <w:numPr>
          <w:ilvl w:val="0"/>
          <w:numId w:val="390"/>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line="240" w:lineRule="auto"/>
        <w:jc w:val="both"/>
        <w:rPr>
          <w:sz w:val="22"/>
          <w:szCs w:val="22"/>
        </w:rPr>
      </w:pPr>
      <w:r w:rsidRPr="009819ED">
        <w:rPr>
          <w:sz w:val="22"/>
          <w:szCs w:val="22"/>
        </w:rPr>
        <w:t>10. przepisy związane</w:t>
      </w:r>
    </w:p>
    <w:p w14:paraId="28A06055"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10.1.Normy</w:t>
      </w:r>
    </w:p>
    <w:tbl>
      <w:tblPr>
        <w:tblW w:w="8639" w:type="dxa"/>
        <w:tblInd w:w="-70" w:type="dxa"/>
        <w:tblCellMar>
          <w:left w:w="70" w:type="dxa"/>
          <w:right w:w="70" w:type="dxa"/>
        </w:tblCellMar>
        <w:tblLook w:val="04A0" w:firstRow="1" w:lastRow="0" w:firstColumn="1" w:lastColumn="0" w:noHBand="0" w:noVBand="1"/>
      </w:tblPr>
      <w:tblGrid>
        <w:gridCol w:w="637"/>
        <w:gridCol w:w="2127"/>
        <w:gridCol w:w="5875"/>
      </w:tblGrid>
      <w:tr w:rsidR="00A637AB" w:rsidRPr="009819ED" w14:paraId="55B0BCEF" w14:textId="77777777" w:rsidTr="00C72960">
        <w:tc>
          <w:tcPr>
            <w:tcW w:w="637" w:type="dxa"/>
            <w:shd w:val="clear" w:color="auto" w:fill="auto"/>
          </w:tcPr>
          <w:p w14:paraId="2B9C64E3"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w:t>
            </w:r>
          </w:p>
        </w:tc>
        <w:tc>
          <w:tcPr>
            <w:tcW w:w="2127" w:type="dxa"/>
            <w:shd w:val="clear" w:color="auto" w:fill="auto"/>
          </w:tcPr>
          <w:p w14:paraId="29D7214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196-1:1996</w:t>
            </w:r>
          </w:p>
        </w:tc>
        <w:tc>
          <w:tcPr>
            <w:tcW w:w="5875" w:type="dxa"/>
            <w:shd w:val="clear" w:color="auto" w:fill="auto"/>
          </w:tcPr>
          <w:p w14:paraId="3D25295E"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Metody badania cementu. Oznaczanie wytrzymałości</w:t>
            </w:r>
          </w:p>
        </w:tc>
      </w:tr>
      <w:tr w:rsidR="00A637AB" w:rsidRPr="009819ED" w14:paraId="41D5EECD" w14:textId="77777777" w:rsidTr="00C72960">
        <w:tc>
          <w:tcPr>
            <w:tcW w:w="637" w:type="dxa"/>
            <w:shd w:val="clear" w:color="auto" w:fill="auto"/>
          </w:tcPr>
          <w:p w14:paraId="784D091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w:t>
            </w:r>
          </w:p>
        </w:tc>
        <w:tc>
          <w:tcPr>
            <w:tcW w:w="2127" w:type="dxa"/>
            <w:shd w:val="clear" w:color="auto" w:fill="auto"/>
          </w:tcPr>
          <w:p w14:paraId="3E62C99E"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196-2:1996</w:t>
            </w:r>
          </w:p>
        </w:tc>
        <w:tc>
          <w:tcPr>
            <w:tcW w:w="5875" w:type="dxa"/>
            <w:shd w:val="clear" w:color="auto" w:fill="auto"/>
          </w:tcPr>
          <w:p w14:paraId="6EDD7B73"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Metody badania cementu. Analiza chemiczna cementu</w:t>
            </w:r>
          </w:p>
        </w:tc>
      </w:tr>
      <w:tr w:rsidR="00A637AB" w:rsidRPr="009819ED" w14:paraId="2F07AAD7" w14:textId="77777777" w:rsidTr="00C72960">
        <w:tc>
          <w:tcPr>
            <w:tcW w:w="637" w:type="dxa"/>
            <w:shd w:val="clear" w:color="auto" w:fill="auto"/>
          </w:tcPr>
          <w:p w14:paraId="47370A6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w:t>
            </w:r>
          </w:p>
        </w:tc>
        <w:tc>
          <w:tcPr>
            <w:tcW w:w="2127" w:type="dxa"/>
            <w:shd w:val="clear" w:color="auto" w:fill="auto"/>
          </w:tcPr>
          <w:p w14:paraId="2597331D"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196-3:1996</w:t>
            </w:r>
          </w:p>
        </w:tc>
        <w:tc>
          <w:tcPr>
            <w:tcW w:w="5875" w:type="dxa"/>
            <w:shd w:val="clear" w:color="auto" w:fill="auto"/>
          </w:tcPr>
          <w:p w14:paraId="3490B8A0"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Metody badania cementu. Oznaczanie czasu wiązania i stałości objętości</w:t>
            </w:r>
          </w:p>
        </w:tc>
      </w:tr>
      <w:tr w:rsidR="00A637AB" w:rsidRPr="009819ED" w14:paraId="5ABB75D0" w14:textId="77777777" w:rsidTr="00C72960">
        <w:tc>
          <w:tcPr>
            <w:tcW w:w="637" w:type="dxa"/>
            <w:shd w:val="clear" w:color="auto" w:fill="auto"/>
          </w:tcPr>
          <w:p w14:paraId="5431D657"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lastRenderedPageBreak/>
              <w:t>4.</w:t>
            </w:r>
          </w:p>
        </w:tc>
        <w:tc>
          <w:tcPr>
            <w:tcW w:w="2127" w:type="dxa"/>
            <w:shd w:val="clear" w:color="auto" w:fill="auto"/>
          </w:tcPr>
          <w:p w14:paraId="16F8B873"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196-6:1996</w:t>
            </w:r>
          </w:p>
        </w:tc>
        <w:tc>
          <w:tcPr>
            <w:tcW w:w="5875" w:type="dxa"/>
            <w:shd w:val="clear" w:color="auto" w:fill="auto"/>
          </w:tcPr>
          <w:p w14:paraId="5EC8DC6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Metody badania cementu. Oznaczanie stopnia zmielenia</w:t>
            </w:r>
          </w:p>
        </w:tc>
      </w:tr>
      <w:tr w:rsidR="00A637AB" w:rsidRPr="009819ED" w14:paraId="3F63DBDF" w14:textId="77777777" w:rsidTr="00C72960">
        <w:tc>
          <w:tcPr>
            <w:tcW w:w="637" w:type="dxa"/>
            <w:shd w:val="clear" w:color="auto" w:fill="auto"/>
          </w:tcPr>
          <w:p w14:paraId="64A3A113" w14:textId="77777777" w:rsidR="00A637AB" w:rsidRPr="009819ED" w:rsidRDefault="00A637AB" w:rsidP="00C72960">
            <w:pPr>
              <w:overflowPunct w:val="0"/>
              <w:autoSpaceDE w:val="0"/>
              <w:jc w:val="center"/>
              <w:rPr>
                <w:rFonts w:ascii="Times New Roman" w:hAnsi="Times New Roman" w:cs="Times New Roman"/>
                <w:lang w:val="de-DE"/>
              </w:rPr>
            </w:pPr>
            <w:r w:rsidRPr="009819ED">
              <w:rPr>
                <w:rFonts w:ascii="Times New Roman" w:hAnsi="Times New Roman" w:cs="Times New Roman"/>
                <w:lang w:val="de-DE"/>
              </w:rPr>
              <w:t>5.</w:t>
            </w:r>
          </w:p>
        </w:tc>
        <w:tc>
          <w:tcPr>
            <w:tcW w:w="2127" w:type="dxa"/>
            <w:shd w:val="clear" w:color="auto" w:fill="auto"/>
          </w:tcPr>
          <w:p w14:paraId="7467410C" w14:textId="77777777" w:rsidR="00A637AB" w:rsidRPr="009819ED" w:rsidRDefault="00A637AB" w:rsidP="00C72960">
            <w:pPr>
              <w:overflowPunct w:val="0"/>
              <w:autoSpaceDE w:val="0"/>
              <w:rPr>
                <w:rFonts w:ascii="Times New Roman" w:hAnsi="Times New Roman" w:cs="Times New Roman"/>
                <w:lang w:val="de-DE"/>
              </w:rPr>
            </w:pPr>
            <w:r w:rsidRPr="009819ED">
              <w:rPr>
                <w:rFonts w:ascii="Times New Roman" w:hAnsi="Times New Roman" w:cs="Times New Roman"/>
                <w:lang w:val="de-DE"/>
              </w:rPr>
              <w:t>PN-EN 197-1:2002</w:t>
            </w:r>
          </w:p>
        </w:tc>
        <w:tc>
          <w:tcPr>
            <w:tcW w:w="5875" w:type="dxa"/>
            <w:shd w:val="clear" w:color="auto" w:fill="auto"/>
          </w:tcPr>
          <w:p w14:paraId="38375FD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lang w:val="de-DE"/>
              </w:rPr>
              <w:t xml:space="preserve">Cement. </w:t>
            </w:r>
            <w:r w:rsidRPr="009819ED">
              <w:rPr>
                <w:rFonts w:ascii="Times New Roman" w:hAnsi="Times New Roman" w:cs="Times New Roman"/>
              </w:rPr>
              <w:t>Część 1: Skład, wymagania i kryteria zgodności dotyczące cementu powszechnego użytku</w:t>
            </w:r>
          </w:p>
        </w:tc>
      </w:tr>
      <w:tr w:rsidR="00A637AB" w:rsidRPr="009819ED" w14:paraId="2CC42CB9" w14:textId="77777777" w:rsidTr="00C72960">
        <w:tc>
          <w:tcPr>
            <w:tcW w:w="637" w:type="dxa"/>
            <w:shd w:val="clear" w:color="auto" w:fill="auto"/>
          </w:tcPr>
          <w:p w14:paraId="74F6D905" w14:textId="77777777" w:rsidR="00A637AB" w:rsidRPr="009819ED" w:rsidRDefault="00A637AB" w:rsidP="00C72960">
            <w:pPr>
              <w:overflowPunct w:val="0"/>
              <w:autoSpaceDE w:val="0"/>
              <w:jc w:val="center"/>
              <w:rPr>
                <w:rFonts w:ascii="Times New Roman" w:hAnsi="Times New Roman" w:cs="Times New Roman"/>
                <w:lang w:val="de-DE"/>
              </w:rPr>
            </w:pPr>
            <w:r w:rsidRPr="009819ED">
              <w:rPr>
                <w:rFonts w:ascii="Times New Roman" w:hAnsi="Times New Roman" w:cs="Times New Roman"/>
                <w:lang w:val="de-DE"/>
              </w:rPr>
              <w:t>6.</w:t>
            </w:r>
          </w:p>
        </w:tc>
        <w:tc>
          <w:tcPr>
            <w:tcW w:w="2127" w:type="dxa"/>
            <w:shd w:val="clear" w:color="auto" w:fill="auto"/>
          </w:tcPr>
          <w:p w14:paraId="3CF07AF2" w14:textId="77777777" w:rsidR="00A637AB" w:rsidRPr="009819ED" w:rsidRDefault="00A637AB" w:rsidP="00C72960">
            <w:pPr>
              <w:overflowPunct w:val="0"/>
              <w:autoSpaceDE w:val="0"/>
              <w:rPr>
                <w:rFonts w:ascii="Times New Roman" w:hAnsi="Times New Roman" w:cs="Times New Roman"/>
                <w:lang w:val="de-DE"/>
              </w:rPr>
            </w:pPr>
            <w:r w:rsidRPr="009819ED">
              <w:rPr>
                <w:rFonts w:ascii="Times New Roman" w:hAnsi="Times New Roman" w:cs="Times New Roman"/>
                <w:lang w:val="de-DE"/>
              </w:rPr>
              <w:t>PN-EN 206-1:2000</w:t>
            </w:r>
          </w:p>
        </w:tc>
        <w:tc>
          <w:tcPr>
            <w:tcW w:w="5875" w:type="dxa"/>
            <w:shd w:val="clear" w:color="auto" w:fill="auto"/>
          </w:tcPr>
          <w:p w14:paraId="70A95F91"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lang w:val="de-DE"/>
              </w:rPr>
              <w:t xml:space="preserve">Beton. </w:t>
            </w:r>
            <w:r w:rsidRPr="009819ED">
              <w:rPr>
                <w:rFonts w:ascii="Times New Roman" w:hAnsi="Times New Roman" w:cs="Times New Roman"/>
              </w:rPr>
              <w:t>Część 1: Wymagania, właściwości, produkcja i zgodność</w:t>
            </w:r>
          </w:p>
        </w:tc>
      </w:tr>
      <w:tr w:rsidR="00A637AB" w:rsidRPr="009819ED" w14:paraId="7ECE1308" w14:textId="77777777" w:rsidTr="00C72960">
        <w:tc>
          <w:tcPr>
            <w:tcW w:w="637" w:type="dxa"/>
            <w:shd w:val="clear" w:color="auto" w:fill="auto"/>
          </w:tcPr>
          <w:p w14:paraId="7CF4702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7.</w:t>
            </w:r>
          </w:p>
        </w:tc>
        <w:tc>
          <w:tcPr>
            <w:tcW w:w="2127" w:type="dxa"/>
            <w:shd w:val="clear" w:color="auto" w:fill="auto"/>
          </w:tcPr>
          <w:p w14:paraId="4880465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480-11:2000</w:t>
            </w:r>
          </w:p>
        </w:tc>
        <w:tc>
          <w:tcPr>
            <w:tcW w:w="5875" w:type="dxa"/>
            <w:shd w:val="clear" w:color="auto" w:fill="auto"/>
          </w:tcPr>
          <w:p w14:paraId="7C164E7D"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Domieszki do betonu, zaprawy i zaczynu. Metody badań. Oznaczanie charakterystyki porów powietrznych w stwardniałym betonie</w:t>
            </w:r>
          </w:p>
        </w:tc>
      </w:tr>
      <w:tr w:rsidR="00A637AB" w:rsidRPr="009819ED" w14:paraId="3C95E155" w14:textId="77777777" w:rsidTr="00C72960">
        <w:tc>
          <w:tcPr>
            <w:tcW w:w="637" w:type="dxa"/>
            <w:shd w:val="clear" w:color="auto" w:fill="auto"/>
          </w:tcPr>
          <w:p w14:paraId="42BD236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8.</w:t>
            </w:r>
          </w:p>
        </w:tc>
        <w:tc>
          <w:tcPr>
            <w:tcW w:w="2127" w:type="dxa"/>
            <w:shd w:val="clear" w:color="auto" w:fill="auto"/>
          </w:tcPr>
          <w:p w14:paraId="6D03E5E1"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934-2:1999</w:t>
            </w:r>
          </w:p>
        </w:tc>
        <w:tc>
          <w:tcPr>
            <w:tcW w:w="5875" w:type="dxa"/>
            <w:shd w:val="clear" w:color="auto" w:fill="auto"/>
          </w:tcPr>
          <w:p w14:paraId="4996E32C"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Domieszki do betonu, zaprawy i zaczynu. Domieszki do betonu. Definicje i wymagania</w:t>
            </w:r>
          </w:p>
        </w:tc>
      </w:tr>
      <w:tr w:rsidR="00A637AB" w:rsidRPr="009819ED" w14:paraId="1C702710" w14:textId="77777777" w:rsidTr="00C72960">
        <w:tc>
          <w:tcPr>
            <w:tcW w:w="637" w:type="dxa"/>
            <w:shd w:val="clear" w:color="auto" w:fill="auto"/>
          </w:tcPr>
          <w:p w14:paraId="5CF24541"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9.</w:t>
            </w:r>
          </w:p>
        </w:tc>
        <w:tc>
          <w:tcPr>
            <w:tcW w:w="2127" w:type="dxa"/>
            <w:shd w:val="clear" w:color="auto" w:fill="auto"/>
          </w:tcPr>
          <w:p w14:paraId="5557C47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12350-1:2001</w:t>
            </w:r>
          </w:p>
        </w:tc>
        <w:tc>
          <w:tcPr>
            <w:tcW w:w="5875" w:type="dxa"/>
            <w:shd w:val="clear" w:color="auto" w:fill="auto"/>
          </w:tcPr>
          <w:p w14:paraId="23194B7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1. Pobieranie próbek</w:t>
            </w:r>
          </w:p>
        </w:tc>
      </w:tr>
      <w:tr w:rsidR="00A637AB" w:rsidRPr="009819ED" w14:paraId="7ED57556" w14:textId="77777777" w:rsidTr="00C72960">
        <w:tc>
          <w:tcPr>
            <w:tcW w:w="637" w:type="dxa"/>
            <w:shd w:val="clear" w:color="auto" w:fill="auto"/>
          </w:tcPr>
          <w:p w14:paraId="159751B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10.</w:t>
            </w:r>
          </w:p>
        </w:tc>
        <w:tc>
          <w:tcPr>
            <w:tcW w:w="2127" w:type="dxa"/>
            <w:shd w:val="clear" w:color="auto" w:fill="auto"/>
          </w:tcPr>
          <w:p w14:paraId="69262567"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12350-2:2001</w:t>
            </w:r>
          </w:p>
        </w:tc>
        <w:tc>
          <w:tcPr>
            <w:tcW w:w="5875" w:type="dxa"/>
            <w:shd w:val="clear" w:color="auto" w:fill="auto"/>
          </w:tcPr>
          <w:p w14:paraId="7775D767"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2. Badanie konsystencji metodą stożka opadowego</w:t>
            </w:r>
          </w:p>
        </w:tc>
      </w:tr>
      <w:tr w:rsidR="00A637AB" w:rsidRPr="009819ED" w14:paraId="39F440CE" w14:textId="77777777" w:rsidTr="00C72960">
        <w:tc>
          <w:tcPr>
            <w:tcW w:w="637" w:type="dxa"/>
            <w:shd w:val="clear" w:color="auto" w:fill="auto"/>
          </w:tcPr>
          <w:p w14:paraId="5E036C3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11.</w:t>
            </w:r>
          </w:p>
        </w:tc>
        <w:tc>
          <w:tcPr>
            <w:tcW w:w="2127" w:type="dxa"/>
            <w:shd w:val="clear" w:color="auto" w:fill="auto"/>
          </w:tcPr>
          <w:p w14:paraId="445C2DB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12350-3:2001</w:t>
            </w:r>
          </w:p>
        </w:tc>
        <w:tc>
          <w:tcPr>
            <w:tcW w:w="5875" w:type="dxa"/>
            <w:shd w:val="clear" w:color="auto" w:fill="auto"/>
          </w:tcPr>
          <w:p w14:paraId="1F5278E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3. Badanie konsystencji metodą VeBe</w:t>
            </w:r>
          </w:p>
        </w:tc>
      </w:tr>
      <w:tr w:rsidR="00A637AB" w:rsidRPr="009819ED" w14:paraId="10A998EB" w14:textId="77777777" w:rsidTr="00C72960">
        <w:tc>
          <w:tcPr>
            <w:tcW w:w="637" w:type="dxa"/>
            <w:shd w:val="clear" w:color="auto" w:fill="auto"/>
          </w:tcPr>
          <w:p w14:paraId="6A66FC5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12.</w:t>
            </w:r>
          </w:p>
        </w:tc>
        <w:tc>
          <w:tcPr>
            <w:tcW w:w="2127" w:type="dxa"/>
            <w:shd w:val="clear" w:color="auto" w:fill="auto"/>
          </w:tcPr>
          <w:p w14:paraId="0BEBB03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12350-4:2001</w:t>
            </w:r>
          </w:p>
        </w:tc>
        <w:tc>
          <w:tcPr>
            <w:tcW w:w="5875" w:type="dxa"/>
            <w:shd w:val="clear" w:color="auto" w:fill="auto"/>
          </w:tcPr>
          <w:p w14:paraId="6BD2CA59"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4. Badanie konsystencji metodą oznaczania stopnia zagęszczalności</w:t>
            </w:r>
          </w:p>
        </w:tc>
      </w:tr>
      <w:tr w:rsidR="00A637AB" w:rsidRPr="009819ED" w14:paraId="47EC6008" w14:textId="77777777" w:rsidTr="00C72960">
        <w:tc>
          <w:tcPr>
            <w:tcW w:w="637" w:type="dxa"/>
            <w:shd w:val="clear" w:color="auto" w:fill="auto"/>
          </w:tcPr>
          <w:p w14:paraId="555C2817"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13.</w:t>
            </w:r>
          </w:p>
        </w:tc>
        <w:tc>
          <w:tcPr>
            <w:tcW w:w="2127" w:type="dxa"/>
            <w:shd w:val="clear" w:color="auto" w:fill="auto"/>
          </w:tcPr>
          <w:p w14:paraId="4B7AE773"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12350-5:2001</w:t>
            </w:r>
          </w:p>
        </w:tc>
        <w:tc>
          <w:tcPr>
            <w:tcW w:w="5875" w:type="dxa"/>
            <w:shd w:val="clear" w:color="auto" w:fill="auto"/>
          </w:tcPr>
          <w:p w14:paraId="450E1299"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5. Badanie konsystencji metodą stolika rozpływowego</w:t>
            </w:r>
          </w:p>
        </w:tc>
      </w:tr>
      <w:tr w:rsidR="00A637AB" w:rsidRPr="009819ED" w14:paraId="7D0948D2" w14:textId="77777777" w:rsidTr="00C72960">
        <w:tc>
          <w:tcPr>
            <w:tcW w:w="637" w:type="dxa"/>
            <w:shd w:val="clear" w:color="auto" w:fill="auto"/>
          </w:tcPr>
          <w:p w14:paraId="522CF4B0"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14.</w:t>
            </w:r>
          </w:p>
        </w:tc>
        <w:tc>
          <w:tcPr>
            <w:tcW w:w="2127" w:type="dxa"/>
            <w:shd w:val="clear" w:color="auto" w:fill="auto"/>
          </w:tcPr>
          <w:p w14:paraId="21B3DF5A"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12350-6:2001</w:t>
            </w:r>
          </w:p>
        </w:tc>
        <w:tc>
          <w:tcPr>
            <w:tcW w:w="5875" w:type="dxa"/>
            <w:shd w:val="clear" w:color="auto" w:fill="auto"/>
          </w:tcPr>
          <w:p w14:paraId="0C8C4A41"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6. Gęstość</w:t>
            </w:r>
          </w:p>
        </w:tc>
      </w:tr>
      <w:tr w:rsidR="00A637AB" w:rsidRPr="009819ED" w14:paraId="6DF28DD0" w14:textId="77777777" w:rsidTr="00C72960">
        <w:tc>
          <w:tcPr>
            <w:tcW w:w="637" w:type="dxa"/>
            <w:shd w:val="clear" w:color="auto" w:fill="auto"/>
          </w:tcPr>
          <w:p w14:paraId="683B9CB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15.</w:t>
            </w:r>
          </w:p>
        </w:tc>
        <w:tc>
          <w:tcPr>
            <w:tcW w:w="2127" w:type="dxa"/>
            <w:shd w:val="clear" w:color="auto" w:fill="auto"/>
          </w:tcPr>
          <w:p w14:paraId="51F919F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12350-7:2001</w:t>
            </w:r>
          </w:p>
        </w:tc>
        <w:tc>
          <w:tcPr>
            <w:tcW w:w="5875" w:type="dxa"/>
            <w:shd w:val="clear" w:color="auto" w:fill="auto"/>
          </w:tcPr>
          <w:p w14:paraId="5C66C724"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mieszanki betonowej. Część 7. Badanie zawartości powietrza. Metody ciśnieniowe</w:t>
            </w:r>
          </w:p>
        </w:tc>
      </w:tr>
      <w:tr w:rsidR="00A637AB" w:rsidRPr="009819ED" w14:paraId="68ED0785" w14:textId="77777777" w:rsidTr="00C72960">
        <w:tc>
          <w:tcPr>
            <w:tcW w:w="637" w:type="dxa"/>
            <w:shd w:val="clear" w:color="auto" w:fill="auto"/>
          </w:tcPr>
          <w:p w14:paraId="0D374752"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16.</w:t>
            </w:r>
          </w:p>
        </w:tc>
        <w:tc>
          <w:tcPr>
            <w:tcW w:w="2127" w:type="dxa"/>
            <w:shd w:val="clear" w:color="auto" w:fill="auto"/>
          </w:tcPr>
          <w:p w14:paraId="1CB7D7DA"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12390-1:2001</w:t>
            </w:r>
          </w:p>
        </w:tc>
        <w:tc>
          <w:tcPr>
            <w:tcW w:w="5875" w:type="dxa"/>
            <w:shd w:val="clear" w:color="auto" w:fill="auto"/>
          </w:tcPr>
          <w:p w14:paraId="53E08F79"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1. Kształt, wymiary i inne wymagania dotyczące próbek do badania i form</w:t>
            </w:r>
          </w:p>
        </w:tc>
      </w:tr>
      <w:tr w:rsidR="00A637AB" w:rsidRPr="009819ED" w14:paraId="08ACF72B" w14:textId="77777777" w:rsidTr="00C72960">
        <w:tc>
          <w:tcPr>
            <w:tcW w:w="637" w:type="dxa"/>
            <w:shd w:val="clear" w:color="auto" w:fill="auto"/>
          </w:tcPr>
          <w:p w14:paraId="68466F1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17.</w:t>
            </w:r>
          </w:p>
        </w:tc>
        <w:tc>
          <w:tcPr>
            <w:tcW w:w="2127" w:type="dxa"/>
            <w:shd w:val="clear" w:color="auto" w:fill="auto"/>
          </w:tcPr>
          <w:p w14:paraId="712126F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12390-2:2001</w:t>
            </w:r>
          </w:p>
        </w:tc>
        <w:tc>
          <w:tcPr>
            <w:tcW w:w="5875" w:type="dxa"/>
            <w:shd w:val="clear" w:color="auto" w:fill="auto"/>
          </w:tcPr>
          <w:p w14:paraId="1FE0A880"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2. Wykonywania i pielęgnacja próbek do badań wytrzymałościowych</w:t>
            </w:r>
          </w:p>
        </w:tc>
      </w:tr>
      <w:tr w:rsidR="00A637AB" w:rsidRPr="009819ED" w14:paraId="0279DA9E" w14:textId="77777777" w:rsidTr="00C72960">
        <w:tc>
          <w:tcPr>
            <w:tcW w:w="637" w:type="dxa"/>
            <w:shd w:val="clear" w:color="auto" w:fill="auto"/>
          </w:tcPr>
          <w:p w14:paraId="6E92D6B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18.</w:t>
            </w:r>
          </w:p>
        </w:tc>
        <w:tc>
          <w:tcPr>
            <w:tcW w:w="2127" w:type="dxa"/>
            <w:shd w:val="clear" w:color="auto" w:fill="auto"/>
          </w:tcPr>
          <w:p w14:paraId="1244A0E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12390-3:2001</w:t>
            </w:r>
          </w:p>
        </w:tc>
        <w:tc>
          <w:tcPr>
            <w:tcW w:w="5875" w:type="dxa"/>
            <w:shd w:val="clear" w:color="auto" w:fill="auto"/>
          </w:tcPr>
          <w:p w14:paraId="6DDE413E"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3. Wytrzymałość na ściskanie próbek do badania</w:t>
            </w:r>
          </w:p>
        </w:tc>
      </w:tr>
      <w:tr w:rsidR="00A637AB" w:rsidRPr="009819ED" w14:paraId="71D59245" w14:textId="77777777" w:rsidTr="00C72960">
        <w:tc>
          <w:tcPr>
            <w:tcW w:w="637" w:type="dxa"/>
            <w:shd w:val="clear" w:color="auto" w:fill="auto"/>
          </w:tcPr>
          <w:p w14:paraId="17C492E1"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19.</w:t>
            </w:r>
          </w:p>
        </w:tc>
        <w:tc>
          <w:tcPr>
            <w:tcW w:w="2127" w:type="dxa"/>
            <w:shd w:val="clear" w:color="auto" w:fill="auto"/>
          </w:tcPr>
          <w:p w14:paraId="6B436D0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12390-4:2001</w:t>
            </w:r>
          </w:p>
        </w:tc>
        <w:tc>
          <w:tcPr>
            <w:tcW w:w="5875" w:type="dxa"/>
            <w:shd w:val="clear" w:color="auto" w:fill="auto"/>
          </w:tcPr>
          <w:p w14:paraId="14BB55C1"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4. Wytrzymałość na ściskanie – Specyfikacja maszyn wytrzymałościowych</w:t>
            </w:r>
          </w:p>
        </w:tc>
      </w:tr>
      <w:tr w:rsidR="00A637AB" w:rsidRPr="009819ED" w14:paraId="759269D6" w14:textId="77777777" w:rsidTr="00C72960">
        <w:tc>
          <w:tcPr>
            <w:tcW w:w="637" w:type="dxa"/>
            <w:shd w:val="clear" w:color="auto" w:fill="auto"/>
          </w:tcPr>
          <w:p w14:paraId="29595402"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20.</w:t>
            </w:r>
          </w:p>
        </w:tc>
        <w:tc>
          <w:tcPr>
            <w:tcW w:w="2127" w:type="dxa"/>
            <w:shd w:val="clear" w:color="auto" w:fill="auto"/>
          </w:tcPr>
          <w:p w14:paraId="62F89CC7"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12390-5:2001</w:t>
            </w:r>
          </w:p>
        </w:tc>
        <w:tc>
          <w:tcPr>
            <w:tcW w:w="5875" w:type="dxa"/>
            <w:shd w:val="clear" w:color="auto" w:fill="auto"/>
          </w:tcPr>
          <w:p w14:paraId="76A36624"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5. Wytrzymałość na zginanie próbek do badania</w:t>
            </w:r>
          </w:p>
        </w:tc>
      </w:tr>
      <w:tr w:rsidR="00A637AB" w:rsidRPr="009819ED" w14:paraId="04AF1E15" w14:textId="77777777" w:rsidTr="00C72960">
        <w:tc>
          <w:tcPr>
            <w:tcW w:w="637" w:type="dxa"/>
            <w:shd w:val="clear" w:color="auto" w:fill="auto"/>
          </w:tcPr>
          <w:p w14:paraId="0CF3333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21.</w:t>
            </w:r>
          </w:p>
        </w:tc>
        <w:tc>
          <w:tcPr>
            <w:tcW w:w="2127" w:type="dxa"/>
            <w:shd w:val="clear" w:color="auto" w:fill="auto"/>
          </w:tcPr>
          <w:p w14:paraId="68FFFA2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12390-6:2001</w:t>
            </w:r>
          </w:p>
        </w:tc>
        <w:tc>
          <w:tcPr>
            <w:tcW w:w="5875" w:type="dxa"/>
            <w:shd w:val="clear" w:color="auto" w:fill="auto"/>
          </w:tcPr>
          <w:p w14:paraId="3F2B8C38"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6. Wytrzymałość na rozciąganie przy rozłupywaniu próbek do badania</w:t>
            </w:r>
          </w:p>
        </w:tc>
      </w:tr>
      <w:tr w:rsidR="00A637AB" w:rsidRPr="009819ED" w14:paraId="04DD5743" w14:textId="77777777" w:rsidTr="00C72960">
        <w:tc>
          <w:tcPr>
            <w:tcW w:w="637" w:type="dxa"/>
            <w:shd w:val="clear" w:color="auto" w:fill="auto"/>
          </w:tcPr>
          <w:p w14:paraId="4D21C805"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22.</w:t>
            </w:r>
          </w:p>
        </w:tc>
        <w:tc>
          <w:tcPr>
            <w:tcW w:w="2127" w:type="dxa"/>
            <w:shd w:val="clear" w:color="auto" w:fill="auto"/>
          </w:tcPr>
          <w:p w14:paraId="24035118"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12390-7:2001</w:t>
            </w:r>
          </w:p>
        </w:tc>
        <w:tc>
          <w:tcPr>
            <w:tcW w:w="5875" w:type="dxa"/>
            <w:shd w:val="clear" w:color="auto" w:fill="auto"/>
          </w:tcPr>
          <w:p w14:paraId="2E4AC110"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7. Gęstość betonu</w:t>
            </w:r>
          </w:p>
        </w:tc>
      </w:tr>
      <w:tr w:rsidR="00A637AB" w:rsidRPr="009819ED" w14:paraId="5C779178" w14:textId="77777777" w:rsidTr="00C72960">
        <w:tc>
          <w:tcPr>
            <w:tcW w:w="637" w:type="dxa"/>
            <w:shd w:val="clear" w:color="auto" w:fill="auto"/>
          </w:tcPr>
          <w:p w14:paraId="3A694DA7"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23.</w:t>
            </w:r>
          </w:p>
        </w:tc>
        <w:tc>
          <w:tcPr>
            <w:tcW w:w="2127" w:type="dxa"/>
            <w:shd w:val="clear" w:color="auto" w:fill="auto"/>
          </w:tcPr>
          <w:p w14:paraId="74D4CEDD"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12390-8:2001</w:t>
            </w:r>
          </w:p>
        </w:tc>
        <w:tc>
          <w:tcPr>
            <w:tcW w:w="5875" w:type="dxa"/>
            <w:shd w:val="clear" w:color="auto" w:fill="auto"/>
          </w:tcPr>
          <w:p w14:paraId="2310F444"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Część 8. Głębokość penetracji wody pod ciśnieniem</w:t>
            </w:r>
          </w:p>
        </w:tc>
      </w:tr>
      <w:tr w:rsidR="00A637AB" w:rsidRPr="009819ED" w14:paraId="58602FE1" w14:textId="77777777" w:rsidTr="00C72960">
        <w:tc>
          <w:tcPr>
            <w:tcW w:w="637" w:type="dxa"/>
            <w:shd w:val="clear" w:color="auto" w:fill="auto"/>
          </w:tcPr>
          <w:p w14:paraId="72148E58"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24.</w:t>
            </w:r>
          </w:p>
        </w:tc>
        <w:tc>
          <w:tcPr>
            <w:tcW w:w="2127" w:type="dxa"/>
            <w:shd w:val="clear" w:color="auto" w:fill="auto"/>
          </w:tcPr>
          <w:p w14:paraId="19A5B97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PN-EN 12504-1:2001</w:t>
            </w:r>
          </w:p>
        </w:tc>
        <w:tc>
          <w:tcPr>
            <w:tcW w:w="5875" w:type="dxa"/>
            <w:shd w:val="clear" w:color="auto" w:fill="auto"/>
          </w:tcPr>
          <w:p w14:paraId="05C7ADB8"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Badania betonu w konstrukcjach. Część 1. Odwierty rdzeniowe – Wycinanie, ocena i badanie wytrzymałości na ściskanie</w:t>
            </w:r>
          </w:p>
        </w:tc>
      </w:tr>
      <w:tr w:rsidR="00A637AB" w:rsidRPr="009819ED" w14:paraId="6F878AEE" w14:textId="77777777" w:rsidTr="00C72960">
        <w:tc>
          <w:tcPr>
            <w:tcW w:w="637" w:type="dxa"/>
            <w:shd w:val="clear" w:color="auto" w:fill="auto"/>
          </w:tcPr>
          <w:p w14:paraId="7D19A1E0"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lastRenderedPageBreak/>
              <w:t>25.</w:t>
            </w:r>
          </w:p>
        </w:tc>
        <w:tc>
          <w:tcPr>
            <w:tcW w:w="2127" w:type="dxa"/>
            <w:shd w:val="clear" w:color="auto" w:fill="auto"/>
          </w:tcPr>
          <w:p w14:paraId="5B641818"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PN-B-06250: 1988</w:t>
            </w:r>
          </w:p>
        </w:tc>
        <w:tc>
          <w:tcPr>
            <w:tcW w:w="5875" w:type="dxa"/>
            <w:shd w:val="clear" w:color="auto" w:fill="auto"/>
          </w:tcPr>
          <w:p w14:paraId="29FD252A"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Beton zwykły</w:t>
            </w:r>
          </w:p>
        </w:tc>
      </w:tr>
      <w:tr w:rsidR="00A637AB" w:rsidRPr="009819ED" w14:paraId="75B2F804" w14:textId="77777777" w:rsidTr="00C72960">
        <w:tc>
          <w:tcPr>
            <w:tcW w:w="637" w:type="dxa"/>
            <w:shd w:val="clear" w:color="auto" w:fill="auto"/>
          </w:tcPr>
          <w:p w14:paraId="3DE9C20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26.</w:t>
            </w:r>
          </w:p>
        </w:tc>
        <w:tc>
          <w:tcPr>
            <w:tcW w:w="2127" w:type="dxa"/>
            <w:shd w:val="clear" w:color="auto" w:fill="auto"/>
          </w:tcPr>
          <w:p w14:paraId="4BC539DE"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PN-B-06714-12: 1976</w:t>
            </w:r>
          </w:p>
        </w:tc>
        <w:tc>
          <w:tcPr>
            <w:tcW w:w="5875" w:type="dxa"/>
            <w:shd w:val="clear" w:color="auto" w:fill="auto"/>
          </w:tcPr>
          <w:p w14:paraId="6849E3BF"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zawartości zanieczyszczeń obcych</w:t>
            </w:r>
          </w:p>
        </w:tc>
      </w:tr>
      <w:tr w:rsidR="00A637AB" w:rsidRPr="009819ED" w14:paraId="5838F613" w14:textId="77777777" w:rsidTr="00C72960">
        <w:tc>
          <w:tcPr>
            <w:tcW w:w="637" w:type="dxa"/>
            <w:shd w:val="clear" w:color="auto" w:fill="auto"/>
          </w:tcPr>
          <w:p w14:paraId="6DE1A54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27.</w:t>
            </w:r>
          </w:p>
        </w:tc>
        <w:tc>
          <w:tcPr>
            <w:tcW w:w="2127" w:type="dxa"/>
            <w:shd w:val="clear" w:color="auto" w:fill="auto"/>
          </w:tcPr>
          <w:p w14:paraId="048F0132"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PN-B-06714-13: 1978</w:t>
            </w:r>
          </w:p>
        </w:tc>
        <w:tc>
          <w:tcPr>
            <w:tcW w:w="5875" w:type="dxa"/>
            <w:shd w:val="clear" w:color="auto" w:fill="auto"/>
          </w:tcPr>
          <w:p w14:paraId="7D2D91A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zawartości pyłów mineralnych</w:t>
            </w:r>
          </w:p>
        </w:tc>
      </w:tr>
      <w:tr w:rsidR="00A637AB" w:rsidRPr="009819ED" w14:paraId="2354877F" w14:textId="77777777" w:rsidTr="00C72960">
        <w:tc>
          <w:tcPr>
            <w:tcW w:w="637" w:type="dxa"/>
            <w:shd w:val="clear" w:color="auto" w:fill="auto"/>
          </w:tcPr>
          <w:p w14:paraId="1C452B6B"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28.</w:t>
            </w:r>
          </w:p>
        </w:tc>
        <w:tc>
          <w:tcPr>
            <w:tcW w:w="2127" w:type="dxa"/>
            <w:shd w:val="clear" w:color="auto" w:fill="auto"/>
          </w:tcPr>
          <w:p w14:paraId="249F6CA8"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PN-B-06714-15: 1991</w:t>
            </w:r>
          </w:p>
        </w:tc>
        <w:tc>
          <w:tcPr>
            <w:tcW w:w="5875" w:type="dxa"/>
            <w:shd w:val="clear" w:color="auto" w:fill="auto"/>
          </w:tcPr>
          <w:p w14:paraId="1318392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składu ziarnowego</w:t>
            </w:r>
          </w:p>
        </w:tc>
      </w:tr>
      <w:tr w:rsidR="00A637AB" w:rsidRPr="009819ED" w14:paraId="2A97675C" w14:textId="77777777" w:rsidTr="00C72960">
        <w:tc>
          <w:tcPr>
            <w:tcW w:w="637" w:type="dxa"/>
            <w:shd w:val="clear" w:color="auto" w:fill="auto"/>
          </w:tcPr>
          <w:p w14:paraId="7CDEEB2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29.</w:t>
            </w:r>
          </w:p>
        </w:tc>
        <w:tc>
          <w:tcPr>
            <w:tcW w:w="2127" w:type="dxa"/>
            <w:shd w:val="clear" w:color="auto" w:fill="auto"/>
          </w:tcPr>
          <w:p w14:paraId="0EF1079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PN-B-06714-16: 1978</w:t>
            </w:r>
          </w:p>
        </w:tc>
        <w:tc>
          <w:tcPr>
            <w:tcW w:w="5875" w:type="dxa"/>
            <w:shd w:val="clear" w:color="auto" w:fill="auto"/>
          </w:tcPr>
          <w:p w14:paraId="4FBD41F0"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kształtu ziarn</w:t>
            </w:r>
          </w:p>
        </w:tc>
      </w:tr>
      <w:tr w:rsidR="00A637AB" w:rsidRPr="009819ED" w14:paraId="71AF13A5" w14:textId="77777777" w:rsidTr="00C72960">
        <w:tc>
          <w:tcPr>
            <w:tcW w:w="637" w:type="dxa"/>
            <w:shd w:val="clear" w:color="auto" w:fill="auto"/>
          </w:tcPr>
          <w:p w14:paraId="0D64FFBA"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30.</w:t>
            </w:r>
          </w:p>
        </w:tc>
        <w:tc>
          <w:tcPr>
            <w:tcW w:w="2127" w:type="dxa"/>
            <w:shd w:val="clear" w:color="auto" w:fill="auto"/>
          </w:tcPr>
          <w:p w14:paraId="76B34B1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PN-B-06714-18: 1977</w:t>
            </w:r>
          </w:p>
        </w:tc>
        <w:tc>
          <w:tcPr>
            <w:tcW w:w="5875" w:type="dxa"/>
            <w:shd w:val="clear" w:color="auto" w:fill="auto"/>
          </w:tcPr>
          <w:p w14:paraId="5754F7B1"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nasiąkliwości</w:t>
            </w:r>
          </w:p>
        </w:tc>
      </w:tr>
      <w:tr w:rsidR="00A637AB" w:rsidRPr="009819ED" w14:paraId="006DA5F9" w14:textId="77777777" w:rsidTr="00C72960">
        <w:tc>
          <w:tcPr>
            <w:tcW w:w="637" w:type="dxa"/>
            <w:shd w:val="clear" w:color="auto" w:fill="auto"/>
          </w:tcPr>
          <w:p w14:paraId="649192A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31.</w:t>
            </w:r>
          </w:p>
        </w:tc>
        <w:tc>
          <w:tcPr>
            <w:tcW w:w="2127" w:type="dxa"/>
            <w:shd w:val="clear" w:color="auto" w:fill="auto"/>
          </w:tcPr>
          <w:p w14:paraId="3FB51339"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PN-B-06714-19: 1978</w:t>
            </w:r>
          </w:p>
        </w:tc>
        <w:tc>
          <w:tcPr>
            <w:tcW w:w="5875" w:type="dxa"/>
            <w:shd w:val="clear" w:color="auto" w:fill="auto"/>
          </w:tcPr>
          <w:p w14:paraId="20AF4EC5"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mrozoodporności metodą bezpośrednią</w:t>
            </w:r>
          </w:p>
        </w:tc>
      </w:tr>
      <w:tr w:rsidR="00A637AB" w:rsidRPr="009819ED" w14:paraId="6B2E2EB3" w14:textId="77777777" w:rsidTr="00C72960">
        <w:tc>
          <w:tcPr>
            <w:tcW w:w="637" w:type="dxa"/>
            <w:shd w:val="clear" w:color="auto" w:fill="auto"/>
          </w:tcPr>
          <w:p w14:paraId="0985031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32.</w:t>
            </w:r>
          </w:p>
        </w:tc>
        <w:tc>
          <w:tcPr>
            <w:tcW w:w="2127" w:type="dxa"/>
            <w:shd w:val="clear" w:color="auto" w:fill="auto"/>
          </w:tcPr>
          <w:p w14:paraId="4ED48E0E"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PN-B-06714-26: 1978</w:t>
            </w:r>
          </w:p>
        </w:tc>
        <w:tc>
          <w:tcPr>
            <w:tcW w:w="5875" w:type="dxa"/>
            <w:shd w:val="clear" w:color="auto" w:fill="auto"/>
          </w:tcPr>
          <w:p w14:paraId="4B5A885D"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zawartości części organicznych</w:t>
            </w:r>
          </w:p>
        </w:tc>
      </w:tr>
      <w:tr w:rsidR="00A637AB" w:rsidRPr="009819ED" w14:paraId="26C7CCF9" w14:textId="77777777" w:rsidTr="00C72960">
        <w:tc>
          <w:tcPr>
            <w:tcW w:w="637" w:type="dxa"/>
            <w:shd w:val="clear" w:color="auto" w:fill="auto"/>
          </w:tcPr>
          <w:p w14:paraId="65C27DD7"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33.</w:t>
            </w:r>
          </w:p>
        </w:tc>
        <w:tc>
          <w:tcPr>
            <w:tcW w:w="2127" w:type="dxa"/>
            <w:shd w:val="clear" w:color="auto" w:fill="auto"/>
          </w:tcPr>
          <w:p w14:paraId="716281D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PN-B-06714-28: 1978</w:t>
            </w:r>
          </w:p>
        </w:tc>
        <w:tc>
          <w:tcPr>
            <w:tcW w:w="5875" w:type="dxa"/>
            <w:shd w:val="clear" w:color="auto" w:fill="auto"/>
          </w:tcPr>
          <w:p w14:paraId="6B1BDBB0"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zawartości siarki metodą bromową</w:t>
            </w:r>
          </w:p>
        </w:tc>
      </w:tr>
      <w:tr w:rsidR="00A637AB" w:rsidRPr="009819ED" w14:paraId="4612B707" w14:textId="77777777" w:rsidTr="00C72960">
        <w:tc>
          <w:tcPr>
            <w:tcW w:w="637" w:type="dxa"/>
            <w:shd w:val="clear" w:color="auto" w:fill="auto"/>
          </w:tcPr>
          <w:p w14:paraId="5A0F44CC"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34.</w:t>
            </w:r>
          </w:p>
        </w:tc>
        <w:tc>
          <w:tcPr>
            <w:tcW w:w="2127" w:type="dxa"/>
            <w:shd w:val="clear" w:color="auto" w:fill="auto"/>
          </w:tcPr>
          <w:p w14:paraId="16CF25DF"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PN-B-06714-42: 1979</w:t>
            </w:r>
          </w:p>
        </w:tc>
        <w:tc>
          <w:tcPr>
            <w:tcW w:w="5875" w:type="dxa"/>
            <w:shd w:val="clear" w:color="auto" w:fill="auto"/>
          </w:tcPr>
          <w:p w14:paraId="23EC94BC"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ścieralności w bębnie Los Angeles</w:t>
            </w:r>
          </w:p>
        </w:tc>
      </w:tr>
      <w:tr w:rsidR="00A637AB" w:rsidRPr="009819ED" w14:paraId="68A8E32D" w14:textId="77777777" w:rsidTr="00C72960">
        <w:tc>
          <w:tcPr>
            <w:tcW w:w="637" w:type="dxa"/>
            <w:shd w:val="clear" w:color="auto" w:fill="auto"/>
          </w:tcPr>
          <w:p w14:paraId="5704735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35.</w:t>
            </w:r>
          </w:p>
        </w:tc>
        <w:tc>
          <w:tcPr>
            <w:tcW w:w="2127" w:type="dxa"/>
            <w:shd w:val="clear" w:color="auto" w:fill="auto"/>
          </w:tcPr>
          <w:p w14:paraId="60CA9F3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PN-B-06714-43: 1979</w:t>
            </w:r>
          </w:p>
        </w:tc>
        <w:tc>
          <w:tcPr>
            <w:tcW w:w="5875" w:type="dxa"/>
            <w:shd w:val="clear" w:color="auto" w:fill="auto"/>
          </w:tcPr>
          <w:p w14:paraId="584BA294"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Badania. Oznaczanie zawartości ziarn słabych</w:t>
            </w:r>
          </w:p>
        </w:tc>
      </w:tr>
      <w:tr w:rsidR="00A637AB" w:rsidRPr="009819ED" w14:paraId="190B85FE" w14:textId="77777777" w:rsidTr="00C72960">
        <w:tc>
          <w:tcPr>
            <w:tcW w:w="637" w:type="dxa"/>
            <w:shd w:val="clear" w:color="auto" w:fill="auto"/>
          </w:tcPr>
          <w:p w14:paraId="3220264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36.</w:t>
            </w:r>
          </w:p>
        </w:tc>
        <w:tc>
          <w:tcPr>
            <w:tcW w:w="2127" w:type="dxa"/>
            <w:shd w:val="clear" w:color="auto" w:fill="auto"/>
          </w:tcPr>
          <w:p w14:paraId="1668CE48"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PN-B-11111: 1996</w:t>
            </w:r>
          </w:p>
        </w:tc>
        <w:tc>
          <w:tcPr>
            <w:tcW w:w="5875" w:type="dxa"/>
            <w:shd w:val="clear" w:color="auto" w:fill="auto"/>
          </w:tcPr>
          <w:p w14:paraId="4DBE4FE3"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Kruszywa naturalne do nawierzchni drogowych. Żwir i mieszanka</w:t>
            </w:r>
          </w:p>
        </w:tc>
      </w:tr>
      <w:tr w:rsidR="00A637AB" w:rsidRPr="009819ED" w14:paraId="721D48BB" w14:textId="77777777" w:rsidTr="00C72960">
        <w:tc>
          <w:tcPr>
            <w:tcW w:w="637" w:type="dxa"/>
            <w:shd w:val="clear" w:color="auto" w:fill="auto"/>
          </w:tcPr>
          <w:p w14:paraId="6A202289"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37.</w:t>
            </w:r>
          </w:p>
        </w:tc>
        <w:tc>
          <w:tcPr>
            <w:tcW w:w="2127" w:type="dxa"/>
            <w:shd w:val="clear" w:color="auto" w:fill="auto"/>
          </w:tcPr>
          <w:p w14:paraId="6DD9C3A0"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PN-B-11112: 1996</w:t>
            </w:r>
          </w:p>
        </w:tc>
        <w:tc>
          <w:tcPr>
            <w:tcW w:w="5875" w:type="dxa"/>
            <w:shd w:val="clear" w:color="auto" w:fill="auto"/>
          </w:tcPr>
          <w:p w14:paraId="5632B381"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Kruszywa łamane do nawierzchni drogowych</w:t>
            </w:r>
          </w:p>
        </w:tc>
      </w:tr>
      <w:tr w:rsidR="00A637AB" w:rsidRPr="009819ED" w14:paraId="0EDE4287" w14:textId="77777777" w:rsidTr="00C72960">
        <w:tc>
          <w:tcPr>
            <w:tcW w:w="637" w:type="dxa"/>
            <w:shd w:val="clear" w:color="auto" w:fill="auto"/>
          </w:tcPr>
          <w:p w14:paraId="687C2B36"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38.</w:t>
            </w:r>
          </w:p>
        </w:tc>
        <w:tc>
          <w:tcPr>
            <w:tcW w:w="2127" w:type="dxa"/>
            <w:shd w:val="clear" w:color="auto" w:fill="auto"/>
          </w:tcPr>
          <w:p w14:paraId="7E92AB6D"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PN-B-11113: 1996</w:t>
            </w:r>
          </w:p>
        </w:tc>
        <w:tc>
          <w:tcPr>
            <w:tcW w:w="5875" w:type="dxa"/>
            <w:shd w:val="clear" w:color="auto" w:fill="auto"/>
          </w:tcPr>
          <w:p w14:paraId="5BC77B9E"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Kruszywa mineralne. Kruszywa naturalne do nawierzchni drogowych. Piasek</w:t>
            </w:r>
          </w:p>
        </w:tc>
      </w:tr>
      <w:tr w:rsidR="00A637AB" w:rsidRPr="009819ED" w14:paraId="08BDF9E3" w14:textId="77777777" w:rsidTr="00C72960">
        <w:tc>
          <w:tcPr>
            <w:tcW w:w="637" w:type="dxa"/>
            <w:shd w:val="clear" w:color="auto" w:fill="auto"/>
          </w:tcPr>
          <w:p w14:paraId="7FAAFE9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39.</w:t>
            </w:r>
          </w:p>
        </w:tc>
        <w:tc>
          <w:tcPr>
            <w:tcW w:w="2127" w:type="dxa"/>
            <w:shd w:val="clear" w:color="auto" w:fill="auto"/>
          </w:tcPr>
          <w:p w14:paraId="5DF701D6"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PN-B-19705: 1998</w:t>
            </w:r>
          </w:p>
        </w:tc>
        <w:tc>
          <w:tcPr>
            <w:tcW w:w="5875" w:type="dxa"/>
            <w:shd w:val="clear" w:color="auto" w:fill="auto"/>
          </w:tcPr>
          <w:p w14:paraId="680E541E"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 xml:space="preserve">Cement specjalny. Cement portlandzki siarczanoodporny </w:t>
            </w:r>
          </w:p>
        </w:tc>
      </w:tr>
      <w:tr w:rsidR="00A637AB" w:rsidRPr="009819ED" w14:paraId="67B29247" w14:textId="77777777" w:rsidTr="00C72960">
        <w:tc>
          <w:tcPr>
            <w:tcW w:w="637" w:type="dxa"/>
            <w:shd w:val="clear" w:color="auto" w:fill="auto"/>
          </w:tcPr>
          <w:p w14:paraId="7B283E05"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40.</w:t>
            </w:r>
          </w:p>
        </w:tc>
        <w:tc>
          <w:tcPr>
            <w:tcW w:w="2127" w:type="dxa"/>
            <w:shd w:val="clear" w:color="auto" w:fill="auto"/>
          </w:tcPr>
          <w:p w14:paraId="51E04DBC"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PN-B-32250: 1988</w:t>
            </w:r>
          </w:p>
        </w:tc>
        <w:tc>
          <w:tcPr>
            <w:tcW w:w="5875" w:type="dxa"/>
            <w:shd w:val="clear" w:color="auto" w:fill="auto"/>
          </w:tcPr>
          <w:p w14:paraId="25131252"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Materiały budowlane. Woda do betonu i zapraw</w:t>
            </w:r>
          </w:p>
        </w:tc>
      </w:tr>
      <w:tr w:rsidR="00A637AB" w:rsidRPr="009819ED" w14:paraId="565CC474" w14:textId="77777777" w:rsidTr="00C72960">
        <w:tc>
          <w:tcPr>
            <w:tcW w:w="637" w:type="dxa"/>
            <w:shd w:val="clear" w:color="auto" w:fill="auto"/>
          </w:tcPr>
          <w:p w14:paraId="48A29A5D"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41.</w:t>
            </w:r>
          </w:p>
        </w:tc>
        <w:tc>
          <w:tcPr>
            <w:tcW w:w="2127" w:type="dxa"/>
            <w:shd w:val="clear" w:color="auto" w:fill="auto"/>
          </w:tcPr>
          <w:p w14:paraId="2108C332"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PN-P-01715: 1985</w:t>
            </w:r>
          </w:p>
        </w:tc>
        <w:tc>
          <w:tcPr>
            <w:tcW w:w="5875" w:type="dxa"/>
            <w:shd w:val="clear" w:color="auto" w:fill="auto"/>
          </w:tcPr>
          <w:p w14:paraId="68350DBC"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Włókniny. Zestawienie wskaźników technicznych i użytkowych oraz metod badań</w:t>
            </w:r>
          </w:p>
        </w:tc>
      </w:tr>
      <w:tr w:rsidR="00A637AB" w:rsidRPr="009819ED" w14:paraId="076F2A8D" w14:textId="77777777" w:rsidTr="00C72960">
        <w:tc>
          <w:tcPr>
            <w:tcW w:w="637" w:type="dxa"/>
            <w:shd w:val="clear" w:color="auto" w:fill="auto"/>
          </w:tcPr>
          <w:p w14:paraId="3FE98A34"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42.</w:t>
            </w:r>
          </w:p>
        </w:tc>
        <w:tc>
          <w:tcPr>
            <w:tcW w:w="2127" w:type="dxa"/>
            <w:shd w:val="clear" w:color="auto" w:fill="auto"/>
          </w:tcPr>
          <w:p w14:paraId="7D67D497"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PN-S-96015: 1975</w:t>
            </w:r>
          </w:p>
        </w:tc>
        <w:tc>
          <w:tcPr>
            <w:tcW w:w="5875" w:type="dxa"/>
            <w:shd w:val="clear" w:color="auto" w:fill="auto"/>
          </w:tcPr>
          <w:p w14:paraId="13538DAF"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Drogowe i lotniskowe nawierzchnie z betonu cementowego</w:t>
            </w:r>
          </w:p>
        </w:tc>
      </w:tr>
      <w:tr w:rsidR="00A637AB" w:rsidRPr="009819ED" w14:paraId="78341473" w14:textId="77777777" w:rsidTr="00C72960">
        <w:tc>
          <w:tcPr>
            <w:tcW w:w="637" w:type="dxa"/>
            <w:shd w:val="clear" w:color="auto" w:fill="auto"/>
          </w:tcPr>
          <w:p w14:paraId="4EC00AA2"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43.</w:t>
            </w:r>
          </w:p>
        </w:tc>
        <w:tc>
          <w:tcPr>
            <w:tcW w:w="2127" w:type="dxa"/>
            <w:shd w:val="clear" w:color="auto" w:fill="auto"/>
          </w:tcPr>
          <w:p w14:paraId="3864D785"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BN-88/6731-08</w:t>
            </w:r>
          </w:p>
        </w:tc>
        <w:tc>
          <w:tcPr>
            <w:tcW w:w="5875" w:type="dxa"/>
            <w:shd w:val="clear" w:color="auto" w:fill="auto"/>
          </w:tcPr>
          <w:p w14:paraId="0FACEE06"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Cement. Transport i przechowywanie</w:t>
            </w:r>
          </w:p>
        </w:tc>
      </w:tr>
      <w:tr w:rsidR="00A637AB" w:rsidRPr="009819ED" w14:paraId="42E465C1" w14:textId="77777777" w:rsidTr="00C72960">
        <w:tc>
          <w:tcPr>
            <w:tcW w:w="637" w:type="dxa"/>
            <w:shd w:val="clear" w:color="auto" w:fill="auto"/>
          </w:tcPr>
          <w:p w14:paraId="0101696E" w14:textId="77777777" w:rsidR="00A637AB" w:rsidRPr="009819ED" w:rsidRDefault="00A637AB" w:rsidP="00C72960">
            <w:pPr>
              <w:overflowPunct w:val="0"/>
              <w:autoSpaceDE w:val="0"/>
              <w:jc w:val="center"/>
              <w:rPr>
                <w:rFonts w:ascii="Times New Roman" w:hAnsi="Times New Roman" w:cs="Times New Roman"/>
              </w:rPr>
            </w:pPr>
            <w:r w:rsidRPr="009819ED">
              <w:rPr>
                <w:rFonts w:ascii="Times New Roman" w:hAnsi="Times New Roman" w:cs="Times New Roman"/>
              </w:rPr>
              <w:t>44.</w:t>
            </w:r>
          </w:p>
        </w:tc>
        <w:tc>
          <w:tcPr>
            <w:tcW w:w="2127" w:type="dxa"/>
            <w:shd w:val="clear" w:color="auto" w:fill="auto"/>
          </w:tcPr>
          <w:p w14:paraId="2E3658EF"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BN-64/8931-01</w:t>
            </w:r>
          </w:p>
        </w:tc>
        <w:tc>
          <w:tcPr>
            <w:tcW w:w="5875" w:type="dxa"/>
            <w:shd w:val="clear" w:color="auto" w:fill="auto"/>
          </w:tcPr>
          <w:p w14:paraId="75FE9699"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Drogi samochodowe. Oznaczenie wskaźnika piaskowego</w:t>
            </w:r>
          </w:p>
        </w:tc>
      </w:tr>
      <w:tr w:rsidR="00A637AB" w:rsidRPr="009819ED" w14:paraId="092CEBE6" w14:textId="77777777" w:rsidTr="00C72960">
        <w:tc>
          <w:tcPr>
            <w:tcW w:w="637" w:type="dxa"/>
            <w:shd w:val="clear" w:color="auto" w:fill="auto"/>
          </w:tcPr>
          <w:p w14:paraId="4F206A37" w14:textId="77777777" w:rsidR="00A637AB" w:rsidRPr="009819ED" w:rsidRDefault="00A637AB" w:rsidP="00C72960">
            <w:pPr>
              <w:tabs>
                <w:tab w:val="left" w:pos="284"/>
              </w:tabs>
              <w:overflowPunct w:val="0"/>
              <w:autoSpaceDE w:val="0"/>
              <w:jc w:val="center"/>
              <w:rPr>
                <w:rFonts w:ascii="Times New Roman" w:hAnsi="Times New Roman" w:cs="Times New Roman"/>
              </w:rPr>
            </w:pPr>
            <w:r w:rsidRPr="009819ED">
              <w:rPr>
                <w:rFonts w:ascii="Times New Roman" w:hAnsi="Times New Roman" w:cs="Times New Roman"/>
              </w:rPr>
              <w:t>45.</w:t>
            </w:r>
          </w:p>
        </w:tc>
        <w:tc>
          <w:tcPr>
            <w:tcW w:w="2127" w:type="dxa"/>
            <w:shd w:val="clear" w:color="auto" w:fill="auto"/>
          </w:tcPr>
          <w:p w14:paraId="2997964D" w14:textId="77777777" w:rsidR="00A637AB" w:rsidRPr="009819ED" w:rsidRDefault="00A637AB" w:rsidP="00C72960">
            <w:pPr>
              <w:overflowPunct w:val="0"/>
              <w:autoSpaceDE w:val="0"/>
              <w:rPr>
                <w:rFonts w:ascii="Times New Roman" w:hAnsi="Times New Roman" w:cs="Times New Roman"/>
              </w:rPr>
            </w:pPr>
            <w:r w:rsidRPr="009819ED">
              <w:rPr>
                <w:rFonts w:ascii="Times New Roman" w:hAnsi="Times New Roman" w:cs="Times New Roman"/>
              </w:rPr>
              <w:t>BN-68/8931-04</w:t>
            </w:r>
          </w:p>
        </w:tc>
        <w:tc>
          <w:tcPr>
            <w:tcW w:w="5875" w:type="dxa"/>
            <w:shd w:val="clear" w:color="auto" w:fill="auto"/>
          </w:tcPr>
          <w:p w14:paraId="376DC50A" w14:textId="77777777" w:rsidR="00A637AB" w:rsidRPr="009819ED" w:rsidRDefault="00A637AB" w:rsidP="00C72960">
            <w:pPr>
              <w:overflowPunct w:val="0"/>
              <w:autoSpaceDE w:val="0"/>
              <w:jc w:val="both"/>
              <w:rPr>
                <w:rFonts w:ascii="Times New Roman" w:hAnsi="Times New Roman" w:cs="Times New Roman"/>
              </w:rPr>
            </w:pPr>
            <w:r w:rsidRPr="009819ED">
              <w:rPr>
                <w:rFonts w:ascii="Times New Roman" w:hAnsi="Times New Roman" w:cs="Times New Roman"/>
              </w:rPr>
              <w:t>Drogi samochodowe. Pomiar równości nawierzchni planografem i łatą</w:t>
            </w:r>
          </w:p>
        </w:tc>
      </w:tr>
    </w:tbl>
    <w:p w14:paraId="1B62932D" w14:textId="77777777" w:rsidR="00A637AB" w:rsidRPr="009819ED" w:rsidRDefault="00A637AB" w:rsidP="00904E6C">
      <w:pPr>
        <w:pStyle w:val="Nagwek2"/>
        <w:numPr>
          <w:ilvl w:val="1"/>
          <w:numId w:val="390"/>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spacing w:before="120" w:line="240" w:lineRule="auto"/>
        <w:jc w:val="both"/>
        <w:rPr>
          <w:sz w:val="22"/>
          <w:szCs w:val="22"/>
        </w:rPr>
      </w:pPr>
      <w:r w:rsidRPr="009819ED">
        <w:rPr>
          <w:sz w:val="22"/>
          <w:szCs w:val="22"/>
        </w:rPr>
        <w:t>10.2. Inne dokumenty</w:t>
      </w:r>
    </w:p>
    <w:p w14:paraId="2FB4D6CD" w14:textId="77777777" w:rsidR="003A3976" w:rsidRPr="001667DB" w:rsidRDefault="00A637AB" w:rsidP="003A3976">
      <w:pPr>
        <w:spacing w:after="120" w:line="360" w:lineRule="auto"/>
        <w:ind w:firstLine="708"/>
        <w:jc w:val="both"/>
        <w:rPr>
          <w:rFonts w:ascii="Times New Roman" w:hAnsi="Times New Roman" w:cs="Times New Roman"/>
          <w:color w:val="000000" w:themeColor="text1"/>
        </w:rPr>
      </w:pPr>
      <w:r w:rsidRPr="009819ED">
        <w:rPr>
          <w:rFonts w:ascii="Times New Roman" w:hAnsi="Times New Roman" w:cs="Times New Roman"/>
        </w:rPr>
        <w:t xml:space="preserve">46. </w:t>
      </w:r>
      <w:r w:rsidR="003A3976" w:rsidRPr="001667DB">
        <w:rPr>
          <w:rFonts w:ascii="Times New Roman" w:hAnsi="Times New Roman" w:cs="Times New Roman"/>
          <w:color w:val="000000" w:themeColor="text1"/>
        </w:rPr>
        <w:t xml:space="preserve">Katalog Typowych Konstrukcji Nawierzchni Sztywnych, załącznik do zarządzenia Nr 30 Generalnego Dyrektora Dróg Krajowych i Autostrad z dnia 16.06.2014 r.  </w:t>
      </w:r>
    </w:p>
    <w:p w14:paraId="47A14BD1" w14:textId="77777777" w:rsidR="00A637AB" w:rsidRPr="009819ED" w:rsidRDefault="00A637AB" w:rsidP="00A637AB">
      <w:pPr>
        <w:pStyle w:val="Standardowytekst0"/>
        <w:rPr>
          <w:sz w:val="22"/>
          <w:szCs w:val="22"/>
        </w:rPr>
      </w:pPr>
    </w:p>
    <w:p w14:paraId="11E6667F" w14:textId="77777777" w:rsidR="003A3976" w:rsidRPr="001667DB" w:rsidRDefault="00A637AB" w:rsidP="003A3976">
      <w:pPr>
        <w:spacing w:after="120" w:line="360" w:lineRule="auto"/>
        <w:ind w:left="360"/>
        <w:jc w:val="both"/>
        <w:rPr>
          <w:rFonts w:ascii="Times New Roman" w:hAnsi="Times New Roman" w:cs="Times New Roman"/>
          <w:color w:val="000000" w:themeColor="text1"/>
        </w:rPr>
      </w:pPr>
      <w:r w:rsidRPr="009819ED">
        <w:rPr>
          <w:rFonts w:ascii="Times New Roman" w:hAnsi="Times New Roman" w:cs="Times New Roman"/>
        </w:rPr>
        <w:lastRenderedPageBreak/>
        <w:t xml:space="preserve">47. </w:t>
      </w:r>
      <w:r w:rsidR="003A3976" w:rsidRPr="001667DB">
        <w:rPr>
          <w:rFonts w:ascii="Times New Roman" w:hAnsi="Times New Roman" w:cs="Times New Roman"/>
          <w:color w:val="000000" w:themeColor="text1"/>
        </w:rPr>
        <w:t xml:space="preserve">Katalog Typowych Konstrukcji Nawierzchni Podatnych i Półsztywnych, załącznik do zarządzenia Nr 31 Generalnego Dyrektora Dróg Krajowych i Autostrad z dnia 16.06.2014 r. </w:t>
      </w:r>
    </w:p>
    <w:p w14:paraId="4EF6DA3F" w14:textId="77777777" w:rsidR="00A637AB" w:rsidRDefault="00A637AB" w:rsidP="003A3976">
      <w:pPr>
        <w:pStyle w:val="Standardowytekst0"/>
        <w:rPr>
          <w:sz w:val="22"/>
          <w:szCs w:val="22"/>
        </w:rPr>
      </w:pPr>
      <w:r w:rsidRPr="009819ED">
        <w:rPr>
          <w:sz w:val="22"/>
          <w:szCs w:val="22"/>
        </w:rPr>
        <w:t xml:space="preserve">     48. PB-TB-01/2001 Procedura badawcza IBDiM. Badanie odporności betonu na działanie soli  odladzających</w:t>
      </w:r>
    </w:p>
    <w:p w14:paraId="6F1F80FE" w14:textId="77777777" w:rsidR="00EE1FBC" w:rsidRDefault="00EE1FBC">
      <w:pPr>
        <w:rPr>
          <w:rFonts w:ascii="Times New Roman" w:eastAsia="Times New Roman" w:hAnsi="Times New Roman" w:cs="Times New Roman"/>
          <w:lang w:eastAsia="pl-PL"/>
        </w:rPr>
      </w:pPr>
      <w:r>
        <w:br w:type="page"/>
      </w:r>
    </w:p>
    <w:p w14:paraId="26A495DF" w14:textId="77777777" w:rsidR="003A3976" w:rsidRPr="009819ED" w:rsidRDefault="003A3976" w:rsidP="00A637AB">
      <w:pPr>
        <w:pStyle w:val="Standardowytekst0"/>
        <w:ind w:left="360" w:hanging="360"/>
        <w:rPr>
          <w:sz w:val="22"/>
          <w:szCs w:val="22"/>
        </w:rPr>
      </w:pPr>
    </w:p>
    <w:p w14:paraId="131660C2" w14:textId="77777777" w:rsidR="00955A27" w:rsidRPr="001667DB" w:rsidRDefault="00955A27" w:rsidP="0010391D">
      <w:pPr>
        <w:spacing w:after="120" w:line="360" w:lineRule="auto"/>
        <w:ind w:left="2124" w:hanging="2124"/>
        <w:rPr>
          <w:rFonts w:ascii="Times New Roman" w:hAnsi="Times New Roman" w:cs="Times New Roman"/>
          <w:b/>
          <w:bCs/>
          <w:color w:val="000000" w:themeColor="text1"/>
        </w:rPr>
      </w:pPr>
      <w:bookmarkStart w:id="454" w:name="_Toc462133766"/>
      <w:r w:rsidRPr="001667DB">
        <w:rPr>
          <w:rFonts w:ascii="Times New Roman" w:hAnsi="Times New Roman" w:cs="Times New Roman"/>
          <w:b/>
          <w:bCs/>
          <w:color w:val="000000" w:themeColor="text1"/>
        </w:rPr>
        <w:t>D.05.03.05</w:t>
      </w:r>
      <w:r w:rsidRPr="001667DB">
        <w:rPr>
          <w:rFonts w:ascii="Times New Roman" w:hAnsi="Times New Roman" w:cs="Times New Roman"/>
          <w:b/>
          <w:bCs/>
          <w:color w:val="000000" w:themeColor="text1"/>
        </w:rPr>
        <w:tab/>
        <w:t>NAWIERZCHNIA  Z  BETONU ASFALTOWEGO WARSTWA ŚCIERALNA</w:t>
      </w:r>
      <w:r w:rsidRPr="001667DB">
        <w:rPr>
          <w:rFonts w:ascii="Times New Roman" w:hAnsi="Times New Roman" w:cs="Times New Roman"/>
          <w:b/>
          <w:bCs/>
          <w:color w:val="000000" w:themeColor="text1"/>
        </w:rPr>
        <w:tab/>
      </w:r>
    </w:p>
    <w:p w14:paraId="5C8AB6A9" w14:textId="77777777" w:rsidR="00955A27" w:rsidRPr="00326BBF" w:rsidRDefault="00955A27" w:rsidP="00955A27">
      <w:pPr>
        <w:pStyle w:val="Nagwek1"/>
        <w:spacing w:line="360" w:lineRule="auto"/>
        <w:rPr>
          <w:color w:val="000000" w:themeColor="text1"/>
          <w:sz w:val="22"/>
          <w:szCs w:val="22"/>
          <w:lang w:val="pl-PL"/>
        </w:rPr>
      </w:pPr>
      <w:r w:rsidRPr="00326BBF">
        <w:rPr>
          <w:color w:val="000000" w:themeColor="text1"/>
          <w:sz w:val="22"/>
          <w:szCs w:val="22"/>
          <w:lang w:val="pl-PL"/>
        </w:rPr>
        <w:t>1. Wstęp</w:t>
      </w:r>
      <w:bookmarkEnd w:id="454"/>
    </w:p>
    <w:p w14:paraId="508E5679"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1.1. Przedmiot ST</w:t>
      </w:r>
    </w:p>
    <w:p w14:paraId="7F983B11" w14:textId="77777777" w:rsidR="00955A27" w:rsidRPr="001667DB" w:rsidRDefault="00955A27" w:rsidP="002824F8">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ab/>
        <w:t xml:space="preserve">Przedmiotem niniejszej specyfikacji technicznej (ST) są </w:t>
      </w:r>
      <w:r w:rsidR="002824F8">
        <w:rPr>
          <w:rFonts w:ascii="Times New Roman" w:hAnsi="Times New Roman" w:cs="Times New Roman"/>
          <w:color w:val="000000" w:themeColor="text1"/>
        </w:rPr>
        <w:t>wymagania dotyczące wykonania i </w:t>
      </w:r>
      <w:r w:rsidRPr="001667DB">
        <w:rPr>
          <w:rFonts w:ascii="Times New Roman" w:hAnsi="Times New Roman" w:cs="Times New Roman"/>
          <w:color w:val="000000" w:themeColor="text1"/>
        </w:rPr>
        <w:t xml:space="preserve">odbioru robót związanych z wykonaniem warstwy ścieralnej z betonu asfaltowego w ramach realizacji zadania: </w:t>
      </w:r>
      <w:r w:rsidR="0067640A" w:rsidRPr="0067640A">
        <w:rPr>
          <w:rFonts w:ascii="Times New Roman" w:hAnsi="Times New Roman" w:cs="Times New Roman"/>
          <w:b/>
          <w:color w:val="000000" w:themeColor="text1"/>
        </w:rPr>
        <w:t>„Rozbudowa drogi wojewódzkiej nr 461 w m. Dąbrówka Łubniańska i Łubniany” – Etap I ( km od 9+741,88 do 10+371,13)</w:t>
      </w:r>
    </w:p>
    <w:p w14:paraId="0E1EF696"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1.2. Zakres stosowania ST</w:t>
      </w:r>
    </w:p>
    <w:p w14:paraId="54E69243" w14:textId="77777777" w:rsidR="00955A27" w:rsidRPr="001667DB" w:rsidRDefault="00955A27" w:rsidP="00B63CED">
      <w:pPr>
        <w:pStyle w:val="Nagwek2"/>
        <w:spacing w:line="360" w:lineRule="auto"/>
        <w:ind w:left="-6"/>
        <w:jc w:val="both"/>
        <w:rPr>
          <w:color w:val="000000" w:themeColor="text1"/>
        </w:rPr>
      </w:pPr>
      <w:r w:rsidRPr="00B63CED">
        <w:rPr>
          <w:color w:val="000000" w:themeColor="text1"/>
          <w:u w:val="none"/>
        </w:rPr>
        <w:tab/>
      </w:r>
      <w:r w:rsidR="00B63CED" w:rsidRPr="00B63CED">
        <w:rPr>
          <w:color w:val="000000" w:themeColor="text1"/>
          <w:u w:val="none"/>
        </w:rPr>
        <w:tab/>
      </w:r>
      <w:r w:rsidR="00B63CED" w:rsidRPr="00B63CED">
        <w:rPr>
          <w:color w:val="000000" w:themeColor="text1"/>
          <w:u w:val="none"/>
        </w:rPr>
        <w:tab/>
      </w:r>
      <w:r w:rsidR="00B63CED" w:rsidRPr="00B63CED">
        <w:rPr>
          <w:rFonts w:eastAsiaTheme="minorHAnsi"/>
          <w:b w:val="0"/>
          <w:color w:val="000000" w:themeColor="text1"/>
          <w:spacing w:val="0"/>
          <w:sz w:val="22"/>
          <w:szCs w:val="22"/>
          <w:u w:val="none"/>
          <w:lang w:eastAsia="en-US"/>
        </w:rPr>
        <w:t>Przedmiotem niniejszych Warunków Wykonania i Odbioru Robót Budowlanych (STWiORB) są wymagania dotyczące wykonania i odbioru robót związanych z wykonaniem warstwy wiążącej z betonu asfaltowego.</w:t>
      </w:r>
      <w:r w:rsidR="00B63CED" w:rsidRPr="001667DB">
        <w:rPr>
          <w:b w:val="0"/>
          <w:color w:val="000000" w:themeColor="text1"/>
          <w:sz w:val="22"/>
          <w:szCs w:val="22"/>
        </w:rPr>
        <w:t xml:space="preserve"> </w:t>
      </w:r>
    </w:p>
    <w:p w14:paraId="2C85EFE7"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1.3. Zakres robót objętych ST</w:t>
      </w:r>
    </w:p>
    <w:p w14:paraId="29514969"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Ustalenia zawarte w niniejszej specyfikacji dotyczą zasad prowadzenia robót związanych </w:t>
      </w:r>
      <w:r w:rsidR="002824F8">
        <w:rPr>
          <w:rFonts w:ascii="Times New Roman" w:hAnsi="Times New Roman" w:cs="Times New Roman"/>
          <w:color w:val="000000" w:themeColor="text1"/>
        </w:rPr>
        <w:t>z </w:t>
      </w:r>
      <w:r w:rsidRPr="001667DB">
        <w:rPr>
          <w:rFonts w:ascii="Times New Roman" w:hAnsi="Times New Roman" w:cs="Times New Roman"/>
          <w:color w:val="000000" w:themeColor="text1"/>
        </w:rPr>
        <w:t>wykonaniem i odbiorem warstwy ścieralnej z betonu asfaltowego wg PN-EN 13108-1 [50] i WT-2 [80] [81] z mieszanki mineralno-asfaltowej dostarczonej od producenta. W przypadku produkcji mieszanki mineralno-asfaltowej przez Wykonawcę dla potrzeb budowy, Wykonawca zobowiązany jest prowadzić zakładową kontrolę produkcji (ZKP) zgodnie z  PN-EN 13108-21 [53].</w:t>
      </w:r>
    </w:p>
    <w:p w14:paraId="2E7A087A" w14:textId="6A123765"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robót obejmuje: wykonanie warstwy ścieralnej z betonu asfaltowego </w:t>
      </w:r>
      <w:r w:rsidR="00BF0D16">
        <w:rPr>
          <w:rFonts w:ascii="Times New Roman" w:hAnsi="Times New Roman" w:cs="Times New Roman"/>
          <w:b/>
          <w:color w:val="000000" w:themeColor="text1"/>
        </w:rPr>
        <w:t>AC</w:t>
      </w:r>
      <w:r w:rsidR="004A6EFA">
        <w:rPr>
          <w:rFonts w:ascii="Times New Roman" w:hAnsi="Times New Roman" w:cs="Times New Roman"/>
          <w:b/>
          <w:color w:val="000000" w:themeColor="text1"/>
        </w:rPr>
        <w:t>8</w:t>
      </w:r>
      <w:r w:rsidRPr="001667DB">
        <w:rPr>
          <w:rFonts w:ascii="Times New Roman" w:hAnsi="Times New Roman" w:cs="Times New Roman"/>
          <w:b/>
          <w:color w:val="000000" w:themeColor="text1"/>
        </w:rPr>
        <w:t>S grubości 4 cm</w:t>
      </w:r>
      <w:r w:rsidRPr="001667DB">
        <w:rPr>
          <w:rFonts w:ascii="Times New Roman" w:hAnsi="Times New Roman" w:cs="Times New Roman"/>
          <w:color w:val="000000" w:themeColor="text1"/>
        </w:rPr>
        <w:t xml:space="preserve"> na ciągu pieszo-rowerowym – zgodnie z Dokumentacją Projektową. </w:t>
      </w:r>
    </w:p>
    <w:p w14:paraId="1AA4072A"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Stosowane mieszanki betonu asfaltowego o wymiarze D podano w tablicy 1.</w:t>
      </w:r>
    </w:p>
    <w:p w14:paraId="21B39DBE" w14:textId="77777777" w:rsidR="00955A27" w:rsidRPr="001667DB" w:rsidRDefault="00955A27" w:rsidP="002824F8">
      <w:pPr>
        <w:spacing w:before="6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1. Stosowane mieszanki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955A27" w:rsidRPr="001667DB" w14:paraId="7F931BB4" w14:textId="77777777">
        <w:trPr>
          <w:trHeight w:val="590"/>
        </w:trPr>
        <w:tc>
          <w:tcPr>
            <w:tcW w:w="1276" w:type="dxa"/>
            <w:vAlign w:val="center"/>
          </w:tcPr>
          <w:p w14:paraId="02B7407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Kategoria</w:t>
            </w:r>
          </w:p>
          <w:p w14:paraId="4B2FEE4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Ruchu</w:t>
            </w:r>
          </w:p>
        </w:tc>
        <w:tc>
          <w:tcPr>
            <w:tcW w:w="6132" w:type="dxa"/>
            <w:vAlign w:val="center"/>
          </w:tcPr>
          <w:p w14:paraId="08D5726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Mieszanki  o wymiarze D</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mm</w:t>
            </w:r>
          </w:p>
        </w:tc>
      </w:tr>
      <w:tr w:rsidR="00955A27" w:rsidRPr="001667DB" w14:paraId="3D09068C" w14:textId="77777777">
        <w:tc>
          <w:tcPr>
            <w:tcW w:w="1276" w:type="dxa"/>
          </w:tcPr>
          <w:p w14:paraId="499AC85E" w14:textId="77777777" w:rsidR="00955A27" w:rsidRPr="00FB30DB" w:rsidRDefault="00955A27" w:rsidP="00FB30DB">
            <w:pPr>
              <w:spacing w:before="60" w:after="120" w:line="360" w:lineRule="auto"/>
              <w:jc w:val="center"/>
              <w:rPr>
                <w:rFonts w:ascii="Times New Roman" w:hAnsi="Times New Roman" w:cs="Times New Roman"/>
                <w:b/>
                <w:color w:val="000000" w:themeColor="text1"/>
              </w:rPr>
            </w:pPr>
            <w:r w:rsidRPr="002824F8">
              <w:rPr>
                <w:rFonts w:ascii="Times New Roman" w:hAnsi="Times New Roman" w:cs="Times New Roman"/>
                <w:b/>
                <w:color w:val="000000" w:themeColor="text1"/>
              </w:rPr>
              <w:t>KR 1-2</w:t>
            </w:r>
          </w:p>
        </w:tc>
        <w:tc>
          <w:tcPr>
            <w:tcW w:w="6132" w:type="dxa"/>
          </w:tcPr>
          <w:p w14:paraId="5205A147" w14:textId="77777777" w:rsidR="00955A27" w:rsidRPr="00FB30DB" w:rsidRDefault="00955A27" w:rsidP="00FB30DB">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 xml:space="preserve">AC5S, </w:t>
            </w:r>
            <w:r w:rsidRPr="001667DB">
              <w:rPr>
                <w:rFonts w:ascii="Times New Roman" w:hAnsi="Times New Roman" w:cs="Times New Roman"/>
                <w:b/>
                <w:color w:val="000000" w:themeColor="text1"/>
                <w:lang w:val="en-US"/>
              </w:rPr>
              <w:t>AC8S</w:t>
            </w:r>
            <w:r w:rsidRPr="001667DB">
              <w:rPr>
                <w:rFonts w:ascii="Times New Roman" w:hAnsi="Times New Roman" w:cs="Times New Roman"/>
                <w:color w:val="000000" w:themeColor="text1"/>
                <w:lang w:val="en-US"/>
              </w:rPr>
              <w:t>, AC11S</w:t>
            </w:r>
          </w:p>
        </w:tc>
      </w:tr>
    </w:tbl>
    <w:p w14:paraId="1E4CF5F7" w14:textId="77777777" w:rsidR="00FB30DB" w:rsidRDefault="00FB30DB" w:rsidP="002824F8">
      <w:pPr>
        <w:spacing w:after="120" w:line="360" w:lineRule="auto"/>
        <w:jc w:val="both"/>
        <w:rPr>
          <w:rFonts w:ascii="Times New Roman" w:hAnsi="Times New Roman" w:cs="Times New Roman"/>
          <w:color w:val="000000" w:themeColor="text1"/>
          <w:vertAlign w:val="superscript"/>
        </w:rPr>
      </w:pPr>
    </w:p>
    <w:p w14:paraId="0984B4B0"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 xml:space="preserve">1) </w:t>
      </w:r>
      <w:r w:rsidRPr="001667DB">
        <w:rPr>
          <w:rFonts w:ascii="Times New Roman" w:hAnsi="Times New Roman" w:cs="Times New Roman"/>
          <w:color w:val="000000" w:themeColor="text1"/>
        </w:rPr>
        <w:t>Podział ze względu na wymiar największego kruszywa w mieszance – patrz punkt 1.4.4.</w:t>
      </w:r>
    </w:p>
    <w:p w14:paraId="43148101"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Dopuszczony do stosowania w terenach górskich.</w:t>
      </w:r>
    </w:p>
    <w:p w14:paraId="04A5DEA1"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lastRenderedPageBreak/>
        <w:t>1.4. Określenia podstawowe</w:t>
      </w:r>
    </w:p>
    <w:p w14:paraId="6A5A831A"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 </w:t>
      </w:r>
      <w:r w:rsidRPr="001667DB">
        <w:rPr>
          <w:rFonts w:ascii="Times New Roman" w:hAnsi="Times New Roman"/>
          <w:color w:val="000000" w:themeColor="text1"/>
          <w:sz w:val="22"/>
          <w:szCs w:val="22"/>
        </w:rPr>
        <w:t>Nawierzchnia – konstrukcja składająca się z jednej lub kilku warstw służących do przejmowania i rozkładania obciążeń od ruchu pojazdów na podłoże.</w:t>
      </w:r>
    </w:p>
    <w:p w14:paraId="2D647AA0"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1.4.2. </w:t>
      </w:r>
      <w:r w:rsidRPr="001667DB">
        <w:rPr>
          <w:rFonts w:ascii="Times New Roman" w:hAnsi="Times New Roman"/>
          <w:color w:val="000000" w:themeColor="text1"/>
          <w:sz w:val="22"/>
          <w:szCs w:val="22"/>
        </w:rPr>
        <w:t>Warstwa ścieralna – górna warstwa nawierzchni będąca w bezpośrednim kontakcie z kołami pojazdów.</w:t>
      </w:r>
    </w:p>
    <w:p w14:paraId="02C12179"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1.4.3. </w:t>
      </w:r>
      <w:r w:rsidRPr="001667DB">
        <w:rPr>
          <w:rFonts w:ascii="Times New Roman" w:hAnsi="Times New Roman"/>
          <w:color w:val="000000" w:themeColor="text1"/>
          <w:sz w:val="22"/>
          <w:szCs w:val="22"/>
        </w:rPr>
        <w:t>Mieszanka mineralno-asfaltowa (MMA) – mieszanka kruszyw i lepiszcza asfaltowego.</w:t>
      </w:r>
    </w:p>
    <w:p w14:paraId="462DCE29"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1.4.4. </w:t>
      </w:r>
      <w:r w:rsidRPr="001667DB">
        <w:rPr>
          <w:rFonts w:ascii="Times New Roman" w:hAnsi="Times New Roman"/>
          <w:color w:val="000000" w:themeColor="text1"/>
          <w:sz w:val="22"/>
          <w:szCs w:val="22"/>
        </w:rPr>
        <w:t>Wymiar mieszanki mineralno-asfaltowej – określenie mieszanki mineralno-asfaltowej, ze względu na największy wymiar kruszywa D, np. wymiar 5, 8, 11.</w:t>
      </w:r>
    </w:p>
    <w:p w14:paraId="664AE55E"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1.4.5. </w:t>
      </w:r>
      <w:r w:rsidRPr="001667DB">
        <w:rPr>
          <w:rFonts w:ascii="Times New Roman" w:hAnsi="Times New Roman"/>
          <w:color w:val="000000" w:themeColor="text1"/>
          <w:sz w:val="22"/>
          <w:szCs w:val="22"/>
        </w:rPr>
        <w:t>Beton asfaltowy – mieszanka mineralno-asfaltowa, w której kruszywo o uziarnieniu ciągłym lub nieciągłym tworzy strukturę wzajemnie klinującą się.</w:t>
      </w:r>
    </w:p>
    <w:p w14:paraId="624E3C42"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1.4.6. </w:t>
      </w:r>
      <w:r w:rsidRPr="001667DB">
        <w:rPr>
          <w:rFonts w:ascii="Times New Roman" w:hAnsi="Times New Roman"/>
          <w:color w:val="000000" w:themeColor="text1"/>
          <w:sz w:val="22"/>
          <w:szCs w:val="22"/>
        </w:rPr>
        <w:t>Uziarnienie – skład ziarnowy kruszywa, wyrażony w procentach masy ziaren przechodzących przez określony zestaw sit.</w:t>
      </w:r>
    </w:p>
    <w:p w14:paraId="6E6AAC81"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1.4.7. </w:t>
      </w:r>
      <w:r w:rsidRPr="001667DB">
        <w:rPr>
          <w:rFonts w:ascii="Times New Roman" w:hAnsi="Times New Roman"/>
          <w:color w:val="000000" w:themeColor="text1"/>
          <w:sz w:val="22"/>
          <w:szCs w:val="22"/>
        </w:rPr>
        <w:t>Kategoria ruchu – obciążenie drogi ruchem samochodowym, wyrażone w osiach obliczeniowych (100 kN) wg „Katalogu typowych konstrukcji nawierzchni podatnych i półsztywnych” GDDKiA [82].</w:t>
      </w:r>
    </w:p>
    <w:p w14:paraId="0D68CCB9"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1.4.8. </w:t>
      </w:r>
      <w:r w:rsidRPr="001667DB">
        <w:rPr>
          <w:rFonts w:ascii="Times New Roman" w:hAnsi="Times New Roman"/>
          <w:color w:val="000000" w:themeColor="text1"/>
          <w:sz w:val="22"/>
          <w:szCs w:val="22"/>
        </w:rPr>
        <w:t>Wymiar kruszywa – wielkość ziaren kruszywa, określona przez dolny (d) i górny (D) wymiar sita.</w:t>
      </w:r>
    </w:p>
    <w:p w14:paraId="0882926D"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1.4.9. </w:t>
      </w:r>
      <w:r w:rsidRPr="001667DB">
        <w:rPr>
          <w:rFonts w:ascii="Times New Roman" w:hAnsi="Times New Roman"/>
          <w:color w:val="000000" w:themeColor="text1"/>
          <w:sz w:val="22"/>
          <w:szCs w:val="22"/>
        </w:rPr>
        <w:t xml:space="preserve">Kruszywo grube – kruszywo z ziaren o wymiarze: D ≤ </w:t>
      </w:r>
      <w:smartTag w:uri="urn:schemas-microsoft-com:office:smarttags" w:element="metricconverter">
        <w:smartTagPr>
          <w:attr w:name="ProductID" w:val="45 mm"/>
        </w:smartTagPr>
        <w:r w:rsidRPr="001667DB">
          <w:rPr>
            <w:rFonts w:ascii="Times New Roman" w:hAnsi="Times New Roman"/>
            <w:color w:val="000000" w:themeColor="text1"/>
            <w:sz w:val="22"/>
            <w:szCs w:val="22"/>
          </w:rPr>
          <w:t>45 mm</w:t>
        </w:r>
      </w:smartTag>
      <w:r w:rsidRPr="001667DB">
        <w:rPr>
          <w:rFonts w:ascii="Times New Roman" w:hAnsi="Times New Roman"/>
          <w:color w:val="000000" w:themeColor="text1"/>
          <w:sz w:val="22"/>
          <w:szCs w:val="22"/>
        </w:rPr>
        <w:t xml:space="preserve"> oraz d &gt; </w:t>
      </w:r>
      <w:smartTag w:uri="urn:schemas-microsoft-com:office:smarttags" w:element="metricconverter">
        <w:smartTagPr>
          <w:attr w:name="ProductID" w:val="2 mm"/>
        </w:smartTagPr>
        <w:r w:rsidRPr="001667DB">
          <w:rPr>
            <w:rFonts w:ascii="Times New Roman" w:hAnsi="Times New Roman"/>
            <w:color w:val="000000" w:themeColor="text1"/>
            <w:sz w:val="22"/>
            <w:szCs w:val="22"/>
          </w:rPr>
          <w:t>2 mm</w:t>
        </w:r>
      </w:smartTag>
      <w:r w:rsidRPr="001667DB">
        <w:rPr>
          <w:rFonts w:ascii="Times New Roman" w:hAnsi="Times New Roman"/>
          <w:color w:val="000000" w:themeColor="text1"/>
          <w:sz w:val="22"/>
          <w:szCs w:val="22"/>
        </w:rPr>
        <w:t>.</w:t>
      </w:r>
    </w:p>
    <w:p w14:paraId="14382270"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1.4.10. </w:t>
      </w:r>
      <w:r w:rsidRPr="001667DB">
        <w:rPr>
          <w:rFonts w:ascii="Times New Roman" w:hAnsi="Times New Roman"/>
          <w:color w:val="000000" w:themeColor="text1"/>
          <w:sz w:val="22"/>
          <w:szCs w:val="22"/>
        </w:rPr>
        <w:t xml:space="preserve">Kruszywo drobne – kruszywo z ziaren o wymiarze: D ≤ </w:t>
      </w:r>
      <w:smartTag w:uri="urn:schemas-microsoft-com:office:smarttags" w:element="metricconverter">
        <w:smartTagPr>
          <w:attr w:name="ProductID" w:val="2 mm"/>
        </w:smartTagPr>
        <w:r w:rsidRPr="001667DB">
          <w:rPr>
            <w:rFonts w:ascii="Times New Roman" w:hAnsi="Times New Roman"/>
            <w:color w:val="000000" w:themeColor="text1"/>
            <w:sz w:val="22"/>
            <w:szCs w:val="22"/>
          </w:rPr>
          <w:t>2 mm</w:t>
        </w:r>
      </w:smartTag>
      <w:r w:rsidRPr="001667DB">
        <w:rPr>
          <w:rFonts w:ascii="Times New Roman" w:hAnsi="Times New Roman"/>
          <w:color w:val="000000" w:themeColor="text1"/>
          <w:sz w:val="22"/>
          <w:szCs w:val="22"/>
        </w:rPr>
        <w:t xml:space="preserve">, którego większa część pozostaje na sicie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w:t>
      </w:r>
    </w:p>
    <w:p w14:paraId="488DD710"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1.4.11. </w:t>
      </w:r>
      <w:r w:rsidRPr="001667DB">
        <w:rPr>
          <w:rFonts w:ascii="Times New Roman" w:hAnsi="Times New Roman"/>
          <w:color w:val="000000" w:themeColor="text1"/>
          <w:sz w:val="22"/>
          <w:szCs w:val="22"/>
        </w:rPr>
        <w:t xml:space="preserve">Pył – kruszywo z ziaren przechodzących przez sito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w:t>
      </w:r>
    </w:p>
    <w:p w14:paraId="04805962"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1.4.12. </w:t>
      </w:r>
      <w:r w:rsidRPr="001667DB">
        <w:rPr>
          <w:rFonts w:ascii="Times New Roman" w:hAnsi="Times New Roman"/>
          <w:color w:val="000000" w:themeColor="text1"/>
          <w:sz w:val="22"/>
          <w:szCs w:val="22"/>
        </w:rPr>
        <w:t xml:space="preserve">Wypełniacz – kruszywo, którego większa część przechodzi przez sito </w:t>
      </w:r>
      <w:smartTag w:uri="urn:schemas-microsoft-com:office:smarttags" w:element="metricconverter">
        <w:smartTagPr>
          <w:attr w:name="ProductID" w:val="0,063 mm"/>
        </w:smartTagPr>
        <w:r w:rsidRPr="001667DB">
          <w:rPr>
            <w:rFonts w:ascii="Times New Roman" w:hAnsi="Times New Roman"/>
            <w:color w:val="000000" w:themeColor="text1"/>
            <w:sz w:val="22"/>
            <w:szCs w:val="22"/>
          </w:rPr>
          <w:t>0,063 mm</w:t>
        </w:r>
      </w:smartTag>
      <w:r w:rsidRPr="001667DB">
        <w:rPr>
          <w:rFonts w:ascii="Times New Roman" w:hAnsi="Times New Roman"/>
          <w:color w:val="000000" w:themeColor="text1"/>
          <w:sz w:val="22"/>
          <w:szCs w:val="22"/>
        </w:rPr>
        <w:t>. (Wypełniacz mieszany – kruszywo, które składa się z wypełniacza pochodzenia mineralnego i wodorotlenku wapnia. Wypełniacz dodany – wypełniacz pochodzenia mineralnego, wyprodukowany oddzielnie).</w:t>
      </w:r>
    </w:p>
    <w:p w14:paraId="4AF1AC8A"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1.4.13. </w:t>
      </w:r>
      <w:r w:rsidRPr="001667DB">
        <w:rPr>
          <w:rFonts w:ascii="Times New Roman" w:hAnsi="Times New Roman"/>
          <w:color w:val="000000" w:themeColor="text1"/>
          <w:sz w:val="22"/>
          <w:szCs w:val="22"/>
        </w:rPr>
        <w:t>Kationowa emulsja asfaltowa – emulsja, w której emulgator nadaje dodatnie ładunki cząstkom zdyspergowanego asfaltu.</w:t>
      </w:r>
    </w:p>
    <w:p w14:paraId="3474FCDB"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bCs/>
          <w:color w:val="000000" w:themeColor="text1"/>
        </w:rPr>
        <w:t>1.4.14.</w:t>
      </w:r>
      <w:r w:rsidRPr="001667DB">
        <w:rPr>
          <w:rFonts w:ascii="Times New Roman" w:hAnsi="Times New Roman" w:cs="Times New Roman"/>
          <w:bCs/>
          <w:color w:val="000000" w:themeColor="text1"/>
        </w:rPr>
        <w:t xml:space="preserve">Połączenia technologiczne </w:t>
      </w:r>
      <w:r w:rsidRPr="001667DB">
        <w:rPr>
          <w:rFonts w:ascii="Times New Roman" w:hAnsi="Times New Roman" w:cs="Times New Roman"/>
          <w:b/>
          <w:bCs/>
          <w:color w:val="000000" w:themeColor="text1"/>
        </w:rPr>
        <w:t xml:space="preserve">– </w:t>
      </w:r>
      <w:r w:rsidRPr="001667DB">
        <w:rPr>
          <w:rFonts w:ascii="Times New Roman" w:hAnsi="Times New Roman" w:cs="Times New Roman"/>
          <w:color w:val="000000" w:themeColor="text1"/>
        </w:rPr>
        <w:t>połączenia rożnych warstw ze sobą lub tych samych warstw wykonywanych w rożnym czasie nie będących połączeniem międzywarstwowym</w:t>
      </w:r>
    </w:p>
    <w:p w14:paraId="0715256B"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bCs/>
          <w:color w:val="000000" w:themeColor="text1"/>
        </w:rPr>
        <w:t>1.4.15.</w:t>
      </w:r>
      <w:r w:rsidRPr="001667DB">
        <w:rPr>
          <w:rFonts w:ascii="Times New Roman" w:hAnsi="Times New Roman" w:cs="Times New Roman"/>
          <w:bCs/>
          <w:color w:val="000000" w:themeColor="text1"/>
        </w:rPr>
        <w:t>Złącza podłużne i poprzeczne</w:t>
      </w:r>
      <w:r w:rsidRPr="001667DB">
        <w:rPr>
          <w:rFonts w:ascii="Times New Roman" w:hAnsi="Times New Roman" w:cs="Times New Roman"/>
          <w:b/>
          <w:bCs/>
          <w:color w:val="000000" w:themeColor="text1"/>
        </w:rPr>
        <w:t xml:space="preserve"> </w:t>
      </w:r>
      <w:r w:rsidRPr="001667DB">
        <w:rPr>
          <w:rFonts w:ascii="Times New Roman" w:hAnsi="Times New Roman" w:cs="Times New Roman"/>
          <w:color w:val="000000" w:themeColor="text1"/>
        </w:rPr>
        <w:t>– połączenia tego samego materiału wbudowywanego w rożnym czasie</w:t>
      </w:r>
    </w:p>
    <w:p w14:paraId="514934C4" w14:textId="77777777" w:rsidR="00955A27" w:rsidRPr="001667DB" w:rsidRDefault="00955A27" w:rsidP="002824F8">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bCs/>
          <w:color w:val="000000" w:themeColor="text1"/>
        </w:rPr>
        <w:t>1.4.16.</w:t>
      </w:r>
      <w:r w:rsidRPr="001667DB">
        <w:rPr>
          <w:rFonts w:ascii="Times New Roman" w:hAnsi="Times New Roman" w:cs="Times New Roman"/>
          <w:bCs/>
          <w:color w:val="000000" w:themeColor="text1"/>
        </w:rPr>
        <w:t xml:space="preserve">Spoiny </w:t>
      </w:r>
      <w:r w:rsidRPr="001667DB">
        <w:rPr>
          <w:rFonts w:ascii="Times New Roman" w:hAnsi="Times New Roman" w:cs="Times New Roman"/>
          <w:color w:val="000000" w:themeColor="text1"/>
        </w:rPr>
        <w:t>– połączenia rożnych materiałów, np. asfaltu lanego i betonu asfaltowego oraz warstwy asfaltowej z urządzeniami obcymi w nawierzchni lub ją ograniczającymi</w:t>
      </w:r>
    </w:p>
    <w:p w14:paraId="007A1434"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lastRenderedPageBreak/>
        <w:t xml:space="preserve">1.4.17. </w:t>
      </w:r>
      <w:r w:rsidRPr="001667DB">
        <w:rPr>
          <w:rFonts w:ascii="Times New Roman" w:hAnsi="Times New Roman"/>
          <w:color w:val="000000" w:themeColor="text1"/>
          <w:sz w:val="22"/>
          <w:szCs w:val="22"/>
        </w:rPr>
        <w:t>Pozostałe określenia podstawowe są zgodne z obowiązującymi, odpowiednimi polskimi normami i z definicjami podanymi w ST D-M-00.00.00 „Wymagania ogólne” pkt 1.4.</w:t>
      </w:r>
    </w:p>
    <w:p w14:paraId="6665CFED" w14:textId="77777777" w:rsidR="00955A27" w:rsidRPr="001667DB" w:rsidRDefault="00955A27" w:rsidP="002824F8">
      <w:pPr>
        <w:pStyle w:val="StylIwony"/>
        <w:spacing w:line="360" w:lineRule="auto"/>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1.4.15. </w:t>
      </w:r>
      <w:r w:rsidRPr="001667DB">
        <w:rPr>
          <w:rFonts w:ascii="Times New Roman" w:hAnsi="Times New Roman"/>
          <w:color w:val="000000" w:themeColor="text1"/>
          <w:sz w:val="22"/>
          <w:szCs w:val="22"/>
        </w:rPr>
        <w:t>Symbole i skróty dodatkowe</w:t>
      </w:r>
    </w:p>
    <w:tbl>
      <w:tblPr>
        <w:tblW w:w="0" w:type="auto"/>
        <w:tblLook w:val="04A0" w:firstRow="1" w:lastRow="0" w:firstColumn="1" w:lastColumn="0" w:noHBand="0" w:noVBand="1"/>
      </w:tblPr>
      <w:tblGrid>
        <w:gridCol w:w="754"/>
        <w:gridCol w:w="8131"/>
      </w:tblGrid>
      <w:tr w:rsidR="00955A27" w:rsidRPr="001667DB" w14:paraId="4829F86D" w14:textId="77777777">
        <w:tc>
          <w:tcPr>
            <w:tcW w:w="737" w:type="dxa"/>
          </w:tcPr>
          <w:p w14:paraId="6AE6AA69"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AC_S</w:t>
            </w:r>
          </w:p>
        </w:tc>
        <w:tc>
          <w:tcPr>
            <w:tcW w:w="8131" w:type="dxa"/>
          </w:tcPr>
          <w:p w14:paraId="2E24785B" w14:textId="77777777" w:rsidR="00955A27" w:rsidRPr="001667DB" w:rsidRDefault="00955A27" w:rsidP="00904E6C">
            <w:pPr>
              <w:pStyle w:val="StylIwony"/>
              <w:numPr>
                <w:ilvl w:val="0"/>
                <w:numId w:val="145"/>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beton asfaltowy do warstwy ścieralnej</w:t>
            </w:r>
          </w:p>
        </w:tc>
      </w:tr>
      <w:tr w:rsidR="00955A27" w:rsidRPr="00326BBF" w14:paraId="3B9E470B" w14:textId="77777777">
        <w:tc>
          <w:tcPr>
            <w:tcW w:w="737" w:type="dxa"/>
          </w:tcPr>
          <w:p w14:paraId="0D2C3E60"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PMB</w:t>
            </w:r>
          </w:p>
        </w:tc>
        <w:tc>
          <w:tcPr>
            <w:tcW w:w="8131" w:type="dxa"/>
          </w:tcPr>
          <w:p w14:paraId="75619501"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lang w:val="en-US"/>
              </w:rPr>
            </w:pPr>
            <w:r w:rsidRPr="001667DB">
              <w:rPr>
                <w:rFonts w:ascii="Times New Roman" w:hAnsi="Times New Roman"/>
                <w:color w:val="000000" w:themeColor="text1"/>
                <w:sz w:val="22"/>
                <w:szCs w:val="22"/>
                <w:lang w:val="en-US"/>
              </w:rPr>
              <w:t>polimeroasfalt (ang. polymer modified bitumen),</w:t>
            </w:r>
          </w:p>
        </w:tc>
      </w:tr>
      <w:tr w:rsidR="00955A27" w:rsidRPr="001667DB" w14:paraId="599AB803" w14:textId="77777777">
        <w:tc>
          <w:tcPr>
            <w:tcW w:w="737" w:type="dxa"/>
          </w:tcPr>
          <w:p w14:paraId="42183841"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MG</w:t>
            </w:r>
          </w:p>
        </w:tc>
        <w:tc>
          <w:tcPr>
            <w:tcW w:w="8131" w:type="dxa"/>
          </w:tcPr>
          <w:p w14:paraId="3632E57D"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asfalt wielorodzajowy (ang. multigrade),</w:t>
            </w:r>
          </w:p>
        </w:tc>
      </w:tr>
      <w:tr w:rsidR="00955A27" w:rsidRPr="001667DB" w14:paraId="75319452" w14:textId="77777777">
        <w:tc>
          <w:tcPr>
            <w:tcW w:w="737" w:type="dxa"/>
          </w:tcPr>
          <w:p w14:paraId="1F922F7F"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D</w:t>
            </w:r>
          </w:p>
        </w:tc>
        <w:tc>
          <w:tcPr>
            <w:tcW w:w="8131" w:type="dxa"/>
          </w:tcPr>
          <w:p w14:paraId="4634DDE6"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górny wymiar sita (przy określaniu wielkości ziaren kruszywa),</w:t>
            </w:r>
          </w:p>
        </w:tc>
      </w:tr>
      <w:tr w:rsidR="00955A27" w:rsidRPr="001667DB" w14:paraId="52E0A705" w14:textId="77777777">
        <w:tc>
          <w:tcPr>
            <w:tcW w:w="737" w:type="dxa"/>
          </w:tcPr>
          <w:p w14:paraId="0A1410D8"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d</w:t>
            </w:r>
          </w:p>
        </w:tc>
        <w:tc>
          <w:tcPr>
            <w:tcW w:w="8131" w:type="dxa"/>
          </w:tcPr>
          <w:p w14:paraId="3ED6D61B"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dolny wymiar sita (przy określaniu wielkości ziaren kruszywa),</w:t>
            </w:r>
          </w:p>
        </w:tc>
      </w:tr>
      <w:tr w:rsidR="00955A27" w:rsidRPr="001667DB" w14:paraId="32A636F8" w14:textId="77777777">
        <w:tc>
          <w:tcPr>
            <w:tcW w:w="737" w:type="dxa"/>
          </w:tcPr>
          <w:p w14:paraId="0F744329"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C</w:t>
            </w:r>
          </w:p>
        </w:tc>
        <w:tc>
          <w:tcPr>
            <w:tcW w:w="8131" w:type="dxa"/>
          </w:tcPr>
          <w:p w14:paraId="7A413549"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kationowa emulsja asfaltowa,</w:t>
            </w:r>
          </w:p>
        </w:tc>
      </w:tr>
      <w:tr w:rsidR="00955A27" w:rsidRPr="001667DB" w14:paraId="26E4144D" w14:textId="77777777">
        <w:tc>
          <w:tcPr>
            <w:tcW w:w="737" w:type="dxa"/>
          </w:tcPr>
          <w:p w14:paraId="2D978EE7"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NPD</w:t>
            </w:r>
          </w:p>
        </w:tc>
        <w:tc>
          <w:tcPr>
            <w:tcW w:w="8131" w:type="dxa"/>
          </w:tcPr>
          <w:p w14:paraId="2A520059"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właściwość użytkowa nie określana (ang. No Performance Determined; producent może jej nie określać),</w:t>
            </w:r>
          </w:p>
        </w:tc>
      </w:tr>
      <w:tr w:rsidR="00955A27" w:rsidRPr="001667DB" w14:paraId="57A40107" w14:textId="77777777">
        <w:tc>
          <w:tcPr>
            <w:tcW w:w="737" w:type="dxa"/>
          </w:tcPr>
          <w:p w14:paraId="16EB89C5"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TBR</w:t>
            </w:r>
          </w:p>
        </w:tc>
        <w:tc>
          <w:tcPr>
            <w:tcW w:w="8131" w:type="dxa"/>
          </w:tcPr>
          <w:p w14:paraId="6510FC18"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do zadeklarowania (ang. To Be Reported; producent może dostarczyć odpowiednie informacje, jednak nie jest do tego zobowiązany),</w:t>
            </w:r>
          </w:p>
        </w:tc>
      </w:tr>
      <w:tr w:rsidR="00955A27" w:rsidRPr="001667DB" w14:paraId="1BF44316" w14:textId="77777777">
        <w:tc>
          <w:tcPr>
            <w:tcW w:w="737" w:type="dxa"/>
          </w:tcPr>
          <w:p w14:paraId="49C8615A"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IRI</w:t>
            </w:r>
          </w:p>
        </w:tc>
        <w:tc>
          <w:tcPr>
            <w:tcW w:w="8131" w:type="dxa"/>
          </w:tcPr>
          <w:p w14:paraId="274BA48B"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międzynarodowy wskaźnik równości (ang. International Roughness Index),</w:t>
            </w:r>
          </w:p>
        </w:tc>
      </w:tr>
      <w:tr w:rsidR="00955A27" w:rsidRPr="001667DB" w14:paraId="0BA2D950" w14:textId="77777777">
        <w:tc>
          <w:tcPr>
            <w:tcW w:w="737" w:type="dxa"/>
          </w:tcPr>
          <w:p w14:paraId="04BE6DA0"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MOP</w:t>
            </w:r>
          </w:p>
        </w:tc>
        <w:tc>
          <w:tcPr>
            <w:tcW w:w="8131" w:type="dxa"/>
          </w:tcPr>
          <w:p w14:paraId="1880434E"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miejsce obsługi podróżnych. </w:t>
            </w:r>
          </w:p>
        </w:tc>
      </w:tr>
      <w:tr w:rsidR="00955A27" w:rsidRPr="001667DB" w14:paraId="2A10E431" w14:textId="77777777">
        <w:tc>
          <w:tcPr>
            <w:tcW w:w="737" w:type="dxa"/>
          </w:tcPr>
          <w:p w14:paraId="01777A9A" w14:textId="77777777" w:rsidR="00955A27" w:rsidRPr="001667DB" w:rsidRDefault="00955A27" w:rsidP="002824F8">
            <w:pPr>
              <w:pStyle w:val="StylIwony"/>
              <w:spacing w:before="0" w:line="360" w:lineRule="auto"/>
              <w:rPr>
                <w:rFonts w:ascii="Times New Roman" w:hAnsi="Times New Roman"/>
                <w:color w:val="000000" w:themeColor="text1"/>
                <w:sz w:val="22"/>
                <w:szCs w:val="22"/>
              </w:rPr>
            </w:pPr>
            <w:r w:rsidRPr="001667DB">
              <w:rPr>
                <w:rFonts w:ascii="Times New Roman" w:hAnsi="Times New Roman"/>
                <w:color w:val="000000" w:themeColor="text1"/>
                <w:sz w:val="22"/>
                <w:szCs w:val="22"/>
              </w:rPr>
              <w:t>ZKP</w:t>
            </w:r>
          </w:p>
        </w:tc>
        <w:tc>
          <w:tcPr>
            <w:tcW w:w="8131" w:type="dxa"/>
          </w:tcPr>
          <w:p w14:paraId="5FA723AF" w14:textId="77777777" w:rsidR="00955A27" w:rsidRPr="001667DB" w:rsidRDefault="00955A27" w:rsidP="00904E6C">
            <w:pPr>
              <w:pStyle w:val="StylIwony"/>
              <w:numPr>
                <w:ilvl w:val="0"/>
                <w:numId w:val="121"/>
              </w:numPr>
              <w:spacing w:before="0" w:line="360" w:lineRule="auto"/>
              <w:ind w:left="318" w:hanging="219"/>
              <w:textAlignment w:val="baseline"/>
              <w:rPr>
                <w:rFonts w:ascii="Times New Roman" w:hAnsi="Times New Roman"/>
                <w:color w:val="000000" w:themeColor="text1"/>
                <w:sz w:val="22"/>
                <w:szCs w:val="22"/>
              </w:rPr>
            </w:pPr>
            <w:r w:rsidRPr="001667DB">
              <w:rPr>
                <w:rFonts w:ascii="Times New Roman" w:hAnsi="Times New Roman"/>
                <w:color w:val="000000" w:themeColor="text1"/>
                <w:sz w:val="22"/>
                <w:szCs w:val="22"/>
              </w:rPr>
              <w:t>zakładowa kontrola produkcji</w:t>
            </w:r>
          </w:p>
        </w:tc>
      </w:tr>
    </w:tbl>
    <w:p w14:paraId="650EF527" w14:textId="77777777" w:rsidR="00955A27" w:rsidRPr="001667DB" w:rsidRDefault="00955A27" w:rsidP="002824F8">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w:t>
      </w:r>
      <w:r w:rsidRPr="001667DB">
        <w:rPr>
          <w:rFonts w:ascii="Times New Roman" w:hAnsi="Times New Roman" w:cs="Times New Roman"/>
          <w:color w:val="000000" w:themeColor="text1"/>
        </w:rPr>
        <w:t>.</w:t>
      </w:r>
      <w:r w:rsidRPr="001667DB">
        <w:rPr>
          <w:rFonts w:ascii="Times New Roman" w:hAnsi="Times New Roman" w:cs="Times New Roman"/>
          <w:b/>
          <w:color w:val="000000" w:themeColor="text1"/>
        </w:rPr>
        <w:t xml:space="preserve">16. </w:t>
      </w:r>
      <w:r w:rsidRPr="001667DB">
        <w:rPr>
          <w:rFonts w:ascii="Times New Roman" w:hAnsi="Times New Roman" w:cs="Times New Roman"/>
          <w:color w:val="000000" w:themeColor="text1"/>
        </w:rPr>
        <w:t>Pozostałe określenia podstawowe są zgodne z obowiązującymi, odpowiednimi polskimi normami i z definicjami podanymi w ST D-00.00.00 „Wymagania ogólne”[1] pkt 1.4.</w:t>
      </w:r>
    </w:p>
    <w:p w14:paraId="09DFD2B5"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1.5. Ogólne wymagania dotyczące robót</w:t>
      </w:r>
    </w:p>
    <w:p w14:paraId="6AA30EB1"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[1] pkt 1.5.</w:t>
      </w:r>
    </w:p>
    <w:p w14:paraId="0C778B33" w14:textId="77777777" w:rsidR="00955A27" w:rsidRPr="00326BBF" w:rsidRDefault="00955A27" w:rsidP="002824F8">
      <w:pPr>
        <w:pStyle w:val="Nagwek1"/>
        <w:spacing w:line="360" w:lineRule="auto"/>
        <w:jc w:val="both"/>
        <w:rPr>
          <w:color w:val="000000" w:themeColor="text1"/>
          <w:sz w:val="22"/>
          <w:szCs w:val="22"/>
          <w:lang w:val="pl-PL"/>
        </w:rPr>
      </w:pPr>
      <w:bookmarkStart w:id="455" w:name="_Toc462133767"/>
      <w:r w:rsidRPr="00326BBF">
        <w:rPr>
          <w:color w:val="000000" w:themeColor="text1"/>
          <w:sz w:val="22"/>
          <w:szCs w:val="22"/>
          <w:lang w:val="pl-PL"/>
        </w:rPr>
        <w:t>2. Materiały</w:t>
      </w:r>
      <w:bookmarkEnd w:id="455"/>
    </w:p>
    <w:p w14:paraId="6123D068"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2.1. Ogólne wymagania dotyczące materiałów</w:t>
      </w:r>
    </w:p>
    <w:p w14:paraId="35FF1E6B"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[1] pkt 2.</w:t>
      </w:r>
    </w:p>
    <w:p w14:paraId="173EB349"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powinien przedstawić Inżynierowi  dokumenty potwierdzające przydatność wszystkich materiałów stosowanych do wykonania warstw asfaltowych. W przypadku zmiany rodzaju i właściwości materiałów należy ponownie wykazać ich przydatność do przewidywanego celu.</w:t>
      </w:r>
    </w:p>
    <w:p w14:paraId="5B70A4C6" w14:textId="77777777" w:rsidR="00955A27" w:rsidRPr="001667DB" w:rsidRDefault="00955A27" w:rsidP="002824F8">
      <w:pPr>
        <w:pStyle w:val="StylIwony"/>
        <w:spacing w:before="0" w:line="360" w:lineRule="auto"/>
        <w:ind w:firstLine="709"/>
        <w:rPr>
          <w:rFonts w:ascii="Times New Roman" w:hAnsi="Times New Roman"/>
          <w:color w:val="000000" w:themeColor="text1"/>
          <w:sz w:val="22"/>
          <w:szCs w:val="22"/>
        </w:rPr>
      </w:pPr>
      <w:r w:rsidRPr="001667DB">
        <w:rPr>
          <w:rFonts w:ascii="Times New Roman" w:hAnsi="Times New Roman"/>
          <w:color w:val="000000" w:themeColor="text1"/>
          <w:sz w:val="22"/>
          <w:szCs w:val="22"/>
        </w:rPr>
        <w:lastRenderedPageBreak/>
        <w:t>Wbudowywana mieszanka mineralno-asfaltowa może pochodzić z kilku wytwórni pod warunkiem, że jest produkowana z tych samych materiałów (o ustalonej przydatności ) i w oparciu o takie samo badanie typu.</w:t>
      </w:r>
    </w:p>
    <w:p w14:paraId="0B6E350C"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należy stosować kruszywa ze skał magmowych, metamorficznych lub osadowych za wyjątkiem kruszywa ze skał dolomitowych i wapiennych.</w:t>
      </w:r>
    </w:p>
    <w:p w14:paraId="1DF5BD2B"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nie należy stosować kruszyw sztucznych, organicznych oraz kruszonych żwirów i piasków.</w:t>
      </w:r>
    </w:p>
    <w:p w14:paraId="7766C9BF"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t>2.2. Lepiszcza asfaltowe</w:t>
      </w:r>
    </w:p>
    <w:p w14:paraId="3D56AE41"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Należy stosować asfalty drogowe wg PN-EN 12591 [24] lub polimeroasfalty wg PN-EN 14023 [64] [64a] oraz asfalty drogowe wielorodzajowe wg PN-EN 13924-2 [63] [63a]. </w:t>
      </w:r>
    </w:p>
    <w:p w14:paraId="4167D5D8"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Rodzaje stosowanych lepiszcz asfaltowych podano w tablicy 2. Oprócz lepiszcz wymienionych w tablicy 2 można stosować inne lepiszcza nienormowe według aprobat technicznych.</w:t>
      </w:r>
    </w:p>
    <w:p w14:paraId="47839E54" w14:textId="77777777" w:rsidR="00955A27" w:rsidRPr="001667DB" w:rsidRDefault="00955A27" w:rsidP="002824F8">
      <w:pPr>
        <w:spacing w:before="6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 Zalecane  lepiszcza asfaltowe do warstwy ścieralnej z betonu asfaltowego</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344"/>
        <w:gridCol w:w="2359"/>
      </w:tblGrid>
      <w:tr w:rsidR="00955A27" w:rsidRPr="001667DB" w14:paraId="52FFC525" w14:textId="77777777" w:rsidTr="001B4B8F">
        <w:tc>
          <w:tcPr>
            <w:tcW w:w="1548" w:type="dxa"/>
            <w:vMerge w:val="restart"/>
          </w:tcPr>
          <w:p w14:paraId="1F5DD4B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Kategoria</w:t>
            </w:r>
          </w:p>
          <w:p w14:paraId="6DB5F59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ruchu</w:t>
            </w:r>
          </w:p>
        </w:tc>
        <w:tc>
          <w:tcPr>
            <w:tcW w:w="2457" w:type="dxa"/>
            <w:vMerge w:val="restart"/>
          </w:tcPr>
          <w:p w14:paraId="789AEFB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Mieszanka</w:t>
            </w:r>
          </w:p>
          <w:p w14:paraId="6AEB9E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ACS</w:t>
            </w:r>
          </w:p>
        </w:tc>
        <w:tc>
          <w:tcPr>
            <w:tcW w:w="4703" w:type="dxa"/>
            <w:gridSpan w:val="2"/>
          </w:tcPr>
          <w:p w14:paraId="6C3F49D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Gatunek lepiszcza   </w:t>
            </w:r>
          </w:p>
        </w:tc>
      </w:tr>
      <w:tr w:rsidR="00955A27" w:rsidRPr="001667DB" w14:paraId="56627861" w14:textId="77777777" w:rsidTr="001B4B8F">
        <w:tc>
          <w:tcPr>
            <w:tcW w:w="1548" w:type="dxa"/>
            <w:vMerge/>
          </w:tcPr>
          <w:p w14:paraId="393AFDC6"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457" w:type="dxa"/>
            <w:vMerge/>
          </w:tcPr>
          <w:p w14:paraId="27266CE6"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344" w:type="dxa"/>
          </w:tcPr>
          <w:p w14:paraId="082C707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asfalt drogowy</w:t>
            </w:r>
          </w:p>
        </w:tc>
        <w:tc>
          <w:tcPr>
            <w:tcW w:w="2359" w:type="dxa"/>
          </w:tcPr>
          <w:p w14:paraId="2BE39F4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polimeroasfalt</w:t>
            </w:r>
          </w:p>
        </w:tc>
      </w:tr>
      <w:tr w:rsidR="00955A27" w:rsidRPr="001667DB" w14:paraId="2A80078F" w14:textId="77777777">
        <w:tc>
          <w:tcPr>
            <w:tcW w:w="1548" w:type="dxa"/>
          </w:tcPr>
          <w:p w14:paraId="1AB0F84F" w14:textId="77777777" w:rsidR="00955A27" w:rsidRPr="002824F8" w:rsidRDefault="00955A27" w:rsidP="00955A27">
            <w:pPr>
              <w:spacing w:before="180" w:after="120" w:line="360" w:lineRule="auto"/>
              <w:jc w:val="center"/>
              <w:rPr>
                <w:rFonts w:ascii="Times New Roman" w:hAnsi="Times New Roman" w:cs="Times New Roman"/>
                <w:b/>
                <w:color w:val="000000" w:themeColor="text1"/>
              </w:rPr>
            </w:pPr>
            <w:r w:rsidRPr="002824F8">
              <w:rPr>
                <w:rFonts w:ascii="Times New Roman" w:hAnsi="Times New Roman" w:cs="Times New Roman"/>
                <w:b/>
                <w:color w:val="000000" w:themeColor="text1"/>
              </w:rPr>
              <w:t>KR1 – KR2</w:t>
            </w:r>
          </w:p>
        </w:tc>
        <w:tc>
          <w:tcPr>
            <w:tcW w:w="2457" w:type="dxa"/>
          </w:tcPr>
          <w:p w14:paraId="1232A4BA"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AC5S, </w:t>
            </w:r>
            <w:r w:rsidRPr="002824F8">
              <w:rPr>
                <w:rFonts w:ascii="Times New Roman" w:hAnsi="Times New Roman" w:cs="Times New Roman"/>
                <w:b/>
                <w:color w:val="000000" w:themeColor="text1"/>
              </w:rPr>
              <w:t>AC8S</w:t>
            </w:r>
            <w:r w:rsidRPr="001667DB">
              <w:rPr>
                <w:rFonts w:ascii="Times New Roman" w:hAnsi="Times New Roman" w:cs="Times New Roman"/>
                <w:color w:val="000000" w:themeColor="text1"/>
              </w:rPr>
              <w:t>, AC11S</w:t>
            </w:r>
          </w:p>
        </w:tc>
        <w:tc>
          <w:tcPr>
            <w:tcW w:w="2344" w:type="dxa"/>
          </w:tcPr>
          <w:p w14:paraId="3BE6259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 70/100</w:t>
            </w:r>
          </w:p>
          <w:p w14:paraId="073E2B7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MG 50/70-54/64</w:t>
            </w:r>
          </w:p>
        </w:tc>
        <w:tc>
          <w:tcPr>
            <w:tcW w:w="2359" w:type="dxa"/>
          </w:tcPr>
          <w:p w14:paraId="7717355F"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p>
          <w:p w14:paraId="50676AFB"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vertAlign w:val="superscript"/>
              </w:rPr>
              <w:t>-</w:t>
            </w:r>
          </w:p>
        </w:tc>
      </w:tr>
    </w:tbl>
    <w:p w14:paraId="0CAED3C4" w14:textId="77777777" w:rsidR="00955A27" w:rsidRPr="001667DB" w:rsidRDefault="00955A27" w:rsidP="00955A27">
      <w:pPr>
        <w:spacing w:after="120" w:line="360" w:lineRule="auto"/>
        <w:ind w:left="993" w:hanging="993"/>
        <w:rPr>
          <w:rFonts w:ascii="Times New Roman" w:hAnsi="Times New Roman" w:cs="Times New Roman"/>
          <w:color w:val="000000" w:themeColor="text1"/>
        </w:rPr>
      </w:pPr>
    </w:p>
    <w:p w14:paraId="29FEBF60"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Asfalty drogowe powinny spełniać wymagania podane w tablicy 3.  Polimeroasfalty  powinny spełniać wymagania podane  w tablicy 4. Asfalt wielorodzajowy powinien spełniać wymagania podane w tablicy 5.</w:t>
      </w:r>
    </w:p>
    <w:p w14:paraId="2D00900E" w14:textId="77777777" w:rsidR="00955A27" w:rsidRPr="001667DB" w:rsidRDefault="00955A27" w:rsidP="002824F8">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3. Wymagania wobec asfaltów drogowych wg PN-EN 12591 [24]</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505"/>
        <w:gridCol w:w="1163"/>
        <w:gridCol w:w="2127"/>
        <w:gridCol w:w="1701"/>
      </w:tblGrid>
      <w:tr w:rsidR="00955A27" w:rsidRPr="001667DB" w14:paraId="1EFA937E" w14:textId="77777777" w:rsidTr="001B4B8F">
        <w:tc>
          <w:tcPr>
            <w:tcW w:w="543" w:type="dxa"/>
            <w:vMerge w:val="restart"/>
            <w:vAlign w:val="center"/>
          </w:tcPr>
          <w:p w14:paraId="09A33C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505" w:type="dxa"/>
            <w:vMerge w:val="restart"/>
            <w:vAlign w:val="center"/>
          </w:tcPr>
          <w:p w14:paraId="56489B6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1163" w:type="dxa"/>
            <w:vMerge w:val="restart"/>
            <w:vAlign w:val="center"/>
          </w:tcPr>
          <w:p w14:paraId="3A7ED7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2127" w:type="dxa"/>
            <w:vMerge w:val="restart"/>
            <w:vAlign w:val="center"/>
          </w:tcPr>
          <w:p w14:paraId="2F297F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661F95F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1701" w:type="dxa"/>
          </w:tcPr>
          <w:p w14:paraId="64C970D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asfaltu</w:t>
            </w:r>
          </w:p>
        </w:tc>
      </w:tr>
      <w:tr w:rsidR="00955A27" w:rsidRPr="001667DB" w14:paraId="745D391D" w14:textId="77777777" w:rsidTr="001B4B8F">
        <w:tc>
          <w:tcPr>
            <w:tcW w:w="543" w:type="dxa"/>
            <w:vMerge/>
          </w:tcPr>
          <w:p w14:paraId="0DF902C5"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505" w:type="dxa"/>
            <w:vMerge/>
          </w:tcPr>
          <w:p w14:paraId="24EC09AC"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63" w:type="dxa"/>
            <w:vMerge/>
          </w:tcPr>
          <w:p w14:paraId="0E3BD79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127" w:type="dxa"/>
            <w:vMerge/>
          </w:tcPr>
          <w:p w14:paraId="28CB6A7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701" w:type="dxa"/>
          </w:tcPr>
          <w:p w14:paraId="1EC130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r>
      <w:tr w:rsidR="00955A27" w:rsidRPr="001667DB" w14:paraId="378862F7" w14:textId="77777777" w:rsidTr="001B4B8F">
        <w:tc>
          <w:tcPr>
            <w:tcW w:w="9039" w:type="dxa"/>
            <w:gridSpan w:val="5"/>
          </w:tcPr>
          <w:p w14:paraId="3764F7E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OBLIGATORYJNE</w:t>
            </w:r>
          </w:p>
        </w:tc>
      </w:tr>
      <w:tr w:rsidR="00955A27" w:rsidRPr="001667DB" w14:paraId="65261049" w14:textId="77777777" w:rsidTr="001B4B8F">
        <w:tc>
          <w:tcPr>
            <w:tcW w:w="543" w:type="dxa"/>
          </w:tcPr>
          <w:p w14:paraId="0649811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05" w:type="dxa"/>
          </w:tcPr>
          <w:p w14:paraId="4CE9FD49"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163" w:type="dxa"/>
          </w:tcPr>
          <w:p w14:paraId="47A6C09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2127" w:type="dxa"/>
          </w:tcPr>
          <w:p w14:paraId="63386B34"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701" w:type="dxa"/>
          </w:tcPr>
          <w:p w14:paraId="067582C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r>
      <w:tr w:rsidR="00955A27" w:rsidRPr="001667DB" w14:paraId="5ABE53C0" w14:textId="77777777" w:rsidTr="001B4B8F">
        <w:tc>
          <w:tcPr>
            <w:tcW w:w="543" w:type="dxa"/>
          </w:tcPr>
          <w:p w14:paraId="004BA92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05" w:type="dxa"/>
          </w:tcPr>
          <w:p w14:paraId="71A3D39D"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1163" w:type="dxa"/>
          </w:tcPr>
          <w:p w14:paraId="34FA279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27" w:type="dxa"/>
          </w:tcPr>
          <w:p w14:paraId="7BCCE5B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701" w:type="dxa"/>
          </w:tcPr>
          <w:p w14:paraId="7E95FAA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46-54</w:t>
            </w:r>
          </w:p>
        </w:tc>
      </w:tr>
      <w:tr w:rsidR="00955A27" w:rsidRPr="001667DB" w14:paraId="5F7052BE" w14:textId="77777777" w:rsidTr="001B4B8F">
        <w:tc>
          <w:tcPr>
            <w:tcW w:w="543" w:type="dxa"/>
          </w:tcPr>
          <w:p w14:paraId="529FE0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05" w:type="dxa"/>
          </w:tcPr>
          <w:p w14:paraId="5A7AB38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zapłonu, </w:t>
            </w:r>
          </w:p>
          <w:p w14:paraId="3045E66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nie mniej niż</w:t>
            </w:r>
          </w:p>
        </w:tc>
        <w:tc>
          <w:tcPr>
            <w:tcW w:w="1163" w:type="dxa"/>
          </w:tcPr>
          <w:p w14:paraId="04A41B1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°C</w:t>
            </w:r>
          </w:p>
        </w:tc>
        <w:tc>
          <w:tcPr>
            <w:tcW w:w="2127" w:type="dxa"/>
          </w:tcPr>
          <w:p w14:paraId="26B0F563"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22592 [67]</w:t>
            </w:r>
          </w:p>
        </w:tc>
        <w:tc>
          <w:tcPr>
            <w:tcW w:w="1701" w:type="dxa"/>
          </w:tcPr>
          <w:p w14:paraId="6DC2A63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230</w:t>
            </w:r>
          </w:p>
        </w:tc>
      </w:tr>
      <w:tr w:rsidR="00955A27" w:rsidRPr="001667DB" w14:paraId="6CB63942" w14:textId="77777777" w:rsidTr="001B4B8F">
        <w:tc>
          <w:tcPr>
            <w:tcW w:w="543" w:type="dxa"/>
          </w:tcPr>
          <w:p w14:paraId="7323221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05" w:type="dxa"/>
          </w:tcPr>
          <w:p w14:paraId="25E052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składników rozpuszczalnych, </w:t>
            </w:r>
          </w:p>
          <w:p w14:paraId="29D953B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mniej niż</w:t>
            </w:r>
          </w:p>
        </w:tc>
        <w:tc>
          <w:tcPr>
            <w:tcW w:w="1163" w:type="dxa"/>
          </w:tcPr>
          <w:p w14:paraId="116E621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2B6ADF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tc>
        <w:tc>
          <w:tcPr>
            <w:tcW w:w="2127" w:type="dxa"/>
          </w:tcPr>
          <w:p w14:paraId="453C450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12592 [25]</w:t>
            </w:r>
          </w:p>
        </w:tc>
        <w:tc>
          <w:tcPr>
            <w:tcW w:w="1701" w:type="dxa"/>
          </w:tcPr>
          <w:p w14:paraId="3431F4A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B8307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99</w:t>
            </w:r>
          </w:p>
        </w:tc>
      </w:tr>
      <w:tr w:rsidR="00955A27" w:rsidRPr="001667DB" w14:paraId="3308C8F9" w14:textId="77777777" w:rsidTr="001B4B8F">
        <w:tc>
          <w:tcPr>
            <w:tcW w:w="543" w:type="dxa"/>
          </w:tcPr>
          <w:p w14:paraId="25BF8DF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505" w:type="dxa"/>
          </w:tcPr>
          <w:p w14:paraId="40B51E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Zmiana masy po starzeniu (ubytek lub przyrost), </w:t>
            </w:r>
          </w:p>
          <w:p w14:paraId="7F6D9C4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więcej niż</w:t>
            </w:r>
          </w:p>
        </w:tc>
        <w:tc>
          <w:tcPr>
            <w:tcW w:w="1163" w:type="dxa"/>
          </w:tcPr>
          <w:p w14:paraId="2B1094F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62FFE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tc>
        <w:tc>
          <w:tcPr>
            <w:tcW w:w="2127" w:type="dxa"/>
          </w:tcPr>
          <w:p w14:paraId="6A370FD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 [30]</w:t>
            </w:r>
          </w:p>
        </w:tc>
        <w:tc>
          <w:tcPr>
            <w:tcW w:w="1701" w:type="dxa"/>
          </w:tcPr>
          <w:p w14:paraId="5D68735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B1EAE1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w:t>
            </w:r>
          </w:p>
        </w:tc>
      </w:tr>
      <w:tr w:rsidR="00955A27" w:rsidRPr="001667DB" w14:paraId="60703183" w14:textId="77777777" w:rsidTr="001B4B8F">
        <w:tc>
          <w:tcPr>
            <w:tcW w:w="543" w:type="dxa"/>
          </w:tcPr>
          <w:p w14:paraId="7312C98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505" w:type="dxa"/>
          </w:tcPr>
          <w:p w14:paraId="32CA2E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 po starzeniu, nie mniej niż</w:t>
            </w:r>
          </w:p>
        </w:tc>
        <w:tc>
          <w:tcPr>
            <w:tcW w:w="1163" w:type="dxa"/>
          </w:tcPr>
          <w:p w14:paraId="1163616B"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27" w:type="dxa"/>
          </w:tcPr>
          <w:p w14:paraId="2C9CEF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701" w:type="dxa"/>
          </w:tcPr>
          <w:p w14:paraId="1B928E7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r>
      <w:tr w:rsidR="00955A27" w:rsidRPr="001667DB" w14:paraId="0D1A7EB2" w14:textId="77777777" w:rsidTr="001B4B8F">
        <w:tc>
          <w:tcPr>
            <w:tcW w:w="543" w:type="dxa"/>
          </w:tcPr>
          <w:p w14:paraId="4B2856F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505" w:type="dxa"/>
          </w:tcPr>
          <w:p w14:paraId="659D1C8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po starzeniu, nie mniej niż</w:t>
            </w:r>
          </w:p>
        </w:tc>
        <w:tc>
          <w:tcPr>
            <w:tcW w:w="1163" w:type="dxa"/>
          </w:tcPr>
          <w:p w14:paraId="575CE0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27" w:type="dxa"/>
          </w:tcPr>
          <w:p w14:paraId="210B5D1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701" w:type="dxa"/>
          </w:tcPr>
          <w:p w14:paraId="4BFEE81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48</w:t>
            </w:r>
          </w:p>
        </w:tc>
      </w:tr>
      <w:tr w:rsidR="00955A27" w:rsidRPr="001667DB" w14:paraId="658AB4CC" w14:textId="77777777" w:rsidTr="001B4B8F">
        <w:tc>
          <w:tcPr>
            <w:tcW w:w="543" w:type="dxa"/>
          </w:tcPr>
          <w:p w14:paraId="4C7B18F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505" w:type="dxa"/>
          </w:tcPr>
          <w:p w14:paraId="29791B8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 mięknienia po starzeniu, nie więcej niż</w:t>
            </w:r>
          </w:p>
        </w:tc>
        <w:tc>
          <w:tcPr>
            <w:tcW w:w="1163" w:type="dxa"/>
          </w:tcPr>
          <w:p w14:paraId="2621466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27" w:type="dxa"/>
          </w:tcPr>
          <w:p w14:paraId="6595F69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701" w:type="dxa"/>
          </w:tcPr>
          <w:p w14:paraId="4522DD25"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r w:rsidR="00955A27" w:rsidRPr="001667DB" w14:paraId="5C0887E4" w14:textId="77777777" w:rsidTr="001B4B8F">
        <w:tc>
          <w:tcPr>
            <w:tcW w:w="9039" w:type="dxa"/>
            <w:gridSpan w:val="5"/>
          </w:tcPr>
          <w:p w14:paraId="1546E69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SPECJALNE   KRAJOWE</w:t>
            </w:r>
          </w:p>
        </w:tc>
      </w:tr>
      <w:tr w:rsidR="00955A27" w:rsidRPr="001667DB" w14:paraId="63E9381D" w14:textId="77777777" w:rsidTr="001B4B8F">
        <w:tc>
          <w:tcPr>
            <w:tcW w:w="543" w:type="dxa"/>
          </w:tcPr>
          <w:p w14:paraId="4E5224A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505" w:type="dxa"/>
          </w:tcPr>
          <w:p w14:paraId="4054C09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 Fraassa, nie więcej niż</w:t>
            </w:r>
          </w:p>
        </w:tc>
        <w:tc>
          <w:tcPr>
            <w:tcW w:w="1163" w:type="dxa"/>
          </w:tcPr>
          <w:p w14:paraId="0E6CEA8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127" w:type="dxa"/>
          </w:tcPr>
          <w:p w14:paraId="036DDAB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1701" w:type="dxa"/>
          </w:tcPr>
          <w:p w14:paraId="286C75A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r>
      <w:tr w:rsidR="00955A27" w:rsidRPr="001667DB" w14:paraId="4F0972CA" w14:textId="77777777" w:rsidTr="001B4B8F">
        <w:tc>
          <w:tcPr>
            <w:tcW w:w="543" w:type="dxa"/>
          </w:tcPr>
          <w:p w14:paraId="051AAB3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505" w:type="dxa"/>
          </w:tcPr>
          <w:p w14:paraId="6B265D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Indeks penetracji</w:t>
            </w:r>
          </w:p>
        </w:tc>
        <w:tc>
          <w:tcPr>
            <w:tcW w:w="1163" w:type="dxa"/>
          </w:tcPr>
          <w:p w14:paraId="39ED3E5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27" w:type="dxa"/>
          </w:tcPr>
          <w:p w14:paraId="5D7E285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12591 [24]</w:t>
            </w:r>
          </w:p>
        </w:tc>
        <w:tc>
          <w:tcPr>
            <w:tcW w:w="1701" w:type="dxa"/>
          </w:tcPr>
          <w:p w14:paraId="4BDF429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r w:rsidR="00955A27" w:rsidRPr="001667DB" w14:paraId="5AB04DC4" w14:textId="77777777" w:rsidTr="001B4B8F">
        <w:tc>
          <w:tcPr>
            <w:tcW w:w="543" w:type="dxa"/>
          </w:tcPr>
          <w:p w14:paraId="38859F7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505" w:type="dxa"/>
          </w:tcPr>
          <w:p w14:paraId="7943DAF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dynamiczna w 60°C</w:t>
            </w:r>
          </w:p>
        </w:tc>
        <w:tc>
          <w:tcPr>
            <w:tcW w:w="1163" w:type="dxa"/>
          </w:tcPr>
          <w:p w14:paraId="3B34392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w:t>
            </w:r>
          </w:p>
        </w:tc>
        <w:tc>
          <w:tcPr>
            <w:tcW w:w="2127" w:type="dxa"/>
          </w:tcPr>
          <w:p w14:paraId="5D817E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12596 [28]</w:t>
            </w:r>
          </w:p>
        </w:tc>
        <w:tc>
          <w:tcPr>
            <w:tcW w:w="1701" w:type="dxa"/>
          </w:tcPr>
          <w:p w14:paraId="4BCEE19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r w:rsidR="00955A27" w:rsidRPr="001667DB" w14:paraId="48CCB66A" w14:textId="77777777" w:rsidTr="001B4B8F">
        <w:tc>
          <w:tcPr>
            <w:tcW w:w="543" w:type="dxa"/>
          </w:tcPr>
          <w:p w14:paraId="38A44D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505" w:type="dxa"/>
          </w:tcPr>
          <w:p w14:paraId="122E52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kinematyczna w 135°C</w:t>
            </w:r>
          </w:p>
        </w:tc>
        <w:tc>
          <w:tcPr>
            <w:tcW w:w="1163" w:type="dxa"/>
          </w:tcPr>
          <w:p w14:paraId="1632490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/s</w:t>
            </w:r>
          </w:p>
        </w:tc>
        <w:tc>
          <w:tcPr>
            <w:tcW w:w="2127" w:type="dxa"/>
          </w:tcPr>
          <w:p w14:paraId="2228E70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12595 [27]</w:t>
            </w:r>
          </w:p>
        </w:tc>
        <w:tc>
          <w:tcPr>
            <w:tcW w:w="1701" w:type="dxa"/>
          </w:tcPr>
          <w:p w14:paraId="16334A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r>
    </w:tbl>
    <w:p w14:paraId="707ED313" w14:textId="77777777" w:rsidR="00955A27" w:rsidRPr="001667DB" w:rsidRDefault="00955A27" w:rsidP="00955A27">
      <w:pPr>
        <w:tabs>
          <w:tab w:val="left" w:pos="993"/>
        </w:tabs>
        <w:spacing w:before="240" w:after="120" w:line="360" w:lineRule="auto"/>
        <w:ind w:left="992" w:hanging="992"/>
        <w:rPr>
          <w:rFonts w:ascii="Times New Roman" w:hAnsi="Times New Roman" w:cs="Times New Roman"/>
          <w:color w:val="000000" w:themeColor="text1"/>
        </w:rPr>
      </w:pPr>
      <w:r w:rsidRPr="001667DB">
        <w:rPr>
          <w:rFonts w:ascii="Times New Roman" w:hAnsi="Times New Roman" w:cs="Times New Roman"/>
          <w:color w:val="000000" w:themeColor="text1"/>
        </w:rPr>
        <w:t>Tablica 4.</w:t>
      </w:r>
      <w:r w:rsidRPr="001667DB">
        <w:rPr>
          <w:rFonts w:ascii="Times New Roman" w:hAnsi="Times New Roman" w:cs="Times New Roman"/>
          <w:color w:val="000000" w:themeColor="text1"/>
        </w:rPr>
        <w:tab/>
        <w:t>Wymagania wobec asfaltów modyfikowanych polimerami (polimeroasfaltów) wg PN-EN 14023:2011/Ap1:2014-04 [64a]</w:t>
      </w: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2"/>
        <w:gridCol w:w="2127"/>
        <w:gridCol w:w="1984"/>
        <w:gridCol w:w="1134"/>
        <w:gridCol w:w="1276"/>
        <w:gridCol w:w="709"/>
      </w:tblGrid>
      <w:tr w:rsidR="00955A27" w:rsidRPr="001667DB" w14:paraId="25DFDC2A" w14:textId="77777777" w:rsidTr="001B4B8F">
        <w:tc>
          <w:tcPr>
            <w:tcW w:w="1752" w:type="dxa"/>
            <w:vMerge w:val="restart"/>
            <w:vAlign w:val="center"/>
          </w:tcPr>
          <w:p w14:paraId="4C74868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p w14:paraId="2D5A926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podstawowe</w:t>
            </w:r>
          </w:p>
        </w:tc>
        <w:tc>
          <w:tcPr>
            <w:tcW w:w="2127" w:type="dxa"/>
            <w:vMerge w:val="restart"/>
            <w:vAlign w:val="center"/>
          </w:tcPr>
          <w:p w14:paraId="06B083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1984" w:type="dxa"/>
            <w:vMerge w:val="restart"/>
            <w:vAlign w:val="center"/>
          </w:tcPr>
          <w:p w14:paraId="3CB32F7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41306B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1134" w:type="dxa"/>
            <w:vMerge w:val="restart"/>
            <w:vAlign w:val="center"/>
          </w:tcPr>
          <w:p w14:paraId="799FB35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1985" w:type="dxa"/>
            <w:gridSpan w:val="2"/>
          </w:tcPr>
          <w:p w14:paraId="7EAF4B1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Gatunki asfaltów modyfikowanych polimerami (PMB)</w:t>
            </w:r>
          </w:p>
        </w:tc>
      </w:tr>
      <w:tr w:rsidR="00955A27" w:rsidRPr="001667DB" w14:paraId="1226841E" w14:textId="77777777" w:rsidTr="001B4B8F">
        <w:tc>
          <w:tcPr>
            <w:tcW w:w="1752" w:type="dxa"/>
            <w:vMerge/>
          </w:tcPr>
          <w:p w14:paraId="180DFD05"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127" w:type="dxa"/>
            <w:vMerge/>
          </w:tcPr>
          <w:p w14:paraId="6BB06069"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984" w:type="dxa"/>
            <w:vMerge/>
          </w:tcPr>
          <w:p w14:paraId="686F93C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tcPr>
          <w:p w14:paraId="1B8622D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985" w:type="dxa"/>
            <w:gridSpan w:val="2"/>
          </w:tcPr>
          <w:p w14:paraId="03F2BC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45/80 – 55</w:t>
            </w:r>
          </w:p>
        </w:tc>
      </w:tr>
      <w:tr w:rsidR="00955A27" w:rsidRPr="001667DB" w14:paraId="46A9101E" w14:textId="77777777" w:rsidTr="001B4B8F">
        <w:tc>
          <w:tcPr>
            <w:tcW w:w="1752" w:type="dxa"/>
            <w:vMerge/>
          </w:tcPr>
          <w:p w14:paraId="6AA72A7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127" w:type="dxa"/>
            <w:vMerge/>
          </w:tcPr>
          <w:p w14:paraId="2A161B70"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984" w:type="dxa"/>
            <w:vMerge/>
          </w:tcPr>
          <w:p w14:paraId="2D274E3D"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tcPr>
          <w:p w14:paraId="57F136A0"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tcPr>
          <w:p w14:paraId="5BC9885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709" w:type="dxa"/>
          </w:tcPr>
          <w:p w14:paraId="5D815BB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r>
      <w:tr w:rsidR="00955A27" w:rsidRPr="001667DB" w14:paraId="7C826F69" w14:textId="77777777" w:rsidTr="001B4B8F">
        <w:tc>
          <w:tcPr>
            <w:tcW w:w="1752" w:type="dxa"/>
          </w:tcPr>
          <w:p w14:paraId="5EDC1A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Konsystencja w pośrednich temperaturach eksploatacyjnych</w:t>
            </w:r>
          </w:p>
        </w:tc>
        <w:tc>
          <w:tcPr>
            <w:tcW w:w="2127" w:type="dxa"/>
            <w:vAlign w:val="center"/>
          </w:tcPr>
          <w:p w14:paraId="3CE045A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t>
            </w:r>
          </w:p>
          <w:p w14:paraId="02DDFF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984" w:type="dxa"/>
            <w:vAlign w:val="center"/>
          </w:tcPr>
          <w:p w14:paraId="19A7478D" w14:textId="77777777" w:rsidR="00955A27" w:rsidRPr="001667DB" w:rsidRDefault="00955A27" w:rsidP="00955A27">
            <w:pPr>
              <w:tabs>
                <w:tab w:val="left" w:pos="285"/>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34" w:type="dxa"/>
            <w:vAlign w:val="center"/>
          </w:tcPr>
          <w:p w14:paraId="4170B7AE"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276" w:type="dxa"/>
            <w:vAlign w:val="center"/>
          </w:tcPr>
          <w:p w14:paraId="1C43555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45-80</w:t>
            </w:r>
          </w:p>
        </w:tc>
        <w:tc>
          <w:tcPr>
            <w:tcW w:w="709" w:type="dxa"/>
            <w:vAlign w:val="center"/>
          </w:tcPr>
          <w:p w14:paraId="5E2CECB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7445B1FB" w14:textId="77777777" w:rsidTr="001B4B8F">
        <w:tc>
          <w:tcPr>
            <w:tcW w:w="1752" w:type="dxa"/>
          </w:tcPr>
          <w:p w14:paraId="32F919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Konsystencja  w wysokich  temperaturach eksploatacyjnych</w:t>
            </w:r>
          </w:p>
        </w:tc>
        <w:tc>
          <w:tcPr>
            <w:tcW w:w="2127" w:type="dxa"/>
            <w:vAlign w:val="center"/>
          </w:tcPr>
          <w:p w14:paraId="19472A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1984" w:type="dxa"/>
            <w:vAlign w:val="center"/>
          </w:tcPr>
          <w:p w14:paraId="5A2B3E2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34" w:type="dxa"/>
            <w:vAlign w:val="center"/>
          </w:tcPr>
          <w:p w14:paraId="47FCEEA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4D5D7B1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55</w:t>
            </w:r>
          </w:p>
        </w:tc>
        <w:tc>
          <w:tcPr>
            <w:tcW w:w="709" w:type="dxa"/>
            <w:vAlign w:val="center"/>
          </w:tcPr>
          <w:p w14:paraId="164871E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7D71ED92" w14:textId="77777777" w:rsidTr="001B4B8F">
        <w:tc>
          <w:tcPr>
            <w:tcW w:w="1752" w:type="dxa"/>
            <w:vMerge w:val="restart"/>
            <w:vAlign w:val="center"/>
          </w:tcPr>
          <w:p w14:paraId="30C9E3F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Kohezja</w:t>
            </w:r>
          </w:p>
        </w:tc>
        <w:tc>
          <w:tcPr>
            <w:tcW w:w="2127" w:type="dxa"/>
            <w:vAlign w:val="center"/>
          </w:tcPr>
          <w:p w14:paraId="4C3A74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Siła rozciągania (metoda z duktylometrem, rozciąganie 50 mm/min)</w:t>
            </w:r>
          </w:p>
        </w:tc>
        <w:tc>
          <w:tcPr>
            <w:tcW w:w="1984" w:type="dxa"/>
            <w:vAlign w:val="center"/>
          </w:tcPr>
          <w:p w14:paraId="79A0F8E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13589 [60]      PN-EN 13703 [61]</w:t>
            </w:r>
          </w:p>
        </w:tc>
        <w:tc>
          <w:tcPr>
            <w:tcW w:w="1134" w:type="dxa"/>
            <w:vAlign w:val="center"/>
          </w:tcPr>
          <w:p w14:paraId="2F789F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419E751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3</w:t>
            </w:r>
          </w:p>
          <w:p w14:paraId="76FDE3F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p>
        </w:tc>
        <w:tc>
          <w:tcPr>
            <w:tcW w:w="709" w:type="dxa"/>
            <w:vAlign w:val="center"/>
          </w:tcPr>
          <w:p w14:paraId="051E7B6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1890D8F4" w14:textId="77777777" w:rsidTr="001B4B8F">
        <w:tc>
          <w:tcPr>
            <w:tcW w:w="1752" w:type="dxa"/>
            <w:vMerge/>
          </w:tcPr>
          <w:p w14:paraId="16B3E63D"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0E9470B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Rozciąganie bezpośrednie w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xml:space="preserve"> (rozciąganie 100 mm/min)</w:t>
            </w:r>
          </w:p>
        </w:tc>
        <w:tc>
          <w:tcPr>
            <w:tcW w:w="1984" w:type="dxa"/>
            <w:vAlign w:val="center"/>
          </w:tcPr>
          <w:p w14:paraId="6FB55C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13587 [58]      PN-EN 13703 [61]</w:t>
            </w:r>
          </w:p>
        </w:tc>
        <w:tc>
          <w:tcPr>
            <w:tcW w:w="1134" w:type="dxa"/>
            <w:vAlign w:val="center"/>
          </w:tcPr>
          <w:p w14:paraId="1BB3E8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5FF1EDDE"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5F3F404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3B883F61" w14:textId="77777777" w:rsidTr="001B4B8F">
        <w:tc>
          <w:tcPr>
            <w:tcW w:w="1752" w:type="dxa"/>
            <w:vMerge/>
          </w:tcPr>
          <w:p w14:paraId="07DFCC3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2FAAA0C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Wahadło Vialit (meto-da uderzenia)</w:t>
            </w:r>
          </w:p>
        </w:tc>
        <w:tc>
          <w:tcPr>
            <w:tcW w:w="1984" w:type="dxa"/>
            <w:vAlign w:val="center"/>
          </w:tcPr>
          <w:p w14:paraId="3FE654E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13588 [59]</w:t>
            </w:r>
          </w:p>
        </w:tc>
        <w:tc>
          <w:tcPr>
            <w:tcW w:w="1134" w:type="dxa"/>
            <w:vAlign w:val="center"/>
          </w:tcPr>
          <w:p w14:paraId="0254B3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J/cm</w:t>
            </w:r>
            <w:r w:rsidRPr="001667DB">
              <w:rPr>
                <w:rFonts w:ascii="Times New Roman" w:hAnsi="Times New Roman" w:cs="Times New Roman"/>
                <w:color w:val="000000" w:themeColor="text1"/>
                <w:vertAlign w:val="superscript"/>
              </w:rPr>
              <w:t>2</w:t>
            </w:r>
          </w:p>
        </w:tc>
        <w:tc>
          <w:tcPr>
            <w:tcW w:w="1276" w:type="dxa"/>
            <w:vAlign w:val="center"/>
          </w:tcPr>
          <w:p w14:paraId="0681D587" w14:textId="77777777" w:rsidR="00955A27" w:rsidRPr="001667DB" w:rsidRDefault="00955A27" w:rsidP="00955A27">
            <w:pPr>
              <w:spacing w:after="120" w:line="360"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3DE955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08C1B89D" w14:textId="77777777" w:rsidTr="001B4B8F">
        <w:tc>
          <w:tcPr>
            <w:tcW w:w="1752" w:type="dxa"/>
            <w:vMerge w:val="restart"/>
            <w:vAlign w:val="center"/>
          </w:tcPr>
          <w:p w14:paraId="74F434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Stałość konsystencji (Odporność na starzenie)</w:t>
            </w:r>
          </w:p>
          <w:p w14:paraId="57937D1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wg PN-EN 12607-1 [30]</w:t>
            </w:r>
          </w:p>
        </w:tc>
        <w:tc>
          <w:tcPr>
            <w:tcW w:w="2127" w:type="dxa"/>
            <w:vAlign w:val="center"/>
          </w:tcPr>
          <w:p w14:paraId="5031F62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Zmiana masy</w:t>
            </w:r>
          </w:p>
        </w:tc>
        <w:tc>
          <w:tcPr>
            <w:tcW w:w="1984" w:type="dxa"/>
            <w:vAlign w:val="center"/>
          </w:tcPr>
          <w:p w14:paraId="27BC1A9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12607-1[30]</w:t>
            </w:r>
          </w:p>
        </w:tc>
        <w:tc>
          <w:tcPr>
            <w:tcW w:w="1134" w:type="dxa"/>
            <w:vAlign w:val="center"/>
          </w:tcPr>
          <w:p w14:paraId="7655F5F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5AC8F08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0,5</w:t>
            </w:r>
          </w:p>
        </w:tc>
        <w:tc>
          <w:tcPr>
            <w:tcW w:w="709" w:type="dxa"/>
            <w:vAlign w:val="center"/>
          </w:tcPr>
          <w:p w14:paraId="69C013B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0C99EB2F" w14:textId="77777777" w:rsidTr="001B4B8F">
        <w:tc>
          <w:tcPr>
            <w:tcW w:w="1752" w:type="dxa"/>
            <w:vMerge/>
          </w:tcPr>
          <w:p w14:paraId="0AD4240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07779F0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w:t>
            </w:r>
          </w:p>
        </w:tc>
        <w:tc>
          <w:tcPr>
            <w:tcW w:w="1984" w:type="dxa"/>
            <w:vAlign w:val="center"/>
          </w:tcPr>
          <w:p w14:paraId="131B97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34" w:type="dxa"/>
            <w:vAlign w:val="center"/>
          </w:tcPr>
          <w:p w14:paraId="24823F9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33CEFCF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60</w:t>
            </w:r>
          </w:p>
        </w:tc>
        <w:tc>
          <w:tcPr>
            <w:tcW w:w="709" w:type="dxa"/>
            <w:vAlign w:val="center"/>
          </w:tcPr>
          <w:p w14:paraId="26CC746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3E78579C" w14:textId="77777777" w:rsidTr="001B4B8F">
        <w:tc>
          <w:tcPr>
            <w:tcW w:w="1752" w:type="dxa"/>
            <w:vMerge/>
          </w:tcPr>
          <w:p w14:paraId="07E02F2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3E7DFD8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temperatury mięknienia</w:t>
            </w:r>
          </w:p>
        </w:tc>
        <w:tc>
          <w:tcPr>
            <w:tcW w:w="1984" w:type="dxa"/>
            <w:vAlign w:val="center"/>
          </w:tcPr>
          <w:p w14:paraId="02730D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34" w:type="dxa"/>
            <w:vAlign w:val="center"/>
          </w:tcPr>
          <w:p w14:paraId="12E8970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7FF5DD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8</w:t>
            </w:r>
          </w:p>
        </w:tc>
        <w:tc>
          <w:tcPr>
            <w:tcW w:w="709" w:type="dxa"/>
            <w:vAlign w:val="center"/>
          </w:tcPr>
          <w:p w14:paraId="16405E8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1898537B" w14:textId="77777777" w:rsidTr="001B4B8F">
        <w:tc>
          <w:tcPr>
            <w:tcW w:w="1752" w:type="dxa"/>
            <w:vAlign w:val="center"/>
          </w:tcPr>
          <w:p w14:paraId="29C5D65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Inne właściwości</w:t>
            </w:r>
          </w:p>
        </w:tc>
        <w:tc>
          <w:tcPr>
            <w:tcW w:w="2127" w:type="dxa"/>
            <w:vAlign w:val="center"/>
          </w:tcPr>
          <w:p w14:paraId="25BC72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zapłonu</w:t>
            </w:r>
          </w:p>
        </w:tc>
        <w:tc>
          <w:tcPr>
            <w:tcW w:w="1984" w:type="dxa"/>
            <w:vAlign w:val="center"/>
          </w:tcPr>
          <w:p w14:paraId="498E748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ISO 2592 [68]</w:t>
            </w:r>
          </w:p>
        </w:tc>
        <w:tc>
          <w:tcPr>
            <w:tcW w:w="1134" w:type="dxa"/>
            <w:vAlign w:val="center"/>
          </w:tcPr>
          <w:p w14:paraId="7919316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568894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235</w:t>
            </w:r>
          </w:p>
        </w:tc>
        <w:tc>
          <w:tcPr>
            <w:tcW w:w="709" w:type="dxa"/>
            <w:vAlign w:val="center"/>
          </w:tcPr>
          <w:p w14:paraId="50BDB3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5462D100" w14:textId="77777777" w:rsidTr="001B4B8F">
        <w:tc>
          <w:tcPr>
            <w:tcW w:w="1752" w:type="dxa"/>
            <w:vMerge w:val="restart"/>
            <w:vAlign w:val="center"/>
          </w:tcPr>
          <w:p w14:paraId="26C760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w:t>
            </w:r>
          </w:p>
          <w:p w14:paraId="49BE13F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w:t>
            </w:r>
          </w:p>
        </w:tc>
        <w:tc>
          <w:tcPr>
            <w:tcW w:w="2127" w:type="dxa"/>
            <w:vAlign w:val="center"/>
          </w:tcPr>
          <w:p w14:paraId="1C11D59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w:t>
            </w:r>
          </w:p>
        </w:tc>
        <w:tc>
          <w:tcPr>
            <w:tcW w:w="1984" w:type="dxa"/>
            <w:tcBorders>
              <w:bottom w:val="single" w:sz="4" w:space="0" w:color="auto"/>
            </w:tcBorders>
            <w:vAlign w:val="center"/>
          </w:tcPr>
          <w:p w14:paraId="733C8F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1134" w:type="dxa"/>
            <w:tcBorders>
              <w:bottom w:val="single" w:sz="4" w:space="0" w:color="auto"/>
            </w:tcBorders>
            <w:vAlign w:val="center"/>
          </w:tcPr>
          <w:p w14:paraId="7557F7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4AAEC56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-15</w:t>
            </w:r>
          </w:p>
        </w:tc>
        <w:tc>
          <w:tcPr>
            <w:tcW w:w="709" w:type="dxa"/>
            <w:vAlign w:val="center"/>
          </w:tcPr>
          <w:p w14:paraId="2DD80C7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r>
      <w:tr w:rsidR="00955A27" w:rsidRPr="001667DB" w14:paraId="6F1FA8FE" w14:textId="77777777" w:rsidTr="001B4B8F">
        <w:tc>
          <w:tcPr>
            <w:tcW w:w="1752" w:type="dxa"/>
            <w:vMerge/>
          </w:tcPr>
          <w:p w14:paraId="6DF8C77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7C07F6B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984" w:type="dxa"/>
            <w:vMerge w:val="restart"/>
            <w:vAlign w:val="center"/>
          </w:tcPr>
          <w:p w14:paraId="5891B5F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13398</w:t>
            </w:r>
          </w:p>
          <w:p w14:paraId="68FE57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1134" w:type="dxa"/>
            <w:vMerge w:val="restart"/>
            <w:vAlign w:val="center"/>
          </w:tcPr>
          <w:p w14:paraId="006593D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53E50F9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70</w:t>
            </w:r>
          </w:p>
        </w:tc>
        <w:tc>
          <w:tcPr>
            <w:tcW w:w="709" w:type="dxa"/>
            <w:vAlign w:val="center"/>
          </w:tcPr>
          <w:p w14:paraId="1594236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1A414577" w14:textId="77777777" w:rsidTr="001B4B8F">
        <w:tc>
          <w:tcPr>
            <w:tcW w:w="1752" w:type="dxa"/>
            <w:vMerge/>
          </w:tcPr>
          <w:p w14:paraId="2CA31268"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0705FC9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10ﾰC"/>
              </w:smartTagPr>
              <w:r w:rsidRPr="001667DB">
                <w:rPr>
                  <w:rFonts w:ascii="Times New Roman" w:hAnsi="Times New Roman" w:cs="Times New Roman"/>
                  <w:color w:val="000000" w:themeColor="text1"/>
                </w:rPr>
                <w:t>10°C</w:t>
              </w:r>
            </w:smartTag>
          </w:p>
        </w:tc>
        <w:tc>
          <w:tcPr>
            <w:tcW w:w="1984" w:type="dxa"/>
            <w:vMerge/>
            <w:vAlign w:val="center"/>
          </w:tcPr>
          <w:p w14:paraId="0BB91544"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vAlign w:val="center"/>
          </w:tcPr>
          <w:p w14:paraId="56717957"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vAlign w:val="center"/>
          </w:tcPr>
          <w:p w14:paraId="5A48DB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3825B94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563CA5BB" w14:textId="77777777" w:rsidTr="001B4B8F">
        <w:tc>
          <w:tcPr>
            <w:tcW w:w="1752" w:type="dxa"/>
            <w:vMerge/>
            <w:vAlign w:val="center"/>
          </w:tcPr>
          <w:p w14:paraId="55129EF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4668BD5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Zakres plastyczności</w:t>
            </w:r>
          </w:p>
        </w:tc>
        <w:tc>
          <w:tcPr>
            <w:tcW w:w="1984" w:type="dxa"/>
            <w:vAlign w:val="center"/>
          </w:tcPr>
          <w:p w14:paraId="3B35D1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14023 [64] Punkt 5.1.9</w:t>
            </w:r>
          </w:p>
        </w:tc>
        <w:tc>
          <w:tcPr>
            <w:tcW w:w="1134" w:type="dxa"/>
            <w:vAlign w:val="center"/>
          </w:tcPr>
          <w:p w14:paraId="1AAC925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6976824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027179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1C8D253C" w14:textId="77777777" w:rsidTr="001B4B8F">
        <w:tc>
          <w:tcPr>
            <w:tcW w:w="1752" w:type="dxa"/>
            <w:vMerge/>
          </w:tcPr>
          <w:p w14:paraId="6FAEECD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24C2141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Stabilność magazynowania. </w:t>
            </w:r>
            <w:r w:rsidRPr="001667DB">
              <w:rPr>
                <w:rFonts w:ascii="Times New Roman" w:hAnsi="Times New Roman" w:cs="Times New Roman"/>
                <w:color w:val="000000" w:themeColor="text1"/>
              </w:rPr>
              <w:lastRenderedPageBreak/>
              <w:t>Różnica temperatur mięknienia</w:t>
            </w:r>
          </w:p>
        </w:tc>
        <w:tc>
          <w:tcPr>
            <w:tcW w:w="1984" w:type="dxa"/>
            <w:vAlign w:val="center"/>
          </w:tcPr>
          <w:p w14:paraId="448A3B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PN-EN 13399 [57]</w:t>
            </w:r>
          </w:p>
          <w:p w14:paraId="061E77F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PN-EN 1427 [22]</w:t>
            </w:r>
          </w:p>
        </w:tc>
        <w:tc>
          <w:tcPr>
            <w:tcW w:w="1134" w:type="dxa"/>
            <w:vAlign w:val="center"/>
          </w:tcPr>
          <w:p w14:paraId="59EC13F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°C</w:t>
            </w:r>
          </w:p>
        </w:tc>
        <w:tc>
          <w:tcPr>
            <w:tcW w:w="1276" w:type="dxa"/>
            <w:vAlign w:val="center"/>
          </w:tcPr>
          <w:p w14:paraId="50C6EC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w:t>
            </w:r>
          </w:p>
        </w:tc>
        <w:tc>
          <w:tcPr>
            <w:tcW w:w="709" w:type="dxa"/>
            <w:vAlign w:val="center"/>
          </w:tcPr>
          <w:p w14:paraId="7A6C01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0444B0A8" w14:textId="77777777" w:rsidTr="001B4B8F">
        <w:tc>
          <w:tcPr>
            <w:tcW w:w="1752" w:type="dxa"/>
            <w:vMerge/>
            <w:tcBorders>
              <w:bottom w:val="single" w:sz="4" w:space="0" w:color="auto"/>
            </w:tcBorders>
          </w:tcPr>
          <w:p w14:paraId="6DDA1EA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vAlign w:val="center"/>
          </w:tcPr>
          <w:p w14:paraId="63D7AF4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Stabilność magazynowania. Różnica penetracji</w:t>
            </w:r>
          </w:p>
        </w:tc>
        <w:tc>
          <w:tcPr>
            <w:tcW w:w="1984" w:type="dxa"/>
            <w:vAlign w:val="center"/>
          </w:tcPr>
          <w:p w14:paraId="646D493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13399 [57]</w:t>
            </w:r>
          </w:p>
          <w:p w14:paraId="4F9F4CF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134" w:type="dxa"/>
            <w:vAlign w:val="center"/>
          </w:tcPr>
          <w:p w14:paraId="2D58E5EB"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276" w:type="dxa"/>
            <w:vAlign w:val="center"/>
          </w:tcPr>
          <w:p w14:paraId="46792C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31B4E86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43F6D281" w14:textId="77777777" w:rsidTr="001B4B8F">
        <w:tc>
          <w:tcPr>
            <w:tcW w:w="1752" w:type="dxa"/>
            <w:vMerge w:val="restart"/>
            <w:tcBorders>
              <w:top w:val="single" w:sz="4" w:space="0" w:color="auto"/>
              <w:left w:val="single" w:sz="4" w:space="0" w:color="auto"/>
              <w:right w:val="single" w:sz="4" w:space="0" w:color="auto"/>
            </w:tcBorders>
            <w:vAlign w:val="center"/>
          </w:tcPr>
          <w:p w14:paraId="5A39CC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w:t>
            </w:r>
          </w:p>
          <w:p w14:paraId="7665A3E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Dodatkowe</w:t>
            </w:r>
          </w:p>
        </w:tc>
        <w:tc>
          <w:tcPr>
            <w:tcW w:w="2127" w:type="dxa"/>
            <w:tcBorders>
              <w:left w:val="single" w:sz="4" w:space="0" w:color="auto"/>
            </w:tcBorders>
            <w:vAlign w:val="center"/>
          </w:tcPr>
          <w:p w14:paraId="344CE6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Spadek temperatury mięknienia po starzeniu wg PN-EN 12607</w:t>
            </w:r>
          </w:p>
          <w:p w14:paraId="0540F34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  [30]</w:t>
            </w:r>
          </w:p>
        </w:tc>
        <w:tc>
          <w:tcPr>
            <w:tcW w:w="1984" w:type="dxa"/>
            <w:tcBorders>
              <w:bottom w:val="single" w:sz="4" w:space="0" w:color="auto"/>
            </w:tcBorders>
            <w:vAlign w:val="center"/>
          </w:tcPr>
          <w:p w14:paraId="27C148C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 [29]</w:t>
            </w:r>
          </w:p>
          <w:p w14:paraId="3D11C2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134" w:type="dxa"/>
            <w:tcBorders>
              <w:bottom w:val="single" w:sz="4" w:space="0" w:color="auto"/>
            </w:tcBorders>
            <w:vAlign w:val="center"/>
          </w:tcPr>
          <w:p w14:paraId="6D57CCC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276" w:type="dxa"/>
            <w:vAlign w:val="center"/>
          </w:tcPr>
          <w:p w14:paraId="5C58C3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tc>
        <w:tc>
          <w:tcPr>
            <w:tcW w:w="709" w:type="dxa"/>
            <w:vAlign w:val="center"/>
          </w:tcPr>
          <w:p w14:paraId="5454601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2F4F7245" w14:textId="77777777" w:rsidTr="001B4B8F">
        <w:tc>
          <w:tcPr>
            <w:tcW w:w="1752" w:type="dxa"/>
            <w:vMerge/>
            <w:tcBorders>
              <w:left w:val="single" w:sz="4" w:space="0" w:color="auto"/>
              <w:right w:val="single" w:sz="4" w:space="0" w:color="auto"/>
            </w:tcBorders>
            <w:vAlign w:val="center"/>
          </w:tcPr>
          <w:p w14:paraId="6EF686A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tcBorders>
              <w:left w:val="single" w:sz="4" w:space="0" w:color="auto"/>
            </w:tcBorders>
            <w:vAlign w:val="center"/>
          </w:tcPr>
          <w:p w14:paraId="02980B0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r w:rsidRPr="001667DB">
              <w:rPr>
                <w:rFonts w:ascii="Times New Roman" w:hAnsi="Times New Roman" w:cs="Times New Roman"/>
                <w:color w:val="000000" w:themeColor="text1"/>
              </w:rPr>
              <w:t xml:space="preserve"> po starzeniu wg PN-EN 12607-1 [30]</w:t>
            </w:r>
          </w:p>
        </w:tc>
        <w:tc>
          <w:tcPr>
            <w:tcW w:w="1984" w:type="dxa"/>
            <w:vMerge w:val="restart"/>
            <w:vAlign w:val="center"/>
          </w:tcPr>
          <w:p w14:paraId="1DEB25D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 [30]</w:t>
            </w:r>
          </w:p>
          <w:p w14:paraId="61187CD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13398 [56]</w:t>
            </w:r>
          </w:p>
        </w:tc>
        <w:tc>
          <w:tcPr>
            <w:tcW w:w="1134" w:type="dxa"/>
            <w:vMerge w:val="restart"/>
            <w:vAlign w:val="center"/>
          </w:tcPr>
          <w:p w14:paraId="0379D74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vAlign w:val="center"/>
          </w:tcPr>
          <w:p w14:paraId="7444F88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50</w:t>
            </w:r>
          </w:p>
        </w:tc>
        <w:tc>
          <w:tcPr>
            <w:tcW w:w="709" w:type="dxa"/>
            <w:vAlign w:val="center"/>
          </w:tcPr>
          <w:p w14:paraId="14FFAA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29D0C627" w14:textId="77777777" w:rsidTr="001B4B8F">
        <w:tc>
          <w:tcPr>
            <w:tcW w:w="1752" w:type="dxa"/>
            <w:vMerge/>
            <w:tcBorders>
              <w:left w:val="single" w:sz="4" w:space="0" w:color="auto"/>
              <w:right w:val="single" w:sz="4" w:space="0" w:color="auto"/>
            </w:tcBorders>
            <w:vAlign w:val="center"/>
          </w:tcPr>
          <w:p w14:paraId="15DF8A0D"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27" w:type="dxa"/>
            <w:tcBorders>
              <w:left w:val="single" w:sz="4" w:space="0" w:color="auto"/>
            </w:tcBorders>
            <w:vAlign w:val="center"/>
          </w:tcPr>
          <w:p w14:paraId="3BBFC5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w </w:t>
            </w:r>
            <w:smartTag w:uri="urn:schemas-microsoft-com:office:smarttags" w:element="metricconverter">
              <w:smartTagPr>
                <w:attr w:name="ProductID" w:val="10ﾰC"/>
              </w:smartTagPr>
              <w:r w:rsidRPr="001667DB">
                <w:rPr>
                  <w:rFonts w:ascii="Times New Roman" w:hAnsi="Times New Roman" w:cs="Times New Roman"/>
                  <w:color w:val="000000" w:themeColor="text1"/>
                </w:rPr>
                <w:t>10°C</w:t>
              </w:r>
            </w:smartTag>
            <w:r w:rsidRPr="001667DB">
              <w:rPr>
                <w:rFonts w:ascii="Times New Roman" w:hAnsi="Times New Roman" w:cs="Times New Roman"/>
                <w:color w:val="000000" w:themeColor="text1"/>
              </w:rPr>
              <w:t xml:space="preserve"> po starzeniu wg PN-EN 12607-1  [30]</w:t>
            </w:r>
          </w:p>
        </w:tc>
        <w:tc>
          <w:tcPr>
            <w:tcW w:w="1984" w:type="dxa"/>
            <w:vMerge/>
            <w:vAlign w:val="center"/>
          </w:tcPr>
          <w:p w14:paraId="46F763A1"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134" w:type="dxa"/>
            <w:vMerge/>
            <w:vAlign w:val="center"/>
          </w:tcPr>
          <w:p w14:paraId="1BB6048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76" w:type="dxa"/>
            <w:vAlign w:val="center"/>
          </w:tcPr>
          <w:p w14:paraId="30D7D4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NR</w:t>
            </w:r>
            <w:r w:rsidRPr="001667DB">
              <w:rPr>
                <w:rFonts w:ascii="Times New Roman" w:hAnsi="Times New Roman" w:cs="Times New Roman"/>
                <w:color w:val="000000" w:themeColor="text1"/>
                <w:vertAlign w:val="superscript"/>
              </w:rPr>
              <w:t>a</w:t>
            </w:r>
          </w:p>
        </w:tc>
        <w:tc>
          <w:tcPr>
            <w:tcW w:w="709" w:type="dxa"/>
            <w:vAlign w:val="center"/>
          </w:tcPr>
          <w:p w14:paraId="62EFEFD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bl>
    <w:p w14:paraId="494E7EBD" w14:textId="77777777" w:rsidR="00955A27" w:rsidRPr="001667DB" w:rsidRDefault="00955A27" w:rsidP="00955A27">
      <w:pPr>
        <w:spacing w:after="120" w:line="360" w:lineRule="auto"/>
        <w:ind w:left="993" w:hanging="993"/>
        <w:rPr>
          <w:rFonts w:ascii="Times New Roman" w:hAnsi="Times New Roman" w:cs="Times New Roman"/>
          <w:color w:val="000000" w:themeColor="text1"/>
        </w:rPr>
      </w:pPr>
    </w:p>
    <w:p w14:paraId="6360F7D1" w14:textId="77777777" w:rsidR="00955A27" w:rsidRPr="001667DB" w:rsidRDefault="00955A27" w:rsidP="00955A27">
      <w:pPr>
        <w:spacing w:before="120" w:after="120" w:line="360" w:lineRule="auto"/>
        <w:ind w:left="993" w:hanging="993"/>
        <w:rPr>
          <w:rFonts w:ascii="Times New Roman" w:hAnsi="Times New Roman" w:cs="Times New Roman"/>
          <w:color w:val="000000" w:themeColor="text1"/>
        </w:rPr>
      </w:pPr>
      <w:r w:rsidRPr="001667DB">
        <w:rPr>
          <w:rFonts w:ascii="Times New Roman" w:hAnsi="Times New Roman" w:cs="Times New Roman"/>
          <w:color w:val="000000" w:themeColor="text1"/>
        </w:rPr>
        <w:t>Tablica 5.</w:t>
      </w:r>
      <w:r w:rsidRPr="001667DB">
        <w:rPr>
          <w:rFonts w:ascii="Times New Roman" w:hAnsi="Times New Roman" w:cs="Times New Roman"/>
          <w:color w:val="000000" w:themeColor="text1"/>
        </w:rPr>
        <w:tab/>
        <w:t>Wymagania wobec asfaltu MG 50/70-54/64 wg PN-EN 13924-2:2014- 04/Ap1 i Ap2 [63a]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165"/>
        <w:gridCol w:w="1200"/>
        <w:gridCol w:w="1722"/>
        <w:gridCol w:w="1376"/>
        <w:gridCol w:w="997"/>
      </w:tblGrid>
      <w:tr w:rsidR="00955A27" w:rsidRPr="001667DB" w14:paraId="5186B9CF" w14:textId="77777777" w:rsidTr="001B4B8F">
        <w:tc>
          <w:tcPr>
            <w:tcW w:w="543" w:type="dxa"/>
            <w:vMerge w:val="restart"/>
            <w:vAlign w:val="center"/>
          </w:tcPr>
          <w:p w14:paraId="1A1000F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165" w:type="dxa"/>
            <w:vMerge w:val="restart"/>
            <w:vAlign w:val="center"/>
          </w:tcPr>
          <w:p w14:paraId="7302D19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1200" w:type="dxa"/>
            <w:vMerge w:val="restart"/>
            <w:vAlign w:val="center"/>
          </w:tcPr>
          <w:p w14:paraId="4E30367F"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1722" w:type="dxa"/>
            <w:vMerge w:val="restart"/>
            <w:vAlign w:val="center"/>
          </w:tcPr>
          <w:p w14:paraId="2AA784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w:t>
            </w:r>
          </w:p>
          <w:p w14:paraId="7791E3B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badania</w:t>
            </w:r>
          </w:p>
        </w:tc>
        <w:tc>
          <w:tcPr>
            <w:tcW w:w="2373" w:type="dxa"/>
            <w:gridSpan w:val="2"/>
            <w:vAlign w:val="center"/>
          </w:tcPr>
          <w:p w14:paraId="32DA6B9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asfalt</w:t>
            </w:r>
          </w:p>
          <w:p w14:paraId="005ED7B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MG 50/70-54/64</w:t>
            </w:r>
          </w:p>
        </w:tc>
      </w:tr>
      <w:tr w:rsidR="00955A27" w:rsidRPr="001667DB" w14:paraId="644DB3A1" w14:textId="77777777" w:rsidTr="001B4B8F">
        <w:tc>
          <w:tcPr>
            <w:tcW w:w="543" w:type="dxa"/>
            <w:vMerge/>
            <w:vAlign w:val="center"/>
          </w:tcPr>
          <w:p w14:paraId="38931FBB"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165" w:type="dxa"/>
            <w:vMerge/>
            <w:vAlign w:val="center"/>
          </w:tcPr>
          <w:p w14:paraId="7F350F8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200" w:type="dxa"/>
            <w:vMerge/>
            <w:vAlign w:val="center"/>
          </w:tcPr>
          <w:p w14:paraId="31A118D7"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722" w:type="dxa"/>
            <w:vMerge/>
            <w:vAlign w:val="center"/>
          </w:tcPr>
          <w:p w14:paraId="0C42BA83"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376" w:type="dxa"/>
            <w:vAlign w:val="center"/>
          </w:tcPr>
          <w:p w14:paraId="76F9F5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c>
          <w:tcPr>
            <w:tcW w:w="997" w:type="dxa"/>
            <w:vAlign w:val="center"/>
          </w:tcPr>
          <w:p w14:paraId="6E4190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r>
      <w:tr w:rsidR="00955A27" w:rsidRPr="001667DB" w14:paraId="6A3BA2E8" w14:textId="77777777">
        <w:tc>
          <w:tcPr>
            <w:tcW w:w="543" w:type="dxa"/>
          </w:tcPr>
          <w:p w14:paraId="13F11D3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165" w:type="dxa"/>
          </w:tcPr>
          <w:p w14:paraId="23FA1515"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Penetracja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200" w:type="dxa"/>
            <w:vAlign w:val="center"/>
          </w:tcPr>
          <w:p w14:paraId="4C077B27" w14:textId="77777777" w:rsidR="00955A27" w:rsidRPr="001667DB" w:rsidRDefault="00955A27" w:rsidP="00955A27">
            <w:pPr>
              <w:spacing w:after="120" w:line="360" w:lineRule="auto"/>
              <w:jc w:val="center"/>
              <w:rPr>
                <w:rFonts w:ascii="Times New Roman" w:hAnsi="Times New Roman" w:cs="Times New Roman"/>
                <w:color w:val="000000" w:themeColor="text1"/>
              </w:rPr>
            </w:pPr>
            <w:smartTag w:uri="urn:schemas-microsoft-com:office:smarttags" w:element="metricconverter">
              <w:smartTagPr>
                <w:attr w:name="ProductID" w:val="0,1 mm"/>
              </w:smartTagPr>
              <w:r w:rsidRPr="001667DB">
                <w:rPr>
                  <w:rFonts w:ascii="Times New Roman" w:hAnsi="Times New Roman" w:cs="Times New Roman"/>
                  <w:color w:val="000000" w:themeColor="text1"/>
                </w:rPr>
                <w:t>0,1 mm</w:t>
              </w:r>
            </w:smartTag>
          </w:p>
        </w:tc>
        <w:tc>
          <w:tcPr>
            <w:tcW w:w="1722" w:type="dxa"/>
            <w:vAlign w:val="center"/>
          </w:tcPr>
          <w:p w14:paraId="560C6D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376" w:type="dxa"/>
            <w:vAlign w:val="center"/>
          </w:tcPr>
          <w:p w14:paraId="35D825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50÷70</w:t>
            </w:r>
          </w:p>
        </w:tc>
        <w:tc>
          <w:tcPr>
            <w:tcW w:w="997" w:type="dxa"/>
          </w:tcPr>
          <w:p w14:paraId="402518F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4FE1BCB2" w14:textId="77777777">
        <w:tc>
          <w:tcPr>
            <w:tcW w:w="543" w:type="dxa"/>
          </w:tcPr>
          <w:p w14:paraId="0CE57CB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165" w:type="dxa"/>
          </w:tcPr>
          <w:p w14:paraId="5AED670B"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w:t>
            </w:r>
          </w:p>
        </w:tc>
        <w:tc>
          <w:tcPr>
            <w:tcW w:w="1200" w:type="dxa"/>
            <w:vAlign w:val="center"/>
          </w:tcPr>
          <w:p w14:paraId="6096FB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722" w:type="dxa"/>
            <w:vAlign w:val="center"/>
          </w:tcPr>
          <w:p w14:paraId="1B3CE89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376" w:type="dxa"/>
            <w:vAlign w:val="center"/>
          </w:tcPr>
          <w:p w14:paraId="0AB32A8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54÷64</w:t>
            </w:r>
          </w:p>
        </w:tc>
        <w:tc>
          <w:tcPr>
            <w:tcW w:w="997" w:type="dxa"/>
          </w:tcPr>
          <w:p w14:paraId="1672DF0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1D6B9621" w14:textId="77777777">
        <w:tc>
          <w:tcPr>
            <w:tcW w:w="543" w:type="dxa"/>
          </w:tcPr>
          <w:p w14:paraId="2210CD43"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165" w:type="dxa"/>
          </w:tcPr>
          <w:p w14:paraId="799F3996"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Indeks penetracji</w:t>
            </w:r>
          </w:p>
        </w:tc>
        <w:tc>
          <w:tcPr>
            <w:tcW w:w="1200" w:type="dxa"/>
            <w:vAlign w:val="center"/>
          </w:tcPr>
          <w:p w14:paraId="6C711CC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22" w:type="dxa"/>
            <w:vAlign w:val="center"/>
          </w:tcPr>
          <w:p w14:paraId="4A6B320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13924-2 [63]</w:t>
            </w:r>
          </w:p>
        </w:tc>
        <w:tc>
          <w:tcPr>
            <w:tcW w:w="1376" w:type="dxa"/>
            <w:vAlign w:val="center"/>
          </w:tcPr>
          <w:p w14:paraId="0D6A0D2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+0,3 do +2,0</w:t>
            </w:r>
          </w:p>
        </w:tc>
        <w:tc>
          <w:tcPr>
            <w:tcW w:w="997" w:type="dxa"/>
          </w:tcPr>
          <w:p w14:paraId="388690B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7CB68802" w14:textId="77777777">
        <w:tc>
          <w:tcPr>
            <w:tcW w:w="543" w:type="dxa"/>
          </w:tcPr>
          <w:p w14:paraId="436B1FF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165" w:type="dxa"/>
          </w:tcPr>
          <w:p w14:paraId="7FB543FA"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zapłonu,</w:t>
            </w:r>
          </w:p>
        </w:tc>
        <w:tc>
          <w:tcPr>
            <w:tcW w:w="1200" w:type="dxa"/>
            <w:vAlign w:val="center"/>
          </w:tcPr>
          <w:p w14:paraId="67FDCF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722" w:type="dxa"/>
            <w:vAlign w:val="center"/>
          </w:tcPr>
          <w:p w14:paraId="0F0C2B8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ISO 2592 [68]</w:t>
            </w:r>
          </w:p>
        </w:tc>
        <w:tc>
          <w:tcPr>
            <w:tcW w:w="1376" w:type="dxa"/>
            <w:vAlign w:val="center"/>
          </w:tcPr>
          <w:p w14:paraId="60EF593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250</w:t>
            </w:r>
          </w:p>
        </w:tc>
        <w:tc>
          <w:tcPr>
            <w:tcW w:w="997" w:type="dxa"/>
          </w:tcPr>
          <w:p w14:paraId="593FB95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1163B63D" w14:textId="77777777">
        <w:tc>
          <w:tcPr>
            <w:tcW w:w="543" w:type="dxa"/>
          </w:tcPr>
          <w:p w14:paraId="018CBE86"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5</w:t>
            </w:r>
          </w:p>
        </w:tc>
        <w:tc>
          <w:tcPr>
            <w:tcW w:w="3165" w:type="dxa"/>
          </w:tcPr>
          <w:p w14:paraId="0F75CFA8"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Rozpuszczalność</w:t>
            </w:r>
          </w:p>
        </w:tc>
        <w:tc>
          <w:tcPr>
            <w:tcW w:w="1200" w:type="dxa"/>
            <w:vAlign w:val="center"/>
          </w:tcPr>
          <w:p w14:paraId="35AC239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22" w:type="dxa"/>
            <w:vAlign w:val="center"/>
          </w:tcPr>
          <w:p w14:paraId="27DF43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12592 [25]</w:t>
            </w:r>
          </w:p>
        </w:tc>
        <w:tc>
          <w:tcPr>
            <w:tcW w:w="1376" w:type="dxa"/>
            <w:vAlign w:val="center"/>
          </w:tcPr>
          <w:p w14:paraId="3B3102A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99,0</w:t>
            </w:r>
          </w:p>
        </w:tc>
        <w:tc>
          <w:tcPr>
            <w:tcW w:w="997" w:type="dxa"/>
          </w:tcPr>
          <w:p w14:paraId="623E76E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7344FB08" w14:textId="77777777">
        <w:tc>
          <w:tcPr>
            <w:tcW w:w="543" w:type="dxa"/>
          </w:tcPr>
          <w:p w14:paraId="3952F87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165" w:type="dxa"/>
          </w:tcPr>
          <w:p w14:paraId="3F137AF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łamliwości Fraassa</w:t>
            </w:r>
          </w:p>
        </w:tc>
        <w:tc>
          <w:tcPr>
            <w:tcW w:w="1200" w:type="dxa"/>
            <w:vAlign w:val="center"/>
          </w:tcPr>
          <w:p w14:paraId="696178B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722" w:type="dxa"/>
            <w:vAlign w:val="center"/>
          </w:tcPr>
          <w:p w14:paraId="5B60477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12593 [26]</w:t>
            </w:r>
          </w:p>
        </w:tc>
        <w:tc>
          <w:tcPr>
            <w:tcW w:w="1376" w:type="dxa"/>
            <w:vAlign w:val="center"/>
          </w:tcPr>
          <w:p w14:paraId="17A365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-17</w:t>
            </w:r>
          </w:p>
        </w:tc>
        <w:tc>
          <w:tcPr>
            <w:tcW w:w="997" w:type="dxa"/>
          </w:tcPr>
          <w:p w14:paraId="7284FF5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r>
      <w:tr w:rsidR="00955A27" w:rsidRPr="001667DB" w14:paraId="6DCE722A" w14:textId="77777777">
        <w:tc>
          <w:tcPr>
            <w:tcW w:w="543" w:type="dxa"/>
          </w:tcPr>
          <w:p w14:paraId="385F4BE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165" w:type="dxa"/>
          </w:tcPr>
          <w:p w14:paraId="3AF0C43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dynamiczna w 60°C</w:t>
            </w:r>
          </w:p>
        </w:tc>
        <w:tc>
          <w:tcPr>
            <w:tcW w:w="1200" w:type="dxa"/>
            <w:vAlign w:val="center"/>
          </w:tcPr>
          <w:p w14:paraId="41A3B11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w:t>
            </w:r>
          </w:p>
        </w:tc>
        <w:tc>
          <w:tcPr>
            <w:tcW w:w="1722" w:type="dxa"/>
            <w:vAlign w:val="center"/>
          </w:tcPr>
          <w:p w14:paraId="3FCDB40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12596 [28]</w:t>
            </w:r>
          </w:p>
        </w:tc>
        <w:tc>
          <w:tcPr>
            <w:tcW w:w="1376" w:type="dxa"/>
            <w:vAlign w:val="center"/>
          </w:tcPr>
          <w:p w14:paraId="517FF6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900</w:t>
            </w:r>
          </w:p>
        </w:tc>
        <w:tc>
          <w:tcPr>
            <w:tcW w:w="997" w:type="dxa"/>
          </w:tcPr>
          <w:p w14:paraId="3521D3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7FFF8DB5" w14:textId="77777777">
        <w:tc>
          <w:tcPr>
            <w:tcW w:w="543" w:type="dxa"/>
          </w:tcPr>
          <w:p w14:paraId="23FEAC9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165" w:type="dxa"/>
          </w:tcPr>
          <w:p w14:paraId="7C3110D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Lepkość kinematyczna w 135°C</w:t>
            </w:r>
          </w:p>
        </w:tc>
        <w:tc>
          <w:tcPr>
            <w:tcW w:w="1200" w:type="dxa"/>
            <w:vAlign w:val="center"/>
          </w:tcPr>
          <w:p w14:paraId="016135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/s</w:t>
            </w:r>
          </w:p>
        </w:tc>
        <w:tc>
          <w:tcPr>
            <w:tcW w:w="1722" w:type="dxa"/>
            <w:vAlign w:val="center"/>
          </w:tcPr>
          <w:p w14:paraId="094668D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12595 [27]</w:t>
            </w:r>
          </w:p>
        </w:tc>
        <w:tc>
          <w:tcPr>
            <w:tcW w:w="1376" w:type="dxa"/>
            <w:vAlign w:val="center"/>
          </w:tcPr>
          <w:p w14:paraId="6D31F8B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Brak wymagań</w:t>
            </w:r>
          </w:p>
        </w:tc>
        <w:tc>
          <w:tcPr>
            <w:tcW w:w="997" w:type="dxa"/>
          </w:tcPr>
          <w:p w14:paraId="311EA72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55A27" w:rsidRPr="001667DB" w14:paraId="773D406F" w14:textId="77777777">
        <w:tc>
          <w:tcPr>
            <w:tcW w:w="8006" w:type="dxa"/>
            <w:gridSpan w:val="5"/>
          </w:tcPr>
          <w:p w14:paraId="09EC535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po starzeniu</w:t>
            </w:r>
          </w:p>
        </w:tc>
        <w:tc>
          <w:tcPr>
            <w:tcW w:w="997" w:type="dxa"/>
          </w:tcPr>
          <w:p w14:paraId="4A45EA60"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r>
      <w:tr w:rsidR="00955A27" w:rsidRPr="001667DB" w14:paraId="39A5574C" w14:textId="77777777" w:rsidTr="001B4B8F">
        <w:tc>
          <w:tcPr>
            <w:tcW w:w="543" w:type="dxa"/>
          </w:tcPr>
          <w:p w14:paraId="03DDE1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165" w:type="dxa"/>
          </w:tcPr>
          <w:p w14:paraId="7214691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Pozostała penetracja po starzeniu</w:t>
            </w:r>
          </w:p>
        </w:tc>
        <w:tc>
          <w:tcPr>
            <w:tcW w:w="1200" w:type="dxa"/>
            <w:vAlign w:val="center"/>
          </w:tcPr>
          <w:p w14:paraId="141181B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22" w:type="dxa"/>
            <w:vAlign w:val="center"/>
          </w:tcPr>
          <w:p w14:paraId="7EA9E6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w:t>
            </w:r>
          </w:p>
        </w:tc>
        <w:tc>
          <w:tcPr>
            <w:tcW w:w="1376" w:type="dxa"/>
            <w:vAlign w:val="center"/>
          </w:tcPr>
          <w:p w14:paraId="56FBBB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50</w:t>
            </w:r>
          </w:p>
        </w:tc>
        <w:tc>
          <w:tcPr>
            <w:tcW w:w="997" w:type="dxa"/>
          </w:tcPr>
          <w:p w14:paraId="1253F33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r>
      <w:tr w:rsidR="00955A27" w:rsidRPr="001667DB" w14:paraId="407E1814" w14:textId="77777777" w:rsidTr="001B4B8F">
        <w:tc>
          <w:tcPr>
            <w:tcW w:w="543" w:type="dxa"/>
          </w:tcPr>
          <w:p w14:paraId="1712D6C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165" w:type="dxa"/>
          </w:tcPr>
          <w:p w14:paraId="48C7484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Wzrost temp. mięknienia po starzeniu</w:t>
            </w:r>
          </w:p>
        </w:tc>
        <w:tc>
          <w:tcPr>
            <w:tcW w:w="1200" w:type="dxa"/>
            <w:vAlign w:val="center"/>
          </w:tcPr>
          <w:p w14:paraId="202D4C9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722" w:type="dxa"/>
            <w:vAlign w:val="center"/>
          </w:tcPr>
          <w:p w14:paraId="04DF696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376" w:type="dxa"/>
            <w:vAlign w:val="center"/>
          </w:tcPr>
          <w:p w14:paraId="09DAC77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10</w:t>
            </w:r>
          </w:p>
        </w:tc>
        <w:tc>
          <w:tcPr>
            <w:tcW w:w="997" w:type="dxa"/>
          </w:tcPr>
          <w:p w14:paraId="29230B8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1AD860A4" w14:textId="77777777" w:rsidTr="001B4B8F">
        <w:tc>
          <w:tcPr>
            <w:tcW w:w="543" w:type="dxa"/>
          </w:tcPr>
          <w:p w14:paraId="406E8F8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165" w:type="dxa"/>
          </w:tcPr>
          <w:p w14:paraId="6C852D32"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Zmiana masy po starzeniu</w:t>
            </w:r>
          </w:p>
        </w:tc>
        <w:tc>
          <w:tcPr>
            <w:tcW w:w="1200" w:type="dxa"/>
            <w:vAlign w:val="center"/>
          </w:tcPr>
          <w:p w14:paraId="4C23BA5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722" w:type="dxa"/>
            <w:vAlign w:val="center"/>
          </w:tcPr>
          <w:p w14:paraId="11B194D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12607-1[30]</w:t>
            </w:r>
          </w:p>
        </w:tc>
        <w:tc>
          <w:tcPr>
            <w:tcW w:w="1376" w:type="dxa"/>
            <w:vAlign w:val="center"/>
          </w:tcPr>
          <w:p w14:paraId="64A8F7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&lt; 0,5</w:t>
            </w:r>
          </w:p>
        </w:tc>
        <w:tc>
          <w:tcPr>
            <w:tcW w:w="997" w:type="dxa"/>
          </w:tcPr>
          <w:p w14:paraId="413EA1F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bl>
    <w:p w14:paraId="7A003A3B" w14:textId="77777777" w:rsidR="00955A27" w:rsidRPr="001667DB" w:rsidRDefault="00955A27" w:rsidP="00955A27">
      <w:pPr>
        <w:spacing w:after="120" w:line="360" w:lineRule="auto"/>
        <w:rPr>
          <w:rFonts w:ascii="Times New Roman" w:hAnsi="Times New Roman" w:cs="Times New Roman"/>
          <w:color w:val="000000" w:themeColor="text1"/>
        </w:rPr>
      </w:pPr>
    </w:p>
    <w:p w14:paraId="6CA47106"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Składowanie asfaltu drogowego powinno się odbywać w zbiornikach, wykluczających zanieczyszczenie asfaltu i wyposażonych w system grzewczy p</w:t>
      </w:r>
      <w:r w:rsidR="002824F8">
        <w:rPr>
          <w:rFonts w:ascii="Times New Roman" w:hAnsi="Times New Roman" w:cs="Times New Roman"/>
          <w:color w:val="000000" w:themeColor="text1"/>
        </w:rPr>
        <w:t>ośredni (bez kontaktu asfaltu z </w:t>
      </w:r>
      <w:r w:rsidRPr="001667DB">
        <w:rPr>
          <w:rFonts w:ascii="Times New Roman" w:hAnsi="Times New Roman" w:cs="Times New Roman"/>
          <w:color w:val="000000" w:themeColor="text1"/>
        </w:rPr>
        <w:t xml:space="preserve">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xml:space="preserve"> oraz układ cyrkulacji asfaltu.</w:t>
      </w:r>
    </w:p>
    <w:p w14:paraId="7B90E298"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Polimeroasfalt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Zaleca się wyposażenie zbiornika w mieszadło. Zaleca się bezpośrednie zużycie polimeroasfaltu po dostarczeniu. Należy unikać wielokrotnego rozgrzewania i chłodzenia polimeroasfaltu w okresie jego stosowania oraz unikać niekontrolowanego mieszania polimeroasfaltów  różnego rodzaju i klasy oraz z asfaltem zwykłym.</w:t>
      </w:r>
    </w:p>
    <w:p w14:paraId="0051E552"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Temperatura lepiszcza asfaltowego w zbiorniku magazynowym (roboczym) nie powinna przekraczać w okresie krótkotrwałym, nie dłuższym niż 5 dni,  poniższych wartości:</w:t>
      </w:r>
    </w:p>
    <w:p w14:paraId="60D73741" w14:textId="77777777" w:rsidR="00955A27" w:rsidRPr="001667DB" w:rsidRDefault="00955A27" w:rsidP="00904E6C">
      <w:pPr>
        <w:numPr>
          <w:ilvl w:val="0"/>
          <w:numId w:val="14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asfaltu drogowego 50/70 i 70/100: 180°C,</w:t>
      </w:r>
    </w:p>
    <w:p w14:paraId="3B6FA8DC" w14:textId="77777777" w:rsidR="00955A27" w:rsidRPr="001667DB" w:rsidRDefault="00955A27" w:rsidP="00904E6C">
      <w:pPr>
        <w:numPr>
          <w:ilvl w:val="0"/>
          <w:numId w:val="14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polimeroasfaltu: wg wskazań producenta,</w:t>
      </w:r>
    </w:p>
    <w:p w14:paraId="45ADC588" w14:textId="77777777" w:rsidR="00955A27" w:rsidRPr="001667DB" w:rsidRDefault="00955A27" w:rsidP="00904E6C">
      <w:pPr>
        <w:numPr>
          <w:ilvl w:val="0"/>
          <w:numId w:val="14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asfaltu drogowego wielorodzajowego: wg wskazań producenta.</w:t>
      </w:r>
    </w:p>
    <w:p w14:paraId="367FC26E" w14:textId="77777777" w:rsidR="00955A27" w:rsidRPr="001667DB" w:rsidRDefault="00955A27" w:rsidP="002824F8">
      <w:pPr>
        <w:pStyle w:val="Nagwek2"/>
        <w:spacing w:line="360" w:lineRule="auto"/>
        <w:jc w:val="both"/>
        <w:rPr>
          <w:color w:val="000000" w:themeColor="text1"/>
          <w:sz w:val="22"/>
          <w:szCs w:val="22"/>
        </w:rPr>
      </w:pPr>
      <w:r w:rsidRPr="001667DB">
        <w:rPr>
          <w:color w:val="000000" w:themeColor="text1"/>
          <w:sz w:val="22"/>
          <w:szCs w:val="22"/>
        </w:rPr>
        <w:lastRenderedPageBreak/>
        <w:t xml:space="preserve">2.3. Kruszywo </w:t>
      </w:r>
    </w:p>
    <w:p w14:paraId="5E52CF80" w14:textId="77777777" w:rsidR="00955A27" w:rsidRPr="001667DB" w:rsidRDefault="00955A27" w:rsidP="002824F8">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warstwy ścieralnej z betonu asfaltowego należy stosować kruszywo według PN-EN</w:t>
      </w:r>
      <w:r w:rsidR="006C3828" w:rsidRPr="001667DB">
        <w:rPr>
          <w:rFonts w:ascii="Times New Roman" w:hAnsi="Times New Roman" w:cs="Times New Roman"/>
          <w:color w:val="000000" w:themeColor="text1"/>
        </w:rPr>
        <w:t xml:space="preserve"> 13043 [49] i WT-1 Kruszywa 2016</w:t>
      </w:r>
      <w:r w:rsidRPr="001667DB">
        <w:rPr>
          <w:rFonts w:ascii="Times New Roman" w:hAnsi="Times New Roman" w:cs="Times New Roman"/>
          <w:color w:val="000000" w:themeColor="text1"/>
        </w:rPr>
        <w:t xml:space="preserve"> [79], obejmujące kruszywo grube, kruszywo drobne  i wypełniacz. </w:t>
      </w:r>
    </w:p>
    <w:p w14:paraId="29EF3DAA"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mieszance mineralno-asfaltowej jako kruszywo drobne należy stosować mieszankę kruszywa łamanego i niełamanego dla KR1÷KR2 lub kruszywo łamane w 100%</w:t>
      </w:r>
      <w:r w:rsidR="005D4F30">
        <w:rPr>
          <w:rFonts w:ascii="Times New Roman" w:hAnsi="Times New Roman" w:cs="Times New Roman"/>
          <w:color w:val="000000" w:themeColor="text1"/>
        </w:rPr>
        <w:t>.</w:t>
      </w:r>
    </w:p>
    <w:p w14:paraId="5A1D6644"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stosowana jest mieszanka kruszywa drobnego niełamanego i łamanego, to należy przyjąć proporcje kruszywa łamanego do niełamanego co najmniej 50/50.</w:t>
      </w:r>
    </w:p>
    <w:p w14:paraId="34E931CB"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dopuszcza się użycia granulatu asfaltowego w warstwie ścieralnej. </w:t>
      </w:r>
    </w:p>
    <w:p w14:paraId="71281295" w14:textId="77777777" w:rsidR="00955A27" w:rsidRPr="001667DB" w:rsidRDefault="00955A27" w:rsidP="002824F8">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powinny spełniać wymag</w:t>
      </w:r>
      <w:r w:rsidR="006C3828" w:rsidRPr="001667DB">
        <w:rPr>
          <w:rFonts w:ascii="Times New Roman" w:hAnsi="Times New Roman" w:cs="Times New Roman"/>
          <w:color w:val="000000" w:themeColor="text1"/>
        </w:rPr>
        <w:t>ania podane w WT-1 Kruszywa 2016</w:t>
      </w:r>
      <w:r w:rsidRPr="001667DB">
        <w:rPr>
          <w:rFonts w:ascii="Times New Roman" w:hAnsi="Times New Roman" w:cs="Times New Roman"/>
          <w:color w:val="000000" w:themeColor="text1"/>
        </w:rPr>
        <w:t xml:space="preserve"> [79]  wg tablic poniżej.</w:t>
      </w:r>
    </w:p>
    <w:p w14:paraId="295DD62A" w14:textId="77777777" w:rsidR="00955A27" w:rsidRPr="001667DB" w:rsidRDefault="00955A27" w:rsidP="00955A27">
      <w:pPr>
        <w:spacing w:before="120" w:after="120" w:line="360" w:lineRule="auto"/>
        <w:ind w:left="1200" w:hanging="1200"/>
        <w:rPr>
          <w:rFonts w:ascii="Times New Roman" w:hAnsi="Times New Roman" w:cs="Times New Roman"/>
          <w:color w:val="000000" w:themeColor="text1"/>
        </w:rPr>
      </w:pPr>
      <w:r w:rsidRPr="001667DB">
        <w:rPr>
          <w:rFonts w:ascii="Times New Roman" w:hAnsi="Times New Roman" w:cs="Times New Roman"/>
          <w:color w:val="000000" w:themeColor="text1"/>
        </w:rPr>
        <w:t>Tablica 6. Wymagane właściwości kruszywa grubego do warstwy ścieralnej z betonu asfaltowego</w:t>
      </w:r>
    </w:p>
    <w:tbl>
      <w:tblPr>
        <w:tblW w:w="8938"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6549"/>
        <w:gridCol w:w="1843"/>
      </w:tblGrid>
      <w:tr w:rsidR="00FB30DB" w:rsidRPr="001667DB" w14:paraId="4BA7F247" w14:textId="77777777" w:rsidTr="00002E63">
        <w:tc>
          <w:tcPr>
            <w:tcW w:w="546" w:type="dxa"/>
            <w:vAlign w:val="center"/>
          </w:tcPr>
          <w:p w14:paraId="0FEDE2CD" w14:textId="77777777" w:rsidR="00FB30DB" w:rsidRPr="001667DB" w:rsidRDefault="00FB30DB"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6549" w:type="dxa"/>
            <w:vAlign w:val="center"/>
          </w:tcPr>
          <w:p w14:paraId="34228846" w14:textId="77777777" w:rsidR="00FB30DB" w:rsidRPr="001667DB" w:rsidRDefault="00FB30DB"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1843" w:type="dxa"/>
            <w:vAlign w:val="center"/>
          </w:tcPr>
          <w:p w14:paraId="2BD2A8F1" w14:textId="77777777" w:rsidR="00FB30DB" w:rsidRPr="002824F8" w:rsidRDefault="00FB30DB" w:rsidP="00955A27">
            <w:pPr>
              <w:spacing w:before="60" w:after="120" w:line="360" w:lineRule="auto"/>
              <w:jc w:val="center"/>
              <w:rPr>
                <w:rFonts w:ascii="Times New Roman" w:hAnsi="Times New Roman" w:cs="Times New Roman"/>
                <w:b/>
                <w:color w:val="000000" w:themeColor="text1"/>
              </w:rPr>
            </w:pPr>
            <w:r w:rsidRPr="002824F8">
              <w:rPr>
                <w:rFonts w:ascii="Times New Roman" w:hAnsi="Times New Roman" w:cs="Times New Roman"/>
                <w:b/>
                <w:color w:val="000000" w:themeColor="text1"/>
              </w:rPr>
              <w:t>KR1÷KR2</w:t>
            </w:r>
          </w:p>
        </w:tc>
      </w:tr>
      <w:tr w:rsidR="00FB30DB" w:rsidRPr="001667DB" w14:paraId="72C9D1C3" w14:textId="77777777" w:rsidTr="00002E63">
        <w:tc>
          <w:tcPr>
            <w:tcW w:w="546" w:type="dxa"/>
          </w:tcPr>
          <w:p w14:paraId="050667A3"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6549" w:type="dxa"/>
            <w:vAlign w:val="center"/>
          </w:tcPr>
          <w:p w14:paraId="61C28386"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Uziarnienie według PN-EN 933-1[6]; kategoria nie niższa niż:</w:t>
            </w:r>
          </w:p>
        </w:tc>
        <w:tc>
          <w:tcPr>
            <w:tcW w:w="1843" w:type="dxa"/>
            <w:vAlign w:val="center"/>
          </w:tcPr>
          <w:p w14:paraId="7E3C8511" w14:textId="77777777" w:rsidR="00FB30DB" w:rsidRPr="001667DB" w:rsidRDefault="00FB30DB" w:rsidP="00955A27">
            <w:pPr>
              <w:spacing w:after="120" w:line="360" w:lineRule="auto"/>
              <w:jc w:val="center"/>
              <w:rPr>
                <w:rFonts w:ascii="Times New Roman" w:hAnsi="Times New Roman" w:cs="Times New Roman"/>
                <w:b/>
                <w:color w:val="000000" w:themeColor="text1"/>
                <w:vertAlign w:val="super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85/20</w:t>
            </w:r>
          </w:p>
        </w:tc>
      </w:tr>
      <w:tr w:rsidR="00FB30DB" w:rsidRPr="001667DB" w14:paraId="35DDF626" w14:textId="77777777" w:rsidTr="00002E63">
        <w:tc>
          <w:tcPr>
            <w:tcW w:w="546" w:type="dxa"/>
          </w:tcPr>
          <w:p w14:paraId="438117F5"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6549" w:type="dxa"/>
            <w:vAlign w:val="center"/>
          </w:tcPr>
          <w:p w14:paraId="4A80DE0E"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Tolerancja uziarnienia; odchylenia nie większe niż według kategorii:</w:t>
            </w:r>
          </w:p>
        </w:tc>
        <w:tc>
          <w:tcPr>
            <w:tcW w:w="1843" w:type="dxa"/>
          </w:tcPr>
          <w:p w14:paraId="4CD3A6F0" w14:textId="77777777" w:rsidR="00FB30DB" w:rsidRPr="001667DB" w:rsidRDefault="00FB30DB"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25/15</w:t>
            </w:r>
          </w:p>
          <w:p w14:paraId="6EB81595" w14:textId="77777777" w:rsidR="00FB30DB" w:rsidRPr="001667DB" w:rsidRDefault="00FB30DB" w:rsidP="00955A27">
            <w:pPr>
              <w:spacing w:after="120" w:line="360" w:lineRule="auto"/>
              <w:jc w:val="center"/>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20/15</w:t>
            </w:r>
          </w:p>
          <w:p w14:paraId="2720F183"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20/17,5</w:t>
            </w:r>
          </w:p>
        </w:tc>
      </w:tr>
      <w:tr w:rsidR="00FB30DB" w:rsidRPr="001667DB" w14:paraId="33702C78" w14:textId="77777777" w:rsidTr="00002E63">
        <w:tc>
          <w:tcPr>
            <w:tcW w:w="546" w:type="dxa"/>
          </w:tcPr>
          <w:p w14:paraId="1F38D531"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6549" w:type="dxa"/>
            <w:vAlign w:val="center"/>
          </w:tcPr>
          <w:p w14:paraId="625773EB"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Zawartość pyłu według PN-EN 933-1[6]; kategoria nie wyższa niż:</w:t>
            </w:r>
          </w:p>
        </w:tc>
        <w:tc>
          <w:tcPr>
            <w:tcW w:w="1843" w:type="dxa"/>
          </w:tcPr>
          <w:p w14:paraId="5006E446" w14:textId="77777777" w:rsidR="00FB30DB" w:rsidRPr="001667DB" w:rsidRDefault="00FB30DB"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w:t>
            </w:r>
            <w:r w:rsidRPr="001667DB">
              <w:rPr>
                <w:rFonts w:ascii="Times New Roman" w:hAnsi="Times New Roman" w:cs="Times New Roman"/>
                <w:color w:val="000000" w:themeColor="text1"/>
                <w:vertAlign w:val="subscript"/>
              </w:rPr>
              <w:t>2</w:t>
            </w:r>
          </w:p>
        </w:tc>
      </w:tr>
      <w:tr w:rsidR="00FB30DB" w:rsidRPr="001667DB" w14:paraId="3E8B4847" w14:textId="77777777" w:rsidTr="00002E63">
        <w:tc>
          <w:tcPr>
            <w:tcW w:w="546" w:type="dxa"/>
          </w:tcPr>
          <w:p w14:paraId="7166C5AB"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6549" w:type="dxa"/>
            <w:vAlign w:val="center"/>
          </w:tcPr>
          <w:p w14:paraId="0EBA154E"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Kształt kruszywa według PN-EN 933-3 [7] lub według PN-EN 933-4 [8]; kategoria nie wyższa niż:</w:t>
            </w:r>
          </w:p>
        </w:tc>
        <w:tc>
          <w:tcPr>
            <w:tcW w:w="1843" w:type="dxa"/>
          </w:tcPr>
          <w:p w14:paraId="13CFFF45"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2D80BACE"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FI</w:t>
            </w:r>
            <w:r w:rsidRPr="001667DB">
              <w:rPr>
                <w:rFonts w:ascii="Times New Roman" w:hAnsi="Times New Roman" w:cs="Times New Roman"/>
                <w:i/>
                <w:color w:val="000000" w:themeColor="text1"/>
                <w:vertAlign w:val="subscript"/>
              </w:rPr>
              <w:t>25</w:t>
            </w:r>
            <w:r w:rsidRPr="001667DB">
              <w:rPr>
                <w:rFonts w:ascii="Times New Roman" w:hAnsi="Times New Roman" w:cs="Times New Roman"/>
                <w:color w:val="000000" w:themeColor="text1"/>
              </w:rPr>
              <w:t xml:space="preserve"> lub </w:t>
            </w:r>
            <w:r w:rsidRPr="001667DB">
              <w:rPr>
                <w:rFonts w:ascii="Times New Roman" w:hAnsi="Times New Roman" w:cs="Times New Roman"/>
                <w:i/>
                <w:color w:val="000000" w:themeColor="text1"/>
              </w:rPr>
              <w:t>SI</w:t>
            </w:r>
            <w:r w:rsidRPr="001667DB">
              <w:rPr>
                <w:rFonts w:ascii="Times New Roman" w:hAnsi="Times New Roman" w:cs="Times New Roman"/>
                <w:i/>
                <w:color w:val="000000" w:themeColor="text1"/>
                <w:vertAlign w:val="subscript"/>
              </w:rPr>
              <w:t>25</w:t>
            </w:r>
          </w:p>
        </w:tc>
      </w:tr>
      <w:tr w:rsidR="00FB30DB" w:rsidRPr="001667DB" w14:paraId="4B1D037F" w14:textId="77777777" w:rsidTr="00002E63">
        <w:tc>
          <w:tcPr>
            <w:tcW w:w="546" w:type="dxa"/>
          </w:tcPr>
          <w:p w14:paraId="0060A4AA"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6549" w:type="dxa"/>
            <w:vAlign w:val="center"/>
          </w:tcPr>
          <w:p w14:paraId="1699AB35"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Procentowa zawartość ziaren o powierzchni przekruszonej i łamanej w kruszywie grubym według PN-EN 933-5 [9]; kategoria nie niższa niż:</w:t>
            </w:r>
          </w:p>
        </w:tc>
        <w:tc>
          <w:tcPr>
            <w:tcW w:w="1843" w:type="dxa"/>
            <w:vAlign w:val="center"/>
          </w:tcPr>
          <w:p w14:paraId="2049D27F"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 xml:space="preserve">C </w:t>
            </w:r>
            <w:r w:rsidRPr="001667DB">
              <w:rPr>
                <w:rFonts w:ascii="Times New Roman" w:hAnsi="Times New Roman" w:cs="Times New Roman"/>
                <w:i/>
                <w:color w:val="000000" w:themeColor="text1"/>
                <w:vertAlign w:val="subscript"/>
              </w:rPr>
              <w:t>deklarowana</w:t>
            </w:r>
          </w:p>
        </w:tc>
      </w:tr>
      <w:tr w:rsidR="00FB30DB" w:rsidRPr="001667DB" w14:paraId="59D88104" w14:textId="77777777" w:rsidTr="00002E63">
        <w:tc>
          <w:tcPr>
            <w:tcW w:w="546" w:type="dxa"/>
          </w:tcPr>
          <w:p w14:paraId="331BF561"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6549" w:type="dxa"/>
            <w:vAlign w:val="center"/>
          </w:tcPr>
          <w:p w14:paraId="52A166B3"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Odporność kruszywa na rozdrabnianie według normy PN-EN 1097-2 [13], badana na kruszywie o wymiarze 10/14, rozdział 5, kategoria nie wyższa niż:</w:t>
            </w:r>
          </w:p>
        </w:tc>
        <w:tc>
          <w:tcPr>
            <w:tcW w:w="1843" w:type="dxa"/>
          </w:tcPr>
          <w:p w14:paraId="14EDC06A"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7FFB5EBF"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696EC716"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LA</w:t>
            </w:r>
            <w:r w:rsidRPr="001667DB">
              <w:rPr>
                <w:rFonts w:ascii="Times New Roman" w:hAnsi="Times New Roman" w:cs="Times New Roman"/>
                <w:i/>
                <w:color w:val="000000" w:themeColor="text1"/>
                <w:vertAlign w:val="subscript"/>
              </w:rPr>
              <w:t>30</w:t>
            </w:r>
          </w:p>
        </w:tc>
      </w:tr>
      <w:tr w:rsidR="00FB30DB" w:rsidRPr="001667DB" w14:paraId="59A74A10" w14:textId="77777777" w:rsidTr="00002E63">
        <w:tc>
          <w:tcPr>
            <w:tcW w:w="546" w:type="dxa"/>
          </w:tcPr>
          <w:p w14:paraId="61DA511D"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6549" w:type="dxa"/>
            <w:vAlign w:val="center"/>
          </w:tcPr>
          <w:p w14:paraId="0F66BD80"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Odporność na polerowanie kruszyw według PN-EN 1097-8 [18] (dotyczy warstwy ścieralnej), kategoria nie niższa niż:</w:t>
            </w:r>
          </w:p>
        </w:tc>
        <w:tc>
          <w:tcPr>
            <w:tcW w:w="1843" w:type="dxa"/>
          </w:tcPr>
          <w:p w14:paraId="7380838E"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2443D74C" w14:textId="77777777" w:rsidR="00FB30DB" w:rsidRPr="001667DB" w:rsidRDefault="00FB30DB" w:rsidP="00955A27">
            <w:pPr>
              <w:spacing w:before="120" w:after="120" w:line="360" w:lineRule="auto"/>
              <w:jc w:val="center"/>
              <w:rPr>
                <w:rFonts w:ascii="Times New Roman" w:hAnsi="Times New Roman" w:cs="Times New Roman"/>
                <w:b/>
                <w:color w:val="000000" w:themeColor="text1"/>
                <w:vertAlign w:val="subscript"/>
              </w:rPr>
            </w:pPr>
            <w:r w:rsidRPr="001667DB">
              <w:rPr>
                <w:rFonts w:ascii="Times New Roman" w:hAnsi="Times New Roman" w:cs="Times New Roman"/>
                <w:i/>
                <w:color w:val="000000" w:themeColor="text1"/>
              </w:rPr>
              <w:t>PSV</w:t>
            </w:r>
            <w:r w:rsidRPr="001667DB">
              <w:rPr>
                <w:rFonts w:ascii="Times New Roman" w:hAnsi="Times New Roman" w:cs="Times New Roman"/>
                <w:i/>
                <w:color w:val="000000" w:themeColor="text1"/>
                <w:vertAlign w:val="subscript"/>
              </w:rPr>
              <w:t>44</w:t>
            </w:r>
          </w:p>
        </w:tc>
      </w:tr>
      <w:tr w:rsidR="00FB30DB" w:rsidRPr="001667DB" w14:paraId="3DC859BE" w14:textId="77777777" w:rsidTr="00002E63">
        <w:tc>
          <w:tcPr>
            <w:tcW w:w="546" w:type="dxa"/>
          </w:tcPr>
          <w:p w14:paraId="01D11E49"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6549" w:type="dxa"/>
          </w:tcPr>
          <w:p w14:paraId="4E837B29"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Gęstość ziaren według PN-EN 1097-6 [16], rozdział 7, 8 lub 9:</w:t>
            </w:r>
          </w:p>
        </w:tc>
        <w:tc>
          <w:tcPr>
            <w:tcW w:w="1843" w:type="dxa"/>
            <w:vAlign w:val="center"/>
          </w:tcPr>
          <w:p w14:paraId="2518A6EB"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FB30DB" w:rsidRPr="001667DB" w14:paraId="5D1B59EC" w14:textId="77777777" w:rsidTr="00002E63">
        <w:tc>
          <w:tcPr>
            <w:tcW w:w="546" w:type="dxa"/>
          </w:tcPr>
          <w:p w14:paraId="4A2795BB"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9</w:t>
            </w:r>
          </w:p>
        </w:tc>
        <w:tc>
          <w:tcPr>
            <w:tcW w:w="6549" w:type="dxa"/>
          </w:tcPr>
          <w:p w14:paraId="6BA7FA40"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Nasiąkliwość według PN-EN 1097-6 [16], rozdział 7, 8 lub 9:</w:t>
            </w:r>
          </w:p>
        </w:tc>
        <w:tc>
          <w:tcPr>
            <w:tcW w:w="1843" w:type="dxa"/>
            <w:vAlign w:val="center"/>
          </w:tcPr>
          <w:p w14:paraId="263868DB"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FB30DB" w:rsidRPr="001667DB" w14:paraId="544E4022" w14:textId="77777777" w:rsidTr="00002E63">
        <w:tc>
          <w:tcPr>
            <w:tcW w:w="546" w:type="dxa"/>
          </w:tcPr>
          <w:p w14:paraId="7D558DB2"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6549" w:type="dxa"/>
            <w:vAlign w:val="center"/>
          </w:tcPr>
          <w:p w14:paraId="5629D322"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Mrozoodporność według PN-EN 1367-6 [20], w 1 % NaCl (dotyczy warstwy ścieralnej); kategoria nie wyższa niż:</w:t>
            </w:r>
          </w:p>
        </w:tc>
        <w:tc>
          <w:tcPr>
            <w:tcW w:w="1843" w:type="dxa"/>
          </w:tcPr>
          <w:p w14:paraId="1D95A7BB" w14:textId="77777777" w:rsidR="00FB30DB" w:rsidRPr="001667DB" w:rsidRDefault="00FB30DB" w:rsidP="00955A27">
            <w:pPr>
              <w:spacing w:before="120" w:after="120" w:line="360" w:lineRule="auto"/>
              <w:jc w:val="center"/>
              <w:rPr>
                <w:rFonts w:ascii="Times New Roman" w:hAnsi="Times New Roman" w:cs="Times New Roman"/>
                <w:color w:val="000000" w:themeColor="text1"/>
              </w:rPr>
            </w:pPr>
          </w:p>
          <w:p w14:paraId="11506563" w14:textId="77777777" w:rsidR="00FB30DB" w:rsidRPr="001667DB" w:rsidRDefault="00FB30DB"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r w:rsidR="00FB30DB" w:rsidRPr="001667DB" w14:paraId="44DCE882" w14:textId="77777777" w:rsidTr="00002E63">
        <w:tc>
          <w:tcPr>
            <w:tcW w:w="546" w:type="dxa"/>
          </w:tcPr>
          <w:p w14:paraId="58FF48E5"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6549" w:type="dxa"/>
            <w:vAlign w:val="center"/>
          </w:tcPr>
          <w:p w14:paraId="549C4C49"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 xml:space="preserve">„Zgorzel słoneczna” bazaltu według </w:t>
            </w:r>
            <w:r w:rsidRPr="001667DB">
              <w:rPr>
                <w:rFonts w:ascii="Times New Roman" w:hAnsi="Times New Roman" w:cs="Times New Roman"/>
                <w:color w:val="000000" w:themeColor="text1"/>
              </w:rPr>
              <w:br/>
              <w:t>PN-EN 1367-3 [19]; wymagana kategoria:</w:t>
            </w:r>
          </w:p>
        </w:tc>
        <w:tc>
          <w:tcPr>
            <w:tcW w:w="1843" w:type="dxa"/>
          </w:tcPr>
          <w:p w14:paraId="0B277739"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04156C00"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SB</w:t>
            </w:r>
            <w:r w:rsidRPr="001667DB">
              <w:rPr>
                <w:rFonts w:ascii="Times New Roman" w:hAnsi="Times New Roman" w:cs="Times New Roman"/>
                <w:color w:val="000000" w:themeColor="text1"/>
                <w:vertAlign w:val="subscript"/>
              </w:rPr>
              <w:t>LA</w:t>
            </w:r>
          </w:p>
        </w:tc>
      </w:tr>
      <w:tr w:rsidR="00FB30DB" w:rsidRPr="001667DB" w14:paraId="70DFA9FC" w14:textId="77777777" w:rsidTr="00002E63">
        <w:tc>
          <w:tcPr>
            <w:tcW w:w="546" w:type="dxa"/>
          </w:tcPr>
          <w:p w14:paraId="69D09904"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6549" w:type="dxa"/>
            <w:vAlign w:val="center"/>
          </w:tcPr>
          <w:p w14:paraId="028B2DD6"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Skład chemiczny – uproszczony opis petrograficzny według PN-EN 932-3 [5]</w:t>
            </w:r>
          </w:p>
        </w:tc>
        <w:tc>
          <w:tcPr>
            <w:tcW w:w="1843" w:type="dxa"/>
          </w:tcPr>
          <w:p w14:paraId="306A1620"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deklarowa-ny przez producenta</w:t>
            </w:r>
          </w:p>
        </w:tc>
      </w:tr>
      <w:tr w:rsidR="00FB30DB" w:rsidRPr="001667DB" w14:paraId="77F6B163" w14:textId="77777777" w:rsidTr="00002E63">
        <w:tc>
          <w:tcPr>
            <w:tcW w:w="546" w:type="dxa"/>
          </w:tcPr>
          <w:p w14:paraId="4F8909A7"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6549" w:type="dxa"/>
            <w:vAlign w:val="center"/>
          </w:tcPr>
          <w:p w14:paraId="57443517"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Grube zanieczyszczenia lekkie według PN-EN 1744-1 [23], p.14.2; kategoria nie wyższa niż:</w:t>
            </w:r>
          </w:p>
        </w:tc>
        <w:tc>
          <w:tcPr>
            <w:tcW w:w="1843" w:type="dxa"/>
          </w:tcPr>
          <w:p w14:paraId="6EB5A2FF" w14:textId="77777777" w:rsidR="00FB30DB" w:rsidRPr="001667DB" w:rsidRDefault="00FB30DB" w:rsidP="00955A27">
            <w:pPr>
              <w:spacing w:after="120" w:line="360" w:lineRule="auto"/>
              <w:jc w:val="center"/>
              <w:rPr>
                <w:rFonts w:ascii="Times New Roman" w:hAnsi="Times New Roman" w:cs="Times New Roman"/>
                <w:i/>
                <w:color w:val="000000" w:themeColor="text1"/>
              </w:rPr>
            </w:pPr>
          </w:p>
          <w:p w14:paraId="493B0334" w14:textId="77777777" w:rsidR="00FB30DB" w:rsidRPr="001667DB" w:rsidRDefault="00FB30DB"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 xml:space="preserve"> 0,1</w:t>
            </w:r>
          </w:p>
        </w:tc>
      </w:tr>
      <w:tr w:rsidR="00FB30DB" w:rsidRPr="001667DB" w14:paraId="2077B699" w14:textId="77777777" w:rsidTr="00002E63">
        <w:tc>
          <w:tcPr>
            <w:tcW w:w="546" w:type="dxa"/>
          </w:tcPr>
          <w:p w14:paraId="4E001874"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6549" w:type="dxa"/>
            <w:vAlign w:val="center"/>
          </w:tcPr>
          <w:p w14:paraId="74B6ECC9"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krzemianowy żużla wielkopiecowego chłodzonego powietrzem według PN-EN 1744-1 [23], p. 19.1:</w:t>
            </w:r>
          </w:p>
        </w:tc>
        <w:tc>
          <w:tcPr>
            <w:tcW w:w="1843" w:type="dxa"/>
            <w:vAlign w:val="center"/>
          </w:tcPr>
          <w:p w14:paraId="28A6C246"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tc>
      </w:tr>
      <w:tr w:rsidR="00FB30DB" w:rsidRPr="001667DB" w14:paraId="62CD6BAA" w14:textId="77777777" w:rsidTr="00002E63">
        <w:tc>
          <w:tcPr>
            <w:tcW w:w="546" w:type="dxa"/>
          </w:tcPr>
          <w:p w14:paraId="2BA4C3C8"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6549" w:type="dxa"/>
            <w:vAlign w:val="center"/>
          </w:tcPr>
          <w:p w14:paraId="6AF78BF9"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Rozpad żelazowy żużla wielkopiecowego chłodzonego powietrzem według PN-EN 1744-1 [23], p. 19.2:</w:t>
            </w:r>
          </w:p>
        </w:tc>
        <w:tc>
          <w:tcPr>
            <w:tcW w:w="1843" w:type="dxa"/>
            <w:vAlign w:val="center"/>
          </w:tcPr>
          <w:p w14:paraId="35C1B1C4"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wymagana odporność</w:t>
            </w:r>
          </w:p>
        </w:tc>
      </w:tr>
      <w:tr w:rsidR="00FB30DB" w:rsidRPr="001667DB" w14:paraId="0C358C04" w14:textId="77777777" w:rsidTr="00002E63">
        <w:tc>
          <w:tcPr>
            <w:tcW w:w="546" w:type="dxa"/>
          </w:tcPr>
          <w:p w14:paraId="7DA85330"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6549" w:type="dxa"/>
            <w:vAlign w:val="center"/>
          </w:tcPr>
          <w:p w14:paraId="3D8C50FF" w14:textId="77777777" w:rsidR="00FB30DB" w:rsidRPr="001667DB" w:rsidRDefault="00FB30DB"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Stałość objętości kruszywa z żużla stalowniczego według PN-EN 1744-1 [23] p. 19.3; kategoria nie wyższa niż:</w:t>
            </w:r>
          </w:p>
        </w:tc>
        <w:tc>
          <w:tcPr>
            <w:tcW w:w="1843" w:type="dxa"/>
          </w:tcPr>
          <w:p w14:paraId="4B0C2A84" w14:textId="77777777" w:rsidR="00FB30DB" w:rsidRPr="001667DB" w:rsidRDefault="00FB30DB" w:rsidP="00955A27">
            <w:pPr>
              <w:spacing w:before="60" w:after="120" w:line="360" w:lineRule="auto"/>
              <w:jc w:val="center"/>
              <w:rPr>
                <w:rFonts w:ascii="Times New Roman" w:hAnsi="Times New Roman" w:cs="Times New Roman"/>
                <w:i/>
                <w:color w:val="000000" w:themeColor="text1"/>
              </w:rPr>
            </w:pPr>
          </w:p>
          <w:p w14:paraId="2CC7E8AA" w14:textId="77777777" w:rsidR="00FB30DB" w:rsidRPr="001667DB" w:rsidRDefault="00FB30DB" w:rsidP="00955A27">
            <w:pPr>
              <w:spacing w:before="60"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3,5</w:t>
            </w:r>
          </w:p>
        </w:tc>
      </w:tr>
    </w:tbl>
    <w:p w14:paraId="7D492926" w14:textId="77777777" w:rsidR="00955A27" w:rsidRPr="001667DB" w:rsidRDefault="00955A27" w:rsidP="00955A27">
      <w:pPr>
        <w:shd w:val="clear" w:color="auto" w:fill="FFFFFF"/>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Kruszywa grube, które nie spełniają wymaganej kategorii wobec odporności na polerowanie (</w:t>
      </w:r>
      <w:r w:rsidRPr="001667DB">
        <w:rPr>
          <w:rFonts w:ascii="Times New Roman" w:hAnsi="Times New Roman" w:cs="Times New Roman"/>
          <w:i/>
          <w:color w:val="000000" w:themeColor="text1"/>
        </w:rPr>
        <w:t>PSV</w:t>
      </w:r>
      <w:r w:rsidRPr="001667DB">
        <w:rPr>
          <w:rFonts w:ascii="Times New Roman" w:hAnsi="Times New Roman" w:cs="Times New Roman"/>
          <w:color w:val="000000" w:themeColor="text1"/>
        </w:rPr>
        <w:t>), mogą być stosowane, jeśli są używane w mieszance kruszyw (grubych), która obliczeniowo osiąga podaną wartość wymaganej kategorii. Obliczona wartość (</w:t>
      </w:r>
      <w:r w:rsidRPr="001667DB">
        <w:rPr>
          <w:rFonts w:ascii="Times New Roman" w:hAnsi="Times New Roman" w:cs="Times New Roman"/>
          <w:i/>
          <w:color w:val="000000" w:themeColor="text1"/>
        </w:rPr>
        <w:t>PSV</w:t>
      </w:r>
      <w:r w:rsidRPr="001667DB">
        <w:rPr>
          <w:rFonts w:ascii="Times New Roman" w:hAnsi="Times New Roman" w:cs="Times New Roman"/>
          <w:color w:val="000000" w:themeColor="text1"/>
        </w:rPr>
        <w:t>) mieszanki kruszywa grubego jest średnią ważoną wynikającą z wagowego udziału każdego z rodzajów kruszyw grubych przewidzianych do zastosowania w mieszance mineralno-asfaltowej oraz kategorii odporności na polerowania każdego z tych kruszyw. Można mieszać tylko kruszywa grube kategorii PSV</w:t>
      </w:r>
      <w:r w:rsidRPr="001667DB">
        <w:rPr>
          <w:rFonts w:ascii="Times New Roman" w:hAnsi="Times New Roman" w:cs="Times New Roman"/>
          <w:color w:val="000000" w:themeColor="text1"/>
          <w:vertAlign w:val="subscript"/>
        </w:rPr>
        <w:t>44</w:t>
      </w:r>
      <w:r w:rsidRPr="001667DB">
        <w:rPr>
          <w:rFonts w:ascii="Times New Roman" w:hAnsi="Times New Roman" w:cs="Times New Roman"/>
          <w:color w:val="000000" w:themeColor="text1"/>
        </w:rPr>
        <w:t xml:space="preserve"> i wyższej.</w:t>
      </w:r>
    </w:p>
    <w:p w14:paraId="7ABCA3BE" w14:textId="77777777" w:rsidR="00955A27" w:rsidRPr="001667DB" w:rsidRDefault="00955A27" w:rsidP="00955A27">
      <w:pPr>
        <w:shd w:val="clear" w:color="auto" w:fill="FFFFFF"/>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Kruszywo niełamane drobne lub o ciągłym uziarnieniu do D ≤ 8  do warstwy ścieralnej  z betonu asfaltowego  powinno spełniać wymagania podane w tablicy  7 .</w:t>
      </w:r>
    </w:p>
    <w:p w14:paraId="31E2A37D" w14:textId="77777777" w:rsidR="00955A27" w:rsidRPr="001667DB" w:rsidRDefault="00955A27" w:rsidP="00955A27">
      <w:pPr>
        <w:shd w:val="clear" w:color="auto" w:fill="FFFFFF"/>
        <w:spacing w:before="120" w:after="120" w:line="360" w:lineRule="auto"/>
        <w:ind w:left="1320" w:hanging="1320"/>
        <w:rPr>
          <w:rFonts w:ascii="Times New Roman" w:hAnsi="Times New Roman" w:cs="Times New Roman"/>
          <w:color w:val="000000" w:themeColor="text1"/>
        </w:rPr>
      </w:pPr>
      <w:r w:rsidRPr="001667DB">
        <w:rPr>
          <w:rFonts w:ascii="Times New Roman" w:hAnsi="Times New Roman" w:cs="Times New Roman"/>
          <w:color w:val="000000" w:themeColor="text1"/>
        </w:rPr>
        <w:t>Tablica 7. Wymagane właściwości kruszywa niełamanego drobnego lub o ciągłym uziarnieniu do D≤8  do warstwy ścieralnej  z betonu asfaltowego</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08"/>
        <w:gridCol w:w="2985"/>
      </w:tblGrid>
      <w:tr w:rsidR="00955A27" w:rsidRPr="001667DB" w14:paraId="0CE60690" w14:textId="77777777">
        <w:tc>
          <w:tcPr>
            <w:tcW w:w="675" w:type="dxa"/>
            <w:vMerge w:val="restart"/>
          </w:tcPr>
          <w:p w14:paraId="5EA6C8CD" w14:textId="77777777" w:rsidR="00955A27" w:rsidRPr="001667DB" w:rsidRDefault="00955A27" w:rsidP="00955A27">
            <w:pPr>
              <w:spacing w:after="120" w:line="360" w:lineRule="auto"/>
              <w:rPr>
                <w:rFonts w:ascii="Times New Roman" w:hAnsi="Times New Roman" w:cs="Times New Roman"/>
                <w:color w:val="000000" w:themeColor="text1"/>
              </w:rPr>
            </w:pPr>
          </w:p>
          <w:p w14:paraId="3F724AD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5208" w:type="dxa"/>
            <w:vMerge w:val="restart"/>
          </w:tcPr>
          <w:p w14:paraId="1EAF2428"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400ACF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2985" w:type="dxa"/>
          </w:tcPr>
          <w:p w14:paraId="79C81BF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955A27" w:rsidRPr="001667DB" w14:paraId="341D11E0" w14:textId="77777777">
        <w:tc>
          <w:tcPr>
            <w:tcW w:w="675" w:type="dxa"/>
            <w:vMerge/>
          </w:tcPr>
          <w:p w14:paraId="6F96736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208" w:type="dxa"/>
            <w:vMerge/>
          </w:tcPr>
          <w:p w14:paraId="79D59C3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985" w:type="dxa"/>
          </w:tcPr>
          <w:p w14:paraId="12D5EE2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KR1÷KR2</w:t>
            </w:r>
          </w:p>
        </w:tc>
      </w:tr>
      <w:tr w:rsidR="00955A27" w:rsidRPr="001667DB" w14:paraId="6418EC9E" w14:textId="77777777">
        <w:tc>
          <w:tcPr>
            <w:tcW w:w="675" w:type="dxa"/>
          </w:tcPr>
          <w:p w14:paraId="5A43867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w:t>
            </w:r>
          </w:p>
        </w:tc>
        <w:tc>
          <w:tcPr>
            <w:tcW w:w="5208" w:type="dxa"/>
          </w:tcPr>
          <w:p w14:paraId="6B8A064D"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Uziarnienie według PN-EN 933-1 [6], wymagana kategoria:</w:t>
            </w:r>
          </w:p>
        </w:tc>
        <w:tc>
          <w:tcPr>
            <w:tcW w:w="2985" w:type="dxa"/>
          </w:tcPr>
          <w:p w14:paraId="2920A2F9"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 lub 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r>
      <w:tr w:rsidR="00955A27" w:rsidRPr="001667DB" w14:paraId="0A718C25" w14:textId="77777777">
        <w:tc>
          <w:tcPr>
            <w:tcW w:w="675" w:type="dxa"/>
          </w:tcPr>
          <w:p w14:paraId="2B3A522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5208" w:type="dxa"/>
          </w:tcPr>
          <w:p w14:paraId="776E5318"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Tolerancja uziarnienia; odchylenie nie większe niż według kategorii:</w:t>
            </w:r>
          </w:p>
        </w:tc>
        <w:tc>
          <w:tcPr>
            <w:tcW w:w="2985" w:type="dxa"/>
          </w:tcPr>
          <w:p w14:paraId="5E76B102"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NR</w:t>
            </w:r>
          </w:p>
        </w:tc>
      </w:tr>
      <w:tr w:rsidR="00955A27" w:rsidRPr="001667DB" w14:paraId="1D26F01C" w14:textId="77777777">
        <w:tc>
          <w:tcPr>
            <w:tcW w:w="675" w:type="dxa"/>
          </w:tcPr>
          <w:p w14:paraId="411A28E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5208" w:type="dxa"/>
          </w:tcPr>
          <w:p w14:paraId="23A102D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według PN-EN 933-1 [6], kategoria nie wyższa niż:</w:t>
            </w:r>
          </w:p>
        </w:tc>
        <w:tc>
          <w:tcPr>
            <w:tcW w:w="2985" w:type="dxa"/>
          </w:tcPr>
          <w:p w14:paraId="72F787F0"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sym w:font="Symbol" w:char="F0A6"/>
            </w:r>
            <w:r w:rsidRPr="001667DB">
              <w:rPr>
                <w:rFonts w:ascii="Times New Roman" w:hAnsi="Times New Roman" w:cs="Times New Roman"/>
                <w:color w:val="000000" w:themeColor="text1"/>
                <w:vertAlign w:val="subscript"/>
              </w:rPr>
              <w:t>3</w:t>
            </w:r>
          </w:p>
        </w:tc>
      </w:tr>
      <w:tr w:rsidR="00955A27" w:rsidRPr="001667DB" w14:paraId="2FA84840" w14:textId="77777777">
        <w:tc>
          <w:tcPr>
            <w:tcW w:w="675" w:type="dxa"/>
          </w:tcPr>
          <w:p w14:paraId="79D627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5208" w:type="dxa"/>
          </w:tcPr>
          <w:p w14:paraId="27BB33F1"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Jakość pyłów według PN-EN 933-9 [11]; kategoria nie wyższa niż:</w:t>
            </w:r>
          </w:p>
        </w:tc>
        <w:tc>
          <w:tcPr>
            <w:tcW w:w="2985" w:type="dxa"/>
          </w:tcPr>
          <w:p w14:paraId="53C4601E" w14:textId="77777777" w:rsidR="00955A27" w:rsidRPr="001667DB" w:rsidRDefault="00955A27" w:rsidP="00955A27">
            <w:pPr>
              <w:spacing w:before="120"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1DE961C3" w14:textId="77777777">
        <w:tc>
          <w:tcPr>
            <w:tcW w:w="675" w:type="dxa"/>
          </w:tcPr>
          <w:p w14:paraId="65E8818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5208" w:type="dxa"/>
          </w:tcPr>
          <w:p w14:paraId="23BF41A3"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Kanciastość kruszywa drobnego lub kruszywa 0/2 wydzielonego z kruszywa o ciągłym uziarnieniu według PN-EN 933-6 [10], rozdz. 8, kategoria nie niższa niż:</w:t>
            </w:r>
          </w:p>
        </w:tc>
        <w:tc>
          <w:tcPr>
            <w:tcW w:w="2985" w:type="dxa"/>
          </w:tcPr>
          <w:p w14:paraId="7B45D943" w14:textId="77777777" w:rsidR="00955A27" w:rsidRPr="001667DB" w:rsidRDefault="00955A27" w:rsidP="00955A27">
            <w:pPr>
              <w:spacing w:after="120" w:line="360" w:lineRule="auto"/>
              <w:jc w:val="center"/>
              <w:rPr>
                <w:rFonts w:ascii="Times New Roman" w:hAnsi="Times New Roman" w:cs="Times New Roman"/>
                <w:i/>
                <w:color w:val="000000" w:themeColor="text1"/>
              </w:rPr>
            </w:pPr>
          </w:p>
          <w:p w14:paraId="41ACD162"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i/>
                <w:color w:val="000000" w:themeColor="text1"/>
              </w:rPr>
              <w:t>E</w:t>
            </w:r>
            <w:r w:rsidRPr="001667DB">
              <w:rPr>
                <w:rFonts w:ascii="Times New Roman" w:hAnsi="Times New Roman" w:cs="Times New Roman"/>
                <w:color w:val="000000" w:themeColor="text1"/>
                <w:vertAlign w:val="subscript"/>
              </w:rPr>
              <w:t xml:space="preserve">cs </w:t>
            </w:r>
            <w:r w:rsidRPr="001667DB">
              <w:rPr>
                <w:rFonts w:ascii="Times New Roman" w:hAnsi="Times New Roman" w:cs="Times New Roman"/>
                <w:color w:val="000000" w:themeColor="text1"/>
              </w:rPr>
              <w:t>Deklarowana</w:t>
            </w:r>
          </w:p>
        </w:tc>
      </w:tr>
      <w:tr w:rsidR="00955A27" w:rsidRPr="001667DB" w14:paraId="73CD461B" w14:textId="77777777">
        <w:tc>
          <w:tcPr>
            <w:tcW w:w="675" w:type="dxa"/>
          </w:tcPr>
          <w:p w14:paraId="1D58426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5208" w:type="dxa"/>
          </w:tcPr>
          <w:p w14:paraId="5DF8CEC6"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Gęstość ziaren według PN-EN 1097-6 [16], rozdz. 7, 8 lub 9:</w:t>
            </w:r>
          </w:p>
        </w:tc>
        <w:tc>
          <w:tcPr>
            <w:tcW w:w="2985" w:type="dxa"/>
          </w:tcPr>
          <w:p w14:paraId="2D215BD8" w14:textId="77777777" w:rsidR="00955A27" w:rsidRPr="001667DB" w:rsidRDefault="00955A27" w:rsidP="00955A27">
            <w:pPr>
              <w:spacing w:after="120" w:line="360" w:lineRule="auto"/>
              <w:jc w:val="center"/>
              <w:rPr>
                <w:rFonts w:ascii="Times New Roman" w:hAnsi="Times New Roman" w:cs="Times New Roman"/>
                <w:b/>
                <w:color w:val="000000" w:themeColor="text1"/>
              </w:rPr>
            </w:pPr>
            <w:r w:rsidRPr="001667DB">
              <w:rPr>
                <w:rFonts w:ascii="Times New Roman" w:hAnsi="Times New Roman" w:cs="Times New Roman"/>
                <w:color w:val="000000" w:themeColor="text1"/>
              </w:rPr>
              <w:t>deklarowana przez producenta</w:t>
            </w:r>
          </w:p>
        </w:tc>
      </w:tr>
      <w:tr w:rsidR="00955A27" w:rsidRPr="001667DB" w14:paraId="2E7BAD13" w14:textId="77777777">
        <w:tc>
          <w:tcPr>
            <w:tcW w:w="675" w:type="dxa"/>
          </w:tcPr>
          <w:p w14:paraId="2507757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5208" w:type="dxa"/>
          </w:tcPr>
          <w:p w14:paraId="2A313EC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Nasiąkliwość według PN-EN 1097-6 [16], rozdz. 7, 8 lub 9</w:t>
            </w:r>
          </w:p>
        </w:tc>
        <w:tc>
          <w:tcPr>
            <w:tcW w:w="2985" w:type="dxa"/>
            <w:vAlign w:val="center"/>
          </w:tcPr>
          <w:p w14:paraId="3E4314A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422168A7" w14:textId="77777777">
        <w:tc>
          <w:tcPr>
            <w:tcW w:w="675" w:type="dxa"/>
          </w:tcPr>
          <w:p w14:paraId="59AB6F0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5208" w:type="dxa"/>
          </w:tcPr>
          <w:p w14:paraId="20CFDB3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2985" w:type="dxa"/>
            <w:vAlign w:val="center"/>
          </w:tcPr>
          <w:p w14:paraId="611A1EE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0,1</w:t>
            </w:r>
          </w:p>
        </w:tc>
      </w:tr>
    </w:tbl>
    <w:p w14:paraId="16B8A07E" w14:textId="77777777" w:rsidR="00955A27" w:rsidRPr="001667DB" w:rsidRDefault="00955A27" w:rsidP="00955A27">
      <w:pPr>
        <w:shd w:val="clear" w:color="auto" w:fill="FFFFFF"/>
        <w:spacing w:after="120" w:line="360" w:lineRule="auto"/>
        <w:rPr>
          <w:rFonts w:ascii="Times New Roman" w:hAnsi="Times New Roman" w:cs="Times New Roman"/>
          <w:b/>
          <w:color w:val="000000" w:themeColor="text1"/>
        </w:rPr>
      </w:pPr>
    </w:p>
    <w:p w14:paraId="43F1C2BD" w14:textId="77777777" w:rsidR="00955A27" w:rsidRPr="001667DB" w:rsidRDefault="00955A27" w:rsidP="00955A27">
      <w:pPr>
        <w:shd w:val="clear" w:color="auto" w:fill="FFFFFF"/>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Kruszywo łamane drobne lub o ciągłym uziarnieniu do D≤8  do warstwy ścieralnej  z betonu asfaltowego  powinno spełniać wymagania podane w tablicy  8 .</w:t>
      </w:r>
    </w:p>
    <w:p w14:paraId="25AE9072" w14:textId="77777777" w:rsidR="00955A27" w:rsidRPr="001667DB" w:rsidRDefault="00955A27" w:rsidP="00955A27">
      <w:pPr>
        <w:shd w:val="clear" w:color="auto" w:fill="FFFFFF"/>
        <w:spacing w:before="120" w:after="120" w:line="360" w:lineRule="auto"/>
        <w:ind w:left="1321" w:hanging="1321"/>
        <w:rPr>
          <w:rFonts w:ascii="Times New Roman" w:hAnsi="Times New Roman" w:cs="Times New Roman"/>
          <w:color w:val="000000" w:themeColor="text1"/>
        </w:rPr>
      </w:pPr>
      <w:r w:rsidRPr="001667DB">
        <w:rPr>
          <w:rFonts w:ascii="Times New Roman" w:hAnsi="Times New Roman" w:cs="Times New Roman"/>
          <w:color w:val="000000" w:themeColor="text1"/>
        </w:rPr>
        <w:t>Tablica 8. Wymagane właściwości kruszywa łamanego drobnego lub o ciągłym uziarnieniu do D≤8  do warstwy ścieralnej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353"/>
        <w:gridCol w:w="3788"/>
      </w:tblGrid>
      <w:tr w:rsidR="00955A27" w:rsidRPr="001667DB" w14:paraId="6688D74C" w14:textId="77777777" w:rsidTr="00FB30DB">
        <w:tc>
          <w:tcPr>
            <w:tcW w:w="675" w:type="dxa"/>
            <w:vAlign w:val="center"/>
          </w:tcPr>
          <w:p w14:paraId="34E82A5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4353" w:type="dxa"/>
            <w:vAlign w:val="center"/>
          </w:tcPr>
          <w:p w14:paraId="49AD765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3788" w:type="dxa"/>
            <w:vAlign w:val="center"/>
          </w:tcPr>
          <w:p w14:paraId="1EA2CC6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FB30DB" w:rsidRPr="001667DB" w14:paraId="17ECF758" w14:textId="77777777" w:rsidTr="00FB30DB">
        <w:tc>
          <w:tcPr>
            <w:tcW w:w="675" w:type="dxa"/>
            <w:vAlign w:val="center"/>
          </w:tcPr>
          <w:p w14:paraId="2AB861D1" w14:textId="77777777" w:rsidR="00FB30DB" w:rsidRPr="001667DB" w:rsidRDefault="00FB30DB" w:rsidP="00955A27">
            <w:pPr>
              <w:spacing w:after="120" w:line="360" w:lineRule="auto"/>
              <w:jc w:val="center"/>
              <w:rPr>
                <w:rFonts w:ascii="Times New Roman" w:hAnsi="Times New Roman" w:cs="Times New Roman"/>
                <w:color w:val="000000" w:themeColor="text1"/>
              </w:rPr>
            </w:pPr>
          </w:p>
        </w:tc>
        <w:tc>
          <w:tcPr>
            <w:tcW w:w="4353" w:type="dxa"/>
            <w:vAlign w:val="center"/>
          </w:tcPr>
          <w:p w14:paraId="7E8D5548" w14:textId="77777777" w:rsidR="00FB30DB" w:rsidRPr="001667DB" w:rsidRDefault="00FB30DB" w:rsidP="00955A27">
            <w:pPr>
              <w:spacing w:after="120" w:line="360" w:lineRule="auto"/>
              <w:jc w:val="center"/>
              <w:rPr>
                <w:rFonts w:ascii="Times New Roman" w:hAnsi="Times New Roman" w:cs="Times New Roman"/>
                <w:color w:val="000000" w:themeColor="text1"/>
              </w:rPr>
            </w:pPr>
          </w:p>
        </w:tc>
        <w:tc>
          <w:tcPr>
            <w:tcW w:w="3788" w:type="dxa"/>
            <w:vAlign w:val="center"/>
          </w:tcPr>
          <w:p w14:paraId="0F0D9A81" w14:textId="77777777" w:rsidR="00FB30DB" w:rsidRPr="00FB30DB" w:rsidRDefault="00FB30DB" w:rsidP="00FB30DB">
            <w:pPr>
              <w:spacing w:after="120" w:line="360" w:lineRule="auto"/>
              <w:jc w:val="center"/>
              <w:rPr>
                <w:rFonts w:ascii="Times New Roman" w:hAnsi="Times New Roman" w:cs="Times New Roman"/>
                <w:b/>
                <w:color w:val="000000" w:themeColor="text1"/>
              </w:rPr>
            </w:pPr>
            <w:r w:rsidRPr="002824F8">
              <w:rPr>
                <w:rFonts w:ascii="Times New Roman" w:hAnsi="Times New Roman" w:cs="Times New Roman"/>
                <w:b/>
                <w:color w:val="000000" w:themeColor="text1"/>
              </w:rPr>
              <w:t xml:space="preserve">KR1 </w:t>
            </w:r>
            <w:r w:rsidRPr="002824F8">
              <w:rPr>
                <w:rFonts w:ascii="Times New Roman" w:hAnsi="Times New Roman" w:cs="Times New Roman"/>
                <w:b/>
                <w:color w:val="000000" w:themeColor="text1"/>
              </w:rPr>
              <w:sym w:font="Symbol" w:char="F0B8"/>
            </w:r>
            <w:r w:rsidRPr="002824F8">
              <w:rPr>
                <w:rFonts w:ascii="Times New Roman" w:hAnsi="Times New Roman" w:cs="Times New Roman"/>
                <w:b/>
                <w:color w:val="000000" w:themeColor="text1"/>
              </w:rPr>
              <w:t xml:space="preserve"> KR2</w:t>
            </w:r>
          </w:p>
        </w:tc>
      </w:tr>
      <w:tr w:rsidR="00955A27" w:rsidRPr="001667DB" w14:paraId="16C6E9D7" w14:textId="77777777" w:rsidTr="00FB30DB">
        <w:tc>
          <w:tcPr>
            <w:tcW w:w="675" w:type="dxa"/>
          </w:tcPr>
          <w:p w14:paraId="78D9B27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4353" w:type="dxa"/>
          </w:tcPr>
          <w:p w14:paraId="529FCA8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według PN-EN 933-1 [6], wymagana kategoria:</w:t>
            </w:r>
          </w:p>
        </w:tc>
        <w:tc>
          <w:tcPr>
            <w:tcW w:w="3788" w:type="dxa"/>
            <w:vAlign w:val="center"/>
          </w:tcPr>
          <w:p w14:paraId="572A8F4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 lub G</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85</w:t>
            </w:r>
          </w:p>
        </w:tc>
      </w:tr>
      <w:tr w:rsidR="00FB30DB" w:rsidRPr="001667DB" w14:paraId="786EF821" w14:textId="77777777" w:rsidTr="00FB30DB">
        <w:tc>
          <w:tcPr>
            <w:tcW w:w="675" w:type="dxa"/>
          </w:tcPr>
          <w:p w14:paraId="6805912E" w14:textId="77777777" w:rsidR="00FB30DB" w:rsidRPr="001667DB" w:rsidRDefault="00FB30DB"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4353" w:type="dxa"/>
          </w:tcPr>
          <w:p w14:paraId="389F74C4"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Tolerancja uziarnienia; odchylenie nie większe niż według kategorii:</w:t>
            </w:r>
          </w:p>
        </w:tc>
        <w:tc>
          <w:tcPr>
            <w:tcW w:w="3788" w:type="dxa"/>
          </w:tcPr>
          <w:p w14:paraId="584F61FC" w14:textId="77777777" w:rsidR="00FB30DB" w:rsidRPr="001667DB" w:rsidRDefault="00FB30DB"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r w:rsidRPr="001667DB">
              <w:rPr>
                <w:rFonts w:ascii="Times New Roman" w:hAnsi="Times New Roman" w:cs="Times New Roman"/>
                <w:color w:val="000000" w:themeColor="text1"/>
                <w:vertAlign w:val="subscript"/>
              </w:rPr>
              <w:t>TC</w:t>
            </w:r>
            <w:r w:rsidRPr="001667DB">
              <w:rPr>
                <w:rFonts w:ascii="Times New Roman" w:hAnsi="Times New Roman" w:cs="Times New Roman"/>
                <w:color w:val="000000" w:themeColor="text1"/>
              </w:rPr>
              <w:t>NR</w:t>
            </w:r>
          </w:p>
        </w:tc>
      </w:tr>
      <w:tr w:rsidR="00955A27" w:rsidRPr="001667DB" w14:paraId="0846D5E8" w14:textId="77777777" w:rsidTr="00FB30DB">
        <w:tc>
          <w:tcPr>
            <w:tcW w:w="675" w:type="dxa"/>
          </w:tcPr>
          <w:p w14:paraId="5432064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4353" w:type="dxa"/>
          </w:tcPr>
          <w:p w14:paraId="1E28524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pyłów według PN-EN 933-1 [6], kategoria nie wyższa niż:</w:t>
            </w:r>
          </w:p>
        </w:tc>
        <w:tc>
          <w:tcPr>
            <w:tcW w:w="3788" w:type="dxa"/>
            <w:vAlign w:val="center"/>
          </w:tcPr>
          <w:p w14:paraId="0BE917E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A6"/>
            </w:r>
            <w:r w:rsidRPr="001667DB">
              <w:rPr>
                <w:rFonts w:ascii="Times New Roman" w:hAnsi="Times New Roman" w:cs="Times New Roman"/>
                <w:color w:val="000000" w:themeColor="text1"/>
                <w:vertAlign w:val="subscript"/>
              </w:rPr>
              <w:t>16</w:t>
            </w:r>
          </w:p>
        </w:tc>
      </w:tr>
      <w:tr w:rsidR="00955A27" w:rsidRPr="001667DB" w14:paraId="6095C294" w14:textId="77777777" w:rsidTr="00FB30DB">
        <w:tc>
          <w:tcPr>
            <w:tcW w:w="675" w:type="dxa"/>
          </w:tcPr>
          <w:p w14:paraId="2088E8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4</w:t>
            </w:r>
          </w:p>
        </w:tc>
        <w:tc>
          <w:tcPr>
            <w:tcW w:w="4353" w:type="dxa"/>
          </w:tcPr>
          <w:p w14:paraId="3F54A09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Jakość pyłów według PN-EN 933-9 [11]; kategoria nie wyższa niż:</w:t>
            </w:r>
          </w:p>
        </w:tc>
        <w:tc>
          <w:tcPr>
            <w:tcW w:w="3788" w:type="dxa"/>
            <w:vAlign w:val="center"/>
          </w:tcPr>
          <w:p w14:paraId="2CA211E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FB30DB" w:rsidRPr="001667DB" w14:paraId="271B93D0" w14:textId="77777777" w:rsidTr="00FB30DB">
        <w:tc>
          <w:tcPr>
            <w:tcW w:w="675" w:type="dxa"/>
          </w:tcPr>
          <w:p w14:paraId="6C5684AD" w14:textId="77777777" w:rsidR="00FB30DB" w:rsidRPr="001667DB" w:rsidRDefault="00FB30DB"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4353" w:type="dxa"/>
          </w:tcPr>
          <w:p w14:paraId="4E2CC3AD" w14:textId="77777777" w:rsidR="00FB30DB" w:rsidRPr="001667DB" w:rsidRDefault="00FB30DB"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Kanciastość kruszywa drobnego według PN-EN 933-6 [10], rozdz. 8, kategoria nie niższa niż:</w:t>
            </w:r>
          </w:p>
        </w:tc>
        <w:tc>
          <w:tcPr>
            <w:tcW w:w="3788" w:type="dxa"/>
            <w:vAlign w:val="center"/>
          </w:tcPr>
          <w:p w14:paraId="265BB42B" w14:textId="77777777" w:rsidR="00FB30DB" w:rsidRPr="001667DB" w:rsidRDefault="00FB30DB" w:rsidP="00FB30DB">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E</w:t>
            </w:r>
            <w:r w:rsidRPr="001667DB">
              <w:rPr>
                <w:rFonts w:ascii="Times New Roman" w:hAnsi="Times New Roman" w:cs="Times New Roman"/>
                <w:color w:val="000000" w:themeColor="text1"/>
                <w:vertAlign w:val="subscript"/>
              </w:rPr>
              <w:t>cs</w:t>
            </w:r>
            <w:r w:rsidRPr="001667DB">
              <w:rPr>
                <w:rFonts w:ascii="Times New Roman" w:hAnsi="Times New Roman" w:cs="Times New Roman"/>
                <w:color w:val="000000" w:themeColor="text1"/>
              </w:rPr>
              <w:t>Deklarowana</w:t>
            </w:r>
          </w:p>
        </w:tc>
      </w:tr>
      <w:tr w:rsidR="00955A27" w:rsidRPr="001667DB" w14:paraId="5D7098DF" w14:textId="77777777" w:rsidTr="00FB30DB">
        <w:tc>
          <w:tcPr>
            <w:tcW w:w="675" w:type="dxa"/>
          </w:tcPr>
          <w:p w14:paraId="6802634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4353" w:type="dxa"/>
          </w:tcPr>
          <w:p w14:paraId="3EA6CC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ziaren według PN-EN 1097-6 [16], rozdz. 7, 8 lub 9:</w:t>
            </w:r>
          </w:p>
        </w:tc>
        <w:tc>
          <w:tcPr>
            <w:tcW w:w="3788" w:type="dxa"/>
            <w:vAlign w:val="center"/>
          </w:tcPr>
          <w:p w14:paraId="200E3E1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0E9E723D" w14:textId="77777777" w:rsidTr="00FB30DB">
        <w:tc>
          <w:tcPr>
            <w:tcW w:w="675" w:type="dxa"/>
          </w:tcPr>
          <w:p w14:paraId="43A59CC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4353" w:type="dxa"/>
          </w:tcPr>
          <w:p w14:paraId="437C11C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Nasiąkliwość według PN-EN 1097-6 [16], rozdz. 7, 8 lub 9</w:t>
            </w:r>
          </w:p>
        </w:tc>
        <w:tc>
          <w:tcPr>
            <w:tcW w:w="3788" w:type="dxa"/>
            <w:vAlign w:val="center"/>
          </w:tcPr>
          <w:p w14:paraId="09C2BB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37207288" w14:textId="77777777" w:rsidTr="00FB30DB">
        <w:tc>
          <w:tcPr>
            <w:tcW w:w="675" w:type="dxa"/>
          </w:tcPr>
          <w:p w14:paraId="6F9155D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4353" w:type="dxa"/>
          </w:tcPr>
          <w:p w14:paraId="3597F8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Grube zanieczyszczenia lekkie, według PN-EN 1744-1 [23] p. 14.2, kategoria nie wyższa niż:</w:t>
            </w:r>
          </w:p>
        </w:tc>
        <w:tc>
          <w:tcPr>
            <w:tcW w:w="3788" w:type="dxa"/>
            <w:vAlign w:val="center"/>
          </w:tcPr>
          <w:p w14:paraId="22371B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m</w:t>
            </w:r>
            <w:r w:rsidRPr="001667DB">
              <w:rPr>
                <w:rFonts w:ascii="Times New Roman" w:hAnsi="Times New Roman" w:cs="Times New Roman"/>
                <w:color w:val="000000" w:themeColor="text1"/>
                <w:vertAlign w:val="subscript"/>
              </w:rPr>
              <w:t>LPC</w:t>
            </w:r>
            <w:r w:rsidRPr="001667DB">
              <w:rPr>
                <w:rFonts w:ascii="Times New Roman" w:hAnsi="Times New Roman" w:cs="Times New Roman"/>
                <w:color w:val="000000" w:themeColor="text1"/>
              </w:rPr>
              <w:t>0,1</w:t>
            </w:r>
          </w:p>
        </w:tc>
      </w:tr>
    </w:tbl>
    <w:p w14:paraId="72D69F66" w14:textId="77777777" w:rsidR="00955A27" w:rsidRPr="001667DB" w:rsidRDefault="00955A27" w:rsidP="00955A27">
      <w:pPr>
        <w:spacing w:after="120" w:line="360" w:lineRule="auto"/>
        <w:rPr>
          <w:rFonts w:ascii="Times New Roman" w:hAnsi="Times New Roman" w:cs="Times New Roman"/>
          <w:color w:val="000000" w:themeColor="text1"/>
        </w:rPr>
      </w:pPr>
    </w:p>
    <w:p w14:paraId="2EADFDA6" w14:textId="77777777" w:rsidR="00955A27"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Do warstwy ścieralnej z betonu asfaltowego, w zależności od kategorii ruchu,  należy stosować wypełniacz spełniający wymagania podane w tablicy 9.</w:t>
      </w:r>
    </w:p>
    <w:p w14:paraId="686BF159" w14:textId="77777777" w:rsidR="00955A27" w:rsidRPr="001667DB" w:rsidRDefault="00955A27" w:rsidP="00955A27">
      <w:pPr>
        <w:tabs>
          <w:tab w:val="left" w:pos="1134"/>
        </w:tabs>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9.</w:t>
      </w:r>
      <w:r w:rsidRPr="001667DB">
        <w:rPr>
          <w:rFonts w:ascii="Times New Roman" w:hAnsi="Times New Roman" w:cs="Times New Roman"/>
          <w:color w:val="000000" w:themeColor="text1"/>
        </w:rPr>
        <w:tab/>
        <w:t>Wymagane właściwości wypełniacza do warstwy ścieralnej  z betonu asfaltowego</w:t>
      </w:r>
    </w:p>
    <w:tbl>
      <w:tblPr>
        <w:tblW w:w="8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320"/>
        <w:gridCol w:w="3600"/>
      </w:tblGrid>
      <w:tr w:rsidR="00955A27" w:rsidRPr="001667DB" w14:paraId="6D5B2504" w14:textId="77777777" w:rsidTr="001B4B8F">
        <w:tc>
          <w:tcPr>
            <w:tcW w:w="708" w:type="dxa"/>
            <w:vMerge w:val="restart"/>
            <w:vAlign w:val="center"/>
          </w:tcPr>
          <w:p w14:paraId="1016D1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4320" w:type="dxa"/>
            <w:vMerge w:val="restart"/>
            <w:vAlign w:val="center"/>
          </w:tcPr>
          <w:p w14:paraId="5677AF3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kruszywa</w:t>
            </w:r>
          </w:p>
        </w:tc>
        <w:tc>
          <w:tcPr>
            <w:tcW w:w="3600" w:type="dxa"/>
            <w:vAlign w:val="center"/>
          </w:tcPr>
          <w:p w14:paraId="4889E67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w zależności od kategorii ruchu</w:t>
            </w:r>
          </w:p>
        </w:tc>
      </w:tr>
      <w:tr w:rsidR="00FB30DB" w:rsidRPr="001667DB" w14:paraId="173BC4D7" w14:textId="77777777" w:rsidTr="00FB30DB">
        <w:tc>
          <w:tcPr>
            <w:tcW w:w="708" w:type="dxa"/>
            <w:vMerge/>
            <w:vAlign w:val="center"/>
          </w:tcPr>
          <w:p w14:paraId="5CA7F6B9" w14:textId="77777777" w:rsidR="00FB30DB" w:rsidRPr="001667DB" w:rsidRDefault="00FB30DB" w:rsidP="00955A27">
            <w:pPr>
              <w:spacing w:after="120" w:line="360" w:lineRule="auto"/>
              <w:jc w:val="center"/>
              <w:rPr>
                <w:rFonts w:ascii="Times New Roman" w:hAnsi="Times New Roman" w:cs="Times New Roman"/>
                <w:color w:val="000000" w:themeColor="text1"/>
              </w:rPr>
            </w:pPr>
          </w:p>
        </w:tc>
        <w:tc>
          <w:tcPr>
            <w:tcW w:w="4320" w:type="dxa"/>
            <w:vMerge/>
            <w:vAlign w:val="center"/>
          </w:tcPr>
          <w:p w14:paraId="32B1032E" w14:textId="77777777" w:rsidR="00FB30DB" w:rsidRPr="001667DB" w:rsidRDefault="00FB30DB" w:rsidP="00955A27">
            <w:pPr>
              <w:spacing w:after="120" w:line="360" w:lineRule="auto"/>
              <w:jc w:val="center"/>
              <w:rPr>
                <w:rFonts w:ascii="Times New Roman" w:hAnsi="Times New Roman" w:cs="Times New Roman"/>
                <w:color w:val="000000" w:themeColor="text1"/>
              </w:rPr>
            </w:pPr>
          </w:p>
        </w:tc>
        <w:tc>
          <w:tcPr>
            <w:tcW w:w="3600" w:type="dxa"/>
            <w:vAlign w:val="center"/>
          </w:tcPr>
          <w:p w14:paraId="4BD3CBBC" w14:textId="77777777" w:rsidR="00FB30DB" w:rsidRPr="001667DB" w:rsidRDefault="00FB30DB" w:rsidP="00955A27">
            <w:pPr>
              <w:spacing w:after="120" w:line="360" w:lineRule="auto"/>
              <w:jc w:val="center"/>
              <w:rPr>
                <w:rFonts w:ascii="Times New Roman" w:hAnsi="Times New Roman" w:cs="Times New Roman"/>
                <w:color w:val="000000" w:themeColor="text1"/>
              </w:rPr>
            </w:pPr>
            <w:r w:rsidRPr="002824F8">
              <w:rPr>
                <w:rFonts w:ascii="Times New Roman" w:hAnsi="Times New Roman" w:cs="Times New Roman"/>
                <w:b/>
                <w:color w:val="000000" w:themeColor="text1"/>
              </w:rPr>
              <w:t xml:space="preserve">KR1 </w:t>
            </w:r>
            <w:r w:rsidRPr="002824F8">
              <w:rPr>
                <w:rFonts w:ascii="Times New Roman" w:hAnsi="Times New Roman" w:cs="Times New Roman"/>
                <w:b/>
                <w:color w:val="000000" w:themeColor="text1"/>
              </w:rPr>
              <w:sym w:font="Symbol" w:char="F0B8"/>
            </w:r>
            <w:r w:rsidRPr="002824F8">
              <w:rPr>
                <w:rFonts w:ascii="Times New Roman" w:hAnsi="Times New Roman" w:cs="Times New Roman"/>
                <w:b/>
                <w:color w:val="000000" w:themeColor="text1"/>
              </w:rPr>
              <w:t xml:space="preserve"> KR2</w:t>
            </w:r>
          </w:p>
        </w:tc>
      </w:tr>
      <w:tr w:rsidR="00955A27" w:rsidRPr="001667DB" w14:paraId="07D0D7AC" w14:textId="77777777">
        <w:tc>
          <w:tcPr>
            <w:tcW w:w="708" w:type="dxa"/>
          </w:tcPr>
          <w:p w14:paraId="6AFB21E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4320" w:type="dxa"/>
          </w:tcPr>
          <w:p w14:paraId="3F5084CB"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według PN-EN 933-10 [12]</w:t>
            </w:r>
          </w:p>
        </w:tc>
        <w:tc>
          <w:tcPr>
            <w:tcW w:w="3600" w:type="dxa"/>
            <w:vAlign w:val="center"/>
          </w:tcPr>
          <w:p w14:paraId="0F032C8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zgodnie z tablicą 24 w PN-EN 13043 [49]</w:t>
            </w:r>
          </w:p>
        </w:tc>
      </w:tr>
      <w:tr w:rsidR="00955A27" w:rsidRPr="001667DB" w14:paraId="261AB2E5" w14:textId="77777777">
        <w:tc>
          <w:tcPr>
            <w:tcW w:w="708" w:type="dxa"/>
          </w:tcPr>
          <w:p w14:paraId="71EE88A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4320" w:type="dxa"/>
          </w:tcPr>
          <w:p w14:paraId="66FE083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Jakość pyłów według PN-EN 933-9 [11]; kategoria nie wyższa niż:</w:t>
            </w:r>
          </w:p>
        </w:tc>
        <w:tc>
          <w:tcPr>
            <w:tcW w:w="3600" w:type="dxa"/>
            <w:vAlign w:val="center"/>
          </w:tcPr>
          <w:p w14:paraId="3A8F4A1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MB</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10</w:t>
            </w:r>
          </w:p>
        </w:tc>
      </w:tr>
      <w:tr w:rsidR="00955A27" w:rsidRPr="001667DB" w14:paraId="2E3C0E03" w14:textId="77777777">
        <w:tc>
          <w:tcPr>
            <w:tcW w:w="708" w:type="dxa"/>
          </w:tcPr>
          <w:p w14:paraId="694DC0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4320" w:type="dxa"/>
          </w:tcPr>
          <w:p w14:paraId="66EA48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wody według PN-EN 1097-5 [15], nie wyższa niż:</w:t>
            </w:r>
          </w:p>
        </w:tc>
        <w:tc>
          <w:tcPr>
            <w:tcW w:w="3600" w:type="dxa"/>
            <w:vAlign w:val="center"/>
          </w:tcPr>
          <w:p w14:paraId="44EC09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 (m/m)</w:t>
            </w:r>
          </w:p>
        </w:tc>
      </w:tr>
      <w:tr w:rsidR="00955A27" w:rsidRPr="001667DB" w14:paraId="2387BDE7" w14:textId="77777777">
        <w:tc>
          <w:tcPr>
            <w:tcW w:w="708" w:type="dxa"/>
          </w:tcPr>
          <w:p w14:paraId="50F24C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4320" w:type="dxa"/>
          </w:tcPr>
          <w:p w14:paraId="7A717CA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ziaren według PN-EN 1097-7 [17]</w:t>
            </w:r>
          </w:p>
        </w:tc>
        <w:tc>
          <w:tcPr>
            <w:tcW w:w="3600" w:type="dxa"/>
            <w:vAlign w:val="center"/>
          </w:tcPr>
          <w:p w14:paraId="6EC8AC5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deklarowana przez producenta</w:t>
            </w:r>
          </w:p>
        </w:tc>
      </w:tr>
      <w:tr w:rsidR="00955A27" w:rsidRPr="001667DB" w14:paraId="0907996B" w14:textId="77777777">
        <w:tc>
          <w:tcPr>
            <w:tcW w:w="708" w:type="dxa"/>
          </w:tcPr>
          <w:p w14:paraId="298D00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4320" w:type="dxa"/>
          </w:tcPr>
          <w:p w14:paraId="216BBA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Wolne przestrzenie w suchym zagęszczonym wypełniaczu według PN-EN 1097-4 [14], wymagana kategoria:</w:t>
            </w:r>
          </w:p>
        </w:tc>
        <w:tc>
          <w:tcPr>
            <w:tcW w:w="3600" w:type="dxa"/>
            <w:vAlign w:val="center"/>
          </w:tcPr>
          <w:p w14:paraId="3CF11D8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V</w:t>
            </w:r>
            <w:r w:rsidRPr="001667DB">
              <w:rPr>
                <w:rFonts w:ascii="Times New Roman" w:hAnsi="Times New Roman" w:cs="Times New Roman"/>
                <w:color w:val="000000" w:themeColor="text1"/>
                <w:vertAlign w:val="subscript"/>
              </w:rPr>
              <w:t>28/45</w:t>
            </w:r>
          </w:p>
        </w:tc>
      </w:tr>
      <w:tr w:rsidR="00955A27" w:rsidRPr="001667DB" w14:paraId="70A953EC" w14:textId="77777777">
        <w:tc>
          <w:tcPr>
            <w:tcW w:w="708" w:type="dxa"/>
          </w:tcPr>
          <w:p w14:paraId="039566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4320" w:type="dxa"/>
          </w:tcPr>
          <w:p w14:paraId="158EF04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Przyrost temperatury mięknienia według PN-EN 13179-1 [54], wymagana kategoria:</w:t>
            </w:r>
          </w:p>
        </w:tc>
        <w:tc>
          <w:tcPr>
            <w:tcW w:w="3600" w:type="dxa"/>
            <w:vAlign w:val="center"/>
          </w:tcPr>
          <w:p w14:paraId="27A499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44"/>
            </w:r>
            <w:r w:rsidRPr="001667DB">
              <w:rPr>
                <w:rFonts w:ascii="Times New Roman" w:hAnsi="Times New Roman" w:cs="Times New Roman"/>
                <w:color w:val="000000" w:themeColor="text1"/>
                <w:vertAlign w:val="subscript"/>
              </w:rPr>
              <w:t>R&amp;B</w:t>
            </w:r>
            <w:r w:rsidRPr="001667DB">
              <w:rPr>
                <w:rFonts w:ascii="Times New Roman" w:hAnsi="Times New Roman" w:cs="Times New Roman"/>
                <w:color w:val="000000" w:themeColor="text1"/>
              </w:rPr>
              <w:t>8/25</w:t>
            </w:r>
          </w:p>
        </w:tc>
      </w:tr>
      <w:tr w:rsidR="00955A27" w:rsidRPr="001667DB" w14:paraId="5A7490C2" w14:textId="77777777">
        <w:tc>
          <w:tcPr>
            <w:tcW w:w="708" w:type="dxa"/>
          </w:tcPr>
          <w:p w14:paraId="2B05742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w:t>
            </w:r>
          </w:p>
        </w:tc>
        <w:tc>
          <w:tcPr>
            <w:tcW w:w="4320" w:type="dxa"/>
          </w:tcPr>
          <w:p w14:paraId="0B45D9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Rozpuszczalność w wodzie według PN-EN 1744-1 [23], kategoria nie wyższa niż:</w:t>
            </w:r>
          </w:p>
        </w:tc>
        <w:tc>
          <w:tcPr>
            <w:tcW w:w="3600" w:type="dxa"/>
            <w:vAlign w:val="center"/>
          </w:tcPr>
          <w:p w14:paraId="11C555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w:t>
            </w:r>
            <w:r w:rsidRPr="001667DB">
              <w:rPr>
                <w:rFonts w:ascii="Times New Roman" w:hAnsi="Times New Roman" w:cs="Times New Roman"/>
                <w:color w:val="000000" w:themeColor="text1"/>
                <w:vertAlign w:val="subscript"/>
              </w:rPr>
              <w:t>10</w:t>
            </w:r>
          </w:p>
        </w:tc>
      </w:tr>
      <w:tr w:rsidR="00955A27" w:rsidRPr="001667DB" w14:paraId="4AC79679" w14:textId="77777777">
        <w:tc>
          <w:tcPr>
            <w:tcW w:w="708" w:type="dxa"/>
          </w:tcPr>
          <w:p w14:paraId="44E244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4320" w:type="dxa"/>
          </w:tcPr>
          <w:p w14:paraId="375E938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CaCO</w:t>
            </w:r>
            <w:r w:rsidRPr="001667DB">
              <w:rPr>
                <w:rFonts w:ascii="Times New Roman" w:hAnsi="Times New Roman" w:cs="Times New Roman"/>
                <w:color w:val="000000" w:themeColor="text1"/>
                <w:vertAlign w:val="subscript"/>
              </w:rPr>
              <w:t>3</w:t>
            </w:r>
            <w:r w:rsidRPr="001667DB">
              <w:rPr>
                <w:rFonts w:ascii="Times New Roman" w:hAnsi="Times New Roman" w:cs="Times New Roman"/>
                <w:color w:val="000000" w:themeColor="text1"/>
              </w:rPr>
              <w:t xml:space="preserve"> w wypełniaczu wapiennym według PN-EN 196-2 [3], kategoria nie niższa niż:</w:t>
            </w:r>
          </w:p>
        </w:tc>
        <w:tc>
          <w:tcPr>
            <w:tcW w:w="3600" w:type="dxa"/>
            <w:vAlign w:val="center"/>
          </w:tcPr>
          <w:p w14:paraId="424E23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CC</w:t>
            </w:r>
            <w:r w:rsidRPr="001667DB">
              <w:rPr>
                <w:rFonts w:ascii="Times New Roman" w:hAnsi="Times New Roman" w:cs="Times New Roman"/>
                <w:color w:val="000000" w:themeColor="text1"/>
                <w:vertAlign w:val="subscript"/>
              </w:rPr>
              <w:t>70</w:t>
            </w:r>
          </w:p>
        </w:tc>
      </w:tr>
      <w:tr w:rsidR="00955A27" w:rsidRPr="001667DB" w14:paraId="3C0A0BFA" w14:textId="77777777">
        <w:tc>
          <w:tcPr>
            <w:tcW w:w="708" w:type="dxa"/>
          </w:tcPr>
          <w:p w14:paraId="65E4799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4320" w:type="dxa"/>
          </w:tcPr>
          <w:p w14:paraId="0918B92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wodorotlenku wapnia w wypełniaczu mieszanym wg PN-EN 459-2 [4], wymagana kategoria:</w:t>
            </w:r>
          </w:p>
        </w:tc>
        <w:tc>
          <w:tcPr>
            <w:tcW w:w="3600" w:type="dxa"/>
            <w:vAlign w:val="center"/>
          </w:tcPr>
          <w:p w14:paraId="14848C6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w:t>
            </w:r>
            <w:r w:rsidRPr="001667DB">
              <w:rPr>
                <w:rFonts w:ascii="Times New Roman" w:hAnsi="Times New Roman" w:cs="Times New Roman"/>
                <w:color w:val="000000" w:themeColor="text1"/>
                <w:vertAlign w:val="subscript"/>
              </w:rPr>
              <w:t>a</w:t>
            </w:r>
            <w:r w:rsidRPr="001667DB">
              <w:rPr>
                <w:rFonts w:ascii="Times New Roman" w:hAnsi="Times New Roman" w:cs="Times New Roman"/>
                <w:color w:val="000000" w:themeColor="text1"/>
              </w:rPr>
              <w:t>20</w:t>
            </w:r>
          </w:p>
        </w:tc>
      </w:tr>
      <w:tr w:rsidR="00955A27" w:rsidRPr="001667DB" w14:paraId="6815185E" w14:textId="77777777">
        <w:tc>
          <w:tcPr>
            <w:tcW w:w="708" w:type="dxa"/>
          </w:tcPr>
          <w:p w14:paraId="687A4C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4320" w:type="dxa"/>
          </w:tcPr>
          <w:p w14:paraId="36C7BE2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„Liczba asfaltowa” według PN-EN 13179-2 [55], wymagana kategoria:</w:t>
            </w:r>
          </w:p>
        </w:tc>
        <w:tc>
          <w:tcPr>
            <w:tcW w:w="3600" w:type="dxa"/>
            <w:vAlign w:val="center"/>
          </w:tcPr>
          <w:p w14:paraId="27D66C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BN</w:t>
            </w:r>
            <w:r w:rsidRPr="001667DB">
              <w:rPr>
                <w:rFonts w:ascii="Times New Roman" w:hAnsi="Times New Roman" w:cs="Times New Roman"/>
                <w:color w:val="000000" w:themeColor="text1"/>
                <w:vertAlign w:val="subscript"/>
              </w:rPr>
              <w:t>Deklarowana</w:t>
            </w:r>
          </w:p>
        </w:tc>
      </w:tr>
    </w:tbl>
    <w:p w14:paraId="0C54CC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2C2F87DC"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367BD87E"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2.4. Kruszywo do uszorstnienia</w:t>
      </w:r>
    </w:p>
    <w:p w14:paraId="482D1D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 wymaga się uszorstnienia warstwy ścieralnej z betonu asfaltowego.</w:t>
      </w:r>
    </w:p>
    <w:p w14:paraId="05E04537"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b/>
          <w:color w:val="000000" w:themeColor="text1"/>
        </w:rPr>
        <w:t>2.5. Środek adhezyjny</w:t>
      </w:r>
    </w:p>
    <w:p w14:paraId="07CC07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[36], metoda C  wynosiła co najmniej 80%.</w:t>
      </w:r>
    </w:p>
    <w:p w14:paraId="39560A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Środek adhezyjny powinien odpowiadać wymaganiom określonym przez producenta.</w:t>
      </w:r>
    </w:p>
    <w:p w14:paraId="34EBA3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Składowanie środka adhezyjnego jest dozwolone tylko w oryginalnych opakowaniach, w warunkach określonych przez producenta.</w:t>
      </w:r>
    </w:p>
    <w:p w14:paraId="4EFA3E7C"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2.6. Materiały do uszczelnienia połączeń i krawędzi</w:t>
      </w:r>
    </w:p>
    <w:p w14:paraId="713BF5C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elastyczne taśmy bitumiczne, pasty asfaltowe lub zalewy drogowe na gorąco dobrane wg zasad przedstawionych w tablicy 10 i 11 oraz spełniające wymagania, w </w:t>
      </w:r>
      <w:r w:rsidRPr="001667DB">
        <w:rPr>
          <w:rFonts w:ascii="Times New Roman" w:hAnsi="Times New Roman" w:cs="Times New Roman"/>
          <w:color w:val="000000" w:themeColor="text1"/>
        </w:rPr>
        <w:lastRenderedPageBreak/>
        <w:t>zależności od rodzaju materiału, wg tablic od 12 do 15. Materiał na elastyczne taśmy bitumiczne w celu zapewnienia elastyczności powinien być  modyfikowany polimerami.</w:t>
      </w:r>
    </w:p>
    <w:p w14:paraId="2450F896" w14:textId="77777777" w:rsidR="00955A27" w:rsidRPr="001667DB" w:rsidRDefault="00955A27" w:rsidP="00955A27">
      <w:pPr>
        <w:tabs>
          <w:tab w:val="left" w:pos="1134"/>
        </w:tabs>
        <w:spacing w:before="12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10.</w:t>
      </w:r>
      <w:r w:rsidRPr="001667DB">
        <w:rPr>
          <w:rFonts w:ascii="Times New Roman" w:hAnsi="Times New Roman" w:cs="Times New Roman"/>
          <w:color w:val="000000" w:themeColor="text1"/>
        </w:rPr>
        <w:tab/>
        <w:t>Materiały do złączy między fragmentami zagęszczonej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55A27" w:rsidRPr="001667DB" w14:paraId="3A622271" w14:textId="77777777" w:rsidTr="001B4B8F">
        <w:tc>
          <w:tcPr>
            <w:tcW w:w="1785" w:type="dxa"/>
            <w:vMerge w:val="restart"/>
            <w:vAlign w:val="center"/>
          </w:tcPr>
          <w:p w14:paraId="515D60F1"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warstwy</w:t>
            </w:r>
          </w:p>
        </w:tc>
        <w:tc>
          <w:tcPr>
            <w:tcW w:w="3570" w:type="dxa"/>
            <w:gridSpan w:val="2"/>
            <w:vAlign w:val="center"/>
          </w:tcPr>
          <w:p w14:paraId="065CDE36"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Złącze podłużne</w:t>
            </w:r>
          </w:p>
        </w:tc>
        <w:tc>
          <w:tcPr>
            <w:tcW w:w="3572" w:type="dxa"/>
            <w:gridSpan w:val="2"/>
            <w:vAlign w:val="center"/>
          </w:tcPr>
          <w:p w14:paraId="33C57D3B"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Złącze poprzeczne</w:t>
            </w:r>
          </w:p>
        </w:tc>
      </w:tr>
      <w:tr w:rsidR="00955A27" w:rsidRPr="001667DB" w14:paraId="6AF449EA" w14:textId="77777777" w:rsidTr="001B4B8F">
        <w:tc>
          <w:tcPr>
            <w:tcW w:w="1785" w:type="dxa"/>
            <w:vMerge/>
            <w:vAlign w:val="center"/>
          </w:tcPr>
          <w:p w14:paraId="61D01301"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p>
        </w:tc>
        <w:tc>
          <w:tcPr>
            <w:tcW w:w="1785" w:type="dxa"/>
            <w:vAlign w:val="center"/>
          </w:tcPr>
          <w:p w14:paraId="0675F1EC"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w:t>
            </w:r>
          </w:p>
        </w:tc>
        <w:tc>
          <w:tcPr>
            <w:tcW w:w="1785" w:type="dxa"/>
            <w:vAlign w:val="center"/>
          </w:tcPr>
          <w:p w14:paraId="75CE9511"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materiału</w:t>
            </w:r>
          </w:p>
        </w:tc>
        <w:tc>
          <w:tcPr>
            <w:tcW w:w="1786" w:type="dxa"/>
            <w:vAlign w:val="center"/>
          </w:tcPr>
          <w:p w14:paraId="11399F12"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w:t>
            </w:r>
          </w:p>
        </w:tc>
        <w:tc>
          <w:tcPr>
            <w:tcW w:w="1786" w:type="dxa"/>
            <w:vAlign w:val="center"/>
          </w:tcPr>
          <w:p w14:paraId="6A982C9C"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materiału</w:t>
            </w:r>
          </w:p>
        </w:tc>
      </w:tr>
      <w:tr w:rsidR="00955A27" w:rsidRPr="001667DB" w14:paraId="4CA50A69" w14:textId="77777777" w:rsidTr="001B4B8F">
        <w:tc>
          <w:tcPr>
            <w:tcW w:w="1785" w:type="dxa"/>
          </w:tcPr>
          <w:p w14:paraId="38C48FC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ścieralna</w:t>
            </w:r>
          </w:p>
        </w:tc>
        <w:tc>
          <w:tcPr>
            <w:tcW w:w="1785" w:type="dxa"/>
          </w:tcPr>
          <w:p w14:paraId="67CC327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1-2</w:t>
            </w:r>
          </w:p>
        </w:tc>
        <w:tc>
          <w:tcPr>
            <w:tcW w:w="1785" w:type="dxa"/>
          </w:tcPr>
          <w:p w14:paraId="1FB9A88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Pasty asfaltowe lub elastyczne taśmy bitumiczne</w:t>
            </w:r>
          </w:p>
        </w:tc>
        <w:tc>
          <w:tcPr>
            <w:tcW w:w="1786" w:type="dxa"/>
          </w:tcPr>
          <w:p w14:paraId="3083D31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1-2</w:t>
            </w:r>
          </w:p>
        </w:tc>
        <w:tc>
          <w:tcPr>
            <w:tcW w:w="1786" w:type="dxa"/>
          </w:tcPr>
          <w:p w14:paraId="4C46A141"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Pasty asfaltowe lub elastyczne taśmy bitumiczne</w:t>
            </w:r>
          </w:p>
        </w:tc>
      </w:tr>
    </w:tbl>
    <w:p w14:paraId="728D4924" w14:textId="77777777" w:rsidR="00955A27" w:rsidRPr="001667DB" w:rsidRDefault="00955A27" w:rsidP="00955A27">
      <w:pPr>
        <w:tabs>
          <w:tab w:val="left" w:pos="1134"/>
        </w:tabs>
        <w:spacing w:before="24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11.</w:t>
      </w:r>
      <w:r w:rsidRPr="001667DB">
        <w:rPr>
          <w:rFonts w:ascii="Times New Roman" w:hAnsi="Times New Roman" w:cs="Times New Roman"/>
          <w:color w:val="000000" w:themeColor="text1"/>
        </w:rPr>
        <w:tab/>
        <w:t>Materiały do spoin między fragmentami zagęszczonej MMA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55A27" w:rsidRPr="001667DB" w14:paraId="70CC78D2" w14:textId="77777777" w:rsidTr="001B4B8F">
        <w:tc>
          <w:tcPr>
            <w:tcW w:w="2975" w:type="dxa"/>
            <w:vAlign w:val="center"/>
          </w:tcPr>
          <w:p w14:paraId="313BD29B"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warstwy</w:t>
            </w:r>
          </w:p>
        </w:tc>
        <w:tc>
          <w:tcPr>
            <w:tcW w:w="2976" w:type="dxa"/>
            <w:vAlign w:val="center"/>
          </w:tcPr>
          <w:p w14:paraId="5F0B46C5"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Ruch</w:t>
            </w:r>
          </w:p>
        </w:tc>
        <w:tc>
          <w:tcPr>
            <w:tcW w:w="2976" w:type="dxa"/>
            <w:vAlign w:val="center"/>
          </w:tcPr>
          <w:p w14:paraId="4EA6D1D3"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materiału</w:t>
            </w:r>
          </w:p>
        </w:tc>
      </w:tr>
      <w:tr w:rsidR="00955A27" w:rsidRPr="001667DB" w14:paraId="60E4C9A3" w14:textId="77777777" w:rsidTr="001B4B8F">
        <w:tc>
          <w:tcPr>
            <w:tcW w:w="2975" w:type="dxa"/>
          </w:tcPr>
          <w:p w14:paraId="6F44031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Warstwa ścieralna</w:t>
            </w:r>
          </w:p>
        </w:tc>
        <w:tc>
          <w:tcPr>
            <w:tcW w:w="2976" w:type="dxa"/>
          </w:tcPr>
          <w:p w14:paraId="1F36FA99"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 1-2</w:t>
            </w:r>
          </w:p>
        </w:tc>
        <w:tc>
          <w:tcPr>
            <w:tcW w:w="2976" w:type="dxa"/>
          </w:tcPr>
          <w:p w14:paraId="1B387B7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Pasta asfaltowa</w:t>
            </w:r>
          </w:p>
        </w:tc>
      </w:tr>
    </w:tbl>
    <w:p w14:paraId="44184A68" w14:textId="77777777" w:rsidR="00955A27" w:rsidRPr="001667DB" w:rsidRDefault="00955A27" w:rsidP="00955A27">
      <w:pPr>
        <w:tabs>
          <w:tab w:val="left" w:pos="1620"/>
        </w:tabs>
        <w:spacing w:before="2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12.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268"/>
        <w:gridCol w:w="2126"/>
        <w:gridCol w:w="1873"/>
      </w:tblGrid>
      <w:tr w:rsidR="00955A27" w:rsidRPr="001667DB" w14:paraId="34B54FEA" w14:textId="77777777" w:rsidTr="001B4B8F">
        <w:tc>
          <w:tcPr>
            <w:tcW w:w="2660" w:type="dxa"/>
            <w:vAlign w:val="center"/>
          </w:tcPr>
          <w:p w14:paraId="72EB499A"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268" w:type="dxa"/>
            <w:vAlign w:val="center"/>
          </w:tcPr>
          <w:p w14:paraId="47738045"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126" w:type="dxa"/>
            <w:vAlign w:val="center"/>
          </w:tcPr>
          <w:p w14:paraId="350CC37D"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Dodatkowy opis warunków badania</w:t>
            </w:r>
          </w:p>
        </w:tc>
        <w:tc>
          <w:tcPr>
            <w:tcW w:w="1873" w:type="dxa"/>
            <w:vAlign w:val="center"/>
          </w:tcPr>
          <w:p w14:paraId="45B465E1" w14:textId="77777777" w:rsidR="00955A27" w:rsidRPr="001667DB" w:rsidRDefault="00955A27" w:rsidP="00955A27">
            <w:pPr>
              <w:tabs>
                <w:tab w:val="left" w:pos="1620"/>
              </w:tabs>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71C1CD5D" w14:textId="77777777" w:rsidTr="001B4B8F">
        <w:tc>
          <w:tcPr>
            <w:tcW w:w="2660" w:type="dxa"/>
          </w:tcPr>
          <w:p w14:paraId="2AC7A26B"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268" w:type="dxa"/>
          </w:tcPr>
          <w:p w14:paraId="47AEB79D"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1427[22]</w:t>
            </w:r>
          </w:p>
        </w:tc>
        <w:tc>
          <w:tcPr>
            <w:tcW w:w="2126" w:type="dxa"/>
          </w:tcPr>
          <w:p w14:paraId="14C6EC96"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873" w:type="dxa"/>
          </w:tcPr>
          <w:p w14:paraId="2E6EF535"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≥90°C</w:t>
            </w:r>
          </w:p>
        </w:tc>
      </w:tr>
      <w:tr w:rsidR="00955A27" w:rsidRPr="001667DB" w14:paraId="190D1096" w14:textId="77777777" w:rsidTr="001B4B8F">
        <w:tc>
          <w:tcPr>
            <w:tcW w:w="2660" w:type="dxa"/>
          </w:tcPr>
          <w:p w14:paraId="32F06431"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stożkiem</w:t>
            </w:r>
          </w:p>
        </w:tc>
        <w:tc>
          <w:tcPr>
            <w:tcW w:w="2268" w:type="dxa"/>
          </w:tcPr>
          <w:p w14:paraId="4B408BEF"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13880-2[69]</w:t>
            </w:r>
          </w:p>
        </w:tc>
        <w:tc>
          <w:tcPr>
            <w:tcW w:w="2126" w:type="dxa"/>
          </w:tcPr>
          <w:p w14:paraId="06452B6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873" w:type="dxa"/>
          </w:tcPr>
          <w:p w14:paraId="269E4D75"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 do 50</w:t>
            </w:r>
          </w:p>
          <w:p w14:paraId="220E48D6"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1/10 mm</w:t>
            </w:r>
          </w:p>
        </w:tc>
      </w:tr>
      <w:tr w:rsidR="00955A27" w:rsidRPr="001667DB" w14:paraId="7D240DAF" w14:textId="77777777" w:rsidTr="001B4B8F">
        <w:tc>
          <w:tcPr>
            <w:tcW w:w="2660" w:type="dxa"/>
          </w:tcPr>
          <w:p w14:paraId="254211F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Odprężenie sprężyste (odbojność)</w:t>
            </w:r>
          </w:p>
        </w:tc>
        <w:tc>
          <w:tcPr>
            <w:tcW w:w="2268" w:type="dxa"/>
          </w:tcPr>
          <w:p w14:paraId="72B8623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13880-3[70]</w:t>
            </w:r>
          </w:p>
        </w:tc>
        <w:tc>
          <w:tcPr>
            <w:tcW w:w="2126" w:type="dxa"/>
          </w:tcPr>
          <w:p w14:paraId="269D7D67"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p>
        </w:tc>
        <w:tc>
          <w:tcPr>
            <w:tcW w:w="1873" w:type="dxa"/>
          </w:tcPr>
          <w:p w14:paraId="02E09796"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 do 30%</w:t>
            </w:r>
          </w:p>
        </w:tc>
      </w:tr>
      <w:tr w:rsidR="00955A27" w:rsidRPr="001667DB" w14:paraId="42C8138D" w14:textId="77777777" w:rsidTr="001B4B8F">
        <w:tc>
          <w:tcPr>
            <w:tcW w:w="2660" w:type="dxa"/>
          </w:tcPr>
          <w:p w14:paraId="6B2DFB9E"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Zginanie na zimno</w:t>
            </w:r>
          </w:p>
        </w:tc>
        <w:tc>
          <w:tcPr>
            <w:tcW w:w="2268" w:type="dxa"/>
          </w:tcPr>
          <w:p w14:paraId="5E1AD5B5"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DIN 52123[74]</w:t>
            </w:r>
          </w:p>
        </w:tc>
        <w:tc>
          <w:tcPr>
            <w:tcW w:w="2126" w:type="dxa"/>
          </w:tcPr>
          <w:p w14:paraId="46855D9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test odcinka taśmy o długości 20 cm w temperaturze 0 °C </w:t>
            </w:r>
          </w:p>
          <w:p w14:paraId="056445B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po 24 godzinnym </w:t>
            </w:r>
          </w:p>
          <w:p w14:paraId="72D371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kondycjonowaniu </w:t>
            </w:r>
          </w:p>
        </w:tc>
        <w:tc>
          <w:tcPr>
            <w:tcW w:w="1873" w:type="dxa"/>
          </w:tcPr>
          <w:p w14:paraId="34C348AE"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Bez pęknięcia</w:t>
            </w:r>
          </w:p>
        </w:tc>
      </w:tr>
      <w:tr w:rsidR="00955A27" w:rsidRPr="001667DB" w14:paraId="40587E04" w14:textId="77777777" w:rsidTr="001B4B8F">
        <w:tc>
          <w:tcPr>
            <w:tcW w:w="2660" w:type="dxa"/>
          </w:tcPr>
          <w:p w14:paraId="10A2E7FC"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Możliwość wydłużenia oraz przyczepności taśmy</w:t>
            </w:r>
          </w:p>
        </w:tc>
        <w:tc>
          <w:tcPr>
            <w:tcW w:w="2268" w:type="dxa"/>
          </w:tcPr>
          <w:p w14:paraId="54AA6744"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SNV 671 920</w:t>
            </w:r>
          </w:p>
          <w:p w14:paraId="284888CD"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 [73])</w:t>
            </w:r>
          </w:p>
        </w:tc>
        <w:tc>
          <w:tcPr>
            <w:tcW w:w="2126" w:type="dxa"/>
          </w:tcPr>
          <w:p w14:paraId="01B4E5EF"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temperaturze </w:t>
            </w:r>
          </w:p>
          <w:p w14:paraId="13E5C3EA"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-10°C</w:t>
            </w:r>
          </w:p>
        </w:tc>
        <w:tc>
          <w:tcPr>
            <w:tcW w:w="1873" w:type="dxa"/>
          </w:tcPr>
          <w:p w14:paraId="7099A36D"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p w14:paraId="511F7F03"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N/mm</w:t>
            </w:r>
            <w:r w:rsidRPr="001667DB">
              <w:rPr>
                <w:rFonts w:ascii="Times New Roman" w:hAnsi="Times New Roman" w:cs="Times New Roman"/>
                <w:color w:val="000000" w:themeColor="text1"/>
                <w:vertAlign w:val="superscript"/>
              </w:rPr>
              <w:t>2</w:t>
            </w:r>
          </w:p>
        </w:tc>
      </w:tr>
      <w:tr w:rsidR="00955A27" w:rsidRPr="001667DB" w14:paraId="203ECB7A" w14:textId="77777777" w:rsidTr="001B4B8F">
        <w:tc>
          <w:tcPr>
            <w:tcW w:w="2660" w:type="dxa"/>
          </w:tcPr>
          <w:p w14:paraId="1DE736D2"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Możliwość wydłużenia oraz przyczepności taśmy po starzeniu termicznym</w:t>
            </w:r>
          </w:p>
        </w:tc>
        <w:tc>
          <w:tcPr>
            <w:tcW w:w="2268" w:type="dxa"/>
          </w:tcPr>
          <w:p w14:paraId="4A2EE82F"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SNV 671 920</w:t>
            </w:r>
          </w:p>
          <w:p w14:paraId="048E415F"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 [73])</w:t>
            </w:r>
          </w:p>
        </w:tc>
        <w:tc>
          <w:tcPr>
            <w:tcW w:w="2126" w:type="dxa"/>
          </w:tcPr>
          <w:p w14:paraId="606E9B5F"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temperaturze </w:t>
            </w:r>
          </w:p>
          <w:p w14:paraId="0E4B7EC1" w14:textId="77777777" w:rsidR="00955A27" w:rsidRPr="001667DB" w:rsidRDefault="00955A27" w:rsidP="00955A27">
            <w:pPr>
              <w:tabs>
                <w:tab w:val="left" w:pos="162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-10°C</w:t>
            </w:r>
          </w:p>
        </w:tc>
        <w:tc>
          <w:tcPr>
            <w:tcW w:w="1873" w:type="dxa"/>
          </w:tcPr>
          <w:p w14:paraId="014A7388" w14:textId="77777777" w:rsidR="00955A27" w:rsidRPr="001667DB" w:rsidRDefault="00955A27" w:rsidP="00955A27">
            <w:pPr>
              <w:tabs>
                <w:tab w:val="left" w:pos="1620"/>
              </w:tabs>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Należy podać wynik</w:t>
            </w:r>
          </w:p>
        </w:tc>
      </w:tr>
    </w:tbl>
    <w:p w14:paraId="2410BB19" w14:textId="77777777" w:rsidR="00955A27" w:rsidRPr="001667DB" w:rsidRDefault="00955A27" w:rsidP="00955A27">
      <w:pPr>
        <w:spacing w:before="2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13.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55A27" w:rsidRPr="001667DB" w14:paraId="016A57D9" w14:textId="77777777" w:rsidTr="001B4B8F">
        <w:tc>
          <w:tcPr>
            <w:tcW w:w="2975" w:type="dxa"/>
            <w:vAlign w:val="center"/>
          </w:tcPr>
          <w:p w14:paraId="30E680C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976" w:type="dxa"/>
            <w:vAlign w:val="center"/>
          </w:tcPr>
          <w:p w14:paraId="15E6B6C2"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976" w:type="dxa"/>
            <w:vAlign w:val="center"/>
          </w:tcPr>
          <w:p w14:paraId="4EFE009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45D019EC" w14:textId="77777777" w:rsidTr="001B4B8F">
        <w:tc>
          <w:tcPr>
            <w:tcW w:w="2975" w:type="dxa"/>
          </w:tcPr>
          <w:p w14:paraId="67B8E2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Ocena organoleptyczna</w:t>
            </w:r>
          </w:p>
        </w:tc>
        <w:tc>
          <w:tcPr>
            <w:tcW w:w="2976" w:type="dxa"/>
          </w:tcPr>
          <w:p w14:paraId="3ADC94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1425[75]</w:t>
            </w:r>
          </w:p>
        </w:tc>
        <w:tc>
          <w:tcPr>
            <w:tcW w:w="2976" w:type="dxa"/>
          </w:tcPr>
          <w:p w14:paraId="3B479FF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Pasta</w:t>
            </w:r>
          </w:p>
        </w:tc>
      </w:tr>
      <w:tr w:rsidR="00955A27" w:rsidRPr="001667DB" w14:paraId="147A59D0" w14:textId="77777777" w:rsidTr="001B4B8F">
        <w:tc>
          <w:tcPr>
            <w:tcW w:w="2975" w:type="dxa"/>
          </w:tcPr>
          <w:p w14:paraId="5B7F5B1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spływanie</w:t>
            </w:r>
          </w:p>
        </w:tc>
        <w:tc>
          <w:tcPr>
            <w:tcW w:w="2976" w:type="dxa"/>
          </w:tcPr>
          <w:p w14:paraId="3FD71B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13880-5[71]</w:t>
            </w:r>
          </w:p>
        </w:tc>
        <w:tc>
          <w:tcPr>
            <w:tcW w:w="2976" w:type="dxa"/>
          </w:tcPr>
          <w:p w14:paraId="3A59721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spływa</w:t>
            </w:r>
          </w:p>
        </w:tc>
      </w:tr>
      <w:tr w:rsidR="00955A27" w:rsidRPr="001667DB" w14:paraId="5A63DD8C" w14:textId="77777777" w:rsidTr="001B4B8F">
        <w:tc>
          <w:tcPr>
            <w:tcW w:w="2975" w:type="dxa"/>
          </w:tcPr>
          <w:p w14:paraId="34D42D4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wody</w:t>
            </w:r>
          </w:p>
        </w:tc>
        <w:tc>
          <w:tcPr>
            <w:tcW w:w="2976" w:type="dxa"/>
          </w:tcPr>
          <w:p w14:paraId="4ADA80F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1428[76]</w:t>
            </w:r>
          </w:p>
        </w:tc>
        <w:tc>
          <w:tcPr>
            <w:tcW w:w="2976" w:type="dxa"/>
          </w:tcPr>
          <w:p w14:paraId="3B91909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 m/m</w:t>
            </w:r>
          </w:p>
        </w:tc>
      </w:tr>
      <w:tr w:rsidR="00955A27" w:rsidRPr="001667DB" w14:paraId="10DFF4B0" w14:textId="77777777" w:rsidTr="001B4B8F">
        <w:tc>
          <w:tcPr>
            <w:tcW w:w="8927" w:type="dxa"/>
            <w:gridSpan w:val="3"/>
          </w:tcPr>
          <w:p w14:paraId="443719A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 odzyskanego i ustabilizowanego lepiszcza: PN-EN 13074-1 lub PN-EN 13074-2</w:t>
            </w:r>
          </w:p>
        </w:tc>
      </w:tr>
      <w:tr w:rsidR="00955A27" w:rsidRPr="001667DB" w14:paraId="5B4F8A83" w14:textId="77777777" w:rsidTr="001B4B8F">
        <w:tc>
          <w:tcPr>
            <w:tcW w:w="2975" w:type="dxa"/>
          </w:tcPr>
          <w:p w14:paraId="7ABAAF5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976" w:type="dxa"/>
          </w:tcPr>
          <w:p w14:paraId="66E4BD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1427[22]</w:t>
            </w:r>
          </w:p>
        </w:tc>
        <w:tc>
          <w:tcPr>
            <w:tcW w:w="2976" w:type="dxa"/>
          </w:tcPr>
          <w:p w14:paraId="703925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≥70°C</w:t>
            </w:r>
          </w:p>
        </w:tc>
      </w:tr>
    </w:tbl>
    <w:p w14:paraId="1581AA52" w14:textId="77777777" w:rsidR="00955A27" w:rsidRPr="001667DB" w:rsidRDefault="00955A27" w:rsidP="00955A27">
      <w:pPr>
        <w:spacing w:before="240" w:after="120" w:line="360" w:lineRule="auto"/>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Tablica 14.</w:t>
      </w:r>
      <w:r w:rsidRPr="001667DB">
        <w:rPr>
          <w:rFonts w:ascii="Times New Roman" w:hAnsi="Times New Roman" w:cs="Times New Roman"/>
          <w:color w:val="000000" w:themeColor="text1"/>
        </w:rPr>
        <w:tab/>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55A27" w:rsidRPr="001667DB" w14:paraId="7E4DCAF7" w14:textId="77777777" w:rsidTr="001B4B8F">
        <w:tc>
          <w:tcPr>
            <w:tcW w:w="2975" w:type="dxa"/>
            <w:vAlign w:val="center"/>
          </w:tcPr>
          <w:p w14:paraId="2A6FC064"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976" w:type="dxa"/>
            <w:vAlign w:val="center"/>
          </w:tcPr>
          <w:p w14:paraId="1C34837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976" w:type="dxa"/>
            <w:vAlign w:val="center"/>
          </w:tcPr>
          <w:p w14:paraId="25A321A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955A27" w:rsidRPr="001667DB" w14:paraId="1998CF9D" w14:textId="77777777" w:rsidTr="001B4B8F">
        <w:tc>
          <w:tcPr>
            <w:tcW w:w="2975" w:type="dxa"/>
          </w:tcPr>
          <w:p w14:paraId="09706FC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Zachowanie przy temperaturze lejności</w:t>
            </w:r>
          </w:p>
        </w:tc>
        <w:tc>
          <w:tcPr>
            <w:tcW w:w="2976" w:type="dxa"/>
          </w:tcPr>
          <w:p w14:paraId="397BE2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13880-6[72]</w:t>
            </w:r>
          </w:p>
        </w:tc>
        <w:tc>
          <w:tcPr>
            <w:tcW w:w="2976" w:type="dxa"/>
          </w:tcPr>
          <w:p w14:paraId="60B4F7F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Homogeniczny</w:t>
            </w:r>
          </w:p>
        </w:tc>
      </w:tr>
      <w:tr w:rsidR="00955A27" w:rsidRPr="001667DB" w14:paraId="6D4C483F" w14:textId="77777777" w:rsidTr="001B4B8F">
        <w:tc>
          <w:tcPr>
            <w:tcW w:w="2975" w:type="dxa"/>
          </w:tcPr>
          <w:p w14:paraId="1661859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PiK</w:t>
            </w:r>
          </w:p>
        </w:tc>
        <w:tc>
          <w:tcPr>
            <w:tcW w:w="2976" w:type="dxa"/>
          </w:tcPr>
          <w:p w14:paraId="364DC2C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1427[22]</w:t>
            </w:r>
          </w:p>
        </w:tc>
        <w:tc>
          <w:tcPr>
            <w:tcW w:w="2976" w:type="dxa"/>
          </w:tcPr>
          <w:p w14:paraId="603506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≥80°C</w:t>
            </w:r>
          </w:p>
        </w:tc>
      </w:tr>
      <w:tr w:rsidR="00955A27" w:rsidRPr="001667DB" w14:paraId="1BE16A78" w14:textId="77777777" w:rsidTr="001B4B8F">
        <w:tc>
          <w:tcPr>
            <w:tcW w:w="2975" w:type="dxa"/>
          </w:tcPr>
          <w:p w14:paraId="227C79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stożkiem w 25°C, 5 s, 150 g</w:t>
            </w:r>
          </w:p>
        </w:tc>
        <w:tc>
          <w:tcPr>
            <w:tcW w:w="2976" w:type="dxa"/>
          </w:tcPr>
          <w:p w14:paraId="1C3E7041" w14:textId="77777777" w:rsidR="00955A27" w:rsidRPr="001667DB" w:rsidRDefault="00955A27" w:rsidP="00955A27">
            <w:pPr>
              <w:tabs>
                <w:tab w:val="left" w:pos="300"/>
                <w:tab w:val="center" w:pos="138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PN-EN 13880-2[69]</w:t>
            </w:r>
          </w:p>
        </w:tc>
        <w:tc>
          <w:tcPr>
            <w:tcW w:w="2976" w:type="dxa"/>
          </w:tcPr>
          <w:p w14:paraId="22651B9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 do 60  0,1 mm</w:t>
            </w:r>
          </w:p>
        </w:tc>
      </w:tr>
      <w:tr w:rsidR="00955A27" w:rsidRPr="001667DB" w14:paraId="28C16747" w14:textId="77777777" w:rsidTr="001B4B8F">
        <w:tc>
          <w:tcPr>
            <w:tcW w:w="2975" w:type="dxa"/>
          </w:tcPr>
          <w:p w14:paraId="31BE50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spływanie</w:t>
            </w:r>
          </w:p>
        </w:tc>
        <w:tc>
          <w:tcPr>
            <w:tcW w:w="2976" w:type="dxa"/>
          </w:tcPr>
          <w:p w14:paraId="6D32FA3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13880-5[71]</w:t>
            </w:r>
          </w:p>
        </w:tc>
        <w:tc>
          <w:tcPr>
            <w:tcW w:w="2976" w:type="dxa"/>
          </w:tcPr>
          <w:p w14:paraId="57B7298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 mm</w:t>
            </w:r>
          </w:p>
        </w:tc>
      </w:tr>
      <w:tr w:rsidR="00955A27" w:rsidRPr="001667DB" w14:paraId="34F684F1" w14:textId="77777777" w:rsidTr="001B4B8F">
        <w:tc>
          <w:tcPr>
            <w:tcW w:w="2975" w:type="dxa"/>
          </w:tcPr>
          <w:p w14:paraId="1EA3E7F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Odprężenie sprężyste (odbojność)</w:t>
            </w:r>
          </w:p>
        </w:tc>
        <w:tc>
          <w:tcPr>
            <w:tcW w:w="2976" w:type="dxa"/>
          </w:tcPr>
          <w:p w14:paraId="110681B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13380-3[70]</w:t>
            </w:r>
          </w:p>
        </w:tc>
        <w:tc>
          <w:tcPr>
            <w:tcW w:w="2976" w:type="dxa"/>
          </w:tcPr>
          <w:p w14:paraId="41AA15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10-50%</w:t>
            </w:r>
          </w:p>
        </w:tc>
      </w:tr>
      <w:tr w:rsidR="00955A27" w:rsidRPr="001667DB" w14:paraId="10BD1805" w14:textId="77777777" w:rsidTr="001B4B8F">
        <w:tc>
          <w:tcPr>
            <w:tcW w:w="2975" w:type="dxa"/>
          </w:tcPr>
          <w:p w14:paraId="7056D6A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Wydłużenie nieciągłe (próba przyczepności ), po 5 h, -10°C</w:t>
            </w:r>
          </w:p>
        </w:tc>
        <w:tc>
          <w:tcPr>
            <w:tcW w:w="2976" w:type="dxa"/>
          </w:tcPr>
          <w:p w14:paraId="4E74F0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13880-13[73]</w:t>
            </w:r>
          </w:p>
        </w:tc>
        <w:tc>
          <w:tcPr>
            <w:tcW w:w="2976" w:type="dxa"/>
          </w:tcPr>
          <w:p w14:paraId="77479EB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 mm</w:t>
            </w:r>
          </w:p>
          <w:p w14:paraId="11A20C4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≤0,75 N/mm</w:t>
            </w:r>
            <w:r w:rsidRPr="001667DB">
              <w:rPr>
                <w:rFonts w:ascii="Times New Roman" w:hAnsi="Times New Roman" w:cs="Times New Roman"/>
                <w:color w:val="000000" w:themeColor="text1"/>
                <w:vertAlign w:val="superscript"/>
              </w:rPr>
              <w:t>2</w:t>
            </w:r>
          </w:p>
        </w:tc>
      </w:tr>
    </w:tbl>
    <w:p w14:paraId="414F3BB4" w14:textId="77777777" w:rsidR="00955A27" w:rsidRPr="001667DB" w:rsidRDefault="00955A27" w:rsidP="00955A27">
      <w:pPr>
        <w:spacing w:before="240" w:after="120" w:line="360" w:lineRule="auto"/>
        <w:rPr>
          <w:rFonts w:ascii="Times New Roman" w:hAnsi="Times New Roman" w:cs="Times New Roman"/>
          <w:color w:val="000000" w:themeColor="text1"/>
        </w:rPr>
      </w:pPr>
    </w:p>
    <w:p w14:paraId="17B23199" w14:textId="77777777" w:rsidR="00955A27" w:rsidRPr="001667DB" w:rsidRDefault="00955A27" w:rsidP="00955A27">
      <w:pPr>
        <w:spacing w:before="2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Tablica 15. Wymagania wobec zalew drogowych na gorąco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977"/>
        <w:gridCol w:w="2977"/>
      </w:tblGrid>
      <w:tr w:rsidR="00955A27" w:rsidRPr="001667DB" w14:paraId="5EE75A19" w14:textId="77777777" w:rsidTr="001B4B8F">
        <w:tc>
          <w:tcPr>
            <w:tcW w:w="2943" w:type="dxa"/>
            <w:vAlign w:val="center"/>
          </w:tcPr>
          <w:p w14:paraId="2A257FD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2977" w:type="dxa"/>
            <w:vAlign w:val="center"/>
          </w:tcPr>
          <w:p w14:paraId="7BA5487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badawcza</w:t>
            </w:r>
          </w:p>
        </w:tc>
        <w:tc>
          <w:tcPr>
            <w:tcW w:w="2977" w:type="dxa"/>
            <w:vAlign w:val="center"/>
          </w:tcPr>
          <w:p w14:paraId="0EDA11BE"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dla typu</w:t>
            </w:r>
          </w:p>
        </w:tc>
      </w:tr>
      <w:tr w:rsidR="00955A27" w:rsidRPr="001667DB" w14:paraId="55407B05" w14:textId="77777777" w:rsidTr="001B4B8F">
        <w:tc>
          <w:tcPr>
            <w:tcW w:w="2943" w:type="dxa"/>
          </w:tcPr>
          <w:p w14:paraId="6C78542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 EN 14188-1 tablica 2 punkty od 1 do 11.2.8.</w:t>
            </w:r>
          </w:p>
        </w:tc>
        <w:tc>
          <w:tcPr>
            <w:tcW w:w="2977" w:type="dxa"/>
          </w:tcPr>
          <w:p w14:paraId="5F40A17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14188-1[65]</w:t>
            </w:r>
          </w:p>
        </w:tc>
        <w:tc>
          <w:tcPr>
            <w:tcW w:w="2977" w:type="dxa"/>
          </w:tcPr>
          <w:p w14:paraId="4D807C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 1</w:t>
            </w:r>
          </w:p>
        </w:tc>
      </w:tr>
    </w:tbl>
    <w:p w14:paraId="25BC51A6" w14:textId="77777777" w:rsidR="00955A27" w:rsidRPr="001667DB" w:rsidRDefault="00955A27" w:rsidP="00955A27">
      <w:pPr>
        <w:spacing w:before="120"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Składowanie materiałów termoplastycznych jest dozwolone tylko w oryginalnych opakowaniach producenta, w warunkach określonych w aprobacie technicznej.</w:t>
      </w:r>
    </w:p>
    <w:p w14:paraId="4495172F"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Do uszczelnienia krawędzi należy stosować asfalt drogowy wg PN-EN 12591 [24], asfalt modyfikowany polimerami wg PN-EN 14023 [64] „metoda na gorąco”. Dopuszcza się inne rodzaje lepiszcza wg norm lub aprobat technicznych.</w:t>
      </w:r>
    </w:p>
    <w:p w14:paraId="26A743A9" w14:textId="77777777" w:rsidR="00955A27" w:rsidRPr="001667DB" w:rsidRDefault="00955A27" w:rsidP="00955A27">
      <w:pPr>
        <w:pStyle w:val="Nagwek2"/>
        <w:tabs>
          <w:tab w:val="left" w:pos="7938"/>
        </w:tabs>
        <w:spacing w:line="360" w:lineRule="auto"/>
        <w:rPr>
          <w:color w:val="000000" w:themeColor="text1"/>
          <w:sz w:val="22"/>
          <w:szCs w:val="22"/>
        </w:rPr>
      </w:pPr>
      <w:r w:rsidRPr="001667DB">
        <w:rPr>
          <w:color w:val="000000" w:themeColor="text1"/>
          <w:sz w:val="22"/>
          <w:szCs w:val="22"/>
        </w:rPr>
        <w:t>2.7. Materiały do złączenia warstw konstrukcji</w:t>
      </w:r>
    </w:p>
    <w:p w14:paraId="79DB7F36" w14:textId="77777777" w:rsidR="00955A27" w:rsidRPr="001667DB" w:rsidRDefault="00955A27" w:rsidP="00955A27">
      <w:pPr>
        <w:tabs>
          <w:tab w:val="left" w:pos="-2694"/>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Do złączania warstw konstrukcji nawierzchni (warstwa wiążąca z warstwą ścieralną) należy stosować  kationowe emulsje asfaltowe niemodyfikowane lub kationowe emulsje modyfikowane polimerami według aktualnego Załącznika krajowego [62a] NA do PN-EN 13808 [62].</w:t>
      </w:r>
    </w:p>
    <w:p w14:paraId="74AC2C21"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Spośród rodzajów emulsji wymienionych w Załączniku krajowym NA [62a] do normy PN-EN 13808 [62], należy stosować emulsje oznaczone kodem ZM. </w:t>
      </w:r>
    </w:p>
    <w:p w14:paraId="0C25F563"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2.8. Dodatki do mieszanki mineralno-asfaltowej</w:t>
      </w:r>
    </w:p>
    <w:p w14:paraId="27439322"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Mogą być stosowane dodatki stabilizujące lub modyfikujące. Pochodzenie, rodzaj i właściwości dodatków powinny być deklarowane. </w:t>
      </w:r>
    </w:p>
    <w:p w14:paraId="667053B8"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Należy używać tylko materiałów składowych o ustalonej przydatności. Ustalenie przydatności powinno wynikać co najmniej jednego z następujących dokumentów:</w:t>
      </w:r>
    </w:p>
    <w:p w14:paraId="7E48A7E9" w14:textId="77777777" w:rsidR="00955A27" w:rsidRPr="001667DB" w:rsidRDefault="00955A27" w:rsidP="00904E6C">
      <w:pPr>
        <w:widowControl w:val="0"/>
        <w:numPr>
          <w:ilvl w:val="0"/>
          <w:numId w:val="147"/>
        </w:numPr>
        <w:overflowPunct w:val="0"/>
        <w:autoSpaceDE w:val="0"/>
        <w:autoSpaceDN w:val="0"/>
        <w:adjustRightInd w:val="0"/>
        <w:spacing w:after="120" w:line="360" w:lineRule="auto"/>
        <w:ind w:left="426" w:right="-5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Normy Europejskiej,</w:t>
      </w:r>
    </w:p>
    <w:p w14:paraId="445E8F54" w14:textId="77777777" w:rsidR="00955A27" w:rsidRPr="001667DB" w:rsidRDefault="00955A27" w:rsidP="00904E6C">
      <w:pPr>
        <w:widowControl w:val="0"/>
        <w:numPr>
          <w:ilvl w:val="0"/>
          <w:numId w:val="147"/>
        </w:numPr>
        <w:overflowPunct w:val="0"/>
        <w:autoSpaceDE w:val="0"/>
        <w:autoSpaceDN w:val="0"/>
        <w:adjustRightInd w:val="0"/>
        <w:spacing w:after="120" w:line="360" w:lineRule="auto"/>
        <w:ind w:left="426" w:right="-5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europejskiej aprobaty technicznej,</w:t>
      </w:r>
    </w:p>
    <w:p w14:paraId="7AAD62C1" w14:textId="77777777" w:rsidR="00955A27" w:rsidRPr="001667DB" w:rsidRDefault="00955A27" w:rsidP="00904E6C">
      <w:pPr>
        <w:widowControl w:val="0"/>
        <w:numPr>
          <w:ilvl w:val="0"/>
          <w:numId w:val="147"/>
        </w:numPr>
        <w:overflowPunct w:val="0"/>
        <w:autoSpaceDE w:val="0"/>
        <w:autoSpaceDN w:val="0"/>
        <w:adjustRightInd w:val="0"/>
        <w:spacing w:after="120" w:line="360" w:lineRule="auto"/>
        <w:ind w:left="426" w:right="-5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specyfikacji materiałowych opartych na potwierdzonych pozytywnych zastosowaniach w nawierzchniach asfaltowych. Wykaz należy dostarczyć w celu udowodnienia przydatności. Wykaz może być oparty na badaniach w połączeniu z dowodami w praktyce.</w:t>
      </w:r>
    </w:p>
    <w:p w14:paraId="68B26CC3"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 się stosowanie do mieszanki mineralno-asfaltowej środka obniżającego temperaturę produkcji i układania. </w:t>
      </w:r>
    </w:p>
    <w:p w14:paraId="20036F5A" w14:textId="77777777" w:rsidR="00955A27" w:rsidRPr="001667DB" w:rsidRDefault="00955A27" w:rsidP="00955A27">
      <w:pPr>
        <w:widowControl w:val="0"/>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mieszanki mineralno-asfaltowej  może być stosowany dodatek asfaltu naturalnego wg PN-EN 13108-4 [51], załącznik B. </w:t>
      </w:r>
    </w:p>
    <w:p w14:paraId="3ED3827F"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lastRenderedPageBreak/>
        <w:t>2.9. Skład mieszanki mineralno-asfaltowej</w:t>
      </w:r>
    </w:p>
    <w:p w14:paraId="534221D2"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Skład mieszanki mineralno-asfaltowej powinien być ustalony na podstawie badań próbek wykonanych zgodnie z normą PN-EN 13108-20 [52] załącznik C oraz normami powiązanymi. Próbki powinny spełniać wymagania podane w p. 2.10. w zależności od kategorii ruchu, jak i zawartości asfaltu B</w:t>
      </w:r>
      <w:r w:rsidRPr="001667DB">
        <w:rPr>
          <w:rFonts w:ascii="Times New Roman" w:hAnsi="Times New Roman" w:cs="Times New Roman"/>
          <w:color w:val="000000" w:themeColor="text1"/>
          <w:vertAlign w:val="subscript"/>
        </w:rPr>
        <w:t>min</w:t>
      </w:r>
      <w:r w:rsidRPr="001667DB">
        <w:rPr>
          <w:rFonts w:ascii="Times New Roman" w:hAnsi="Times New Roman" w:cs="Times New Roman"/>
          <w:color w:val="000000" w:themeColor="text1"/>
        </w:rPr>
        <w:t xml:space="preserve"> i temperatur zagęszczania próbek.</w:t>
      </w:r>
    </w:p>
    <w:p w14:paraId="2B184D68"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Uziarnienie mieszanki mineralnej oraz minimalna zawartość lepiszcza podane są w tablicach 16 i 17.</w:t>
      </w:r>
    </w:p>
    <w:p w14:paraId="5E5E59A2" w14:textId="77777777" w:rsidR="00955A27" w:rsidRPr="001667DB" w:rsidRDefault="00955A27" w:rsidP="00955A27">
      <w:pPr>
        <w:tabs>
          <w:tab w:val="left" w:pos="1276"/>
        </w:tabs>
        <w:spacing w:before="120" w:after="120" w:line="360" w:lineRule="auto"/>
        <w:ind w:left="1276" w:hanging="1276"/>
        <w:rPr>
          <w:rFonts w:ascii="Times New Roman" w:hAnsi="Times New Roman" w:cs="Times New Roman"/>
          <w:color w:val="000000" w:themeColor="text1"/>
        </w:rPr>
      </w:pPr>
      <w:r w:rsidRPr="001667DB">
        <w:rPr>
          <w:rFonts w:ascii="Times New Roman" w:hAnsi="Times New Roman" w:cs="Times New Roman"/>
          <w:color w:val="000000" w:themeColor="text1"/>
        </w:rPr>
        <w:t>Tablica 16.</w:t>
      </w:r>
      <w:r w:rsidRPr="001667DB">
        <w:rPr>
          <w:rFonts w:ascii="Times New Roman" w:hAnsi="Times New Roman" w:cs="Times New Roman"/>
          <w:color w:val="000000" w:themeColor="text1"/>
        </w:rPr>
        <w:tab/>
        <w:t xml:space="preserve">Uziarnienie mieszanki mineralnej oraz zawartość lepiszcza do betonu asfaltowego do warstwy ścieralnej dla ruchu KR1-KR2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3119"/>
        <w:gridCol w:w="3260"/>
      </w:tblGrid>
      <w:tr w:rsidR="00955A27" w:rsidRPr="001667DB" w14:paraId="0B2FD628" w14:textId="77777777" w:rsidTr="00002E63">
        <w:tc>
          <w:tcPr>
            <w:tcW w:w="2405" w:type="dxa"/>
            <w:vMerge w:val="restart"/>
            <w:vAlign w:val="center"/>
          </w:tcPr>
          <w:p w14:paraId="64A187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6379" w:type="dxa"/>
            <w:gridSpan w:val="2"/>
          </w:tcPr>
          <w:p w14:paraId="23D05A9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Przesiew,   [% (m/m)]</w:t>
            </w:r>
          </w:p>
        </w:tc>
      </w:tr>
      <w:tr w:rsidR="00D577B3" w:rsidRPr="001667DB" w14:paraId="7E7150E1" w14:textId="77777777" w:rsidTr="00002E63">
        <w:tc>
          <w:tcPr>
            <w:tcW w:w="2405" w:type="dxa"/>
            <w:vMerge/>
          </w:tcPr>
          <w:p w14:paraId="45376FB5" w14:textId="77777777" w:rsidR="00D577B3" w:rsidRPr="001667DB" w:rsidRDefault="00D577B3" w:rsidP="00955A27">
            <w:pPr>
              <w:spacing w:after="120" w:line="360" w:lineRule="auto"/>
              <w:jc w:val="center"/>
              <w:rPr>
                <w:rFonts w:ascii="Times New Roman" w:hAnsi="Times New Roman" w:cs="Times New Roman"/>
                <w:color w:val="000000" w:themeColor="text1"/>
              </w:rPr>
            </w:pPr>
          </w:p>
        </w:tc>
        <w:tc>
          <w:tcPr>
            <w:tcW w:w="6379" w:type="dxa"/>
            <w:gridSpan w:val="2"/>
          </w:tcPr>
          <w:p w14:paraId="7AC54EEA" w14:textId="622459F7" w:rsidR="00D577B3" w:rsidRPr="001667DB" w:rsidRDefault="00D577B3" w:rsidP="00A14BCF">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w:t>
            </w:r>
            <w:r w:rsidR="00A14BCF">
              <w:rPr>
                <w:rFonts w:ascii="Times New Roman" w:hAnsi="Times New Roman" w:cs="Times New Roman"/>
                <w:color w:val="000000" w:themeColor="text1"/>
              </w:rPr>
              <w:t>8</w:t>
            </w:r>
            <w:r w:rsidRPr="001667DB">
              <w:rPr>
                <w:rFonts w:ascii="Times New Roman" w:hAnsi="Times New Roman" w:cs="Times New Roman"/>
                <w:color w:val="000000" w:themeColor="text1"/>
              </w:rPr>
              <w:t>S</w:t>
            </w:r>
          </w:p>
        </w:tc>
      </w:tr>
      <w:tr w:rsidR="00D577B3" w:rsidRPr="001667DB" w14:paraId="478851EB" w14:textId="77777777" w:rsidTr="00002E63">
        <w:tc>
          <w:tcPr>
            <w:tcW w:w="2405" w:type="dxa"/>
          </w:tcPr>
          <w:p w14:paraId="5C38BAE7"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Wymiar sita #, [mm]</w:t>
            </w:r>
          </w:p>
        </w:tc>
        <w:tc>
          <w:tcPr>
            <w:tcW w:w="3119" w:type="dxa"/>
          </w:tcPr>
          <w:p w14:paraId="076710CE"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w:t>
            </w:r>
          </w:p>
        </w:tc>
        <w:tc>
          <w:tcPr>
            <w:tcW w:w="3260" w:type="dxa"/>
          </w:tcPr>
          <w:p w14:paraId="17FC5CFF"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w:t>
            </w:r>
          </w:p>
        </w:tc>
      </w:tr>
      <w:tr w:rsidR="00D577B3" w:rsidRPr="001667DB" w14:paraId="78392AB5" w14:textId="77777777" w:rsidTr="00002E63">
        <w:tc>
          <w:tcPr>
            <w:tcW w:w="2405" w:type="dxa"/>
          </w:tcPr>
          <w:p w14:paraId="53BB6F73"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3119" w:type="dxa"/>
          </w:tcPr>
          <w:p w14:paraId="58AF68C4" w14:textId="2FB70C6B"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w:t>
            </w:r>
          </w:p>
        </w:tc>
        <w:tc>
          <w:tcPr>
            <w:tcW w:w="3260" w:type="dxa"/>
          </w:tcPr>
          <w:p w14:paraId="5C5306CF"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D577B3" w:rsidRPr="001667DB" w14:paraId="6EC0F3C3" w14:textId="77777777" w:rsidTr="00002E63">
        <w:tc>
          <w:tcPr>
            <w:tcW w:w="2405" w:type="dxa"/>
          </w:tcPr>
          <w:p w14:paraId="44285717"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11,2</w:t>
            </w:r>
          </w:p>
        </w:tc>
        <w:tc>
          <w:tcPr>
            <w:tcW w:w="3119" w:type="dxa"/>
          </w:tcPr>
          <w:p w14:paraId="5AA1F894" w14:textId="51AAEC61"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100</w:t>
            </w:r>
          </w:p>
        </w:tc>
        <w:tc>
          <w:tcPr>
            <w:tcW w:w="3260" w:type="dxa"/>
          </w:tcPr>
          <w:p w14:paraId="12CA1CD6" w14:textId="6A127DB1"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w:t>
            </w:r>
          </w:p>
        </w:tc>
      </w:tr>
      <w:tr w:rsidR="00D577B3" w:rsidRPr="001667DB" w14:paraId="11463FE9" w14:textId="77777777" w:rsidTr="00002E63">
        <w:tc>
          <w:tcPr>
            <w:tcW w:w="2405" w:type="dxa"/>
          </w:tcPr>
          <w:p w14:paraId="7B547E9D"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119" w:type="dxa"/>
          </w:tcPr>
          <w:p w14:paraId="738A5A1F" w14:textId="055E59DF"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9</w:t>
            </w:r>
            <w:r w:rsidR="00D577B3" w:rsidRPr="001667DB">
              <w:rPr>
                <w:rFonts w:ascii="Times New Roman" w:hAnsi="Times New Roman" w:cs="Times New Roman"/>
                <w:color w:val="000000" w:themeColor="text1"/>
              </w:rPr>
              <w:t>0</w:t>
            </w:r>
          </w:p>
        </w:tc>
        <w:tc>
          <w:tcPr>
            <w:tcW w:w="3260" w:type="dxa"/>
          </w:tcPr>
          <w:p w14:paraId="1DB058AA" w14:textId="1F2E6BC5"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10</w:t>
            </w:r>
            <w:r w:rsidR="00D577B3" w:rsidRPr="001667DB">
              <w:rPr>
                <w:rFonts w:ascii="Times New Roman" w:hAnsi="Times New Roman" w:cs="Times New Roman"/>
                <w:color w:val="000000" w:themeColor="text1"/>
              </w:rPr>
              <w:t>0</w:t>
            </w:r>
          </w:p>
        </w:tc>
      </w:tr>
      <w:tr w:rsidR="00D577B3" w:rsidRPr="001667DB" w14:paraId="10BF580C" w14:textId="77777777" w:rsidTr="00002E63">
        <w:tc>
          <w:tcPr>
            <w:tcW w:w="2405" w:type="dxa"/>
          </w:tcPr>
          <w:p w14:paraId="4F0E926E"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3119" w:type="dxa"/>
          </w:tcPr>
          <w:p w14:paraId="7D14560E" w14:textId="0B292FD1"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70</w:t>
            </w:r>
          </w:p>
        </w:tc>
        <w:tc>
          <w:tcPr>
            <w:tcW w:w="3260" w:type="dxa"/>
          </w:tcPr>
          <w:p w14:paraId="10365DF6" w14:textId="42587F9D"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90</w:t>
            </w:r>
          </w:p>
        </w:tc>
      </w:tr>
      <w:tr w:rsidR="00D577B3" w:rsidRPr="001667DB" w14:paraId="119E5F30" w14:textId="77777777" w:rsidTr="00002E63">
        <w:tc>
          <w:tcPr>
            <w:tcW w:w="2405" w:type="dxa"/>
          </w:tcPr>
          <w:p w14:paraId="17A1883F"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119" w:type="dxa"/>
          </w:tcPr>
          <w:p w14:paraId="2AF4A218" w14:textId="2DF8A516"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45</w:t>
            </w:r>
          </w:p>
        </w:tc>
        <w:tc>
          <w:tcPr>
            <w:tcW w:w="3260" w:type="dxa"/>
          </w:tcPr>
          <w:p w14:paraId="05FB37F5" w14:textId="3DC1F0B3"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60</w:t>
            </w:r>
          </w:p>
        </w:tc>
      </w:tr>
      <w:tr w:rsidR="00D577B3" w:rsidRPr="001667DB" w14:paraId="0592FA20" w14:textId="77777777" w:rsidTr="00002E63">
        <w:tc>
          <w:tcPr>
            <w:tcW w:w="2405" w:type="dxa"/>
          </w:tcPr>
          <w:p w14:paraId="03B67C39"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0,125</w:t>
            </w:r>
          </w:p>
        </w:tc>
        <w:tc>
          <w:tcPr>
            <w:tcW w:w="3119" w:type="dxa"/>
          </w:tcPr>
          <w:p w14:paraId="0AC84AA3"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260" w:type="dxa"/>
          </w:tcPr>
          <w:p w14:paraId="40E3FDF8" w14:textId="1433C940" w:rsidR="00D577B3" w:rsidRPr="001667DB" w:rsidRDefault="00D577B3" w:rsidP="00A14BCF">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r w:rsidR="00A14BCF">
              <w:rPr>
                <w:rFonts w:ascii="Times New Roman" w:hAnsi="Times New Roman" w:cs="Times New Roman"/>
                <w:color w:val="000000" w:themeColor="text1"/>
              </w:rPr>
              <w:t>2</w:t>
            </w:r>
          </w:p>
        </w:tc>
      </w:tr>
      <w:tr w:rsidR="00D577B3" w:rsidRPr="001667DB" w14:paraId="5692D7B5" w14:textId="77777777" w:rsidTr="00002E63">
        <w:tc>
          <w:tcPr>
            <w:tcW w:w="2405" w:type="dxa"/>
          </w:tcPr>
          <w:p w14:paraId="729247BB"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0,063</w:t>
            </w:r>
          </w:p>
        </w:tc>
        <w:tc>
          <w:tcPr>
            <w:tcW w:w="3119" w:type="dxa"/>
          </w:tcPr>
          <w:p w14:paraId="70D6D448" w14:textId="5225AEE7" w:rsidR="00D577B3" w:rsidRPr="001667DB" w:rsidRDefault="00A14BCF" w:rsidP="00955A27">
            <w:pPr>
              <w:spacing w:after="12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6</w:t>
            </w:r>
          </w:p>
        </w:tc>
        <w:tc>
          <w:tcPr>
            <w:tcW w:w="3260" w:type="dxa"/>
          </w:tcPr>
          <w:p w14:paraId="7C9AB807" w14:textId="2BA1CBB1" w:rsidR="00D577B3" w:rsidRPr="001667DB" w:rsidRDefault="00D577B3" w:rsidP="00A14BCF">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r w:rsidR="00A14BCF">
              <w:rPr>
                <w:rFonts w:ascii="Times New Roman" w:hAnsi="Times New Roman" w:cs="Times New Roman"/>
                <w:color w:val="000000" w:themeColor="text1"/>
              </w:rPr>
              <w:t>4</w:t>
            </w:r>
            <w:r w:rsidRPr="001667DB">
              <w:rPr>
                <w:rFonts w:ascii="Times New Roman" w:hAnsi="Times New Roman" w:cs="Times New Roman"/>
                <w:color w:val="000000" w:themeColor="text1"/>
              </w:rPr>
              <w:t>,0</w:t>
            </w:r>
          </w:p>
        </w:tc>
      </w:tr>
      <w:tr w:rsidR="00D577B3" w:rsidRPr="001667DB" w14:paraId="7795D1F0" w14:textId="77777777" w:rsidTr="00002E63">
        <w:tc>
          <w:tcPr>
            <w:tcW w:w="2405" w:type="dxa"/>
          </w:tcPr>
          <w:p w14:paraId="5A6A1BA3" w14:textId="77777777" w:rsidR="00D577B3" w:rsidRPr="001667DB" w:rsidRDefault="00D577B3" w:rsidP="00955A27">
            <w:pPr>
              <w:spacing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Zawartość lepiszcza, minimum</w:t>
            </w:r>
            <w:r w:rsidRPr="001667DB">
              <w:rPr>
                <w:rFonts w:ascii="Times New Roman" w:hAnsi="Times New Roman" w:cs="Times New Roman"/>
                <w:color w:val="000000" w:themeColor="text1"/>
                <w:vertAlign w:val="superscript"/>
              </w:rPr>
              <w:t>*)</w:t>
            </w:r>
          </w:p>
        </w:tc>
        <w:tc>
          <w:tcPr>
            <w:tcW w:w="6379" w:type="dxa"/>
            <w:gridSpan w:val="2"/>
          </w:tcPr>
          <w:p w14:paraId="33B310BC" w14:textId="431A71EC" w:rsidR="00D577B3" w:rsidRPr="001667DB" w:rsidRDefault="00D577B3" w:rsidP="00A14BCF">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vertAlign w:val="subscript"/>
              </w:rPr>
              <w:t>min</w:t>
            </w:r>
            <w:r w:rsidR="00A14BCF">
              <w:rPr>
                <w:rFonts w:ascii="Times New Roman" w:hAnsi="Times New Roman" w:cs="Times New Roman"/>
                <w:color w:val="000000" w:themeColor="text1"/>
                <w:vertAlign w:val="subscript"/>
              </w:rPr>
              <w:t>6</w:t>
            </w:r>
            <w:r w:rsidRPr="001667DB">
              <w:rPr>
                <w:rFonts w:ascii="Times New Roman" w:hAnsi="Times New Roman" w:cs="Times New Roman"/>
                <w:color w:val="000000" w:themeColor="text1"/>
                <w:vertAlign w:val="subscript"/>
              </w:rPr>
              <w:t>,</w:t>
            </w:r>
            <w:r w:rsidR="00A14BCF">
              <w:rPr>
                <w:rFonts w:ascii="Times New Roman" w:hAnsi="Times New Roman" w:cs="Times New Roman"/>
                <w:color w:val="000000" w:themeColor="text1"/>
                <w:vertAlign w:val="subscript"/>
              </w:rPr>
              <w:t>0</w:t>
            </w:r>
          </w:p>
        </w:tc>
      </w:tr>
    </w:tbl>
    <w:p w14:paraId="49A3D5A1"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2.10. Właściwości mieszaki mineralno-asfaltowej do wykonania betonu asfaltowego do warstwy ścieralnej</w:t>
      </w:r>
    </w:p>
    <w:p w14:paraId="2D475BA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Wymagane właściwości mieszanki mineralno-asfaltowej pod</w:t>
      </w:r>
      <w:r w:rsidR="006F121F">
        <w:rPr>
          <w:rFonts w:ascii="Times New Roman" w:hAnsi="Times New Roman" w:cs="Times New Roman"/>
          <w:color w:val="000000" w:themeColor="text1"/>
        </w:rPr>
        <w:t>ane są w tablicy  17.</w:t>
      </w:r>
    </w:p>
    <w:p w14:paraId="2592F6AC" w14:textId="77777777" w:rsidR="00955A27" w:rsidRPr="001667DB" w:rsidRDefault="006F121F" w:rsidP="00955A27">
      <w:pPr>
        <w:spacing w:before="120" w:after="120" w:line="360" w:lineRule="auto"/>
        <w:ind w:left="1276" w:hanging="1276"/>
        <w:rPr>
          <w:rFonts w:ascii="Times New Roman" w:hAnsi="Times New Roman" w:cs="Times New Roman"/>
          <w:color w:val="000000" w:themeColor="text1"/>
        </w:rPr>
      </w:pPr>
      <w:r>
        <w:rPr>
          <w:rFonts w:ascii="Times New Roman" w:hAnsi="Times New Roman" w:cs="Times New Roman"/>
          <w:color w:val="000000" w:themeColor="text1"/>
        </w:rPr>
        <w:t>Tablica 17</w:t>
      </w:r>
      <w:r w:rsidR="00955A27" w:rsidRPr="001667DB">
        <w:rPr>
          <w:rFonts w:ascii="Times New Roman" w:hAnsi="Times New Roman" w:cs="Times New Roman"/>
          <w:color w:val="000000" w:themeColor="text1"/>
        </w:rPr>
        <w:t>.</w:t>
      </w:r>
      <w:r w:rsidR="00955A27" w:rsidRPr="001667DB">
        <w:rPr>
          <w:rFonts w:ascii="Times New Roman" w:hAnsi="Times New Roman" w:cs="Times New Roman"/>
          <w:color w:val="000000" w:themeColor="text1"/>
        </w:rPr>
        <w:tab/>
        <w:t xml:space="preserve">Wymagane właściwości mieszanki mineralno-asfaltowej do warstwy ścieralnej, dla ruchu KR1 ÷ KR2 </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559"/>
        <w:gridCol w:w="2693"/>
        <w:gridCol w:w="1276"/>
      </w:tblGrid>
      <w:tr w:rsidR="00D577B3" w:rsidRPr="001667DB" w14:paraId="0D45E051" w14:textId="77777777" w:rsidTr="00A14BCF">
        <w:tc>
          <w:tcPr>
            <w:tcW w:w="3681" w:type="dxa"/>
          </w:tcPr>
          <w:p w14:paraId="120DED65" w14:textId="77777777" w:rsidR="00D577B3" w:rsidRPr="001667DB" w:rsidRDefault="00D577B3" w:rsidP="00955A27">
            <w:pPr>
              <w:spacing w:after="120" w:line="360" w:lineRule="auto"/>
              <w:jc w:val="center"/>
              <w:rPr>
                <w:rFonts w:ascii="Times New Roman" w:hAnsi="Times New Roman" w:cs="Times New Roman"/>
                <w:color w:val="000000" w:themeColor="text1"/>
              </w:rPr>
            </w:pPr>
          </w:p>
          <w:p w14:paraId="3B58E50D"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1559" w:type="dxa"/>
          </w:tcPr>
          <w:p w14:paraId="5C5807C0"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Warunki zagęszczania wg PN-EN </w:t>
            </w:r>
          </w:p>
          <w:p w14:paraId="382E3D66"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13108-20 [52]</w:t>
            </w:r>
          </w:p>
        </w:tc>
        <w:tc>
          <w:tcPr>
            <w:tcW w:w="2693" w:type="dxa"/>
          </w:tcPr>
          <w:p w14:paraId="60F63411" w14:textId="77777777" w:rsidR="00D577B3" w:rsidRPr="001667DB" w:rsidRDefault="00D577B3" w:rsidP="00955A27">
            <w:pPr>
              <w:spacing w:after="120" w:line="360" w:lineRule="auto"/>
              <w:jc w:val="center"/>
              <w:rPr>
                <w:rFonts w:ascii="Times New Roman" w:hAnsi="Times New Roman" w:cs="Times New Roman"/>
                <w:color w:val="000000" w:themeColor="text1"/>
              </w:rPr>
            </w:pPr>
          </w:p>
          <w:p w14:paraId="60384AFD"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i warunki badania</w:t>
            </w:r>
          </w:p>
        </w:tc>
        <w:tc>
          <w:tcPr>
            <w:tcW w:w="1276" w:type="dxa"/>
          </w:tcPr>
          <w:p w14:paraId="6AA1AB71" w14:textId="77777777" w:rsidR="00D577B3" w:rsidRPr="001667DB" w:rsidRDefault="00D577B3" w:rsidP="00955A27">
            <w:pPr>
              <w:spacing w:after="120" w:line="360" w:lineRule="auto"/>
              <w:jc w:val="center"/>
              <w:rPr>
                <w:rFonts w:ascii="Times New Roman" w:hAnsi="Times New Roman" w:cs="Times New Roman"/>
                <w:color w:val="000000" w:themeColor="text1"/>
              </w:rPr>
            </w:pPr>
          </w:p>
          <w:p w14:paraId="573AFE98" w14:textId="272616E8" w:rsidR="00D577B3" w:rsidRPr="001667DB" w:rsidRDefault="00D577B3" w:rsidP="00A14BCF">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AC</w:t>
            </w:r>
            <w:r w:rsidR="00A14BCF">
              <w:rPr>
                <w:rFonts w:ascii="Times New Roman" w:hAnsi="Times New Roman" w:cs="Times New Roman"/>
                <w:color w:val="000000" w:themeColor="text1"/>
              </w:rPr>
              <w:t>8</w:t>
            </w:r>
            <w:r w:rsidRPr="001667DB">
              <w:rPr>
                <w:rFonts w:ascii="Times New Roman" w:hAnsi="Times New Roman" w:cs="Times New Roman"/>
                <w:color w:val="000000" w:themeColor="text1"/>
              </w:rPr>
              <w:t>S</w:t>
            </w:r>
          </w:p>
        </w:tc>
      </w:tr>
      <w:tr w:rsidR="00D577B3" w:rsidRPr="001667DB" w14:paraId="0DF6F78F" w14:textId="77777777" w:rsidTr="00A14BCF">
        <w:tc>
          <w:tcPr>
            <w:tcW w:w="3681" w:type="dxa"/>
          </w:tcPr>
          <w:p w14:paraId="4CBB47C3"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w:t>
            </w:r>
          </w:p>
        </w:tc>
        <w:tc>
          <w:tcPr>
            <w:tcW w:w="1559" w:type="dxa"/>
            <w:vAlign w:val="center"/>
          </w:tcPr>
          <w:p w14:paraId="47BCD07E"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693" w:type="dxa"/>
            <w:vAlign w:val="center"/>
          </w:tcPr>
          <w:p w14:paraId="319744A5" w14:textId="77777777" w:rsidR="00D577B3" w:rsidRPr="001667DB" w:rsidRDefault="00D577B3"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[35], </w:t>
            </w:r>
          </w:p>
          <w:p w14:paraId="133143BD"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4</w:t>
            </w:r>
          </w:p>
        </w:tc>
        <w:tc>
          <w:tcPr>
            <w:tcW w:w="1276" w:type="dxa"/>
            <w:vAlign w:val="center"/>
          </w:tcPr>
          <w:p w14:paraId="64005C4F"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min1,0</w:t>
            </w:r>
          </w:p>
          <w:p w14:paraId="7CE23ACE"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w:t>
            </w:r>
            <w:r w:rsidRPr="001667DB">
              <w:rPr>
                <w:rFonts w:ascii="Times New Roman" w:hAnsi="Times New Roman" w:cs="Times New Roman"/>
                <w:color w:val="000000" w:themeColor="text1"/>
                <w:vertAlign w:val="subscript"/>
              </w:rPr>
              <w:t>max3,0</w:t>
            </w:r>
          </w:p>
        </w:tc>
      </w:tr>
      <w:tr w:rsidR="00D577B3" w:rsidRPr="001667DB" w14:paraId="4B114DD8" w14:textId="77777777" w:rsidTr="00A14BCF">
        <w:tc>
          <w:tcPr>
            <w:tcW w:w="3681" w:type="dxa"/>
          </w:tcPr>
          <w:p w14:paraId="5683F334"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Wolne przestrzenie wypełnione lepiszczem</w:t>
            </w:r>
          </w:p>
        </w:tc>
        <w:tc>
          <w:tcPr>
            <w:tcW w:w="1559" w:type="dxa"/>
            <w:vAlign w:val="center"/>
          </w:tcPr>
          <w:p w14:paraId="1F15EBF5"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693" w:type="dxa"/>
            <w:vAlign w:val="center"/>
          </w:tcPr>
          <w:p w14:paraId="2709D638" w14:textId="77777777" w:rsidR="00D577B3" w:rsidRPr="001667DB" w:rsidRDefault="00D577B3"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[35], </w:t>
            </w:r>
          </w:p>
          <w:p w14:paraId="3F6BEF5F"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5</w:t>
            </w:r>
          </w:p>
        </w:tc>
        <w:tc>
          <w:tcPr>
            <w:tcW w:w="1276" w:type="dxa"/>
            <w:vAlign w:val="center"/>
          </w:tcPr>
          <w:p w14:paraId="2ACADEDD" w14:textId="77777777" w:rsidR="00D577B3" w:rsidRPr="001667DB" w:rsidRDefault="00D577B3" w:rsidP="00955A27">
            <w:pPr>
              <w:spacing w:after="120" w:line="360" w:lineRule="auto"/>
              <w:jc w:val="center"/>
              <w:rPr>
                <w:rFonts w:ascii="Times New Roman" w:hAnsi="Times New Roman" w:cs="Times New Roman"/>
                <w:i/>
                <w:color w:val="000000" w:themeColor="text1"/>
                <w:vertAlign w:val="subscript"/>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min75</w:t>
            </w:r>
          </w:p>
          <w:p w14:paraId="43D48579"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VFB</w:t>
            </w:r>
            <w:r w:rsidRPr="001667DB">
              <w:rPr>
                <w:rFonts w:ascii="Times New Roman" w:hAnsi="Times New Roman" w:cs="Times New Roman"/>
                <w:i/>
                <w:color w:val="000000" w:themeColor="text1"/>
                <w:vertAlign w:val="subscript"/>
              </w:rPr>
              <w:t>max93</w:t>
            </w:r>
          </w:p>
        </w:tc>
      </w:tr>
      <w:tr w:rsidR="00D577B3" w:rsidRPr="001667DB" w14:paraId="43541A88" w14:textId="77777777" w:rsidTr="00A14BCF">
        <w:tc>
          <w:tcPr>
            <w:tcW w:w="3681" w:type="dxa"/>
          </w:tcPr>
          <w:p w14:paraId="71E43DF8"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mieszance mineralnej</w:t>
            </w:r>
          </w:p>
        </w:tc>
        <w:tc>
          <w:tcPr>
            <w:tcW w:w="1559" w:type="dxa"/>
            <w:vAlign w:val="center"/>
          </w:tcPr>
          <w:p w14:paraId="5C2A3F83"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C.1.2,ubijanie, 2×50 uderzeń</w:t>
            </w:r>
          </w:p>
        </w:tc>
        <w:tc>
          <w:tcPr>
            <w:tcW w:w="2693" w:type="dxa"/>
            <w:vAlign w:val="center"/>
          </w:tcPr>
          <w:p w14:paraId="5BD37E7F" w14:textId="77777777" w:rsidR="00D577B3" w:rsidRPr="001667DB" w:rsidRDefault="00D577B3"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[35], </w:t>
            </w:r>
          </w:p>
          <w:p w14:paraId="5BA8BC48"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 5</w:t>
            </w:r>
          </w:p>
        </w:tc>
        <w:tc>
          <w:tcPr>
            <w:tcW w:w="1276" w:type="dxa"/>
            <w:vAlign w:val="center"/>
          </w:tcPr>
          <w:p w14:paraId="734BF071" w14:textId="77777777" w:rsidR="00D577B3" w:rsidRPr="001667DB" w:rsidRDefault="00D577B3" w:rsidP="00955A27">
            <w:pPr>
              <w:spacing w:after="120" w:line="360" w:lineRule="auto"/>
              <w:jc w:val="center"/>
              <w:rPr>
                <w:rFonts w:ascii="Times New Roman" w:hAnsi="Times New Roman" w:cs="Times New Roman"/>
                <w:i/>
                <w:color w:val="000000" w:themeColor="text1"/>
              </w:rPr>
            </w:pPr>
            <w:r w:rsidRPr="001667DB">
              <w:rPr>
                <w:rFonts w:ascii="Times New Roman" w:hAnsi="Times New Roman" w:cs="Times New Roman"/>
                <w:i/>
                <w:color w:val="000000" w:themeColor="text1"/>
              </w:rPr>
              <w:t>VMA</w:t>
            </w:r>
            <w:r w:rsidRPr="001667DB">
              <w:rPr>
                <w:rFonts w:ascii="Times New Roman" w:hAnsi="Times New Roman" w:cs="Times New Roman"/>
                <w:i/>
                <w:color w:val="000000" w:themeColor="text1"/>
                <w:vertAlign w:val="subscript"/>
              </w:rPr>
              <w:t>min14</w:t>
            </w:r>
          </w:p>
        </w:tc>
      </w:tr>
      <w:tr w:rsidR="00D577B3" w:rsidRPr="001667DB" w14:paraId="57189BF0" w14:textId="77777777" w:rsidTr="00A14BCF">
        <w:tc>
          <w:tcPr>
            <w:tcW w:w="3681" w:type="dxa"/>
            <w:vAlign w:val="center"/>
          </w:tcPr>
          <w:p w14:paraId="0C8ABA70" w14:textId="77777777" w:rsidR="00D577B3" w:rsidRPr="001667DB" w:rsidRDefault="00D577B3" w:rsidP="00955A27">
            <w:pPr>
              <w:spacing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Odporność na działanie wody</w:t>
            </w:r>
            <w:r w:rsidRPr="001667DB">
              <w:rPr>
                <w:rFonts w:ascii="Times New Roman" w:hAnsi="Times New Roman" w:cs="Times New Roman"/>
                <w:color w:val="000000" w:themeColor="text1"/>
                <w:vertAlign w:val="superscript"/>
              </w:rPr>
              <w:t>a)</w:t>
            </w:r>
          </w:p>
        </w:tc>
        <w:tc>
          <w:tcPr>
            <w:tcW w:w="1559" w:type="dxa"/>
            <w:vAlign w:val="center"/>
          </w:tcPr>
          <w:p w14:paraId="411F04CC" w14:textId="77777777" w:rsidR="00D577B3" w:rsidRPr="001667DB" w:rsidRDefault="00D577B3"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C.1.1,ubijanie, 2×35 uderzeń</w:t>
            </w:r>
          </w:p>
        </w:tc>
        <w:tc>
          <w:tcPr>
            <w:tcW w:w="2693" w:type="dxa"/>
            <w:vAlign w:val="center"/>
          </w:tcPr>
          <w:p w14:paraId="5E07E318"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12697-12 [37], przechowywanie w </w:t>
            </w:r>
            <w:smartTag w:uri="urn:schemas-microsoft-com:office:smarttags" w:element="metricconverter">
              <w:smartTagPr>
                <w:attr w:name="ProductID" w:val="40ﾰC"/>
              </w:smartTagPr>
              <w:r w:rsidRPr="001667DB">
                <w:rPr>
                  <w:rFonts w:ascii="Times New Roman" w:hAnsi="Times New Roman" w:cs="Times New Roman"/>
                  <w:color w:val="000000" w:themeColor="text1"/>
                </w:rPr>
                <w:t>40°C</w:t>
              </w:r>
            </w:smartTag>
            <w:r w:rsidRPr="001667DB">
              <w:rPr>
                <w:rFonts w:ascii="Times New Roman" w:hAnsi="Times New Roman" w:cs="Times New Roman"/>
                <w:color w:val="000000" w:themeColor="text1"/>
              </w:rPr>
              <w:t xml:space="preserve"> z jednym cyklem zamrażania, </w:t>
            </w:r>
          </w:p>
          <w:p w14:paraId="6F9FF984"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w </w:t>
            </w:r>
            <w:smartTag w:uri="urn:schemas-microsoft-com:office:smarttags" w:element="metricconverter">
              <w:smartTagPr>
                <w:attr w:name="ProductID" w:val="25ﾰC"/>
              </w:smartTagPr>
              <w:r w:rsidRPr="001667DB">
                <w:rPr>
                  <w:rFonts w:ascii="Times New Roman" w:hAnsi="Times New Roman" w:cs="Times New Roman"/>
                  <w:color w:val="000000" w:themeColor="text1"/>
                </w:rPr>
                <w:t>25°C</w:t>
              </w:r>
            </w:smartTag>
          </w:p>
        </w:tc>
        <w:tc>
          <w:tcPr>
            <w:tcW w:w="1276" w:type="dxa"/>
            <w:vAlign w:val="center"/>
          </w:tcPr>
          <w:p w14:paraId="67342913" w14:textId="77777777" w:rsidR="00D577B3" w:rsidRPr="001667DB" w:rsidRDefault="00D577B3"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i/>
                <w:color w:val="000000" w:themeColor="text1"/>
              </w:rPr>
              <w:t>ITSR</w:t>
            </w:r>
            <w:r w:rsidRPr="001667DB">
              <w:rPr>
                <w:rFonts w:ascii="Times New Roman" w:hAnsi="Times New Roman" w:cs="Times New Roman"/>
                <w:color w:val="000000" w:themeColor="text1"/>
                <w:vertAlign w:val="subscript"/>
              </w:rPr>
              <w:t>90</w:t>
            </w:r>
          </w:p>
        </w:tc>
      </w:tr>
    </w:tbl>
    <w:p w14:paraId="66231E73" w14:textId="77777777" w:rsidR="00955A27" w:rsidRPr="00326BBF" w:rsidRDefault="00955A27" w:rsidP="00955A27">
      <w:pPr>
        <w:pStyle w:val="Nagwek1"/>
        <w:spacing w:line="360" w:lineRule="auto"/>
        <w:rPr>
          <w:color w:val="000000" w:themeColor="text1"/>
          <w:sz w:val="22"/>
          <w:szCs w:val="22"/>
          <w:lang w:val="pl-PL"/>
        </w:rPr>
      </w:pPr>
      <w:bookmarkStart w:id="456" w:name="_Toc462133768"/>
      <w:r w:rsidRPr="00326BBF">
        <w:rPr>
          <w:color w:val="000000" w:themeColor="text1"/>
          <w:sz w:val="22"/>
          <w:szCs w:val="22"/>
          <w:lang w:val="pl-PL"/>
        </w:rPr>
        <w:t>3. Sprzęt</w:t>
      </w:r>
      <w:bookmarkEnd w:id="456"/>
    </w:p>
    <w:p w14:paraId="6C5420EE" w14:textId="77777777" w:rsidR="00955A27" w:rsidRPr="001667DB" w:rsidRDefault="00955A27" w:rsidP="00955A27">
      <w:pPr>
        <w:pStyle w:val="Nagwek2"/>
        <w:numPr>
          <w:ilvl w:val="12"/>
          <w:numId w:val="0"/>
        </w:numPr>
        <w:spacing w:line="360" w:lineRule="auto"/>
        <w:rPr>
          <w:color w:val="000000" w:themeColor="text1"/>
          <w:sz w:val="22"/>
          <w:szCs w:val="22"/>
        </w:rPr>
      </w:pPr>
      <w:r w:rsidRPr="001667DB">
        <w:rPr>
          <w:color w:val="000000" w:themeColor="text1"/>
          <w:sz w:val="22"/>
          <w:szCs w:val="22"/>
        </w:rPr>
        <w:t>3.1. Ogólne wymagania dotyczące sprzętu</w:t>
      </w:r>
    </w:p>
    <w:p w14:paraId="72802DAA"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[1] pkt 3.</w:t>
      </w:r>
    </w:p>
    <w:p w14:paraId="3A64BF7B"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3.2. Sprzęt stosowany do wykonania robót</w:t>
      </w:r>
    </w:p>
    <w:p w14:paraId="46129ABD"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52C72252" w14:textId="51B67EEE"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wytwórnia (otaczarka</w:t>
      </w:r>
      <w:r w:rsidRPr="001667DB">
        <w:rPr>
          <w:rFonts w:ascii="Times New Roman" w:hAnsi="Times New Roman" w:cs="Times New Roman"/>
          <w:b/>
          <w:color w:val="000000" w:themeColor="text1"/>
        </w:rPr>
        <w:t>)</w:t>
      </w:r>
      <w:r w:rsidRPr="001667DB">
        <w:rPr>
          <w:rFonts w:ascii="Times New Roman" w:hAnsi="Times New Roman" w:cs="Times New Roman"/>
          <w:color w:val="000000" w:themeColor="text1"/>
        </w:rPr>
        <w:t xml:space="preserve"> o mieszaniu cyklicznym lub ciągłym, z automatycznym komputerowym sterowaniem produkcji, do wytwarzania mieszanek mineralno-asfaltowych,</w:t>
      </w:r>
      <w:r w:rsidRPr="001667DB">
        <w:rPr>
          <w:rFonts w:ascii="Times New Roman" w:hAnsi="Times New Roman" w:cs="Times New Roman"/>
          <w:color w:val="000000" w:themeColor="text1"/>
        </w:rPr>
        <w:br/>
        <w:t>Wytwórnia  powinna zapewnić wysuszenie i wymieszanie wszystkich składników oraz zachowanie właściwej temperatury składników i gotowej mieszanki mineralno-asfaltowej. Na wytwórni powinien funkcjonować certyfikowany system zakładowej kontroli produkcji zgodny z PN-EN 131</w:t>
      </w:r>
      <w:r w:rsidR="00A14BCF">
        <w:rPr>
          <w:rFonts w:ascii="Times New Roman" w:hAnsi="Times New Roman" w:cs="Times New Roman"/>
          <w:color w:val="000000" w:themeColor="text1"/>
        </w:rPr>
        <w:t xml:space="preserve">08-21 [53]. </w:t>
      </w:r>
      <w:r w:rsidRPr="001667DB">
        <w:rPr>
          <w:rFonts w:ascii="Times New Roman" w:hAnsi="Times New Roman" w:cs="Times New Roman"/>
          <w:color w:val="000000" w:themeColor="text1"/>
        </w:rPr>
        <w:t>Wytwórnia powinna być wyposażona w termometry (urządzenia pomiarowe) pozwalające na ciągłe monitorowanie temperatury poszczególnych materiałów, na różnych etapach przygotowywania materiałów, jak i na wyjściu z mieszalnika,</w:t>
      </w:r>
    </w:p>
    <w:p w14:paraId="3C7C7F94"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układarka gąsienicowa, z elektronicznym sterowaniem równości układanej warstwy,</w:t>
      </w:r>
    </w:p>
    <w:p w14:paraId="0F3717CD"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skrapiarka,</w:t>
      </w:r>
    </w:p>
    <w:p w14:paraId="4F98CE71"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walce stalowe gładkie, </w:t>
      </w:r>
    </w:p>
    <w:p w14:paraId="34349D05"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lekka rozsypywarka kruszywa,</w:t>
      </w:r>
    </w:p>
    <w:p w14:paraId="617885BB"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szczotki mechaniczne i/lub inne urządzenia czyszczące,</w:t>
      </w:r>
    </w:p>
    <w:p w14:paraId="67AF4A9F"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samochody samowyładowcze z przykryciem brezentowym lub termosami,</w:t>
      </w:r>
    </w:p>
    <w:p w14:paraId="4ACEA0FC" w14:textId="77777777" w:rsidR="00955A27" w:rsidRPr="001667DB" w:rsidRDefault="00955A27" w:rsidP="00904E6C">
      <w:pPr>
        <w:numPr>
          <w:ilvl w:val="0"/>
          <w:numId w:val="151"/>
        </w:numPr>
        <w:overflowPunct w:val="0"/>
        <w:autoSpaceDE w:val="0"/>
        <w:autoSpaceDN w:val="0"/>
        <w:adjustRightInd w:val="0"/>
        <w:spacing w:after="120" w:line="360" w:lineRule="auto"/>
        <w:ind w:left="360"/>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 drobny.</w:t>
      </w:r>
    </w:p>
    <w:p w14:paraId="7402BA9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Sprzęt powinien odpowiadać wymaganiom określonym w dokumentacji projektowej, ST, instrukcjach producentów lub propozycji Wykonawcy i powinien być zaakceptowany przez Inżyniera.</w:t>
      </w:r>
    </w:p>
    <w:p w14:paraId="27BDF56C" w14:textId="77777777" w:rsidR="00955A27" w:rsidRPr="00326BBF" w:rsidRDefault="00955A27" w:rsidP="00A9424D">
      <w:pPr>
        <w:pStyle w:val="Nagwek1"/>
        <w:spacing w:line="360" w:lineRule="auto"/>
        <w:jc w:val="both"/>
        <w:rPr>
          <w:color w:val="000000" w:themeColor="text1"/>
          <w:sz w:val="22"/>
          <w:szCs w:val="22"/>
          <w:lang w:val="pl-PL"/>
        </w:rPr>
      </w:pPr>
      <w:bookmarkStart w:id="457" w:name="_Toc462133769"/>
      <w:r w:rsidRPr="00326BBF">
        <w:rPr>
          <w:color w:val="000000" w:themeColor="text1"/>
          <w:sz w:val="22"/>
          <w:szCs w:val="22"/>
          <w:lang w:val="pl-PL"/>
        </w:rPr>
        <w:t>4. Transport</w:t>
      </w:r>
      <w:bookmarkEnd w:id="457"/>
    </w:p>
    <w:p w14:paraId="3D7D08BA"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4.1. Ogólne wymagania dotyczące transportu</w:t>
      </w:r>
    </w:p>
    <w:p w14:paraId="00C48EE8"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[1] pkt 4.</w:t>
      </w:r>
      <w:r w:rsidRPr="001667DB">
        <w:rPr>
          <w:rFonts w:ascii="Times New Roman" w:hAnsi="Times New Roman" w:cs="Times New Roman"/>
          <w:color w:val="000000" w:themeColor="text1"/>
        </w:rPr>
        <w:tab/>
      </w:r>
    </w:p>
    <w:p w14:paraId="0FAB0AC3"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 xml:space="preserve">4.2. Transport materiałów </w:t>
      </w:r>
    </w:p>
    <w:p w14:paraId="2FC8A253"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Asfalt i polimeroasfalt należy przewozić zgodnie z zasadami wynikającymi z ustawy o przewozie drogowym towarów niebezpiecznych [84] wprowadzającej przepisy konwencji ADR, w cysternach kolejowych lub samochodach izolowanych i zaopatrzonych w urządzenia umożliwiające pośrednie ogrzewanie oraz w zawory spustowe.</w:t>
      </w:r>
    </w:p>
    <w:p w14:paraId="3F08141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można przewozić dowolnymi środkami transportu, w warunkach zabezpieczających je przed zanieczyszczeniem, zmieszaniem z innymi materiałami i nadmiernym zawilgoceniem.</w:t>
      </w:r>
    </w:p>
    <w:p w14:paraId="33F6C46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1CDA6F8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Środek adhezyjny, w opakowaniu producenta, może być przewożony dowolnymi środkami transportu z uwzględnieniem zaleceń producenta. Opakowanie powinno być zabezpieczone tak, aby nie uległo uszkodzeniu. </w:t>
      </w:r>
    </w:p>
    <w:p w14:paraId="02F45C8B"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14:paraId="738EE83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w:t>
      </w:r>
      <w:r w:rsidRPr="001667DB">
        <w:rPr>
          <w:rFonts w:ascii="Times New Roman" w:hAnsi="Times New Roman" w:cs="Times New Roman"/>
          <w:color w:val="000000" w:themeColor="text1"/>
        </w:rPr>
        <w:lastRenderedPageBreak/>
        <w:t xml:space="preserve">lub ogrzewane itp.). Warunki i czas transportu mieszanki, od produkcji do wbudowania, powinna zapewniać utrzymanie temperatury w wymaganym przedziale.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4C6F1D6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pojemników używanych do transportu mieszanki powinny być czyste, a do zwilżania tych powierzchni można używać tylko środki antyadhezyjne niewpływające szkodliwie na mieszankę. Zabrania się skrapiania skrzyń olejem na pędowym lub innymi środkami ropopochodnymi. </w:t>
      </w:r>
    </w:p>
    <w:p w14:paraId="5DC9168C" w14:textId="77777777" w:rsidR="00955A27" w:rsidRPr="00326BBF" w:rsidRDefault="00955A27" w:rsidP="00A9424D">
      <w:pPr>
        <w:pStyle w:val="Nagwek1"/>
        <w:spacing w:line="360" w:lineRule="auto"/>
        <w:jc w:val="both"/>
        <w:rPr>
          <w:color w:val="000000" w:themeColor="text1"/>
          <w:sz w:val="22"/>
          <w:szCs w:val="22"/>
          <w:lang w:val="pl-PL"/>
        </w:rPr>
      </w:pPr>
      <w:bookmarkStart w:id="458" w:name="_Toc462133770"/>
      <w:r w:rsidRPr="00326BBF">
        <w:rPr>
          <w:color w:val="000000" w:themeColor="text1"/>
          <w:sz w:val="22"/>
          <w:szCs w:val="22"/>
          <w:lang w:val="pl-PL"/>
        </w:rPr>
        <w:t>5. Wykonanie robót</w:t>
      </w:r>
      <w:bookmarkEnd w:id="458"/>
    </w:p>
    <w:p w14:paraId="0672CFEE"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5.1. Ogólne zasady wykonania robót</w:t>
      </w:r>
    </w:p>
    <w:p w14:paraId="7D9F937B"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[1] pkt 5.</w:t>
      </w:r>
    </w:p>
    <w:p w14:paraId="6DE9D476"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5.2. Projektowanie mieszanki mineralno-asfaltowej</w:t>
      </w:r>
    </w:p>
    <w:p w14:paraId="3E889998" w14:textId="16E3E386" w:rsidR="00955A27" w:rsidRPr="001667DB" w:rsidRDefault="00955A27" w:rsidP="00A9424D">
      <w:pPr>
        <w:widowControl w:val="0"/>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dostarczy Inżynierowi do akceptacji projekt składu mieszanki mineralno-asfaltowej (AC</w:t>
      </w:r>
      <w:r w:rsidR="00A14BCF">
        <w:rPr>
          <w:rFonts w:ascii="Times New Roman" w:hAnsi="Times New Roman" w:cs="Times New Roman"/>
          <w:color w:val="000000" w:themeColor="text1"/>
        </w:rPr>
        <w:t>8</w:t>
      </w:r>
      <w:r w:rsidRPr="001667DB">
        <w:rPr>
          <w:rFonts w:ascii="Times New Roman" w:hAnsi="Times New Roman" w:cs="Times New Roman"/>
          <w:color w:val="000000" w:themeColor="text1"/>
        </w:rPr>
        <w:t>S), wyniki badań laboratoryjnych oraz próbki materiałów pobrane w obecności Inżyniera do wykonania badań kontrolnych przez Zamawiającego.</w:t>
      </w:r>
    </w:p>
    <w:p w14:paraId="19793742" w14:textId="77777777" w:rsidR="00955A27" w:rsidRPr="001667DB" w:rsidRDefault="00955A27" w:rsidP="00A9424D">
      <w:pPr>
        <w:widowControl w:val="0"/>
        <w:spacing w:after="120" w:line="360" w:lineRule="auto"/>
        <w:ind w:right="-59"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 mieszanki mineralno-asfaltowej powinien określać: </w:t>
      </w:r>
    </w:p>
    <w:p w14:paraId="5A49AD0D"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źródło wszystkich zastosowanych materiałów,</w:t>
      </w:r>
    </w:p>
    <w:p w14:paraId="5780AFE7"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proporcje wszystkich składników mieszanki mineralnej,</w:t>
      </w:r>
    </w:p>
    <w:p w14:paraId="7EE90522"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punkty graniczne uziarnienia,</w:t>
      </w:r>
    </w:p>
    <w:p w14:paraId="4C76EFD9"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wyniki badań przeprowadzonych w celu określenia właściwości mieszanki i porównanie ich z wymaganiami specyfikacji,</w:t>
      </w:r>
    </w:p>
    <w:p w14:paraId="09DC3379"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wyniki badań dotyczących fizycznych właściwości kruszywa, </w:t>
      </w:r>
    </w:p>
    <w:p w14:paraId="5FAF620D" w14:textId="77777777" w:rsidR="00955A27" w:rsidRPr="001667DB" w:rsidRDefault="00955A27" w:rsidP="00904E6C">
      <w:pPr>
        <w:widowControl w:val="0"/>
        <w:numPr>
          <w:ilvl w:val="0"/>
          <w:numId w:val="125"/>
        </w:numPr>
        <w:spacing w:after="120" w:line="360" w:lineRule="auto"/>
        <w:ind w:right="-5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temperaturę wytwarzania i układania mieszanki. </w:t>
      </w:r>
    </w:p>
    <w:p w14:paraId="6651764B" w14:textId="77777777" w:rsidR="00955A27" w:rsidRPr="001667DB" w:rsidRDefault="00955A27" w:rsidP="00A9424D">
      <w:pPr>
        <w:shd w:val="clear" w:color="auto" w:fill="FFFFFF"/>
        <w:spacing w:after="120" w:line="360" w:lineRule="auto"/>
        <w:ind w:right="2" w:firstLine="709"/>
        <w:jc w:val="both"/>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1"/>
        </w:rPr>
        <w:t xml:space="preserve">W zagęszczaniu próbek laboratoryjnych mieszanek mineralno-asfaltowych należy stosować następujące temperatury mieszanki w zależności stosowanego asfaltu: </w:t>
      </w:r>
    </w:p>
    <w:p w14:paraId="5E3418D3" w14:textId="77777777" w:rsidR="00955A27" w:rsidRPr="001667DB" w:rsidRDefault="00955A27" w:rsidP="00904E6C">
      <w:pPr>
        <w:numPr>
          <w:ilvl w:val="0"/>
          <w:numId w:val="126"/>
        </w:numPr>
        <w:shd w:val="clear" w:color="auto" w:fill="FFFFFF"/>
        <w:tabs>
          <w:tab w:val="clear" w:pos="454"/>
          <w:tab w:val="num" w:pos="360"/>
        </w:tabs>
        <w:overflowPunct w:val="0"/>
        <w:autoSpaceDE w:val="0"/>
        <w:autoSpaceDN w:val="0"/>
        <w:adjustRightInd w:val="0"/>
        <w:spacing w:after="120" w:line="360" w:lineRule="auto"/>
        <w:ind w:left="360" w:right="2" w:hanging="303"/>
        <w:jc w:val="both"/>
        <w:textAlignment w:val="baseline"/>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1"/>
        </w:rPr>
        <w:t>50/70 i 70/100: 135°C±</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rPr>
          <w:t>5°C</w:t>
        </w:r>
      </w:smartTag>
      <w:r w:rsidRPr="001667DB">
        <w:rPr>
          <w:rFonts w:ascii="Times New Roman" w:hAnsi="Times New Roman" w:cs="Times New Roman"/>
          <w:color w:val="000000" w:themeColor="text1"/>
          <w:spacing w:val="1"/>
        </w:rPr>
        <w:t>,</w:t>
      </w:r>
    </w:p>
    <w:p w14:paraId="0FA940FB" w14:textId="77777777" w:rsidR="00955A27" w:rsidRPr="001667DB" w:rsidRDefault="00955A27" w:rsidP="00904E6C">
      <w:pPr>
        <w:numPr>
          <w:ilvl w:val="0"/>
          <w:numId w:val="126"/>
        </w:numPr>
        <w:tabs>
          <w:tab w:val="clear" w:pos="454"/>
          <w:tab w:val="num" w:pos="360"/>
        </w:tabs>
        <w:overflowPunct w:val="0"/>
        <w:autoSpaceDE w:val="0"/>
        <w:autoSpaceDN w:val="0"/>
        <w:adjustRightInd w:val="0"/>
        <w:spacing w:after="120" w:line="360" w:lineRule="auto"/>
        <w:ind w:left="360" w:hanging="30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MG 50/70-54/64: 140</w:t>
      </w:r>
      <w:r w:rsidRPr="001667DB">
        <w:rPr>
          <w:rFonts w:ascii="Times New Roman" w:hAnsi="Times New Roman" w:cs="Times New Roman"/>
          <w:color w:val="000000" w:themeColor="text1"/>
          <w:spacing w:val="1"/>
        </w:rPr>
        <w:t>°</w:t>
      </w:r>
      <w:r w:rsidRPr="001667DB">
        <w:rPr>
          <w:rFonts w:ascii="Times New Roman" w:hAnsi="Times New Roman" w:cs="Times New Roman"/>
          <w:color w:val="000000" w:themeColor="text1"/>
        </w:rPr>
        <w:t>C</w:t>
      </w:r>
      <w:r w:rsidRPr="001667DB">
        <w:rPr>
          <w:rFonts w:ascii="Times New Roman" w:hAnsi="Times New Roman" w:cs="Times New Roman"/>
          <w:color w:val="000000" w:themeColor="text1"/>
          <w:spacing w:val="1"/>
        </w:rPr>
        <w:t>±</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rPr>
          <w:t>5°C</w:t>
        </w:r>
      </w:smartTag>
      <w:r w:rsidRPr="001667DB">
        <w:rPr>
          <w:rFonts w:ascii="Times New Roman" w:hAnsi="Times New Roman" w:cs="Times New Roman"/>
          <w:color w:val="000000" w:themeColor="text1"/>
          <w:spacing w:val="1"/>
        </w:rPr>
        <w:t>,</w:t>
      </w:r>
      <w:r w:rsidRPr="001667DB">
        <w:rPr>
          <w:rFonts w:ascii="Times New Roman" w:hAnsi="Times New Roman" w:cs="Times New Roman"/>
          <w:color w:val="000000" w:themeColor="text1"/>
        </w:rPr>
        <w:t xml:space="preserve"> </w:t>
      </w:r>
    </w:p>
    <w:p w14:paraId="6B2E86FE" w14:textId="77777777" w:rsidR="00955A27" w:rsidRPr="001667DB" w:rsidRDefault="00955A27" w:rsidP="00904E6C">
      <w:pPr>
        <w:numPr>
          <w:ilvl w:val="0"/>
          <w:numId w:val="126"/>
        </w:numPr>
        <w:tabs>
          <w:tab w:val="clear" w:pos="454"/>
          <w:tab w:val="num" w:pos="360"/>
        </w:tabs>
        <w:overflowPunct w:val="0"/>
        <w:autoSpaceDE w:val="0"/>
        <w:autoSpaceDN w:val="0"/>
        <w:adjustRightInd w:val="0"/>
        <w:spacing w:after="120" w:line="360" w:lineRule="auto"/>
        <w:ind w:left="360" w:hanging="303"/>
        <w:jc w:val="both"/>
        <w:textAlignment w:val="baseline"/>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45/80 – 55, PMB 45/80-65, PMB 45/80-80: 145</w:t>
      </w:r>
      <w:r w:rsidRPr="001667DB">
        <w:rPr>
          <w:rFonts w:ascii="Times New Roman" w:hAnsi="Times New Roman" w:cs="Times New Roman"/>
          <w:color w:val="000000" w:themeColor="text1"/>
          <w:spacing w:val="1"/>
          <w:lang w:val="en-US"/>
        </w:rPr>
        <w:t>°</w:t>
      </w:r>
      <w:r w:rsidRPr="001667DB">
        <w:rPr>
          <w:rFonts w:ascii="Times New Roman" w:hAnsi="Times New Roman" w:cs="Times New Roman"/>
          <w:color w:val="000000" w:themeColor="text1"/>
          <w:lang w:val="en-US"/>
        </w:rPr>
        <w:t>C</w:t>
      </w:r>
      <w:r w:rsidRPr="001667DB">
        <w:rPr>
          <w:rFonts w:ascii="Times New Roman" w:hAnsi="Times New Roman" w:cs="Times New Roman"/>
          <w:color w:val="000000" w:themeColor="text1"/>
          <w:spacing w:val="1"/>
          <w:lang w:val="en-US"/>
        </w:rPr>
        <w:t>±</w:t>
      </w:r>
      <w:smartTag w:uri="urn:schemas-microsoft-com:office:smarttags" w:element="metricconverter">
        <w:smartTagPr>
          <w:attr w:name="ProductID" w:val="5ﾰC"/>
        </w:smartTagPr>
        <w:r w:rsidRPr="001667DB">
          <w:rPr>
            <w:rFonts w:ascii="Times New Roman" w:hAnsi="Times New Roman" w:cs="Times New Roman"/>
            <w:color w:val="000000" w:themeColor="text1"/>
            <w:spacing w:val="1"/>
            <w:lang w:val="en-US"/>
          </w:rPr>
          <w:t>5°C</w:t>
        </w:r>
      </w:smartTag>
      <w:r w:rsidRPr="001667DB">
        <w:rPr>
          <w:rFonts w:ascii="Times New Roman" w:hAnsi="Times New Roman" w:cs="Times New Roman"/>
          <w:color w:val="000000" w:themeColor="text1"/>
          <w:spacing w:val="1"/>
          <w:lang w:val="en-US"/>
        </w:rPr>
        <w:t xml:space="preserve">. </w:t>
      </w:r>
    </w:p>
    <w:p w14:paraId="72FDA5BF" w14:textId="77777777" w:rsidR="00955A27" w:rsidRPr="001667DB" w:rsidRDefault="00955A27" w:rsidP="00A9424D">
      <w:pPr>
        <w:shd w:val="clear" w:color="auto" w:fill="FFFFFF"/>
        <w:spacing w:after="120" w:line="360" w:lineRule="auto"/>
        <w:ind w:right="2" w:firstLine="709"/>
        <w:jc w:val="both"/>
        <w:rPr>
          <w:rFonts w:ascii="Times New Roman" w:hAnsi="Times New Roman" w:cs="Times New Roman"/>
          <w:color w:val="000000" w:themeColor="text1"/>
          <w:spacing w:val="2"/>
        </w:rPr>
      </w:pPr>
      <w:r w:rsidRPr="001667DB">
        <w:rPr>
          <w:rFonts w:ascii="Times New Roman" w:hAnsi="Times New Roman" w:cs="Times New Roman"/>
          <w:color w:val="000000" w:themeColor="text1"/>
          <w:spacing w:val="1"/>
        </w:rPr>
        <w:lastRenderedPageBreak/>
        <w:t xml:space="preserve">Recepta powinna być zaprojektowana dla konkretnych materiałów, zaakceptowanych przez Inżyniera, do wbudowania i przy wykorzystaniu reprezentatywnych próbek tych materiałów.  </w:t>
      </w:r>
    </w:p>
    <w:p w14:paraId="07CC8AC0" w14:textId="77777777" w:rsidR="00955A27" w:rsidRPr="001667DB" w:rsidRDefault="00955A27" w:rsidP="00A9424D">
      <w:pPr>
        <w:shd w:val="clear" w:color="auto" w:fill="FFFFFF"/>
        <w:spacing w:after="120" w:line="360" w:lineRule="auto"/>
        <w:ind w:right="2" w:firstLine="709"/>
        <w:jc w:val="both"/>
        <w:rPr>
          <w:rFonts w:ascii="Times New Roman" w:hAnsi="Times New Roman" w:cs="Times New Roman"/>
          <w:color w:val="000000" w:themeColor="text1"/>
          <w:spacing w:val="2"/>
        </w:rPr>
      </w:pPr>
      <w:r w:rsidRPr="001667DB">
        <w:rPr>
          <w:rFonts w:ascii="Times New Roman" w:hAnsi="Times New Roman" w:cs="Times New Roman"/>
          <w:color w:val="000000" w:themeColor="text1"/>
          <w:spacing w:val="2"/>
        </w:rPr>
        <w:t>Jeżeli mieszanka mineralno-asfaltowa jest dostarczana z kilku wytwórni lub od kilku producentów, to należy zapewnić zgodność typu i wymiaru mieszanki oraz spełnienie wymaganej dokumentacji projektowej.</w:t>
      </w:r>
    </w:p>
    <w:p w14:paraId="4CF38CB0" w14:textId="77777777" w:rsidR="00955A27" w:rsidRPr="001667DB" w:rsidRDefault="00955A27" w:rsidP="00A9424D">
      <w:pPr>
        <w:shd w:val="clear" w:color="auto" w:fill="FFFFFF"/>
        <w:spacing w:after="120" w:line="360" w:lineRule="auto"/>
        <w:ind w:right="2" w:firstLine="709"/>
        <w:jc w:val="both"/>
        <w:rPr>
          <w:rFonts w:ascii="Times New Roman" w:hAnsi="Times New Roman" w:cs="Times New Roman"/>
          <w:color w:val="000000" w:themeColor="text1"/>
          <w:spacing w:val="1"/>
        </w:rPr>
      </w:pPr>
      <w:r w:rsidRPr="001667DB">
        <w:rPr>
          <w:rFonts w:ascii="Times New Roman" w:hAnsi="Times New Roman" w:cs="Times New Roman"/>
          <w:color w:val="000000" w:themeColor="text1"/>
          <w:spacing w:val="2"/>
        </w:rPr>
        <w:t xml:space="preserve">Każda zmiana składników mieszanki w czasie trwania robót wymaga akceptacji Inżyniera </w:t>
      </w:r>
      <w:r w:rsidRPr="001667DB">
        <w:rPr>
          <w:rFonts w:ascii="Times New Roman" w:hAnsi="Times New Roman" w:cs="Times New Roman"/>
          <w:color w:val="000000" w:themeColor="text1"/>
          <w:spacing w:val="1"/>
        </w:rPr>
        <w:t xml:space="preserve">oraz opracowania nowej recepty i jej zatwierdzenia.  </w:t>
      </w:r>
    </w:p>
    <w:p w14:paraId="36692AD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7B9D009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Akceptacja recepty przez Inżyniera może nastąpić na podstawie przedstawionych przez Wykonawcę badań typu i sprawozdania z próby technologicznej. W przypadku kiedy Inżynier, w celu akceptacji recepty mieszanki mineralno-asfaltowej, zdecyduje się wykonać dodatkowo niezależne badania, Wykonawca dostarczy zgodnie z wymaganiami Inżyniera próbki wszystkich składników mieszanki.</w:t>
      </w:r>
    </w:p>
    <w:p w14:paraId="512DCC6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Zaakceptowana recepta stanowi ważną podstawę produkcji.</w:t>
      </w:r>
    </w:p>
    <w:p w14:paraId="6507299D"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5.3. Wytwarzanie mieszanki mineralno-asfaltowej</w:t>
      </w:r>
    </w:p>
    <w:p w14:paraId="5ED44D9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Mieszankę mineralno-asfaltową należy wytwarzać na gorąco w otaczarce (zespole maszyn i urządzeń dozowania, podgrzewania i mieszania składników oraz przechowywania gotowej mieszanki). Inżynier dopuści do produkcji tylko otaczarki posiadające certyfikowany system zakładowej kontroli produkcji zgodny z PN</w:t>
      </w:r>
      <w:r w:rsidRPr="001667DB">
        <w:rPr>
          <w:rFonts w:ascii="Times New Roman" w:hAnsi="Times New Roman" w:cs="Times New Roman"/>
          <w:color w:val="000000" w:themeColor="text1"/>
        </w:rPr>
        <w:noBreakHyphen/>
        <w:t xml:space="preserve">EN 13108-21 [53]. </w:t>
      </w:r>
    </w:p>
    <w:p w14:paraId="11B186BB"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628A647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rsidRPr="001667DB">
          <w:rPr>
            <w:rFonts w:ascii="Times New Roman" w:hAnsi="Times New Roman" w:cs="Times New Roman"/>
            <w:color w:val="000000" w:themeColor="text1"/>
          </w:rPr>
          <w:t>5°C</w:t>
        </w:r>
      </w:smartTag>
      <w:r w:rsidRPr="001667DB">
        <w:rPr>
          <w:rFonts w:ascii="Times New Roman" w:hAnsi="Times New Roman" w:cs="Times New Roman"/>
          <w:color w:val="000000" w:themeColor="text1"/>
        </w:rPr>
        <w:t>. Temperatura lepiszcza asfaltowego w zbiorniku magazynowym (roboczym) nie może przekraczać wartości podanych w pkcie 2.2.</w:t>
      </w:r>
    </w:p>
    <w:p w14:paraId="723DDDDB" w14:textId="77777777" w:rsidR="00955A27" w:rsidRDefault="00955A27" w:rsidP="00A9424D">
      <w:pPr>
        <w:spacing w:after="120"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(ewentualnie z wypełniaczem) powinno być wysuszone i podgrzane tak, aby mieszanka mineralna uzyskała temperaturę właściwą do otoczenia lepiszczem asfaltowym. Temperatura </w:t>
      </w:r>
      <w:r w:rsidRPr="001667DB">
        <w:rPr>
          <w:rFonts w:ascii="Times New Roman" w:hAnsi="Times New Roman" w:cs="Times New Roman"/>
          <w:color w:val="000000" w:themeColor="text1"/>
        </w:rPr>
        <w:lastRenderedPageBreak/>
        <w:t>mieszanki mineralnej nie powinna być wyższa o więcej niż 30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 od najwyższej temperatury mieszanki mineralno-asfaltowej podanej w tablicy 21. W tej tablicy najniższa temperatura dotyczy mieszanki mineralno-asfaltowej dostarczonej na miejsce wbudowania, a najwyższa temperatura dotyczy mieszanki mineralno-asfaltowej bezpośrednio po wytworzeniu w wytwórni.</w:t>
      </w:r>
    </w:p>
    <w:p w14:paraId="0A9610E5" w14:textId="77777777" w:rsidR="00955A27" w:rsidRPr="001667DB" w:rsidRDefault="006F121F" w:rsidP="00A9424D">
      <w:pPr>
        <w:keepNext/>
        <w:spacing w:before="120"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Tablica 18</w:t>
      </w:r>
      <w:r w:rsidR="00955A27" w:rsidRPr="001667DB">
        <w:rPr>
          <w:rFonts w:ascii="Times New Roman" w:hAnsi="Times New Roman" w:cs="Times New Roman"/>
          <w:color w:val="000000" w:themeColor="text1"/>
        </w:rPr>
        <w:t>. Najwyższa i najniższa temperatura mieszanki 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955A27" w:rsidRPr="001667DB" w14:paraId="6B58CBE1" w14:textId="77777777" w:rsidTr="001B4B8F">
        <w:tc>
          <w:tcPr>
            <w:tcW w:w="2640" w:type="dxa"/>
          </w:tcPr>
          <w:p w14:paraId="3A12EAC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Lepiszcze asfaltowe</w:t>
            </w:r>
          </w:p>
        </w:tc>
        <w:tc>
          <w:tcPr>
            <w:tcW w:w="3071" w:type="dxa"/>
          </w:tcPr>
          <w:p w14:paraId="02C56FA5"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Temperatura mieszanki [°C]</w:t>
            </w:r>
          </w:p>
        </w:tc>
      </w:tr>
      <w:tr w:rsidR="00955A27" w:rsidRPr="001667DB" w14:paraId="0E4FDAF0" w14:textId="77777777" w:rsidTr="001B4B8F">
        <w:tc>
          <w:tcPr>
            <w:tcW w:w="2640" w:type="dxa"/>
          </w:tcPr>
          <w:p w14:paraId="489266C2" w14:textId="77777777" w:rsidR="00955A27" w:rsidRPr="001667DB" w:rsidRDefault="00955A27" w:rsidP="00955A27">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Asfalt 50/70</w:t>
            </w:r>
          </w:p>
          <w:p w14:paraId="337D0029" w14:textId="77777777" w:rsidR="00955A27" w:rsidRPr="001667DB" w:rsidRDefault="00955A27" w:rsidP="00955A27">
            <w:pPr>
              <w:spacing w:before="60" w:after="120" w:line="360" w:lineRule="auto"/>
              <w:ind w:firstLine="12"/>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Asfalt 70/100</w:t>
            </w:r>
          </w:p>
          <w:p w14:paraId="5D7BFD02" w14:textId="77777777" w:rsidR="00955A27" w:rsidRPr="001667DB" w:rsidRDefault="00955A27" w:rsidP="00955A27">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45/80-55</w:t>
            </w:r>
          </w:p>
          <w:p w14:paraId="78A626F1" w14:textId="77777777" w:rsidR="00955A27" w:rsidRPr="001667DB" w:rsidRDefault="00955A27" w:rsidP="00955A27">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45/80-65</w:t>
            </w:r>
          </w:p>
          <w:p w14:paraId="1930D700" w14:textId="77777777" w:rsidR="00955A27" w:rsidRPr="001667DB" w:rsidRDefault="00955A27" w:rsidP="00955A27">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PMB 45/80-80</w:t>
            </w:r>
          </w:p>
          <w:p w14:paraId="01B4E0C3" w14:textId="77777777" w:rsidR="00955A27" w:rsidRPr="001667DB" w:rsidRDefault="00955A27" w:rsidP="00955A27">
            <w:pPr>
              <w:spacing w:before="60" w:after="120" w:line="360"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MG 50/70-54/64</w:t>
            </w:r>
          </w:p>
        </w:tc>
        <w:tc>
          <w:tcPr>
            <w:tcW w:w="3071" w:type="dxa"/>
          </w:tcPr>
          <w:p w14:paraId="131F507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140 do 180</w:t>
            </w:r>
          </w:p>
          <w:p w14:paraId="335DA9F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140 do 180</w:t>
            </w:r>
          </w:p>
          <w:p w14:paraId="2B4F1C7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1503B4A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4A35758E"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p w14:paraId="7FEBA61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wskazań producenta</w:t>
            </w:r>
          </w:p>
        </w:tc>
      </w:tr>
    </w:tbl>
    <w:p w14:paraId="288ED22D" w14:textId="77777777" w:rsidR="00955A27" w:rsidRPr="001667DB" w:rsidRDefault="00955A27" w:rsidP="00A9424D">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Podana temperatura nie znajduje zastosowania do mieszanek mineralno-asfaltowych, do których jest dodawany dodatek w celu obniżenia temperatury jej wytwarzania i wbudowania lub gdy stosowane lepiszcze asfaltowe zawiera taki środek.</w:t>
      </w:r>
    </w:p>
    <w:p w14:paraId="0A21C98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Sposób i czas mieszania składników mieszanki mineralno-asfaltowej powinny zapewnić równomierne otoczenie kruszywa lepiszczem asfaltowym.</w:t>
      </w:r>
    </w:p>
    <w:p w14:paraId="4D3D67A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47BE7E8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dostawy mieszanek mineralno-asfaltowych z kilku wytwórni, pod warunkiem skoordynowania między sobą deklarowanych przydatności mieszanek (m.in.: typ, rodzaj składników, właściwości objętościowe) z zachowaniem braku różnic w ich właściwościach, m. in. barwy warstwy ścieralnej.</w:t>
      </w:r>
    </w:p>
    <w:p w14:paraId="720913D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powinna być tak zaplanowana, aby nie dopuścić do zbyt długiego przechowywania mieszanki w silosach; należy wykluczyć możliwość szkodliwych zmian. </w:t>
      </w:r>
    </w:p>
    <w:p w14:paraId="614A7F7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Czas przechowywania – magazynowania mieszanki  MMA powinien uwzględniać możliwości wytwórni (sposób podgrzewania silosów gotowej mieszanki MMA i rodzaj izolacji), warunki atmosferyczne  oraz czas transportu na budowę. </w:t>
      </w:r>
    </w:p>
    <w:p w14:paraId="02099F61"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lastRenderedPageBreak/>
        <w:t>5.4. Przygotowanie podłoża</w:t>
      </w:r>
    </w:p>
    <w:p w14:paraId="4633EBD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Podłoże (warstwa wyrównawcza, warstwa wiążąca lub stara warstwa ścieralna) pod warstwę ścieralną z betonu asfaltowego powinno być na całej powierzchni:</w:t>
      </w:r>
    </w:p>
    <w:p w14:paraId="50EC236D"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ustabilizowane i nośne,</w:t>
      </w:r>
    </w:p>
    <w:p w14:paraId="0E17E88A"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czyste, bez zanieczyszczenia lub pozostałości luźnego kruszywa,</w:t>
      </w:r>
    </w:p>
    <w:p w14:paraId="4640A4BD"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wyprofilowane, równe i bez kolein,</w:t>
      </w:r>
    </w:p>
    <w:p w14:paraId="38FCBFC0" w14:textId="77777777" w:rsidR="00955A27" w:rsidRPr="001667DB" w:rsidRDefault="00955A27" w:rsidP="00904E6C">
      <w:pPr>
        <w:numPr>
          <w:ilvl w:val="0"/>
          <w:numId w:val="12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suche.</w:t>
      </w:r>
    </w:p>
    <w:p w14:paraId="5355017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Rzędne wysokościowe podłoża oraz urządzeń usytuowanych w nawierzchni lub ją ograniczających powinny być zgodne z dokumentacją projektową. Z podłoża powinien być zapewniony odpływ wody.</w:t>
      </w:r>
    </w:p>
    <w:p w14:paraId="7F260E7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Oznakowanie poziome na warstwie podłoża należy usunąć.</w:t>
      </w:r>
    </w:p>
    <w:p w14:paraId="7205DC1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Podłoże pod warstwę ścieralną powinno spełniać </w:t>
      </w:r>
      <w:r w:rsidR="006F121F">
        <w:rPr>
          <w:rFonts w:ascii="Times New Roman" w:hAnsi="Times New Roman" w:cs="Times New Roman"/>
          <w:color w:val="000000" w:themeColor="text1"/>
        </w:rPr>
        <w:t>wymagania określone w tablicy 19</w:t>
      </w:r>
      <w:r w:rsidRPr="001667DB">
        <w:rPr>
          <w:rFonts w:ascii="Times New Roman" w:hAnsi="Times New Roman" w:cs="Times New Roman"/>
          <w:color w:val="000000" w:themeColor="text1"/>
        </w:rPr>
        <w:t xml:space="preserve">. Jeżeli nierówności poprzeczne są większe aniżeli dopuszczalne, należy odpowiednio wyrównać podłoże poprzez frezowanie lub ułożenie warstwy wyrównawczej. </w:t>
      </w:r>
    </w:p>
    <w:p w14:paraId="3FBF4E42" w14:textId="77777777" w:rsidR="00955A27" w:rsidRPr="001667DB" w:rsidRDefault="006F121F" w:rsidP="00955A27">
      <w:pPr>
        <w:spacing w:before="240" w:after="120" w:line="360" w:lineRule="auto"/>
        <w:rPr>
          <w:rFonts w:ascii="Times New Roman" w:hAnsi="Times New Roman" w:cs="Times New Roman"/>
          <w:color w:val="000000" w:themeColor="text1"/>
        </w:rPr>
      </w:pPr>
      <w:r>
        <w:rPr>
          <w:rFonts w:ascii="Times New Roman" w:hAnsi="Times New Roman" w:cs="Times New Roman"/>
          <w:color w:val="000000" w:themeColor="text1"/>
        </w:rPr>
        <w:t>Tablica 19</w:t>
      </w:r>
      <w:r w:rsidR="00955A27" w:rsidRPr="001667DB">
        <w:rPr>
          <w:rFonts w:ascii="Times New Roman" w:hAnsi="Times New Roman" w:cs="Times New Roman"/>
          <w:color w:val="000000" w:themeColor="text1"/>
        </w:rPr>
        <w:t xml:space="preserve">. Maksymalne nierówności podłoża pod warstwę ścieralną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858"/>
        <w:gridCol w:w="2976"/>
      </w:tblGrid>
      <w:tr w:rsidR="00955A27" w:rsidRPr="001667DB" w14:paraId="6A2BB39A" w14:textId="77777777" w:rsidTr="001B4B8F">
        <w:tc>
          <w:tcPr>
            <w:tcW w:w="2093" w:type="dxa"/>
            <w:vAlign w:val="center"/>
          </w:tcPr>
          <w:p w14:paraId="292A06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3858" w:type="dxa"/>
            <w:vAlign w:val="center"/>
          </w:tcPr>
          <w:p w14:paraId="4C55C0F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976" w:type="dxa"/>
            <w:vAlign w:val="center"/>
          </w:tcPr>
          <w:p w14:paraId="10D8D9E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Dopuszczalne wartości odchyleń równości podłużnej i poprzecznej pod warstwę ścieralną [mm]</w:t>
            </w:r>
          </w:p>
        </w:tc>
      </w:tr>
      <w:tr w:rsidR="00955A27" w:rsidRPr="001667DB" w14:paraId="3C61EFAC" w14:textId="77777777" w:rsidTr="001B4B8F">
        <w:tc>
          <w:tcPr>
            <w:tcW w:w="2093" w:type="dxa"/>
          </w:tcPr>
          <w:p w14:paraId="299608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 Z</w:t>
            </w:r>
          </w:p>
        </w:tc>
        <w:tc>
          <w:tcPr>
            <w:tcW w:w="3858" w:type="dxa"/>
          </w:tcPr>
          <w:p w14:paraId="7BD092A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w:t>
            </w:r>
          </w:p>
          <w:p w14:paraId="0B97ECF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dodatkowe, włączenia </w:t>
            </w:r>
          </w:p>
          <w:p w14:paraId="5E6970D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 wyłączenia, postojowe, </w:t>
            </w:r>
          </w:p>
          <w:p w14:paraId="479FEB7B" w14:textId="3F9C4A3F" w:rsidR="00955A27" w:rsidRPr="001667DB" w:rsidRDefault="00A14BCF" w:rsidP="00955A27">
            <w:pPr>
              <w:spacing w:after="120" w:line="360" w:lineRule="auto"/>
              <w:rPr>
                <w:rFonts w:ascii="Times New Roman" w:hAnsi="Times New Roman" w:cs="Times New Roman"/>
                <w:color w:val="000000" w:themeColor="text1"/>
              </w:rPr>
            </w:pPr>
            <w:r>
              <w:rPr>
                <w:rFonts w:ascii="Times New Roman" w:hAnsi="Times New Roman" w:cs="Times New Roman"/>
                <w:color w:val="000000" w:themeColor="text1"/>
              </w:rPr>
              <w:t xml:space="preserve">utwardzone pobocza </w:t>
            </w:r>
          </w:p>
        </w:tc>
        <w:tc>
          <w:tcPr>
            <w:tcW w:w="2976" w:type="dxa"/>
          </w:tcPr>
          <w:p w14:paraId="5D19A87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r w:rsidR="00955A27" w:rsidRPr="001667DB" w14:paraId="3B14E738" w14:textId="77777777" w:rsidTr="001B4B8F">
        <w:tc>
          <w:tcPr>
            <w:tcW w:w="2093" w:type="dxa"/>
          </w:tcPr>
          <w:p w14:paraId="143463A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 D, place, parkingi</w:t>
            </w:r>
          </w:p>
        </w:tc>
        <w:tc>
          <w:tcPr>
            <w:tcW w:w="3858" w:type="dxa"/>
          </w:tcPr>
          <w:p w14:paraId="38E043D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pasy ruchu </w:t>
            </w:r>
          </w:p>
          <w:p w14:paraId="0E97EC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i powierzchnie </w:t>
            </w:r>
          </w:p>
          <w:p w14:paraId="7567D9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przeznaczone do ruchu </w:t>
            </w:r>
          </w:p>
          <w:p w14:paraId="70890D8C" w14:textId="69D92010" w:rsidR="00955A27" w:rsidRPr="001667DB" w:rsidRDefault="00A14BCF" w:rsidP="00955A27">
            <w:pPr>
              <w:spacing w:after="120" w:line="360" w:lineRule="auto"/>
              <w:rPr>
                <w:rFonts w:ascii="Times New Roman" w:hAnsi="Times New Roman" w:cs="Times New Roman"/>
                <w:color w:val="000000" w:themeColor="text1"/>
              </w:rPr>
            </w:pPr>
            <w:r>
              <w:rPr>
                <w:rFonts w:ascii="Times New Roman" w:hAnsi="Times New Roman" w:cs="Times New Roman"/>
                <w:color w:val="000000" w:themeColor="text1"/>
              </w:rPr>
              <w:t xml:space="preserve">i postoju pojazdów </w:t>
            </w:r>
          </w:p>
        </w:tc>
        <w:tc>
          <w:tcPr>
            <w:tcW w:w="2976" w:type="dxa"/>
          </w:tcPr>
          <w:p w14:paraId="54D99AC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r>
    </w:tbl>
    <w:p w14:paraId="2BF71807" w14:textId="77777777" w:rsidR="00955A27" w:rsidRPr="001667DB" w:rsidRDefault="00955A27" w:rsidP="00955A27">
      <w:pPr>
        <w:spacing w:after="120" w:line="360" w:lineRule="auto"/>
        <w:rPr>
          <w:rFonts w:ascii="Times New Roman" w:hAnsi="Times New Roman" w:cs="Times New Roman"/>
          <w:color w:val="000000" w:themeColor="text1"/>
        </w:rPr>
      </w:pPr>
    </w:p>
    <w:p w14:paraId="41617F5D"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545FDCD0"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celu polepszenia połączenia między warstwami technologicznymi nawierzchni powierzchnia podłoża powinna być w ocenie wizualnej chropowata.</w:t>
      </w:r>
    </w:p>
    <w:p w14:paraId="7CA7031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Szerokie szczeliny w podłożu należy wypełnić odpowiednim materiałem, np. zalewami drogowymi według PN-EN 14188-1 [65] lub PN-EN 14188-2 [66] albo innymi materiałami według norm lub aprobat technicznych.</w:t>
      </w:r>
    </w:p>
    <w:p w14:paraId="2E2E2F9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podłożu wykazującym zniszczenia w postaci siatki spękań zmęczeniowych lub spękań poprzecznych zaleca się stosowanie membrany przeciwspękaniowej, np. mieszanki mineralno-asfaltowej, warstwy SAMI lub z geosyntetyków według norm lub aprobat technicznych lub podłoże należy wymienić.</w:t>
      </w:r>
    </w:p>
    <w:p w14:paraId="3CE3C01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 do skropienia emulsją należy wykonać zgodnie z ST D-04.03.01.</w:t>
      </w:r>
    </w:p>
    <w:p w14:paraId="084D1A36"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5.5. Próba technologiczna</w:t>
      </w:r>
    </w:p>
    <w:p w14:paraId="10F333A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 przypadku produkcji mieszanki mineralno- asfaltowej w kilku otaczarkach próba powinna być przeprowadzona na każdej wytwórni. </w:t>
      </w:r>
    </w:p>
    <w:p w14:paraId="5D1163A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 dopuszcza się oceniania dokładności pracy otaczarki oraz prawidłowości składu mieszanki mineralnej na podstawie tzw. suchego zarobu, z uwagi na możliwą segregację kruszywa.</w:t>
      </w:r>
    </w:p>
    <w:p w14:paraId="7F2A1E7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próby technologicznej Wykonawca użyje takich materiałów, jakie będą stosowane do wykonania właściwej mieszanki mineralno-asfaltowej. </w:t>
      </w:r>
    </w:p>
    <w:p w14:paraId="0DE0B38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czasie wykonywania zarobu próbnego dozowania ilościowe poszczególnych materiałów składowych mieszanki mineralno-asfaltowej powinny być zgodne z ilościami podanymi w przedłożonej przez Wykonawcę i zatwierdzonej przez Inżyniera recepcie. Sprawdzenie zawartości asfaltu w mieszance określa się wykonując ekstrakcję. Sprawdzenie uziarnienia mieszanki mineralnej wykonuje się poprzez analizę sitową kruszywa.</w:t>
      </w:r>
    </w:p>
    <w:p w14:paraId="0053D6F4"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sprawdzenia składu granulometrycznego mieszanki mineralnej i zawartości asfaltu zaleca się pobrać próbki z co najmniej trzeciego zarobu po uruchomieniu produkcji. Tolerancje zawartości </w:t>
      </w:r>
      <w:r w:rsidRPr="001667DB">
        <w:rPr>
          <w:rFonts w:ascii="Times New Roman" w:hAnsi="Times New Roman" w:cs="Times New Roman"/>
          <w:color w:val="000000" w:themeColor="text1"/>
        </w:rPr>
        <w:lastRenderedPageBreak/>
        <w:t xml:space="preserve">składników mieszanki mineralno-asfaltowej względem składu zaprojektowanego, powinny być zawarte w granicach podanych w punkcie 6.  </w:t>
      </w:r>
    </w:p>
    <w:p w14:paraId="2B69F5C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Mieszankę wyprodukowaną po ustabilizowaniu się pracy otaczarki należy zgromadzić w silosie lub załadować na samochód. Próbki do badań należy pobierać ze skrzyni samochodu zgodnie z metodą określoną w PN-EN 12697-27 [43].</w:t>
      </w:r>
    </w:p>
    <w:p w14:paraId="1B05BFE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podstawie uzyskanych wyników Inżynier podejmuje decyzję o wykonaniu odcinka próbnego.</w:t>
      </w:r>
    </w:p>
    <w:p w14:paraId="46A02ADB"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5.6. Odcinek próbny</w:t>
      </w:r>
    </w:p>
    <w:p w14:paraId="0998EBE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Zaakceptowanie przez Inżyniera wyników badań próbek z próbnego zarobu stanowi podstawę do wykonania przez Wykonawcę odcinka próbnego. Za zgodą Inżyniera można połączyć wykonanie próby technologicznej z wykonaniem odcinka próbnego. W takim przypadku zaleca się pobrać próbki mieszanki mineralno-asfaltowej do badań zza rozściełacza, wg pktu 4.3, 4.5, 4.6 PN-EN12697-27 [43]. </w:t>
      </w:r>
    </w:p>
    <w:p w14:paraId="4A9EB650"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braku innych uzgodnień z Inżynierem, Wykonawca powinien wykonać odcinek próbny co najmniej na trzy dni przed rozpoczęciem robót, w celu:</w:t>
      </w:r>
    </w:p>
    <w:p w14:paraId="45C4FA25"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sprawdzenia czy użyty sprzęt jest właściwy,</w:t>
      </w:r>
    </w:p>
    <w:p w14:paraId="30BD4A8A"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określenia grubości warstwy mieszanki mineralno-asfaltowej przed zagęszczeniem, koniecznej do uzyskania wymaganej w kontrakcie grubości warstwy,</w:t>
      </w:r>
    </w:p>
    <w:p w14:paraId="68E15597" w14:textId="77777777" w:rsidR="00955A27" w:rsidRPr="001667DB" w:rsidRDefault="00955A27" w:rsidP="00904E6C">
      <w:pPr>
        <w:pStyle w:val="Akapitzlist"/>
        <w:numPr>
          <w:ilvl w:val="0"/>
          <w:numId w:val="128"/>
        </w:numPr>
        <w:overflowPunct/>
        <w:autoSpaceDE/>
        <w:autoSpaceDN/>
        <w:adjustRightInd/>
        <w:spacing w:after="120" w:line="360" w:lineRule="auto"/>
        <w:textAlignment w:val="auto"/>
        <w:rPr>
          <w:color w:val="000000" w:themeColor="text1"/>
          <w:sz w:val="22"/>
          <w:szCs w:val="22"/>
        </w:rPr>
      </w:pPr>
      <w:r w:rsidRPr="001667DB">
        <w:rPr>
          <w:color w:val="000000" w:themeColor="text1"/>
          <w:sz w:val="22"/>
          <w:szCs w:val="22"/>
        </w:rPr>
        <w:t>określenia potrzebnej liczby przejść walców dla uzyskania prawidłowego zagęszczenia warstwy.</w:t>
      </w:r>
    </w:p>
    <w:p w14:paraId="279D6A4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takiej próby Wykonawca powinien użyć takich materiałów oraz sprzętu, jaki stosowany będzie do wykonania warstwy nawierzchni. </w:t>
      </w:r>
    </w:p>
    <w:p w14:paraId="5D04141E"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Odcinek próbny powinien być zlokalizowany w miejscu uzgodnionym z Inżynierem. Powierzchnia odcinka próbnego powinna wynosić co najmniej </w:t>
      </w:r>
      <w:smartTag w:uri="urn:schemas-microsoft-com:office:smarttags" w:element="metricconverter">
        <w:smartTagPr>
          <w:attr w:name="ProductID" w:val="500 m2"/>
        </w:smartTagPr>
        <w:r w:rsidRPr="001667DB">
          <w:rPr>
            <w:rFonts w:ascii="Times New Roman" w:hAnsi="Times New Roman" w:cs="Times New Roman"/>
            <w:color w:val="000000" w:themeColor="text1"/>
          </w:rPr>
          <w:t>500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a długość co najmniej </w:t>
      </w:r>
      <w:smartTag w:uri="urn:schemas-microsoft-com:office:smarttags" w:element="metricconverter">
        <w:smartTagPr>
          <w:attr w:name="ProductID" w:val="50 m"/>
        </w:smartTagPr>
        <w:r w:rsidRPr="001667DB">
          <w:rPr>
            <w:rFonts w:ascii="Times New Roman" w:hAnsi="Times New Roman" w:cs="Times New Roman"/>
            <w:color w:val="000000" w:themeColor="text1"/>
          </w:rPr>
          <w:t>50 m</w:t>
        </w:r>
      </w:smartTag>
      <w:r w:rsidRPr="001667DB">
        <w:rPr>
          <w:rFonts w:ascii="Times New Roman" w:hAnsi="Times New Roman" w:cs="Times New Roman"/>
          <w:color w:val="000000" w:themeColor="text1"/>
        </w:rPr>
        <w:t xml:space="preserve"> i powinny być tak dobrane, aby na jego podstawie możliwa była ocena prawidłowości wbudowania i zagęszczenia mieszanki mineralno-asfaltowej.</w:t>
      </w:r>
    </w:p>
    <w:p w14:paraId="00849E5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układanej warstwy powinna być zgodna z grubością podaną w dokumentacji projektowej. Ilość  próbek (rdzeni) pobrana z odcinka próbnego powinna być uzgodniona z Inżynierem i oceniona pod względem zgodności z </w:t>
      </w:r>
      <w:r w:rsidRPr="001667DB">
        <w:rPr>
          <w:rFonts w:ascii="Times New Roman" w:hAnsi="Times New Roman" w:cs="Times New Roman"/>
          <w:color w:val="000000" w:themeColor="text1"/>
          <w:shd w:val="clear" w:color="auto" w:fill="FFFFFF"/>
        </w:rPr>
        <w:t>wy</w:t>
      </w:r>
      <w:r w:rsidRPr="001667DB">
        <w:rPr>
          <w:rFonts w:ascii="Times New Roman" w:hAnsi="Times New Roman" w:cs="Times New Roman"/>
          <w:color w:val="000000" w:themeColor="text1"/>
        </w:rPr>
        <w:t xml:space="preserve">maganiami niniejszej specyfikacji. Należy pobrać minimum w dwóch przekrojach poprzecznych po dwie próbki (rdzenie). </w:t>
      </w:r>
    </w:p>
    <w:p w14:paraId="7ABA2D9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aby za zgodą Inżyniera, odcinek próbny zlokalizowany był w ciągu zasadniczych prac nawierzchniowych objętych danym kontraktem.</w:t>
      </w:r>
    </w:p>
    <w:p w14:paraId="5374D5F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może przystąpić do realizacji robót po zaakceptowaniu przez Inżyniera technologii wbudowania oraz wyników z odcinka próbnego.</w:t>
      </w:r>
    </w:p>
    <w:p w14:paraId="44419317"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lastRenderedPageBreak/>
        <w:t>5.7. Połączenie międzywarstwowe</w:t>
      </w:r>
    </w:p>
    <w:p w14:paraId="22B4A6D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Uzyskanie wymaganej trwałości nawierzchni jest uzależnione od zapewnienia połączenia między warstwami i ich współpracy w przenoszeniu obciążenia nawierzchni ruchem.</w:t>
      </w:r>
    </w:p>
    <w:p w14:paraId="07710C2E"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Podłoże powinno być skropione lepiszczem. Ma to na celu zwiększenie połączenia między warstwami konstrukcyjnymi oraz zabezpieczenie przed wnikaniem i zaleganiem wody między warstwami.</w:t>
      </w:r>
    </w:p>
    <w:p w14:paraId="16ECE92D" w14:textId="77777777" w:rsidR="00955A27" w:rsidRPr="001667DB" w:rsidRDefault="00955A27" w:rsidP="00A9424D">
      <w:pPr>
        <w:spacing w:after="120" w:line="360" w:lineRule="auto"/>
        <w:ind w:firstLine="397"/>
        <w:jc w:val="both"/>
        <w:rPr>
          <w:rFonts w:ascii="Times New Roman" w:hAnsi="Times New Roman" w:cs="Times New Roman"/>
          <w:color w:val="000000" w:themeColor="text1"/>
        </w:rPr>
      </w:pPr>
      <w:r w:rsidRPr="001667DB">
        <w:rPr>
          <w:rFonts w:ascii="Times New Roman" w:hAnsi="Times New Roman" w:cs="Times New Roman"/>
          <w:color w:val="000000" w:themeColor="text1"/>
        </w:rPr>
        <w:t>Można odstąpić od wykonania skropienia przy rozkładaniu dwóch warstw asfaltowych w jednym cyklu technologicznym (tzw. połączenia gorące na gorące)</w:t>
      </w:r>
    </w:p>
    <w:p w14:paraId="19BA1A1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Warunki wykonania połączenia międzywarstwowego oraz kontrola wykonania skropienia zostały przedstawione w ST D-04.03.01.</w:t>
      </w:r>
    </w:p>
    <w:p w14:paraId="1388E8A3"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5.8. Wbudowanie mieszanki mineralno-asfaltowej</w:t>
      </w:r>
    </w:p>
    <w:p w14:paraId="065172B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doborze rodzaju mieszanki mineralno-asfaltowej do układu warstw konstrukcyjnych należy zachować zasadę mówiącą, że grubość warstwy musi być co najmniej dwuipółkrotnie większa od wymiaru D kruszywa danej mieszanki (h ≥ 2,5×D).</w:t>
      </w:r>
    </w:p>
    <w:p w14:paraId="7DAB4EA4"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 </w:t>
      </w:r>
    </w:p>
    <w:p w14:paraId="2FF4DA3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Mieszankę mineralno-asfaltową można wbudowywać na podłożu przygotowanym zgodnie z zapisami w punktach 5.4 i 5.7.</w:t>
      </w:r>
    </w:p>
    <w:p w14:paraId="5F638A4D"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Transport mieszanki mineralno-asfaltowej asfaltowej powinien być zgodny z zaleceniami podanymi w punkcie 4.2. </w:t>
      </w:r>
    </w:p>
    <w:p w14:paraId="08BD998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związane z wbudowaniem mieszanki mineralno-asfaltowej należy tak zaplanować, </w:t>
      </w:r>
    </w:p>
    <w:p w14:paraId="6CB74C3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aby: </w:t>
      </w:r>
    </w:p>
    <w:p w14:paraId="4EF3F66E" w14:textId="77777777" w:rsidR="00955A27" w:rsidRPr="001667DB" w:rsidRDefault="00955A27" w:rsidP="00904E6C">
      <w:pPr>
        <w:numPr>
          <w:ilvl w:val="0"/>
          <w:numId w:val="152"/>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umożliwiały układanie warstwy całą szerokością jezdni (jedną rozkładarką lub dwoma rozkładarkami pracującymi obok siebie z odpowiednim przesunięciem), a w przypadku przebudów i remontów o dopuszczonym ruchu jednokierunkowym (wahadłowym) szerokością pasa ruchu, </w:t>
      </w:r>
    </w:p>
    <w:p w14:paraId="0041BDFF" w14:textId="77777777" w:rsidR="00955A27" w:rsidRPr="001667DB" w:rsidRDefault="00955A27" w:rsidP="00904E6C">
      <w:pPr>
        <w:numPr>
          <w:ilvl w:val="0"/>
          <w:numId w:val="152"/>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dzienne działki robocze (tj. odcinki nawierzchni na których mieszanka mineralno-asfaltowa jest wbudowywana jednego dnia) powinny być możliwie jak najdłuższe min. 200 m, </w:t>
      </w:r>
    </w:p>
    <w:p w14:paraId="75227F8E" w14:textId="77777777" w:rsidR="00955A27" w:rsidRPr="001667DB" w:rsidRDefault="00955A27" w:rsidP="00904E6C">
      <w:pPr>
        <w:numPr>
          <w:ilvl w:val="0"/>
          <w:numId w:val="152"/>
        </w:numPr>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organizacja dostaw mieszanki powinna zapewnić pracę rozkładarki bez zatrzymań. </w:t>
      </w:r>
    </w:p>
    <w:p w14:paraId="478452F6"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Mieszankę mineralno-asfaltową asfaltową należy wbudowywać w odpowiednich warunkach atmosferycznych. Nie wolno wbudowywać betonu asfaltowego gdy na podłożu tworzy się zamknięty film wodny.</w:t>
      </w:r>
    </w:p>
    <w:p w14:paraId="3A6F90A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Temperatura otoczenia w ciągu doby nie powinna być niższa od temperatury podanej w tabl</w:t>
      </w:r>
      <w:r w:rsidR="006F121F">
        <w:rPr>
          <w:rFonts w:ascii="Times New Roman" w:hAnsi="Times New Roman" w:cs="Times New Roman"/>
          <w:color w:val="000000" w:themeColor="text1"/>
        </w:rPr>
        <w:t>icy 20</w:t>
      </w:r>
      <w:r w:rsidRPr="001667DB">
        <w:rPr>
          <w:rFonts w:ascii="Times New Roman" w:hAnsi="Times New Roman" w:cs="Times New Roman"/>
          <w:color w:val="000000" w:themeColor="text1"/>
        </w:rPr>
        <w:t xml:space="preserve">. Temperatura otoczenia może być niższa w wypadku stosowania ogrzewania podłoża i obramowania (np. promienniki podczerwieni, urządzenia mikrofalowe). Temperatura podłoża powinna wynosić co najmniej 5°C. Temperatura powietrza powinna być mierzona co najmniej 3 razy dziennie: przed przystąpieniem do robót oraz podczas ich wykonywania w okresach równomiernie rozłożonych w planowanym czasie realizacji dziennej działki roboczej. Nie dopuszcza się układania mieszanki mineralno-asfaltowej asfaltowej podczas silnego wiatru (V &gt; 16 m/s) oraz podczas opadów atmosferycznych. </w:t>
      </w:r>
    </w:p>
    <w:p w14:paraId="650CC54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Podczas budowy nawierzchni należy dążyć do ułożenia wszystkich warstw przed sezonem zimowym, aby zapewnić szczelność nawierzchni i jej odporność na działanie wody i mrozu.</w:t>
      </w:r>
      <w:r w:rsidRPr="001667DB">
        <w:rPr>
          <w:rFonts w:ascii="Times New Roman" w:hAnsi="Times New Roman" w:cs="Times New Roman"/>
          <w:color w:val="000000" w:themeColor="text1"/>
        </w:rPr>
        <w:tab/>
      </w:r>
    </w:p>
    <w:p w14:paraId="35F955F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wypadku stosowania mieszanek mineralno-asfaltowych z dodatkiem obniżającym temperaturę mieszania i wbudowania należy indywidualnie określić wymagane warunki otoczenia. </w:t>
      </w:r>
    </w:p>
    <w:p w14:paraId="3963B368" w14:textId="77777777" w:rsidR="00955A27" w:rsidRPr="001667DB" w:rsidRDefault="006F121F" w:rsidP="00A9424D">
      <w:pPr>
        <w:tabs>
          <w:tab w:val="left" w:pos="1560"/>
        </w:tabs>
        <w:spacing w:before="120" w:after="120" w:line="360" w:lineRule="auto"/>
        <w:ind w:left="1200" w:hanging="1200"/>
        <w:jc w:val="both"/>
        <w:rPr>
          <w:rFonts w:ascii="Times New Roman" w:hAnsi="Times New Roman" w:cs="Times New Roman"/>
          <w:color w:val="000000" w:themeColor="text1"/>
        </w:rPr>
      </w:pPr>
      <w:r>
        <w:rPr>
          <w:rFonts w:ascii="Times New Roman" w:hAnsi="Times New Roman" w:cs="Times New Roman"/>
          <w:color w:val="000000" w:themeColor="text1"/>
        </w:rPr>
        <w:t>Tablica 20</w:t>
      </w:r>
      <w:r w:rsidR="00955A27" w:rsidRPr="001667DB">
        <w:rPr>
          <w:rFonts w:ascii="Times New Roman" w:hAnsi="Times New Roman" w:cs="Times New Roman"/>
          <w:color w:val="000000" w:themeColor="text1"/>
        </w:rPr>
        <w:t>. Minimalna temperatura otoczenia na wysokości 2 m podczas wykonywania warstw asfaltowych</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955A27" w:rsidRPr="001667DB" w14:paraId="60ED563D" w14:textId="77777777" w:rsidTr="001B4B8F">
        <w:trPr>
          <w:trHeight w:val="562"/>
        </w:trPr>
        <w:tc>
          <w:tcPr>
            <w:tcW w:w="3840" w:type="dxa"/>
            <w:vAlign w:val="center"/>
          </w:tcPr>
          <w:p w14:paraId="40E66B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robót</w:t>
            </w:r>
          </w:p>
        </w:tc>
        <w:tc>
          <w:tcPr>
            <w:tcW w:w="4111" w:type="dxa"/>
            <w:vAlign w:val="center"/>
          </w:tcPr>
          <w:p w14:paraId="62C955C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temperatura powietrza  [°C]</w:t>
            </w:r>
          </w:p>
        </w:tc>
      </w:tr>
      <w:tr w:rsidR="00955A27" w:rsidRPr="001667DB" w14:paraId="082D6D7E" w14:textId="77777777" w:rsidTr="001B4B8F">
        <w:tc>
          <w:tcPr>
            <w:tcW w:w="3840" w:type="dxa"/>
          </w:tcPr>
          <w:p w14:paraId="0C1247EB" w14:textId="77777777" w:rsidR="00955A27" w:rsidRPr="001667DB" w:rsidRDefault="00955A27" w:rsidP="00955A27">
            <w:pPr>
              <w:spacing w:before="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ścieralna o grubości ≥ </w:t>
            </w:r>
            <w:smartTag w:uri="urn:schemas-microsoft-com:office:smarttags" w:element="metricconverter">
              <w:smartTagPr>
                <w:attr w:name="ProductID" w:val="3 cm"/>
              </w:smartTagPr>
              <w:r w:rsidRPr="001667DB">
                <w:rPr>
                  <w:rFonts w:ascii="Times New Roman" w:hAnsi="Times New Roman" w:cs="Times New Roman"/>
                  <w:color w:val="000000" w:themeColor="text1"/>
                </w:rPr>
                <w:t>3 cm</w:t>
              </w:r>
            </w:smartTag>
          </w:p>
        </w:tc>
        <w:tc>
          <w:tcPr>
            <w:tcW w:w="4111" w:type="dxa"/>
          </w:tcPr>
          <w:p w14:paraId="345DA91C" w14:textId="77777777" w:rsidR="00955A27" w:rsidRPr="001667DB" w:rsidRDefault="00955A27" w:rsidP="00955A27">
            <w:pPr>
              <w:spacing w:before="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r>
      <w:tr w:rsidR="00955A27" w:rsidRPr="001667DB" w14:paraId="2DD10F21" w14:textId="77777777" w:rsidTr="001B4B8F">
        <w:tc>
          <w:tcPr>
            <w:tcW w:w="3840" w:type="dxa"/>
          </w:tcPr>
          <w:p w14:paraId="51CE37D7" w14:textId="77777777" w:rsidR="00955A27" w:rsidRPr="001667DB" w:rsidRDefault="00955A27" w:rsidP="00955A27">
            <w:pPr>
              <w:spacing w:before="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ścieralna o grubości &lt; </w:t>
            </w:r>
            <w:smartTag w:uri="urn:schemas-microsoft-com:office:smarttags" w:element="metricconverter">
              <w:smartTagPr>
                <w:attr w:name="ProductID" w:val="3 cm"/>
              </w:smartTagPr>
              <w:r w:rsidRPr="001667DB">
                <w:rPr>
                  <w:rFonts w:ascii="Times New Roman" w:hAnsi="Times New Roman" w:cs="Times New Roman"/>
                  <w:color w:val="000000" w:themeColor="text1"/>
                </w:rPr>
                <w:t>3 cm</w:t>
              </w:r>
            </w:smartTag>
          </w:p>
        </w:tc>
        <w:tc>
          <w:tcPr>
            <w:tcW w:w="4111" w:type="dxa"/>
          </w:tcPr>
          <w:p w14:paraId="6F410E5E" w14:textId="77777777" w:rsidR="00955A27" w:rsidRPr="001667DB" w:rsidRDefault="00955A27" w:rsidP="00955A27">
            <w:pPr>
              <w:spacing w:before="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r w:rsidR="00955A27" w:rsidRPr="001667DB" w14:paraId="541BA42B" w14:textId="77777777" w:rsidTr="001B4B8F">
        <w:tc>
          <w:tcPr>
            <w:tcW w:w="3840" w:type="dxa"/>
          </w:tcPr>
          <w:p w14:paraId="483E3CE1" w14:textId="77777777" w:rsidR="00955A27" w:rsidRPr="001667DB" w:rsidRDefault="00955A27" w:rsidP="00955A27">
            <w:pPr>
              <w:spacing w:before="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Nawierzchnia typu kompaktowego</w:t>
            </w:r>
          </w:p>
        </w:tc>
        <w:tc>
          <w:tcPr>
            <w:tcW w:w="4111" w:type="dxa"/>
          </w:tcPr>
          <w:p w14:paraId="16B2600E" w14:textId="77777777" w:rsidR="00955A27" w:rsidRPr="001667DB" w:rsidRDefault="00955A27" w:rsidP="00955A27">
            <w:pPr>
              <w:spacing w:before="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bl>
    <w:p w14:paraId="4375F078" w14:textId="77777777" w:rsidR="00955A27" w:rsidRPr="001667DB" w:rsidRDefault="00955A27" w:rsidP="00A9424D">
      <w:pPr>
        <w:spacing w:before="24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Mieszanka mineralno-asfaltowa powinna być wbudowywana rozkładarką wyposażoną w układ automatycznego sterowania grubości warstwy i utrzymywania niwelety zgodnie z dokumentacją projektową, elementy wibrujące do wstępnego zagęszczenia, urządzenia do podgrzewania elementów roboczych rozkładarki. Mieszanki mineralno-asfaltowe można rozkładać specjalną maszyną drogową z podwójnym zestawem rozkładającym do układania dwóch warstw technologicznych w jednej operacji (tzw. asfaltowe warstwy kompaktowe). </w:t>
      </w:r>
    </w:p>
    <w:p w14:paraId="1E97062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miejscach niedostępnych dla sprzętu dopuszcza się wbudowywanie ręczne.</w:t>
      </w:r>
    </w:p>
    <w:p w14:paraId="22D503B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Grubość wykonywanej warstwy powinna być sprawdzana co </w:t>
      </w:r>
      <w:smartTag w:uri="urn:schemas-microsoft-com:office:smarttags" w:element="metricconverter">
        <w:smartTagPr>
          <w:attr w:name="ProductID" w:val="25 m"/>
        </w:smartTagPr>
        <w:r w:rsidRPr="001667DB">
          <w:rPr>
            <w:rFonts w:ascii="Times New Roman" w:hAnsi="Times New Roman" w:cs="Times New Roman"/>
            <w:color w:val="000000" w:themeColor="text1"/>
          </w:rPr>
          <w:t>25 m</w:t>
        </w:r>
      </w:smartTag>
      <w:r w:rsidRPr="001667DB">
        <w:rPr>
          <w:rFonts w:ascii="Times New Roman" w:hAnsi="Times New Roman" w:cs="Times New Roman"/>
          <w:color w:val="000000" w:themeColor="text1"/>
        </w:rPr>
        <w:t>, w co najmniej trzech miejscach (w osi i przy brzegach warstwy).</w:t>
      </w:r>
    </w:p>
    <w:p w14:paraId="60FBE6EE"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Warstwy wałowane powinny być równomiernie zagęszczone ciężkimi walcami drogowymi o charakterystyce (statycznym nacisku liniowym) zapewniającej skuteczność zagęszczania, potwierdzoną </w:t>
      </w:r>
      <w:r w:rsidRPr="001667DB">
        <w:rPr>
          <w:rFonts w:ascii="Times New Roman" w:hAnsi="Times New Roman" w:cs="Times New Roman"/>
          <w:color w:val="000000" w:themeColor="text1"/>
        </w:rPr>
        <w:lastRenderedPageBreak/>
        <w:t xml:space="preserve">na odcinku próbnym. Do warstw z betonu asfaltowego należy stosować walce drogowe stalowe gładkie z możliwością wibracji, oscylacji lub walce ogumione. </w:t>
      </w:r>
    </w:p>
    <w:p w14:paraId="3AD730C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wykonywaniu nawierzchni dróg o kategorii KR6, do warstwy ścieralnej wymagane jest:</w:t>
      </w:r>
    </w:p>
    <w:p w14:paraId="6C77D102" w14:textId="77777777" w:rsidR="00955A27" w:rsidRPr="001667DB" w:rsidRDefault="00955A27" w:rsidP="00904E6C">
      <w:pPr>
        <w:numPr>
          <w:ilvl w:val="0"/>
          <w:numId w:val="153"/>
        </w:numPr>
        <w:overflowPunct w:val="0"/>
        <w:autoSpaceDE w:val="0"/>
        <w:autoSpaceDN w:val="0"/>
        <w:adjustRightInd w:val="0"/>
        <w:spacing w:after="120" w:line="360" w:lineRule="auto"/>
        <w:ind w:left="284"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stosowanie podajników mieszanki mineralno-asfaltowej do zasilania kosza rozkładarki z środków transportu,</w:t>
      </w:r>
    </w:p>
    <w:p w14:paraId="4B9A1DD5" w14:textId="77777777" w:rsidR="00955A27" w:rsidRPr="001667DB" w:rsidRDefault="00955A27" w:rsidP="00904E6C">
      <w:pPr>
        <w:numPr>
          <w:ilvl w:val="0"/>
          <w:numId w:val="153"/>
        </w:numPr>
        <w:overflowPunct w:val="0"/>
        <w:autoSpaceDE w:val="0"/>
        <w:autoSpaceDN w:val="0"/>
        <w:adjustRightInd w:val="0"/>
        <w:spacing w:after="120" w:line="360" w:lineRule="auto"/>
        <w:ind w:left="284"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stosowanie rozkładarek wyposażonych w łatę o długości min. 10 m z co najmniej 3 czujnikami.</w:t>
      </w:r>
    </w:p>
    <w:p w14:paraId="727741A1"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5.9. Połączenia technologiczne</w:t>
      </w:r>
    </w:p>
    <w:p w14:paraId="641DA1B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Połączenia technologiczne należy wykonywać jako:</w:t>
      </w:r>
    </w:p>
    <w:p w14:paraId="5FD2D15C" w14:textId="77777777" w:rsidR="00955A27" w:rsidRPr="001667DB" w:rsidRDefault="00955A27" w:rsidP="00904E6C">
      <w:pPr>
        <w:numPr>
          <w:ilvl w:val="0"/>
          <w:numId w:val="14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złącza podłużne i poprzeczne (wg definicji punkt 1.4.15.),</w:t>
      </w:r>
    </w:p>
    <w:p w14:paraId="35B6A05F" w14:textId="77777777" w:rsidR="00955A27" w:rsidRPr="001667DB" w:rsidRDefault="00955A27" w:rsidP="00904E6C">
      <w:pPr>
        <w:numPr>
          <w:ilvl w:val="0"/>
          <w:numId w:val="14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spoiny (wg definicji punkt 1.4.16.).</w:t>
      </w:r>
    </w:p>
    <w:p w14:paraId="3A33303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Połączenia technologiczne powinny być jednorodne i szczelne.   </w:t>
      </w:r>
    </w:p>
    <w:p w14:paraId="58CD36F8" w14:textId="77777777" w:rsidR="00955A27" w:rsidRPr="001667DB" w:rsidRDefault="00955A27" w:rsidP="00A9424D">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5.9.1.</w:t>
      </w:r>
      <w:r w:rsidRPr="001667DB">
        <w:rPr>
          <w:rFonts w:ascii="Times New Roman" w:hAnsi="Times New Roman" w:cs="Times New Roman"/>
          <w:color w:val="000000" w:themeColor="text1"/>
        </w:rPr>
        <w:t xml:space="preserve"> Wykonanie złączy</w:t>
      </w:r>
    </w:p>
    <w:p w14:paraId="53C2C081" w14:textId="77777777" w:rsidR="00955A27" w:rsidRPr="001667DB" w:rsidRDefault="00955A27" w:rsidP="00A9424D">
      <w:pPr>
        <w:keepNext/>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5.9.1.1. Sposób wykonania złączy-wymagania ogólne</w:t>
      </w:r>
    </w:p>
    <w:p w14:paraId="715FEAB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w warstwach nawierzchni powinny być wykonywane w linii prostej.</w:t>
      </w:r>
    </w:p>
    <w:p w14:paraId="07BCE7E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podłużnego nie można umiejscawiać w śladach kół, ani  w obszarze poziomego oznakowania jezdni.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1667DB">
          <w:rPr>
            <w:rFonts w:ascii="Times New Roman" w:hAnsi="Times New Roman" w:cs="Times New Roman"/>
            <w:color w:val="000000" w:themeColor="text1"/>
          </w:rPr>
          <w:t>2 m</w:t>
        </w:r>
      </w:smartTag>
      <w:r w:rsidRPr="001667DB">
        <w:rPr>
          <w:rFonts w:ascii="Times New Roman" w:hAnsi="Times New Roman" w:cs="Times New Roman"/>
          <w:color w:val="000000" w:themeColor="text1"/>
        </w:rPr>
        <w:t xml:space="preserve"> w kierunku podłużnym do osi jezdni.</w:t>
      </w:r>
    </w:p>
    <w:p w14:paraId="7519F01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1667DB">
          <w:rPr>
            <w:rFonts w:ascii="Times New Roman" w:hAnsi="Times New Roman" w:cs="Times New Roman"/>
            <w:color w:val="000000" w:themeColor="text1"/>
          </w:rPr>
          <w:t>0,5 m</w:t>
        </w:r>
      </w:smartTag>
      <w:r w:rsidRPr="001667DB">
        <w:rPr>
          <w:rFonts w:ascii="Times New Roman" w:hAnsi="Times New Roman" w:cs="Times New Roman"/>
          <w:color w:val="000000" w:themeColor="text1"/>
        </w:rPr>
        <w:t xml:space="preserve">. Krawędzie poprzeczne łączonych warstw wiążącej i ścieralnej nawierzchni drogowej powinny być odcięte piłą. </w:t>
      </w:r>
    </w:p>
    <w:p w14:paraId="7F1BCA3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powinny być całkowicie związane, a powierzchnie przylegających warstw powinny być w jednym poziomie.</w:t>
      </w:r>
    </w:p>
    <w:p w14:paraId="682A6EFC"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5.9.1.2. Technologia rozkładania „gorące przy gorącym”</w:t>
      </w:r>
    </w:p>
    <w:p w14:paraId="3EF097E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w:t>
      </w:r>
      <w:r w:rsidRPr="001667DB">
        <w:rPr>
          <w:rFonts w:ascii="Times New Roman" w:hAnsi="Times New Roman" w:cs="Times New Roman"/>
          <w:color w:val="000000" w:themeColor="text1"/>
        </w:rPr>
        <w:lastRenderedPageBreak/>
        <w:t xml:space="preserve">rozkładarkami tak, aby odległość między układanymi pasami nie była większa niż długość rozkładarki oraz druga w kolejności rozkładarka nadkładała mieszankę na pierwszy pas. </w:t>
      </w:r>
    </w:p>
    <w:p w14:paraId="2EFF86E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Walce zagęszczające mieszankę za każdą rozkładarką powinny być o zbliżonych parametrach. Zagęszczanie każdego z pasów należy rozpoczynać od zewnętrznej krawędzi pasa i stopniowo zagęszczać pas w kierunku złącza.</w:t>
      </w:r>
    </w:p>
    <w:p w14:paraId="1BE62E0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tej metodzie nie stosuje się dodatkowych materiałów do złączy.</w:t>
      </w:r>
    </w:p>
    <w:p w14:paraId="688140B3"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5.9.1.3. Technologia rozkładania „gorące przy zimnym” </w:t>
      </w:r>
    </w:p>
    <w:p w14:paraId="419BF1A9"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1692CA0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Wcześniej wykonany pas warstwy technologicznej powinien mieć wyprofilowaną krawędź równomiernie zagęszczoną, bez pęknięć. Krawędź ta nie może być pionowa, lecz powinna być skośna (pochylenie około 3:1 tj.pod kątem 70-80˚ w stosunku do warstwy niżej leżącej). Skos wykonany „na gorąco”, powinien być uformowany podczas układania pierwszego pasa ruchu, przy zastosowaniu rolki dociskowej lub noża talerzowego.</w:t>
      </w:r>
    </w:p>
    <w:p w14:paraId="185DE62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skos nie został uformowany „na gorąco”, należy uzyskać go przez frezowanie zimnego pasa, z zachowaniem wymaganego kąta. Powierzchnia styku powinna być czysta i sucha. Przed ułożeniem sąsiedniego pasa całą powierzchnię styku należy pokryć taśmą przylepną lub pastą w ilości podanej w punktach 5.9.1.5.  i 5.9.1.6.</w:t>
      </w:r>
    </w:p>
    <w:p w14:paraId="655458E9"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Drugi pas powinien być wykonywany z zakładem 2-3 cm licząc od górnej krawędzi złącza, zachodzącym na pas wykonany wcześniej.</w:t>
      </w:r>
    </w:p>
    <w:p w14:paraId="6FE3D98E" w14:textId="77777777" w:rsidR="00955A27" w:rsidRPr="001667DB" w:rsidRDefault="00955A27" w:rsidP="00A9424D">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5.9.1.4. Zakończenie działki roboczej </w:t>
      </w:r>
    </w:p>
    <w:p w14:paraId="131E008B"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Zakończenie działki roboczej należy wykonać w sposób i przy pomocy urządzeń zapewniających uzyskanie nieregularnej powierzchni spoiny (przy pomocy wstawianej</w:t>
      </w:r>
    </w:p>
    <w:p w14:paraId="010793F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kantówki lub frezarki). Zakończenie działki roboczej należy wykonać prostopadle do osi drogi.</w:t>
      </w:r>
    </w:p>
    <w:p w14:paraId="1AC41870"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Krawędź działki roboczej jest równocześnie krawędzią poprzeczną złącza.</w:t>
      </w:r>
    </w:p>
    <w:p w14:paraId="6FEA52E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poprzeczne między działkami roboczymi układanych pasów kolejnych warstw technologicznych należy przesunąć względem siebie o co najmniej 3m w kierunku podłużnym do osi jezdni.</w:t>
      </w:r>
    </w:p>
    <w:p w14:paraId="0B7A9769" w14:textId="77777777" w:rsidR="00955A27" w:rsidRPr="001667DB" w:rsidRDefault="00955A27" w:rsidP="00A9424D">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5.9.1.5.</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Wymagania wobec wbudowania taśm bitumicznych</w:t>
      </w:r>
    </w:p>
    <w:p w14:paraId="790F5734"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wysokość taśmy wynosi 4 cm.</w:t>
      </w:r>
    </w:p>
    <w:p w14:paraId="5C9171B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Grubość taśmy powinna wynosić 10 mm.</w:t>
      </w:r>
    </w:p>
    <w:p w14:paraId="52C4047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Krawędź boczna złącza podłużnego powinna być uformowana za pomocą rolki dociskowej lub poprzez obcięcie nożem talerzowym.</w:t>
      </w:r>
    </w:p>
    <w:p w14:paraId="44ED4A8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Krawędź boczna złącza poprzecznego powinna być uformowana w taki sposób i za</w:t>
      </w:r>
    </w:p>
    <w:p w14:paraId="5E505D4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pomocą urządzeń umożliwiających uzyskanie nieregularnej powierzchni.</w:t>
      </w:r>
    </w:p>
    <w:p w14:paraId="4C1756E4"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Powierzchnie krawędzi do których klejona będzie taśma, powinny być czyste i suche.</w:t>
      </w:r>
    </w:p>
    <w:p w14:paraId="366D4A7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przyklejeniem taśmy w metodzie „gorące przy zimnym”, krawędzie „zimnej” warstwy na całkowitej grubości, należy zagruntować zgodnie z zaleceniami producenta</w:t>
      </w:r>
    </w:p>
    <w:p w14:paraId="19CE5E5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taśmy. Taśma bitumiczna powinna być wstępnie przyklejona do zimnej krawędzi złącza na całej jego wysokości oraz wystawać ponad powierzchnię warstwy do 5 mm lub wg zaleceń producenta.</w:t>
      </w:r>
    </w:p>
    <w:p w14:paraId="1D0628C4" w14:textId="77777777" w:rsidR="00955A27" w:rsidRPr="001667DB" w:rsidRDefault="00955A27" w:rsidP="00A9424D">
      <w:pPr>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color w:val="000000" w:themeColor="text1"/>
        </w:rPr>
        <w:t>5.9.1.6.</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Wymagania wobec wbudowywania past bitumicznych</w:t>
      </w:r>
    </w:p>
    <w:p w14:paraId="1056B60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krawędzi bocznych jak w przypadku stosowania taśm bitumicznych.</w:t>
      </w:r>
    </w:p>
    <w:p w14:paraId="699207A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w:t>
      </w:r>
    </w:p>
    <w:p w14:paraId="223D6F96"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w:t>
      </w:r>
    </w:p>
    <w:p w14:paraId="29EE8B0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ręczne nanoszenie past w miejscach niedostępnych.</w:t>
      </w:r>
    </w:p>
    <w:p w14:paraId="3F57AA70"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5.9.2.</w:t>
      </w:r>
      <w:r w:rsidRPr="001667DB">
        <w:rPr>
          <w:rFonts w:ascii="Times New Roman" w:hAnsi="Times New Roman" w:cs="Times New Roman"/>
          <w:color w:val="000000" w:themeColor="text1"/>
        </w:rPr>
        <w:t xml:space="preserve"> Wykonanie spoin  </w:t>
      </w:r>
    </w:p>
    <w:p w14:paraId="213254F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Spoiny należy wykonywać w wypadku połączeń warstwy z urządzeniami w nawierzchni lub ją ograniczającymi.</w:t>
      </w:r>
    </w:p>
    <w:p w14:paraId="22F17B9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Spoiny należy wykonywać z materiałów termoplastycznych (taśmy, pasty, zalewy drogowe na goraco) zgodnych z pktem 2.6. </w:t>
      </w:r>
    </w:p>
    <w:p w14:paraId="25201C9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Grubość elastycznej taśmy uszczelniającej w spoinach w warstwie ścieralnej powinna wynosić nie mniej niż 10 mm.</w:t>
      </w:r>
    </w:p>
    <w:p w14:paraId="5BF6800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w:t>
      </w:r>
    </w:p>
    <w:p w14:paraId="1A9BB52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Zalewy drogowe na gorąco należy stosować zgodnie z zaleceniami producenta, przy czym szerokość naciętej spoiny powinna wynosić ok. 10 mm.</w:t>
      </w:r>
    </w:p>
    <w:p w14:paraId="6281CD72"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lastRenderedPageBreak/>
        <w:t xml:space="preserve">5.10. Krawędzie </w:t>
      </w:r>
    </w:p>
    <w:p w14:paraId="28B3694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05DB957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warstw nawierzchni bez urządzeń ograniczających (np. krawężników) krawędziom należy nadać spadki o nachyleniu nie większym niż 2:1, przy pomocy rolki dociskowej mocowanej do walca lub elementu mocowanego do rozkładarki tzw „buta” („na gorąco”).</w:t>
      </w:r>
    </w:p>
    <w:p w14:paraId="54022F6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Jeżeli krawędzie nie zostały uformowane na gorąco krawędzie należy wyfrezować je na zimno.</w:t>
      </w:r>
    </w:p>
    <w:p w14:paraId="72E06FB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 wykonaniu nawierzchni asfaltowej o jednostronnym nachyleniu jezdni należy uszczelnić krawędź położoną wyżej (niżej położona krawędź powinna zostać nieuszczelniona).</w:t>
      </w:r>
    </w:p>
    <w:p w14:paraId="272A59E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nawierzchni o dwustronnym nachyleniu (przekrój daszkowy) decyzję o potrzebie i sposobie uszczelnienia krawędzi zewnętrznych podejmie Projektant w uzgodnieniu z Inżynierem.</w:t>
      </w:r>
    </w:p>
    <w:p w14:paraId="1EC8DDF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Krawędzie zewnętrzne oraz powierzchnie odsadzek poziomych należy uszczelnić przez pokrycie gorącym asfaltem w ilości:</w:t>
      </w:r>
    </w:p>
    <w:p w14:paraId="1AF768A1" w14:textId="77777777" w:rsidR="00955A27" w:rsidRPr="001667DB" w:rsidRDefault="00955A27" w:rsidP="00904E6C">
      <w:pPr>
        <w:numPr>
          <w:ilvl w:val="0"/>
          <w:numId w:val="154"/>
        </w:numPr>
        <w:autoSpaceDE w:val="0"/>
        <w:autoSpaceDN w:val="0"/>
        <w:adjustRightInd w:val="0"/>
        <w:spacing w:after="120" w:line="360" w:lineRule="auto"/>
        <w:ind w:left="426"/>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powierzchnie odsadzek - 1,5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2075A88E" w14:textId="77777777" w:rsidR="00955A27" w:rsidRPr="001667DB" w:rsidRDefault="00955A27" w:rsidP="00904E6C">
      <w:pPr>
        <w:numPr>
          <w:ilvl w:val="0"/>
          <w:numId w:val="154"/>
        </w:numPr>
        <w:autoSpaceDE w:val="0"/>
        <w:autoSpaceDN w:val="0"/>
        <w:adjustRightInd w:val="0"/>
        <w:spacing w:after="120" w:line="360" w:lineRule="auto"/>
        <w:ind w:left="426"/>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krawędzie zewnętrzne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5CD00EA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Gorący asfalt może być nanoszony w kilku przejściach roboczych.</w:t>
      </w:r>
    </w:p>
    <w:p w14:paraId="34CFDA7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uszczelniania krawędzi zewnętrznych należy stosować asfalt drogowy według PN-EN 12591 [24], asfalt modyfikowany polimerami według PN-EN 14023 [64], asfalt wielorodzajowy wg PN-EN 13924-2 [63], albo inne lepiszcza według norm lub aprobat technicznych. Uszczelnienie krawędzi zewnętrznej należy wykonać gorącym lepiszczem.</w:t>
      </w:r>
    </w:p>
    <w:p w14:paraId="24FBE17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powinno być naniesione odpowiednio szybko tak, aby krawędzie nie uległy zabrudzeniu. Niżej położona krawędź (z wyjątkiem strefy zmiany przechyłki) powinna pozostać nieuszczelniona. </w:t>
      </w:r>
    </w:p>
    <w:p w14:paraId="6E065A5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1667DB">
          <w:rPr>
            <w:rFonts w:ascii="Times New Roman" w:hAnsi="Times New Roman" w:cs="Times New Roman"/>
            <w:color w:val="000000" w:themeColor="text1"/>
          </w:rPr>
          <w:t>10 cm</w:t>
        </w:r>
      </w:smartTag>
      <w:r w:rsidRPr="001667DB">
        <w:rPr>
          <w:rFonts w:ascii="Times New Roman" w:hAnsi="Times New Roman" w:cs="Times New Roman"/>
          <w:color w:val="000000" w:themeColor="text1"/>
        </w:rPr>
        <w:t>.</w:t>
      </w:r>
    </w:p>
    <w:p w14:paraId="04C4A4F5"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5.11. Wykończenie warstwy ścieralnej</w:t>
      </w:r>
    </w:p>
    <w:p w14:paraId="06F90D7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Warstwa ścieralna powinna mieć jednorodną teksturę i strukturę dostosowaną do przeznaczenia, np. ze względu na właściwości przeciwpoślizgowe, hałas toczenia kół lub względy estetyczne.</w:t>
      </w:r>
    </w:p>
    <w:p w14:paraId="1B866C7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Nie wymaga się uszorstnienia warstwy ścieralnej z betonu asfaltowego.</w:t>
      </w:r>
    </w:p>
    <w:p w14:paraId="0EFCE496"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5.12. Jasność nawierzchni</w:t>
      </w:r>
    </w:p>
    <w:p w14:paraId="16D9F48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Powierzchnią wymagającą rozjaśnienia warstwy ścieralnej jest nawierzchnia KR5-6 na obiektach inżynierskich w ciągu głównym dróg krajowych i nawierzchnia w tunelach.</w:t>
      </w:r>
    </w:p>
    <w:p w14:paraId="4287CFE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Rozjaśnienie do żądanego poziomu luminancji można uzyskać przez dodanie jasnego kruszywa grubego lub jasnego kruszywa drobnego lub kombinacji drobnych i grubych kruszyw jasnych do warstwy  ścieralnej.</w:t>
      </w:r>
    </w:p>
    <w:p w14:paraId="6F402629"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stosowane do rozjaśnienia muszą posiadać własności fizyko-mechaniczne określone dla danej kategorii ruch</w:t>
      </w:r>
      <w:r w:rsidR="006C3828" w:rsidRPr="001667DB">
        <w:rPr>
          <w:rFonts w:ascii="Times New Roman" w:hAnsi="Times New Roman" w:cs="Times New Roman"/>
          <w:color w:val="000000" w:themeColor="text1"/>
        </w:rPr>
        <w:t>u warstw ścieralnych w WT-1 2016</w:t>
      </w:r>
      <w:r w:rsidRPr="001667DB">
        <w:rPr>
          <w:rFonts w:ascii="Times New Roman" w:hAnsi="Times New Roman" w:cs="Times New Roman"/>
          <w:color w:val="000000" w:themeColor="text1"/>
        </w:rPr>
        <w:t xml:space="preserve"> [79]. Możliwe jest również zastosowanie innych składników mieszanki mineralno-asfaltowej w celu rozjaśnienia nawierzchni (np. lepiszcza syntetyczne).</w:t>
      </w:r>
    </w:p>
    <w:p w14:paraId="0B04F127" w14:textId="77777777" w:rsidR="00955A27" w:rsidRPr="00326BBF" w:rsidRDefault="00955A27" w:rsidP="00A9424D">
      <w:pPr>
        <w:pStyle w:val="Nagwek1"/>
        <w:spacing w:line="360" w:lineRule="auto"/>
        <w:jc w:val="both"/>
        <w:rPr>
          <w:color w:val="000000" w:themeColor="text1"/>
          <w:sz w:val="22"/>
          <w:szCs w:val="22"/>
          <w:lang w:val="pl-PL"/>
        </w:rPr>
      </w:pPr>
      <w:bookmarkStart w:id="459" w:name="_Toc462133771"/>
      <w:r w:rsidRPr="00326BBF">
        <w:rPr>
          <w:color w:val="000000" w:themeColor="text1"/>
          <w:sz w:val="22"/>
          <w:szCs w:val="22"/>
          <w:lang w:val="pl-PL"/>
        </w:rPr>
        <w:t>6. Kontrola jakości robót</w:t>
      </w:r>
      <w:bookmarkEnd w:id="459"/>
    </w:p>
    <w:p w14:paraId="57A41B31"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6.1. Ogólne zasady kontroli jakości robót</w:t>
      </w:r>
    </w:p>
    <w:p w14:paraId="4DB3FF37"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D-M-00.00.00 „Wymagania ogólne” [1] pkt 6.</w:t>
      </w:r>
    </w:p>
    <w:p w14:paraId="0D52C7B6"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6.2. Badania przed przystąpieniem do robót</w:t>
      </w:r>
    </w:p>
    <w:p w14:paraId="3BC445B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73B36AF3"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51AD494"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przez Inżyniera.</w:t>
      </w:r>
    </w:p>
    <w:p w14:paraId="315A059D"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65961553"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6.2.1.</w:t>
      </w:r>
      <w:r w:rsidRPr="001667DB">
        <w:rPr>
          <w:rFonts w:ascii="Times New Roman" w:hAnsi="Times New Roman" w:cs="Times New Roman"/>
          <w:color w:val="000000" w:themeColor="text1"/>
        </w:rPr>
        <w:t xml:space="preserve"> Badanie typu </w:t>
      </w:r>
    </w:p>
    <w:p w14:paraId="49BD015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przystąpieniem do robót, w terminie uzgodnionym z Inżynierem, Wykonawca przedstawi do akceptacji badania typu mieszanek mineralno-asfaltowych wraz z wymaganymi w normie PN-EN 13108-20 [52] załącznikami, w celu zatwierdzenia do stosowania. W przypadku zaistnienia podanych poniżej sytuacji wymagających powtórzenia badania typu należy je ponownie wykonać i przedstawić do akceptacji.</w:t>
      </w:r>
    </w:p>
    <w:p w14:paraId="72E87D6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Badanie typu powinno zawierać:</w:t>
      </w:r>
    </w:p>
    <w:p w14:paraId="5C1FD7B8" w14:textId="77777777" w:rsidR="00955A27" w:rsidRPr="001667DB" w:rsidRDefault="00955A27" w:rsidP="00904E6C">
      <w:pPr>
        <w:numPr>
          <w:ilvl w:val="0"/>
          <w:numId w:val="15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informacje ogólne:</w:t>
      </w:r>
    </w:p>
    <w:p w14:paraId="4CA39F0F" w14:textId="77777777" w:rsidR="00955A27" w:rsidRPr="001667DB" w:rsidRDefault="00955A27" w:rsidP="00904E6C">
      <w:pPr>
        <w:numPr>
          <w:ilvl w:val="0"/>
          <w:numId w:val="14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nazwę i adres producenta mieszanki mineralno-asfaltowej,</w:t>
      </w:r>
    </w:p>
    <w:p w14:paraId="3C19EDE6" w14:textId="77777777" w:rsidR="00955A27" w:rsidRPr="001667DB" w:rsidRDefault="00955A27" w:rsidP="00904E6C">
      <w:pPr>
        <w:numPr>
          <w:ilvl w:val="0"/>
          <w:numId w:val="14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datę wydania,</w:t>
      </w:r>
    </w:p>
    <w:p w14:paraId="49C8562A" w14:textId="77777777" w:rsidR="00955A27" w:rsidRPr="001667DB" w:rsidRDefault="00955A27" w:rsidP="00904E6C">
      <w:pPr>
        <w:numPr>
          <w:ilvl w:val="0"/>
          <w:numId w:val="14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nazwę wytwórni produkującej mieszankę mineralno –asfaltową,</w:t>
      </w:r>
    </w:p>
    <w:p w14:paraId="259E5948" w14:textId="77777777" w:rsidR="00955A27" w:rsidRPr="001667DB" w:rsidRDefault="00955A27" w:rsidP="00904E6C">
      <w:pPr>
        <w:numPr>
          <w:ilvl w:val="0"/>
          <w:numId w:val="14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określenie typu mieszanki i kategorii, z którymi jest deklarowana zgodność,</w:t>
      </w:r>
    </w:p>
    <w:p w14:paraId="46D3F8B2" w14:textId="77777777" w:rsidR="00955A27" w:rsidRPr="001667DB" w:rsidRDefault="00955A27" w:rsidP="00904E6C">
      <w:pPr>
        <w:numPr>
          <w:ilvl w:val="0"/>
          <w:numId w:val="148"/>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zestawienie metod przygotowania próbek oraz metod i warunków badania poszczególnych właściwości.</w:t>
      </w:r>
    </w:p>
    <w:p w14:paraId="4CF8A0D3" w14:textId="77777777" w:rsidR="00955A27" w:rsidRPr="001667DB" w:rsidRDefault="00955A27" w:rsidP="00904E6C">
      <w:pPr>
        <w:numPr>
          <w:ilvl w:val="0"/>
          <w:numId w:val="156"/>
        </w:numPr>
        <w:overflowPunct w:val="0"/>
        <w:autoSpaceDE w:val="0"/>
        <w:autoSpaceDN w:val="0"/>
        <w:adjustRightInd w:val="0"/>
        <w:spacing w:after="120" w:line="36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informacje o składnikach:</w:t>
      </w:r>
    </w:p>
    <w:p w14:paraId="793EA886" w14:textId="77777777" w:rsidR="00955A27" w:rsidRPr="001667DB" w:rsidRDefault="00955A27" w:rsidP="00904E6C">
      <w:pPr>
        <w:numPr>
          <w:ilvl w:val="0"/>
          <w:numId w:val="14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każdy wymiar kruszywa: źródło i rodzaj,</w:t>
      </w:r>
    </w:p>
    <w:p w14:paraId="73D40FC4" w14:textId="77777777" w:rsidR="00955A27" w:rsidRPr="001667DB" w:rsidRDefault="00955A27" w:rsidP="00904E6C">
      <w:pPr>
        <w:numPr>
          <w:ilvl w:val="0"/>
          <w:numId w:val="14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lepiszcze: typ i rodzaj,</w:t>
      </w:r>
    </w:p>
    <w:p w14:paraId="296DD268" w14:textId="77777777" w:rsidR="00955A27" w:rsidRPr="001667DB" w:rsidRDefault="00955A27" w:rsidP="00904E6C">
      <w:pPr>
        <w:numPr>
          <w:ilvl w:val="0"/>
          <w:numId w:val="14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wypełniacz: źródło i rodzaj,</w:t>
      </w:r>
    </w:p>
    <w:p w14:paraId="752DB186" w14:textId="77777777" w:rsidR="00955A27" w:rsidRPr="001667DB" w:rsidRDefault="00955A27" w:rsidP="00904E6C">
      <w:pPr>
        <w:numPr>
          <w:ilvl w:val="0"/>
          <w:numId w:val="14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dodatki: źródło i rodzaj,</w:t>
      </w:r>
    </w:p>
    <w:p w14:paraId="75006866" w14:textId="77777777" w:rsidR="00955A27" w:rsidRPr="001667DB" w:rsidRDefault="00955A27" w:rsidP="00904E6C">
      <w:pPr>
        <w:numPr>
          <w:ilvl w:val="0"/>
          <w:numId w:val="14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wszystkie składniki: wyniki badań zgodnie z z</w:t>
      </w:r>
      <w:r w:rsidR="006F121F">
        <w:rPr>
          <w:rFonts w:ascii="Times New Roman" w:hAnsi="Times New Roman" w:cs="Times New Roman"/>
          <w:color w:val="000000" w:themeColor="text1"/>
        </w:rPr>
        <w:t>estawieniem podanym w tablicy 21</w:t>
      </w:r>
      <w:r w:rsidRPr="001667DB">
        <w:rPr>
          <w:rFonts w:ascii="Times New Roman" w:hAnsi="Times New Roman" w:cs="Times New Roman"/>
          <w:color w:val="000000" w:themeColor="text1"/>
        </w:rPr>
        <w:t>.</w:t>
      </w:r>
    </w:p>
    <w:p w14:paraId="2BB201AC" w14:textId="77777777" w:rsidR="00955A27" w:rsidRPr="001667DB" w:rsidRDefault="006F121F" w:rsidP="00A9424D">
      <w:pPr>
        <w:spacing w:before="120"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Tablica 21</w:t>
      </w:r>
      <w:r w:rsidR="00955A27" w:rsidRPr="001667DB">
        <w:rPr>
          <w:rFonts w:ascii="Times New Roman" w:hAnsi="Times New Roman" w:cs="Times New Roman"/>
          <w:color w:val="000000" w:themeColor="text1"/>
        </w:rPr>
        <w:t>.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2276"/>
        <w:gridCol w:w="2337"/>
        <w:gridCol w:w="1387"/>
      </w:tblGrid>
      <w:tr w:rsidR="00955A27" w:rsidRPr="001667DB" w14:paraId="4648E1EF" w14:textId="77777777">
        <w:tc>
          <w:tcPr>
            <w:tcW w:w="2748" w:type="dxa"/>
          </w:tcPr>
          <w:p w14:paraId="66F6FD9F"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Składnik</w:t>
            </w:r>
          </w:p>
        </w:tc>
        <w:tc>
          <w:tcPr>
            <w:tcW w:w="2276" w:type="dxa"/>
          </w:tcPr>
          <w:p w14:paraId="2C6CAA4F"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2337" w:type="dxa"/>
          </w:tcPr>
          <w:p w14:paraId="5FCE619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badania</w:t>
            </w:r>
          </w:p>
        </w:tc>
        <w:tc>
          <w:tcPr>
            <w:tcW w:w="1387" w:type="dxa"/>
          </w:tcPr>
          <w:p w14:paraId="0B83470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Liczba badań</w:t>
            </w:r>
          </w:p>
        </w:tc>
      </w:tr>
      <w:tr w:rsidR="00955A27" w:rsidRPr="001667DB" w14:paraId="68C8AF1B" w14:textId="77777777">
        <w:tc>
          <w:tcPr>
            <w:tcW w:w="2748" w:type="dxa"/>
            <w:vMerge w:val="restart"/>
          </w:tcPr>
          <w:p w14:paraId="75107A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Kruszywo</w:t>
            </w:r>
          </w:p>
          <w:p w14:paraId="143735F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 [49])</w:t>
            </w:r>
          </w:p>
        </w:tc>
        <w:tc>
          <w:tcPr>
            <w:tcW w:w="2276" w:type="dxa"/>
          </w:tcPr>
          <w:p w14:paraId="251E45F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w:t>
            </w:r>
          </w:p>
        </w:tc>
        <w:tc>
          <w:tcPr>
            <w:tcW w:w="2337" w:type="dxa"/>
          </w:tcPr>
          <w:p w14:paraId="156F94B0"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933-1 [6]</w:t>
            </w:r>
          </w:p>
        </w:tc>
        <w:tc>
          <w:tcPr>
            <w:tcW w:w="1387" w:type="dxa"/>
          </w:tcPr>
          <w:p w14:paraId="74A7E9FE"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na frakcję</w:t>
            </w:r>
          </w:p>
        </w:tc>
      </w:tr>
      <w:tr w:rsidR="00955A27" w:rsidRPr="001667DB" w14:paraId="773ABA4A" w14:textId="77777777">
        <w:tc>
          <w:tcPr>
            <w:tcW w:w="2748" w:type="dxa"/>
            <w:vMerge/>
          </w:tcPr>
          <w:p w14:paraId="75F2862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76" w:type="dxa"/>
          </w:tcPr>
          <w:p w14:paraId="7410B2B2"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w:t>
            </w:r>
          </w:p>
        </w:tc>
        <w:tc>
          <w:tcPr>
            <w:tcW w:w="2337" w:type="dxa"/>
          </w:tcPr>
          <w:p w14:paraId="3FA449AE"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1097-6 [16]</w:t>
            </w:r>
          </w:p>
        </w:tc>
        <w:tc>
          <w:tcPr>
            <w:tcW w:w="1387" w:type="dxa"/>
          </w:tcPr>
          <w:p w14:paraId="1CAB6B2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na frakcję</w:t>
            </w:r>
          </w:p>
        </w:tc>
      </w:tr>
      <w:tr w:rsidR="00955A27" w:rsidRPr="001667DB" w14:paraId="44B13DEA" w14:textId="77777777">
        <w:tc>
          <w:tcPr>
            <w:tcW w:w="2748" w:type="dxa"/>
            <w:vMerge w:val="restart"/>
          </w:tcPr>
          <w:p w14:paraId="2309A4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Lepiszcze (PN-EN 12591 [24], PN-EN 13924-2 [63], PN-EN 14023 [64])</w:t>
            </w:r>
          </w:p>
        </w:tc>
        <w:tc>
          <w:tcPr>
            <w:tcW w:w="2276" w:type="dxa"/>
          </w:tcPr>
          <w:p w14:paraId="43EACB4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Penetracja lub tem-peratura mięknienia</w:t>
            </w:r>
          </w:p>
        </w:tc>
        <w:tc>
          <w:tcPr>
            <w:tcW w:w="2337" w:type="dxa"/>
          </w:tcPr>
          <w:p w14:paraId="218520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1426 [21] lub</w:t>
            </w:r>
          </w:p>
          <w:p w14:paraId="0B3275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1427 [22]</w:t>
            </w:r>
          </w:p>
        </w:tc>
        <w:tc>
          <w:tcPr>
            <w:tcW w:w="1387" w:type="dxa"/>
          </w:tcPr>
          <w:p w14:paraId="29D3FD8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0EC860EF" w14:textId="77777777">
        <w:tc>
          <w:tcPr>
            <w:tcW w:w="2748" w:type="dxa"/>
            <w:vMerge/>
          </w:tcPr>
          <w:p w14:paraId="5EA1241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76" w:type="dxa"/>
          </w:tcPr>
          <w:p w14:paraId="66F30170" w14:textId="77777777" w:rsidR="00955A27" w:rsidRPr="001667DB" w:rsidRDefault="00955A27" w:rsidP="00955A27">
            <w:pPr>
              <w:spacing w:before="60" w:after="120" w:line="360" w:lineRule="auto"/>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Nawrót sprężysty</w:t>
            </w:r>
            <w:r w:rsidRPr="001667DB">
              <w:rPr>
                <w:rFonts w:ascii="Times New Roman" w:hAnsi="Times New Roman" w:cs="Times New Roman"/>
                <w:color w:val="000000" w:themeColor="text1"/>
                <w:vertAlign w:val="superscript"/>
              </w:rPr>
              <w:t>*)</w:t>
            </w:r>
          </w:p>
        </w:tc>
        <w:tc>
          <w:tcPr>
            <w:tcW w:w="2337" w:type="dxa"/>
          </w:tcPr>
          <w:p w14:paraId="138B198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13398 [56]</w:t>
            </w:r>
          </w:p>
        </w:tc>
        <w:tc>
          <w:tcPr>
            <w:tcW w:w="1387" w:type="dxa"/>
          </w:tcPr>
          <w:p w14:paraId="5A5F22D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4E9DC2D" w14:textId="77777777">
        <w:tc>
          <w:tcPr>
            <w:tcW w:w="2748" w:type="dxa"/>
            <w:vMerge w:val="restart"/>
          </w:tcPr>
          <w:p w14:paraId="383B679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w:t>
            </w:r>
          </w:p>
          <w:p w14:paraId="5A0229F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13043[49])</w:t>
            </w:r>
          </w:p>
        </w:tc>
        <w:tc>
          <w:tcPr>
            <w:tcW w:w="2276" w:type="dxa"/>
          </w:tcPr>
          <w:p w14:paraId="20105986"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w:t>
            </w:r>
          </w:p>
        </w:tc>
        <w:tc>
          <w:tcPr>
            <w:tcW w:w="2337" w:type="dxa"/>
          </w:tcPr>
          <w:p w14:paraId="2E47220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933-10 [12]</w:t>
            </w:r>
          </w:p>
        </w:tc>
        <w:tc>
          <w:tcPr>
            <w:tcW w:w="1387" w:type="dxa"/>
          </w:tcPr>
          <w:p w14:paraId="79F130CB"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001806E" w14:textId="77777777">
        <w:tc>
          <w:tcPr>
            <w:tcW w:w="2748" w:type="dxa"/>
            <w:vMerge/>
          </w:tcPr>
          <w:p w14:paraId="0AB06AB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276" w:type="dxa"/>
          </w:tcPr>
          <w:p w14:paraId="2CFAA315"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w:t>
            </w:r>
          </w:p>
        </w:tc>
        <w:tc>
          <w:tcPr>
            <w:tcW w:w="2337" w:type="dxa"/>
          </w:tcPr>
          <w:p w14:paraId="264F23BD"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1097-7 [17]</w:t>
            </w:r>
          </w:p>
        </w:tc>
        <w:tc>
          <w:tcPr>
            <w:tcW w:w="1387" w:type="dxa"/>
          </w:tcPr>
          <w:p w14:paraId="451ACB9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16EFCE7A" w14:textId="77777777">
        <w:tc>
          <w:tcPr>
            <w:tcW w:w="2748" w:type="dxa"/>
          </w:tcPr>
          <w:p w14:paraId="44A8B94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Dodatki</w:t>
            </w:r>
          </w:p>
        </w:tc>
        <w:tc>
          <w:tcPr>
            <w:tcW w:w="2276" w:type="dxa"/>
          </w:tcPr>
          <w:p w14:paraId="17D7BC6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Typ</w:t>
            </w:r>
          </w:p>
        </w:tc>
        <w:tc>
          <w:tcPr>
            <w:tcW w:w="2337" w:type="dxa"/>
          </w:tcPr>
          <w:p w14:paraId="4A642B7D" w14:textId="77777777" w:rsidR="00955A27" w:rsidRPr="001667DB" w:rsidRDefault="00955A27" w:rsidP="00955A27">
            <w:pPr>
              <w:spacing w:before="60" w:after="120" w:line="360" w:lineRule="auto"/>
              <w:rPr>
                <w:rFonts w:ascii="Times New Roman" w:hAnsi="Times New Roman" w:cs="Times New Roman"/>
                <w:color w:val="000000" w:themeColor="text1"/>
              </w:rPr>
            </w:pPr>
          </w:p>
        </w:tc>
        <w:tc>
          <w:tcPr>
            <w:tcW w:w="1387" w:type="dxa"/>
          </w:tcPr>
          <w:p w14:paraId="7FE5335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p>
        </w:tc>
      </w:tr>
    </w:tbl>
    <w:p w14:paraId="08D0DC9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w:t>
      </w:r>
      <w:r w:rsidRPr="001667DB">
        <w:rPr>
          <w:rFonts w:ascii="Times New Roman" w:hAnsi="Times New Roman" w:cs="Times New Roman"/>
          <w:color w:val="000000" w:themeColor="text1"/>
        </w:rPr>
        <w:t xml:space="preserve"> dotyczy jedynie lepiszczy wg PN-EN 14023[64]</w:t>
      </w:r>
    </w:p>
    <w:p w14:paraId="4FAB3E28" w14:textId="77777777" w:rsidR="00955A27" w:rsidRPr="001667DB" w:rsidRDefault="00955A27" w:rsidP="00904E6C">
      <w:pPr>
        <w:numPr>
          <w:ilvl w:val="0"/>
          <w:numId w:val="156"/>
        </w:numPr>
        <w:overflowPunct w:val="0"/>
        <w:autoSpaceDE w:val="0"/>
        <w:autoSpaceDN w:val="0"/>
        <w:adjustRightInd w:val="0"/>
        <w:spacing w:before="120" w:after="120" w:line="360" w:lineRule="auto"/>
        <w:ind w:left="425" w:hanging="35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informacje o mieszance mineralno-asfaltowej:</w:t>
      </w:r>
    </w:p>
    <w:p w14:paraId="777C724C" w14:textId="77777777" w:rsidR="00955A27" w:rsidRPr="001667DB" w:rsidRDefault="00955A27" w:rsidP="00904E6C">
      <w:pPr>
        <w:numPr>
          <w:ilvl w:val="0"/>
          <w:numId w:val="15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skład mieszaki podany jako wejściowy (w przypadku walidacji w laboratorium) lub wyjściowy skład (w wypadku walidacji produkcji),</w:t>
      </w:r>
    </w:p>
    <w:p w14:paraId="7C39D1C8" w14:textId="77777777" w:rsidR="00955A27" w:rsidRPr="001667DB" w:rsidRDefault="00955A27" w:rsidP="00904E6C">
      <w:pPr>
        <w:numPr>
          <w:ilvl w:val="0"/>
          <w:numId w:val="15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wyniki badań zgodnie z z</w:t>
      </w:r>
      <w:r w:rsidR="006F121F">
        <w:rPr>
          <w:rFonts w:ascii="Times New Roman" w:hAnsi="Times New Roman" w:cs="Times New Roman"/>
          <w:color w:val="000000" w:themeColor="text1"/>
        </w:rPr>
        <w:t>estawieniem podanym w tablicy 22</w:t>
      </w:r>
      <w:r w:rsidRPr="001667DB">
        <w:rPr>
          <w:rFonts w:ascii="Times New Roman" w:hAnsi="Times New Roman" w:cs="Times New Roman"/>
          <w:color w:val="000000" w:themeColor="text1"/>
        </w:rPr>
        <w:t>.</w:t>
      </w:r>
    </w:p>
    <w:p w14:paraId="5131CF61" w14:textId="77777777" w:rsidR="00955A27" w:rsidRPr="001667DB" w:rsidRDefault="006F121F" w:rsidP="00955A27">
      <w:pPr>
        <w:spacing w:before="240" w:after="120" w:line="360" w:lineRule="auto"/>
        <w:rPr>
          <w:rFonts w:ascii="Times New Roman" w:hAnsi="Times New Roman" w:cs="Times New Roman"/>
          <w:color w:val="000000" w:themeColor="text1"/>
        </w:rPr>
      </w:pPr>
      <w:r>
        <w:rPr>
          <w:rFonts w:ascii="Times New Roman" w:hAnsi="Times New Roman" w:cs="Times New Roman"/>
          <w:color w:val="000000" w:themeColor="text1"/>
        </w:rPr>
        <w:t>Tablica 22</w:t>
      </w:r>
      <w:r w:rsidR="00955A27" w:rsidRPr="001667DB">
        <w:rPr>
          <w:rFonts w:ascii="Times New Roman" w:hAnsi="Times New Roman" w:cs="Times New Roman"/>
          <w:color w:val="000000" w:themeColor="text1"/>
        </w:rPr>
        <w:t>.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360"/>
        <w:gridCol w:w="1680"/>
      </w:tblGrid>
      <w:tr w:rsidR="00955A27" w:rsidRPr="001667DB" w14:paraId="05E228A2" w14:textId="77777777">
        <w:tc>
          <w:tcPr>
            <w:tcW w:w="3828" w:type="dxa"/>
          </w:tcPr>
          <w:p w14:paraId="7EEDA176"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w:t>
            </w:r>
          </w:p>
        </w:tc>
        <w:tc>
          <w:tcPr>
            <w:tcW w:w="3360" w:type="dxa"/>
          </w:tcPr>
          <w:p w14:paraId="7D583B4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badania</w:t>
            </w:r>
          </w:p>
        </w:tc>
        <w:tc>
          <w:tcPr>
            <w:tcW w:w="1680" w:type="dxa"/>
          </w:tcPr>
          <w:p w14:paraId="3CE7061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Liczba badań</w:t>
            </w:r>
          </w:p>
        </w:tc>
      </w:tr>
      <w:tr w:rsidR="00955A27" w:rsidRPr="001667DB" w14:paraId="06C33B7E" w14:textId="77777777">
        <w:tc>
          <w:tcPr>
            <w:tcW w:w="3828" w:type="dxa"/>
          </w:tcPr>
          <w:p w14:paraId="503D74C4"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(obowiązkowa)</w:t>
            </w:r>
          </w:p>
        </w:tc>
        <w:tc>
          <w:tcPr>
            <w:tcW w:w="3360" w:type="dxa"/>
          </w:tcPr>
          <w:p w14:paraId="60B5599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12697-1[31]</w:t>
            </w:r>
          </w:p>
          <w:p w14:paraId="283B069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12697-39[45]</w:t>
            </w:r>
          </w:p>
        </w:tc>
        <w:tc>
          <w:tcPr>
            <w:tcW w:w="1680" w:type="dxa"/>
          </w:tcPr>
          <w:p w14:paraId="7B79B28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12CEC241" w14:textId="77777777">
        <w:tc>
          <w:tcPr>
            <w:tcW w:w="3828" w:type="dxa"/>
          </w:tcPr>
          <w:p w14:paraId="0ACDFEDC"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Uziarnienie (obowiązkowa)</w:t>
            </w:r>
          </w:p>
        </w:tc>
        <w:tc>
          <w:tcPr>
            <w:tcW w:w="3360" w:type="dxa"/>
          </w:tcPr>
          <w:p w14:paraId="1BB6E63C"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 [32]</w:t>
            </w:r>
          </w:p>
        </w:tc>
        <w:tc>
          <w:tcPr>
            <w:tcW w:w="1680" w:type="dxa"/>
          </w:tcPr>
          <w:p w14:paraId="52AB5AF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562108FF" w14:textId="77777777">
        <w:tc>
          <w:tcPr>
            <w:tcW w:w="3828" w:type="dxa"/>
          </w:tcPr>
          <w:p w14:paraId="20FEF46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łącznie z VFB i VMA przy wymaganej zawartości wolnych przestrzeni V</w:t>
            </w:r>
            <w:r w:rsidRPr="001667DB">
              <w:rPr>
                <w:rFonts w:ascii="Times New Roman" w:hAnsi="Times New Roman" w:cs="Times New Roman"/>
                <w:color w:val="000000" w:themeColor="text1"/>
                <w:vertAlign w:val="subscript"/>
              </w:rPr>
              <w:t>max</w:t>
            </w:r>
            <w:r w:rsidRPr="001667DB">
              <w:rPr>
                <w:rFonts w:ascii="Times New Roman" w:hAnsi="Times New Roman" w:cs="Times New Roman"/>
                <w:color w:val="000000" w:themeColor="text1"/>
              </w:rPr>
              <w:t>≤7% (obowiązkowa)</w:t>
            </w:r>
          </w:p>
        </w:tc>
        <w:tc>
          <w:tcPr>
            <w:tcW w:w="3360" w:type="dxa"/>
          </w:tcPr>
          <w:p w14:paraId="6FF212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12697-8 [35]</w:t>
            </w:r>
          </w:p>
          <w:p w14:paraId="34CF676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Gęstość objętościowa wg PN-EN 12697-6 [34], metoda B, w stanie nasyconym powierz-chniowo suchym. Gęstość wg PN-EN 12697-5 [33], metoda A w wodzie</w:t>
            </w:r>
          </w:p>
        </w:tc>
        <w:tc>
          <w:tcPr>
            <w:tcW w:w="1680" w:type="dxa"/>
          </w:tcPr>
          <w:p w14:paraId="13BDA445"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D53AF19"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E714F96"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1C0710E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D279EB9" w14:textId="77777777">
        <w:tc>
          <w:tcPr>
            <w:tcW w:w="3828" w:type="dxa"/>
          </w:tcPr>
          <w:p w14:paraId="4C6301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Wrażliwość na działanie wody (powiązana funkcjonalnie)</w:t>
            </w:r>
          </w:p>
        </w:tc>
        <w:tc>
          <w:tcPr>
            <w:tcW w:w="3360" w:type="dxa"/>
          </w:tcPr>
          <w:p w14:paraId="0D41E23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12697-12 [37]</w:t>
            </w:r>
          </w:p>
        </w:tc>
        <w:tc>
          <w:tcPr>
            <w:tcW w:w="1680" w:type="dxa"/>
          </w:tcPr>
          <w:p w14:paraId="33902D53"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1371E5ED" w14:textId="77777777">
        <w:tc>
          <w:tcPr>
            <w:tcW w:w="3828" w:type="dxa"/>
          </w:tcPr>
          <w:p w14:paraId="3400E35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deformacje trwałe (powiązana funkcjonalnie), dotyczy betonu asfaltowego zaprojektowa-nego do maksymalnego obciążenia osi poniżej 130 kN</w:t>
            </w:r>
          </w:p>
        </w:tc>
        <w:tc>
          <w:tcPr>
            <w:tcW w:w="3360" w:type="dxa"/>
          </w:tcPr>
          <w:p w14:paraId="211D788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12697-22 [39]</w:t>
            </w:r>
          </w:p>
          <w:p w14:paraId="02A5FF0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mały aparat, metoda B w powietrzu, przy wymaganej temperaturze</w:t>
            </w:r>
          </w:p>
        </w:tc>
        <w:tc>
          <w:tcPr>
            <w:tcW w:w="1680" w:type="dxa"/>
          </w:tcPr>
          <w:p w14:paraId="35349E09"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E9F7C7D"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777A14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7B073D40" w14:textId="77777777">
        <w:tc>
          <w:tcPr>
            <w:tcW w:w="3828" w:type="dxa"/>
          </w:tcPr>
          <w:p w14:paraId="138E6820"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Sztywność (funkcjonalna)</w:t>
            </w:r>
          </w:p>
        </w:tc>
        <w:tc>
          <w:tcPr>
            <w:tcW w:w="3360" w:type="dxa"/>
          </w:tcPr>
          <w:p w14:paraId="593D61D9"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12697-26 [42]</w:t>
            </w:r>
          </w:p>
        </w:tc>
        <w:tc>
          <w:tcPr>
            <w:tcW w:w="1680" w:type="dxa"/>
          </w:tcPr>
          <w:p w14:paraId="22DFB3F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1FC9B8F9" w14:textId="77777777">
        <w:tc>
          <w:tcPr>
            <w:tcW w:w="3828" w:type="dxa"/>
          </w:tcPr>
          <w:p w14:paraId="5FC5C7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Zmęczenie (funkcjonalna) do nawierzchni zaprojektowanych wg kryterium opartym na czteropunktowym zginaniu </w:t>
            </w:r>
          </w:p>
        </w:tc>
        <w:tc>
          <w:tcPr>
            <w:tcW w:w="3360" w:type="dxa"/>
          </w:tcPr>
          <w:p w14:paraId="418327BB"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F980D8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12697-24 [41], załącznik D</w:t>
            </w:r>
          </w:p>
        </w:tc>
        <w:tc>
          <w:tcPr>
            <w:tcW w:w="1680" w:type="dxa"/>
          </w:tcPr>
          <w:p w14:paraId="674C7AD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C107E4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124C7802" w14:textId="77777777">
        <w:tc>
          <w:tcPr>
            <w:tcW w:w="3828" w:type="dxa"/>
          </w:tcPr>
          <w:p w14:paraId="18C9E51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paliwo (powiązana funkcjonalnie)</w:t>
            </w:r>
          </w:p>
        </w:tc>
        <w:tc>
          <w:tcPr>
            <w:tcW w:w="3360" w:type="dxa"/>
          </w:tcPr>
          <w:p w14:paraId="1465E1B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12697-43 [47]</w:t>
            </w:r>
          </w:p>
        </w:tc>
        <w:tc>
          <w:tcPr>
            <w:tcW w:w="1680" w:type="dxa"/>
          </w:tcPr>
          <w:p w14:paraId="2391253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r w:rsidR="00955A27" w:rsidRPr="001667DB" w14:paraId="315661A2" w14:textId="77777777">
        <w:tc>
          <w:tcPr>
            <w:tcW w:w="3828" w:type="dxa"/>
          </w:tcPr>
          <w:p w14:paraId="1AA4A8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środki odladzające (powiązana funkcjonalnie)</w:t>
            </w:r>
          </w:p>
        </w:tc>
        <w:tc>
          <w:tcPr>
            <w:tcW w:w="3360" w:type="dxa"/>
          </w:tcPr>
          <w:p w14:paraId="39EDF7D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12697-41 [46]</w:t>
            </w:r>
          </w:p>
        </w:tc>
        <w:tc>
          <w:tcPr>
            <w:tcW w:w="1680" w:type="dxa"/>
          </w:tcPr>
          <w:p w14:paraId="794A456D"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r>
    </w:tbl>
    <w:p w14:paraId="59EC4137" w14:textId="77777777" w:rsidR="00955A27" w:rsidRPr="001667DB" w:rsidRDefault="00955A27" w:rsidP="00955A27">
      <w:pPr>
        <w:spacing w:after="120" w:line="360" w:lineRule="auto"/>
        <w:rPr>
          <w:rFonts w:ascii="Times New Roman" w:hAnsi="Times New Roman" w:cs="Times New Roman"/>
          <w:color w:val="000000" w:themeColor="text1"/>
          <w:highlight w:val="yellow"/>
        </w:rPr>
      </w:pPr>
    </w:p>
    <w:p w14:paraId="578ED21E"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Badanie typu należy przeprowadzić zgodnie z PN-EN 13108-20 [52] przy pierwszym wprowadzeniu mieszanek mineralno-asfaltowych do obrotu i powinno być powtórzone w wypadku:</w:t>
      </w:r>
    </w:p>
    <w:p w14:paraId="1D1F9B66"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upływu trzech lat,</w:t>
      </w:r>
    </w:p>
    <w:p w14:paraId="60994B01"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złoża kruszywa,</w:t>
      </w:r>
    </w:p>
    <w:p w14:paraId="73DF52FB"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rodzaju kruszywa (typu petrograficznego),</w:t>
      </w:r>
    </w:p>
    <w:p w14:paraId="597F5D6B"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kategorii kruszywa grubego, jak definiowano w PN-EN 13043 [49], jednej z następujących właściwości: kształtu, udziału ziaren częściowo przekruszonych, odporności na rozdrabnianie, odporności na ścieranie lub kanciastości kruszywa drobnego,</w:t>
      </w:r>
    </w:p>
    <w:p w14:paraId="062FC3FE"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gęstości ziaren (średnia ważona) o więcej niż 0,05 Mg/m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w:t>
      </w:r>
    </w:p>
    <w:p w14:paraId="717E8CE2"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rodzaju lepiszcza,</w:t>
      </w:r>
    </w:p>
    <w:p w14:paraId="1EEFC159"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zmiany typu mineralogicznego wypełniacza.</w:t>
      </w:r>
    </w:p>
    <w:p w14:paraId="6ED947E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w:t>
      </w:r>
    </w:p>
    <w:p w14:paraId="20A92BB6"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6.3. Badania w czasie robót</w:t>
      </w:r>
    </w:p>
    <w:p w14:paraId="14FEAC1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dzielą się na:</w:t>
      </w:r>
    </w:p>
    <w:p w14:paraId="091C2F45" w14:textId="77777777" w:rsidR="00955A27" w:rsidRPr="001667DB" w:rsidRDefault="00955A27" w:rsidP="00904E6C">
      <w:pPr>
        <w:numPr>
          <w:ilvl w:val="0"/>
          <w:numId w:val="1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Wykonawcy (w ramach własnego nadzoru),</w:t>
      </w:r>
    </w:p>
    <w:p w14:paraId="194E1FCB" w14:textId="77777777" w:rsidR="00955A27" w:rsidRPr="001667DB" w:rsidRDefault="00955A27" w:rsidP="00904E6C">
      <w:pPr>
        <w:numPr>
          <w:ilvl w:val="0"/>
          <w:numId w:val="1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kontrolne (w ramach nadzoru zleceniodawcy – Inżyniera):</w:t>
      </w:r>
    </w:p>
    <w:p w14:paraId="65266B49" w14:textId="77777777" w:rsidR="00955A27" w:rsidRPr="001667DB" w:rsidRDefault="00955A27" w:rsidP="00904E6C">
      <w:pPr>
        <w:numPr>
          <w:ilvl w:val="0"/>
          <w:numId w:val="123"/>
        </w:numPr>
        <w:overflowPunct w:val="0"/>
        <w:autoSpaceDE w:val="0"/>
        <w:autoSpaceDN w:val="0"/>
        <w:adjustRightInd w:val="0"/>
        <w:spacing w:after="120" w:line="360" w:lineRule="auto"/>
        <w:ind w:hanging="3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dodatkowe,</w:t>
      </w:r>
    </w:p>
    <w:p w14:paraId="0DEEC6BC" w14:textId="77777777" w:rsidR="00955A27" w:rsidRPr="001667DB" w:rsidRDefault="00955A27" w:rsidP="00904E6C">
      <w:pPr>
        <w:numPr>
          <w:ilvl w:val="0"/>
          <w:numId w:val="123"/>
        </w:numPr>
        <w:overflowPunct w:val="0"/>
        <w:autoSpaceDE w:val="0"/>
        <w:autoSpaceDN w:val="0"/>
        <w:adjustRightInd w:val="0"/>
        <w:spacing w:after="120" w:line="360" w:lineRule="auto"/>
        <w:ind w:hanging="37"/>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arbitrażowe.</w:t>
      </w:r>
    </w:p>
    <w:p w14:paraId="1C4ACD67"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6.4. Badania Wykonawcy</w:t>
      </w:r>
    </w:p>
    <w:p w14:paraId="7CB6973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6.4.1.</w:t>
      </w:r>
      <w:r w:rsidRPr="001667DB">
        <w:rPr>
          <w:rFonts w:ascii="Times New Roman" w:hAnsi="Times New Roman" w:cs="Times New Roman"/>
          <w:color w:val="000000" w:themeColor="text1"/>
        </w:rPr>
        <w:t xml:space="preserve"> Badania w czasie wytwarzania mieszanki mineralno-asfaltowej </w:t>
      </w:r>
    </w:p>
    <w:p w14:paraId="03D539E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Wykonawcy w czasie wytwarzania mieszanki mineralno–asfaltowej powinny być wykonywane w ramach zakładowej kontroli produkcji, zgodnie z normą PN-EN 13108-21 [53].</w:t>
      </w:r>
    </w:p>
    <w:p w14:paraId="261A5F7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badań Wykonawcy w systemie zakładowej kontroli produkcji obejmuje:</w:t>
      </w:r>
    </w:p>
    <w:p w14:paraId="5CCCC280" w14:textId="77777777" w:rsidR="00955A27" w:rsidRPr="001667DB" w:rsidRDefault="00955A27" w:rsidP="00904E6C">
      <w:pPr>
        <w:numPr>
          <w:ilvl w:val="0"/>
          <w:numId w:val="12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materiałów wsadowych do mieszanki mineralno-asfaltowej (asfaltów, kruszyw wypełniacza  i dodatków), </w:t>
      </w:r>
    </w:p>
    <w:p w14:paraId="364E8EC7" w14:textId="77777777" w:rsidR="00955A27" w:rsidRPr="001667DB" w:rsidRDefault="00955A27" w:rsidP="00904E6C">
      <w:pPr>
        <w:numPr>
          <w:ilvl w:val="0"/>
          <w:numId w:val="129"/>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badanie składu i właściwości mieszanki mineralno-asfaltowej.</w:t>
      </w:r>
    </w:p>
    <w:p w14:paraId="7EC83FCE"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Częstotliwość oraz zakres badań i pomiarów w czasie wytwarzania mieszanki mineralno-asfaltowej powinno być zgodne z certyfikowanym systemem ZKP. </w:t>
      </w:r>
    </w:p>
    <w:p w14:paraId="6344C808"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6.4.2.</w:t>
      </w:r>
      <w:r w:rsidRPr="001667DB">
        <w:rPr>
          <w:rFonts w:ascii="Times New Roman" w:hAnsi="Times New Roman" w:cs="Times New Roman"/>
          <w:color w:val="000000" w:themeColor="text1"/>
        </w:rPr>
        <w:t xml:space="preserve"> Badania w czasie wykonywania warstwy asfaltowej i badania gotowej warstwy</w:t>
      </w:r>
      <w:r w:rsidRPr="001667DB">
        <w:rPr>
          <w:rFonts w:ascii="Times New Roman" w:hAnsi="Times New Roman" w:cs="Times New Roman"/>
          <w:color w:val="000000" w:themeColor="text1"/>
        </w:rPr>
        <w:tab/>
      </w:r>
    </w:p>
    <w:p w14:paraId="60BAC10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 </w:t>
      </w:r>
    </w:p>
    <w:p w14:paraId="778C3FD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5A7A4FE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Wyniki badań Wykonawcy należy przekazywać Inżynierowi na jego żądanie. Inżynier może zdecydować o dokonaniu odbioru na podstawie badań Wykonawcy. W razie zastrzeżeń Inżynier może przeprowadzić badania kontrolne według pktu 6.5.</w:t>
      </w:r>
    </w:p>
    <w:p w14:paraId="21585CA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Zakres badań Wykonawcy związany z wykonywaniem nawierzchni:</w:t>
      </w:r>
    </w:p>
    <w:p w14:paraId="55E79004"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powietrza,</w:t>
      </w:r>
    </w:p>
    <w:p w14:paraId="2F8CD461"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mieszanki mineralno-asfaltowej podczas wykonywania nawierzchni (wg PN-EN 12697-13 [38]),</w:t>
      </w:r>
    </w:p>
    <w:p w14:paraId="48BC486E"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mieszanki mineralno-asfaltowej,</w:t>
      </w:r>
    </w:p>
    <w:p w14:paraId="7A3390D4"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posypki,</w:t>
      </w:r>
    </w:p>
    <w:p w14:paraId="2748124C"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wykaz ilości materiałów lub grubości wykonanej warstwy,</w:t>
      </w:r>
    </w:p>
    <w:p w14:paraId="12F2BC10"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spadku poprzecznego warstwy asfaltowej,</w:t>
      </w:r>
    </w:p>
    <w:p w14:paraId="05256C1C"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równości warstwy asfaltowej (wg pktu 6.5.4.4),</w:t>
      </w:r>
    </w:p>
    <w:p w14:paraId="07B12DCA"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dokumentacja działań podejmowanych celem zapewnienia odpowiednich właściwości przeciwpoślizgowych,</w:t>
      </w:r>
    </w:p>
    <w:p w14:paraId="33365A07"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parametrów geometrycznych poboczy,</w:t>
      </w:r>
    </w:p>
    <w:p w14:paraId="4728887F"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jednorodności powierzchni warstwy,</w:t>
      </w:r>
    </w:p>
    <w:p w14:paraId="790954B0" w14:textId="77777777" w:rsidR="00955A27" w:rsidRPr="001667DB" w:rsidRDefault="00955A27" w:rsidP="00904E6C">
      <w:pPr>
        <w:numPr>
          <w:ilvl w:val="0"/>
          <w:numId w:val="124"/>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jakości wykonania połączeń technologicznych.</w:t>
      </w:r>
    </w:p>
    <w:p w14:paraId="7602DAFF"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6.5. Badania kontrolne zamawiającego</w:t>
      </w:r>
    </w:p>
    <w:p w14:paraId="66985A9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Inżynier w obecności Wykonawcy. Badania </w:t>
      </w:r>
      <w:r w:rsidRPr="001667DB">
        <w:rPr>
          <w:rFonts w:ascii="Times New Roman" w:hAnsi="Times New Roman" w:cs="Times New Roman"/>
          <w:color w:val="000000" w:themeColor="text1"/>
        </w:rPr>
        <w:lastRenderedPageBreak/>
        <w:t>odbywają się również wtedy, gdy Wykonawca zostanie w porę powiadomiony o ich terminie, jednak nie będzie przy nich obecny. Wykonawca może pobierać i pakować próbki do badań kontrolnych. Do wysłania próbek i przeprowadzenia badań kontrolnych jest upoważniony tylko Zamawiający lub uznana przez niego placówka badawcza. Zamawiający decyduje o wyborze takiej placówki.</w:t>
      </w:r>
    </w:p>
    <w:p w14:paraId="7DD8AA6C" w14:textId="77777777" w:rsidR="00955A27" w:rsidRPr="001667DB" w:rsidRDefault="00955A27" w:rsidP="00A9424D">
      <w:pPr>
        <w:pStyle w:val="Wcicienormalne"/>
        <w:spacing w:before="0" w:line="360" w:lineRule="auto"/>
        <w:ind w:left="0" w:firstLine="709"/>
        <w:rPr>
          <w:color w:val="000000" w:themeColor="text1"/>
          <w:sz w:val="22"/>
          <w:szCs w:val="22"/>
        </w:rPr>
      </w:pPr>
      <w:r w:rsidRPr="001667DB">
        <w:rPr>
          <w:color w:val="000000" w:themeColor="text1"/>
          <w:sz w:val="22"/>
          <w:szCs w:val="22"/>
        </w:rPr>
        <w:t xml:space="preserve">Rodzaj i zakres badań kontrolnych Zamawiającego mieszanki mineralno-asfaltowej i wykonanej warstwy jest następujący: </w:t>
      </w:r>
    </w:p>
    <w:p w14:paraId="7C0EE153" w14:textId="77777777" w:rsidR="00955A27" w:rsidRPr="001667DB" w:rsidRDefault="00955A27" w:rsidP="00904E6C">
      <w:pPr>
        <w:numPr>
          <w:ilvl w:val="0"/>
          <w:numId w:val="130"/>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badania materiałów wsadowych do mieszanki mineralno-asfaltowej (asfaltów, kruszyw, wypełniacza  i dodatków).</w:t>
      </w:r>
    </w:p>
    <w:p w14:paraId="61E7232A" w14:textId="77777777" w:rsidR="00955A27" w:rsidRPr="001667DB" w:rsidRDefault="00955A27" w:rsidP="00A9424D">
      <w:pPr>
        <w:pStyle w:val="Wcicienormalne"/>
        <w:spacing w:before="0" w:line="360" w:lineRule="auto"/>
        <w:ind w:left="0"/>
        <w:rPr>
          <w:color w:val="000000" w:themeColor="text1"/>
          <w:sz w:val="22"/>
          <w:szCs w:val="22"/>
        </w:rPr>
      </w:pPr>
      <w:r w:rsidRPr="001667DB">
        <w:rPr>
          <w:color w:val="000000" w:themeColor="text1"/>
          <w:sz w:val="22"/>
          <w:szCs w:val="22"/>
        </w:rPr>
        <w:t>Mieszanka mineralno-asfaltowa:</w:t>
      </w:r>
    </w:p>
    <w:p w14:paraId="7B3CDF64"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uziarnienie,</w:t>
      </w:r>
    </w:p>
    <w:p w14:paraId="6952F710"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zawartość lepiszcza,</w:t>
      </w:r>
    </w:p>
    <w:p w14:paraId="2EDD04D8"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temperatura mięknienia odzyskanego lepiszcza,</w:t>
      </w:r>
    </w:p>
    <w:p w14:paraId="700F98C0" w14:textId="77777777" w:rsidR="00955A27" w:rsidRPr="001667DB" w:rsidRDefault="00955A27" w:rsidP="00904E6C">
      <w:pPr>
        <w:pStyle w:val="Wcicienormalne"/>
        <w:numPr>
          <w:ilvl w:val="0"/>
          <w:numId w:val="131"/>
        </w:numPr>
        <w:spacing w:before="0" w:line="360" w:lineRule="auto"/>
        <w:rPr>
          <w:color w:val="000000" w:themeColor="text1"/>
          <w:sz w:val="22"/>
          <w:szCs w:val="22"/>
        </w:rPr>
      </w:pPr>
      <w:r w:rsidRPr="001667DB">
        <w:rPr>
          <w:color w:val="000000" w:themeColor="text1"/>
          <w:sz w:val="22"/>
          <w:szCs w:val="22"/>
        </w:rPr>
        <w:t>gęstość i zawartość wolnych przestrzeni próbki.</w:t>
      </w:r>
    </w:p>
    <w:p w14:paraId="2163E62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Warunki technologiczne wbudowywania mieszanki mineralno-asfaltowej:</w:t>
      </w:r>
    </w:p>
    <w:p w14:paraId="10803484"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powietrza podczas pobrania  próby do badań,</w:t>
      </w:r>
    </w:p>
    <w:p w14:paraId="216B6C18"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pomiar temperatury mieszanki mineralno-asfaltowej,</w:t>
      </w:r>
    </w:p>
    <w:p w14:paraId="311E9AC7" w14:textId="77777777" w:rsidR="00955A27" w:rsidRPr="001667DB" w:rsidRDefault="00955A27" w:rsidP="00904E6C">
      <w:pPr>
        <w:numPr>
          <w:ilvl w:val="0"/>
          <w:numId w:val="132"/>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ocena wizualna dostarczonej mieszanki mineralno-asfaltowej.</w:t>
      </w:r>
    </w:p>
    <w:p w14:paraId="7E2497C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Wykonana warstwa:</w:t>
      </w:r>
    </w:p>
    <w:p w14:paraId="5CDEFB04"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wskaźnik zagęszczenia</w:t>
      </w:r>
    </w:p>
    <w:p w14:paraId="7150A6EF"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grubość warstwy lub ilość zużytego materiału,</w:t>
      </w:r>
    </w:p>
    <w:p w14:paraId="3E2120E6"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równość podłużna i poprzeczna,</w:t>
      </w:r>
    </w:p>
    <w:p w14:paraId="17F7FDFC"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spadki poprzeczne,</w:t>
      </w:r>
    </w:p>
    <w:p w14:paraId="1FD76BA4"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zawartość wolnych przestrzeni,</w:t>
      </w:r>
    </w:p>
    <w:p w14:paraId="264923CF"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złącza technologiczne,</w:t>
      </w:r>
    </w:p>
    <w:p w14:paraId="5EEF7CA3"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szerokość warstwy,</w:t>
      </w:r>
    </w:p>
    <w:p w14:paraId="248D5B26"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rzędne wysokościowe,</w:t>
      </w:r>
    </w:p>
    <w:p w14:paraId="5DEE83CA"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ukształtowanie osi w planie,</w:t>
      </w:r>
    </w:p>
    <w:p w14:paraId="2242C50F"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ocena wizualna warstwy,</w:t>
      </w:r>
    </w:p>
    <w:p w14:paraId="768EA0C5" w14:textId="77777777" w:rsidR="00955A27" w:rsidRPr="001667DB" w:rsidRDefault="00955A27" w:rsidP="00904E6C">
      <w:pPr>
        <w:pStyle w:val="Wcicienormalne"/>
        <w:numPr>
          <w:ilvl w:val="0"/>
          <w:numId w:val="133"/>
        </w:numPr>
        <w:spacing w:before="0" w:line="360" w:lineRule="auto"/>
        <w:rPr>
          <w:color w:val="000000" w:themeColor="text1"/>
          <w:sz w:val="22"/>
          <w:szCs w:val="22"/>
        </w:rPr>
      </w:pPr>
      <w:r w:rsidRPr="001667DB">
        <w:rPr>
          <w:color w:val="000000" w:themeColor="text1"/>
          <w:sz w:val="22"/>
          <w:szCs w:val="22"/>
        </w:rPr>
        <w:t>właściwości przeciwpoślizgowe warstwy ścieralnej.</w:t>
      </w:r>
    </w:p>
    <w:p w14:paraId="58BA9AFA" w14:textId="77777777" w:rsidR="00955A27" w:rsidRPr="001667DB" w:rsidRDefault="00955A27" w:rsidP="00A9424D">
      <w:pPr>
        <w:keepNext/>
        <w:spacing w:before="120"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6.5.1. </w:t>
      </w:r>
      <w:r w:rsidRPr="001667DB">
        <w:rPr>
          <w:rFonts w:ascii="Times New Roman" w:hAnsi="Times New Roman" w:cs="Times New Roman"/>
          <w:color w:val="000000" w:themeColor="text1"/>
        </w:rPr>
        <w:t>Badanie materiałów wsadowych</w:t>
      </w:r>
    </w:p>
    <w:p w14:paraId="09D85AF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materiałów wsadowych należy oceniać na podstawie badań pobranych próbek w miejscu produkcji  mieszanki mineralno-asfaltowej. </w:t>
      </w:r>
    </w:p>
    <w:p w14:paraId="4C25752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jakości materiałów wsadowych mieszanki mineralno-asfaltowej, za zgodą nadzoru i Zamawiającego mogą posłużyć wyniki badań wykonanych w ramach zakładowej kontroli produkcji. </w:t>
      </w:r>
    </w:p>
    <w:p w14:paraId="540CAD24" w14:textId="77777777" w:rsidR="00955A27" w:rsidRPr="001667DB" w:rsidRDefault="00955A27" w:rsidP="00A9424D">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6.5.1.1.</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Kruszywa i wypełniacz</w:t>
      </w:r>
    </w:p>
    <w:p w14:paraId="055B129A"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kruszywa należy pobrać i zbadać średnie próbki. Wielkość pobranej średniej próbki nie może być mniejsza niż: </w:t>
      </w:r>
    </w:p>
    <w:p w14:paraId="11E54D3A"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wypełniacz</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smartTag w:uri="urn:schemas-microsoft-com:office:smarttags" w:element="metricconverter">
        <w:smartTagPr>
          <w:attr w:name="ProductID" w:val="2 kg"/>
        </w:smartTagPr>
        <w:r w:rsidRPr="001667DB">
          <w:rPr>
            <w:rFonts w:ascii="Times New Roman" w:hAnsi="Times New Roman" w:cs="Times New Roman"/>
            <w:color w:val="000000" w:themeColor="text1"/>
          </w:rPr>
          <w:t>2 kg</w:t>
        </w:r>
      </w:smartTag>
      <w:r w:rsidRPr="001667DB">
        <w:rPr>
          <w:rFonts w:ascii="Times New Roman" w:hAnsi="Times New Roman" w:cs="Times New Roman"/>
          <w:color w:val="000000" w:themeColor="text1"/>
        </w:rPr>
        <w:t>,</w:t>
      </w:r>
    </w:p>
    <w:p w14:paraId="24D07527"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o uziarnieniu do </w:t>
      </w:r>
      <w:smartTag w:uri="urn:schemas-microsoft-com:office:smarttags" w:element="metricconverter">
        <w:smartTagPr>
          <w:attr w:name="ProductID" w:val="8 mm"/>
        </w:smartTagPr>
        <w:r w:rsidRPr="001667DB">
          <w:rPr>
            <w:rFonts w:ascii="Times New Roman" w:hAnsi="Times New Roman" w:cs="Times New Roman"/>
            <w:color w:val="000000" w:themeColor="text1"/>
          </w:rPr>
          <w:t>8 mm</w:t>
        </w:r>
      </w:smartTag>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smartTag w:uri="urn:schemas-microsoft-com:office:smarttags" w:element="metricconverter">
        <w:smartTagPr>
          <w:attr w:name="ProductID" w:val="5 kg"/>
        </w:smartTagPr>
        <w:r w:rsidRPr="001667DB">
          <w:rPr>
            <w:rFonts w:ascii="Times New Roman" w:hAnsi="Times New Roman" w:cs="Times New Roman"/>
            <w:color w:val="000000" w:themeColor="text1"/>
          </w:rPr>
          <w:t>5 kg</w:t>
        </w:r>
      </w:smartTag>
      <w:r w:rsidRPr="001667DB">
        <w:rPr>
          <w:rFonts w:ascii="Times New Roman" w:hAnsi="Times New Roman" w:cs="Times New Roman"/>
          <w:color w:val="000000" w:themeColor="text1"/>
        </w:rPr>
        <w:t>,</w:t>
      </w:r>
    </w:p>
    <w:p w14:paraId="6C2B0CCB" w14:textId="77777777" w:rsidR="00955A27" w:rsidRPr="001667DB" w:rsidRDefault="00955A27" w:rsidP="00904E6C">
      <w:pPr>
        <w:widowControl w:val="0"/>
        <w:numPr>
          <w:ilvl w:val="0"/>
          <w:numId w:val="127"/>
        </w:numPr>
        <w:tabs>
          <w:tab w:val="left" w:pos="426"/>
        </w:tabs>
        <w:spacing w:after="120" w:line="360" w:lineRule="auto"/>
        <w:ind w:left="426" w:right="-57"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o uziarnieniu powyżej </w:t>
      </w:r>
      <w:smartTag w:uri="urn:schemas-microsoft-com:office:smarttags" w:element="metricconverter">
        <w:smartTagPr>
          <w:attr w:name="ProductID" w:val="8 mm"/>
        </w:smartTagPr>
        <w:r w:rsidRPr="001667DB">
          <w:rPr>
            <w:rFonts w:ascii="Times New Roman" w:hAnsi="Times New Roman" w:cs="Times New Roman"/>
            <w:color w:val="000000" w:themeColor="text1"/>
          </w:rPr>
          <w:t>8 mm</w:t>
        </w:r>
      </w:smartTag>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smartTag w:uri="urn:schemas-microsoft-com:office:smarttags" w:element="metricconverter">
        <w:smartTagPr>
          <w:attr w:name="ProductID" w:val="15 kg"/>
        </w:smartTagPr>
        <w:r w:rsidRPr="001667DB">
          <w:rPr>
            <w:rFonts w:ascii="Times New Roman" w:hAnsi="Times New Roman" w:cs="Times New Roman"/>
            <w:color w:val="000000" w:themeColor="text1"/>
          </w:rPr>
          <w:t>15 kg</w:t>
        </w:r>
      </w:smartTag>
      <w:r w:rsidRPr="001667DB">
        <w:rPr>
          <w:rFonts w:ascii="Times New Roman" w:hAnsi="Times New Roman" w:cs="Times New Roman"/>
          <w:color w:val="000000" w:themeColor="text1"/>
        </w:rPr>
        <w:t>.</w:t>
      </w:r>
    </w:p>
    <w:p w14:paraId="4A96A75B" w14:textId="77777777" w:rsidR="00955A27" w:rsidRPr="001667DB" w:rsidRDefault="00955A27" w:rsidP="00A9424D">
      <w:pPr>
        <w:widowControl w:val="0"/>
        <w:tabs>
          <w:tab w:val="left" w:pos="426"/>
        </w:tabs>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Wypełniacz i kruszywa powinny spełniać wymagania podane w pkcie  2.3. i 2.4.</w:t>
      </w:r>
    </w:p>
    <w:p w14:paraId="109F1F36" w14:textId="77777777" w:rsidR="00955A27" w:rsidRPr="001667DB" w:rsidRDefault="00955A27" w:rsidP="00A9424D">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6.5.1.2. Lepiszcze </w:t>
      </w:r>
    </w:p>
    <w:p w14:paraId="437D033A"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lepiszcza należy pobrać próbkę średnią składająca się z 3 próbek częściowych po </w:t>
      </w:r>
      <w:smartTag w:uri="urn:schemas-microsoft-com:office:smarttags" w:element="metricconverter">
        <w:smartTagPr>
          <w:attr w:name="ProductID" w:val="2 kg"/>
        </w:smartTagPr>
        <w:r w:rsidRPr="001667DB">
          <w:rPr>
            <w:rFonts w:ascii="Times New Roman" w:hAnsi="Times New Roman" w:cs="Times New Roman"/>
            <w:color w:val="000000" w:themeColor="text1"/>
          </w:rPr>
          <w:t>2 kg</w:t>
        </w:r>
      </w:smartTag>
      <w:r w:rsidRPr="001667DB">
        <w:rPr>
          <w:rFonts w:ascii="Times New Roman" w:hAnsi="Times New Roman" w:cs="Times New Roman"/>
          <w:color w:val="000000" w:themeColor="text1"/>
        </w:rPr>
        <w:t>. Z tego jedną próbkę częściową należy poddać badaniom. Ponadto należy  zbadać kolejną próbkę, jeżeli wygląd zewnętrzny (jednolitość, kolor, zapach, zanieczyszczenia) może budzić obawy.</w:t>
      </w:r>
    </w:p>
    <w:p w14:paraId="2DF1B325"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Asfalty powinny spełniać wymagania podane w pkcie 2.2.</w:t>
      </w:r>
    </w:p>
    <w:p w14:paraId="2C725B93" w14:textId="77777777" w:rsidR="00955A27" w:rsidRPr="001667DB" w:rsidRDefault="00955A27" w:rsidP="00A9424D">
      <w:pPr>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6.5.1.3. Materiały do uszczelniania połączeń </w:t>
      </w:r>
    </w:p>
    <w:p w14:paraId="3A2FD4AB"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 lepiszcza lub materiałów termoplastycznych należy pobrać próbki średnie składające się z 3 próbek częściowych po </w:t>
      </w:r>
      <w:smartTag w:uri="urn:schemas-microsoft-com:office:smarttags" w:element="metricconverter">
        <w:smartTagPr>
          <w:attr w:name="ProductID" w:val="2 kg"/>
        </w:smartTagPr>
        <w:r w:rsidRPr="001667DB">
          <w:rPr>
            <w:rFonts w:ascii="Times New Roman" w:hAnsi="Times New Roman" w:cs="Times New Roman"/>
            <w:color w:val="000000" w:themeColor="text1"/>
          </w:rPr>
          <w:t>2 kg</w:t>
        </w:r>
      </w:smartTag>
      <w:r w:rsidRPr="001667DB">
        <w:rPr>
          <w:rFonts w:ascii="Times New Roman" w:hAnsi="Times New Roman" w:cs="Times New Roman"/>
          <w:color w:val="000000" w:themeColor="text1"/>
        </w:rPr>
        <w:t>. Z tego jedną próbkę częściową należy poddać badaniom. Ponadto należy pobrać i zbadać kolejną próbkę, jeżeli zewnętrzny wygląd (jednolitość, kolor, połysk, zapach, zanieczyszczenia) może budzić obawy.</w:t>
      </w:r>
    </w:p>
    <w:p w14:paraId="57FE7BC9"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do uszczelniania połączeń powinny spełniać wymagania podane w pkcie 2.6.</w:t>
      </w:r>
    </w:p>
    <w:p w14:paraId="58DFBBCA" w14:textId="77777777" w:rsidR="00955A27" w:rsidRPr="001667DB" w:rsidRDefault="00955A27" w:rsidP="00A9424D">
      <w:pPr>
        <w:keepNext/>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b/>
          <w:color w:val="000000" w:themeColor="text1"/>
        </w:rPr>
        <w:t>6.5.2.</w:t>
      </w:r>
      <w:r w:rsidRPr="001667DB">
        <w:rPr>
          <w:rFonts w:ascii="Times New Roman" w:hAnsi="Times New Roman" w:cs="Times New Roman"/>
          <w:color w:val="000000" w:themeColor="text1"/>
        </w:rPr>
        <w:t xml:space="preserve"> Badania mieszanki mineralno-asfaltowej  </w:t>
      </w:r>
    </w:p>
    <w:p w14:paraId="1A341232"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5AAACB8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jakości mieszanki mineralno-asfaltowej za zgodą nadzoru i Zamawiającego mogą posłużyć wyniki badań wykonanych w ramach zakładowej kontroli produkcji.  </w:t>
      </w:r>
    </w:p>
    <w:p w14:paraId="654EB8D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1815A57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materiałów budowlanych należy określać dla każdej warstwy technologicznej, a metody badań powinny być zgodne z wymaganiami podanymi poniżej, chyba że ST lub dokumentacja projektowa podają inaczej. </w:t>
      </w:r>
    </w:p>
    <w:p w14:paraId="117970CB" w14:textId="77777777" w:rsidR="00955A27" w:rsidRPr="001667DB" w:rsidRDefault="00955A27" w:rsidP="00A9424D">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6.5.2.1. Uziarnienie </w:t>
      </w:r>
    </w:p>
    <w:p w14:paraId="7AE8D5D0"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Uziarnienie każdej próbki pobranej z luźnej mieszanki mineralno-asfaltowej nie może odbiegać od wartości projektowanej, z uwzględnieniem dopuszczalnych odchyłek podanych w tablicy 2</w:t>
      </w:r>
      <w:r w:rsidR="006F121F">
        <w:rPr>
          <w:rFonts w:ascii="Times New Roman" w:hAnsi="Times New Roman" w:cs="Times New Roman"/>
          <w:color w:val="000000" w:themeColor="text1"/>
        </w:rPr>
        <w:t>3</w:t>
      </w:r>
      <w:r w:rsidRPr="001667DB">
        <w:rPr>
          <w:rFonts w:ascii="Times New Roman" w:hAnsi="Times New Roman" w:cs="Times New Roman"/>
          <w:color w:val="000000" w:themeColor="text1"/>
        </w:rPr>
        <w:t>, w zależności od liczby wyników badań z danego odcinka budowy. Wyniki badań nie uwzględniają badań kontrolnych dodatkowych.</w:t>
      </w:r>
    </w:p>
    <w:p w14:paraId="515F83FF" w14:textId="77777777" w:rsidR="00955A27" w:rsidRPr="001667DB" w:rsidRDefault="006F121F" w:rsidP="00A9424D">
      <w:pPr>
        <w:spacing w:before="120" w:after="120" w:line="360" w:lineRule="auto"/>
        <w:ind w:left="1134" w:hanging="1134"/>
        <w:jc w:val="both"/>
        <w:rPr>
          <w:rFonts w:ascii="Times New Roman" w:hAnsi="Times New Roman" w:cs="Times New Roman"/>
          <w:color w:val="000000" w:themeColor="text1"/>
        </w:rPr>
      </w:pPr>
      <w:r>
        <w:rPr>
          <w:rFonts w:ascii="Times New Roman" w:hAnsi="Times New Roman" w:cs="Times New Roman"/>
          <w:color w:val="000000" w:themeColor="text1"/>
        </w:rPr>
        <w:t>Tablica 23</w:t>
      </w:r>
      <w:r w:rsidR="00955A27" w:rsidRPr="001667DB">
        <w:rPr>
          <w:rFonts w:ascii="Times New Roman" w:hAnsi="Times New Roman" w:cs="Times New Roman"/>
          <w:color w:val="000000" w:themeColor="text1"/>
        </w:rPr>
        <w:t>.</w:t>
      </w:r>
      <w:r w:rsidR="00955A27" w:rsidRPr="001667DB">
        <w:rPr>
          <w:rFonts w:ascii="Times New Roman" w:hAnsi="Times New Roman" w:cs="Times New Roman"/>
          <w:color w:val="000000" w:themeColor="text1"/>
        </w:rPr>
        <w:tab/>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730"/>
        <w:gridCol w:w="894"/>
        <w:gridCol w:w="1016"/>
        <w:gridCol w:w="960"/>
        <w:gridCol w:w="894"/>
        <w:gridCol w:w="906"/>
      </w:tblGrid>
      <w:tr w:rsidR="00955A27" w:rsidRPr="001667DB" w14:paraId="5A8F48F2" w14:textId="77777777">
        <w:tc>
          <w:tcPr>
            <w:tcW w:w="2988" w:type="dxa"/>
            <w:vMerge w:val="restart"/>
          </w:tcPr>
          <w:p w14:paraId="5857BC28" w14:textId="77777777" w:rsidR="00955A27" w:rsidRPr="001667DB" w:rsidRDefault="00955A27" w:rsidP="00955A27">
            <w:pPr>
              <w:tabs>
                <w:tab w:val="left" w:pos="1877"/>
              </w:tabs>
              <w:spacing w:after="120" w:line="360" w:lineRule="auto"/>
              <w:ind w:right="-57"/>
              <w:jc w:val="center"/>
              <w:rPr>
                <w:rFonts w:ascii="Times New Roman" w:hAnsi="Times New Roman" w:cs="Times New Roman"/>
                <w:color w:val="000000" w:themeColor="text1"/>
              </w:rPr>
            </w:pPr>
          </w:p>
          <w:p w14:paraId="38DA214D" w14:textId="77777777" w:rsidR="00955A27" w:rsidRPr="001667DB" w:rsidRDefault="00955A27" w:rsidP="00955A27">
            <w:pPr>
              <w:tabs>
                <w:tab w:val="left" w:pos="1877"/>
              </w:tabs>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Kruszywo o wymiarze</w:t>
            </w:r>
          </w:p>
        </w:tc>
        <w:tc>
          <w:tcPr>
            <w:tcW w:w="5400" w:type="dxa"/>
            <w:gridSpan w:val="6"/>
          </w:tcPr>
          <w:p w14:paraId="233C477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Liczba wyników badań</w:t>
            </w:r>
          </w:p>
        </w:tc>
      </w:tr>
      <w:tr w:rsidR="00955A27" w:rsidRPr="001667DB" w14:paraId="62F54322" w14:textId="77777777">
        <w:tc>
          <w:tcPr>
            <w:tcW w:w="2988" w:type="dxa"/>
            <w:vMerge/>
          </w:tcPr>
          <w:p w14:paraId="45EE5124" w14:textId="77777777" w:rsidR="00955A27" w:rsidRPr="001667DB" w:rsidRDefault="00955A27" w:rsidP="00955A27">
            <w:pPr>
              <w:tabs>
                <w:tab w:val="left" w:pos="1877"/>
              </w:tabs>
              <w:spacing w:after="120" w:line="360" w:lineRule="auto"/>
              <w:ind w:right="-57"/>
              <w:rPr>
                <w:rFonts w:ascii="Times New Roman" w:hAnsi="Times New Roman" w:cs="Times New Roman"/>
                <w:color w:val="000000" w:themeColor="text1"/>
              </w:rPr>
            </w:pPr>
          </w:p>
        </w:tc>
        <w:tc>
          <w:tcPr>
            <w:tcW w:w="730" w:type="dxa"/>
          </w:tcPr>
          <w:p w14:paraId="62ABBB2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894" w:type="dxa"/>
          </w:tcPr>
          <w:p w14:paraId="7136ADC9"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016" w:type="dxa"/>
          </w:tcPr>
          <w:p w14:paraId="59B5FF3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od 3</w:t>
            </w:r>
          </w:p>
          <w:p w14:paraId="360BC85A"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do 4</w:t>
            </w:r>
          </w:p>
        </w:tc>
        <w:tc>
          <w:tcPr>
            <w:tcW w:w="960" w:type="dxa"/>
          </w:tcPr>
          <w:p w14:paraId="7D11FE7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5 </w:t>
            </w:r>
          </w:p>
          <w:p w14:paraId="365BBF9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do 8</w:t>
            </w:r>
          </w:p>
        </w:tc>
        <w:tc>
          <w:tcPr>
            <w:tcW w:w="894" w:type="dxa"/>
          </w:tcPr>
          <w:p w14:paraId="78D1219F"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9 </w:t>
            </w:r>
          </w:p>
          <w:p w14:paraId="0A03CBF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do 19</w:t>
            </w:r>
          </w:p>
        </w:tc>
        <w:tc>
          <w:tcPr>
            <w:tcW w:w="906" w:type="dxa"/>
          </w:tcPr>
          <w:p w14:paraId="4EB3CE11"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670C939F" w14:textId="77777777">
        <w:tc>
          <w:tcPr>
            <w:tcW w:w="2988" w:type="dxa"/>
          </w:tcPr>
          <w:p w14:paraId="761D4AD6"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&lt;</w:t>
            </w:r>
            <w:smartTag w:uri="urn:schemas-microsoft-com:office:smarttags" w:element="metricconverter">
              <w:smartTagPr>
                <w:attr w:name="ProductID" w:val="0,063 mm"/>
              </w:smartTagPr>
              <w:r w:rsidRPr="001667DB">
                <w:rPr>
                  <w:rFonts w:ascii="Times New Roman" w:hAnsi="Times New Roman" w:cs="Times New Roman"/>
                  <w:color w:val="000000" w:themeColor="text1"/>
                </w:rPr>
                <w:t>0,063 mm</w:t>
              </w:r>
            </w:smartTag>
            <w:r w:rsidRPr="001667DB">
              <w:rPr>
                <w:rFonts w:ascii="Times New Roman" w:hAnsi="Times New Roman" w:cs="Times New Roman"/>
                <w:color w:val="000000" w:themeColor="text1"/>
              </w:rPr>
              <w:t>, [%(m/m)], mieszanki gruboziarniste</w:t>
            </w:r>
          </w:p>
        </w:tc>
        <w:tc>
          <w:tcPr>
            <w:tcW w:w="730" w:type="dxa"/>
          </w:tcPr>
          <w:p w14:paraId="5CCCEBA0"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c>
          <w:tcPr>
            <w:tcW w:w="894" w:type="dxa"/>
          </w:tcPr>
          <w:p w14:paraId="3C784AF1"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±3,6</w:t>
            </w:r>
          </w:p>
        </w:tc>
        <w:tc>
          <w:tcPr>
            <w:tcW w:w="1016" w:type="dxa"/>
          </w:tcPr>
          <w:p w14:paraId="6DDFD604"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tc>
        <w:tc>
          <w:tcPr>
            <w:tcW w:w="960" w:type="dxa"/>
          </w:tcPr>
          <w:p w14:paraId="3F2248D2"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±2,9</w:t>
            </w:r>
          </w:p>
        </w:tc>
        <w:tc>
          <w:tcPr>
            <w:tcW w:w="894" w:type="dxa"/>
          </w:tcPr>
          <w:p w14:paraId="21507363"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906" w:type="dxa"/>
          </w:tcPr>
          <w:p w14:paraId="2667614D"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3D1D6AD2" w14:textId="77777777">
        <w:tc>
          <w:tcPr>
            <w:tcW w:w="2988" w:type="dxa"/>
          </w:tcPr>
          <w:p w14:paraId="688833FE"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&lt;</w:t>
            </w:r>
            <w:smartTag w:uri="urn:schemas-microsoft-com:office:smarttags" w:element="metricconverter">
              <w:smartTagPr>
                <w:attr w:name="ProductID" w:val="0,063 mm"/>
              </w:smartTagPr>
              <w:r w:rsidRPr="001667DB">
                <w:rPr>
                  <w:rFonts w:ascii="Times New Roman" w:hAnsi="Times New Roman" w:cs="Times New Roman"/>
                  <w:color w:val="000000" w:themeColor="text1"/>
                </w:rPr>
                <w:t>0,063 mm</w:t>
              </w:r>
            </w:smartTag>
            <w:r w:rsidRPr="001667DB">
              <w:rPr>
                <w:rFonts w:ascii="Times New Roman" w:hAnsi="Times New Roman" w:cs="Times New Roman"/>
                <w:color w:val="000000" w:themeColor="text1"/>
              </w:rPr>
              <w:t>, [%(m/m)], mieszanki drobnoziarniste</w:t>
            </w:r>
          </w:p>
        </w:tc>
        <w:tc>
          <w:tcPr>
            <w:tcW w:w="730" w:type="dxa"/>
          </w:tcPr>
          <w:p w14:paraId="4C3F936E"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c>
          <w:tcPr>
            <w:tcW w:w="894" w:type="dxa"/>
          </w:tcPr>
          <w:p w14:paraId="3E07BBFA"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±2,7</w:t>
            </w:r>
          </w:p>
        </w:tc>
        <w:tc>
          <w:tcPr>
            <w:tcW w:w="1016" w:type="dxa"/>
          </w:tcPr>
          <w:p w14:paraId="49C33791"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960" w:type="dxa"/>
          </w:tcPr>
          <w:p w14:paraId="61379608"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894" w:type="dxa"/>
          </w:tcPr>
          <w:p w14:paraId="2C83A160"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906" w:type="dxa"/>
          </w:tcPr>
          <w:p w14:paraId="50D2AC00"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955A27" w:rsidRPr="001667DB" w14:paraId="24458008" w14:textId="77777777">
        <w:tc>
          <w:tcPr>
            <w:tcW w:w="2988" w:type="dxa"/>
          </w:tcPr>
          <w:p w14:paraId="2C97C691"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&lt;</w:t>
            </w:r>
            <w:smartTag w:uri="urn:schemas-microsoft-com:office:smarttags" w:element="metricconverter">
              <w:smartTagPr>
                <w:attr w:name="ProductID" w:val="0,125 mm"/>
              </w:smartTagPr>
              <w:r w:rsidRPr="001667DB">
                <w:rPr>
                  <w:rFonts w:ascii="Times New Roman" w:hAnsi="Times New Roman" w:cs="Times New Roman"/>
                  <w:color w:val="000000" w:themeColor="text1"/>
                </w:rPr>
                <w:t>0,125 mm</w:t>
              </w:r>
            </w:smartTag>
            <w:r w:rsidRPr="001667DB">
              <w:rPr>
                <w:rFonts w:ascii="Times New Roman" w:hAnsi="Times New Roman" w:cs="Times New Roman"/>
                <w:color w:val="000000" w:themeColor="text1"/>
              </w:rPr>
              <w:t>, [%(m/m)], mieszanki gruboziarniste</w:t>
            </w:r>
          </w:p>
        </w:tc>
        <w:tc>
          <w:tcPr>
            <w:tcW w:w="730" w:type="dxa"/>
          </w:tcPr>
          <w:p w14:paraId="55A97F11"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894" w:type="dxa"/>
          </w:tcPr>
          <w:p w14:paraId="627C9992"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±4,4</w:t>
            </w:r>
          </w:p>
        </w:tc>
        <w:tc>
          <w:tcPr>
            <w:tcW w:w="1016" w:type="dxa"/>
          </w:tcPr>
          <w:p w14:paraId="611C738B"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±3,9</w:t>
            </w:r>
          </w:p>
        </w:tc>
        <w:tc>
          <w:tcPr>
            <w:tcW w:w="960" w:type="dxa"/>
          </w:tcPr>
          <w:p w14:paraId="1B897EDB"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±3,4</w:t>
            </w:r>
          </w:p>
        </w:tc>
        <w:tc>
          <w:tcPr>
            <w:tcW w:w="894" w:type="dxa"/>
          </w:tcPr>
          <w:p w14:paraId="04D4457E"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±2,7</w:t>
            </w:r>
          </w:p>
        </w:tc>
        <w:tc>
          <w:tcPr>
            <w:tcW w:w="906" w:type="dxa"/>
          </w:tcPr>
          <w:p w14:paraId="5E7AB383"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026FE214" w14:textId="77777777">
        <w:tc>
          <w:tcPr>
            <w:tcW w:w="2988" w:type="dxa"/>
          </w:tcPr>
          <w:p w14:paraId="194D8BC6"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&lt;</w:t>
            </w:r>
            <w:smartTag w:uri="urn:schemas-microsoft-com:office:smarttags" w:element="metricconverter">
              <w:smartTagPr>
                <w:attr w:name="ProductID" w:val="0,125 mm"/>
              </w:smartTagPr>
              <w:r w:rsidRPr="001667DB">
                <w:rPr>
                  <w:rFonts w:ascii="Times New Roman" w:hAnsi="Times New Roman" w:cs="Times New Roman"/>
                  <w:color w:val="000000" w:themeColor="text1"/>
                </w:rPr>
                <w:t>0,125 mm</w:t>
              </w:r>
            </w:smartTag>
            <w:r w:rsidRPr="001667DB">
              <w:rPr>
                <w:rFonts w:ascii="Times New Roman" w:hAnsi="Times New Roman" w:cs="Times New Roman"/>
                <w:color w:val="000000" w:themeColor="text1"/>
              </w:rPr>
              <w:t>, [%(m/m)], mieszanki drobnoziarniste</w:t>
            </w:r>
          </w:p>
        </w:tc>
        <w:tc>
          <w:tcPr>
            <w:tcW w:w="730" w:type="dxa"/>
          </w:tcPr>
          <w:p w14:paraId="4EF7EEBD"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c>
          <w:tcPr>
            <w:tcW w:w="894" w:type="dxa"/>
          </w:tcPr>
          <w:p w14:paraId="188EB143"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±3,6</w:t>
            </w:r>
          </w:p>
        </w:tc>
        <w:tc>
          <w:tcPr>
            <w:tcW w:w="1016" w:type="dxa"/>
          </w:tcPr>
          <w:p w14:paraId="353320B2"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960" w:type="dxa"/>
          </w:tcPr>
          <w:p w14:paraId="057A1FD7"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±2,9</w:t>
            </w:r>
          </w:p>
        </w:tc>
        <w:tc>
          <w:tcPr>
            <w:tcW w:w="894" w:type="dxa"/>
          </w:tcPr>
          <w:p w14:paraId="3924200C"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906" w:type="dxa"/>
          </w:tcPr>
          <w:p w14:paraId="39EE34E4" w14:textId="77777777" w:rsidR="00955A27" w:rsidRPr="001667DB" w:rsidRDefault="00955A27" w:rsidP="00955A27">
            <w:pPr>
              <w:spacing w:before="18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747B3E70" w14:textId="77777777">
        <w:tc>
          <w:tcPr>
            <w:tcW w:w="2988" w:type="dxa"/>
          </w:tcPr>
          <w:p w14:paraId="1940C52D"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w:t>
            </w:r>
            <w:smartTag w:uri="urn:schemas-microsoft-com:office:smarttags" w:element="metricconverter">
              <w:smartTagPr>
                <w:attr w:name="ProductID" w:val="0,063 mm"/>
              </w:smartTagPr>
              <w:r w:rsidRPr="001667DB">
                <w:rPr>
                  <w:rFonts w:ascii="Times New Roman" w:hAnsi="Times New Roman" w:cs="Times New Roman"/>
                  <w:color w:val="000000" w:themeColor="text1"/>
                </w:rPr>
                <w:t>0,063 mm</w:t>
              </w:r>
            </w:smartTag>
            <w:r w:rsidRPr="001667DB">
              <w:rPr>
                <w:rFonts w:ascii="Times New Roman" w:hAnsi="Times New Roman" w:cs="Times New Roman"/>
                <w:color w:val="000000" w:themeColor="text1"/>
              </w:rPr>
              <w:t xml:space="preserve"> do </w:t>
            </w:r>
            <w:smartTag w:uri="urn:schemas-microsoft-com:office:smarttags" w:element="metricconverter">
              <w:smartTagPr>
                <w:attr w:name="ProductID" w:val="2 mm"/>
              </w:smartTagPr>
              <w:r w:rsidRPr="001667DB">
                <w:rPr>
                  <w:rFonts w:ascii="Times New Roman" w:hAnsi="Times New Roman" w:cs="Times New Roman"/>
                  <w:color w:val="000000" w:themeColor="text1"/>
                </w:rPr>
                <w:t>2 mm</w:t>
              </w:r>
            </w:smartTag>
          </w:p>
        </w:tc>
        <w:tc>
          <w:tcPr>
            <w:tcW w:w="730" w:type="dxa"/>
          </w:tcPr>
          <w:p w14:paraId="64D913C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894" w:type="dxa"/>
          </w:tcPr>
          <w:p w14:paraId="76D7E419"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±6,1</w:t>
            </w:r>
          </w:p>
        </w:tc>
        <w:tc>
          <w:tcPr>
            <w:tcW w:w="1016" w:type="dxa"/>
          </w:tcPr>
          <w:p w14:paraId="53567F2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960" w:type="dxa"/>
          </w:tcPr>
          <w:p w14:paraId="3857EC2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±4,1</w:t>
            </w:r>
          </w:p>
        </w:tc>
        <w:tc>
          <w:tcPr>
            <w:tcW w:w="894" w:type="dxa"/>
          </w:tcPr>
          <w:p w14:paraId="200A915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906" w:type="dxa"/>
          </w:tcPr>
          <w:p w14:paraId="5076B143"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r>
      <w:tr w:rsidR="00955A27" w:rsidRPr="001667DB" w14:paraId="1F5124E0" w14:textId="77777777">
        <w:tc>
          <w:tcPr>
            <w:tcW w:w="2988" w:type="dxa"/>
          </w:tcPr>
          <w:p w14:paraId="37174C7E" w14:textId="77777777" w:rsidR="00955A27" w:rsidRPr="001667DB" w:rsidRDefault="00955A27" w:rsidP="00955A27">
            <w:pPr>
              <w:tabs>
                <w:tab w:val="left" w:pos="1877"/>
              </w:tabs>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&gt;</w:t>
            </w:r>
            <w:smartTag w:uri="urn:schemas-microsoft-com:office:smarttags" w:element="metricconverter">
              <w:smartTagPr>
                <w:attr w:name="ProductID" w:val="2 mm"/>
              </w:smartTagPr>
              <w:r w:rsidRPr="001667DB">
                <w:rPr>
                  <w:rFonts w:ascii="Times New Roman" w:hAnsi="Times New Roman" w:cs="Times New Roman"/>
                  <w:color w:val="000000" w:themeColor="text1"/>
                </w:rPr>
                <w:t>2 mm</w:t>
              </w:r>
            </w:smartTag>
            <w:r w:rsidRPr="001667DB">
              <w:rPr>
                <w:rFonts w:ascii="Times New Roman" w:hAnsi="Times New Roman" w:cs="Times New Roman"/>
                <w:color w:val="000000" w:themeColor="text1"/>
              </w:rPr>
              <w:t xml:space="preserve"> </w:t>
            </w:r>
          </w:p>
        </w:tc>
        <w:tc>
          <w:tcPr>
            <w:tcW w:w="730" w:type="dxa"/>
          </w:tcPr>
          <w:p w14:paraId="13DE56B7"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894" w:type="dxa"/>
          </w:tcPr>
          <w:p w14:paraId="53B17542"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±6,1</w:t>
            </w:r>
          </w:p>
        </w:tc>
        <w:tc>
          <w:tcPr>
            <w:tcW w:w="1016" w:type="dxa"/>
          </w:tcPr>
          <w:p w14:paraId="59EC4974"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960" w:type="dxa"/>
          </w:tcPr>
          <w:p w14:paraId="58CAD73B"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±4,1</w:t>
            </w:r>
          </w:p>
        </w:tc>
        <w:tc>
          <w:tcPr>
            <w:tcW w:w="894" w:type="dxa"/>
          </w:tcPr>
          <w:p w14:paraId="78AFE871"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906" w:type="dxa"/>
          </w:tcPr>
          <w:p w14:paraId="0F753A7A"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r>
      <w:tr w:rsidR="00955A27" w:rsidRPr="001667DB" w14:paraId="1A1933B7" w14:textId="77777777">
        <w:tc>
          <w:tcPr>
            <w:tcW w:w="2988" w:type="dxa"/>
          </w:tcPr>
          <w:p w14:paraId="070074F4" w14:textId="77777777" w:rsidR="00955A27" w:rsidRPr="001667DB" w:rsidRDefault="00955A27" w:rsidP="00955A27">
            <w:pPr>
              <w:tabs>
                <w:tab w:val="left" w:pos="1877"/>
              </w:tabs>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Ziarna grube </w:t>
            </w:r>
          </w:p>
          <w:p w14:paraId="3793645F" w14:textId="77777777" w:rsidR="00955A27" w:rsidRPr="001667DB" w:rsidRDefault="00955A27" w:rsidP="00955A27">
            <w:pPr>
              <w:tabs>
                <w:tab w:val="left" w:pos="1877"/>
              </w:tabs>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(mieszanki drobnoziarniste)</w:t>
            </w:r>
          </w:p>
        </w:tc>
        <w:tc>
          <w:tcPr>
            <w:tcW w:w="730" w:type="dxa"/>
          </w:tcPr>
          <w:p w14:paraId="2C7E5F0A"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-8    +5</w:t>
            </w:r>
          </w:p>
        </w:tc>
        <w:tc>
          <w:tcPr>
            <w:tcW w:w="894" w:type="dxa"/>
          </w:tcPr>
          <w:p w14:paraId="0710C3E6"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-6,7   +4,7</w:t>
            </w:r>
          </w:p>
        </w:tc>
        <w:tc>
          <w:tcPr>
            <w:tcW w:w="1016" w:type="dxa"/>
          </w:tcPr>
          <w:p w14:paraId="29380A0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-5,8   +4,5</w:t>
            </w:r>
          </w:p>
        </w:tc>
        <w:tc>
          <w:tcPr>
            <w:tcW w:w="960" w:type="dxa"/>
          </w:tcPr>
          <w:p w14:paraId="65E650B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-5,1   +4,3</w:t>
            </w:r>
          </w:p>
        </w:tc>
        <w:tc>
          <w:tcPr>
            <w:tcW w:w="894" w:type="dxa"/>
          </w:tcPr>
          <w:p w14:paraId="4FB44F7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-4,4   +4,1</w:t>
            </w:r>
          </w:p>
        </w:tc>
        <w:tc>
          <w:tcPr>
            <w:tcW w:w="906" w:type="dxa"/>
          </w:tcPr>
          <w:p w14:paraId="53590B74" w14:textId="77777777" w:rsidR="00955A27" w:rsidRPr="001667DB" w:rsidRDefault="00955A27" w:rsidP="00955A27">
            <w:pPr>
              <w:spacing w:before="12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r>
      <w:tr w:rsidR="00955A27" w:rsidRPr="001667DB" w14:paraId="6AC86936" w14:textId="77777777">
        <w:tc>
          <w:tcPr>
            <w:tcW w:w="2988" w:type="dxa"/>
          </w:tcPr>
          <w:p w14:paraId="53E1AD66" w14:textId="77777777" w:rsidR="00955A27" w:rsidRPr="001667DB" w:rsidRDefault="00955A27" w:rsidP="00955A27">
            <w:pPr>
              <w:tabs>
                <w:tab w:val="left" w:pos="1877"/>
              </w:tabs>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t xml:space="preserve">Ziarna grube </w:t>
            </w:r>
          </w:p>
          <w:p w14:paraId="13C60B8F" w14:textId="77777777" w:rsidR="00955A27" w:rsidRPr="001667DB" w:rsidRDefault="00955A27" w:rsidP="00955A27">
            <w:pPr>
              <w:tabs>
                <w:tab w:val="left" w:pos="1877"/>
              </w:tabs>
              <w:spacing w:after="120" w:line="360" w:lineRule="auto"/>
              <w:ind w:right="-57"/>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(mieszanki gruboziarniste)</w:t>
            </w:r>
          </w:p>
        </w:tc>
        <w:tc>
          <w:tcPr>
            <w:tcW w:w="730" w:type="dxa"/>
          </w:tcPr>
          <w:p w14:paraId="2FB616D6"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-9 +5,0</w:t>
            </w:r>
          </w:p>
        </w:tc>
        <w:tc>
          <w:tcPr>
            <w:tcW w:w="894" w:type="dxa"/>
          </w:tcPr>
          <w:p w14:paraId="7796D7D2"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-7,6 +5,0</w:t>
            </w:r>
          </w:p>
        </w:tc>
        <w:tc>
          <w:tcPr>
            <w:tcW w:w="1016" w:type="dxa"/>
          </w:tcPr>
          <w:p w14:paraId="70E2897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-6,8 +5,0</w:t>
            </w:r>
          </w:p>
        </w:tc>
        <w:tc>
          <w:tcPr>
            <w:tcW w:w="960" w:type="dxa"/>
          </w:tcPr>
          <w:p w14:paraId="3DBFEBDA"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-6,1 +5,0</w:t>
            </w:r>
          </w:p>
        </w:tc>
        <w:tc>
          <w:tcPr>
            <w:tcW w:w="894" w:type="dxa"/>
          </w:tcPr>
          <w:p w14:paraId="06C7D36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-5,5 +5,0</w:t>
            </w:r>
          </w:p>
        </w:tc>
        <w:tc>
          <w:tcPr>
            <w:tcW w:w="906" w:type="dxa"/>
          </w:tcPr>
          <w:p w14:paraId="3B05DBA7" w14:textId="77777777" w:rsidR="00955A27" w:rsidRPr="001667DB" w:rsidRDefault="00955A27" w:rsidP="00955A27">
            <w:pPr>
              <w:spacing w:before="12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r>
    </w:tbl>
    <w:p w14:paraId="25792AC4" w14:textId="77777777" w:rsidR="00955A27" w:rsidRPr="001667DB" w:rsidRDefault="00955A27" w:rsidP="00955A27">
      <w:pPr>
        <w:spacing w:before="120"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Jeżeli w składzie mieszanki mineralno-asfaltowej określono dodatki kruszywa o szczególnych właściwościach, np. kruszywo rozjaśniające lub odporne na polerowanie, to dopuszczalna odchyłka zawartości tego kruszywa wynosi:</w:t>
      </w:r>
    </w:p>
    <w:p w14:paraId="346A55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 20% w wypadku kruszywa grubego,</w:t>
      </w:r>
    </w:p>
    <w:p w14:paraId="6E5667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±30% w wypadku kruszywa drobnego.</w:t>
      </w:r>
    </w:p>
    <w:p w14:paraId="03DACE9F"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6.5.2.2. Zawartość lepiszcza </w:t>
      </w:r>
    </w:p>
    <w:p w14:paraId="7C3554B1" w14:textId="77777777" w:rsidR="00955A27" w:rsidRPr="001667DB" w:rsidRDefault="00955A27" w:rsidP="00955A27">
      <w:pPr>
        <w:spacing w:after="120" w:line="360" w:lineRule="auto"/>
        <w:ind w:right="-57" w:firstLine="709"/>
        <w:rPr>
          <w:rFonts w:ascii="Times New Roman" w:hAnsi="Times New Roman" w:cs="Times New Roman"/>
          <w:color w:val="000000" w:themeColor="text1"/>
        </w:rPr>
      </w:pPr>
      <w:r w:rsidRPr="001667DB">
        <w:rPr>
          <w:rFonts w:ascii="Times New Roman" w:hAnsi="Times New Roman" w:cs="Times New Roman"/>
          <w:color w:val="000000" w:themeColor="text1"/>
        </w:rPr>
        <w:t>Zawartość rozpuszczalnego lepiszcza z każdej próbki pobranej z mieszanki mineralno-asfaltowej nie może odbiegać od wartości projektowanej, z uwzględnieniem podanych dopuszczalnych odchyłek, w zależności od liczby wyników badań z danego odcinka budowy (tablica 2</w:t>
      </w:r>
      <w:r w:rsidR="006F121F">
        <w:rPr>
          <w:rFonts w:ascii="Times New Roman" w:hAnsi="Times New Roman" w:cs="Times New Roman"/>
          <w:color w:val="000000" w:themeColor="text1"/>
        </w:rPr>
        <w:t>4</w:t>
      </w:r>
      <w:r w:rsidRPr="001667DB">
        <w:rPr>
          <w:rFonts w:ascii="Times New Roman" w:hAnsi="Times New Roman" w:cs="Times New Roman"/>
          <w:color w:val="000000" w:themeColor="text1"/>
        </w:rPr>
        <w:t>). Do wyników badań nie zalicza się badań kontrolnych dodatkowych.</w:t>
      </w:r>
    </w:p>
    <w:p w14:paraId="24FF0D94" w14:textId="77777777" w:rsidR="00955A27" w:rsidRPr="001667DB" w:rsidRDefault="006F121F" w:rsidP="00955A27">
      <w:pPr>
        <w:spacing w:before="120" w:after="120" w:line="360" w:lineRule="auto"/>
        <w:ind w:left="1200" w:right="-57" w:hanging="1200"/>
        <w:rPr>
          <w:rFonts w:ascii="Times New Roman" w:hAnsi="Times New Roman" w:cs="Times New Roman"/>
          <w:color w:val="000000" w:themeColor="text1"/>
        </w:rPr>
      </w:pPr>
      <w:r>
        <w:rPr>
          <w:rFonts w:ascii="Times New Roman" w:hAnsi="Times New Roman" w:cs="Times New Roman"/>
          <w:color w:val="000000" w:themeColor="text1"/>
        </w:rPr>
        <w:t>Tablica 24</w:t>
      </w:r>
      <w:r w:rsidR="00955A27" w:rsidRPr="001667DB">
        <w:rPr>
          <w:rFonts w:ascii="Times New Roman" w:hAnsi="Times New Roman" w:cs="Times New Roman"/>
          <w:color w:val="000000" w:themeColor="text1"/>
        </w:rPr>
        <w:t>. 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8"/>
        <w:gridCol w:w="960"/>
        <w:gridCol w:w="1002"/>
        <w:gridCol w:w="1158"/>
        <w:gridCol w:w="1058"/>
        <w:gridCol w:w="1178"/>
        <w:gridCol w:w="1364"/>
      </w:tblGrid>
      <w:tr w:rsidR="00955A27" w:rsidRPr="001667DB" w14:paraId="0AE91070" w14:textId="77777777" w:rsidTr="001B4B8F">
        <w:tc>
          <w:tcPr>
            <w:tcW w:w="2148" w:type="dxa"/>
            <w:vMerge w:val="restart"/>
            <w:vAlign w:val="center"/>
          </w:tcPr>
          <w:p w14:paraId="67B8A33B" w14:textId="77777777" w:rsidR="00955A27" w:rsidRPr="001667DB" w:rsidRDefault="00955A27" w:rsidP="00955A27">
            <w:pPr>
              <w:spacing w:before="12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mieszanki</w:t>
            </w:r>
          </w:p>
        </w:tc>
        <w:tc>
          <w:tcPr>
            <w:tcW w:w="6720" w:type="dxa"/>
            <w:gridSpan w:val="6"/>
          </w:tcPr>
          <w:p w14:paraId="315AFEA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Liczba wyników badań</w:t>
            </w:r>
          </w:p>
        </w:tc>
      </w:tr>
      <w:tr w:rsidR="00955A27" w:rsidRPr="001667DB" w14:paraId="44789E47" w14:textId="77777777" w:rsidTr="001B4B8F">
        <w:tc>
          <w:tcPr>
            <w:tcW w:w="2148" w:type="dxa"/>
            <w:vMerge/>
          </w:tcPr>
          <w:p w14:paraId="2A28472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p>
        </w:tc>
        <w:tc>
          <w:tcPr>
            <w:tcW w:w="960" w:type="dxa"/>
            <w:vAlign w:val="center"/>
          </w:tcPr>
          <w:p w14:paraId="663E2198"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002" w:type="dxa"/>
            <w:vAlign w:val="center"/>
          </w:tcPr>
          <w:p w14:paraId="789BA52C"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158" w:type="dxa"/>
            <w:vAlign w:val="center"/>
          </w:tcPr>
          <w:p w14:paraId="061C8AD7"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 3 do 4</w:t>
            </w:r>
          </w:p>
        </w:tc>
        <w:tc>
          <w:tcPr>
            <w:tcW w:w="1058" w:type="dxa"/>
            <w:vAlign w:val="center"/>
          </w:tcPr>
          <w:p w14:paraId="10070558"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Od 5</w:t>
            </w:r>
          </w:p>
          <w:p w14:paraId="7864AD06" w14:textId="77777777" w:rsidR="00955A27" w:rsidRPr="001667DB" w:rsidRDefault="00955A27" w:rsidP="00955A27">
            <w:pPr>
              <w:spacing w:after="120" w:line="360" w:lineRule="auto"/>
              <w:ind w:right="-57"/>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do 8</w:t>
            </w:r>
            <w:r w:rsidRPr="001667DB">
              <w:rPr>
                <w:rFonts w:ascii="Times New Roman" w:hAnsi="Times New Roman" w:cs="Times New Roman"/>
                <w:color w:val="000000" w:themeColor="text1"/>
                <w:vertAlign w:val="superscript"/>
              </w:rPr>
              <w:t>a)</w:t>
            </w:r>
          </w:p>
        </w:tc>
        <w:tc>
          <w:tcPr>
            <w:tcW w:w="1178" w:type="dxa"/>
            <w:vAlign w:val="center"/>
          </w:tcPr>
          <w:p w14:paraId="494EB7E4"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Od 9</w:t>
            </w:r>
          </w:p>
          <w:p w14:paraId="6BF17147" w14:textId="77777777" w:rsidR="00955A27" w:rsidRPr="001667DB" w:rsidRDefault="00955A27" w:rsidP="00955A27">
            <w:pPr>
              <w:spacing w:after="120" w:line="360" w:lineRule="auto"/>
              <w:ind w:right="-57"/>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do 19</w:t>
            </w:r>
            <w:r w:rsidRPr="001667DB">
              <w:rPr>
                <w:rFonts w:ascii="Times New Roman" w:hAnsi="Times New Roman" w:cs="Times New Roman"/>
                <w:color w:val="000000" w:themeColor="text1"/>
                <w:vertAlign w:val="superscript"/>
              </w:rPr>
              <w:t>a)</w:t>
            </w:r>
          </w:p>
        </w:tc>
        <w:tc>
          <w:tcPr>
            <w:tcW w:w="1364" w:type="dxa"/>
            <w:vAlign w:val="center"/>
          </w:tcPr>
          <w:p w14:paraId="2893ADA0"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339F0364" w14:textId="77777777">
        <w:tc>
          <w:tcPr>
            <w:tcW w:w="2148" w:type="dxa"/>
          </w:tcPr>
          <w:p w14:paraId="625CEAC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Mieszanki gruboziarniste</w:t>
            </w:r>
          </w:p>
        </w:tc>
        <w:tc>
          <w:tcPr>
            <w:tcW w:w="960" w:type="dxa"/>
          </w:tcPr>
          <w:p w14:paraId="21A6A33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±0,6</w:t>
            </w:r>
          </w:p>
        </w:tc>
        <w:tc>
          <w:tcPr>
            <w:tcW w:w="1002" w:type="dxa"/>
          </w:tcPr>
          <w:p w14:paraId="10D12CAF"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±0,55</w:t>
            </w:r>
          </w:p>
        </w:tc>
        <w:tc>
          <w:tcPr>
            <w:tcW w:w="1158" w:type="dxa"/>
          </w:tcPr>
          <w:p w14:paraId="43AC010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±0,50</w:t>
            </w:r>
          </w:p>
        </w:tc>
        <w:tc>
          <w:tcPr>
            <w:tcW w:w="1058" w:type="dxa"/>
          </w:tcPr>
          <w:p w14:paraId="38B04003"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±0,40</w:t>
            </w:r>
          </w:p>
        </w:tc>
        <w:tc>
          <w:tcPr>
            <w:tcW w:w="1178" w:type="dxa"/>
          </w:tcPr>
          <w:p w14:paraId="5C947E1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±0,35</w:t>
            </w:r>
          </w:p>
        </w:tc>
        <w:tc>
          <w:tcPr>
            <w:tcW w:w="1364" w:type="dxa"/>
          </w:tcPr>
          <w:p w14:paraId="47B631BD"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±0,30</w:t>
            </w:r>
          </w:p>
        </w:tc>
      </w:tr>
      <w:tr w:rsidR="00955A27" w:rsidRPr="001667DB" w14:paraId="1D566E39" w14:textId="77777777">
        <w:tc>
          <w:tcPr>
            <w:tcW w:w="2148" w:type="dxa"/>
          </w:tcPr>
          <w:p w14:paraId="7651E419"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Mieszanki drobnoziarniste</w:t>
            </w:r>
          </w:p>
        </w:tc>
        <w:tc>
          <w:tcPr>
            <w:tcW w:w="960" w:type="dxa"/>
          </w:tcPr>
          <w:p w14:paraId="3EA88BF1"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±0,5</w:t>
            </w:r>
          </w:p>
        </w:tc>
        <w:tc>
          <w:tcPr>
            <w:tcW w:w="1002" w:type="dxa"/>
          </w:tcPr>
          <w:p w14:paraId="630D75F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±0,45</w:t>
            </w:r>
          </w:p>
        </w:tc>
        <w:tc>
          <w:tcPr>
            <w:tcW w:w="1158" w:type="dxa"/>
          </w:tcPr>
          <w:p w14:paraId="16726CC7"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±0,40</w:t>
            </w:r>
          </w:p>
        </w:tc>
        <w:tc>
          <w:tcPr>
            <w:tcW w:w="1058" w:type="dxa"/>
          </w:tcPr>
          <w:p w14:paraId="3EC3DA0C"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±0,40</w:t>
            </w:r>
          </w:p>
        </w:tc>
        <w:tc>
          <w:tcPr>
            <w:tcW w:w="1178" w:type="dxa"/>
          </w:tcPr>
          <w:p w14:paraId="7A90CA55"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±0,35</w:t>
            </w:r>
          </w:p>
        </w:tc>
        <w:tc>
          <w:tcPr>
            <w:tcW w:w="1364" w:type="dxa"/>
          </w:tcPr>
          <w:p w14:paraId="1FAF2620" w14:textId="77777777" w:rsidR="00955A27" w:rsidRPr="001667DB" w:rsidRDefault="00955A27" w:rsidP="00955A27">
            <w:pPr>
              <w:spacing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±0,30</w:t>
            </w:r>
          </w:p>
        </w:tc>
      </w:tr>
      <w:tr w:rsidR="00955A27" w:rsidRPr="001667DB" w14:paraId="037C1BF7" w14:textId="77777777">
        <w:tc>
          <w:tcPr>
            <w:tcW w:w="8868" w:type="dxa"/>
            <w:gridSpan w:val="7"/>
          </w:tcPr>
          <w:p w14:paraId="17CF36F5" w14:textId="77777777" w:rsidR="00955A27" w:rsidRPr="001667DB" w:rsidRDefault="00955A27" w:rsidP="00904E6C">
            <w:pPr>
              <w:numPr>
                <w:ilvl w:val="0"/>
                <w:numId w:val="134"/>
              </w:numPr>
              <w:tabs>
                <w:tab w:val="left" w:pos="426"/>
              </w:tabs>
              <w:spacing w:after="120" w:line="360" w:lineRule="auto"/>
              <w:ind w:left="426"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4B4986BB"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6.5.2.3. Temperatura mięknienia i nawrót sprężysty lepiszcza odzyskanego </w:t>
      </w:r>
    </w:p>
    <w:p w14:paraId="5EC29005"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Dla asfaltów drogowych zgodnych z PN-EN 12591 [24] oraz wielorodzajowych zgodnych z PN-EN 13924-2 [63],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691BF2B8"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Temperatura mięknienia polimeroasfaltu wyekstrahowanego z mieszanki mineralno asfaltowej nie powinna przekroczyć wartości dopu</w:t>
      </w:r>
      <w:r w:rsidR="006F121F">
        <w:rPr>
          <w:rFonts w:ascii="Times New Roman" w:hAnsi="Times New Roman" w:cs="Times New Roman"/>
          <w:color w:val="000000" w:themeColor="text1"/>
        </w:rPr>
        <w:t>szczalnych podanych w tablicy 25</w:t>
      </w:r>
      <w:r w:rsidRPr="001667DB">
        <w:rPr>
          <w:rFonts w:ascii="Times New Roman" w:hAnsi="Times New Roman" w:cs="Times New Roman"/>
          <w:color w:val="000000" w:themeColor="text1"/>
        </w:rPr>
        <w:t>.</w:t>
      </w:r>
    </w:p>
    <w:p w14:paraId="703B740D" w14:textId="77777777" w:rsidR="00955A27" w:rsidRPr="001667DB" w:rsidRDefault="006F121F" w:rsidP="00955A27">
      <w:pPr>
        <w:spacing w:before="120" w:after="120" w:line="360" w:lineRule="auto"/>
        <w:ind w:left="1276" w:hanging="1276"/>
        <w:rPr>
          <w:rFonts w:ascii="Times New Roman" w:hAnsi="Times New Roman" w:cs="Times New Roman"/>
          <w:color w:val="000000" w:themeColor="text1"/>
        </w:rPr>
      </w:pPr>
      <w:r>
        <w:rPr>
          <w:rFonts w:ascii="Times New Roman" w:hAnsi="Times New Roman" w:cs="Times New Roman"/>
          <w:color w:val="000000" w:themeColor="text1"/>
        </w:rPr>
        <w:t>Tablica 25</w:t>
      </w:r>
      <w:r w:rsidR="00955A27" w:rsidRPr="001667DB">
        <w:rPr>
          <w:rFonts w:ascii="Times New Roman" w:hAnsi="Times New Roman" w:cs="Times New Roman"/>
          <w:color w:val="000000" w:themeColor="text1"/>
        </w:rPr>
        <w:t>.</w:t>
      </w:r>
      <w:r w:rsidR="00955A27" w:rsidRPr="001667DB">
        <w:rPr>
          <w:rFonts w:ascii="Times New Roman" w:hAnsi="Times New Roman" w:cs="Times New Roman"/>
          <w:color w:val="000000" w:themeColor="text1"/>
        </w:rPr>
        <w:tab/>
        <w:t>Najwyższa temperatura mięknienia wyekstrahowanego polimeroasfaltu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955A27" w:rsidRPr="001667DB" w14:paraId="162C343F" w14:textId="77777777" w:rsidTr="001B4B8F">
        <w:tc>
          <w:tcPr>
            <w:tcW w:w="3755" w:type="dxa"/>
            <w:vAlign w:val="center"/>
          </w:tcPr>
          <w:p w14:paraId="33E0168D"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Rodzaj lepiszcza</w:t>
            </w:r>
          </w:p>
        </w:tc>
        <w:tc>
          <w:tcPr>
            <w:tcW w:w="3756" w:type="dxa"/>
            <w:vAlign w:val="center"/>
          </w:tcPr>
          <w:p w14:paraId="36CDF491"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Najwyższa temperatura mięknienia, °C</w:t>
            </w:r>
          </w:p>
        </w:tc>
      </w:tr>
      <w:tr w:rsidR="00955A27" w:rsidRPr="001667DB" w14:paraId="59FF9A9F" w14:textId="77777777">
        <w:tc>
          <w:tcPr>
            <w:tcW w:w="3755" w:type="dxa"/>
          </w:tcPr>
          <w:p w14:paraId="38DD18FF"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PMB-45/80-55</w:t>
            </w:r>
          </w:p>
        </w:tc>
        <w:tc>
          <w:tcPr>
            <w:tcW w:w="3756" w:type="dxa"/>
          </w:tcPr>
          <w:p w14:paraId="1514CCC0"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73</w:t>
            </w:r>
          </w:p>
        </w:tc>
      </w:tr>
      <w:tr w:rsidR="00955A27" w:rsidRPr="001667DB" w14:paraId="69050454" w14:textId="77777777">
        <w:tc>
          <w:tcPr>
            <w:tcW w:w="3755" w:type="dxa"/>
          </w:tcPr>
          <w:p w14:paraId="3DDB9A6E"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PMB 45/80-65</w:t>
            </w:r>
          </w:p>
        </w:tc>
        <w:tc>
          <w:tcPr>
            <w:tcW w:w="3756" w:type="dxa"/>
          </w:tcPr>
          <w:p w14:paraId="2CC0518B"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83</w:t>
            </w:r>
          </w:p>
        </w:tc>
      </w:tr>
      <w:tr w:rsidR="00955A27" w:rsidRPr="001667DB" w14:paraId="7BFFC607" w14:textId="77777777">
        <w:tc>
          <w:tcPr>
            <w:tcW w:w="3755" w:type="dxa"/>
          </w:tcPr>
          <w:p w14:paraId="00840B9F"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PMB 45/80-80</w:t>
            </w:r>
          </w:p>
        </w:tc>
        <w:tc>
          <w:tcPr>
            <w:tcW w:w="3756" w:type="dxa"/>
          </w:tcPr>
          <w:p w14:paraId="64BE84F6" w14:textId="77777777" w:rsidR="00955A27" w:rsidRPr="001667DB" w:rsidRDefault="00955A27" w:rsidP="00955A27">
            <w:pPr>
              <w:spacing w:before="60" w:after="120" w:line="360" w:lineRule="auto"/>
              <w:ind w:right="57"/>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dotyczy</w:t>
            </w:r>
          </w:p>
        </w:tc>
      </w:tr>
    </w:tbl>
    <w:p w14:paraId="1E5CFF18" w14:textId="77777777" w:rsidR="00955A27" w:rsidRPr="001667DB" w:rsidRDefault="00955A27" w:rsidP="00A9424D">
      <w:pPr>
        <w:spacing w:before="24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gdy dostarczony na wytwornię polimeroasfalt charakteryzuje się wysoką temperaturą mięknienia (tzn. większą niż dolna granica normowa + 10°C), która została udokumentowana w ramach kontroli jakości i zasad ZKP na wytworni, stosuje się wymaganie górnej granicy temperatury mięknienia wyekstrahowanego lepiszcza obliczone w następujący sposob:</w:t>
      </w:r>
    </w:p>
    <w:p w14:paraId="70B2FBA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Najwyższa dopuszczalna temperatura mięknienia wyekstrahowanego polimeroasfaltu = temperatura mięknienia zbadanej dostawy na wytwórnię + dopuszczalny wg Załącznika krajowego NA do PN-EN 14023 [64a] wzrost temperatury mięknienia po starzeniu RTFOT.</w:t>
      </w:r>
    </w:p>
    <w:p w14:paraId="1D6C4D5F"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wypadku mieszanki mineralno-asfaltowej z polimeroasfaltem nawrot sprężysty lepiszcza wyekstrahowanego powinien wynieść co najmniej 40%. Dotyczy to również przedwczesnego zerwania tego lepiszcza w badaniu, przy czym należy wtedy podać wartość wydłużenia (zgodnie z zapisami normy PN-EN 13398 [56]).</w:t>
      </w:r>
    </w:p>
    <w:p w14:paraId="5EE0EEFB" w14:textId="77777777" w:rsidR="00955A27" w:rsidRPr="001667DB" w:rsidRDefault="00955A27" w:rsidP="00A9424D">
      <w:pPr>
        <w:keepNext/>
        <w:spacing w:before="120"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6.5.2.4. Gęstość i zawartość wolnych przestrzeni</w:t>
      </w:r>
    </w:p>
    <w:p w14:paraId="763CF93C" w14:textId="77777777" w:rsidR="00955A27" w:rsidRPr="001667DB" w:rsidRDefault="00955A27" w:rsidP="00A9424D">
      <w:pPr>
        <w:spacing w:after="120" w:line="360" w:lineRule="auto"/>
        <w:ind w:right="-57"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próbce Marshalla pobranej z mieszanki mineralno-asfaltowej lub wyjątkowo powtórnie rozgrzanej próbki pobranej z nawierzchni nie może wykroczyć poza wartości podane w pkcie 2.10 o więcej niż 1,5% (v/v).</w:t>
      </w:r>
    </w:p>
    <w:p w14:paraId="1C325BC6"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6.5.3. </w:t>
      </w:r>
      <w:r w:rsidRPr="001667DB">
        <w:rPr>
          <w:rFonts w:ascii="Times New Roman" w:hAnsi="Times New Roman" w:cs="Times New Roman"/>
          <w:color w:val="000000" w:themeColor="text1"/>
        </w:rPr>
        <w:t xml:space="preserve">Warunki technologiczne wbudowywania mieszanki mineralno-asfaltowej </w:t>
      </w:r>
    </w:p>
    <w:p w14:paraId="52F780D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Temperatura powietrza powinna być mierzona przed i w czasie robót; nie powinna być mniejsza niż podano w tablicy 23.  </w:t>
      </w:r>
    </w:p>
    <w:p w14:paraId="7C167DA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w:t>
      </w:r>
      <w:r w:rsidRPr="001667DB">
        <w:rPr>
          <w:rFonts w:ascii="Times New Roman" w:hAnsi="Times New Roman" w:cs="Times New Roman"/>
          <w:color w:val="000000" w:themeColor="text1"/>
        </w:rPr>
        <w:lastRenderedPageBreak/>
        <w:t xml:space="preserve">odpowiedniego zagęszczenia, to należy wykonać zakończenie działki roboczej i rozpocząć proces układania jak dla nowej. </w:t>
      </w:r>
    </w:p>
    <w:p w14:paraId="05DEC5A3" w14:textId="77777777" w:rsidR="00955A27" w:rsidRPr="001667DB" w:rsidRDefault="00955A27" w:rsidP="00A9424D">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należy wykonać zgodnie z wymaganiami normy PN-EN 12697-13 [38]. </w:t>
      </w:r>
    </w:p>
    <w:p w14:paraId="4E50B596" w14:textId="77777777" w:rsidR="00955A27" w:rsidRPr="001667DB" w:rsidRDefault="00955A27" w:rsidP="00A9424D">
      <w:pPr>
        <w:spacing w:after="120" w:line="360" w:lineRule="auto"/>
        <w:ind w:firstLine="709"/>
        <w:jc w:val="both"/>
        <w:rPr>
          <w:rFonts w:ascii="Times New Roman" w:hAnsi="Times New Roman" w:cs="Times New Roman"/>
          <w:b/>
          <w:color w:val="000000" w:themeColor="text1"/>
        </w:rPr>
      </w:pPr>
      <w:r w:rsidRPr="001667DB">
        <w:rPr>
          <w:rFonts w:ascii="Times New Roman" w:hAnsi="Times New Roman" w:cs="Times New Roman"/>
          <w:color w:val="000000" w:themeColor="text1"/>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09531E40"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6.5.4.</w:t>
      </w:r>
      <w:r w:rsidRPr="001667DB">
        <w:rPr>
          <w:rFonts w:ascii="Times New Roman" w:hAnsi="Times New Roman" w:cs="Times New Roman"/>
          <w:color w:val="000000" w:themeColor="text1"/>
        </w:rPr>
        <w:t xml:space="preserve"> Wykonana warstwa</w:t>
      </w:r>
    </w:p>
    <w:p w14:paraId="54BC4029" w14:textId="77777777" w:rsidR="00955A27" w:rsidRPr="001667DB" w:rsidRDefault="00955A27" w:rsidP="00A9424D">
      <w:pPr>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6.5.4.1. Wskaźnik zagęszczenia i zawartość wolnych przestrzeni </w:t>
      </w:r>
    </w:p>
    <w:p w14:paraId="54F6469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Zagęszczenie wykonanej warstwy wyrażone wskaźnikiem zagęszczenia oraz zawartością wolnych przestrzeni nie może przekroczyć wartości dopuszczalnych  podanych w tablicy 2</w:t>
      </w:r>
      <w:r w:rsidR="006F121F">
        <w:rPr>
          <w:rFonts w:ascii="Times New Roman" w:hAnsi="Times New Roman" w:cs="Times New Roman"/>
          <w:color w:val="000000" w:themeColor="text1"/>
        </w:rPr>
        <w:t>6</w:t>
      </w:r>
      <w:r w:rsidRPr="001667DB">
        <w:rPr>
          <w:rFonts w:ascii="Times New Roman" w:hAnsi="Times New Roman" w:cs="Times New Roman"/>
          <w:color w:val="000000" w:themeColor="text1"/>
        </w:rPr>
        <w:t>. Dotyczy to każdego pojedynczego oznaczenia danej właściwości.</w:t>
      </w:r>
    </w:p>
    <w:p w14:paraId="06FF566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Określenie gęstości objętościowej należy wykonywać według PN-EN 12697-6 [34].</w:t>
      </w:r>
    </w:p>
    <w:p w14:paraId="0CA20902"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2</w:t>
      </w:r>
      <w:r w:rsidR="006F121F">
        <w:rPr>
          <w:rFonts w:ascii="Times New Roman" w:hAnsi="Times New Roman" w:cs="Times New Roman"/>
          <w:color w:val="000000" w:themeColor="text1"/>
        </w:rPr>
        <w:t>6</w:t>
      </w:r>
      <w:r w:rsidRPr="001667DB">
        <w:rPr>
          <w:rFonts w:ascii="Times New Roman" w:hAnsi="Times New Roman" w:cs="Times New Roman"/>
          <w:color w:val="000000" w:themeColor="text1"/>
        </w:rPr>
        <w:t xml:space="preserve">.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955A27" w:rsidRPr="001667DB" w14:paraId="3352D940" w14:textId="77777777">
        <w:tc>
          <w:tcPr>
            <w:tcW w:w="2748" w:type="dxa"/>
          </w:tcPr>
          <w:p w14:paraId="3F403A90"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1E137FE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Typ i wymiar mieszanki</w:t>
            </w:r>
          </w:p>
        </w:tc>
        <w:tc>
          <w:tcPr>
            <w:tcW w:w="1680" w:type="dxa"/>
          </w:tcPr>
          <w:p w14:paraId="6D1F8A3A" w14:textId="77777777" w:rsidR="00955A27" w:rsidRPr="001667DB" w:rsidRDefault="00955A27" w:rsidP="00955A27">
            <w:pPr>
              <w:spacing w:before="1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Wskaźnik zagęszczenia</w:t>
            </w:r>
          </w:p>
          <w:p w14:paraId="6E06B8D2" w14:textId="77777777" w:rsidR="00955A27" w:rsidRPr="001667DB" w:rsidRDefault="00955A27" w:rsidP="00955A27">
            <w:pPr>
              <w:spacing w:after="120" w:line="360" w:lineRule="auto"/>
              <w:ind w:left="87"/>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400" w:type="dxa"/>
          </w:tcPr>
          <w:p w14:paraId="12ED43E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wolnych przestrzeni w warstwie  [%(v/v)]</w:t>
            </w:r>
          </w:p>
        </w:tc>
      </w:tr>
      <w:tr w:rsidR="00955A27" w:rsidRPr="001667DB" w14:paraId="6154F0BD" w14:textId="77777777">
        <w:tc>
          <w:tcPr>
            <w:tcW w:w="2748" w:type="dxa"/>
          </w:tcPr>
          <w:p w14:paraId="0C65280C" w14:textId="1CECDCF6" w:rsidR="00955A27" w:rsidRPr="001667DB" w:rsidRDefault="00955A27" w:rsidP="00002E63">
            <w:pPr>
              <w:spacing w:before="4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AC</w:t>
            </w:r>
            <w:r w:rsidR="00002E63">
              <w:rPr>
                <w:rFonts w:ascii="Times New Roman" w:hAnsi="Times New Roman" w:cs="Times New Roman"/>
                <w:color w:val="000000" w:themeColor="text1"/>
              </w:rPr>
              <w:t>8</w:t>
            </w:r>
            <w:r w:rsidRPr="001667DB">
              <w:rPr>
                <w:rFonts w:ascii="Times New Roman" w:hAnsi="Times New Roman" w:cs="Times New Roman"/>
                <w:color w:val="000000" w:themeColor="text1"/>
              </w:rPr>
              <w:t>S,   KR1-KR2</w:t>
            </w:r>
          </w:p>
        </w:tc>
        <w:tc>
          <w:tcPr>
            <w:tcW w:w="1680" w:type="dxa"/>
          </w:tcPr>
          <w:p w14:paraId="1FBE05E4" w14:textId="77777777" w:rsidR="00955A27" w:rsidRPr="001667DB" w:rsidRDefault="00955A27" w:rsidP="00955A27">
            <w:pPr>
              <w:spacing w:before="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98</w:t>
            </w:r>
          </w:p>
        </w:tc>
        <w:tc>
          <w:tcPr>
            <w:tcW w:w="2400" w:type="dxa"/>
          </w:tcPr>
          <w:p w14:paraId="57F4B1C6" w14:textId="77777777" w:rsidR="00955A27" w:rsidRPr="001667DB" w:rsidRDefault="00955A27" w:rsidP="00955A27">
            <w:pPr>
              <w:spacing w:before="4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 ÷ 4,5</w:t>
            </w:r>
          </w:p>
        </w:tc>
      </w:tr>
    </w:tbl>
    <w:p w14:paraId="12A46D83" w14:textId="77777777" w:rsidR="00955A27" w:rsidRPr="001667DB" w:rsidRDefault="00955A27" w:rsidP="00955A27">
      <w:pPr>
        <w:spacing w:before="120"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zagęszczenia i zawartość wolnych przestrzeni  należy badać dla każdej warstwy i na każde rozpoczęte </w:t>
      </w:r>
      <w:smartTag w:uri="urn:schemas-microsoft-com:office:smarttags" w:element="metricconverter">
        <w:smartTagPr>
          <w:attr w:name="ProductID" w:val="6000 m2"/>
        </w:smartTagPr>
        <w:r w:rsidRPr="001667DB">
          <w:rPr>
            <w:rFonts w:ascii="Times New Roman" w:hAnsi="Times New Roman" w:cs="Times New Roman"/>
            <w:color w:val="000000" w:themeColor="text1"/>
          </w:rPr>
          <w:t>6000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nawierzchni jedna próbka; w razie potrzeby liczba próbek może zostać zwiększona (np. nawierzchnie mostowe).</w:t>
      </w:r>
    </w:p>
    <w:p w14:paraId="4909EED1" w14:textId="77777777" w:rsidR="00955A27" w:rsidRPr="001667DB" w:rsidRDefault="00955A27" w:rsidP="00A9424D">
      <w:pPr>
        <w:keepNext/>
        <w:spacing w:after="120" w:line="360" w:lineRule="auto"/>
        <w:ind w:right="-5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6.5.4.2. Grubość warstwy   </w:t>
      </w:r>
    </w:p>
    <w:p w14:paraId="1D1B928F" w14:textId="77777777" w:rsidR="00955A27"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Średnia grubość dla poszczególnych warstw asfaltowych oraz średnia grubość dla całego pakietu tych warstw powinna być zgodna z grubością przyjętą w projekcie konstrukcji nawierzchni. Jedynie w przypadku pojedynczych wyników pomiarów grubości wykonanej warstwy oznaczane według PN-EN 12697-36 [44] mogą odbiegać od projekt</w:t>
      </w:r>
      <w:r w:rsidR="006F121F">
        <w:rPr>
          <w:rFonts w:ascii="Times New Roman" w:hAnsi="Times New Roman" w:cs="Times New Roman"/>
          <w:color w:val="000000" w:themeColor="text1"/>
        </w:rPr>
        <w:t>u o wartości podane w tablicy 27</w:t>
      </w:r>
      <w:r w:rsidRPr="001667DB">
        <w:rPr>
          <w:rFonts w:ascii="Times New Roman" w:hAnsi="Times New Roman" w:cs="Times New Roman"/>
          <w:color w:val="000000" w:themeColor="text1"/>
        </w:rPr>
        <w:t>.</w:t>
      </w:r>
    </w:p>
    <w:p w14:paraId="68DD9973" w14:textId="77777777" w:rsidR="00955A27" w:rsidRPr="001667DB" w:rsidRDefault="006F121F" w:rsidP="00A9424D">
      <w:pPr>
        <w:spacing w:before="120" w:after="120" w:line="360" w:lineRule="auto"/>
        <w:ind w:left="992" w:hanging="992"/>
        <w:jc w:val="both"/>
        <w:rPr>
          <w:rFonts w:ascii="Times New Roman" w:hAnsi="Times New Roman" w:cs="Times New Roman"/>
          <w:color w:val="000000" w:themeColor="text1"/>
        </w:rPr>
      </w:pPr>
      <w:r>
        <w:rPr>
          <w:rFonts w:ascii="Times New Roman" w:hAnsi="Times New Roman" w:cs="Times New Roman"/>
          <w:color w:val="000000" w:themeColor="text1"/>
        </w:rPr>
        <w:t>Tablica 27</w:t>
      </w:r>
      <w:r w:rsidR="00955A27" w:rsidRPr="001667DB">
        <w:rPr>
          <w:rFonts w:ascii="Times New Roman" w:hAnsi="Times New Roman" w:cs="Times New Roman"/>
          <w:color w:val="000000" w:themeColor="text1"/>
        </w:rPr>
        <w:t xml:space="preserve">.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977"/>
        <w:gridCol w:w="2331"/>
      </w:tblGrid>
      <w:tr w:rsidR="00955A27" w:rsidRPr="001667DB" w14:paraId="47C98CDF" w14:textId="77777777" w:rsidTr="001B4B8F">
        <w:tc>
          <w:tcPr>
            <w:tcW w:w="4931" w:type="dxa"/>
            <w:vAlign w:val="center"/>
          </w:tcPr>
          <w:p w14:paraId="1854B50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Warunki oceny</w:t>
            </w:r>
          </w:p>
        </w:tc>
        <w:tc>
          <w:tcPr>
            <w:tcW w:w="1977" w:type="dxa"/>
            <w:vAlign w:val="center"/>
          </w:tcPr>
          <w:p w14:paraId="04B1CF1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Pakiet: warstwa ścieralna+wiążąca </w:t>
            </w:r>
            <w:r w:rsidRPr="001667DB">
              <w:rPr>
                <w:rFonts w:ascii="Times New Roman" w:hAnsi="Times New Roman" w:cs="Times New Roman"/>
                <w:color w:val="000000" w:themeColor="text1"/>
              </w:rPr>
              <w:lastRenderedPageBreak/>
              <w:t>+podbudowa asfaltowa razem</w:t>
            </w:r>
          </w:p>
        </w:tc>
        <w:tc>
          <w:tcPr>
            <w:tcW w:w="2331" w:type="dxa"/>
            <w:vAlign w:val="center"/>
          </w:tcPr>
          <w:p w14:paraId="3462A7B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Warstwa ścieralna</w:t>
            </w:r>
          </w:p>
        </w:tc>
      </w:tr>
      <w:tr w:rsidR="00955A27" w:rsidRPr="001667DB" w14:paraId="580BD2AD" w14:textId="77777777" w:rsidTr="001B4B8F">
        <w:trPr>
          <w:trHeight w:val="892"/>
        </w:trPr>
        <w:tc>
          <w:tcPr>
            <w:tcW w:w="4931" w:type="dxa"/>
            <w:tcBorders>
              <w:bottom w:val="nil"/>
            </w:tcBorders>
          </w:tcPr>
          <w:p w14:paraId="1A2E1B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Dla wartości średniej grubości wbudowanej warstwy z całego odcinka budowy</w:t>
            </w:r>
          </w:p>
        </w:tc>
        <w:tc>
          <w:tcPr>
            <w:tcW w:w="1977" w:type="dxa"/>
            <w:tcBorders>
              <w:bottom w:val="nil"/>
            </w:tcBorders>
          </w:tcPr>
          <w:p w14:paraId="75F4454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dopuszcza się zaniżenia grubości</w:t>
            </w:r>
          </w:p>
        </w:tc>
        <w:tc>
          <w:tcPr>
            <w:tcW w:w="2331" w:type="dxa"/>
            <w:tcBorders>
              <w:bottom w:val="nil"/>
            </w:tcBorders>
          </w:tcPr>
          <w:p w14:paraId="3712672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dopuszcza się zaniżenia grubości</w:t>
            </w:r>
          </w:p>
        </w:tc>
      </w:tr>
      <w:tr w:rsidR="00955A27" w:rsidRPr="001667DB" w14:paraId="03E13D4A" w14:textId="77777777" w:rsidTr="001B4B8F">
        <w:tc>
          <w:tcPr>
            <w:tcW w:w="4931" w:type="dxa"/>
          </w:tcPr>
          <w:p w14:paraId="589E27B0" w14:textId="77777777" w:rsidR="00955A27" w:rsidRPr="001667DB" w:rsidRDefault="00955A27" w:rsidP="00955A27">
            <w:pPr>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Dla wartości pojedynczych wyników pomiarów grubości wbudowanej warstwy</w:t>
            </w:r>
          </w:p>
        </w:tc>
        <w:tc>
          <w:tcPr>
            <w:tcW w:w="1977" w:type="dxa"/>
          </w:tcPr>
          <w:p w14:paraId="466579E8"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0÷10%, ale nie więcej niż 1,0 cm</w:t>
            </w:r>
          </w:p>
        </w:tc>
        <w:tc>
          <w:tcPr>
            <w:tcW w:w="2331" w:type="dxa"/>
          </w:tcPr>
          <w:p w14:paraId="3E02937F" w14:textId="77777777" w:rsidR="00955A27" w:rsidRPr="001667DB" w:rsidRDefault="00955A27" w:rsidP="00955A27">
            <w:pPr>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w:t>
            </w:r>
          </w:p>
        </w:tc>
      </w:tr>
    </w:tbl>
    <w:p w14:paraId="72F904AA" w14:textId="77777777" w:rsidR="00955A27" w:rsidRPr="001667DB" w:rsidRDefault="00955A27" w:rsidP="00A9424D">
      <w:pPr>
        <w:spacing w:before="120"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Należy sprawdzić zachowanie zasady mówiącej, że grubość warstwy musi być co najmniej dwuipółkrotnie większa od wymiaru D kruszywa danej mieszanki (h ≥ 2,5×D).</w:t>
      </w:r>
    </w:p>
    <w:p w14:paraId="5634E438"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Zwiększone grubości poszczególnych warstw będą zaliczane jako wyrównanie ewentualnych niedoborów niżej leżącej warstwy.</w:t>
      </w:r>
    </w:p>
    <w:p w14:paraId="462418ED"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6.5.4.3. Spadki poprzeczne</w:t>
      </w:r>
    </w:p>
    <w:p w14:paraId="71DD1B1B"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Spadki poprzeczne nawierzchni należy badać nie rzadziej niż co </w:t>
      </w:r>
      <w:smartTag w:uri="urn:schemas-microsoft-com:office:smarttags" w:element="metricconverter">
        <w:smartTagPr>
          <w:attr w:name="ProductID" w:val="20 m"/>
        </w:smartTagPr>
        <w:r w:rsidRPr="001667DB">
          <w:rPr>
            <w:rFonts w:ascii="Times New Roman" w:hAnsi="Times New Roman" w:cs="Times New Roman"/>
            <w:color w:val="000000" w:themeColor="text1"/>
          </w:rPr>
          <w:t>20 m</w:t>
        </w:r>
      </w:smartTag>
      <w:r w:rsidRPr="001667DB">
        <w:rPr>
          <w:rFonts w:ascii="Times New Roman" w:hAnsi="Times New Roman" w:cs="Times New Roman"/>
          <w:color w:val="000000" w:themeColor="text1"/>
        </w:rPr>
        <w:t xml:space="preserve"> oraz w punktach głównych łuków poziomych.</w:t>
      </w:r>
    </w:p>
    <w:p w14:paraId="4A65C0F0" w14:textId="77777777" w:rsidR="00955A27"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powinny być zgodne z dokumentacją projektową, z tolerancją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0,5%. </w:t>
      </w:r>
    </w:p>
    <w:p w14:paraId="3CA780D8"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6.5.4.4. Równość </w:t>
      </w:r>
    </w:p>
    <w:p w14:paraId="0106A72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 Równość podłużna</w:t>
      </w:r>
    </w:p>
    <w:p w14:paraId="77473DF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pomiarach równości podłużnej warstw konstrukcji nawierzchni należy stosować metody:</w:t>
      </w:r>
    </w:p>
    <w:p w14:paraId="0321DCF2" w14:textId="77777777" w:rsidR="00955A27" w:rsidRPr="001667DB" w:rsidRDefault="00955A27" w:rsidP="00904E6C">
      <w:pPr>
        <w:numPr>
          <w:ilvl w:val="0"/>
          <w:numId w:val="155"/>
        </w:numPr>
        <w:autoSpaceDE w:val="0"/>
        <w:autoSpaceDN w:val="0"/>
        <w:adjustRightInd w:val="0"/>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profilometryczną bazującą na wskaźnikach równości IRI,</w:t>
      </w:r>
    </w:p>
    <w:p w14:paraId="4525DA40" w14:textId="77777777" w:rsidR="00955A27" w:rsidRPr="001667DB" w:rsidRDefault="00955A27" w:rsidP="00904E6C">
      <w:pPr>
        <w:numPr>
          <w:ilvl w:val="0"/>
          <w:numId w:val="155"/>
        </w:numPr>
        <w:autoSpaceDE w:val="0"/>
        <w:autoSpaceDN w:val="0"/>
        <w:adjustRightInd w:val="0"/>
        <w:spacing w:after="120" w:line="360" w:lineRule="auto"/>
        <w:ind w:left="284" w:hanging="218"/>
        <w:jc w:val="both"/>
        <w:rPr>
          <w:rFonts w:ascii="Times New Roman" w:hAnsi="Times New Roman" w:cs="Times New Roman"/>
          <w:color w:val="000000" w:themeColor="text1"/>
        </w:rPr>
      </w:pPr>
      <w:r w:rsidRPr="001667DB">
        <w:rPr>
          <w:rFonts w:ascii="Times New Roman" w:hAnsi="Times New Roman" w:cs="Times New Roman"/>
          <w:color w:val="000000" w:themeColor="text1"/>
        </w:rPr>
        <w:t>pomiaru ciągłego równoważną użyciu łaty i klina np. z wykorzystaniem planografu (w miejscach niedostępnych dla planografu pomiar z użyciem łaty i klina). Długość łaty w pomiarze równości podłużnej powinna wynosić 4 m.</w:t>
      </w:r>
    </w:p>
    <w:p w14:paraId="583294C7"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podłużnej warstwy ścieralnej nawierzchni dróg klasy A, S, GP oraz G należy stosować metodę profilometryczną bazującą na wskaźnikach równości IRI [mm/m]. Wartość IRI należy wyznaczać z krokiem co 50 m. Długość ocenianego odcinka nawierzchni nie powinna być większa niż 1000 m. Odcinek końcowy o długości mniejszej niż 500 m należy oceniać łącznie z odcinkiem poprzedzającym.</w:t>
      </w:r>
    </w:p>
    <w:p w14:paraId="27828ABC"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56110C1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Do oceny równości podłużnej</w:t>
      </w:r>
      <w:r w:rsidRPr="001667DB">
        <w:rPr>
          <w:rFonts w:ascii="Times New Roman" w:eastAsia="TimesNewRoman" w:hAnsi="Times New Roman" w:cs="Times New Roman"/>
          <w:color w:val="000000" w:themeColor="text1"/>
        </w:rPr>
        <w:t xml:space="preserve"> </w:t>
      </w:r>
      <w:r w:rsidRPr="001667DB">
        <w:rPr>
          <w:rFonts w:ascii="Times New Roman" w:hAnsi="Times New Roman" w:cs="Times New Roman"/>
          <w:color w:val="000000" w:themeColor="text1"/>
        </w:rPr>
        <w:t>warstwy ścieralnej nawierzchni dróg klasy Z, L, D oraz placów i parkingów należy stosować metodę pomiaru ciągłego równoważną użyciu łaty i klina np. z wykorzystaniem planografu, umożliwiającego wyznaczanie odchyleń równości podłużnej jako największej odległości (prześwitu) pomiędzy teoretyczną linią łączącą spody kołek jezdnych urządzenia a mierzoną powierzchnią warstwy [mm].</w:t>
      </w:r>
    </w:p>
    <w:p w14:paraId="670A88C1"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miejscach niedostępnych dla planografu pomiar równości podłużnej warstw nawierzchni należy wykonać w sposób ciągły z użyciem łaty i klina.</w:t>
      </w:r>
    </w:p>
    <w:p w14:paraId="1A2D3440"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Wymagana równość podłużna jest określona przez dopuszczalną wartość średnią</w:t>
      </w:r>
    </w:p>
    <w:p w14:paraId="533A3073"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wyników pomiaru IRI</w:t>
      </w:r>
      <w:r w:rsidRPr="001667DB">
        <w:rPr>
          <w:rFonts w:ascii="Times New Roman" w:hAnsi="Times New Roman" w:cs="Times New Roman"/>
          <w:color w:val="000000" w:themeColor="text1"/>
          <w:vertAlign w:val="subscript"/>
        </w:rPr>
        <w:t>śr</w:t>
      </w:r>
      <w:r w:rsidRPr="001667DB">
        <w:rPr>
          <w:rFonts w:ascii="Times New Roman" w:hAnsi="Times New Roman" w:cs="Times New Roman"/>
          <w:color w:val="000000" w:themeColor="text1"/>
        </w:rPr>
        <w:t xml:space="preserve"> oraz dopuszczalną wartość maksymalną pojedynczego pomiaru</w:t>
      </w:r>
    </w:p>
    <w:p w14:paraId="7A61844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IRI</w:t>
      </w:r>
      <w:r w:rsidRPr="001667DB">
        <w:rPr>
          <w:rFonts w:ascii="Times New Roman" w:hAnsi="Times New Roman" w:cs="Times New Roman"/>
          <w:color w:val="000000" w:themeColor="text1"/>
          <w:vertAlign w:val="subscript"/>
        </w:rPr>
        <w:t>max</w:t>
      </w:r>
      <w:r w:rsidRPr="001667DB">
        <w:rPr>
          <w:rFonts w:ascii="Times New Roman" w:hAnsi="Times New Roman" w:cs="Times New Roman"/>
          <w:color w:val="000000" w:themeColor="text1"/>
        </w:rPr>
        <w:t>, których nie można przekroczyć na długości ocenianego odcinka nawierzchni.</w:t>
      </w:r>
    </w:p>
    <w:p w14:paraId="0A1C126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dla warstwy ścieralnej oznaczone metodą profilometryczną określa</w:t>
      </w:r>
    </w:p>
    <w:p w14:paraId="71FAA9E5" w14:textId="77777777" w:rsidR="00955A27" w:rsidRPr="001667DB" w:rsidRDefault="006F121F" w:rsidP="00A9424D">
      <w:pPr>
        <w:spacing w:after="12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tablica 28</w:t>
      </w:r>
      <w:r w:rsidR="00955A27" w:rsidRPr="001667DB">
        <w:rPr>
          <w:rFonts w:ascii="Times New Roman" w:hAnsi="Times New Roman" w:cs="Times New Roman"/>
          <w:color w:val="000000" w:themeColor="text1"/>
        </w:rPr>
        <w:t>.</w:t>
      </w:r>
    </w:p>
    <w:p w14:paraId="3854A409" w14:textId="77777777" w:rsidR="00955A27" w:rsidRPr="001667DB" w:rsidRDefault="006F121F" w:rsidP="00A9424D">
      <w:pPr>
        <w:spacing w:before="120" w:after="120" w:line="360" w:lineRule="auto"/>
        <w:ind w:left="1134" w:hanging="1134"/>
        <w:jc w:val="both"/>
        <w:rPr>
          <w:rFonts w:ascii="Times New Roman" w:hAnsi="Times New Roman" w:cs="Times New Roman"/>
          <w:color w:val="000000" w:themeColor="text1"/>
        </w:rPr>
      </w:pPr>
      <w:r>
        <w:rPr>
          <w:rFonts w:ascii="Times New Roman" w:hAnsi="Times New Roman" w:cs="Times New Roman"/>
          <w:color w:val="000000" w:themeColor="text1"/>
        </w:rPr>
        <w:t>Tablica 28</w:t>
      </w:r>
      <w:r w:rsidR="00955A27" w:rsidRPr="001667DB">
        <w:rPr>
          <w:rFonts w:ascii="Times New Roman" w:hAnsi="Times New Roman" w:cs="Times New Roman"/>
          <w:color w:val="000000" w:themeColor="text1"/>
        </w:rPr>
        <w:t>. Maksymalne wartości wskaźnika IRI dla warstwy ścieralnej określone metodą profilometryczną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37"/>
        <w:gridCol w:w="2232"/>
        <w:gridCol w:w="2232"/>
      </w:tblGrid>
      <w:tr w:rsidR="00955A27" w:rsidRPr="001667DB" w14:paraId="58AA5D28" w14:textId="77777777" w:rsidTr="001B4B8F">
        <w:tc>
          <w:tcPr>
            <w:tcW w:w="1526" w:type="dxa"/>
            <w:vMerge w:val="restart"/>
            <w:vAlign w:val="center"/>
          </w:tcPr>
          <w:p w14:paraId="2225D2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2937" w:type="dxa"/>
            <w:vMerge w:val="restart"/>
            <w:vAlign w:val="center"/>
          </w:tcPr>
          <w:p w14:paraId="1FFDBBB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4464" w:type="dxa"/>
            <w:gridSpan w:val="2"/>
            <w:vAlign w:val="center"/>
          </w:tcPr>
          <w:p w14:paraId="6416C5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wskaźników dla zadanego zakresu długości odcinka drogi [mm/m]</w:t>
            </w:r>
          </w:p>
        </w:tc>
      </w:tr>
      <w:tr w:rsidR="00955A27" w:rsidRPr="001667DB" w14:paraId="7A3D771C" w14:textId="77777777" w:rsidTr="001B4B8F">
        <w:tc>
          <w:tcPr>
            <w:tcW w:w="1526" w:type="dxa"/>
            <w:vMerge/>
            <w:vAlign w:val="center"/>
          </w:tcPr>
          <w:p w14:paraId="1AC4A32C"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937" w:type="dxa"/>
            <w:vMerge/>
            <w:vAlign w:val="center"/>
          </w:tcPr>
          <w:p w14:paraId="04B48815"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232" w:type="dxa"/>
            <w:vAlign w:val="center"/>
          </w:tcPr>
          <w:p w14:paraId="1CD550D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IRIśr*</w:t>
            </w:r>
          </w:p>
        </w:tc>
        <w:tc>
          <w:tcPr>
            <w:tcW w:w="2232" w:type="dxa"/>
            <w:vAlign w:val="center"/>
          </w:tcPr>
          <w:p w14:paraId="3E8B1F5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IRImax</w:t>
            </w:r>
          </w:p>
        </w:tc>
      </w:tr>
      <w:tr w:rsidR="00955A27" w:rsidRPr="001667DB" w14:paraId="7F6A6882" w14:textId="77777777" w:rsidTr="001B4B8F">
        <w:tc>
          <w:tcPr>
            <w:tcW w:w="1526" w:type="dxa"/>
          </w:tcPr>
          <w:p w14:paraId="230F63B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w:t>
            </w:r>
          </w:p>
        </w:tc>
        <w:tc>
          <w:tcPr>
            <w:tcW w:w="2937" w:type="dxa"/>
          </w:tcPr>
          <w:p w14:paraId="2070FE6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dodatkowe,</w:t>
            </w:r>
          </w:p>
          <w:p w14:paraId="29DBB1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włączenia i wyłączenia, postojowe,</w:t>
            </w:r>
          </w:p>
          <w:p w14:paraId="6C25C8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232" w:type="dxa"/>
          </w:tcPr>
          <w:p w14:paraId="007A53E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2232" w:type="dxa"/>
          </w:tcPr>
          <w:p w14:paraId="6FF0AEA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3,4</w:t>
            </w:r>
          </w:p>
        </w:tc>
      </w:tr>
      <w:tr w:rsidR="00955A27" w:rsidRPr="001667DB" w14:paraId="0E91D915" w14:textId="77777777" w:rsidTr="001B4B8F">
        <w:tc>
          <w:tcPr>
            <w:tcW w:w="8927" w:type="dxa"/>
            <w:gridSpan w:val="4"/>
          </w:tcPr>
          <w:p w14:paraId="30382F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 przypadku:</w:t>
            </w:r>
          </w:p>
          <w:p w14:paraId="7671C7E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odbioru odcinków warstwy nawierzchni o całkowitej długości mniejszej niż 500 m,</w:t>
            </w:r>
          </w:p>
          <w:p w14:paraId="060E11DB" w14:textId="77777777" w:rsidR="00955A27" w:rsidRPr="001667DB" w:rsidRDefault="00955A27" w:rsidP="00955A27">
            <w:pPr>
              <w:spacing w:after="120" w:line="360" w:lineRule="auto"/>
              <w:ind w:left="142" w:hanging="142"/>
              <w:rPr>
                <w:rFonts w:ascii="Times New Roman" w:hAnsi="Times New Roman" w:cs="Times New Roman"/>
                <w:color w:val="000000" w:themeColor="text1"/>
              </w:rPr>
            </w:pPr>
            <w:r w:rsidRPr="001667DB">
              <w:rPr>
                <w:rFonts w:ascii="Times New Roman" w:hAnsi="Times New Roman" w:cs="Times New Roman"/>
                <w:color w:val="000000" w:themeColor="text1"/>
              </w:rPr>
              <w:t>− odbioru robót polegających na ułożeniu na istniejącej nawierzchni jedynie warstwy ścieralnej (niezależnie od długości odcinka robot),</w:t>
            </w:r>
          </w:p>
          <w:p w14:paraId="64CFAFA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dopuszczalną wartość IRIśr wg tablicy należy zwiększyć o 0,2 mm/m.</w:t>
            </w:r>
          </w:p>
        </w:tc>
      </w:tr>
    </w:tbl>
    <w:p w14:paraId="0C41BE71" w14:textId="77777777" w:rsidR="00955A27" w:rsidRPr="001667DB" w:rsidRDefault="00955A27" w:rsidP="00955A27">
      <w:pPr>
        <w:spacing w:before="120"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Maksymalne wartości odchyleń równości podłużnej dla warstwy oznaczone pomiarem ciągłym równoważnym użyciu łaty i klina np. z wykorzystaniem planografu,</w:t>
      </w:r>
      <w:r w:rsidR="006F121F">
        <w:rPr>
          <w:rFonts w:ascii="Times New Roman" w:hAnsi="Times New Roman" w:cs="Times New Roman"/>
          <w:color w:val="000000" w:themeColor="text1"/>
        </w:rPr>
        <w:t xml:space="preserve"> łaty i klina określa tablica 29</w:t>
      </w:r>
      <w:r w:rsidRPr="001667DB">
        <w:rPr>
          <w:rFonts w:ascii="Times New Roman" w:hAnsi="Times New Roman" w:cs="Times New Roman"/>
          <w:color w:val="000000" w:themeColor="text1"/>
        </w:rPr>
        <w:t>.</w:t>
      </w:r>
    </w:p>
    <w:p w14:paraId="5133B749" w14:textId="77777777" w:rsidR="00955A27" w:rsidRPr="001667DB" w:rsidRDefault="006F121F" w:rsidP="00955A27">
      <w:pPr>
        <w:tabs>
          <w:tab w:val="left" w:pos="1134"/>
        </w:tabs>
        <w:spacing w:before="120" w:after="120" w:line="360" w:lineRule="auto"/>
        <w:ind w:left="1134" w:hanging="1134"/>
        <w:rPr>
          <w:rFonts w:ascii="Times New Roman" w:hAnsi="Times New Roman" w:cs="Times New Roman"/>
          <w:color w:val="000000" w:themeColor="text1"/>
        </w:rPr>
      </w:pPr>
      <w:r>
        <w:rPr>
          <w:rFonts w:ascii="Times New Roman" w:hAnsi="Times New Roman" w:cs="Times New Roman"/>
          <w:bCs/>
          <w:color w:val="000000" w:themeColor="text1"/>
        </w:rPr>
        <w:t>Tablica 29</w:t>
      </w:r>
      <w:r w:rsidR="00955A27" w:rsidRPr="001667DB">
        <w:rPr>
          <w:rFonts w:ascii="Times New Roman" w:hAnsi="Times New Roman" w:cs="Times New Roman"/>
          <w:bCs/>
          <w:color w:val="000000" w:themeColor="text1"/>
        </w:rPr>
        <w:t>.</w:t>
      </w:r>
      <w:r w:rsidR="00955A27" w:rsidRPr="001667DB">
        <w:rPr>
          <w:rFonts w:ascii="Times New Roman" w:hAnsi="Times New Roman" w:cs="Times New Roman"/>
          <w:bCs/>
          <w:color w:val="000000" w:themeColor="text1"/>
        </w:rPr>
        <w:tab/>
        <w:t>Maksymalne wartości odchyleń równości podłużnej dla warstwy ścieralnej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955A27" w:rsidRPr="001667DB" w14:paraId="4A74F1AE" w14:textId="77777777" w:rsidTr="001B4B8F">
        <w:tc>
          <w:tcPr>
            <w:tcW w:w="1809" w:type="dxa"/>
            <w:vAlign w:val="center"/>
          </w:tcPr>
          <w:p w14:paraId="480B5B3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4142" w:type="dxa"/>
            <w:vAlign w:val="center"/>
          </w:tcPr>
          <w:p w14:paraId="76B8065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976" w:type="dxa"/>
            <w:vAlign w:val="center"/>
          </w:tcPr>
          <w:p w14:paraId="0CD7B62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równości podłużnej warstwy [mm] dla warstwy ścieralnej</w:t>
            </w:r>
          </w:p>
        </w:tc>
      </w:tr>
      <w:tr w:rsidR="00955A27" w:rsidRPr="001667DB" w14:paraId="105A444A" w14:textId="77777777" w:rsidTr="001B4B8F">
        <w:tc>
          <w:tcPr>
            <w:tcW w:w="1809" w:type="dxa"/>
          </w:tcPr>
          <w:p w14:paraId="03687A6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G,Z</w:t>
            </w:r>
          </w:p>
        </w:tc>
        <w:tc>
          <w:tcPr>
            <w:tcW w:w="4142" w:type="dxa"/>
          </w:tcPr>
          <w:p w14:paraId="5A2D75B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dodatkowe,</w:t>
            </w:r>
          </w:p>
          <w:p w14:paraId="1D0B0B8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włączenia i wyłączenia, postojowe,</w:t>
            </w:r>
          </w:p>
          <w:p w14:paraId="4BC656D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976" w:type="dxa"/>
          </w:tcPr>
          <w:p w14:paraId="12FF632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p w14:paraId="6A8BCD9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(dotyczy jedynie klasy Z)</w:t>
            </w:r>
          </w:p>
        </w:tc>
      </w:tr>
      <w:tr w:rsidR="00955A27" w:rsidRPr="001667DB" w14:paraId="75106E32" w14:textId="77777777" w:rsidTr="001B4B8F">
        <w:tc>
          <w:tcPr>
            <w:tcW w:w="1809" w:type="dxa"/>
          </w:tcPr>
          <w:p w14:paraId="71FA941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L,D, place parkingi, </w:t>
            </w:r>
          </w:p>
        </w:tc>
        <w:tc>
          <w:tcPr>
            <w:tcW w:w="4142" w:type="dxa"/>
          </w:tcPr>
          <w:p w14:paraId="350FFB9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Wszystkie pasy ruchu i powierzchnie przeznaczone do ruchu i postoju pojazdów</w:t>
            </w:r>
          </w:p>
        </w:tc>
        <w:tc>
          <w:tcPr>
            <w:tcW w:w="2976" w:type="dxa"/>
          </w:tcPr>
          <w:p w14:paraId="4133A36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bl>
    <w:p w14:paraId="046E224A" w14:textId="77777777" w:rsidR="00002E63" w:rsidRDefault="00002E63" w:rsidP="00A9424D">
      <w:pPr>
        <w:spacing w:after="120" w:line="360" w:lineRule="auto"/>
        <w:jc w:val="both"/>
        <w:rPr>
          <w:rFonts w:ascii="Times New Roman" w:hAnsi="Times New Roman" w:cs="Times New Roman"/>
          <w:color w:val="000000" w:themeColor="text1"/>
        </w:rPr>
      </w:pPr>
    </w:p>
    <w:p w14:paraId="196E4B1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 Równość poprzeczna</w:t>
      </w:r>
    </w:p>
    <w:p w14:paraId="3744ABE5"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poprzecznej warstw nawierzchni dróg wszystkich klas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14:paraId="60833C8B"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miejscach niedostępnych dla profilografu pomiar równości poprzecznej warstw</w:t>
      </w:r>
    </w:p>
    <w:p w14:paraId="25B67DD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nawierzchni należy wykonać z użyciem łaty i klina. Długość łaty w pomiarze równości</w:t>
      </w:r>
    </w:p>
    <w:p w14:paraId="650720D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poprzecznej powinna wynosić 2 m. Pomiar powinien być wykonywany nie rzadziej niż co</w:t>
      </w:r>
    </w:p>
    <w:p w14:paraId="5D83894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 m.</w:t>
      </w:r>
    </w:p>
    <w:p w14:paraId="1A3588D0" w14:textId="77777777" w:rsidR="00955A27"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Maksymalne wartości odchyleń równośc</w:t>
      </w:r>
      <w:r w:rsidR="006F121F">
        <w:rPr>
          <w:rFonts w:ascii="Times New Roman" w:hAnsi="Times New Roman" w:cs="Times New Roman"/>
          <w:color w:val="000000" w:themeColor="text1"/>
        </w:rPr>
        <w:t>i poprzecznej określa tablica 30</w:t>
      </w:r>
      <w:r w:rsidRPr="001667DB">
        <w:rPr>
          <w:rFonts w:ascii="Times New Roman" w:hAnsi="Times New Roman" w:cs="Times New Roman"/>
          <w:color w:val="000000" w:themeColor="text1"/>
        </w:rPr>
        <w:t>.</w:t>
      </w:r>
    </w:p>
    <w:p w14:paraId="4D8821E7" w14:textId="77777777" w:rsidR="00955A27" w:rsidRPr="001667DB" w:rsidRDefault="006F121F" w:rsidP="00A9424D">
      <w:pPr>
        <w:spacing w:before="120" w:after="120" w:line="360" w:lineRule="auto"/>
        <w:jc w:val="both"/>
        <w:rPr>
          <w:rFonts w:ascii="Times New Roman" w:hAnsi="Times New Roman" w:cs="Times New Roman"/>
          <w:color w:val="000000" w:themeColor="text1"/>
        </w:rPr>
      </w:pPr>
      <w:r>
        <w:rPr>
          <w:rFonts w:ascii="Times New Roman" w:hAnsi="Times New Roman" w:cs="Times New Roman"/>
          <w:bCs/>
          <w:color w:val="000000" w:themeColor="text1"/>
        </w:rPr>
        <w:t>Tablica 30</w:t>
      </w:r>
      <w:r w:rsidR="00955A27" w:rsidRPr="001667DB">
        <w:rPr>
          <w:rFonts w:ascii="Times New Roman" w:hAnsi="Times New Roman" w:cs="Times New Roman"/>
          <w:bCs/>
          <w:color w:val="000000" w:themeColor="text1"/>
        </w:rPr>
        <w:t xml:space="preserve">. Maksymalne wartości odchyleń równości poprzecznej dla warstwy ścieralnej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955A27" w:rsidRPr="001667DB" w14:paraId="5A1E3124" w14:textId="77777777" w:rsidTr="001B4B8F">
        <w:tc>
          <w:tcPr>
            <w:tcW w:w="1809" w:type="dxa"/>
            <w:vAlign w:val="center"/>
          </w:tcPr>
          <w:p w14:paraId="7A897FD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4142" w:type="dxa"/>
            <w:vAlign w:val="center"/>
          </w:tcPr>
          <w:p w14:paraId="07FA750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2976" w:type="dxa"/>
            <w:vAlign w:val="center"/>
          </w:tcPr>
          <w:p w14:paraId="2E67AB2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Maksymalne wartości odchyleń równości </w:t>
            </w:r>
            <w:r w:rsidRPr="001667DB">
              <w:rPr>
                <w:rFonts w:ascii="Times New Roman" w:hAnsi="Times New Roman" w:cs="Times New Roman"/>
                <w:color w:val="000000" w:themeColor="text1"/>
              </w:rPr>
              <w:lastRenderedPageBreak/>
              <w:t>poprzecznej warstwy [mm] dla warstwy ścieralnej</w:t>
            </w:r>
          </w:p>
        </w:tc>
      </w:tr>
      <w:tr w:rsidR="00955A27" w:rsidRPr="001667DB" w14:paraId="3997179C" w14:textId="77777777" w:rsidTr="001B4B8F">
        <w:tc>
          <w:tcPr>
            <w:tcW w:w="1809" w:type="dxa"/>
          </w:tcPr>
          <w:p w14:paraId="5350057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G,Z</w:t>
            </w:r>
          </w:p>
        </w:tc>
        <w:tc>
          <w:tcPr>
            <w:tcW w:w="4142" w:type="dxa"/>
          </w:tcPr>
          <w:p w14:paraId="3FEED3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zasadnicze, dodatkowe,</w:t>
            </w:r>
          </w:p>
          <w:p w14:paraId="4827D4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włączenia i wyłączenia, postojowe,</w:t>
            </w:r>
          </w:p>
          <w:p w14:paraId="3B1B1DC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jezdnie łącznic, utwardzone pobocza</w:t>
            </w:r>
          </w:p>
        </w:tc>
        <w:tc>
          <w:tcPr>
            <w:tcW w:w="2976" w:type="dxa"/>
          </w:tcPr>
          <w:p w14:paraId="1A513CD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r>
      <w:tr w:rsidR="00955A27" w:rsidRPr="001667DB" w14:paraId="1DCFBD48" w14:textId="77777777" w:rsidTr="001B4B8F">
        <w:tc>
          <w:tcPr>
            <w:tcW w:w="1809" w:type="dxa"/>
          </w:tcPr>
          <w:p w14:paraId="747194E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L,D, place parkingi, </w:t>
            </w:r>
          </w:p>
        </w:tc>
        <w:tc>
          <w:tcPr>
            <w:tcW w:w="4142" w:type="dxa"/>
          </w:tcPr>
          <w:p w14:paraId="446A954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Wszystkie pasy ruchu i powierzchnie przeznaczone do ruchu i postoju pojazdów</w:t>
            </w:r>
          </w:p>
        </w:tc>
        <w:tc>
          <w:tcPr>
            <w:tcW w:w="2976" w:type="dxa"/>
          </w:tcPr>
          <w:p w14:paraId="47EE58C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r>
    </w:tbl>
    <w:p w14:paraId="459D2C7A" w14:textId="77777777" w:rsidR="00955A27" w:rsidRPr="001667DB" w:rsidRDefault="00955A27" w:rsidP="00955A27">
      <w:pPr>
        <w:spacing w:after="120" w:line="360" w:lineRule="auto"/>
        <w:rPr>
          <w:rFonts w:ascii="Times New Roman" w:hAnsi="Times New Roman" w:cs="Times New Roman"/>
          <w:color w:val="000000" w:themeColor="text1"/>
        </w:rPr>
      </w:pPr>
    </w:p>
    <w:p w14:paraId="39C01C70"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6.5.4.5. Złącza technologiczne </w:t>
      </w:r>
    </w:p>
    <w:p w14:paraId="1A0FBF8B"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Złącza podłużne i poprzeczne, sprawdzone wizualnie, powinny być równe i związane, wykonane w linii prostej, równolegle lub prostopadle do osi drogi. Przylegające warstwy powinny być w jednym poziomie.</w:t>
      </w:r>
    </w:p>
    <w:p w14:paraId="6933FC94"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6.5.4.6. Szerokość warstwy </w:t>
      </w:r>
    </w:p>
    <w:p w14:paraId="0A6DA5BE" w14:textId="77777777" w:rsidR="00955A27" w:rsidRPr="001667DB" w:rsidRDefault="00955A27" w:rsidP="00A9424D">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Szerokość warstwy, mierzona 10 razy na </w:t>
      </w:r>
      <w:smartTag w:uri="urn:schemas-microsoft-com:office:smarttags" w:element="metricconverter">
        <w:smartTagPr>
          <w:attr w:name="ProductID" w:val="1 km"/>
        </w:smartTagPr>
        <w:r w:rsidRPr="001667DB">
          <w:rPr>
            <w:rFonts w:ascii="Times New Roman" w:hAnsi="Times New Roman" w:cs="Times New Roman"/>
            <w:color w:val="000000" w:themeColor="text1"/>
          </w:rPr>
          <w:t>1 km</w:t>
        </w:r>
      </w:smartTag>
      <w:r w:rsidRPr="001667DB">
        <w:rPr>
          <w:rFonts w:ascii="Times New Roman" w:hAnsi="Times New Roman" w:cs="Times New Roman"/>
          <w:color w:val="000000" w:themeColor="text1"/>
        </w:rPr>
        <w:t xml:space="preserve"> każdej jezdni powinna być zgodna z dokumentacją projektową, z tolerancją  w zakresie od 0 do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 przy czym szerokość warstwy wiążącej powinna być odpowiednio szersza, tak aby stanowiła odsadzkę dla warstwy ścieralnej. W przypadku wyprofilowanej ukośnej krawędzi szerokość należy mierzyć w środku linii skosu.</w:t>
      </w:r>
    </w:p>
    <w:p w14:paraId="2B7C13AF" w14:textId="77777777" w:rsidR="00955A27" w:rsidRPr="001667DB" w:rsidRDefault="00955A27" w:rsidP="00A9424D">
      <w:pPr>
        <w:numPr>
          <w:ilvl w:val="12"/>
          <w:numId w:val="0"/>
        </w:num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6.5.4.7. Rzędne wysokościowe </w:t>
      </w:r>
    </w:p>
    <w:p w14:paraId="520BFA1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mierzone co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na prostych i co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na osi podłużnej i krawędziach, powinny być zgodne z dokumentacją projektową, z dopuszczalną tolerancją      ± </w:t>
      </w:r>
      <w:smartTag w:uri="urn:schemas-microsoft-com:office:smarttags" w:element="metricconverter">
        <w:smartTagPr>
          <w:attr w:name="ProductID" w:val="1 cm"/>
        </w:smartTagPr>
        <w:r w:rsidRPr="001667DB">
          <w:rPr>
            <w:rFonts w:ascii="Times New Roman" w:hAnsi="Times New Roman" w:cs="Times New Roman"/>
            <w:color w:val="000000" w:themeColor="text1"/>
          </w:rPr>
          <w:t>1 cm</w:t>
        </w:r>
      </w:smartTag>
      <w:r w:rsidRPr="001667DB">
        <w:rPr>
          <w:rFonts w:ascii="Times New Roman" w:hAnsi="Times New Roman" w:cs="Times New Roman"/>
          <w:color w:val="000000" w:themeColor="text1"/>
        </w:rPr>
        <w:t>, przy czym co najmniej 95% wykonanych pomiarów nie może przekraczać przedziału dopuszczalnych odchyleń.</w:t>
      </w:r>
    </w:p>
    <w:p w14:paraId="308706B3"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6.5.4.8. Ukształtowanie osi w planie </w:t>
      </w:r>
    </w:p>
    <w:p w14:paraId="4718C48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mierzone co </w:t>
      </w:r>
      <w:smartTag w:uri="urn:schemas-microsoft-com:office:smarttags" w:element="metricconverter">
        <w:smartTagPr>
          <w:attr w:name="ProductID" w:val="100 m"/>
        </w:smartTagPr>
        <w:r w:rsidRPr="001667DB">
          <w:rPr>
            <w:rFonts w:ascii="Times New Roman" w:hAnsi="Times New Roman" w:cs="Times New Roman"/>
            <w:color w:val="000000" w:themeColor="text1"/>
          </w:rPr>
          <w:t>100 m</w:t>
        </w:r>
      </w:smartTag>
      <w:r w:rsidRPr="001667DB">
        <w:rPr>
          <w:rFonts w:ascii="Times New Roman" w:hAnsi="Times New Roman" w:cs="Times New Roman"/>
          <w:color w:val="000000" w:themeColor="text1"/>
        </w:rPr>
        <w:t xml:space="preserve">, nie powinno różnić się od dokumentacji projektowej o więcej niż ±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w:t>
      </w:r>
    </w:p>
    <w:p w14:paraId="1C38AEDD"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6.5.4.9. Ocena wizualna warstwy </w:t>
      </w:r>
    </w:p>
    <w:p w14:paraId="459907C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Wygląd zewnętrzny warstwy, sprawdzony wizualnie, powinien być jednorodny, bez spękań, deformacji, plam i wykruszeń.</w:t>
      </w:r>
    </w:p>
    <w:p w14:paraId="1ACB9584" w14:textId="77777777" w:rsidR="00955A27" w:rsidRPr="001667DB" w:rsidRDefault="00955A27" w:rsidP="00A9424D">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6.5.4.10. Właściwości przeciwpoślizgowe warstwy ścieralnej </w:t>
      </w:r>
    </w:p>
    <w:p w14:paraId="0F339BF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Przy ocenie właściwości przeciwpoślizgowych nawierzchni drogi klasy G i </w:t>
      </w:r>
      <w:r w:rsidRPr="001667DB">
        <w:rPr>
          <w:rFonts w:ascii="Times New Roman" w:hAnsi="Times New Roman" w:cs="Times New Roman"/>
          <w:color w:val="000000" w:themeColor="text1"/>
        </w:rPr>
        <w:pgNum/>
      </w:r>
      <w:r w:rsidRPr="001667DB">
        <w:rPr>
          <w:rFonts w:ascii="Times New Roman" w:hAnsi="Times New Roman" w:cs="Times New Roman"/>
          <w:color w:val="000000" w:themeColor="text1"/>
        </w:rPr>
        <w:t xml:space="preserve">dróg wyższych klas powinien być określony współczynnik tarcia na mokrej nawierzchni przy całkowitym poślizgu opony testowej. </w:t>
      </w:r>
    </w:p>
    <w:p w14:paraId="49F3BA6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 xml:space="preserve">Pomiar wykonuje się przy temperaturze otoczenia od 5 do </w:t>
      </w:r>
      <w:smartTag w:uri="urn:schemas-microsoft-com:office:smarttags" w:element="metricconverter">
        <w:smartTagPr>
          <w:attr w:name="ProductID" w:val="30ﾰC"/>
        </w:smartTagPr>
        <w:r w:rsidRPr="001667DB">
          <w:rPr>
            <w:rFonts w:ascii="Times New Roman" w:hAnsi="Times New Roman" w:cs="Times New Roman"/>
            <w:color w:val="000000" w:themeColor="text1"/>
          </w:rPr>
          <w:t>30°C</w:t>
        </w:r>
      </w:smartTag>
      <w:r w:rsidRPr="001667DB">
        <w:rPr>
          <w:rFonts w:ascii="Times New Roman" w:hAnsi="Times New Roman" w:cs="Times New Roman"/>
          <w:color w:val="000000" w:themeColor="text1"/>
        </w:rPr>
        <w:t xml:space="preserve">, nie rzadziej niż co </w:t>
      </w:r>
      <w:smartTag w:uri="urn:schemas-microsoft-com:office:smarttags" w:element="metricconverter">
        <w:smartTagPr>
          <w:attr w:name="ProductID" w:val="50 m"/>
        </w:smartTagPr>
        <w:r w:rsidRPr="001667DB">
          <w:rPr>
            <w:rFonts w:ascii="Times New Roman" w:hAnsi="Times New Roman" w:cs="Times New Roman"/>
            <w:color w:val="000000" w:themeColor="text1"/>
          </w:rPr>
          <w:t>50 m</w:t>
        </w:r>
      </w:smartTag>
      <w:r w:rsidRPr="001667DB">
        <w:rPr>
          <w:rFonts w:ascii="Times New Roman" w:hAnsi="Times New Roman" w:cs="Times New Roman"/>
          <w:color w:val="000000" w:themeColor="text1"/>
        </w:rPr>
        <w:t xml:space="preserve"> na nawierzchni zwilżanej wodą w ilości 0,5 l/m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a wynik pomiaru powinien być przeliczany na wartość przy 100% poślizgu opony testowej rowkowanej (ribbed type) o rozmiarze 165 R15 lub innej wiarygodnej metody równoważnej, jeśli dysponuje się sprawdzoną zależnością korelacyjną umożliwiającą przeliczenie wyników pomiarów na wartości uzyskiwane zestawem o pełnej blokadzie koła. Badanie należy wykonać przed dopuszczeniem nawierzchni do ruchu oraz powtórnie w okresie od 4 do 8 tygodni od oddania nawierzchni do eksploatacji. Badanie powtórne należy wykonać w śladzie koła. Jeżeli warunki atmosferyczne uniemożliwiają wykonanie pomiaru w wymienionym terminie, powinien być on zrealizowany z najmniejszym możliwym opóźnieniem. Uzyskane wartości współczynnika tarcia należy rejestrować z dokładnością do trzech miejsc po przecinku</w:t>
      </w:r>
    </w:p>
    <w:p w14:paraId="264319E6"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Miarą właściwości przeciwpoślizgowych jest miarodajny współczynnik tarcia. Za miarodajny współczynnik tarcia przyjmuje się różnicę wartości średniej E(μ) i odchylenia standardowego D: E(μ)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 wypadku odbioru krótkich odcinków nawierzchni, na których nie można wykonać pomiarów z prędkością 90 lub 60 km/h (np. rondo, dojazd do skrzyżowania, niektóre łącznice), do oceny przyjmuje się wyniki pomiarów współczynnika tarcia przy prędkościach pomiarowych odpowiednio 60 i 30 km/h.</w:t>
      </w:r>
    </w:p>
    <w:p w14:paraId="77455887" w14:textId="77777777" w:rsidR="00F80DDF"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Dopuszczalne wartości miarodajnego współczynnika tarcia nawie</w:t>
      </w:r>
      <w:r w:rsidR="006F121F">
        <w:rPr>
          <w:rFonts w:ascii="Times New Roman" w:hAnsi="Times New Roman" w:cs="Times New Roman"/>
          <w:color w:val="000000" w:themeColor="text1"/>
        </w:rPr>
        <w:t>rzchni są określone w tablicy 31</w:t>
      </w:r>
      <w:r w:rsidRPr="001667DB">
        <w:rPr>
          <w:rFonts w:ascii="Times New Roman" w:hAnsi="Times New Roman" w:cs="Times New Roman"/>
          <w:color w:val="000000" w:themeColor="text1"/>
        </w:rPr>
        <w:t>.</w:t>
      </w:r>
    </w:p>
    <w:p w14:paraId="3A623A4A" w14:textId="77777777" w:rsidR="00955A27" w:rsidRPr="001667DB" w:rsidRDefault="006F121F" w:rsidP="00955A27">
      <w:pPr>
        <w:spacing w:before="120" w:after="120" w:line="360" w:lineRule="auto"/>
        <w:rPr>
          <w:rFonts w:ascii="Times New Roman" w:hAnsi="Times New Roman" w:cs="Times New Roman"/>
          <w:color w:val="000000" w:themeColor="text1"/>
        </w:rPr>
      </w:pPr>
      <w:r>
        <w:rPr>
          <w:rFonts w:ascii="Times New Roman" w:hAnsi="Times New Roman" w:cs="Times New Roman"/>
          <w:color w:val="000000" w:themeColor="text1"/>
        </w:rPr>
        <w:t>Tablica 31</w:t>
      </w:r>
      <w:r w:rsidR="00955A27" w:rsidRPr="001667DB">
        <w:rPr>
          <w:rFonts w:ascii="Times New Roman" w:hAnsi="Times New Roman" w:cs="Times New Roman"/>
          <w:color w:val="000000" w:themeColor="text1"/>
        </w:rPr>
        <w:t>. Wymagane minimalne wartości miarodajne współczynnika tarcia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186"/>
        <w:gridCol w:w="1785"/>
        <w:gridCol w:w="1786"/>
        <w:gridCol w:w="1786"/>
      </w:tblGrid>
      <w:tr w:rsidR="00955A27" w:rsidRPr="001667DB" w14:paraId="33251180" w14:textId="77777777" w:rsidTr="001B4B8F">
        <w:tc>
          <w:tcPr>
            <w:tcW w:w="1384" w:type="dxa"/>
            <w:vMerge w:val="restart"/>
            <w:vAlign w:val="center"/>
          </w:tcPr>
          <w:p w14:paraId="6562FD7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drogi</w:t>
            </w:r>
          </w:p>
        </w:tc>
        <w:tc>
          <w:tcPr>
            <w:tcW w:w="2186" w:type="dxa"/>
            <w:vMerge w:val="restart"/>
            <w:vAlign w:val="center"/>
          </w:tcPr>
          <w:p w14:paraId="21A30DE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Element nawierzchni</w:t>
            </w:r>
          </w:p>
        </w:tc>
        <w:tc>
          <w:tcPr>
            <w:tcW w:w="5357" w:type="dxa"/>
            <w:gridSpan w:val="3"/>
            <w:vAlign w:val="center"/>
          </w:tcPr>
          <w:p w14:paraId="075A50C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wartość miarodajnego</w:t>
            </w:r>
          </w:p>
          <w:p w14:paraId="2ED9E30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współczynnika tarcia przy prędkości</w:t>
            </w:r>
          </w:p>
          <w:p w14:paraId="77E712E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zablokowanej opony względem nawierzchni</w:t>
            </w:r>
          </w:p>
          <w:p w14:paraId="76CD0AD2"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r>
      <w:tr w:rsidR="00955A27" w:rsidRPr="001667DB" w14:paraId="006478B0" w14:textId="77777777" w:rsidTr="001B4B8F">
        <w:tc>
          <w:tcPr>
            <w:tcW w:w="1384" w:type="dxa"/>
            <w:vMerge/>
            <w:vAlign w:val="center"/>
          </w:tcPr>
          <w:p w14:paraId="301D350A"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2186" w:type="dxa"/>
            <w:vMerge/>
            <w:vAlign w:val="center"/>
          </w:tcPr>
          <w:p w14:paraId="6B889CCB"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1785" w:type="dxa"/>
            <w:vAlign w:val="center"/>
          </w:tcPr>
          <w:p w14:paraId="72F4019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 km/n</w:t>
            </w:r>
          </w:p>
        </w:tc>
        <w:tc>
          <w:tcPr>
            <w:tcW w:w="1786" w:type="dxa"/>
            <w:vAlign w:val="center"/>
          </w:tcPr>
          <w:p w14:paraId="15EEFD9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60 km/h</w:t>
            </w:r>
          </w:p>
        </w:tc>
        <w:tc>
          <w:tcPr>
            <w:tcW w:w="1786" w:type="dxa"/>
            <w:vAlign w:val="center"/>
          </w:tcPr>
          <w:p w14:paraId="0C825E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90 km/h</w:t>
            </w:r>
          </w:p>
        </w:tc>
      </w:tr>
      <w:tr w:rsidR="00955A27" w:rsidRPr="001667DB" w14:paraId="7504024E" w14:textId="77777777" w:rsidTr="001B4B8F">
        <w:tc>
          <w:tcPr>
            <w:tcW w:w="1384" w:type="dxa"/>
          </w:tcPr>
          <w:p w14:paraId="2976A73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GP,G</w:t>
            </w:r>
          </w:p>
        </w:tc>
        <w:tc>
          <w:tcPr>
            <w:tcW w:w="2186" w:type="dxa"/>
          </w:tcPr>
          <w:p w14:paraId="47F9DA6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Pasy ruchu, pasy dodatkowe, jezdnie łącznic, utwardzone pobocza</w:t>
            </w:r>
          </w:p>
        </w:tc>
        <w:tc>
          <w:tcPr>
            <w:tcW w:w="1785" w:type="dxa"/>
          </w:tcPr>
          <w:p w14:paraId="573D499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0,51**</w:t>
            </w:r>
          </w:p>
        </w:tc>
        <w:tc>
          <w:tcPr>
            <w:tcW w:w="1786" w:type="dxa"/>
          </w:tcPr>
          <w:p w14:paraId="653DC07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0,41</w:t>
            </w:r>
          </w:p>
        </w:tc>
        <w:tc>
          <w:tcPr>
            <w:tcW w:w="1786" w:type="dxa"/>
          </w:tcPr>
          <w:p w14:paraId="0D0E349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0B68BAF1" w14:textId="77777777" w:rsidTr="001B4B8F">
        <w:tc>
          <w:tcPr>
            <w:tcW w:w="8927" w:type="dxa"/>
            <w:gridSpan w:val="5"/>
          </w:tcPr>
          <w:p w14:paraId="35D963CC" w14:textId="77777777" w:rsidR="00955A27" w:rsidRPr="001667DB" w:rsidRDefault="00955A27" w:rsidP="00955A27">
            <w:pPr>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  wartość wymagania dla odcinków nawierzchni, na których nie można wykonać pomiarów z prędkością 90 km/h,</w:t>
            </w:r>
          </w:p>
          <w:p w14:paraId="6FD64D84" w14:textId="77777777" w:rsidR="00955A27" w:rsidRPr="001667DB" w:rsidRDefault="00955A27" w:rsidP="00955A27">
            <w:pPr>
              <w:tabs>
                <w:tab w:val="left" w:pos="284"/>
              </w:tabs>
              <w:spacing w:after="120" w:line="360" w:lineRule="auto"/>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wartości wymagań dla odcinków nawierzchni, na których nie można wykonać pomiarów z prędkością 60 km/h.</w:t>
            </w:r>
          </w:p>
        </w:tc>
      </w:tr>
    </w:tbl>
    <w:p w14:paraId="4BD857F0" w14:textId="77777777" w:rsidR="00955A27" w:rsidRPr="001667DB" w:rsidRDefault="00955A27" w:rsidP="00955A27">
      <w:pPr>
        <w:spacing w:after="120" w:line="360" w:lineRule="auto"/>
        <w:rPr>
          <w:rFonts w:ascii="Times New Roman" w:hAnsi="Times New Roman" w:cs="Times New Roman"/>
          <w:color w:val="000000" w:themeColor="text1"/>
        </w:rPr>
      </w:pPr>
    </w:p>
    <w:p w14:paraId="45B2685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6.5.4.11 Jasność nawierzchni</w:t>
      </w:r>
    </w:p>
    <w:p w14:paraId="685A408D"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 jasną uważa się taką nawierzchnię, dla której oznaczona wartość współczynnika luminancji na etapie: przeprowadzania procedury badania typu (wartość towarzysząca badaniu typu) i zatwierdzania badania typu przez Zamawiającego, wynosi co najmniej 70 mcd/(m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∙lux) – dotyczy zastosowań na powierzchniach określonych w niniejszym punkcie.</w:t>
      </w:r>
    </w:p>
    <w:p w14:paraId="696B44B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współczynnika luminancji należy wykonać wg załącznika 4 z WT-2 2014 -część I.</w:t>
      </w:r>
    </w:p>
    <w:p w14:paraId="533875CD"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6.5.5. </w:t>
      </w:r>
      <w:r w:rsidRPr="001667DB">
        <w:rPr>
          <w:rFonts w:ascii="Times New Roman" w:hAnsi="Times New Roman" w:cs="Times New Roman"/>
          <w:color w:val="000000" w:themeColor="text1"/>
        </w:rPr>
        <w:t>Badania kontrolne dodatkowe</w:t>
      </w:r>
    </w:p>
    <w:p w14:paraId="380C185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wypadku uznania, że jeden z wyników badań kontrolnych nie jest reprezentatywny dla ocenianego odcinka budowy, Wykonawca ma prawo żądać przeprowadzenia badań kontrolnych dodatkowych.</w:t>
      </w:r>
    </w:p>
    <w:p w14:paraId="430E4D1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16AF7D5D"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odbioru uwzględniane są wyniki badań kontrolnych i badań kontrolnych dodatkowych do wyznaczonych odcinków częściowych.</w:t>
      </w:r>
    </w:p>
    <w:p w14:paraId="656919B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Koszty badań kontrolnych dodatkowych zażądanych przez Wykonawcę ponosi Wykonawca.</w:t>
      </w:r>
    </w:p>
    <w:p w14:paraId="0C0DA0BD" w14:textId="77777777" w:rsidR="00955A27" w:rsidRPr="001667DB" w:rsidRDefault="00955A27" w:rsidP="00A9424D">
      <w:pPr>
        <w:keepNext/>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6.5.6. </w:t>
      </w:r>
      <w:r w:rsidRPr="001667DB">
        <w:rPr>
          <w:rFonts w:ascii="Times New Roman" w:hAnsi="Times New Roman" w:cs="Times New Roman"/>
          <w:color w:val="000000" w:themeColor="text1"/>
        </w:rPr>
        <w:t>Badania arbitrażowe</w:t>
      </w:r>
    </w:p>
    <w:p w14:paraId="01DC18CE"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arbitrażowe są powtórzeniem badań kontrolnych, co do których istnieją uzasadnione wątpliwości ze strony Inżyniera lub Wykonawcy (np. na podstawie własnych badań).</w:t>
      </w:r>
    </w:p>
    <w:p w14:paraId="73B0356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arbitrażowe wykonuje na wniosek strony kontraktu niezależne laboratorium, które nie wykonywało badań kontrolnych.</w:t>
      </w:r>
    </w:p>
    <w:p w14:paraId="49FDB4D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Koszty badań arbitrażowych wraz ze wszystkimi kosztami ubocznymi ponosi strona, na której niekorzyść przemawia wynik badania.</w:t>
      </w:r>
    </w:p>
    <w:p w14:paraId="250EA532" w14:textId="77777777" w:rsidR="00955A27" w:rsidRPr="00326BBF" w:rsidRDefault="00955A27" w:rsidP="00A9424D">
      <w:pPr>
        <w:pStyle w:val="Nagwek1"/>
        <w:spacing w:line="360" w:lineRule="auto"/>
        <w:jc w:val="both"/>
        <w:rPr>
          <w:color w:val="000000" w:themeColor="text1"/>
          <w:sz w:val="22"/>
          <w:szCs w:val="22"/>
          <w:lang w:val="pl-PL"/>
        </w:rPr>
      </w:pPr>
      <w:bookmarkStart w:id="460" w:name="_Toc462133772"/>
      <w:r w:rsidRPr="00326BBF">
        <w:rPr>
          <w:color w:val="000000" w:themeColor="text1"/>
          <w:sz w:val="22"/>
          <w:szCs w:val="22"/>
          <w:lang w:val="pl-PL"/>
        </w:rPr>
        <w:t>7. Obmiar robót</w:t>
      </w:r>
      <w:bookmarkEnd w:id="460"/>
    </w:p>
    <w:p w14:paraId="3DE43EE3"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7.1. Ogólne zasady obmiaru robót</w:t>
      </w:r>
    </w:p>
    <w:p w14:paraId="784D6E7E"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 pkt 7.</w:t>
      </w:r>
    </w:p>
    <w:p w14:paraId="4D94C46B"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lastRenderedPageBreak/>
        <w:t>7.2. Jednostka obmiarowa</w:t>
      </w:r>
    </w:p>
    <w:p w14:paraId="5F40256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 ścieralnej z betonu asfaltowego (AC).</w:t>
      </w:r>
    </w:p>
    <w:p w14:paraId="3AE77C71" w14:textId="77777777" w:rsidR="00955A27" w:rsidRPr="00326BBF" w:rsidRDefault="00955A27" w:rsidP="00A9424D">
      <w:pPr>
        <w:pStyle w:val="Nagwek1"/>
        <w:spacing w:line="360" w:lineRule="auto"/>
        <w:jc w:val="both"/>
        <w:rPr>
          <w:color w:val="000000" w:themeColor="text1"/>
          <w:sz w:val="22"/>
          <w:szCs w:val="22"/>
          <w:lang w:val="pl-PL"/>
        </w:rPr>
      </w:pPr>
      <w:bookmarkStart w:id="461" w:name="_Toc462133773"/>
      <w:r w:rsidRPr="00326BBF">
        <w:rPr>
          <w:color w:val="000000" w:themeColor="text1"/>
          <w:sz w:val="22"/>
          <w:szCs w:val="22"/>
          <w:lang w:val="pl-PL"/>
        </w:rPr>
        <w:t>8. Odbiór robót</w:t>
      </w:r>
      <w:bookmarkEnd w:id="461"/>
    </w:p>
    <w:p w14:paraId="5D9DD257"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[1] pkt 8.</w:t>
      </w:r>
    </w:p>
    <w:p w14:paraId="0A9B44E7"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pktu 6 dały wyniki pozytywne.</w:t>
      </w:r>
    </w:p>
    <w:p w14:paraId="01AEF79C" w14:textId="77777777" w:rsidR="00955A27" w:rsidRPr="00326BBF" w:rsidRDefault="00955A27" w:rsidP="00A9424D">
      <w:pPr>
        <w:pStyle w:val="Nagwek1"/>
        <w:spacing w:line="360" w:lineRule="auto"/>
        <w:jc w:val="both"/>
        <w:rPr>
          <w:color w:val="000000" w:themeColor="text1"/>
          <w:sz w:val="22"/>
          <w:szCs w:val="22"/>
          <w:lang w:val="pl-PL"/>
        </w:rPr>
      </w:pPr>
      <w:bookmarkStart w:id="462" w:name="_Toc462133774"/>
      <w:r w:rsidRPr="00326BBF">
        <w:rPr>
          <w:color w:val="000000" w:themeColor="text1"/>
          <w:sz w:val="22"/>
          <w:szCs w:val="22"/>
          <w:lang w:val="pl-PL"/>
        </w:rPr>
        <w:t>9. Podstawa płatności</w:t>
      </w:r>
      <w:bookmarkEnd w:id="462"/>
    </w:p>
    <w:p w14:paraId="305DDD29"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9.1. Ogólne ustalenia dotyczące podstawy płatności</w:t>
      </w:r>
    </w:p>
    <w:p w14:paraId="1BFA3E4C" w14:textId="77777777" w:rsidR="00955A27" w:rsidRPr="001667DB" w:rsidRDefault="00955A27" w:rsidP="00A9424D">
      <w:pPr>
        <w:numPr>
          <w:ilvl w:val="12"/>
          <w:numId w:val="0"/>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[1] pkt 9.</w:t>
      </w:r>
    </w:p>
    <w:p w14:paraId="6A34B044" w14:textId="77777777" w:rsidR="00955A27" w:rsidRPr="001667DB" w:rsidRDefault="00955A27" w:rsidP="00A9424D">
      <w:pPr>
        <w:pStyle w:val="Nagwek2"/>
        <w:numPr>
          <w:ilvl w:val="12"/>
          <w:numId w:val="0"/>
        </w:numPr>
        <w:spacing w:line="360" w:lineRule="auto"/>
        <w:jc w:val="both"/>
        <w:rPr>
          <w:color w:val="000000" w:themeColor="text1"/>
          <w:sz w:val="22"/>
          <w:szCs w:val="22"/>
        </w:rPr>
      </w:pPr>
      <w:r w:rsidRPr="001667DB">
        <w:rPr>
          <w:color w:val="000000" w:themeColor="text1"/>
          <w:sz w:val="22"/>
          <w:szCs w:val="22"/>
        </w:rPr>
        <w:t>9.2. Cena jednostki obmiarowej</w:t>
      </w:r>
    </w:p>
    <w:p w14:paraId="025B0590" w14:textId="77777777" w:rsidR="00955A27" w:rsidRPr="001667DB" w:rsidRDefault="00955A27" w:rsidP="00A9424D">
      <w:pPr>
        <w:numPr>
          <w:ilvl w:val="12"/>
          <w:numId w:val="0"/>
        </w:num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warstwy ścieralnej z betonu asfaltowego (AC) obejmuje:</w:t>
      </w:r>
    </w:p>
    <w:p w14:paraId="78F10527"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515FB0F1"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5F13DD33"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oczyszczenie i skropienie podłoża,</w:t>
      </w:r>
    </w:p>
    <w:p w14:paraId="1819CA97"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307DCD43"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opracowanie recepty laboratoryjnej,</w:t>
      </w:r>
    </w:p>
    <w:p w14:paraId="653844FA"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próby technologicznej i odcinka próbnego,</w:t>
      </w:r>
    </w:p>
    <w:p w14:paraId="3ABB0928"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wyprodukowanie mieszanki betonu asfaltowego i jej transport na miejsce wbudowania,</w:t>
      </w:r>
    </w:p>
    <w:p w14:paraId="345B114F"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posmarowanie lepiszczem lub pokrycie taśmą asfaltową krawędzi urządzeń obcych i krawężników,</w:t>
      </w:r>
    </w:p>
    <w:p w14:paraId="24B3CC02"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rozłożenie i zagęszczenie mieszanki betonu asfaltowego,</w:t>
      </w:r>
    </w:p>
    <w:p w14:paraId="20A62712"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obcięcie krawędzi i posmarowanie lepiszczem,</w:t>
      </w:r>
    </w:p>
    <w:p w14:paraId="213595D0"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specyfikacji technicznej,</w:t>
      </w:r>
    </w:p>
    <w:p w14:paraId="1FC10FDA"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b/>
          <w:color w:val="000000" w:themeColor="text1"/>
        </w:rPr>
      </w:pPr>
      <w:r w:rsidRPr="001667DB">
        <w:rPr>
          <w:rFonts w:ascii="Times New Roman" w:hAnsi="Times New Roman" w:cs="Times New Roman"/>
          <w:color w:val="000000" w:themeColor="text1"/>
        </w:rPr>
        <w:t>odwiezienie sprzętu.</w:t>
      </w:r>
    </w:p>
    <w:p w14:paraId="4C89D604"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lastRenderedPageBreak/>
        <w:t>9.3. Sposób rozliczenia robót tymczasowych i prac towarzyszących</w:t>
      </w:r>
    </w:p>
    <w:p w14:paraId="5EE43DA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751E2694"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20BADFB9" w14:textId="77777777" w:rsidR="00955A27" w:rsidRPr="001667DB" w:rsidRDefault="00955A27" w:rsidP="00A9424D">
      <w:pPr>
        <w:numPr>
          <w:ilvl w:val="0"/>
          <w:numId w:val="23"/>
        </w:numPr>
        <w:overflowPunct w:val="0"/>
        <w:autoSpaceDE w:val="0"/>
        <w:autoSpaceDN w:val="0"/>
        <w:adjustRightInd w:val="0"/>
        <w:spacing w:after="120" w:line="36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3C257BAC" w14:textId="77777777" w:rsidR="00955A27" w:rsidRPr="00326BBF" w:rsidRDefault="00955A27" w:rsidP="00A9424D">
      <w:pPr>
        <w:pStyle w:val="Nagwek1"/>
        <w:spacing w:line="360" w:lineRule="auto"/>
        <w:jc w:val="both"/>
        <w:rPr>
          <w:color w:val="000000" w:themeColor="text1"/>
          <w:sz w:val="22"/>
          <w:szCs w:val="22"/>
          <w:lang w:val="pl-PL"/>
        </w:rPr>
      </w:pPr>
      <w:bookmarkStart w:id="463" w:name="_Toc462133775"/>
      <w:r w:rsidRPr="00326BBF">
        <w:rPr>
          <w:color w:val="000000" w:themeColor="text1"/>
          <w:sz w:val="22"/>
          <w:szCs w:val="22"/>
          <w:lang w:val="pl-PL"/>
        </w:rPr>
        <w:t>10. Przepisy związane</w:t>
      </w:r>
      <w:bookmarkEnd w:id="463"/>
    </w:p>
    <w:p w14:paraId="0506498F"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10.1. Specyfikacje techniczne (ST)</w:t>
      </w:r>
    </w:p>
    <w:tbl>
      <w:tblPr>
        <w:tblW w:w="0" w:type="auto"/>
        <w:tblLayout w:type="fixed"/>
        <w:tblCellMar>
          <w:left w:w="70" w:type="dxa"/>
          <w:right w:w="70" w:type="dxa"/>
        </w:tblCellMar>
        <w:tblLook w:val="0000" w:firstRow="0" w:lastRow="0" w:firstColumn="0" w:lastColumn="0" w:noHBand="0" w:noVBand="0"/>
      </w:tblPr>
      <w:tblGrid>
        <w:gridCol w:w="670"/>
        <w:gridCol w:w="1701"/>
        <w:gridCol w:w="6492"/>
      </w:tblGrid>
      <w:tr w:rsidR="00955A27" w:rsidRPr="001667DB" w14:paraId="21E4AF0D" w14:textId="77777777">
        <w:tc>
          <w:tcPr>
            <w:tcW w:w="670" w:type="dxa"/>
          </w:tcPr>
          <w:p w14:paraId="5D409EC8"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701" w:type="dxa"/>
          </w:tcPr>
          <w:p w14:paraId="1318427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D-M-00.00.00</w:t>
            </w:r>
          </w:p>
        </w:tc>
        <w:tc>
          <w:tcPr>
            <w:tcW w:w="6492" w:type="dxa"/>
          </w:tcPr>
          <w:p w14:paraId="24BA809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bl>
    <w:p w14:paraId="5D1C390C"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Normy</w:t>
      </w:r>
    </w:p>
    <w:p w14:paraId="1EC56B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(Zestawienie zawiera dodatkowo normy PN-EN związane z badaniami materiałów występujących w niniejszej ST)</w:t>
      </w:r>
    </w:p>
    <w:tbl>
      <w:tblPr>
        <w:tblW w:w="8897" w:type="dxa"/>
        <w:tblLayout w:type="fixed"/>
        <w:tblLook w:val="01E0" w:firstRow="1" w:lastRow="1" w:firstColumn="1" w:lastColumn="1" w:noHBand="0" w:noVBand="0"/>
      </w:tblPr>
      <w:tblGrid>
        <w:gridCol w:w="708"/>
        <w:gridCol w:w="2280"/>
        <w:gridCol w:w="5909"/>
      </w:tblGrid>
      <w:tr w:rsidR="00955A27" w:rsidRPr="001667DB" w14:paraId="0D5BD769" w14:textId="77777777" w:rsidTr="001B4B8F">
        <w:tc>
          <w:tcPr>
            <w:tcW w:w="708" w:type="dxa"/>
          </w:tcPr>
          <w:p w14:paraId="16B8492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280" w:type="dxa"/>
          </w:tcPr>
          <w:p w14:paraId="36DA913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196-2</w:t>
            </w:r>
          </w:p>
        </w:tc>
        <w:tc>
          <w:tcPr>
            <w:tcW w:w="5909" w:type="dxa"/>
          </w:tcPr>
          <w:p w14:paraId="7A00D79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Metody badania cementu – Część 2: Analiza chemiczna cementu</w:t>
            </w:r>
          </w:p>
        </w:tc>
      </w:tr>
      <w:tr w:rsidR="00955A27" w:rsidRPr="001667DB" w14:paraId="5595F1A0" w14:textId="77777777" w:rsidTr="001B4B8F">
        <w:tc>
          <w:tcPr>
            <w:tcW w:w="708" w:type="dxa"/>
          </w:tcPr>
          <w:p w14:paraId="17638D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2280" w:type="dxa"/>
          </w:tcPr>
          <w:p w14:paraId="614841B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459-2</w:t>
            </w:r>
          </w:p>
        </w:tc>
        <w:tc>
          <w:tcPr>
            <w:tcW w:w="5909" w:type="dxa"/>
          </w:tcPr>
          <w:p w14:paraId="2C0EF9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Wapno budowlane – Część 2: Metody badań</w:t>
            </w:r>
          </w:p>
        </w:tc>
      </w:tr>
      <w:tr w:rsidR="00955A27" w:rsidRPr="001667DB" w14:paraId="2A1915CF" w14:textId="77777777" w:rsidTr="001B4B8F">
        <w:tc>
          <w:tcPr>
            <w:tcW w:w="708" w:type="dxa"/>
          </w:tcPr>
          <w:p w14:paraId="746377B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280" w:type="dxa"/>
          </w:tcPr>
          <w:p w14:paraId="26F58E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932-3</w:t>
            </w:r>
          </w:p>
        </w:tc>
        <w:tc>
          <w:tcPr>
            <w:tcW w:w="5909" w:type="dxa"/>
          </w:tcPr>
          <w:p w14:paraId="3558C8B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podstawowych właściwości kruszyw – Procedura i terminologia uproszczonego opisu petrograficznego</w:t>
            </w:r>
          </w:p>
        </w:tc>
      </w:tr>
      <w:tr w:rsidR="00955A27" w:rsidRPr="001667DB" w14:paraId="4EED391A" w14:textId="77777777" w:rsidTr="001B4B8F">
        <w:tc>
          <w:tcPr>
            <w:tcW w:w="708" w:type="dxa"/>
          </w:tcPr>
          <w:p w14:paraId="1F666D4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280" w:type="dxa"/>
          </w:tcPr>
          <w:p w14:paraId="377C31A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w:t>
            </w:r>
          </w:p>
        </w:tc>
        <w:tc>
          <w:tcPr>
            <w:tcW w:w="5909" w:type="dxa"/>
          </w:tcPr>
          <w:p w14:paraId="32890E1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1: Oznaczanie składu ziarnowego – Metoda przesiewania</w:t>
            </w:r>
          </w:p>
        </w:tc>
      </w:tr>
      <w:tr w:rsidR="00955A27" w:rsidRPr="001667DB" w14:paraId="608CE573" w14:textId="77777777" w:rsidTr="001B4B8F">
        <w:tc>
          <w:tcPr>
            <w:tcW w:w="708" w:type="dxa"/>
          </w:tcPr>
          <w:p w14:paraId="7DB48A9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280" w:type="dxa"/>
          </w:tcPr>
          <w:p w14:paraId="12367FA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933-3</w:t>
            </w:r>
          </w:p>
        </w:tc>
        <w:tc>
          <w:tcPr>
            <w:tcW w:w="5909" w:type="dxa"/>
          </w:tcPr>
          <w:p w14:paraId="4FCC02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3: Oznaczanie kształtu ziarn za pomocą wskaźnika płaskości</w:t>
            </w:r>
          </w:p>
        </w:tc>
      </w:tr>
      <w:tr w:rsidR="00955A27" w:rsidRPr="001667DB" w14:paraId="0F5F897B" w14:textId="77777777" w:rsidTr="001B4B8F">
        <w:tc>
          <w:tcPr>
            <w:tcW w:w="708" w:type="dxa"/>
          </w:tcPr>
          <w:p w14:paraId="184B514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280" w:type="dxa"/>
          </w:tcPr>
          <w:p w14:paraId="1C791AB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933-4</w:t>
            </w:r>
          </w:p>
        </w:tc>
        <w:tc>
          <w:tcPr>
            <w:tcW w:w="5909" w:type="dxa"/>
          </w:tcPr>
          <w:p w14:paraId="6D02616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4: Oznaczanie kształtu ziarn – Wskaźnik kształtu</w:t>
            </w:r>
          </w:p>
        </w:tc>
      </w:tr>
      <w:tr w:rsidR="00955A27" w:rsidRPr="001667DB" w14:paraId="593245DA" w14:textId="77777777" w:rsidTr="001B4B8F">
        <w:tc>
          <w:tcPr>
            <w:tcW w:w="708" w:type="dxa"/>
          </w:tcPr>
          <w:p w14:paraId="5F29FE3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280" w:type="dxa"/>
          </w:tcPr>
          <w:p w14:paraId="690B39B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933-5</w:t>
            </w:r>
          </w:p>
        </w:tc>
        <w:tc>
          <w:tcPr>
            <w:tcW w:w="5909" w:type="dxa"/>
          </w:tcPr>
          <w:p w14:paraId="6EB2B76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Oznaczanie procentowej zawartości ziarn o powierzchniach powstałych w wyniku przekruszenia lub łamania kruszyw grubych</w:t>
            </w:r>
          </w:p>
        </w:tc>
      </w:tr>
      <w:tr w:rsidR="00955A27" w:rsidRPr="001667DB" w14:paraId="0B1796D4" w14:textId="77777777" w:rsidTr="001B4B8F">
        <w:tc>
          <w:tcPr>
            <w:tcW w:w="708" w:type="dxa"/>
          </w:tcPr>
          <w:p w14:paraId="78AEA3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280" w:type="dxa"/>
          </w:tcPr>
          <w:p w14:paraId="5ECF912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933-6</w:t>
            </w:r>
          </w:p>
        </w:tc>
        <w:tc>
          <w:tcPr>
            <w:tcW w:w="5909" w:type="dxa"/>
          </w:tcPr>
          <w:p w14:paraId="5C001AF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6: Ocena właściwości powierzchni – Wskaźnik przepływu kruszyw</w:t>
            </w:r>
          </w:p>
        </w:tc>
      </w:tr>
      <w:tr w:rsidR="00955A27" w:rsidRPr="001667DB" w14:paraId="1A2012D0" w14:textId="77777777" w:rsidTr="001B4B8F">
        <w:tc>
          <w:tcPr>
            <w:tcW w:w="708" w:type="dxa"/>
          </w:tcPr>
          <w:p w14:paraId="23020AB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10.</w:t>
            </w:r>
          </w:p>
        </w:tc>
        <w:tc>
          <w:tcPr>
            <w:tcW w:w="2280" w:type="dxa"/>
          </w:tcPr>
          <w:p w14:paraId="20622E8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933-9</w:t>
            </w:r>
          </w:p>
        </w:tc>
        <w:tc>
          <w:tcPr>
            <w:tcW w:w="5909" w:type="dxa"/>
          </w:tcPr>
          <w:p w14:paraId="719FCA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9: Ocena zawartości drobnych cząstek – Badania błękitem metylenowym</w:t>
            </w:r>
          </w:p>
        </w:tc>
      </w:tr>
      <w:tr w:rsidR="00955A27" w:rsidRPr="001667DB" w14:paraId="724B4962" w14:textId="77777777" w:rsidTr="001B4B8F">
        <w:tc>
          <w:tcPr>
            <w:tcW w:w="708" w:type="dxa"/>
          </w:tcPr>
          <w:p w14:paraId="5B7E635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280" w:type="dxa"/>
          </w:tcPr>
          <w:p w14:paraId="1AB6002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933-10</w:t>
            </w:r>
          </w:p>
        </w:tc>
        <w:tc>
          <w:tcPr>
            <w:tcW w:w="5909" w:type="dxa"/>
          </w:tcPr>
          <w:p w14:paraId="532FF80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geometrycznych właściwości kruszyw – Część 10: Ocena zawartości drobnych cząstek – Uziarnienie wypełniaczy (przesiewanie w strumieniu powietrza)</w:t>
            </w:r>
          </w:p>
        </w:tc>
      </w:tr>
      <w:tr w:rsidR="00955A27" w:rsidRPr="001667DB" w14:paraId="2257F4F7" w14:textId="77777777" w:rsidTr="001B4B8F">
        <w:tc>
          <w:tcPr>
            <w:tcW w:w="708" w:type="dxa"/>
          </w:tcPr>
          <w:p w14:paraId="4D4B25D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280" w:type="dxa"/>
          </w:tcPr>
          <w:p w14:paraId="56F6AE7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1097-2</w:t>
            </w:r>
          </w:p>
        </w:tc>
        <w:tc>
          <w:tcPr>
            <w:tcW w:w="5909" w:type="dxa"/>
          </w:tcPr>
          <w:p w14:paraId="508F3E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2: Metody oznaczania odporności na rozdrabnianie</w:t>
            </w:r>
          </w:p>
        </w:tc>
      </w:tr>
      <w:tr w:rsidR="00955A27" w:rsidRPr="001667DB" w14:paraId="223CBBD7" w14:textId="77777777" w:rsidTr="001B4B8F">
        <w:tc>
          <w:tcPr>
            <w:tcW w:w="708" w:type="dxa"/>
          </w:tcPr>
          <w:p w14:paraId="235D5B4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2280" w:type="dxa"/>
          </w:tcPr>
          <w:p w14:paraId="4F83B1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1097-4</w:t>
            </w:r>
          </w:p>
        </w:tc>
        <w:tc>
          <w:tcPr>
            <w:tcW w:w="5909" w:type="dxa"/>
          </w:tcPr>
          <w:p w14:paraId="0A48B46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4: Oznaczanie pustych przestrzeni suchego, zagęszczonego wypełniacza</w:t>
            </w:r>
          </w:p>
        </w:tc>
      </w:tr>
      <w:tr w:rsidR="00955A27" w:rsidRPr="001667DB" w14:paraId="724DB0AD" w14:textId="77777777" w:rsidTr="001B4B8F">
        <w:tc>
          <w:tcPr>
            <w:tcW w:w="708" w:type="dxa"/>
          </w:tcPr>
          <w:p w14:paraId="0EFEEF5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2280" w:type="dxa"/>
          </w:tcPr>
          <w:p w14:paraId="653093F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1097-5</w:t>
            </w:r>
          </w:p>
        </w:tc>
        <w:tc>
          <w:tcPr>
            <w:tcW w:w="5909" w:type="dxa"/>
          </w:tcPr>
          <w:p w14:paraId="13A9C09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5: Oznaczanie zawartości wody przez suszenie w suszarce z wentylacją</w:t>
            </w:r>
          </w:p>
        </w:tc>
      </w:tr>
      <w:tr w:rsidR="00955A27" w:rsidRPr="001667DB" w14:paraId="19C23255" w14:textId="77777777" w:rsidTr="001B4B8F">
        <w:tc>
          <w:tcPr>
            <w:tcW w:w="708" w:type="dxa"/>
          </w:tcPr>
          <w:p w14:paraId="297FBE8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2280" w:type="dxa"/>
          </w:tcPr>
          <w:p w14:paraId="24BE220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1097-6</w:t>
            </w:r>
          </w:p>
        </w:tc>
        <w:tc>
          <w:tcPr>
            <w:tcW w:w="5909" w:type="dxa"/>
          </w:tcPr>
          <w:p w14:paraId="2D2C5B9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6: Oznaczanie gęstości ziarn i nasiąkliwości</w:t>
            </w:r>
          </w:p>
        </w:tc>
      </w:tr>
      <w:tr w:rsidR="00955A27" w:rsidRPr="001667DB" w14:paraId="7C3866C4" w14:textId="77777777" w:rsidTr="001B4B8F">
        <w:tc>
          <w:tcPr>
            <w:tcW w:w="708" w:type="dxa"/>
          </w:tcPr>
          <w:p w14:paraId="4A119A2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2280" w:type="dxa"/>
          </w:tcPr>
          <w:p w14:paraId="2052C71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1097-7</w:t>
            </w:r>
          </w:p>
        </w:tc>
        <w:tc>
          <w:tcPr>
            <w:tcW w:w="5909" w:type="dxa"/>
          </w:tcPr>
          <w:p w14:paraId="22ADAF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7: Oznaczanie gęstości wypełniacza – Metoda piknometryczna</w:t>
            </w:r>
          </w:p>
        </w:tc>
      </w:tr>
      <w:tr w:rsidR="00955A27" w:rsidRPr="001667DB" w14:paraId="3B54E51A" w14:textId="77777777" w:rsidTr="001B4B8F">
        <w:tc>
          <w:tcPr>
            <w:tcW w:w="708" w:type="dxa"/>
          </w:tcPr>
          <w:p w14:paraId="1ACB69E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2280" w:type="dxa"/>
          </w:tcPr>
          <w:p w14:paraId="08A9E68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1097-8</w:t>
            </w:r>
          </w:p>
        </w:tc>
        <w:tc>
          <w:tcPr>
            <w:tcW w:w="5909" w:type="dxa"/>
          </w:tcPr>
          <w:p w14:paraId="78FDCA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mechanicznych i fizycznych właściwości kruszyw – Część 8: Oznaczanie polerowalności kamienia</w:t>
            </w:r>
          </w:p>
        </w:tc>
      </w:tr>
      <w:tr w:rsidR="00955A27" w:rsidRPr="001667DB" w14:paraId="6ACECFC0" w14:textId="77777777" w:rsidTr="001B4B8F">
        <w:tc>
          <w:tcPr>
            <w:tcW w:w="708" w:type="dxa"/>
          </w:tcPr>
          <w:p w14:paraId="42E5EE5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19.</w:t>
            </w:r>
          </w:p>
        </w:tc>
        <w:tc>
          <w:tcPr>
            <w:tcW w:w="2280" w:type="dxa"/>
          </w:tcPr>
          <w:p w14:paraId="09F5358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1367-3</w:t>
            </w:r>
          </w:p>
        </w:tc>
        <w:tc>
          <w:tcPr>
            <w:tcW w:w="5909" w:type="dxa"/>
          </w:tcPr>
          <w:p w14:paraId="1F145A0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3: Badanie bazaltowej zgorzeli słonecznej metodą gotowania</w:t>
            </w:r>
          </w:p>
        </w:tc>
      </w:tr>
      <w:tr w:rsidR="00955A27" w:rsidRPr="001667DB" w14:paraId="70224448" w14:textId="77777777" w:rsidTr="001B4B8F">
        <w:tc>
          <w:tcPr>
            <w:tcW w:w="708" w:type="dxa"/>
          </w:tcPr>
          <w:p w14:paraId="1B04F9B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2280" w:type="dxa"/>
          </w:tcPr>
          <w:p w14:paraId="28EC39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1367-6</w:t>
            </w:r>
          </w:p>
        </w:tc>
        <w:tc>
          <w:tcPr>
            <w:tcW w:w="5909" w:type="dxa"/>
          </w:tcPr>
          <w:p w14:paraId="09572B3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właściwości cieplnych i odporności kruszyw na działanie czynników atmosferycznych - Część 6: Mrozoodporność w obecności soli</w:t>
            </w:r>
          </w:p>
        </w:tc>
      </w:tr>
      <w:tr w:rsidR="00955A27" w:rsidRPr="001667DB" w14:paraId="6E6D1A75" w14:textId="77777777" w:rsidTr="001B4B8F">
        <w:tc>
          <w:tcPr>
            <w:tcW w:w="708" w:type="dxa"/>
          </w:tcPr>
          <w:p w14:paraId="6DA273C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2280" w:type="dxa"/>
          </w:tcPr>
          <w:p w14:paraId="0C41137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1426</w:t>
            </w:r>
          </w:p>
        </w:tc>
        <w:tc>
          <w:tcPr>
            <w:tcW w:w="5909" w:type="dxa"/>
          </w:tcPr>
          <w:p w14:paraId="37951C5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penetracji igłą</w:t>
            </w:r>
          </w:p>
        </w:tc>
      </w:tr>
      <w:tr w:rsidR="00955A27" w:rsidRPr="001667DB" w14:paraId="3C76DDE7" w14:textId="77777777" w:rsidTr="001B4B8F">
        <w:tc>
          <w:tcPr>
            <w:tcW w:w="708" w:type="dxa"/>
          </w:tcPr>
          <w:p w14:paraId="6A9CE71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22.</w:t>
            </w:r>
          </w:p>
        </w:tc>
        <w:tc>
          <w:tcPr>
            <w:tcW w:w="2280" w:type="dxa"/>
          </w:tcPr>
          <w:p w14:paraId="2059A56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1427</w:t>
            </w:r>
          </w:p>
        </w:tc>
        <w:tc>
          <w:tcPr>
            <w:tcW w:w="5909" w:type="dxa"/>
          </w:tcPr>
          <w:p w14:paraId="2A2A868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temperatury mięknienia – Metoda Pierścień i Kula</w:t>
            </w:r>
          </w:p>
        </w:tc>
      </w:tr>
      <w:tr w:rsidR="00955A27" w:rsidRPr="001667DB" w14:paraId="0AB85F8F" w14:textId="77777777" w:rsidTr="001B4B8F">
        <w:tc>
          <w:tcPr>
            <w:tcW w:w="708" w:type="dxa"/>
          </w:tcPr>
          <w:p w14:paraId="372BB4F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23.</w:t>
            </w:r>
          </w:p>
        </w:tc>
        <w:tc>
          <w:tcPr>
            <w:tcW w:w="2280" w:type="dxa"/>
          </w:tcPr>
          <w:p w14:paraId="22CB587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1744-1</w:t>
            </w:r>
          </w:p>
        </w:tc>
        <w:tc>
          <w:tcPr>
            <w:tcW w:w="5909" w:type="dxa"/>
          </w:tcPr>
          <w:p w14:paraId="6E0D2E5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chemicznych właściwości kruszyw – Analiza chemiczna</w:t>
            </w:r>
          </w:p>
        </w:tc>
      </w:tr>
      <w:tr w:rsidR="00955A27" w:rsidRPr="001667DB" w14:paraId="4EB21EAB" w14:textId="77777777" w:rsidTr="001B4B8F">
        <w:tc>
          <w:tcPr>
            <w:tcW w:w="708" w:type="dxa"/>
          </w:tcPr>
          <w:p w14:paraId="5E36A6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24.</w:t>
            </w:r>
          </w:p>
        </w:tc>
        <w:tc>
          <w:tcPr>
            <w:tcW w:w="2280" w:type="dxa"/>
          </w:tcPr>
          <w:p w14:paraId="7193B8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12591</w:t>
            </w:r>
          </w:p>
        </w:tc>
        <w:tc>
          <w:tcPr>
            <w:tcW w:w="5909" w:type="dxa"/>
          </w:tcPr>
          <w:p w14:paraId="4B0D0C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Wymagania dla asfaltów drogowych</w:t>
            </w:r>
          </w:p>
        </w:tc>
      </w:tr>
    </w:tbl>
    <w:p w14:paraId="224F776A" w14:textId="77777777" w:rsidR="00955A27" w:rsidRPr="001667DB" w:rsidRDefault="00955A27" w:rsidP="00955A27">
      <w:pPr>
        <w:spacing w:after="120" w:line="360" w:lineRule="auto"/>
        <w:rPr>
          <w:rFonts w:ascii="Times New Roman" w:hAnsi="Times New Roman" w:cs="Times New Roman"/>
          <w:color w:val="000000" w:themeColor="text1"/>
        </w:rPr>
      </w:pPr>
    </w:p>
    <w:tbl>
      <w:tblPr>
        <w:tblW w:w="8897" w:type="dxa"/>
        <w:tblLayout w:type="fixed"/>
        <w:tblLook w:val="01E0" w:firstRow="1" w:lastRow="1" w:firstColumn="1" w:lastColumn="1" w:noHBand="0" w:noVBand="0"/>
      </w:tblPr>
      <w:tblGrid>
        <w:gridCol w:w="708"/>
        <w:gridCol w:w="2280"/>
        <w:gridCol w:w="5909"/>
      </w:tblGrid>
      <w:tr w:rsidR="00955A27" w:rsidRPr="001667DB" w14:paraId="3724F308" w14:textId="77777777" w:rsidTr="001B4B8F">
        <w:tc>
          <w:tcPr>
            <w:tcW w:w="708" w:type="dxa"/>
          </w:tcPr>
          <w:p w14:paraId="5DA4E98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2280" w:type="dxa"/>
          </w:tcPr>
          <w:p w14:paraId="1AA0FAC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12592</w:t>
            </w:r>
          </w:p>
        </w:tc>
        <w:tc>
          <w:tcPr>
            <w:tcW w:w="5909" w:type="dxa"/>
          </w:tcPr>
          <w:p w14:paraId="2CC25AD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rozpuszczalności</w:t>
            </w:r>
          </w:p>
        </w:tc>
      </w:tr>
      <w:tr w:rsidR="00955A27" w:rsidRPr="001667DB" w14:paraId="6B08A4DA" w14:textId="77777777" w:rsidTr="001B4B8F">
        <w:tc>
          <w:tcPr>
            <w:tcW w:w="708" w:type="dxa"/>
          </w:tcPr>
          <w:p w14:paraId="1F8C417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26.</w:t>
            </w:r>
          </w:p>
        </w:tc>
        <w:tc>
          <w:tcPr>
            <w:tcW w:w="2280" w:type="dxa"/>
          </w:tcPr>
          <w:p w14:paraId="62B8379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12593</w:t>
            </w:r>
          </w:p>
        </w:tc>
        <w:tc>
          <w:tcPr>
            <w:tcW w:w="5909" w:type="dxa"/>
          </w:tcPr>
          <w:p w14:paraId="503A638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produkty asfaltowe – Oznaczanie temperatury łamliwości Fraassa</w:t>
            </w:r>
          </w:p>
        </w:tc>
      </w:tr>
      <w:tr w:rsidR="00955A27" w:rsidRPr="001667DB" w14:paraId="182095BB" w14:textId="77777777" w:rsidTr="001B4B8F">
        <w:tc>
          <w:tcPr>
            <w:tcW w:w="708" w:type="dxa"/>
          </w:tcPr>
          <w:p w14:paraId="45A9409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27.</w:t>
            </w:r>
          </w:p>
        </w:tc>
        <w:tc>
          <w:tcPr>
            <w:tcW w:w="2280" w:type="dxa"/>
          </w:tcPr>
          <w:p w14:paraId="091FFB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12595</w:t>
            </w:r>
          </w:p>
        </w:tc>
        <w:tc>
          <w:tcPr>
            <w:tcW w:w="5909" w:type="dxa"/>
          </w:tcPr>
          <w:p w14:paraId="2B09201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lepkości kinematycznej</w:t>
            </w:r>
          </w:p>
        </w:tc>
      </w:tr>
      <w:tr w:rsidR="00955A27" w:rsidRPr="001667DB" w14:paraId="007269B4" w14:textId="77777777" w:rsidTr="001B4B8F">
        <w:tc>
          <w:tcPr>
            <w:tcW w:w="708" w:type="dxa"/>
          </w:tcPr>
          <w:p w14:paraId="351CE11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28.</w:t>
            </w:r>
          </w:p>
        </w:tc>
        <w:tc>
          <w:tcPr>
            <w:tcW w:w="2280" w:type="dxa"/>
          </w:tcPr>
          <w:p w14:paraId="2FF3944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12596</w:t>
            </w:r>
          </w:p>
        </w:tc>
        <w:tc>
          <w:tcPr>
            <w:tcW w:w="5909" w:type="dxa"/>
          </w:tcPr>
          <w:p w14:paraId="2E8D5E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lepkości dynamicznej metodą próżniowej kapilary</w:t>
            </w:r>
          </w:p>
        </w:tc>
      </w:tr>
      <w:tr w:rsidR="00955A27" w:rsidRPr="001667DB" w14:paraId="3C5F6964" w14:textId="77777777" w:rsidTr="001B4B8F">
        <w:tc>
          <w:tcPr>
            <w:tcW w:w="708" w:type="dxa"/>
          </w:tcPr>
          <w:p w14:paraId="404DBD4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29.</w:t>
            </w:r>
          </w:p>
        </w:tc>
        <w:tc>
          <w:tcPr>
            <w:tcW w:w="2280" w:type="dxa"/>
          </w:tcPr>
          <w:p w14:paraId="016286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12606-1</w:t>
            </w:r>
          </w:p>
        </w:tc>
        <w:tc>
          <w:tcPr>
            <w:tcW w:w="5909" w:type="dxa"/>
          </w:tcPr>
          <w:p w14:paraId="3BDD85B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zawartości parafiny – Część 1: Metoda destylacji</w:t>
            </w:r>
          </w:p>
        </w:tc>
      </w:tr>
      <w:tr w:rsidR="00955A27" w:rsidRPr="001667DB" w14:paraId="3CF91079" w14:textId="77777777" w:rsidTr="001B4B8F">
        <w:tc>
          <w:tcPr>
            <w:tcW w:w="708" w:type="dxa"/>
          </w:tcPr>
          <w:p w14:paraId="335AF13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c>
          <w:tcPr>
            <w:tcW w:w="2280" w:type="dxa"/>
          </w:tcPr>
          <w:p w14:paraId="42E423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12607-1</w:t>
            </w:r>
          </w:p>
        </w:tc>
        <w:tc>
          <w:tcPr>
            <w:tcW w:w="5909" w:type="dxa"/>
          </w:tcPr>
          <w:p w14:paraId="45327D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odporności na starzenie pod wpływem ciepła i powietrza – Część 1: Metoda RTFOT</w:t>
            </w:r>
          </w:p>
        </w:tc>
      </w:tr>
      <w:tr w:rsidR="00955A27" w:rsidRPr="001667DB" w14:paraId="1D44362A" w14:textId="77777777" w:rsidTr="001B4B8F">
        <w:tc>
          <w:tcPr>
            <w:tcW w:w="708" w:type="dxa"/>
          </w:tcPr>
          <w:p w14:paraId="39F9C5B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31.</w:t>
            </w:r>
          </w:p>
        </w:tc>
        <w:tc>
          <w:tcPr>
            <w:tcW w:w="2280" w:type="dxa"/>
          </w:tcPr>
          <w:p w14:paraId="3E234D4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w:t>
            </w:r>
          </w:p>
        </w:tc>
        <w:tc>
          <w:tcPr>
            <w:tcW w:w="5909" w:type="dxa"/>
          </w:tcPr>
          <w:p w14:paraId="6B57AAE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 Zawartość lepiszcza rozpuszczalnego</w:t>
            </w:r>
          </w:p>
        </w:tc>
      </w:tr>
      <w:tr w:rsidR="00955A27" w:rsidRPr="001667DB" w14:paraId="06A87293" w14:textId="77777777" w:rsidTr="001B4B8F">
        <w:tc>
          <w:tcPr>
            <w:tcW w:w="708" w:type="dxa"/>
          </w:tcPr>
          <w:p w14:paraId="5CDE9F6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tc>
        <w:tc>
          <w:tcPr>
            <w:tcW w:w="2280" w:type="dxa"/>
          </w:tcPr>
          <w:p w14:paraId="639725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w:t>
            </w:r>
          </w:p>
        </w:tc>
        <w:tc>
          <w:tcPr>
            <w:tcW w:w="5909" w:type="dxa"/>
          </w:tcPr>
          <w:p w14:paraId="387F4C8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 Oznaczanie składu ziarnowego</w:t>
            </w:r>
          </w:p>
        </w:tc>
      </w:tr>
      <w:tr w:rsidR="00955A27" w:rsidRPr="001667DB" w14:paraId="32C55E10" w14:textId="77777777" w:rsidTr="001B4B8F">
        <w:tc>
          <w:tcPr>
            <w:tcW w:w="708" w:type="dxa"/>
          </w:tcPr>
          <w:p w14:paraId="0740317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2280" w:type="dxa"/>
          </w:tcPr>
          <w:p w14:paraId="44B687A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12697-5</w:t>
            </w:r>
          </w:p>
        </w:tc>
        <w:tc>
          <w:tcPr>
            <w:tcW w:w="5909" w:type="dxa"/>
          </w:tcPr>
          <w:p w14:paraId="29801C2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5: Oznaczanie gęstości</w:t>
            </w:r>
          </w:p>
        </w:tc>
      </w:tr>
      <w:tr w:rsidR="00955A27" w:rsidRPr="001667DB" w14:paraId="795E1DF1" w14:textId="77777777" w:rsidTr="001B4B8F">
        <w:tc>
          <w:tcPr>
            <w:tcW w:w="708" w:type="dxa"/>
          </w:tcPr>
          <w:p w14:paraId="58B6476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34.</w:t>
            </w:r>
          </w:p>
        </w:tc>
        <w:tc>
          <w:tcPr>
            <w:tcW w:w="2280" w:type="dxa"/>
          </w:tcPr>
          <w:p w14:paraId="63DD3D9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12697-6</w:t>
            </w:r>
          </w:p>
        </w:tc>
        <w:tc>
          <w:tcPr>
            <w:tcW w:w="5909" w:type="dxa"/>
          </w:tcPr>
          <w:p w14:paraId="39908C2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6: Oznaczanie gęstości objętościowej próbek mieszanki mineralno-asfaltowej</w:t>
            </w:r>
          </w:p>
        </w:tc>
      </w:tr>
      <w:tr w:rsidR="00955A27" w:rsidRPr="001667DB" w14:paraId="764E920F" w14:textId="77777777" w:rsidTr="001B4B8F">
        <w:tc>
          <w:tcPr>
            <w:tcW w:w="708" w:type="dxa"/>
          </w:tcPr>
          <w:p w14:paraId="2AAF9BF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35.</w:t>
            </w:r>
          </w:p>
        </w:tc>
        <w:tc>
          <w:tcPr>
            <w:tcW w:w="2280" w:type="dxa"/>
          </w:tcPr>
          <w:p w14:paraId="2DFF1E7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12697-8</w:t>
            </w:r>
          </w:p>
        </w:tc>
        <w:tc>
          <w:tcPr>
            <w:tcW w:w="5909" w:type="dxa"/>
          </w:tcPr>
          <w:p w14:paraId="2F4147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8: Oznaczanie zawartości wolnej przestrzeni</w:t>
            </w:r>
          </w:p>
        </w:tc>
      </w:tr>
      <w:tr w:rsidR="00955A27" w:rsidRPr="001667DB" w14:paraId="1A91E578" w14:textId="77777777" w:rsidTr="001B4B8F">
        <w:tc>
          <w:tcPr>
            <w:tcW w:w="708" w:type="dxa"/>
          </w:tcPr>
          <w:p w14:paraId="3F46445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36.</w:t>
            </w:r>
          </w:p>
        </w:tc>
        <w:tc>
          <w:tcPr>
            <w:tcW w:w="2280" w:type="dxa"/>
          </w:tcPr>
          <w:p w14:paraId="05B8468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12697-11</w:t>
            </w:r>
          </w:p>
        </w:tc>
        <w:tc>
          <w:tcPr>
            <w:tcW w:w="5909" w:type="dxa"/>
          </w:tcPr>
          <w:p w14:paraId="09764DC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badania mieszanek mineralno-asfaltowych na gorąco – Część 11: Oznaczanie powinowactwa pomiędzy kruszywem i asfaltem</w:t>
            </w:r>
          </w:p>
        </w:tc>
      </w:tr>
      <w:tr w:rsidR="00955A27" w:rsidRPr="001667DB" w14:paraId="7C95CBB6" w14:textId="77777777" w:rsidTr="001B4B8F">
        <w:tc>
          <w:tcPr>
            <w:tcW w:w="708" w:type="dxa"/>
          </w:tcPr>
          <w:p w14:paraId="6A1CE5D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37.</w:t>
            </w:r>
          </w:p>
        </w:tc>
        <w:tc>
          <w:tcPr>
            <w:tcW w:w="2280" w:type="dxa"/>
          </w:tcPr>
          <w:p w14:paraId="71AA3A4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12697-12</w:t>
            </w:r>
          </w:p>
        </w:tc>
        <w:tc>
          <w:tcPr>
            <w:tcW w:w="5909" w:type="dxa"/>
          </w:tcPr>
          <w:p w14:paraId="2A899E9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badania mieszanek mineralno-asfaltowych na gorąco – Część 12: Określanie wrażliwości próbek asfaltowych na wodę</w:t>
            </w:r>
          </w:p>
        </w:tc>
      </w:tr>
      <w:tr w:rsidR="00955A27" w:rsidRPr="001667DB" w14:paraId="5FF9A27B" w14:textId="77777777" w:rsidTr="001B4B8F">
        <w:tc>
          <w:tcPr>
            <w:tcW w:w="708" w:type="dxa"/>
          </w:tcPr>
          <w:p w14:paraId="19B5028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38.</w:t>
            </w:r>
          </w:p>
        </w:tc>
        <w:tc>
          <w:tcPr>
            <w:tcW w:w="2280" w:type="dxa"/>
          </w:tcPr>
          <w:p w14:paraId="502F91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12697-13</w:t>
            </w:r>
          </w:p>
        </w:tc>
        <w:tc>
          <w:tcPr>
            <w:tcW w:w="5909" w:type="dxa"/>
          </w:tcPr>
          <w:p w14:paraId="4BE9B6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13: Pomiar temperatury</w:t>
            </w:r>
          </w:p>
        </w:tc>
      </w:tr>
      <w:tr w:rsidR="00955A27" w:rsidRPr="001667DB" w14:paraId="3A536D4A" w14:textId="77777777" w:rsidTr="001B4B8F">
        <w:tc>
          <w:tcPr>
            <w:tcW w:w="708" w:type="dxa"/>
          </w:tcPr>
          <w:p w14:paraId="06DB246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39.</w:t>
            </w:r>
          </w:p>
        </w:tc>
        <w:tc>
          <w:tcPr>
            <w:tcW w:w="2280" w:type="dxa"/>
          </w:tcPr>
          <w:p w14:paraId="20101D1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12697-22</w:t>
            </w:r>
          </w:p>
        </w:tc>
        <w:tc>
          <w:tcPr>
            <w:tcW w:w="5909" w:type="dxa"/>
          </w:tcPr>
          <w:p w14:paraId="2539ED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22: Koleinowanie</w:t>
            </w:r>
          </w:p>
        </w:tc>
      </w:tr>
      <w:tr w:rsidR="00955A27" w:rsidRPr="001667DB" w14:paraId="17193F7A" w14:textId="77777777" w:rsidTr="001B4B8F">
        <w:tc>
          <w:tcPr>
            <w:tcW w:w="708" w:type="dxa"/>
          </w:tcPr>
          <w:p w14:paraId="2D94705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c>
          <w:tcPr>
            <w:tcW w:w="2280" w:type="dxa"/>
          </w:tcPr>
          <w:p w14:paraId="32A5DBB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12697-22</w:t>
            </w:r>
          </w:p>
        </w:tc>
        <w:tc>
          <w:tcPr>
            <w:tcW w:w="5909" w:type="dxa"/>
          </w:tcPr>
          <w:p w14:paraId="1FEB0B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22: Koleinowanie</w:t>
            </w:r>
          </w:p>
        </w:tc>
      </w:tr>
    </w:tbl>
    <w:p w14:paraId="3EA4FBA5" w14:textId="77777777" w:rsidR="00955A27" w:rsidRPr="001667DB" w:rsidRDefault="00955A27" w:rsidP="00955A27">
      <w:pPr>
        <w:spacing w:after="120" w:line="360" w:lineRule="auto"/>
        <w:rPr>
          <w:rFonts w:ascii="Times New Roman" w:hAnsi="Times New Roman" w:cs="Times New Roman"/>
          <w:color w:val="000000" w:themeColor="text1"/>
        </w:rPr>
      </w:pPr>
    </w:p>
    <w:tbl>
      <w:tblPr>
        <w:tblW w:w="8897" w:type="dxa"/>
        <w:tblLayout w:type="fixed"/>
        <w:tblLook w:val="01E0" w:firstRow="1" w:lastRow="1" w:firstColumn="1" w:lastColumn="1" w:noHBand="0" w:noVBand="0"/>
      </w:tblPr>
      <w:tblGrid>
        <w:gridCol w:w="708"/>
        <w:gridCol w:w="2280"/>
        <w:gridCol w:w="5909"/>
      </w:tblGrid>
      <w:tr w:rsidR="00955A27" w:rsidRPr="001667DB" w14:paraId="71F62C4E" w14:textId="77777777" w:rsidTr="001B4B8F">
        <w:tc>
          <w:tcPr>
            <w:tcW w:w="708" w:type="dxa"/>
          </w:tcPr>
          <w:p w14:paraId="5A56B7F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41.</w:t>
            </w:r>
          </w:p>
        </w:tc>
        <w:tc>
          <w:tcPr>
            <w:tcW w:w="2280" w:type="dxa"/>
          </w:tcPr>
          <w:p w14:paraId="4BDD56F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12697-24</w:t>
            </w:r>
          </w:p>
        </w:tc>
        <w:tc>
          <w:tcPr>
            <w:tcW w:w="5909" w:type="dxa"/>
          </w:tcPr>
          <w:p w14:paraId="055D93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24: Odporność na zmęczenie</w:t>
            </w:r>
          </w:p>
        </w:tc>
      </w:tr>
      <w:tr w:rsidR="00955A27" w:rsidRPr="001667DB" w14:paraId="2A9F04C7" w14:textId="77777777" w:rsidTr="001B4B8F">
        <w:tc>
          <w:tcPr>
            <w:tcW w:w="708" w:type="dxa"/>
          </w:tcPr>
          <w:p w14:paraId="0C0EA6D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42.</w:t>
            </w:r>
          </w:p>
        </w:tc>
        <w:tc>
          <w:tcPr>
            <w:tcW w:w="2280" w:type="dxa"/>
          </w:tcPr>
          <w:p w14:paraId="292385B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12697-26</w:t>
            </w:r>
          </w:p>
        </w:tc>
        <w:tc>
          <w:tcPr>
            <w:tcW w:w="5909" w:type="dxa"/>
          </w:tcPr>
          <w:p w14:paraId="52CD576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26: Sztywność</w:t>
            </w:r>
          </w:p>
        </w:tc>
      </w:tr>
      <w:tr w:rsidR="00955A27" w:rsidRPr="001667DB" w14:paraId="6FD054B9" w14:textId="77777777" w:rsidTr="001B4B8F">
        <w:tc>
          <w:tcPr>
            <w:tcW w:w="708" w:type="dxa"/>
          </w:tcPr>
          <w:p w14:paraId="3187118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43.</w:t>
            </w:r>
          </w:p>
        </w:tc>
        <w:tc>
          <w:tcPr>
            <w:tcW w:w="2280" w:type="dxa"/>
          </w:tcPr>
          <w:p w14:paraId="25B8033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12697-27</w:t>
            </w:r>
          </w:p>
        </w:tc>
        <w:tc>
          <w:tcPr>
            <w:tcW w:w="5909" w:type="dxa"/>
          </w:tcPr>
          <w:p w14:paraId="1F6138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27: Pobieranie próbek</w:t>
            </w:r>
          </w:p>
        </w:tc>
      </w:tr>
      <w:tr w:rsidR="00955A27" w:rsidRPr="001667DB" w14:paraId="72FF9630" w14:textId="77777777" w:rsidTr="001B4B8F">
        <w:tc>
          <w:tcPr>
            <w:tcW w:w="708" w:type="dxa"/>
          </w:tcPr>
          <w:p w14:paraId="264F2B8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44.</w:t>
            </w:r>
          </w:p>
        </w:tc>
        <w:tc>
          <w:tcPr>
            <w:tcW w:w="2280" w:type="dxa"/>
          </w:tcPr>
          <w:p w14:paraId="4644B5B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12697-36</w:t>
            </w:r>
          </w:p>
        </w:tc>
        <w:tc>
          <w:tcPr>
            <w:tcW w:w="5909" w:type="dxa"/>
          </w:tcPr>
          <w:p w14:paraId="54FC6D7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36: Oznaczanie grubości nawierzchni asfaltowych</w:t>
            </w:r>
          </w:p>
        </w:tc>
      </w:tr>
      <w:tr w:rsidR="00955A27" w:rsidRPr="001667DB" w14:paraId="64412D65" w14:textId="77777777" w:rsidTr="001B4B8F">
        <w:tc>
          <w:tcPr>
            <w:tcW w:w="708" w:type="dxa"/>
          </w:tcPr>
          <w:p w14:paraId="52319F3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45.</w:t>
            </w:r>
          </w:p>
        </w:tc>
        <w:tc>
          <w:tcPr>
            <w:tcW w:w="2280" w:type="dxa"/>
          </w:tcPr>
          <w:p w14:paraId="54B6749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12697-39</w:t>
            </w:r>
          </w:p>
        </w:tc>
        <w:tc>
          <w:tcPr>
            <w:tcW w:w="5909" w:type="dxa"/>
          </w:tcPr>
          <w:p w14:paraId="76A2F29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39: Oznaczanie zawartości lepiszcza metodą spalania</w:t>
            </w:r>
          </w:p>
        </w:tc>
      </w:tr>
      <w:tr w:rsidR="00955A27" w:rsidRPr="001667DB" w14:paraId="501A93E7" w14:textId="77777777" w:rsidTr="001B4B8F">
        <w:tc>
          <w:tcPr>
            <w:tcW w:w="708" w:type="dxa"/>
          </w:tcPr>
          <w:p w14:paraId="337771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46.</w:t>
            </w:r>
          </w:p>
        </w:tc>
        <w:tc>
          <w:tcPr>
            <w:tcW w:w="2280" w:type="dxa"/>
          </w:tcPr>
          <w:p w14:paraId="0857A3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12697-41</w:t>
            </w:r>
          </w:p>
        </w:tc>
        <w:tc>
          <w:tcPr>
            <w:tcW w:w="5909" w:type="dxa"/>
          </w:tcPr>
          <w:p w14:paraId="251C77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41: Odporność na płyny zapobiegające oblodzeniu</w:t>
            </w:r>
          </w:p>
        </w:tc>
      </w:tr>
      <w:tr w:rsidR="00955A27" w:rsidRPr="001667DB" w14:paraId="47447E7F" w14:textId="77777777" w:rsidTr="001B4B8F">
        <w:tc>
          <w:tcPr>
            <w:tcW w:w="708" w:type="dxa"/>
          </w:tcPr>
          <w:p w14:paraId="26A8DC3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47.</w:t>
            </w:r>
          </w:p>
        </w:tc>
        <w:tc>
          <w:tcPr>
            <w:tcW w:w="2280" w:type="dxa"/>
          </w:tcPr>
          <w:p w14:paraId="3714CE8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12697-43</w:t>
            </w:r>
          </w:p>
        </w:tc>
        <w:tc>
          <w:tcPr>
            <w:tcW w:w="5909" w:type="dxa"/>
          </w:tcPr>
          <w:p w14:paraId="34449C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Metody badań mieszanek mineralno-asfaltowych na gorąco - Część 43: Odporność na paliwo</w:t>
            </w:r>
          </w:p>
        </w:tc>
      </w:tr>
      <w:tr w:rsidR="00955A27" w:rsidRPr="001667DB" w14:paraId="1D7359F0" w14:textId="77777777" w:rsidTr="001B4B8F">
        <w:tc>
          <w:tcPr>
            <w:tcW w:w="708" w:type="dxa"/>
          </w:tcPr>
          <w:p w14:paraId="29B59E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48.</w:t>
            </w:r>
          </w:p>
        </w:tc>
        <w:tc>
          <w:tcPr>
            <w:tcW w:w="2280" w:type="dxa"/>
          </w:tcPr>
          <w:p w14:paraId="378FC3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12846-1</w:t>
            </w:r>
          </w:p>
        </w:tc>
        <w:tc>
          <w:tcPr>
            <w:tcW w:w="5909" w:type="dxa"/>
          </w:tcPr>
          <w:p w14:paraId="2156E3F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czasu wypływu lepkościomierzem wypływowym - Część 1: Emulsje asfaltowe</w:t>
            </w:r>
          </w:p>
        </w:tc>
      </w:tr>
      <w:tr w:rsidR="00955A27" w:rsidRPr="001667DB" w14:paraId="69F5FE9A" w14:textId="77777777" w:rsidTr="001B4B8F">
        <w:tc>
          <w:tcPr>
            <w:tcW w:w="708" w:type="dxa"/>
          </w:tcPr>
          <w:p w14:paraId="6D4E07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49.</w:t>
            </w:r>
          </w:p>
        </w:tc>
        <w:tc>
          <w:tcPr>
            <w:tcW w:w="2280" w:type="dxa"/>
          </w:tcPr>
          <w:p w14:paraId="657B21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13043</w:t>
            </w:r>
          </w:p>
        </w:tc>
        <w:tc>
          <w:tcPr>
            <w:tcW w:w="5909" w:type="dxa"/>
          </w:tcPr>
          <w:p w14:paraId="3FB6FC3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Kruszywa do mieszanek bitumicznych i powierzchniowych utrwaleń stosowanych na drogach, lotniskach i innych powierzchniach przeznaczonych do ruchu</w:t>
            </w:r>
          </w:p>
        </w:tc>
      </w:tr>
      <w:tr w:rsidR="00955A27" w:rsidRPr="001667DB" w14:paraId="5A7A8282" w14:textId="77777777" w:rsidTr="001B4B8F">
        <w:tc>
          <w:tcPr>
            <w:tcW w:w="708" w:type="dxa"/>
          </w:tcPr>
          <w:p w14:paraId="1D353E2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c>
          <w:tcPr>
            <w:tcW w:w="2280" w:type="dxa"/>
          </w:tcPr>
          <w:p w14:paraId="1E9D25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13108-1</w:t>
            </w:r>
          </w:p>
        </w:tc>
        <w:tc>
          <w:tcPr>
            <w:tcW w:w="5909" w:type="dxa"/>
          </w:tcPr>
          <w:p w14:paraId="0DC1AF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1: Beton asfaltowy</w:t>
            </w:r>
          </w:p>
        </w:tc>
      </w:tr>
      <w:tr w:rsidR="00955A27" w:rsidRPr="001667DB" w14:paraId="363BAB49" w14:textId="77777777" w:rsidTr="001B4B8F">
        <w:tc>
          <w:tcPr>
            <w:tcW w:w="708" w:type="dxa"/>
          </w:tcPr>
          <w:p w14:paraId="28ED8D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51.</w:t>
            </w:r>
          </w:p>
        </w:tc>
        <w:tc>
          <w:tcPr>
            <w:tcW w:w="2280" w:type="dxa"/>
          </w:tcPr>
          <w:p w14:paraId="3C6293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13108-4</w:t>
            </w:r>
          </w:p>
        </w:tc>
        <w:tc>
          <w:tcPr>
            <w:tcW w:w="5909" w:type="dxa"/>
          </w:tcPr>
          <w:p w14:paraId="2CB4FC3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4: Mieszanka HRA</w:t>
            </w:r>
          </w:p>
        </w:tc>
      </w:tr>
      <w:tr w:rsidR="00955A27" w:rsidRPr="001667DB" w14:paraId="7EF9002E" w14:textId="77777777" w:rsidTr="001B4B8F">
        <w:tc>
          <w:tcPr>
            <w:tcW w:w="708" w:type="dxa"/>
          </w:tcPr>
          <w:p w14:paraId="2A26CDF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52.</w:t>
            </w:r>
          </w:p>
        </w:tc>
        <w:tc>
          <w:tcPr>
            <w:tcW w:w="2280" w:type="dxa"/>
          </w:tcPr>
          <w:p w14:paraId="2DB72F6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13108-20</w:t>
            </w:r>
          </w:p>
        </w:tc>
        <w:tc>
          <w:tcPr>
            <w:tcW w:w="5909" w:type="dxa"/>
          </w:tcPr>
          <w:p w14:paraId="67A34E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20: Badanie typu</w:t>
            </w:r>
          </w:p>
        </w:tc>
      </w:tr>
      <w:tr w:rsidR="00955A27" w:rsidRPr="001667DB" w14:paraId="5901E5FD" w14:textId="77777777" w:rsidTr="001B4B8F">
        <w:tc>
          <w:tcPr>
            <w:tcW w:w="708" w:type="dxa"/>
          </w:tcPr>
          <w:p w14:paraId="3188EDC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53.</w:t>
            </w:r>
          </w:p>
        </w:tc>
        <w:tc>
          <w:tcPr>
            <w:tcW w:w="2280" w:type="dxa"/>
          </w:tcPr>
          <w:p w14:paraId="6D15E7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13108-21</w:t>
            </w:r>
          </w:p>
        </w:tc>
        <w:tc>
          <w:tcPr>
            <w:tcW w:w="5909" w:type="dxa"/>
          </w:tcPr>
          <w:p w14:paraId="7C5EB99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Mieszanki mineralno-asfaltowe - Wymagania - Część 21: Zakładowa kontrola produkcji</w:t>
            </w:r>
          </w:p>
        </w:tc>
      </w:tr>
      <w:tr w:rsidR="00955A27" w:rsidRPr="001667DB" w14:paraId="2F69EFE3" w14:textId="77777777" w:rsidTr="001B4B8F">
        <w:tc>
          <w:tcPr>
            <w:tcW w:w="708" w:type="dxa"/>
          </w:tcPr>
          <w:p w14:paraId="38E0ED8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54.</w:t>
            </w:r>
          </w:p>
        </w:tc>
        <w:tc>
          <w:tcPr>
            <w:tcW w:w="2280" w:type="dxa"/>
          </w:tcPr>
          <w:p w14:paraId="280647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13179-1</w:t>
            </w:r>
          </w:p>
        </w:tc>
        <w:tc>
          <w:tcPr>
            <w:tcW w:w="5909" w:type="dxa"/>
          </w:tcPr>
          <w:p w14:paraId="13FEC2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kruszyw wypełniających stosowanych do mieszanek bitumicznych – Część 1: Badanie metodą pierścienia delta i kuli</w:t>
            </w:r>
          </w:p>
        </w:tc>
      </w:tr>
      <w:tr w:rsidR="00955A27" w:rsidRPr="001667DB" w14:paraId="6A0AA889" w14:textId="77777777" w:rsidTr="001B4B8F">
        <w:tc>
          <w:tcPr>
            <w:tcW w:w="708" w:type="dxa"/>
          </w:tcPr>
          <w:p w14:paraId="0E249C0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55.</w:t>
            </w:r>
          </w:p>
        </w:tc>
        <w:tc>
          <w:tcPr>
            <w:tcW w:w="2280" w:type="dxa"/>
          </w:tcPr>
          <w:p w14:paraId="2D8273B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13179-2</w:t>
            </w:r>
          </w:p>
        </w:tc>
        <w:tc>
          <w:tcPr>
            <w:tcW w:w="5909" w:type="dxa"/>
          </w:tcPr>
          <w:p w14:paraId="009EE02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kruszyw wypełniających stosowanych do mieszanek bitumicznych – Część 2: Liczba bitumiczna</w:t>
            </w:r>
          </w:p>
        </w:tc>
      </w:tr>
      <w:tr w:rsidR="00955A27" w:rsidRPr="001667DB" w14:paraId="1D5B3DEB" w14:textId="77777777" w:rsidTr="001B4B8F">
        <w:tc>
          <w:tcPr>
            <w:tcW w:w="708" w:type="dxa"/>
          </w:tcPr>
          <w:p w14:paraId="35F08496"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56.</w:t>
            </w:r>
          </w:p>
        </w:tc>
        <w:tc>
          <w:tcPr>
            <w:tcW w:w="2280" w:type="dxa"/>
          </w:tcPr>
          <w:p w14:paraId="671B344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13398</w:t>
            </w:r>
          </w:p>
        </w:tc>
        <w:tc>
          <w:tcPr>
            <w:tcW w:w="5909" w:type="dxa"/>
          </w:tcPr>
          <w:p w14:paraId="19B059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nawrotu sprężystego asfaltów modyfikowanych</w:t>
            </w:r>
          </w:p>
        </w:tc>
      </w:tr>
      <w:tr w:rsidR="00955A27" w:rsidRPr="001667DB" w14:paraId="5EB1FF26" w14:textId="77777777" w:rsidTr="001B4B8F">
        <w:tc>
          <w:tcPr>
            <w:tcW w:w="708" w:type="dxa"/>
          </w:tcPr>
          <w:p w14:paraId="506316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57.</w:t>
            </w:r>
          </w:p>
        </w:tc>
        <w:tc>
          <w:tcPr>
            <w:tcW w:w="2280" w:type="dxa"/>
          </w:tcPr>
          <w:p w14:paraId="0473183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13399</w:t>
            </w:r>
          </w:p>
        </w:tc>
        <w:tc>
          <w:tcPr>
            <w:tcW w:w="5909" w:type="dxa"/>
          </w:tcPr>
          <w:p w14:paraId="4E744CC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Asfalty i lepiszcza asfaltowe – Oznaczanie stabilności podczas magazynowania asfaltów modyfikowanych </w:t>
            </w:r>
          </w:p>
        </w:tc>
      </w:tr>
      <w:tr w:rsidR="00955A27" w:rsidRPr="001667DB" w14:paraId="383656ED" w14:textId="77777777" w:rsidTr="001B4B8F">
        <w:tc>
          <w:tcPr>
            <w:tcW w:w="708" w:type="dxa"/>
          </w:tcPr>
          <w:p w14:paraId="6D964FF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58.</w:t>
            </w:r>
          </w:p>
        </w:tc>
        <w:tc>
          <w:tcPr>
            <w:tcW w:w="2280" w:type="dxa"/>
          </w:tcPr>
          <w:p w14:paraId="3A87681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13587</w:t>
            </w:r>
          </w:p>
        </w:tc>
        <w:tc>
          <w:tcPr>
            <w:tcW w:w="5909" w:type="dxa"/>
          </w:tcPr>
          <w:p w14:paraId="77B00ED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właściwości mechanicznych lepiszczy asfaltowych metodą rozciągania</w:t>
            </w:r>
          </w:p>
        </w:tc>
      </w:tr>
    </w:tbl>
    <w:p w14:paraId="17B18FA7" w14:textId="77777777" w:rsidR="00955A27" w:rsidRPr="001667DB" w:rsidRDefault="00955A27" w:rsidP="00955A27">
      <w:pPr>
        <w:spacing w:after="120" w:line="360" w:lineRule="auto"/>
        <w:rPr>
          <w:rFonts w:ascii="Times New Roman" w:hAnsi="Times New Roman" w:cs="Times New Roman"/>
          <w:color w:val="000000" w:themeColor="text1"/>
        </w:rPr>
      </w:pPr>
    </w:p>
    <w:tbl>
      <w:tblPr>
        <w:tblW w:w="8897" w:type="dxa"/>
        <w:tblLayout w:type="fixed"/>
        <w:tblLook w:val="01E0" w:firstRow="1" w:lastRow="1" w:firstColumn="1" w:lastColumn="1" w:noHBand="0" w:noVBand="0"/>
      </w:tblPr>
      <w:tblGrid>
        <w:gridCol w:w="708"/>
        <w:gridCol w:w="2280"/>
        <w:gridCol w:w="5909"/>
      </w:tblGrid>
      <w:tr w:rsidR="00955A27" w:rsidRPr="001667DB" w14:paraId="2508351F" w14:textId="77777777" w:rsidTr="001B4B8F">
        <w:tc>
          <w:tcPr>
            <w:tcW w:w="708" w:type="dxa"/>
          </w:tcPr>
          <w:p w14:paraId="11E0AD1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59.</w:t>
            </w:r>
          </w:p>
        </w:tc>
        <w:tc>
          <w:tcPr>
            <w:tcW w:w="2280" w:type="dxa"/>
          </w:tcPr>
          <w:p w14:paraId="735C56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13588</w:t>
            </w:r>
          </w:p>
        </w:tc>
        <w:tc>
          <w:tcPr>
            <w:tcW w:w="5909" w:type="dxa"/>
          </w:tcPr>
          <w:p w14:paraId="3865660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kohezji lepiszczy asfaltowych metodą testu wahadłowego</w:t>
            </w:r>
          </w:p>
        </w:tc>
      </w:tr>
      <w:tr w:rsidR="00955A27" w:rsidRPr="001667DB" w14:paraId="5B3D1F84" w14:textId="77777777" w:rsidTr="001B4B8F">
        <w:tc>
          <w:tcPr>
            <w:tcW w:w="708" w:type="dxa"/>
          </w:tcPr>
          <w:p w14:paraId="46EAB58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60.</w:t>
            </w:r>
          </w:p>
        </w:tc>
        <w:tc>
          <w:tcPr>
            <w:tcW w:w="2280" w:type="dxa"/>
          </w:tcPr>
          <w:p w14:paraId="354329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13589</w:t>
            </w:r>
          </w:p>
        </w:tc>
        <w:tc>
          <w:tcPr>
            <w:tcW w:w="5909" w:type="dxa"/>
          </w:tcPr>
          <w:p w14:paraId="6C9640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siły rozciągania asfaltów modyfikowanych – Metoda z duktylometrem</w:t>
            </w:r>
          </w:p>
        </w:tc>
      </w:tr>
      <w:tr w:rsidR="00955A27" w:rsidRPr="001667DB" w14:paraId="7F240795" w14:textId="77777777" w:rsidTr="001B4B8F">
        <w:tc>
          <w:tcPr>
            <w:tcW w:w="708" w:type="dxa"/>
          </w:tcPr>
          <w:p w14:paraId="52EEFAF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61.</w:t>
            </w:r>
          </w:p>
        </w:tc>
        <w:tc>
          <w:tcPr>
            <w:tcW w:w="2280" w:type="dxa"/>
          </w:tcPr>
          <w:p w14:paraId="351EEB2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13703</w:t>
            </w:r>
          </w:p>
        </w:tc>
        <w:tc>
          <w:tcPr>
            <w:tcW w:w="5909" w:type="dxa"/>
          </w:tcPr>
          <w:p w14:paraId="7E2F7EE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energii odkształcenia</w:t>
            </w:r>
          </w:p>
        </w:tc>
      </w:tr>
      <w:tr w:rsidR="00955A27" w:rsidRPr="001667DB" w14:paraId="0109F231" w14:textId="77777777" w:rsidTr="001B4B8F">
        <w:tc>
          <w:tcPr>
            <w:tcW w:w="708" w:type="dxa"/>
          </w:tcPr>
          <w:p w14:paraId="2443CAA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62.</w:t>
            </w:r>
          </w:p>
        </w:tc>
        <w:tc>
          <w:tcPr>
            <w:tcW w:w="2280" w:type="dxa"/>
          </w:tcPr>
          <w:p w14:paraId="57C2355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13808</w:t>
            </w:r>
          </w:p>
        </w:tc>
        <w:tc>
          <w:tcPr>
            <w:tcW w:w="5909" w:type="dxa"/>
          </w:tcPr>
          <w:p w14:paraId="50845DA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kationowych emulsji asfaltowych</w:t>
            </w:r>
          </w:p>
        </w:tc>
      </w:tr>
      <w:tr w:rsidR="00955A27" w:rsidRPr="001667DB" w14:paraId="1CD897B7" w14:textId="77777777" w:rsidTr="001B4B8F">
        <w:tc>
          <w:tcPr>
            <w:tcW w:w="708" w:type="dxa"/>
          </w:tcPr>
          <w:p w14:paraId="759CF47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62a.</w:t>
            </w:r>
          </w:p>
        </w:tc>
        <w:tc>
          <w:tcPr>
            <w:tcW w:w="2280" w:type="dxa"/>
          </w:tcPr>
          <w:p w14:paraId="215AD7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13808:2013-10/Ap1:2014-07</w:t>
            </w:r>
          </w:p>
        </w:tc>
        <w:tc>
          <w:tcPr>
            <w:tcW w:w="5909" w:type="dxa"/>
          </w:tcPr>
          <w:p w14:paraId="35190B7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kationowych emulsji asfaltowych. Załącznik krajowy NA</w:t>
            </w:r>
          </w:p>
        </w:tc>
      </w:tr>
      <w:tr w:rsidR="00955A27" w:rsidRPr="001667DB" w14:paraId="0E3F4994" w14:textId="77777777" w:rsidTr="001B4B8F">
        <w:tc>
          <w:tcPr>
            <w:tcW w:w="708" w:type="dxa"/>
          </w:tcPr>
          <w:p w14:paraId="3C40FAA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63.</w:t>
            </w:r>
          </w:p>
        </w:tc>
        <w:tc>
          <w:tcPr>
            <w:tcW w:w="2280" w:type="dxa"/>
          </w:tcPr>
          <w:p w14:paraId="23DCDB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13924-2</w:t>
            </w:r>
          </w:p>
        </w:tc>
        <w:tc>
          <w:tcPr>
            <w:tcW w:w="5909" w:type="dxa"/>
          </w:tcPr>
          <w:p w14:paraId="6AD1D0A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Asfalty i lepiszcza asfaltowe - Zasady klasyfikacji asfaltów drogowych specjalnych - Część 2: Asfalty drogowe wielorodzajowe </w:t>
            </w:r>
          </w:p>
        </w:tc>
      </w:tr>
      <w:tr w:rsidR="00955A27" w:rsidRPr="001667DB" w14:paraId="2CB22468" w14:textId="77777777" w:rsidTr="001B4B8F">
        <w:tc>
          <w:tcPr>
            <w:tcW w:w="708" w:type="dxa"/>
          </w:tcPr>
          <w:p w14:paraId="2CF6663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63a</w:t>
            </w:r>
          </w:p>
        </w:tc>
        <w:tc>
          <w:tcPr>
            <w:tcW w:w="2280" w:type="dxa"/>
          </w:tcPr>
          <w:p w14:paraId="03BD2A33" w14:textId="77777777" w:rsidR="00955A27" w:rsidRPr="001667DB"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PN-EN 13924-2:</w:t>
            </w:r>
          </w:p>
          <w:p w14:paraId="0B08998F" w14:textId="77777777" w:rsidR="00955A27" w:rsidRPr="001667DB"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2014-04/Ap1:</w:t>
            </w:r>
          </w:p>
          <w:p w14:paraId="63F7AACF" w14:textId="77777777" w:rsidR="00955A27" w:rsidRPr="00326BBF" w:rsidRDefault="00955A27" w:rsidP="00955A27">
            <w:pPr>
              <w:spacing w:after="120" w:line="360" w:lineRule="auto"/>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2014-07 i PN-EN 13924-2:2014-04/Ap2:2015-09E</w:t>
            </w:r>
          </w:p>
        </w:tc>
        <w:tc>
          <w:tcPr>
            <w:tcW w:w="5909" w:type="dxa"/>
          </w:tcPr>
          <w:p w14:paraId="2F60B95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klasyfikacji asfaltów drogowych specjalnych - Część 2: Asfalty drogowe wielorodzajowe. Załącznik krajowy NA</w:t>
            </w:r>
          </w:p>
        </w:tc>
      </w:tr>
      <w:tr w:rsidR="00955A27" w:rsidRPr="001667DB" w14:paraId="504D10F3" w14:textId="77777777" w:rsidTr="001B4B8F">
        <w:tc>
          <w:tcPr>
            <w:tcW w:w="708" w:type="dxa"/>
          </w:tcPr>
          <w:p w14:paraId="492B644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64.</w:t>
            </w:r>
          </w:p>
        </w:tc>
        <w:tc>
          <w:tcPr>
            <w:tcW w:w="2280" w:type="dxa"/>
          </w:tcPr>
          <w:p w14:paraId="20B3B27E" w14:textId="77777777" w:rsidR="00955A27" w:rsidRPr="001667DB" w:rsidRDefault="00955A27" w:rsidP="00955A27">
            <w:pPr>
              <w:tabs>
                <w:tab w:val="right" w:pos="2064"/>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14023</w:t>
            </w:r>
            <w:r w:rsidRPr="001667DB">
              <w:rPr>
                <w:rFonts w:ascii="Times New Roman" w:hAnsi="Times New Roman" w:cs="Times New Roman"/>
                <w:color w:val="000000" w:themeColor="text1"/>
              </w:rPr>
              <w:tab/>
            </w:r>
          </w:p>
        </w:tc>
        <w:tc>
          <w:tcPr>
            <w:tcW w:w="5909" w:type="dxa"/>
          </w:tcPr>
          <w:p w14:paraId="28D3616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specyfikacji asfaltów modyfikowanych polimerami</w:t>
            </w:r>
          </w:p>
        </w:tc>
      </w:tr>
      <w:tr w:rsidR="00955A27" w:rsidRPr="001667DB" w14:paraId="650E7BED" w14:textId="77777777" w:rsidTr="001B4B8F">
        <w:tc>
          <w:tcPr>
            <w:tcW w:w="708" w:type="dxa"/>
          </w:tcPr>
          <w:p w14:paraId="3790144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64a.</w:t>
            </w:r>
          </w:p>
        </w:tc>
        <w:tc>
          <w:tcPr>
            <w:tcW w:w="2280" w:type="dxa"/>
          </w:tcPr>
          <w:p w14:paraId="2D66545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14023:2011/Ap1:</w:t>
            </w:r>
          </w:p>
          <w:p w14:paraId="49BD52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2014-04</w:t>
            </w:r>
          </w:p>
        </w:tc>
        <w:tc>
          <w:tcPr>
            <w:tcW w:w="5909" w:type="dxa"/>
          </w:tcPr>
          <w:p w14:paraId="7F07B09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Zasady klasyfikacji asfaltów modyfikowanych polimerami. Załącznik krajowy NA</w:t>
            </w:r>
          </w:p>
        </w:tc>
      </w:tr>
      <w:tr w:rsidR="00955A27" w:rsidRPr="001667DB" w14:paraId="4514D72A" w14:textId="77777777" w:rsidTr="001B4B8F">
        <w:tc>
          <w:tcPr>
            <w:tcW w:w="708" w:type="dxa"/>
          </w:tcPr>
          <w:p w14:paraId="77B522A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65.</w:t>
            </w:r>
          </w:p>
        </w:tc>
        <w:tc>
          <w:tcPr>
            <w:tcW w:w="2280" w:type="dxa"/>
          </w:tcPr>
          <w:p w14:paraId="7AFFBF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14188-1</w:t>
            </w:r>
          </w:p>
        </w:tc>
        <w:tc>
          <w:tcPr>
            <w:tcW w:w="5909" w:type="dxa"/>
          </w:tcPr>
          <w:p w14:paraId="405CD9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Wypełniacze szczelin i zalewy drogowe – Część 1: Wymagania wobec zalew drogowych na gorąco</w:t>
            </w:r>
          </w:p>
        </w:tc>
      </w:tr>
      <w:tr w:rsidR="00955A27" w:rsidRPr="001667DB" w14:paraId="012B082B" w14:textId="77777777" w:rsidTr="001B4B8F">
        <w:tc>
          <w:tcPr>
            <w:tcW w:w="708" w:type="dxa"/>
          </w:tcPr>
          <w:p w14:paraId="4B8F4784"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66.</w:t>
            </w:r>
          </w:p>
        </w:tc>
        <w:tc>
          <w:tcPr>
            <w:tcW w:w="2280" w:type="dxa"/>
          </w:tcPr>
          <w:p w14:paraId="52B763F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14188-2</w:t>
            </w:r>
          </w:p>
        </w:tc>
        <w:tc>
          <w:tcPr>
            <w:tcW w:w="5909" w:type="dxa"/>
          </w:tcPr>
          <w:p w14:paraId="608248A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Wypełniacze szczelin i zalewy drogowe – Część 2: Wymagania wobec zalew drogowych na zimno</w:t>
            </w:r>
          </w:p>
        </w:tc>
      </w:tr>
      <w:tr w:rsidR="00955A27" w:rsidRPr="001667DB" w14:paraId="57C591DF" w14:textId="77777777" w:rsidTr="001B4B8F">
        <w:tc>
          <w:tcPr>
            <w:tcW w:w="708" w:type="dxa"/>
          </w:tcPr>
          <w:p w14:paraId="6AE4FBA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67.</w:t>
            </w:r>
          </w:p>
        </w:tc>
        <w:tc>
          <w:tcPr>
            <w:tcW w:w="2280" w:type="dxa"/>
          </w:tcPr>
          <w:p w14:paraId="6D9687E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22592</w:t>
            </w:r>
          </w:p>
        </w:tc>
        <w:tc>
          <w:tcPr>
            <w:tcW w:w="5909" w:type="dxa"/>
          </w:tcPr>
          <w:p w14:paraId="42E7F59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Przetwory naftowe – Oznaczanie temperatury zapłonu i palenia – Pomiar metodą otwartego tygla Clevelanda</w:t>
            </w:r>
          </w:p>
        </w:tc>
      </w:tr>
      <w:tr w:rsidR="00955A27" w:rsidRPr="001667DB" w14:paraId="668BEE3D" w14:textId="77777777" w:rsidTr="001B4B8F">
        <w:tc>
          <w:tcPr>
            <w:tcW w:w="708" w:type="dxa"/>
          </w:tcPr>
          <w:p w14:paraId="517A07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68.</w:t>
            </w:r>
          </w:p>
        </w:tc>
        <w:tc>
          <w:tcPr>
            <w:tcW w:w="2280" w:type="dxa"/>
          </w:tcPr>
          <w:p w14:paraId="516D854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ISO 2592</w:t>
            </w:r>
          </w:p>
        </w:tc>
        <w:tc>
          <w:tcPr>
            <w:tcW w:w="5909" w:type="dxa"/>
          </w:tcPr>
          <w:p w14:paraId="719E721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Oznaczanie temperatury zapłonu i palenia – Metoda otwartego tygla Clevelanda</w:t>
            </w:r>
          </w:p>
        </w:tc>
      </w:tr>
      <w:tr w:rsidR="00955A27" w:rsidRPr="001667DB" w14:paraId="7F33C3BA" w14:textId="77777777" w:rsidTr="001B4B8F">
        <w:tc>
          <w:tcPr>
            <w:tcW w:w="708" w:type="dxa"/>
          </w:tcPr>
          <w:p w14:paraId="213F8D2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69.</w:t>
            </w:r>
          </w:p>
        </w:tc>
        <w:tc>
          <w:tcPr>
            <w:tcW w:w="2280" w:type="dxa"/>
          </w:tcPr>
          <w:p w14:paraId="1E17CA3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13880-2</w:t>
            </w:r>
          </w:p>
        </w:tc>
        <w:tc>
          <w:tcPr>
            <w:tcW w:w="5909" w:type="dxa"/>
          </w:tcPr>
          <w:p w14:paraId="11B59C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2: Metoda badania dla określenia penetracji stożka w temperaturze 25 C</w:t>
            </w:r>
          </w:p>
        </w:tc>
      </w:tr>
      <w:tr w:rsidR="00955A27" w:rsidRPr="001667DB" w14:paraId="1BCCF155" w14:textId="77777777" w:rsidTr="001B4B8F">
        <w:tc>
          <w:tcPr>
            <w:tcW w:w="708" w:type="dxa"/>
          </w:tcPr>
          <w:p w14:paraId="7FE8AE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70.</w:t>
            </w:r>
          </w:p>
        </w:tc>
        <w:tc>
          <w:tcPr>
            <w:tcW w:w="2280" w:type="dxa"/>
          </w:tcPr>
          <w:p w14:paraId="1C8229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13880-3</w:t>
            </w:r>
          </w:p>
        </w:tc>
        <w:tc>
          <w:tcPr>
            <w:tcW w:w="5909" w:type="dxa"/>
          </w:tcPr>
          <w:p w14:paraId="4884701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3: Metoda badania określająca penetrację i odprężenie sprężyste (odbojność)</w:t>
            </w:r>
          </w:p>
        </w:tc>
      </w:tr>
      <w:tr w:rsidR="00955A27" w:rsidRPr="001667DB" w14:paraId="5A4C5503" w14:textId="77777777" w:rsidTr="001B4B8F">
        <w:tc>
          <w:tcPr>
            <w:tcW w:w="708" w:type="dxa"/>
          </w:tcPr>
          <w:p w14:paraId="20530E9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71.</w:t>
            </w:r>
          </w:p>
        </w:tc>
        <w:tc>
          <w:tcPr>
            <w:tcW w:w="2280" w:type="dxa"/>
          </w:tcPr>
          <w:p w14:paraId="2D637FF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13880-5</w:t>
            </w:r>
          </w:p>
        </w:tc>
        <w:tc>
          <w:tcPr>
            <w:tcW w:w="5909" w:type="dxa"/>
          </w:tcPr>
          <w:p w14:paraId="5D31CB2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5: Metody badań do oznaczania odporności na spływanie</w:t>
            </w:r>
          </w:p>
        </w:tc>
      </w:tr>
      <w:tr w:rsidR="00955A27" w:rsidRPr="001667DB" w14:paraId="4D83672F" w14:textId="77777777" w:rsidTr="001B4B8F">
        <w:tc>
          <w:tcPr>
            <w:tcW w:w="708" w:type="dxa"/>
          </w:tcPr>
          <w:p w14:paraId="3D6641D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72.</w:t>
            </w:r>
          </w:p>
        </w:tc>
        <w:tc>
          <w:tcPr>
            <w:tcW w:w="2280" w:type="dxa"/>
          </w:tcPr>
          <w:p w14:paraId="16F972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13880-6</w:t>
            </w:r>
          </w:p>
        </w:tc>
        <w:tc>
          <w:tcPr>
            <w:tcW w:w="5909" w:type="dxa"/>
          </w:tcPr>
          <w:p w14:paraId="7AB359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6: Metoda przygotowania próbek do badania</w:t>
            </w:r>
          </w:p>
        </w:tc>
      </w:tr>
      <w:tr w:rsidR="00955A27" w:rsidRPr="001667DB" w14:paraId="0560B1E2" w14:textId="77777777" w:rsidTr="001B4B8F">
        <w:tc>
          <w:tcPr>
            <w:tcW w:w="708" w:type="dxa"/>
          </w:tcPr>
          <w:p w14:paraId="451A584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73.</w:t>
            </w:r>
          </w:p>
        </w:tc>
        <w:tc>
          <w:tcPr>
            <w:tcW w:w="2280" w:type="dxa"/>
          </w:tcPr>
          <w:p w14:paraId="1EBA873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13880-13</w:t>
            </w:r>
          </w:p>
        </w:tc>
        <w:tc>
          <w:tcPr>
            <w:tcW w:w="5909" w:type="dxa"/>
          </w:tcPr>
          <w:p w14:paraId="74E1615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Zalewy szczelin na gorąco -- Część 13: Metoda badania służąca do określenia wydłużenia nieciągłego (próba przyczepności)</w:t>
            </w:r>
          </w:p>
        </w:tc>
      </w:tr>
      <w:tr w:rsidR="00955A27" w:rsidRPr="001667DB" w14:paraId="699D98FD" w14:textId="77777777" w:rsidTr="001B4B8F">
        <w:trPr>
          <w:trHeight w:val="555"/>
        </w:trPr>
        <w:tc>
          <w:tcPr>
            <w:tcW w:w="708" w:type="dxa"/>
          </w:tcPr>
          <w:p w14:paraId="6994EC10"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74.</w:t>
            </w:r>
          </w:p>
        </w:tc>
        <w:tc>
          <w:tcPr>
            <w:tcW w:w="2280" w:type="dxa"/>
          </w:tcPr>
          <w:p w14:paraId="11310E2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DIN 52123</w:t>
            </w:r>
          </w:p>
        </w:tc>
        <w:tc>
          <w:tcPr>
            <w:tcW w:w="5909" w:type="dxa"/>
          </w:tcPr>
          <w:p w14:paraId="21F90766" w14:textId="77777777" w:rsidR="00955A27" w:rsidRPr="001667DB" w:rsidRDefault="00955A27" w:rsidP="00955A27">
            <w:pPr>
              <w:pStyle w:val="Nagwek2"/>
              <w:spacing w:before="0" w:line="360" w:lineRule="auto"/>
              <w:rPr>
                <w:color w:val="000000" w:themeColor="text1"/>
                <w:sz w:val="22"/>
                <w:szCs w:val="22"/>
              </w:rPr>
            </w:pPr>
            <w:r w:rsidRPr="001667DB">
              <w:rPr>
                <w:rStyle w:val="value"/>
                <w:b w:val="0"/>
                <w:color w:val="000000" w:themeColor="text1"/>
                <w:sz w:val="22"/>
                <w:szCs w:val="22"/>
              </w:rPr>
              <w:t>Prüfung von Bitumen- und Polymerbitumenbahnen (Badanie taśm bitumicznych i polimerowo-bitumicznych)</w:t>
            </w:r>
          </w:p>
        </w:tc>
      </w:tr>
      <w:tr w:rsidR="00955A27" w:rsidRPr="001667DB" w14:paraId="38DBB1B5" w14:textId="77777777" w:rsidTr="001B4B8F">
        <w:tc>
          <w:tcPr>
            <w:tcW w:w="708" w:type="dxa"/>
          </w:tcPr>
          <w:p w14:paraId="5E02FFF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75.</w:t>
            </w:r>
          </w:p>
        </w:tc>
        <w:tc>
          <w:tcPr>
            <w:tcW w:w="2280" w:type="dxa"/>
          </w:tcPr>
          <w:p w14:paraId="3421BF2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1425</w:t>
            </w:r>
          </w:p>
        </w:tc>
        <w:tc>
          <w:tcPr>
            <w:tcW w:w="5909" w:type="dxa"/>
          </w:tcPr>
          <w:p w14:paraId="0DB02081" w14:textId="77777777" w:rsidR="00955A27" w:rsidRPr="001667DB" w:rsidRDefault="00955A27" w:rsidP="00955A27">
            <w:pPr>
              <w:pStyle w:val="Nagwek2"/>
              <w:spacing w:before="0" w:line="360" w:lineRule="auto"/>
              <w:rPr>
                <w:rStyle w:val="value"/>
                <w:b w:val="0"/>
                <w:color w:val="000000" w:themeColor="text1"/>
                <w:sz w:val="22"/>
                <w:szCs w:val="22"/>
              </w:rPr>
            </w:pPr>
            <w:r w:rsidRPr="001667DB">
              <w:rPr>
                <w:b w:val="0"/>
                <w:color w:val="000000" w:themeColor="text1"/>
                <w:sz w:val="22"/>
                <w:szCs w:val="22"/>
              </w:rPr>
              <w:t>Asfalty i lepiszcza asfaltowe -- Ocena organoleptyczna</w:t>
            </w:r>
          </w:p>
        </w:tc>
      </w:tr>
      <w:tr w:rsidR="00955A27" w:rsidRPr="001667DB" w14:paraId="074CE7DA" w14:textId="77777777" w:rsidTr="001B4B8F">
        <w:tc>
          <w:tcPr>
            <w:tcW w:w="708" w:type="dxa"/>
          </w:tcPr>
          <w:p w14:paraId="5F3D331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76.</w:t>
            </w:r>
          </w:p>
        </w:tc>
        <w:tc>
          <w:tcPr>
            <w:tcW w:w="2280" w:type="dxa"/>
          </w:tcPr>
          <w:p w14:paraId="49DEA88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1428</w:t>
            </w:r>
          </w:p>
        </w:tc>
        <w:tc>
          <w:tcPr>
            <w:tcW w:w="5909" w:type="dxa"/>
          </w:tcPr>
          <w:p w14:paraId="7DF3A6A4"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color w:val="000000" w:themeColor="text1"/>
              </w:rPr>
              <w:t>Asfalty i lepiszcza asfaltowe -- Oznaczanie zawartości wody w emulsjach asfaltowych -- Metoda destylacji azeotropowej</w:t>
            </w:r>
          </w:p>
        </w:tc>
      </w:tr>
      <w:tr w:rsidR="00955A27" w:rsidRPr="001667DB" w14:paraId="7AD43FDD" w14:textId="77777777" w:rsidTr="001B4B8F">
        <w:tc>
          <w:tcPr>
            <w:tcW w:w="708" w:type="dxa"/>
          </w:tcPr>
          <w:p w14:paraId="2C675CD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77. </w:t>
            </w:r>
          </w:p>
        </w:tc>
        <w:tc>
          <w:tcPr>
            <w:tcW w:w="2280" w:type="dxa"/>
          </w:tcPr>
          <w:p w14:paraId="1461FC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13074-1</w:t>
            </w:r>
          </w:p>
        </w:tc>
        <w:tc>
          <w:tcPr>
            <w:tcW w:w="5909" w:type="dxa"/>
          </w:tcPr>
          <w:p w14:paraId="0E0F44E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Odzyskiwanie lepiszcza z emulsji asfaltowych lub asfaltów upłynnionych lub fluksowanych -- Część 1: Odzyskiwanie metodą odparowania</w:t>
            </w:r>
          </w:p>
        </w:tc>
      </w:tr>
      <w:tr w:rsidR="00955A27" w:rsidRPr="001667DB" w14:paraId="3E18A2DF" w14:textId="77777777" w:rsidTr="001B4B8F">
        <w:tc>
          <w:tcPr>
            <w:tcW w:w="708" w:type="dxa"/>
          </w:tcPr>
          <w:p w14:paraId="3BA3069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78.</w:t>
            </w:r>
          </w:p>
        </w:tc>
        <w:tc>
          <w:tcPr>
            <w:tcW w:w="2280" w:type="dxa"/>
          </w:tcPr>
          <w:p w14:paraId="7840615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13074-2</w:t>
            </w:r>
          </w:p>
        </w:tc>
        <w:tc>
          <w:tcPr>
            <w:tcW w:w="5909" w:type="dxa"/>
          </w:tcPr>
          <w:p w14:paraId="58E4017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Odzyskiwanie lepiszcza z emulsji asfaltowych lub asfaltów upłynnionych lub fluksowanych -- Część 2: Stabilizacja po odzyskaniu metodą odparowania</w:t>
            </w:r>
          </w:p>
        </w:tc>
      </w:tr>
    </w:tbl>
    <w:p w14:paraId="522D15C9"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 xml:space="preserve"> Wymagania techniczne i katalogi</w:t>
      </w:r>
    </w:p>
    <w:p w14:paraId="26A99284" w14:textId="77777777" w:rsidR="00955A27" w:rsidRPr="001667DB" w:rsidRDefault="00955A27" w:rsidP="00904E6C">
      <w:pPr>
        <w:numPr>
          <w:ilvl w:val="0"/>
          <w:numId w:val="144"/>
        </w:numPr>
        <w:tabs>
          <w:tab w:val="left" w:pos="426"/>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mieszanek mineralno-asfaltowych i powierzchniowych utrwaleń </w:t>
      </w:r>
      <w:r w:rsidR="006C3828" w:rsidRPr="001667DB">
        <w:rPr>
          <w:rFonts w:ascii="Times New Roman" w:hAnsi="Times New Roman" w:cs="Times New Roman"/>
          <w:color w:val="000000" w:themeColor="text1"/>
        </w:rPr>
        <w:t>na drogach krajowych - WT-1 2016</w:t>
      </w:r>
      <w:r w:rsidRPr="001667DB">
        <w:rPr>
          <w:rFonts w:ascii="Times New Roman" w:hAnsi="Times New Roman" w:cs="Times New Roman"/>
          <w:color w:val="000000" w:themeColor="text1"/>
        </w:rPr>
        <w:t xml:space="preserve"> - Kruszywa – Wymagania techniczne. Załącznik do Zarządzenia Generalnego Dyrektora Dróg Krajowych i Autostrad nr 46  z dnia 25 września 2014 r. i nr 8 z dnia 9 maja 2016 r.</w:t>
      </w:r>
    </w:p>
    <w:p w14:paraId="5266AB44" w14:textId="77777777" w:rsidR="00955A27" w:rsidRPr="001667DB" w:rsidRDefault="00955A27" w:rsidP="00904E6C">
      <w:pPr>
        <w:numPr>
          <w:ilvl w:val="0"/>
          <w:numId w:val="144"/>
        </w:numPr>
        <w:tabs>
          <w:tab w:val="left" w:pos="426"/>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47C53D53" w14:textId="77777777" w:rsidR="00955A27" w:rsidRPr="001667DB" w:rsidRDefault="00955A27" w:rsidP="00904E6C">
      <w:pPr>
        <w:numPr>
          <w:ilvl w:val="0"/>
          <w:numId w:val="144"/>
        </w:numPr>
        <w:tabs>
          <w:tab w:val="left" w:pos="426"/>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74CE6906" w14:textId="77777777" w:rsidR="00955A27" w:rsidRPr="001667DB" w:rsidRDefault="00955A27" w:rsidP="00904E6C">
      <w:pPr>
        <w:numPr>
          <w:ilvl w:val="0"/>
          <w:numId w:val="144"/>
        </w:numPr>
        <w:tabs>
          <w:tab w:val="left" w:pos="426"/>
          <w:tab w:val="left" w:pos="567"/>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Katalog typowych konstrukcji nawierzchni podatnych i półsztywnych. Załącznik do Zarządzenia nr 31 Generalnego Dyrektora Dróg Krajowych i Autostrad z dnia 16 czerwca 2014 r.</w:t>
      </w:r>
    </w:p>
    <w:p w14:paraId="2D9FFD26" w14:textId="77777777" w:rsidR="00955A27" w:rsidRPr="001667DB" w:rsidRDefault="00955A27" w:rsidP="00955A27">
      <w:pPr>
        <w:pStyle w:val="Nagwek2"/>
        <w:spacing w:line="360" w:lineRule="auto"/>
        <w:rPr>
          <w:color w:val="000000" w:themeColor="text1"/>
          <w:sz w:val="22"/>
          <w:szCs w:val="22"/>
        </w:rPr>
      </w:pPr>
      <w:r w:rsidRPr="001667DB">
        <w:rPr>
          <w:color w:val="000000" w:themeColor="text1"/>
          <w:sz w:val="22"/>
          <w:szCs w:val="22"/>
        </w:rPr>
        <w:t xml:space="preserve"> Inne dokumenty</w:t>
      </w:r>
    </w:p>
    <w:p w14:paraId="6DBF58EB" w14:textId="77777777" w:rsidR="00955A27" w:rsidRPr="001667DB" w:rsidRDefault="00955A27" w:rsidP="00904E6C">
      <w:pPr>
        <w:numPr>
          <w:ilvl w:val="0"/>
          <w:numId w:val="144"/>
        </w:numPr>
        <w:tabs>
          <w:tab w:val="left" w:pos="426"/>
          <w:tab w:val="left" w:pos="567"/>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Transportu i Gospodarki Morskiej z dnia 2 marca 1999 r. w sprawie warunków technicznych, jakim powinny odpowiadać drogi publiczne i ich usytuowanie (jednolity tekst Dz.U. z 2016, poz. 124)</w:t>
      </w:r>
    </w:p>
    <w:p w14:paraId="60C31F76" w14:textId="77777777" w:rsidR="00955A27" w:rsidRPr="001667DB" w:rsidRDefault="00955A27" w:rsidP="00904E6C">
      <w:pPr>
        <w:numPr>
          <w:ilvl w:val="0"/>
          <w:numId w:val="144"/>
        </w:numPr>
        <w:tabs>
          <w:tab w:val="left" w:pos="426"/>
          <w:tab w:val="left" w:pos="567"/>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Ustawa z dnia 19 sierpnia 2011 r. o przewozie drogowym towarów niebezpiecznych (Dz.U. nr 227, poz. 1367 z późn. zm.)</w:t>
      </w:r>
    </w:p>
    <w:p w14:paraId="389AE7E1" w14:textId="77777777" w:rsidR="00955A27" w:rsidRPr="001667DB" w:rsidRDefault="00955A27" w:rsidP="00904E6C">
      <w:pPr>
        <w:numPr>
          <w:ilvl w:val="0"/>
          <w:numId w:val="144"/>
        </w:numPr>
        <w:tabs>
          <w:tab w:val="left" w:pos="426"/>
          <w:tab w:val="left" w:pos="567"/>
        </w:tabs>
        <w:overflowPunct w:val="0"/>
        <w:autoSpaceDE w:val="0"/>
        <w:autoSpaceDN w:val="0"/>
        <w:adjustRightInd w:val="0"/>
        <w:spacing w:after="120" w:line="360" w:lineRule="auto"/>
        <w:ind w:left="426" w:hanging="6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Instrukcja DP-T 14 Ocena jakości na drogach krajowych Część I - Roboty drogowe.</w:t>
      </w:r>
    </w:p>
    <w:p w14:paraId="29BE7FCD" w14:textId="77777777" w:rsidR="00955A27" w:rsidRPr="001667DB" w:rsidRDefault="000C6336" w:rsidP="000C6336">
      <w:pPr>
        <w:rPr>
          <w:rFonts w:ascii="Times New Roman" w:hAnsi="Times New Roman" w:cs="Times New Roman"/>
          <w:color w:val="000000" w:themeColor="text1"/>
        </w:rPr>
      </w:pPr>
      <w:r w:rsidRPr="001667DB">
        <w:rPr>
          <w:rFonts w:ascii="Times New Roman" w:hAnsi="Times New Roman" w:cs="Times New Roman"/>
          <w:b/>
          <w:color w:val="000000" w:themeColor="text1"/>
        </w:rPr>
        <w:br w:type="page"/>
      </w:r>
      <w:r w:rsidR="00490769" w:rsidRPr="001667DB">
        <w:rPr>
          <w:rFonts w:ascii="Times New Roman" w:hAnsi="Times New Roman" w:cs="Times New Roman"/>
          <w:b/>
          <w:color w:val="000000" w:themeColor="text1"/>
        </w:rPr>
        <w:lastRenderedPageBreak/>
        <w:t>D</w:t>
      </w:r>
      <w:r w:rsidR="00955A27" w:rsidRPr="001667DB">
        <w:rPr>
          <w:rFonts w:ascii="Times New Roman" w:hAnsi="Times New Roman" w:cs="Times New Roman"/>
          <w:b/>
          <w:color w:val="000000" w:themeColor="text1"/>
        </w:rPr>
        <w:t xml:space="preserve">.05.03.05b  </w:t>
      </w:r>
      <w:r w:rsidR="00955A27" w:rsidRPr="001667DB">
        <w:rPr>
          <w:rFonts w:ascii="Times New Roman" w:hAnsi="Times New Roman" w:cs="Times New Roman"/>
          <w:b/>
          <w:color w:val="000000" w:themeColor="text1"/>
        </w:rPr>
        <w:tab/>
        <w:t>NAWIERZCHNIA  Z BETONU ASFALTOWEGO – WARSTWA WIĄŻĄCA</w:t>
      </w:r>
    </w:p>
    <w:p w14:paraId="0C39A5E1" w14:textId="77777777" w:rsidR="00955A27" w:rsidRPr="00326BBF" w:rsidRDefault="00955A27" w:rsidP="00955A27">
      <w:pPr>
        <w:pStyle w:val="Nagwek1"/>
        <w:tabs>
          <w:tab w:val="center" w:pos="972"/>
        </w:tabs>
        <w:spacing w:line="360" w:lineRule="auto"/>
        <w:ind w:left="-3"/>
        <w:rPr>
          <w:color w:val="000000" w:themeColor="text1"/>
          <w:sz w:val="22"/>
          <w:szCs w:val="22"/>
          <w:lang w:val="pl-PL"/>
        </w:rPr>
      </w:pPr>
      <w:r w:rsidRPr="00326BBF">
        <w:rPr>
          <w:color w:val="000000" w:themeColor="text1"/>
          <w:sz w:val="22"/>
          <w:szCs w:val="22"/>
          <w:lang w:val="pl-PL"/>
        </w:rPr>
        <w:t>1.</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WSTĘP </w:t>
      </w:r>
    </w:p>
    <w:p w14:paraId="1A9D6A6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1.1.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Nazwa zadania </w:t>
      </w:r>
    </w:p>
    <w:p w14:paraId="2406C336" w14:textId="77777777" w:rsidR="0010391D" w:rsidRDefault="0010391D" w:rsidP="00A9424D">
      <w:pPr>
        <w:pStyle w:val="Nagwek2"/>
        <w:spacing w:line="360" w:lineRule="auto"/>
        <w:ind w:left="7"/>
        <w:jc w:val="both"/>
        <w:rPr>
          <w:b w:val="0"/>
          <w:color w:val="000000" w:themeColor="text1"/>
          <w:sz w:val="22"/>
          <w:szCs w:val="22"/>
        </w:rPr>
      </w:pPr>
      <w:r w:rsidRPr="00FD3B41">
        <w:rPr>
          <w:b w:val="0"/>
          <w:color w:val="000000" w:themeColor="text1"/>
          <w:sz w:val="22"/>
          <w:szCs w:val="22"/>
        </w:rPr>
        <w:t>„Rozbudowa drogi wojewódzkiej nr 461 w m. Dąbrówka Łubniańska i Łubniany” – Etap I ( km od 9+741,88 do 10+371,13)</w:t>
      </w:r>
    </w:p>
    <w:p w14:paraId="327BBC65"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1.2.</w:t>
      </w:r>
      <w:r w:rsidRPr="001667DB">
        <w:rPr>
          <w:rFonts w:eastAsia="Arial"/>
          <w:color w:val="000000" w:themeColor="text1"/>
          <w:sz w:val="22"/>
          <w:szCs w:val="22"/>
        </w:rPr>
        <w:t xml:space="preserve"> </w:t>
      </w:r>
      <w:r w:rsidRPr="001667DB">
        <w:rPr>
          <w:color w:val="000000" w:themeColor="text1"/>
          <w:sz w:val="22"/>
          <w:szCs w:val="22"/>
        </w:rPr>
        <w:t xml:space="preserve">Przedmiot STWiORB </w:t>
      </w:r>
    </w:p>
    <w:p w14:paraId="4FF736FF" w14:textId="77777777" w:rsidR="00955A27" w:rsidRPr="001667DB" w:rsidRDefault="00955A27" w:rsidP="00B63CED">
      <w:pPr>
        <w:pStyle w:val="Nagwek2"/>
        <w:spacing w:line="360" w:lineRule="auto"/>
        <w:ind w:left="-6"/>
        <w:jc w:val="both"/>
        <w:rPr>
          <w:b w:val="0"/>
          <w:color w:val="000000" w:themeColor="text1"/>
          <w:sz w:val="22"/>
          <w:szCs w:val="22"/>
        </w:rPr>
      </w:pPr>
      <w:r w:rsidRPr="001667DB">
        <w:rPr>
          <w:b w:val="0"/>
          <w:color w:val="000000" w:themeColor="text1"/>
          <w:sz w:val="22"/>
          <w:szCs w:val="22"/>
        </w:rPr>
        <w:t xml:space="preserve">Przedmiotem niniejszych Warunków Wykonania i Odbioru Robót Budowlanych (STWiORB) są wymagania dotyczące wykonania i odbioru robót związanych z wykonaniem warstwy wiążącej z betonu asfaltowego. </w:t>
      </w:r>
    </w:p>
    <w:p w14:paraId="5A05B957"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1.3.</w:t>
      </w:r>
      <w:r w:rsidRPr="001667DB">
        <w:rPr>
          <w:rFonts w:eastAsia="Arial"/>
          <w:color w:val="000000" w:themeColor="text1"/>
          <w:sz w:val="22"/>
          <w:szCs w:val="22"/>
        </w:rPr>
        <w:t xml:space="preserve"> </w:t>
      </w:r>
      <w:r w:rsidRPr="001667DB">
        <w:rPr>
          <w:color w:val="000000" w:themeColor="text1"/>
          <w:sz w:val="22"/>
          <w:szCs w:val="22"/>
        </w:rPr>
        <w:t xml:space="preserve">Zakres stosowania STWiORB </w:t>
      </w:r>
    </w:p>
    <w:p w14:paraId="28A41D3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STWiORB są stosowane jako dokument przetargowy i kontraktowy przy zlecaniu i realizacji robót na drogach krajowych. Zakres robót obejmuje wykonywanie warstwy wiążącej:</w:t>
      </w:r>
    </w:p>
    <w:p w14:paraId="3B0296CF" w14:textId="77777777" w:rsidR="00955A27" w:rsidRPr="001667DB" w:rsidRDefault="00955A27" w:rsidP="00904E6C">
      <w:pPr>
        <w:numPr>
          <w:ilvl w:val="0"/>
          <w:numId w:val="177"/>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u w:val="single"/>
        </w:rPr>
        <w:t>AC 16W (PMB 25/55-60) o grubości 6 cm</w:t>
      </w:r>
      <w:r w:rsidRPr="001667DB">
        <w:rPr>
          <w:rFonts w:ascii="Times New Roman" w:hAnsi="Times New Roman" w:cs="Times New Roman"/>
          <w:color w:val="000000" w:themeColor="text1"/>
        </w:rPr>
        <w:t xml:space="preserve"> dla nawierzchni jezdni zgodnie z Dokumentacją Projektową.</w:t>
      </w:r>
    </w:p>
    <w:p w14:paraId="6D606162" w14:textId="77777777" w:rsidR="00955A27" w:rsidRPr="001667DB" w:rsidRDefault="0010391D" w:rsidP="00904E6C">
      <w:pPr>
        <w:numPr>
          <w:ilvl w:val="0"/>
          <w:numId w:val="177"/>
        </w:numPr>
        <w:spacing w:after="120" w:line="360" w:lineRule="auto"/>
        <w:jc w:val="both"/>
        <w:rPr>
          <w:rFonts w:ascii="Times New Roman" w:hAnsi="Times New Roman" w:cs="Times New Roman"/>
          <w:color w:val="000000" w:themeColor="text1"/>
        </w:rPr>
      </w:pPr>
      <w:r>
        <w:rPr>
          <w:rFonts w:ascii="Times New Roman" w:hAnsi="Times New Roman" w:cs="Times New Roman"/>
          <w:b/>
          <w:color w:val="000000" w:themeColor="text1"/>
          <w:u w:val="single"/>
        </w:rPr>
        <w:t>AC 16</w:t>
      </w:r>
      <w:r w:rsidR="006C3828" w:rsidRPr="001667DB">
        <w:rPr>
          <w:rFonts w:ascii="Times New Roman" w:hAnsi="Times New Roman" w:cs="Times New Roman"/>
          <w:b/>
          <w:color w:val="000000" w:themeColor="text1"/>
          <w:u w:val="single"/>
        </w:rPr>
        <w:t xml:space="preserve">W </w:t>
      </w:r>
      <w:r w:rsidR="00955A27" w:rsidRPr="001667DB">
        <w:rPr>
          <w:rFonts w:ascii="Times New Roman" w:hAnsi="Times New Roman" w:cs="Times New Roman"/>
          <w:b/>
          <w:color w:val="000000" w:themeColor="text1"/>
          <w:u w:val="single"/>
        </w:rPr>
        <w:t>o grubości 4 cm</w:t>
      </w:r>
      <w:r w:rsidR="00955A27" w:rsidRPr="001667DB">
        <w:rPr>
          <w:rFonts w:ascii="Times New Roman" w:hAnsi="Times New Roman" w:cs="Times New Roman"/>
          <w:color w:val="000000" w:themeColor="text1"/>
        </w:rPr>
        <w:t xml:space="preserve"> dla nawierzchni ciągu pieszo-rowerowego zgodnie z Dokumentacją Projektową.</w:t>
      </w:r>
    </w:p>
    <w:p w14:paraId="2584D2CE"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1.4.</w:t>
      </w:r>
      <w:r w:rsidRPr="001667DB">
        <w:rPr>
          <w:rFonts w:eastAsia="Arial"/>
          <w:color w:val="000000" w:themeColor="text1"/>
          <w:sz w:val="22"/>
          <w:szCs w:val="22"/>
        </w:rPr>
        <w:t xml:space="preserve"> </w:t>
      </w:r>
      <w:r w:rsidRPr="001667DB">
        <w:rPr>
          <w:color w:val="000000" w:themeColor="text1"/>
          <w:sz w:val="22"/>
          <w:szCs w:val="22"/>
        </w:rPr>
        <w:t xml:space="preserve">Określenia podstawowe </w:t>
      </w:r>
    </w:p>
    <w:p w14:paraId="7397F962"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Definicje i określenia podano w D-00.00.00 „Wymagania ogólne”, oraz w przepisach związanych wyszczególnionych w pkt. 10 niniejszego STWiORB. </w:t>
      </w:r>
    </w:p>
    <w:p w14:paraId="2847088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1.5.</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Ogólne wymagania dotyczące robót </w:t>
      </w:r>
    </w:p>
    <w:p w14:paraId="4820156A"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robót podano w D-00.00.00 „Wymagania ogólne”. </w:t>
      </w:r>
    </w:p>
    <w:p w14:paraId="11E25795" w14:textId="77777777" w:rsidR="00955A27" w:rsidRPr="00326BBF" w:rsidRDefault="00955A27" w:rsidP="00A9424D">
      <w:pPr>
        <w:pStyle w:val="Nagwek1"/>
        <w:tabs>
          <w:tab w:val="center" w:pos="1235"/>
        </w:tabs>
        <w:spacing w:line="360" w:lineRule="auto"/>
        <w:ind w:left="-3"/>
        <w:jc w:val="both"/>
        <w:rPr>
          <w:color w:val="000000" w:themeColor="text1"/>
          <w:sz w:val="22"/>
          <w:szCs w:val="22"/>
          <w:lang w:val="pl-PL"/>
        </w:rPr>
      </w:pPr>
      <w:r w:rsidRPr="00326BBF">
        <w:rPr>
          <w:color w:val="000000" w:themeColor="text1"/>
          <w:sz w:val="22"/>
          <w:szCs w:val="22"/>
          <w:lang w:val="pl-PL"/>
        </w:rPr>
        <w:t>2.</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MATERIAŁY </w:t>
      </w:r>
    </w:p>
    <w:p w14:paraId="33469AF7"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materiałów, ich pozyskiwania i składowania podano w D-00.00.00 „Wymagania ogólne”. 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 </w:t>
      </w:r>
    </w:p>
    <w:p w14:paraId="36B3B32C" w14:textId="77777777" w:rsidR="00955A27" w:rsidRPr="001667DB" w:rsidRDefault="00955A27" w:rsidP="00A9424D">
      <w:pPr>
        <w:spacing w:after="120" w:line="360" w:lineRule="auto"/>
        <w:ind w:left="6" w:right="-11" w:firstLine="703"/>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należy stosować kruszywa ze skał magmowych, metamorficznych lub osadowych za wyjątkiem kruszywa ze skał dolomitowych i wapiennych.</w:t>
      </w:r>
    </w:p>
    <w:p w14:paraId="26ED76BA" w14:textId="77777777" w:rsidR="00955A27" w:rsidRPr="001667DB" w:rsidRDefault="00955A27" w:rsidP="00A9424D">
      <w:pPr>
        <w:spacing w:after="120" w:line="360" w:lineRule="auto"/>
        <w:ind w:left="6" w:right="-11" w:firstLine="703"/>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Do wykonania mieszanki mineralno – asfaltowej nie należy stosować kruszyw sztucznych, organicznych oraz kruszonych żwirów i piasków.</w:t>
      </w:r>
    </w:p>
    <w:p w14:paraId="7EF08BF1"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2.1.</w:t>
      </w:r>
      <w:r w:rsidRPr="001667DB">
        <w:rPr>
          <w:rFonts w:eastAsia="Arial"/>
          <w:color w:val="000000" w:themeColor="text1"/>
          <w:sz w:val="22"/>
          <w:szCs w:val="22"/>
        </w:rPr>
        <w:t xml:space="preserve"> </w:t>
      </w:r>
      <w:r w:rsidRPr="001667DB">
        <w:rPr>
          <w:color w:val="000000" w:themeColor="text1"/>
          <w:sz w:val="22"/>
          <w:szCs w:val="22"/>
        </w:rPr>
        <w:t xml:space="preserve">Rodzaje materiałów </w:t>
      </w:r>
    </w:p>
    <w:p w14:paraId="6D359C9A"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Rodzaje materiałów stosowanych do mieszanki mineralno-asfaltowej podano w tabeli 1. </w:t>
      </w:r>
    </w:p>
    <w:p w14:paraId="3CC5AA1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 Rodzaje materiałów do mieszanki mineralno-asfaltowej </w:t>
      </w:r>
    </w:p>
    <w:tbl>
      <w:tblPr>
        <w:tblW w:w="7088" w:type="dxa"/>
        <w:tblInd w:w="125" w:type="dxa"/>
        <w:tblCellMar>
          <w:top w:w="56" w:type="dxa"/>
          <w:right w:w="38" w:type="dxa"/>
        </w:tblCellMar>
        <w:tblLook w:val="04A0" w:firstRow="1" w:lastRow="0" w:firstColumn="1" w:lastColumn="0" w:noHBand="0" w:noVBand="1"/>
      </w:tblPr>
      <w:tblGrid>
        <w:gridCol w:w="525"/>
        <w:gridCol w:w="2577"/>
        <w:gridCol w:w="2145"/>
        <w:gridCol w:w="1841"/>
      </w:tblGrid>
      <w:tr w:rsidR="00955A27" w:rsidRPr="001667DB" w14:paraId="53490DAA" w14:textId="77777777" w:rsidTr="00F80DDF">
        <w:trPr>
          <w:trHeight w:val="492"/>
        </w:trPr>
        <w:tc>
          <w:tcPr>
            <w:tcW w:w="5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1C299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p w14:paraId="0173BCB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25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01BFA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p w14:paraId="5C6A717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A8ECC85" w14:textId="77777777" w:rsidR="00955A27" w:rsidRPr="001667DB" w:rsidRDefault="00955A27"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wg / dokument odniesienia </w:t>
            </w:r>
          </w:p>
        </w:tc>
      </w:tr>
      <w:tr w:rsidR="00F80DDF" w:rsidRPr="001667DB" w14:paraId="6E822F92" w14:textId="77777777" w:rsidTr="00F80DDF">
        <w:trPr>
          <w:trHeight w:val="492"/>
        </w:trPr>
        <w:tc>
          <w:tcPr>
            <w:tcW w:w="0" w:type="auto"/>
            <w:vMerge/>
            <w:tcBorders>
              <w:top w:val="nil"/>
              <w:left w:val="single" w:sz="4" w:space="0" w:color="000000"/>
              <w:bottom w:val="single" w:sz="4" w:space="0" w:color="000000"/>
              <w:right w:val="single" w:sz="4" w:space="0" w:color="000000"/>
            </w:tcBorders>
            <w:shd w:val="clear" w:color="auto" w:fill="auto"/>
          </w:tcPr>
          <w:p w14:paraId="349E1CA2" w14:textId="77777777" w:rsidR="00F80DDF" w:rsidRPr="001667DB" w:rsidRDefault="00F80DDF" w:rsidP="00955A27">
            <w:pPr>
              <w:spacing w:after="120" w:line="360" w:lineRule="auto"/>
              <w:rPr>
                <w:rFonts w:ascii="Times New Roman" w:hAnsi="Times New Roman" w:cs="Times New Roman"/>
                <w:color w:val="000000" w:themeColor="text1"/>
              </w:rPr>
            </w:pPr>
          </w:p>
        </w:tc>
        <w:tc>
          <w:tcPr>
            <w:tcW w:w="2577" w:type="dxa"/>
            <w:vMerge/>
            <w:tcBorders>
              <w:top w:val="nil"/>
              <w:left w:val="single" w:sz="4" w:space="0" w:color="000000"/>
              <w:bottom w:val="single" w:sz="4" w:space="0" w:color="000000"/>
              <w:right w:val="single" w:sz="4" w:space="0" w:color="000000"/>
            </w:tcBorders>
            <w:shd w:val="clear" w:color="auto" w:fill="auto"/>
          </w:tcPr>
          <w:p w14:paraId="30BD3F94" w14:textId="77777777" w:rsidR="00F80DDF" w:rsidRPr="001667DB" w:rsidRDefault="00F80DDF" w:rsidP="00955A27">
            <w:pPr>
              <w:spacing w:after="120" w:line="360" w:lineRule="auto"/>
              <w:rPr>
                <w:rFonts w:ascii="Times New Roman" w:hAnsi="Times New Roman" w:cs="Times New Roman"/>
                <w:color w:val="000000" w:themeColor="text1"/>
              </w:rPr>
            </w:pPr>
          </w:p>
        </w:tc>
        <w:tc>
          <w:tcPr>
            <w:tcW w:w="21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CEA9A" w14:textId="77777777" w:rsidR="00F80DDF" w:rsidRPr="001667DB" w:rsidRDefault="00F80DDF" w:rsidP="00955A27">
            <w:pPr>
              <w:spacing w:after="120" w:line="360" w:lineRule="auto"/>
              <w:ind w:right="71"/>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KR 1</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10DFB" w14:textId="77777777" w:rsidR="00F80DDF" w:rsidRPr="001667DB" w:rsidRDefault="00F80DDF" w:rsidP="00955A27">
            <w:pPr>
              <w:spacing w:after="120" w:line="360" w:lineRule="auto"/>
              <w:ind w:right="68"/>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KR4 </w:t>
            </w:r>
          </w:p>
        </w:tc>
      </w:tr>
      <w:tr w:rsidR="00955A27" w:rsidRPr="001667DB" w14:paraId="25EAE162" w14:textId="77777777" w:rsidTr="00F80DDF">
        <w:trPr>
          <w:trHeight w:val="495"/>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7E8A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343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grube  </w:t>
            </w: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64FA7F" w14:textId="77777777" w:rsidR="00955A27" w:rsidRPr="001667DB" w:rsidRDefault="006C3828"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xml:space="preserve">, tabela 8, </w:t>
            </w:r>
          </w:p>
        </w:tc>
      </w:tr>
      <w:tr w:rsidR="00955A27" w:rsidRPr="001667DB" w14:paraId="23A4F59E" w14:textId="77777777" w:rsidTr="00F80DDF">
        <w:trPr>
          <w:trHeight w:val="737"/>
        </w:trPr>
        <w:tc>
          <w:tcPr>
            <w:tcW w:w="525" w:type="dxa"/>
            <w:tcBorders>
              <w:top w:val="single" w:sz="4" w:space="0" w:color="000000"/>
              <w:left w:val="single" w:sz="4" w:space="0" w:color="000000"/>
              <w:bottom w:val="single" w:sz="4" w:space="0" w:color="000000"/>
              <w:right w:val="single" w:sz="4" w:space="0" w:color="000000"/>
            </w:tcBorders>
            <w:shd w:val="clear" w:color="auto" w:fill="auto"/>
          </w:tcPr>
          <w:p w14:paraId="3ED5413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2F7C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drobne lub o ciągłym uziarnieniu D≤8 </w:t>
            </w: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tcPr>
          <w:p w14:paraId="3C585440" w14:textId="77777777" w:rsidR="00955A27" w:rsidRPr="001667DB" w:rsidRDefault="006C3828"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xml:space="preserve">, tabela 9 i 10 </w:t>
            </w:r>
          </w:p>
        </w:tc>
      </w:tr>
      <w:tr w:rsidR="00955A27" w:rsidRPr="001667DB" w14:paraId="1D628B23" w14:textId="77777777" w:rsidTr="00F80DDF">
        <w:trPr>
          <w:trHeight w:val="492"/>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F642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0DC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w:t>
            </w: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EB2E79" w14:textId="77777777" w:rsidR="00955A27" w:rsidRPr="001667DB" w:rsidRDefault="006C3828"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xml:space="preserve">, tabela 11 </w:t>
            </w:r>
          </w:p>
        </w:tc>
      </w:tr>
      <w:tr w:rsidR="00F80DDF" w:rsidRPr="001667DB" w14:paraId="493CF758" w14:textId="77777777" w:rsidTr="00F80DDF">
        <w:trPr>
          <w:trHeight w:val="737"/>
        </w:trPr>
        <w:tc>
          <w:tcPr>
            <w:tcW w:w="525" w:type="dxa"/>
            <w:tcBorders>
              <w:top w:val="single" w:sz="4" w:space="0" w:color="000000"/>
              <w:left w:val="single" w:sz="4" w:space="0" w:color="000000"/>
              <w:bottom w:val="single" w:sz="4" w:space="0" w:color="000000"/>
              <w:right w:val="single" w:sz="4" w:space="0" w:color="000000"/>
            </w:tcBorders>
            <w:shd w:val="clear" w:color="auto" w:fill="auto"/>
          </w:tcPr>
          <w:p w14:paraId="68807383" w14:textId="77777777" w:rsidR="00F80DDF" w:rsidRPr="001667DB" w:rsidRDefault="00F80DDF"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577" w:type="dxa"/>
            <w:tcBorders>
              <w:top w:val="single" w:sz="4" w:space="0" w:color="000000"/>
              <w:left w:val="single" w:sz="4" w:space="0" w:color="000000"/>
              <w:bottom w:val="single" w:sz="4" w:space="0" w:color="000000"/>
              <w:right w:val="single" w:sz="4" w:space="0" w:color="000000"/>
            </w:tcBorders>
            <w:shd w:val="clear" w:color="auto" w:fill="auto"/>
          </w:tcPr>
          <w:p w14:paraId="22DC5277" w14:textId="77777777" w:rsidR="00F80DDF" w:rsidRPr="001667DB" w:rsidRDefault="00F80DDF"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w:t>
            </w:r>
          </w:p>
        </w:tc>
        <w:tc>
          <w:tcPr>
            <w:tcW w:w="2145" w:type="dxa"/>
            <w:tcBorders>
              <w:top w:val="single" w:sz="4" w:space="0" w:color="000000"/>
              <w:left w:val="single" w:sz="4" w:space="0" w:color="000000"/>
              <w:bottom w:val="single" w:sz="4" w:space="0" w:color="000000"/>
              <w:right w:val="single" w:sz="4" w:space="0" w:color="auto"/>
            </w:tcBorders>
            <w:shd w:val="clear" w:color="auto" w:fill="auto"/>
            <w:vAlign w:val="center"/>
          </w:tcPr>
          <w:p w14:paraId="79546BF4" w14:textId="77777777" w:rsidR="00F80DDF" w:rsidRPr="001667DB" w:rsidRDefault="00F80DDF" w:rsidP="00955A27">
            <w:pPr>
              <w:spacing w:after="120" w:line="360" w:lineRule="auto"/>
              <w:ind w:right="70"/>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50/70</w:t>
            </w:r>
          </w:p>
          <w:p w14:paraId="36BE6FD8" w14:textId="77777777" w:rsidR="00F80DDF" w:rsidRPr="001667DB" w:rsidRDefault="00F80DDF" w:rsidP="00955A27">
            <w:pPr>
              <w:spacing w:after="120" w:line="360" w:lineRule="auto"/>
              <w:ind w:right="70"/>
              <w:jc w:val="center"/>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WT-2 2014 – część I pkt. 8.2.2.1 Tab. 10, PN-EN </w:t>
            </w:r>
          </w:p>
          <w:p w14:paraId="42D58337" w14:textId="77777777" w:rsidR="00F80DDF" w:rsidRPr="001667DB" w:rsidRDefault="00F80DDF"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b/>
                <w:color w:val="000000" w:themeColor="text1"/>
              </w:rPr>
              <w:t>14023</w:t>
            </w:r>
            <w:r w:rsidRPr="001667DB">
              <w:rPr>
                <w:rFonts w:ascii="Times New Roman" w:hAnsi="Times New Roman" w:cs="Times New Roman"/>
                <w:color w:val="000000" w:themeColor="text1"/>
              </w:rPr>
              <w:t xml:space="preserve"> </w:t>
            </w:r>
          </w:p>
        </w:tc>
        <w:tc>
          <w:tcPr>
            <w:tcW w:w="1841" w:type="dxa"/>
            <w:tcBorders>
              <w:top w:val="single" w:sz="4" w:space="0" w:color="000000"/>
              <w:left w:val="single" w:sz="4" w:space="0" w:color="auto"/>
              <w:bottom w:val="single" w:sz="4" w:space="0" w:color="000000"/>
              <w:right w:val="single" w:sz="4" w:space="0" w:color="auto"/>
            </w:tcBorders>
            <w:shd w:val="clear" w:color="auto" w:fill="auto"/>
            <w:vAlign w:val="center"/>
          </w:tcPr>
          <w:p w14:paraId="1417B557" w14:textId="77777777" w:rsidR="00F80DDF" w:rsidRPr="001667DB" w:rsidRDefault="00F80DDF" w:rsidP="00955A27">
            <w:pPr>
              <w:spacing w:after="120" w:line="360" w:lineRule="auto"/>
              <w:ind w:right="70"/>
              <w:jc w:val="center"/>
              <w:rPr>
                <w:rFonts w:ascii="Times New Roman" w:hAnsi="Times New Roman" w:cs="Times New Roman"/>
                <w:color w:val="000000" w:themeColor="text1"/>
                <w:u w:val="single"/>
              </w:rPr>
            </w:pPr>
            <w:r w:rsidRPr="001667DB">
              <w:rPr>
                <w:rFonts w:ascii="Times New Roman" w:hAnsi="Times New Roman" w:cs="Times New Roman"/>
                <w:color w:val="000000" w:themeColor="text1"/>
                <w:u w:val="single"/>
              </w:rPr>
              <w:t>PMB 25/55-60</w:t>
            </w:r>
          </w:p>
          <w:p w14:paraId="6C9494B5" w14:textId="77777777" w:rsidR="00F80DDF" w:rsidRPr="001667DB" w:rsidRDefault="00F80DDF"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2014 – część I pkt. 8.2.2.1 Tab. 10, PN-EN </w:t>
            </w:r>
          </w:p>
          <w:p w14:paraId="1B19D63F" w14:textId="77777777" w:rsidR="00F80DDF" w:rsidRPr="001667DB" w:rsidRDefault="00F80DDF"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14023</w:t>
            </w:r>
          </w:p>
        </w:tc>
      </w:tr>
      <w:tr w:rsidR="00955A27" w:rsidRPr="001667DB" w14:paraId="5C2816F1" w14:textId="77777777" w:rsidTr="00F80DDF">
        <w:trPr>
          <w:trHeight w:val="375"/>
        </w:trPr>
        <w:tc>
          <w:tcPr>
            <w:tcW w:w="525" w:type="dxa"/>
            <w:tcBorders>
              <w:top w:val="single" w:sz="4" w:space="0" w:color="000000"/>
              <w:left w:val="single" w:sz="4" w:space="0" w:color="000000"/>
              <w:bottom w:val="single" w:sz="4" w:space="0" w:color="000000"/>
              <w:right w:val="single" w:sz="4" w:space="0" w:color="000000"/>
            </w:tcBorders>
            <w:shd w:val="clear" w:color="auto" w:fill="auto"/>
          </w:tcPr>
          <w:p w14:paraId="42E9B73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577" w:type="dxa"/>
            <w:tcBorders>
              <w:top w:val="single" w:sz="4" w:space="0" w:color="000000"/>
              <w:left w:val="single" w:sz="4" w:space="0" w:color="000000"/>
              <w:bottom w:val="single" w:sz="4" w:space="0" w:color="000000"/>
              <w:right w:val="single" w:sz="4" w:space="0" w:color="000000"/>
            </w:tcBorders>
            <w:shd w:val="clear" w:color="auto" w:fill="auto"/>
          </w:tcPr>
          <w:p w14:paraId="1B27C248"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tcPr>
          <w:p w14:paraId="5F550831" w14:textId="77777777" w:rsidR="00955A27" w:rsidRPr="001667DB" w:rsidRDefault="00955A27" w:rsidP="00955A27">
            <w:pPr>
              <w:spacing w:after="120" w:line="360" w:lineRule="auto"/>
              <w:ind w:right="5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12591, PN-EN 13924-2 </w:t>
            </w:r>
          </w:p>
        </w:tc>
      </w:tr>
      <w:tr w:rsidR="00955A27" w:rsidRPr="001667DB" w14:paraId="7743F04D" w14:textId="77777777" w:rsidTr="00F80DDF">
        <w:trPr>
          <w:trHeight w:val="492"/>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4FEE9" w14:textId="77777777" w:rsidR="00955A27" w:rsidRPr="001667DB" w:rsidRDefault="00441A30"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w:t>
            </w:r>
            <w:r w:rsidR="00955A27" w:rsidRPr="001667DB">
              <w:rPr>
                <w:rFonts w:ascii="Times New Roman" w:hAnsi="Times New Roman" w:cs="Times New Roman"/>
                <w:color w:val="000000" w:themeColor="text1"/>
              </w:rPr>
              <w:t xml:space="preserve">. </w:t>
            </w:r>
          </w:p>
        </w:tc>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3DE9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Środek adhezyjny </w:t>
            </w:r>
          </w:p>
        </w:tc>
        <w:tc>
          <w:tcPr>
            <w:tcW w:w="39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6E948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 4.1 PN-EN 13108-1 </w:t>
            </w:r>
          </w:p>
        </w:tc>
      </w:tr>
      <w:tr w:rsidR="00F80DDF" w:rsidRPr="001667DB" w14:paraId="7DDDEA97" w14:textId="77777777" w:rsidTr="00F80DDF">
        <w:trPr>
          <w:trHeight w:val="1466"/>
        </w:trPr>
        <w:tc>
          <w:tcPr>
            <w:tcW w:w="525" w:type="dxa"/>
            <w:tcBorders>
              <w:top w:val="single" w:sz="4" w:space="0" w:color="000000"/>
              <w:left w:val="single" w:sz="4" w:space="0" w:color="000000"/>
              <w:bottom w:val="single" w:sz="4" w:space="0" w:color="000000"/>
              <w:right w:val="single" w:sz="4" w:space="0" w:color="000000"/>
            </w:tcBorders>
            <w:shd w:val="clear" w:color="auto" w:fill="auto"/>
          </w:tcPr>
          <w:p w14:paraId="0466B934" w14:textId="77777777" w:rsidR="00F80DDF" w:rsidRPr="001667DB" w:rsidRDefault="00F80DDF"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577" w:type="dxa"/>
            <w:tcBorders>
              <w:top w:val="single" w:sz="4" w:space="0" w:color="000000"/>
              <w:left w:val="single" w:sz="4" w:space="0" w:color="000000"/>
              <w:bottom w:val="single" w:sz="4" w:space="0" w:color="000000"/>
              <w:right w:val="single" w:sz="4" w:space="0" w:color="000000"/>
            </w:tcBorders>
            <w:shd w:val="clear" w:color="auto" w:fill="auto"/>
          </w:tcPr>
          <w:p w14:paraId="73DBC3D9" w14:textId="77777777" w:rsidR="00F80DDF" w:rsidRPr="001667DB" w:rsidRDefault="00F80DDF"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Mieszanka mineralnoasfaltowe </w:t>
            </w:r>
          </w:p>
        </w:tc>
        <w:tc>
          <w:tcPr>
            <w:tcW w:w="21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5525E" w14:textId="77777777" w:rsidR="00F80DDF" w:rsidRPr="001667DB" w:rsidRDefault="00F80DDF"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2014– część I pkt. </w:t>
            </w:r>
          </w:p>
          <w:p w14:paraId="6E65C7C6" w14:textId="77777777" w:rsidR="00F80DDF" w:rsidRPr="001667DB" w:rsidRDefault="00F80DDF" w:rsidP="00955A27">
            <w:pPr>
              <w:spacing w:after="120" w:line="360" w:lineRule="auto"/>
              <w:ind w:left="98" w:right="8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8.2.2.2 tab. 11 i pkt 8.2.2.3 tab. 12 </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DD8C9" w14:textId="77777777" w:rsidR="00F80DDF" w:rsidRPr="001667DB" w:rsidRDefault="00F80DDF"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2014– część I pkt. </w:t>
            </w:r>
          </w:p>
          <w:p w14:paraId="1562798E" w14:textId="77777777" w:rsidR="00F80DDF" w:rsidRPr="001667DB" w:rsidRDefault="00F80DDF" w:rsidP="00955A27">
            <w:pPr>
              <w:spacing w:after="120" w:line="360" w:lineRule="auto"/>
              <w:ind w:left="28" w:right="1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8.2.2.2 tab. 11 i pkt 8.2.2.3 tab. 13 </w:t>
            </w:r>
          </w:p>
        </w:tc>
      </w:tr>
      <w:tr w:rsidR="00955A27" w:rsidRPr="001667DB" w14:paraId="5B7F6CFB" w14:textId="77777777" w:rsidTr="00F80DDF">
        <w:trPr>
          <w:trHeight w:val="1342"/>
        </w:trPr>
        <w:tc>
          <w:tcPr>
            <w:tcW w:w="708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457D90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stosowana jest mieszanka kruszywa drobnego niełamanego i łamanego, to należy przyjąć proporcję kruszywa łamanego do niełamanego co najmniej 50/50. </w:t>
            </w:r>
          </w:p>
          <w:p w14:paraId="7D2DA77D" w14:textId="77777777" w:rsidR="00955A27" w:rsidRPr="001667DB" w:rsidRDefault="00955A27" w:rsidP="00441A30">
            <w:pPr>
              <w:spacing w:after="120" w:line="360" w:lineRule="auto"/>
              <w:ind w:right="53"/>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Projektowanie mieszanki mineralno-asfaltowej wg WT-2 2014 – część I pkt. 8.1 </w:t>
            </w:r>
          </w:p>
        </w:tc>
      </w:tr>
    </w:tbl>
    <w:p w14:paraId="4284BBB7" w14:textId="77777777" w:rsidR="00955A27" w:rsidRPr="001667DB" w:rsidRDefault="00955A27" w:rsidP="00955A27">
      <w:pPr>
        <w:pStyle w:val="Nagwek2"/>
        <w:spacing w:line="360" w:lineRule="auto"/>
        <w:ind w:left="7"/>
        <w:rPr>
          <w:color w:val="000000" w:themeColor="text1"/>
          <w:sz w:val="22"/>
          <w:szCs w:val="22"/>
        </w:rPr>
      </w:pPr>
      <w:r w:rsidRPr="001667DB">
        <w:rPr>
          <w:color w:val="000000" w:themeColor="text1"/>
          <w:sz w:val="22"/>
          <w:szCs w:val="22"/>
        </w:rPr>
        <w:lastRenderedPageBreak/>
        <w:t>2.2.</w:t>
      </w:r>
      <w:r w:rsidRPr="001667DB">
        <w:rPr>
          <w:rFonts w:eastAsia="Arial"/>
          <w:color w:val="000000" w:themeColor="text1"/>
          <w:sz w:val="22"/>
          <w:szCs w:val="22"/>
        </w:rPr>
        <w:t xml:space="preserve"> </w:t>
      </w:r>
      <w:r w:rsidRPr="001667DB">
        <w:rPr>
          <w:color w:val="000000" w:themeColor="text1"/>
          <w:sz w:val="22"/>
          <w:szCs w:val="22"/>
        </w:rPr>
        <w:t xml:space="preserve">Wymagania wobec innych materiałów </w:t>
      </w:r>
    </w:p>
    <w:p w14:paraId="79222FD9" w14:textId="77777777" w:rsidR="00955A27" w:rsidRPr="001667DB" w:rsidRDefault="00955A27" w:rsidP="00777055">
      <w:pPr>
        <w:pStyle w:val="Nagwek3"/>
      </w:pPr>
      <w:r w:rsidRPr="001667DB">
        <w:t>2.2.1.</w:t>
      </w:r>
      <w:r w:rsidRPr="001667DB">
        <w:rPr>
          <w:rFonts w:eastAsia="Arial"/>
        </w:rPr>
        <w:t xml:space="preserve"> </w:t>
      </w:r>
      <w:r w:rsidRPr="001667DB">
        <w:t xml:space="preserve">Materiały do połączeń technologicznych </w:t>
      </w:r>
    </w:p>
    <w:p w14:paraId="2F9285E7" w14:textId="77777777" w:rsidR="00955A27" w:rsidRPr="001667DB" w:rsidRDefault="00955A27" w:rsidP="00955A27">
      <w:pPr>
        <w:spacing w:after="120" w:line="360" w:lineRule="auto"/>
        <w:ind w:left="5" w:hanging="11"/>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uszczelniania połączeń technologicznych należy stosować materiały zgodnie z pkt. 7.6.1 WT-2 2016 – część II wg tabel 5 i 6. </w:t>
      </w:r>
    </w:p>
    <w:p w14:paraId="2327C251" w14:textId="77777777" w:rsidR="00955A27" w:rsidRPr="001667DB" w:rsidRDefault="00955A27" w:rsidP="00955A27">
      <w:pPr>
        <w:spacing w:after="120" w:line="360" w:lineRule="auto"/>
        <w:ind w:left="7"/>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5. Materiały do złączy (podłużnych i poprzecznych wykonywanych metodą „gorące przy zimnym”) </w:t>
      </w:r>
    </w:p>
    <w:tbl>
      <w:tblPr>
        <w:tblW w:w="9064" w:type="dxa"/>
        <w:tblInd w:w="17" w:type="dxa"/>
        <w:tblCellMar>
          <w:right w:w="45" w:type="dxa"/>
        </w:tblCellMar>
        <w:tblLook w:val="04A0" w:firstRow="1" w:lastRow="0" w:firstColumn="1" w:lastColumn="0" w:noHBand="0" w:noVBand="1"/>
      </w:tblPr>
      <w:tblGrid>
        <w:gridCol w:w="1490"/>
        <w:gridCol w:w="919"/>
        <w:gridCol w:w="2408"/>
        <w:gridCol w:w="992"/>
        <w:gridCol w:w="3255"/>
      </w:tblGrid>
      <w:tr w:rsidR="00955A27" w:rsidRPr="001667DB" w14:paraId="44CCE959" w14:textId="77777777" w:rsidTr="001B4B8F">
        <w:trPr>
          <w:trHeight w:val="494"/>
        </w:trPr>
        <w:tc>
          <w:tcPr>
            <w:tcW w:w="14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565745"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warstwy </w:t>
            </w:r>
          </w:p>
        </w:tc>
        <w:tc>
          <w:tcPr>
            <w:tcW w:w="332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5ED499"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Złącze podłużne </w:t>
            </w:r>
          </w:p>
        </w:tc>
        <w:tc>
          <w:tcPr>
            <w:tcW w:w="4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0EC5F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Złącze poprzeczne </w:t>
            </w:r>
          </w:p>
        </w:tc>
      </w:tr>
      <w:tr w:rsidR="00955A27" w:rsidRPr="001667DB" w14:paraId="1E01B5AA" w14:textId="77777777" w:rsidTr="001B4B8F">
        <w:trPr>
          <w:trHeight w:val="492"/>
        </w:trPr>
        <w:tc>
          <w:tcPr>
            <w:tcW w:w="0" w:type="auto"/>
            <w:vMerge/>
            <w:tcBorders>
              <w:top w:val="nil"/>
              <w:left w:val="single" w:sz="4" w:space="0" w:color="000000"/>
              <w:bottom w:val="single" w:sz="4" w:space="0" w:color="000000"/>
              <w:right w:val="single" w:sz="4" w:space="0" w:color="000000"/>
            </w:tcBorders>
            <w:shd w:val="clear" w:color="auto" w:fill="auto"/>
          </w:tcPr>
          <w:p w14:paraId="0420CEA8"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4B5E8"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24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36BE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083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32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39A4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r>
      <w:tr w:rsidR="00955A27" w:rsidRPr="001667DB" w14:paraId="0A7AD2DB" w14:textId="77777777" w:rsidTr="001B4B8F">
        <w:trPr>
          <w:trHeight w:val="606"/>
        </w:trPr>
        <w:tc>
          <w:tcPr>
            <w:tcW w:w="14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A2EC83"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wiążąca </w:t>
            </w:r>
          </w:p>
        </w:tc>
        <w:tc>
          <w:tcPr>
            <w:tcW w:w="9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F582871"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1-7 </w:t>
            </w:r>
          </w:p>
        </w:tc>
        <w:tc>
          <w:tcPr>
            <w:tcW w:w="24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414627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Pasty asfaltowe lub elastyczne taśmy bitumiczne + środek gruntujący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38E4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1 </w:t>
            </w:r>
          </w:p>
        </w:tc>
        <w:tc>
          <w:tcPr>
            <w:tcW w:w="32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5580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Pasty asfaltowe lub </w:t>
            </w:r>
          </w:p>
          <w:p w14:paraId="394E435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elastyczne taśmy bitumiczne + środek gruntujący </w:t>
            </w:r>
          </w:p>
        </w:tc>
      </w:tr>
      <w:tr w:rsidR="00955A27" w:rsidRPr="001667DB" w14:paraId="73FA53D2" w14:textId="77777777" w:rsidTr="001B4B8F">
        <w:trPr>
          <w:trHeight w:val="322"/>
        </w:trPr>
        <w:tc>
          <w:tcPr>
            <w:tcW w:w="0" w:type="auto"/>
            <w:vMerge/>
            <w:tcBorders>
              <w:top w:val="nil"/>
              <w:left w:val="single" w:sz="4" w:space="0" w:color="000000"/>
              <w:bottom w:val="single" w:sz="4" w:space="0" w:color="000000"/>
              <w:right w:val="single" w:sz="4" w:space="0" w:color="000000"/>
            </w:tcBorders>
            <w:shd w:val="clear" w:color="auto" w:fill="auto"/>
          </w:tcPr>
          <w:p w14:paraId="24F7C90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4" w:space="0" w:color="000000"/>
              <w:bottom w:val="single" w:sz="4" w:space="0" w:color="000000"/>
              <w:right w:val="single" w:sz="4" w:space="0" w:color="000000"/>
            </w:tcBorders>
            <w:shd w:val="clear" w:color="auto" w:fill="auto"/>
          </w:tcPr>
          <w:p w14:paraId="50E8684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4" w:space="0" w:color="000000"/>
              <w:bottom w:val="single" w:sz="4" w:space="0" w:color="000000"/>
              <w:right w:val="single" w:sz="4" w:space="0" w:color="000000"/>
            </w:tcBorders>
            <w:shd w:val="clear" w:color="auto" w:fill="auto"/>
          </w:tcPr>
          <w:p w14:paraId="7EF5A8A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53E8E" w14:textId="77777777" w:rsidR="00955A27" w:rsidRPr="001667DB" w:rsidRDefault="00955A27" w:rsidP="00072A61">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072A61">
              <w:rPr>
                <w:rFonts w:ascii="Times New Roman" w:hAnsi="Times New Roman" w:cs="Times New Roman"/>
                <w:color w:val="000000" w:themeColor="text1"/>
              </w:rPr>
              <w:t>4</w:t>
            </w:r>
          </w:p>
        </w:tc>
        <w:tc>
          <w:tcPr>
            <w:tcW w:w="32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DA68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Elastyczne taśmy bitumiczne + środek gruntujący </w:t>
            </w:r>
          </w:p>
        </w:tc>
      </w:tr>
    </w:tbl>
    <w:p w14:paraId="656E83C4" w14:textId="77777777" w:rsidR="00955A27" w:rsidRPr="001667DB" w:rsidRDefault="00955A27" w:rsidP="00955A27">
      <w:pPr>
        <w:spacing w:after="120" w:line="360" w:lineRule="auto"/>
        <w:rPr>
          <w:rFonts w:ascii="Times New Roman" w:hAnsi="Times New Roman" w:cs="Times New Roman"/>
          <w:color w:val="000000" w:themeColor="text1"/>
        </w:rPr>
      </w:pPr>
    </w:p>
    <w:p w14:paraId="5BC1E65F" w14:textId="77777777" w:rsidR="00955A27" w:rsidRPr="001667DB" w:rsidRDefault="00955A27" w:rsidP="00955A27">
      <w:pPr>
        <w:spacing w:after="120" w:line="360" w:lineRule="auto"/>
        <w:ind w:left="7"/>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6. Materiały do spoin między fragmentami zagęszczonej MMA i elementami wyposażenia drogi </w:t>
      </w:r>
    </w:p>
    <w:tbl>
      <w:tblPr>
        <w:tblW w:w="9064" w:type="dxa"/>
        <w:tblInd w:w="17" w:type="dxa"/>
        <w:tblCellMar>
          <w:right w:w="69" w:type="dxa"/>
        </w:tblCellMar>
        <w:tblLook w:val="04A0" w:firstRow="1" w:lastRow="0" w:firstColumn="1" w:lastColumn="0" w:noHBand="0" w:noVBand="1"/>
      </w:tblPr>
      <w:tblGrid>
        <w:gridCol w:w="1978"/>
        <w:gridCol w:w="1136"/>
        <w:gridCol w:w="5950"/>
      </w:tblGrid>
      <w:tr w:rsidR="00955A27" w:rsidRPr="001667DB" w14:paraId="4A5E48A4" w14:textId="77777777" w:rsidTr="001B4B8F">
        <w:trPr>
          <w:trHeight w:val="492"/>
        </w:trPr>
        <w:tc>
          <w:tcPr>
            <w:tcW w:w="1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FA121"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warstwy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547E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5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40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r>
      <w:tr w:rsidR="00955A27" w:rsidRPr="001667DB" w14:paraId="2F6E6319" w14:textId="77777777" w:rsidTr="001B4B8F">
        <w:trPr>
          <w:trHeight w:val="356"/>
        </w:trPr>
        <w:tc>
          <w:tcPr>
            <w:tcW w:w="1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5854F"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wiążąca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7F759"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1-7 </w:t>
            </w:r>
          </w:p>
        </w:tc>
        <w:tc>
          <w:tcPr>
            <w:tcW w:w="5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8EE64" w14:textId="77777777" w:rsidR="00955A27" w:rsidRPr="001667DB" w:rsidRDefault="00955A27" w:rsidP="00955A27">
            <w:pPr>
              <w:spacing w:after="120" w:line="360" w:lineRule="auto"/>
              <w:ind w:right="634"/>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Pasty asfaltowe lub elastyczne taśmy bitumiczne + środek gruntujący  </w:t>
            </w:r>
          </w:p>
        </w:tc>
      </w:tr>
    </w:tbl>
    <w:p w14:paraId="38DC77B8"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Uwaga: W przypadku elastycznych taśm bitumicznych należy zastosować środek do gruntowania powierzchni połączeń technologicznych przewidziany przez producenta taśmy. </w:t>
      </w:r>
    </w:p>
    <w:p w14:paraId="7CE9AC2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Materiały do połączeń technologicznych muszą spełniać wymagania sformułowane w tabelach 10, 11 i 12  z WT-2 2016 – część II. </w:t>
      </w:r>
    </w:p>
    <w:p w14:paraId="2B7F2E7D" w14:textId="77777777" w:rsidR="00955A27" w:rsidRPr="001667DB" w:rsidRDefault="00955A27" w:rsidP="00A9424D">
      <w:pPr>
        <w:pStyle w:val="Nagwek3"/>
      </w:pPr>
      <w:r w:rsidRPr="001667DB">
        <w:t>2.2.2.</w:t>
      </w:r>
      <w:r w:rsidRPr="001667DB">
        <w:rPr>
          <w:rFonts w:eastAsia="Arial"/>
        </w:rPr>
        <w:t xml:space="preserve"> </w:t>
      </w:r>
      <w:r w:rsidRPr="001667DB">
        <w:t xml:space="preserve">Lepiszcze do skropienia podłoża </w:t>
      </w:r>
    </w:p>
    <w:p w14:paraId="492739D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do skropienia podłoża powinno spełniać wymagania podane PN-EN 13808 i STWiORB D.04.03.01. </w:t>
      </w:r>
    </w:p>
    <w:p w14:paraId="00E3C5EE" w14:textId="77777777" w:rsidR="00955A27" w:rsidRPr="001667DB" w:rsidRDefault="00955A27" w:rsidP="00A9424D">
      <w:pPr>
        <w:pStyle w:val="Nagwek3"/>
      </w:pPr>
      <w:r w:rsidRPr="001667DB">
        <w:t>2.2.3.</w:t>
      </w:r>
      <w:r w:rsidRPr="001667DB">
        <w:rPr>
          <w:rFonts w:eastAsia="Arial"/>
        </w:rPr>
        <w:t xml:space="preserve"> </w:t>
      </w:r>
      <w:r w:rsidRPr="001667DB">
        <w:t xml:space="preserve">Dodatki do mieszanki mineralno-asfaltowej </w:t>
      </w:r>
    </w:p>
    <w:p w14:paraId="3D2CEB7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zgodą Zamawiającego mogą być stosowane dodatki stabilizujące lub modyfikujące. Pochodzenie, rodzaj i właściwości dodatków powinny być deklarowane. Skuteczność stosowanych dodatków i modyfikatorów powinna być udokumentowana zgodnie z PN-EN 13108-1 punkt 4.1. </w:t>
      </w:r>
    </w:p>
    <w:p w14:paraId="7F5304C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Zaleca się stosowanie do mieszanek mineralno-asfaltowych, dodatku środka obniżającego temp</w:t>
      </w:r>
      <w:r w:rsidR="00441A30" w:rsidRPr="001667DB">
        <w:rPr>
          <w:rFonts w:ascii="Times New Roman" w:hAnsi="Times New Roman" w:cs="Times New Roman"/>
          <w:color w:val="000000" w:themeColor="text1"/>
        </w:rPr>
        <w:t>eraturę produkcji i układania .</w:t>
      </w:r>
    </w:p>
    <w:p w14:paraId="2EEC5BC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Do mieszanek mineralno-asfaltowych może być stosowany dodatek asfaltu naturalnego, jeżeli spełnia wymagania podane w PN-EN 13108-4 Załącznik B. </w:t>
      </w:r>
    </w:p>
    <w:p w14:paraId="3C8AC92D"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2.3.</w:t>
      </w:r>
      <w:r w:rsidRPr="001667DB">
        <w:rPr>
          <w:rFonts w:eastAsia="Arial"/>
          <w:color w:val="000000" w:themeColor="text1"/>
          <w:sz w:val="22"/>
          <w:szCs w:val="22"/>
        </w:rPr>
        <w:t xml:space="preserve"> </w:t>
      </w:r>
      <w:r w:rsidRPr="001667DB">
        <w:rPr>
          <w:color w:val="000000" w:themeColor="text1"/>
          <w:sz w:val="22"/>
          <w:szCs w:val="22"/>
        </w:rPr>
        <w:t xml:space="preserve">Dostawy materiałów </w:t>
      </w:r>
    </w:p>
    <w:p w14:paraId="335486EF"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dostawy materiałów odpowiedzialny jest Wykonawca robót zgodnie z ustaleniami określonymi w D-00.00.00 „Wymagania ogólne”. </w:t>
      </w:r>
    </w:p>
    <w:p w14:paraId="4CC95285"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 </w:t>
      </w:r>
    </w:p>
    <w:p w14:paraId="626F8E08"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2.4.</w:t>
      </w:r>
      <w:r w:rsidRPr="001667DB">
        <w:rPr>
          <w:rFonts w:eastAsia="Arial"/>
          <w:color w:val="000000" w:themeColor="text1"/>
          <w:sz w:val="22"/>
          <w:szCs w:val="22"/>
        </w:rPr>
        <w:t xml:space="preserve"> </w:t>
      </w:r>
      <w:r w:rsidRPr="001667DB">
        <w:rPr>
          <w:color w:val="000000" w:themeColor="text1"/>
          <w:sz w:val="22"/>
          <w:szCs w:val="22"/>
        </w:rPr>
        <w:t xml:space="preserve">Składowanie materiałów </w:t>
      </w:r>
    </w:p>
    <w:p w14:paraId="6CA8C150" w14:textId="77777777" w:rsidR="00955A27" w:rsidRPr="001667DB" w:rsidRDefault="00955A27" w:rsidP="00A9424D">
      <w:pPr>
        <w:pStyle w:val="Nagwek3"/>
      </w:pPr>
      <w:r w:rsidRPr="001667DB">
        <w:t>2.4.1.</w:t>
      </w:r>
      <w:r w:rsidRPr="001667DB">
        <w:rPr>
          <w:rFonts w:eastAsia="Arial"/>
        </w:rPr>
        <w:t xml:space="preserve"> </w:t>
      </w:r>
      <w:r w:rsidRPr="001667DB">
        <w:t xml:space="preserve">Składowanie kruszywa </w:t>
      </w:r>
    </w:p>
    <w:p w14:paraId="210D164C"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Składowanie kruszywa powinno odbywać się w warunkach zabezpieczających je przed zanieczyszczeniem i zmieszaniem z innymi rodzajami lub frakcjami kruszywa. </w:t>
      </w:r>
    </w:p>
    <w:p w14:paraId="0E1D1B62"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2.4.2.</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Składowanie wypełniacza </w:t>
      </w:r>
    </w:p>
    <w:p w14:paraId="0DB033C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należy składować w silosach wyposażonych w urządzenia do aeracji. </w:t>
      </w:r>
    </w:p>
    <w:p w14:paraId="3BC017F7" w14:textId="77777777" w:rsidR="00955A27" w:rsidRPr="001667DB" w:rsidRDefault="00955A27" w:rsidP="00A9424D">
      <w:pPr>
        <w:pStyle w:val="Nagwek3"/>
      </w:pPr>
      <w:r w:rsidRPr="001667DB">
        <w:t>2.4.3.</w:t>
      </w:r>
      <w:r w:rsidRPr="001667DB">
        <w:rPr>
          <w:rFonts w:eastAsia="Arial"/>
        </w:rPr>
        <w:t xml:space="preserve"> </w:t>
      </w:r>
      <w:r w:rsidRPr="001667DB">
        <w:t xml:space="preserve">Składowanie asfaltu </w:t>
      </w:r>
    </w:p>
    <w:p w14:paraId="5364261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asfaltowe należy przechowywać zgodnie z zasadami podanymi w pkt. 8.3 WT-2 2014 – część I. Zbiorniki na asfalt modyfikowany winny być wyposażone w mieszadła mechaniczne lub co najmniej winny mieć zapewniony system przepompowywania wprawiający w cyrkulację asfalt z dolnych partii zbiornika. Maksymalne temperatury składowania asfaltu drogowego powinny być zgodne z tabelą 41 w/w wytycznych. Temperatury składowania asfaltów modyfikowanych powinny być zgodne z zaleceniami  producenta.  </w:t>
      </w:r>
    </w:p>
    <w:p w14:paraId="44150AA8" w14:textId="77777777" w:rsidR="00955A27" w:rsidRPr="001667DB" w:rsidRDefault="00955A27" w:rsidP="00A9424D">
      <w:pPr>
        <w:pStyle w:val="Nagwek3"/>
      </w:pPr>
      <w:r w:rsidRPr="001667DB">
        <w:t>2.4.4.</w:t>
      </w:r>
      <w:r w:rsidRPr="001667DB">
        <w:rPr>
          <w:rFonts w:eastAsia="Arial"/>
        </w:rPr>
        <w:t xml:space="preserve"> </w:t>
      </w:r>
      <w:r w:rsidRPr="001667DB">
        <w:t xml:space="preserve">Składowanie środka adhezyjnego </w:t>
      </w:r>
    </w:p>
    <w:p w14:paraId="76469683" w14:textId="77777777" w:rsidR="00955A27" w:rsidRPr="001667DB" w:rsidRDefault="00955A27" w:rsidP="006D312E">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Składowanie środka adhezyjnego jest dozwolone tylko w oryginalnych opakowaniach producenta w warunkach podanych zgo</w:t>
      </w:r>
      <w:r w:rsidR="006D312E">
        <w:rPr>
          <w:rFonts w:ascii="Times New Roman" w:hAnsi="Times New Roman" w:cs="Times New Roman"/>
          <w:color w:val="000000" w:themeColor="text1"/>
        </w:rPr>
        <w:t xml:space="preserve">dnie z zaleceniami producenta. </w:t>
      </w:r>
    </w:p>
    <w:p w14:paraId="0D09045F" w14:textId="77777777" w:rsidR="00955A27" w:rsidRPr="00326BBF" w:rsidRDefault="00955A27" w:rsidP="00A9424D">
      <w:pPr>
        <w:pStyle w:val="Nagwek1"/>
        <w:tabs>
          <w:tab w:val="center" w:pos="1005"/>
        </w:tabs>
        <w:spacing w:line="360" w:lineRule="auto"/>
        <w:ind w:left="-3"/>
        <w:jc w:val="both"/>
        <w:rPr>
          <w:color w:val="000000" w:themeColor="text1"/>
          <w:sz w:val="22"/>
          <w:szCs w:val="22"/>
          <w:lang w:val="pl-PL"/>
        </w:rPr>
      </w:pPr>
      <w:r w:rsidRPr="00326BBF">
        <w:rPr>
          <w:color w:val="000000" w:themeColor="text1"/>
          <w:sz w:val="22"/>
          <w:szCs w:val="22"/>
          <w:lang w:val="pl-PL"/>
        </w:rPr>
        <w:t>3.</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SPRZĘT </w:t>
      </w:r>
    </w:p>
    <w:p w14:paraId="2DF96FD4"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sprzętu podano w D-00.00.00 „Wymagania ogólne”. </w:t>
      </w:r>
    </w:p>
    <w:p w14:paraId="5543DE26"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3.1.</w:t>
      </w:r>
      <w:r w:rsidRPr="001667DB">
        <w:rPr>
          <w:rFonts w:eastAsia="Arial"/>
          <w:color w:val="000000" w:themeColor="text1"/>
          <w:sz w:val="22"/>
          <w:szCs w:val="22"/>
        </w:rPr>
        <w:t xml:space="preserve"> </w:t>
      </w:r>
      <w:r w:rsidRPr="001667DB">
        <w:rPr>
          <w:color w:val="000000" w:themeColor="text1"/>
          <w:sz w:val="22"/>
          <w:szCs w:val="22"/>
        </w:rPr>
        <w:t xml:space="preserve">Wytwórnia mieszanek mineralno-asfaltowych </w:t>
      </w:r>
    </w:p>
    <w:p w14:paraId="27AE323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mieszanki mineralno-asfaltowej powinna odbywać się na WMA o cyklicznym systemie produkcji mieszanki. WMA powinna prowadzić system ZKP (Zakładowa Kontrola Produkcji) zgodnie z wymaganiami PN-EN 13108-21, certyfikowany przez jednostkę notyfikowaną. Dozowanie </w:t>
      </w:r>
      <w:r w:rsidRPr="001667DB">
        <w:rPr>
          <w:rFonts w:ascii="Times New Roman" w:hAnsi="Times New Roman" w:cs="Times New Roman"/>
          <w:color w:val="000000" w:themeColor="text1"/>
        </w:rPr>
        <w:lastRenderedPageBreak/>
        <w:t xml:space="preserve">wszystkich składników powinno odbywać się wagowo, dopuszcza się objętościowe dozowanie środka adhezyjnego.   </w:t>
      </w:r>
    </w:p>
    <w:p w14:paraId="60CA5794"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3.2.</w:t>
      </w:r>
      <w:r w:rsidRPr="001667DB">
        <w:rPr>
          <w:rFonts w:eastAsia="Arial"/>
          <w:color w:val="000000" w:themeColor="text1"/>
          <w:sz w:val="22"/>
          <w:szCs w:val="22"/>
        </w:rPr>
        <w:t xml:space="preserve"> </w:t>
      </w:r>
      <w:r w:rsidRPr="001667DB">
        <w:rPr>
          <w:color w:val="000000" w:themeColor="text1"/>
          <w:sz w:val="22"/>
          <w:szCs w:val="22"/>
        </w:rPr>
        <w:t xml:space="preserve">Układarka mieszanek mineralno-asfaltowych </w:t>
      </w:r>
    </w:p>
    <w:p w14:paraId="4D8EA78D"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Układanie mieszanki powinno odbywać się możliwie największą szerokością, przy użyciu mechanicznej układarki do układania mieszanki mineralno-asfaltowej lub zespołem układarek pracujących równolegle z przesunięciem roboczym umożliwiającym ułożenie stykających się warstw asfaltowych na gorąco, posiadającej następujące urządzenia: </w:t>
      </w:r>
    </w:p>
    <w:p w14:paraId="74BE9D71" w14:textId="77777777" w:rsidR="00955A27" w:rsidRPr="001667DB" w:rsidRDefault="00955A27" w:rsidP="00904E6C">
      <w:pPr>
        <w:numPr>
          <w:ilvl w:val="0"/>
          <w:numId w:val="15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automatyczne sterowanie pozwalające na ułożenie warstwy zgodnie z założoną niweletą i grubością, </w:t>
      </w:r>
    </w:p>
    <w:p w14:paraId="4FAAF45B" w14:textId="77777777" w:rsidR="00955A27" w:rsidRPr="001667DB" w:rsidRDefault="00955A27" w:rsidP="00904E6C">
      <w:pPr>
        <w:numPr>
          <w:ilvl w:val="0"/>
          <w:numId w:val="15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płytę wibracyjną do wstępnego zagęszczenia mieszanki, </w:t>
      </w:r>
    </w:p>
    <w:p w14:paraId="6C6D2E15" w14:textId="77777777" w:rsidR="00955A27" w:rsidRPr="001667DB" w:rsidRDefault="00955A27" w:rsidP="00904E6C">
      <w:pPr>
        <w:numPr>
          <w:ilvl w:val="0"/>
          <w:numId w:val="15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urządzenia do podgrzewania płyty wibracyjnej. </w:t>
      </w:r>
    </w:p>
    <w:p w14:paraId="338DD27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wykonywaniu nawierzchni dróg o kategorii KR 6-7, do warstwy wiążącej zaleca się stosowanie podajników mieszanki mineralno-asfaltowej do zasilania kosza rozkładarki ze środków transportu.  </w:t>
      </w:r>
    </w:p>
    <w:p w14:paraId="62CFFC5D"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Mieszanki mineralno-asfaltowe można rozkładać specjalną maszyną drogową z podwójnym zestawem rozkładającym do układania dwóch warstw technologicznych w jednej operacji (tzw. asfaltowe warstwy kompaktowe). </w:t>
      </w:r>
    </w:p>
    <w:p w14:paraId="60117385"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3.3.</w:t>
      </w:r>
      <w:r w:rsidRPr="001667DB">
        <w:rPr>
          <w:rFonts w:eastAsia="Arial"/>
          <w:color w:val="000000" w:themeColor="text1"/>
          <w:sz w:val="22"/>
          <w:szCs w:val="22"/>
        </w:rPr>
        <w:t xml:space="preserve"> </w:t>
      </w:r>
      <w:r w:rsidRPr="001667DB">
        <w:rPr>
          <w:color w:val="000000" w:themeColor="text1"/>
          <w:sz w:val="22"/>
          <w:szCs w:val="22"/>
        </w:rPr>
        <w:t xml:space="preserve">Walce do zagęszczania </w:t>
      </w:r>
    </w:p>
    <w:p w14:paraId="1889993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dysponować sprzętem pozwalającym na uzyskanie wymaganego wskaźnika zagęszczenia warstwy z mieszanki mineralno-asfaltowej.  </w:t>
      </w:r>
    </w:p>
    <w:p w14:paraId="71C6F1DF"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3.4.</w:t>
      </w:r>
      <w:r w:rsidRPr="001667DB">
        <w:rPr>
          <w:rFonts w:eastAsia="Arial"/>
          <w:color w:val="000000" w:themeColor="text1"/>
          <w:sz w:val="22"/>
          <w:szCs w:val="22"/>
        </w:rPr>
        <w:t xml:space="preserve"> </w:t>
      </w:r>
      <w:r w:rsidRPr="001667DB">
        <w:rPr>
          <w:color w:val="000000" w:themeColor="text1"/>
          <w:sz w:val="22"/>
          <w:szCs w:val="22"/>
        </w:rPr>
        <w:t xml:space="preserve">Skrapiarki </w:t>
      </w:r>
    </w:p>
    <w:p w14:paraId="7839E8A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dysponować skrapiarką spełniającą wymagania STWiORB D.04.03.01, pozwalającą na równomierne i zgodne z wymaganiami równomierne skropienie podłoża. </w:t>
      </w:r>
    </w:p>
    <w:p w14:paraId="609E42A0" w14:textId="77777777" w:rsidR="00955A27" w:rsidRPr="00326BBF" w:rsidRDefault="00955A27" w:rsidP="00A9424D">
      <w:pPr>
        <w:pStyle w:val="Nagwek1"/>
        <w:tabs>
          <w:tab w:val="center" w:pos="1261"/>
        </w:tabs>
        <w:spacing w:line="360" w:lineRule="auto"/>
        <w:ind w:left="-3"/>
        <w:jc w:val="both"/>
        <w:rPr>
          <w:color w:val="000000" w:themeColor="text1"/>
          <w:sz w:val="22"/>
          <w:szCs w:val="22"/>
          <w:lang w:val="pl-PL"/>
        </w:rPr>
      </w:pPr>
      <w:r w:rsidRPr="00326BBF">
        <w:rPr>
          <w:color w:val="000000" w:themeColor="text1"/>
          <w:sz w:val="22"/>
          <w:szCs w:val="22"/>
          <w:lang w:val="pl-PL"/>
        </w:rPr>
        <w:t>4.</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TRANSPORT </w:t>
      </w:r>
    </w:p>
    <w:p w14:paraId="326EE1BF"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transportu podano w D-00.00.00 „Wymagania ogólne”. Mieszanki mineralno-asfaltowe powinny być dowożone na budowę odpowiednio do postępu robót, tak aby zapewnić ciągłość wbudowania. Podczas transportu i postoju przed wbudowaniem mieszanki powinny być zabezpieczone przed ostygnięciem i dopływem powietrza (przykrycie, pojemniki termoizolacyjne lub pojazdy ogrzewane itp.). Mieszanki mineralno-asfaltowe, powinny być przewożone pojazdami samowyładowczymi.  </w:t>
      </w:r>
    </w:p>
    <w:p w14:paraId="62D72C42"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transportu mieszanki mineralno-asfaltowej muszą być zachowane dopuszczalne wartości temperatury. Dowieziona do rozkładarki mieszanka musi mieć temperaturę w wymaganym przedziale </w:t>
      </w:r>
      <w:r w:rsidRPr="001667DB">
        <w:rPr>
          <w:rFonts w:ascii="Times New Roman" w:hAnsi="Times New Roman" w:cs="Times New Roman"/>
          <w:color w:val="000000" w:themeColor="text1"/>
        </w:rPr>
        <w:lastRenderedPageBreak/>
        <w:t xml:space="preserve">określonym w WT-2 2014 – część I tab. 42.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73C9D1F1"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skrzyń ładunkowych lub pojemników używanych do transportu mieszanki powinny być czyste. Do zwilżania tych powierzchni można używać tylko tego rodzaju środków antyadhezyjnych, które nie oddziałują szkodliwie na mieszanki mineralnoasfaltowe. Zabrania się skrapiania skrzyń olejem napędowym lub innymi środkami ropopochodnymi. </w:t>
      </w:r>
    </w:p>
    <w:p w14:paraId="2087EEF5" w14:textId="77777777" w:rsidR="00955A27" w:rsidRPr="00326BBF" w:rsidRDefault="00955A27" w:rsidP="00A9424D">
      <w:pPr>
        <w:pStyle w:val="Nagwek1"/>
        <w:tabs>
          <w:tab w:val="clear" w:pos="1701"/>
          <w:tab w:val="center" w:pos="1722"/>
        </w:tabs>
        <w:spacing w:line="360" w:lineRule="auto"/>
        <w:ind w:left="-3"/>
        <w:jc w:val="both"/>
        <w:rPr>
          <w:color w:val="000000" w:themeColor="text1"/>
          <w:sz w:val="22"/>
          <w:szCs w:val="22"/>
          <w:lang w:val="pl-PL"/>
        </w:rPr>
      </w:pPr>
      <w:r w:rsidRPr="00326BBF">
        <w:rPr>
          <w:color w:val="000000" w:themeColor="text1"/>
          <w:sz w:val="22"/>
          <w:szCs w:val="22"/>
          <w:lang w:val="pl-PL"/>
        </w:rPr>
        <w:t>5.</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WYKONANIE ROBÓT </w:t>
      </w:r>
    </w:p>
    <w:p w14:paraId="19E6EFC5"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wykonania robót podano w D-00.00.00 „Wymagania ogólne”. </w:t>
      </w:r>
    </w:p>
    <w:p w14:paraId="4B8905F9"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5.1.</w:t>
      </w:r>
      <w:r w:rsidRPr="001667DB">
        <w:rPr>
          <w:rFonts w:eastAsia="Arial"/>
          <w:color w:val="000000" w:themeColor="text1"/>
          <w:sz w:val="22"/>
          <w:szCs w:val="22"/>
        </w:rPr>
        <w:t xml:space="preserve"> </w:t>
      </w:r>
      <w:r w:rsidRPr="001667DB">
        <w:rPr>
          <w:color w:val="000000" w:themeColor="text1"/>
          <w:sz w:val="22"/>
          <w:szCs w:val="22"/>
        </w:rPr>
        <w:t xml:space="preserve">Projektowanie mieszanki mineralno-asfaltowej </w:t>
      </w:r>
    </w:p>
    <w:p w14:paraId="62B6FE24"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terminie 3 tygodni przed rozpoczęciem robót Wykonawca przedstawi Inżynierowi/Inspektorowi Nadzoru do zatwierdzenia projekt MMA (Badanie Typu) oraz wszystkie dokumenty potwierdzające jakość materiałów składowych MMA i reprezentatywne próbki materiałów . MMA powinna być zaprojektowana zgodnie z pkt. 8.1 i 8.2.2  WT-2 2014 – część I w zależności od kategorii ruchu. </w:t>
      </w:r>
    </w:p>
    <w:p w14:paraId="21409F5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zapewnić, aby podczas opracowywania Badania Typu MMA, były zastosowane w pełni reprezentatywne próbki materiałów składowych, które zostaną użyte do wykonania robót. </w:t>
      </w:r>
    </w:p>
    <w:p w14:paraId="472EAF64"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5.2.</w:t>
      </w:r>
      <w:r w:rsidRPr="001667DB">
        <w:rPr>
          <w:rFonts w:eastAsia="Arial"/>
          <w:color w:val="000000" w:themeColor="text1"/>
          <w:sz w:val="22"/>
          <w:szCs w:val="22"/>
        </w:rPr>
        <w:t xml:space="preserve"> </w:t>
      </w:r>
      <w:r w:rsidRPr="001667DB">
        <w:rPr>
          <w:color w:val="000000" w:themeColor="text1"/>
          <w:sz w:val="22"/>
          <w:szCs w:val="22"/>
        </w:rPr>
        <w:t xml:space="preserve">Wytwarzanie MMA </w:t>
      </w:r>
    </w:p>
    <w:p w14:paraId="650B6BC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MMA powinna odbywać się na WMA o cyklicznym systemie produkcji mieszanki, zgodnie z wymaganiami opisanymi w p. 3.1. Dozowanie wszystkich składników powinno odbywać się wagowo, dopuszcza się objętościowe dozowanie środka adhezyjnego. </w:t>
      </w:r>
    </w:p>
    <w:p w14:paraId="023303C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Temperatury technologiczne wytwarzania MMA powinny być zgodne z wymaganiami podanymi w p. 8.3 WT-2 2014 część I (Tabela 42) lub zgodnie z zaleceniami producenta. Mieszankę MMA zaleca się wbudowywać bezpośrednio po wyprodukowaniu bez magazynowania na zapas. Przechowywanie wyprodukowanej MMA w silosie może mieć miejsce tylko w sytuacjach awaryjnych. </w:t>
      </w:r>
    </w:p>
    <w:p w14:paraId="7A2458C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mieszanka mineralno-asfaltowa jest dostarczana z kilku wytwórni lub od kilku producentów, to należy zapewnić zgodność typu i wymiaru mieszanki oraz spełnienie wymagań dokumentacji projektowej. </w:t>
      </w:r>
    </w:p>
    <w:p w14:paraId="5F6FD88A"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5.3.</w:t>
      </w:r>
      <w:r w:rsidRPr="001667DB">
        <w:rPr>
          <w:rFonts w:eastAsia="Arial"/>
          <w:color w:val="000000" w:themeColor="text1"/>
          <w:sz w:val="22"/>
          <w:szCs w:val="22"/>
        </w:rPr>
        <w:t xml:space="preserve"> </w:t>
      </w:r>
      <w:r w:rsidRPr="001667DB">
        <w:rPr>
          <w:color w:val="000000" w:themeColor="text1"/>
          <w:sz w:val="22"/>
          <w:szCs w:val="22"/>
        </w:rPr>
        <w:t xml:space="preserve">Przygotowanie podłoża </w:t>
      </w:r>
    </w:p>
    <w:p w14:paraId="60D300B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Podłoże pod warstwę wiążącą z MMA powinno być: </w:t>
      </w:r>
    </w:p>
    <w:p w14:paraId="19CF83D7" w14:textId="77777777" w:rsidR="00955A27" w:rsidRPr="001667DB" w:rsidRDefault="00955A27" w:rsidP="00904E6C">
      <w:pPr>
        <w:numPr>
          <w:ilvl w:val="0"/>
          <w:numId w:val="158"/>
        </w:num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nośne i ustabilizowane, </w:t>
      </w:r>
    </w:p>
    <w:p w14:paraId="49017F49" w14:textId="77777777" w:rsidR="00955A27" w:rsidRPr="001667DB" w:rsidRDefault="00955A27" w:rsidP="00904E6C">
      <w:pPr>
        <w:numPr>
          <w:ilvl w:val="0"/>
          <w:numId w:val="158"/>
        </w:num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czyste, bez zanieczyszczeń lub pozostałości luźnego kruszywa, </w:t>
      </w:r>
    </w:p>
    <w:p w14:paraId="597CE57D" w14:textId="77777777" w:rsidR="00955A27" w:rsidRPr="001667DB" w:rsidRDefault="00955A27" w:rsidP="00904E6C">
      <w:pPr>
        <w:numPr>
          <w:ilvl w:val="0"/>
          <w:numId w:val="158"/>
        </w:num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wyprofilowane, równe i bez kolein, </w:t>
      </w:r>
    </w:p>
    <w:p w14:paraId="277CE1AD" w14:textId="77777777" w:rsidR="00955A27" w:rsidRPr="001667DB" w:rsidRDefault="00955A27" w:rsidP="00904E6C">
      <w:pPr>
        <w:numPr>
          <w:ilvl w:val="0"/>
          <w:numId w:val="158"/>
        </w:num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suche, </w:t>
      </w:r>
    </w:p>
    <w:p w14:paraId="7CEA6796" w14:textId="77777777" w:rsidR="00955A27" w:rsidRPr="001667DB" w:rsidRDefault="00955A27" w:rsidP="00904E6C">
      <w:pPr>
        <w:numPr>
          <w:ilvl w:val="0"/>
          <w:numId w:val="158"/>
        </w:num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skropione emulsją asfaltową lub asfaltem zapewniającym powiązanie warstw, oraz spełniać wymagania pkt. 7.2. WT-2 2016 – część II.  </w:t>
      </w:r>
    </w:p>
    <w:p w14:paraId="4794D91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Brzegi krawężników i innych urządzeń przylegających do nawierzchni powinny zostać połączone z MMA zgodnie z pkt. 7.6.4 WT-2 2016 – część II (sposób wykonania spoin) i przy zastosowaniu materiałów określonych w pkt. 2.2.1 niniejszych STWiORB. </w:t>
      </w:r>
    </w:p>
    <w:p w14:paraId="3459C523" w14:textId="77777777" w:rsidR="00955A27" w:rsidRPr="001667DB" w:rsidRDefault="00955A27" w:rsidP="00A9424D">
      <w:pPr>
        <w:pStyle w:val="Nagwek3"/>
      </w:pPr>
      <w:r w:rsidRPr="001667DB">
        <w:t>5.3.1.</w:t>
      </w:r>
      <w:r w:rsidRPr="001667DB">
        <w:rPr>
          <w:rFonts w:eastAsia="Arial"/>
        </w:rPr>
        <w:t xml:space="preserve"> </w:t>
      </w:r>
      <w:r w:rsidRPr="001667DB">
        <w:t xml:space="preserve">Połączenia międzywarstwowe </w:t>
      </w:r>
    </w:p>
    <w:p w14:paraId="72ECB1D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Uzyskanie wymaganej trwałości nawierzchni jest uzależnione od zapewnienia połączenia między warstwami oraz ich współpracy w przenoszeniu obciążeń nawierzchni wywołanych ruchem pojazdów.  </w:t>
      </w:r>
    </w:p>
    <w:p w14:paraId="7D708FE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połączenia międzywarstwowego wymaga starannego przygotowania podłoża, na którym będą układane kolejne warstwy asfaltowe, zastosowania odpowiedniej emulsji asfaltowej oraz właściwego wykonania skropienia. Podłoże należy przygotować zgodnie z STWiORB D.04.03.01. </w:t>
      </w:r>
    </w:p>
    <w:p w14:paraId="624D6D4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Skropienie emulsją asfaltową ma na celu zwiększenie siły połączenia pomiędzy warstwami konstrukcyjnymi oraz zabezpieczenie przed wnikaniem i zaleganiem wody pomiędzy warstwami.  </w:t>
      </w:r>
    </w:p>
    <w:p w14:paraId="4F6721D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skropień należy stosować rodzaj emulsji i ilość w zależności od rodzaju warstwy i kategorii ruchu, zgodnie z zasadami określonymi w STWiORB D.04.03.01.  </w:t>
      </w:r>
    </w:p>
    <w:p w14:paraId="42898959"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5.4.</w:t>
      </w:r>
      <w:r w:rsidRPr="001667DB">
        <w:rPr>
          <w:rFonts w:eastAsia="Arial"/>
          <w:color w:val="000000" w:themeColor="text1"/>
          <w:sz w:val="22"/>
          <w:szCs w:val="22"/>
        </w:rPr>
        <w:t xml:space="preserve"> </w:t>
      </w:r>
      <w:r w:rsidRPr="001667DB">
        <w:rPr>
          <w:color w:val="000000" w:themeColor="text1"/>
          <w:sz w:val="22"/>
          <w:szCs w:val="22"/>
        </w:rPr>
        <w:t xml:space="preserve">Warunki atmosferyczne </w:t>
      </w:r>
    </w:p>
    <w:p w14:paraId="3166F22D"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nawierzchni z MMA powinna być układana w temperaturze: </w:t>
      </w:r>
    </w:p>
    <w:p w14:paraId="55656FD4" w14:textId="77777777" w:rsidR="00955A27" w:rsidRPr="001667DB" w:rsidRDefault="00955A27" w:rsidP="00904E6C">
      <w:pPr>
        <w:numPr>
          <w:ilvl w:val="0"/>
          <w:numId w:val="15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podłoża nie mniejszej niż +5°C, </w:t>
      </w:r>
    </w:p>
    <w:p w14:paraId="2F7FFCCC" w14:textId="77777777" w:rsidR="00955A27" w:rsidRPr="001667DB" w:rsidRDefault="00955A27" w:rsidP="00904E6C">
      <w:pPr>
        <w:numPr>
          <w:ilvl w:val="0"/>
          <w:numId w:val="15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temperaturze otoczenie w ciągu doby (pomiary trzy razy dziennie) nie mniejszej niż 0°C. </w:t>
      </w:r>
    </w:p>
    <w:p w14:paraId="5C11DD59"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dopuszcza się układania MMA podczas opadów atmosferycznych i silnego wiatru przekraczającego prędkość 16m/s. </w:t>
      </w:r>
    </w:p>
    <w:p w14:paraId="346584DC"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5.5.</w:t>
      </w:r>
      <w:r w:rsidRPr="001667DB">
        <w:rPr>
          <w:rFonts w:eastAsia="Arial"/>
          <w:color w:val="000000" w:themeColor="text1"/>
          <w:sz w:val="22"/>
          <w:szCs w:val="22"/>
        </w:rPr>
        <w:t xml:space="preserve"> </w:t>
      </w:r>
      <w:r w:rsidRPr="001667DB">
        <w:rPr>
          <w:color w:val="000000" w:themeColor="text1"/>
          <w:sz w:val="22"/>
          <w:szCs w:val="22"/>
        </w:rPr>
        <w:t xml:space="preserve">Próba technologiczna </w:t>
      </w:r>
    </w:p>
    <w:p w14:paraId="35A6CA7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przed przystąpieniem do produkcji MMA na żądanie Inżyniera/Inspektora Nadzoru jest zobowiązany do przeprowadzenia próby technologicznej. </w:t>
      </w:r>
    </w:p>
    <w:p w14:paraId="5AB2B35D"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dopuszcza się oceniania dokładności pracy otaczarki oraz prawidłowości składu mieszanki mineralnej na podstawie tzw. suchego zarobu, z uwagi na segregację kruszywa. Na podstawie uzyskanych wyników Inżynier/Inspektor Nadzoru podejmuje decyzję o wykonaniu odcinka próbnego. </w:t>
      </w:r>
      <w:r w:rsidRPr="001667DB">
        <w:rPr>
          <w:rFonts w:ascii="Times New Roman" w:hAnsi="Times New Roman" w:cs="Times New Roman"/>
          <w:color w:val="000000" w:themeColor="text1"/>
        </w:rPr>
        <w:lastRenderedPageBreak/>
        <w:t>Tolerancje zawartości składników MMA względem składu zaprojektowanego powinny być zgodne z wymaganiami podanymi w pkt. 6.7. niniejszych STWiORB.</w:t>
      </w:r>
    </w:p>
    <w:p w14:paraId="1497D918"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5.6.</w:t>
      </w:r>
      <w:r w:rsidRPr="001667DB">
        <w:rPr>
          <w:rFonts w:eastAsia="Arial"/>
          <w:color w:val="000000" w:themeColor="text1"/>
          <w:sz w:val="22"/>
          <w:szCs w:val="22"/>
        </w:rPr>
        <w:t xml:space="preserve"> </w:t>
      </w:r>
      <w:r w:rsidRPr="001667DB">
        <w:rPr>
          <w:color w:val="000000" w:themeColor="text1"/>
          <w:sz w:val="22"/>
          <w:szCs w:val="22"/>
        </w:rPr>
        <w:t xml:space="preserve">Odcinek próbny </w:t>
      </w:r>
    </w:p>
    <w:p w14:paraId="20702D2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żądanie Inżyniera/Inspektora Nadzoru, Wykonawca powinien wykonać odcinek próbny o długości przynajmniej 100m na całej szerokości jednej jezdni. Wykonawca powinien wykonać odcinek próbny w celu: </w:t>
      </w:r>
    </w:p>
    <w:p w14:paraId="0A823826" w14:textId="77777777" w:rsidR="00955A27" w:rsidRPr="001667DB" w:rsidRDefault="00955A27" w:rsidP="00904E6C">
      <w:pPr>
        <w:numPr>
          <w:ilvl w:val="0"/>
          <w:numId w:val="16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zdefiniowania parametrów produkcyjnych MMA, </w:t>
      </w:r>
    </w:p>
    <w:p w14:paraId="40B0B5A3" w14:textId="77777777" w:rsidR="00955A27" w:rsidRPr="001667DB" w:rsidRDefault="00955A27" w:rsidP="00904E6C">
      <w:pPr>
        <w:numPr>
          <w:ilvl w:val="0"/>
          <w:numId w:val="16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sprawdzenia czy sprzęt użyty do rozkładania i zagęszczania mieszanki jest właściwy, </w:t>
      </w:r>
    </w:p>
    <w:p w14:paraId="56351205" w14:textId="77777777" w:rsidR="00955A27" w:rsidRPr="001667DB" w:rsidRDefault="00955A27" w:rsidP="00904E6C">
      <w:pPr>
        <w:numPr>
          <w:ilvl w:val="0"/>
          <w:numId w:val="16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grubości warstwy mieszanki mineralno-asfaltowej przed zagęszczeniem, koniecznej do uzyskania wymaganej ostatecznej grubości warstwy, </w:t>
      </w:r>
    </w:p>
    <w:p w14:paraId="4D01218F" w14:textId="77777777" w:rsidR="00955A27" w:rsidRPr="001667DB" w:rsidRDefault="00955A27" w:rsidP="00904E6C">
      <w:pPr>
        <w:numPr>
          <w:ilvl w:val="0"/>
          <w:numId w:val="160"/>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potrzebnej liczby przejść walców dla uzyskania prawidłowego zagęszczenia warstwy.  </w:t>
      </w:r>
    </w:p>
    <w:p w14:paraId="3F71395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wykonania odcinka próbnego, Wykonawca powinien zastosować takie same materiały oraz sprzęt, jakie będą stosowane do wykonania warstwy z MMA podczas robót. Lokalizacja odcinka próbnego zostanie zaakceptowana przez Inżyniera/Inspektora Nadzoru – dopuszcza się akceptację wykonanego odcinka próbnego w ramach innego zadania pod warunkiem, że został wbudowany ten sam typ mieszanki mineralno-asfaltowej oraz zastosowano ten sam sprzęt do wbudowania i zagęszczenia warstwy. Wykonawca rozpocznie wykonywanie nawierzchni z MMA dopiero po otrzymaniu akceptacji Inżyniera/Inspektora Nadzoru, wydanej na podstawie testów oraz pomiarów dokonanych na odcinku próbnym. W przypadku nieprawidłowych parametrów warstwy wiążącej i nie zatwierdzeniu przez Inżyniera/Inspektora Nadzoru odcinka próbnego, Wykonawca ma obowiązek usunąć odcinek próbny warstwy wiążącej (jeżeli był wykonywany w obrębie Kontraktu) na własny koszt. </w:t>
      </w:r>
    </w:p>
    <w:p w14:paraId="75B0FED7"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5.7.</w:t>
      </w:r>
      <w:r w:rsidRPr="001667DB">
        <w:rPr>
          <w:rFonts w:eastAsia="Arial"/>
          <w:color w:val="000000" w:themeColor="text1"/>
          <w:sz w:val="22"/>
          <w:szCs w:val="22"/>
        </w:rPr>
        <w:t xml:space="preserve"> </w:t>
      </w:r>
      <w:r w:rsidRPr="001667DB">
        <w:rPr>
          <w:color w:val="000000" w:themeColor="text1"/>
          <w:sz w:val="22"/>
          <w:szCs w:val="22"/>
        </w:rPr>
        <w:t xml:space="preserve">Wbudowywanie mieszanki MMA  </w:t>
      </w:r>
    </w:p>
    <w:p w14:paraId="222D683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MMA powinien odbywać się zgodnie z wymaganiami podanymi w pkt. 7.4 WT-2 2016 – część II. Wbudowywanie MMA powinno odbywać się zgodnie z wymaganiami podanymi w pkt. 7.5 WT-2 2016 – część II.  </w:t>
      </w:r>
    </w:p>
    <w:p w14:paraId="4303748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związane z wbudowaniem mieszanki mineralno-asfaltowej należy tak zaplanować, aby: </w:t>
      </w:r>
    </w:p>
    <w:p w14:paraId="769A0627" w14:textId="77777777" w:rsidR="00955A27" w:rsidRPr="001667DB" w:rsidRDefault="00955A27" w:rsidP="00904E6C">
      <w:pPr>
        <w:numPr>
          <w:ilvl w:val="0"/>
          <w:numId w:val="16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umożliwiały układanie warstwy całą szerokością jezdni (jedną rozkładarką lub dwoma rozkładarkami pracującymi obok siebie z przesunięciem wg pkt 7.6.3.1. WT-</w:t>
      </w:r>
    </w:p>
    <w:p w14:paraId="0DEAFF55" w14:textId="77777777" w:rsidR="00955A27" w:rsidRPr="001667DB" w:rsidRDefault="00955A27" w:rsidP="00A9424D">
      <w:pPr>
        <w:spacing w:after="120" w:line="360" w:lineRule="auto"/>
        <w:ind w:left="74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2 2016 – część II); w przypadku przebudów i remontów o dopuszczonym ruchu jednokierunkowym (wahadłowym) szerokością pasa ruchu ,   </w:t>
      </w:r>
    </w:p>
    <w:p w14:paraId="0B52086B" w14:textId="77777777" w:rsidR="00955A27" w:rsidRPr="001667DB" w:rsidRDefault="00955A27" w:rsidP="00904E6C">
      <w:pPr>
        <w:numPr>
          <w:ilvl w:val="0"/>
          <w:numId w:val="16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dzienne działki robocze  (tj. odcinki nawierzchni na których mieszanka mineralnoasfaltowa jest wbudowywana jednego dnia) powinny być możliwie jak najdłuższe min. 200 m, </w:t>
      </w:r>
    </w:p>
    <w:p w14:paraId="6519AE9C" w14:textId="77777777" w:rsidR="00955A27" w:rsidRPr="001667DB" w:rsidRDefault="00955A27" w:rsidP="00904E6C">
      <w:pPr>
        <w:numPr>
          <w:ilvl w:val="0"/>
          <w:numId w:val="161"/>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organizacja dostaw mieszanki powinna zapewnić pracę rozkładarki bez zatrzymań z jednostajną prędkością. </w:t>
      </w:r>
    </w:p>
    <w:p w14:paraId="254C8A4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należy wbudowywać w sprzyjających warunkach atmosferycznych określonych w pkt. 5.4. Temperatura otoczenia może być niższa w wypadku stosowania ogrzewania podłoża i obramowania (np. promienniki podczerwieni, urządzenia mikrofalowe). </w:t>
      </w:r>
    </w:p>
    <w:p w14:paraId="0461F6C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stosowania mieszanek mineralno-asfaltowych z dodatkiem umożliwiającym obniżenie temperatury mieszania (mieszanki na ciepło) i wbudowania, należy indywidualnie określić wymagane warunki otoczenia. Układarka powinna być stale zasilana w mieszankę tak, aby w zasobniku zawsze znajdowała się odpowiednia jej ilość, a kosz, transporter i stół były zawsze gorące i nie stygły. W miejscach niedostępnych dla sprzętu dopuszcza się wbudowywanie ręczne. </w:t>
      </w:r>
    </w:p>
    <w:p w14:paraId="3D44E51E" w14:textId="77777777" w:rsidR="00955A27" w:rsidRPr="001667DB" w:rsidRDefault="00955A27" w:rsidP="00A9424D">
      <w:pPr>
        <w:spacing w:after="120" w:line="360" w:lineRule="auto"/>
        <w:ind w:left="7" w:right="-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rozkładania grubość wykonywanej warstwy powinna być sprawdzana co 25 m, w co najmniej trzech miejscach (w osi i przy brzegach warstwy). Warstwy wałowane powinny być równomiernie zagęszczane walcami drogowymi o charakterystyce zapewniającej skuteczność zagęszczania, potwierdzoną na odcinku próbnym. </w:t>
      </w:r>
    </w:p>
    <w:p w14:paraId="17168BE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wykonanej warstwie wiążącej powinien odbywać się wyłącznie ruch pojazdów związanych z układaniem następnej warstwy.  </w:t>
      </w:r>
    </w:p>
    <w:p w14:paraId="5702459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Dopuszczenie wykonanej warstwy asfaltowej na gorąco do ruchu może nastąpić po jej schłodzeniu do temperatury zapewniającej jej odporność na deformacje trwałe.  </w:t>
      </w:r>
    </w:p>
    <w:p w14:paraId="0D343A1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konieczności dopuszczenia innego ruchu należy zastosować zabiegi zabezpieczające uzyskanie wymaganego połączenia międzywarstwowego tj. poprzez wykonanie dodatkowego skropienia z użyciem mleczka wapiennego (wg.  pkt. 7.3.4 WT-2  2016 – część II). </w:t>
      </w:r>
    </w:p>
    <w:p w14:paraId="27A5AA2C"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5.8.</w:t>
      </w:r>
      <w:r w:rsidRPr="001667DB">
        <w:rPr>
          <w:rFonts w:eastAsia="Arial"/>
          <w:color w:val="000000" w:themeColor="text1"/>
          <w:sz w:val="22"/>
          <w:szCs w:val="22"/>
        </w:rPr>
        <w:t xml:space="preserve"> </w:t>
      </w:r>
      <w:r w:rsidRPr="001667DB">
        <w:rPr>
          <w:color w:val="000000" w:themeColor="text1"/>
          <w:sz w:val="22"/>
          <w:szCs w:val="22"/>
        </w:rPr>
        <w:t xml:space="preserve">Połączenia technologiczne </w:t>
      </w:r>
    </w:p>
    <w:p w14:paraId="197E32B4"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Połączenia technologiczne powinny być wykonane przy zastosowaniu materiałów określonych w pkt 2.2.1 niniejszego STWiORB, oraz zgodnie z pkt. 7.6 WT-2 2016 – część II.  </w:t>
      </w:r>
    </w:p>
    <w:p w14:paraId="196BD944" w14:textId="77777777" w:rsidR="00955A27" w:rsidRPr="001667DB" w:rsidRDefault="00955A27" w:rsidP="00A9424D">
      <w:pPr>
        <w:spacing w:after="120" w:line="360" w:lineRule="auto"/>
        <w:ind w:left="7"/>
        <w:jc w:val="both"/>
        <w:rPr>
          <w:rFonts w:ascii="Times New Roman" w:hAnsi="Times New Roman" w:cs="Times New Roman"/>
          <w:b/>
          <w:color w:val="000000" w:themeColor="text1"/>
        </w:rPr>
      </w:pPr>
      <w:r w:rsidRPr="001667DB">
        <w:rPr>
          <w:rFonts w:ascii="Times New Roman" w:hAnsi="Times New Roman" w:cs="Times New Roman"/>
          <w:b/>
          <w:color w:val="000000" w:themeColor="text1"/>
        </w:rPr>
        <w:t>5.8.1.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Sposób i warunki aplikacji materiałów stosowanych do złączy.  </w:t>
      </w:r>
    </w:p>
    <w:p w14:paraId="597AD02E" w14:textId="77777777" w:rsidR="00955A27" w:rsidRPr="001667DB" w:rsidRDefault="00955A27" w:rsidP="00A9424D">
      <w:pPr>
        <w:pStyle w:val="Nagwek3"/>
      </w:pPr>
      <w:r w:rsidRPr="001667DB">
        <w:t>5.8.1.1.</w:t>
      </w:r>
      <w:r w:rsidRPr="001667DB">
        <w:rPr>
          <w:rFonts w:eastAsia="Arial"/>
        </w:rPr>
        <w:t xml:space="preserve"> </w:t>
      </w:r>
      <w:r w:rsidRPr="001667DB">
        <w:rPr>
          <w:rFonts w:eastAsia="Arial"/>
        </w:rPr>
        <w:tab/>
      </w:r>
      <w:r w:rsidRPr="001667DB">
        <w:t xml:space="preserve">Wymagania wobec wbudowania elastycznych taśm bitumicznych </w:t>
      </w:r>
    </w:p>
    <w:p w14:paraId="579163A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boczna złącza podłużnego winna być uformowana za pomocą rolki dociskowej lub poprzez obcięcie nożem talerzowym. </w:t>
      </w:r>
    </w:p>
    <w:p w14:paraId="7FA9E46C"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boczna złącza poprzecznego powinna być uformowana w taki sposób i za pomocą urządzeń umożliwiających uzyskanie nieregularnej powierzchni. </w:t>
      </w:r>
    </w:p>
    <w:p w14:paraId="33ACF7C0"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krawędzi do których klejona będzie taśma, powinny być czyste i suche. </w:t>
      </w:r>
    </w:p>
    <w:p w14:paraId="0DA9459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Przed przyklejeniem taśmy w metodzie „gorące przy zimnym”, krawędzie „zimnej” warstwy na całkowitej grubości, należy zagruntować środkiem gruntującym zgodnie z zaleceniami producenta taśmy. </w:t>
      </w:r>
    </w:p>
    <w:p w14:paraId="31E048B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Taśma bitumiczna o grubości 10 mm powinna być wstępnie przyklejona do zimnej krawędzi złącza na 2/3 wysokości warstwy licząc od górnej powierzchni warstwy wiążącej. Minimalna wysokość taśmy 4 cm.</w:t>
      </w:r>
    </w:p>
    <w:p w14:paraId="0453570D" w14:textId="77777777" w:rsidR="00955A27" w:rsidRPr="001667DB" w:rsidRDefault="00955A27" w:rsidP="00A9424D">
      <w:pPr>
        <w:pStyle w:val="Nagwek3"/>
      </w:pPr>
      <w:r w:rsidRPr="001667DB">
        <w:t>5.8.1.2.</w:t>
      </w:r>
      <w:r w:rsidRPr="001667DB">
        <w:rPr>
          <w:rFonts w:eastAsia="Arial"/>
        </w:rPr>
        <w:t xml:space="preserve"> </w:t>
      </w:r>
      <w:r w:rsidRPr="001667DB">
        <w:rPr>
          <w:rFonts w:eastAsia="Arial"/>
        </w:rPr>
        <w:tab/>
      </w:r>
      <w:r w:rsidRPr="001667DB">
        <w:t xml:space="preserve">Wymagania wobec wbudowania past bitumicznych </w:t>
      </w:r>
    </w:p>
    <w:p w14:paraId="0C3F3FC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Przygotowanie krawędzi bocznych jak w przypadku stosowania taśm bitumicznych. </w:t>
      </w:r>
    </w:p>
    <w:p w14:paraId="717E75A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1B7488F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ręczne nanoszenie past w miejscach niedostępnych. </w:t>
      </w:r>
    </w:p>
    <w:p w14:paraId="60B865E4" w14:textId="77777777" w:rsidR="00955A27" w:rsidRPr="001667DB" w:rsidRDefault="00955A27" w:rsidP="00A9424D">
      <w:pPr>
        <w:pStyle w:val="Nagwek3"/>
      </w:pPr>
      <w:r w:rsidRPr="001667DB">
        <w:t xml:space="preserve">5.8.2. Sposób wykonania złączy </w:t>
      </w:r>
    </w:p>
    <w:p w14:paraId="1D29D21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ogólne: </w:t>
      </w:r>
    </w:p>
    <w:p w14:paraId="686CA1C7" w14:textId="77777777" w:rsidR="00955A27" w:rsidRPr="001667DB" w:rsidRDefault="00955A27" w:rsidP="00904E6C">
      <w:pPr>
        <w:numPr>
          <w:ilvl w:val="0"/>
          <w:numId w:val="162"/>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w warstwach nawierzchni powinny być wykonane w linii prostej,  </w:t>
      </w:r>
    </w:p>
    <w:p w14:paraId="2A8733B3" w14:textId="77777777" w:rsidR="00955A27" w:rsidRPr="001667DB" w:rsidRDefault="00955A27" w:rsidP="00904E6C">
      <w:pPr>
        <w:numPr>
          <w:ilvl w:val="0"/>
          <w:numId w:val="162"/>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podłużnego nie można lokalizować w śladach kół, </w:t>
      </w:r>
    </w:p>
    <w:p w14:paraId="1FD71CCA" w14:textId="77777777" w:rsidR="00955A27" w:rsidRPr="001667DB" w:rsidRDefault="00955A27" w:rsidP="00904E6C">
      <w:pPr>
        <w:numPr>
          <w:ilvl w:val="0"/>
          <w:numId w:val="162"/>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 w konstrukcji wielowarstwowej należy przesunąć względem siebie w kolejnych warstwach technologicznych o co najmniej 30 cm w kierunku poprzecznym do osi jezdni, </w:t>
      </w:r>
    </w:p>
    <w:p w14:paraId="1A784528" w14:textId="77777777" w:rsidR="00955A27" w:rsidRPr="001667DB" w:rsidRDefault="00955A27" w:rsidP="00904E6C">
      <w:pPr>
        <w:numPr>
          <w:ilvl w:val="0"/>
          <w:numId w:val="162"/>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muszą być całkowicie związane a powierzchnie przylegających warstw powinny być w jednym poziomie. </w:t>
      </w:r>
    </w:p>
    <w:p w14:paraId="1301C5DB" w14:textId="77777777" w:rsidR="00955A27" w:rsidRPr="00326BBF" w:rsidRDefault="00955A27" w:rsidP="00A9424D">
      <w:pPr>
        <w:pStyle w:val="Nagwek1"/>
        <w:tabs>
          <w:tab w:val="center" w:pos="3009"/>
        </w:tabs>
        <w:spacing w:line="360" w:lineRule="auto"/>
        <w:ind w:left="-3"/>
        <w:jc w:val="both"/>
        <w:rPr>
          <w:color w:val="000000" w:themeColor="text1"/>
          <w:sz w:val="22"/>
          <w:szCs w:val="22"/>
          <w:lang w:val="pl-PL"/>
        </w:rPr>
      </w:pPr>
      <w:r w:rsidRPr="00326BBF">
        <w:rPr>
          <w:color w:val="000000" w:themeColor="text1"/>
          <w:sz w:val="22"/>
          <w:szCs w:val="22"/>
          <w:lang w:val="pl-PL"/>
        </w:rPr>
        <w:t>A.</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Metoda rozkładania „gorące przy gorącym” </w:t>
      </w:r>
    </w:p>
    <w:p w14:paraId="4610307C"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ta ma zastosowanie  w przypadku wykonywania złącza podłużnego – należy ją stosować zgodnie z pkt. 7.6.3.1 WT-2 2016 – część II. </w:t>
      </w:r>
    </w:p>
    <w:p w14:paraId="7620DB49"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tej metodzie nie stosuje się dodatkowych materiałów do złączy. </w:t>
      </w:r>
    </w:p>
    <w:p w14:paraId="65898258" w14:textId="77777777" w:rsidR="00955A27" w:rsidRPr="00326BBF" w:rsidRDefault="00955A27" w:rsidP="00A9424D">
      <w:pPr>
        <w:pStyle w:val="Nagwek1"/>
        <w:tabs>
          <w:tab w:val="center" w:pos="2964"/>
        </w:tabs>
        <w:spacing w:line="360" w:lineRule="auto"/>
        <w:ind w:left="-3"/>
        <w:jc w:val="both"/>
        <w:rPr>
          <w:color w:val="000000" w:themeColor="text1"/>
          <w:sz w:val="22"/>
          <w:szCs w:val="22"/>
          <w:lang w:val="pl-PL"/>
        </w:rPr>
      </w:pPr>
      <w:r w:rsidRPr="00326BBF">
        <w:rPr>
          <w:color w:val="000000" w:themeColor="text1"/>
          <w:sz w:val="22"/>
          <w:szCs w:val="22"/>
          <w:lang w:val="pl-PL"/>
        </w:rPr>
        <w:t>B.</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Metoda rozkładania „gorące przy zimnym” </w:t>
      </w:r>
    </w:p>
    <w:p w14:paraId="675A498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złączy metodą „gorące przy zimnym” stosuje się w przypadkach, gdy ze względu na ruch, względnie z innych uzasadnionych powodów konieczne jest wykonywanie nawierzchni w odstępach czasowych – należy ją stosować zgodnie z pkt. 7.6.3.2 WT-2 2016 – część II. </w:t>
      </w:r>
    </w:p>
    <w:p w14:paraId="0DC2A40C" w14:textId="77777777" w:rsidR="00955A27" w:rsidRPr="00326BBF" w:rsidRDefault="00955A27" w:rsidP="00A9424D">
      <w:pPr>
        <w:pStyle w:val="Nagwek1"/>
        <w:tabs>
          <w:tab w:val="center" w:pos="2626"/>
        </w:tabs>
        <w:spacing w:line="360" w:lineRule="auto"/>
        <w:ind w:left="-3"/>
        <w:jc w:val="both"/>
        <w:rPr>
          <w:color w:val="000000" w:themeColor="text1"/>
          <w:sz w:val="22"/>
          <w:szCs w:val="22"/>
          <w:lang w:val="pl-PL"/>
        </w:rPr>
      </w:pPr>
      <w:r w:rsidRPr="00326BBF">
        <w:rPr>
          <w:color w:val="000000" w:themeColor="text1"/>
          <w:sz w:val="22"/>
          <w:szCs w:val="22"/>
          <w:lang w:val="pl-PL"/>
        </w:rPr>
        <w:lastRenderedPageBreak/>
        <w:t>C.</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Sposób zakończenia działki roboczej </w:t>
      </w:r>
    </w:p>
    <w:p w14:paraId="7F1C0D1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Zakończenie działki roboczej należy wykonać w sposób i przy pomocy urządzeń zapewniających uzyskanie nieregularnej, szorstkiej powierzchni spoiny (przy pomocy wstawianej kantówki lub frezarki) oraz szorstkiego podłoża w rejonie planowanego złącza. </w:t>
      </w:r>
    </w:p>
    <w:p w14:paraId="722F160D"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Niedopuszczalne jest posypywanie piaskiem jako sposobu na obniżenie sczepności warstw w rejonie końca działki roboczej oraz obcinanie piłą tarczową zimnej krawędzi działki. </w:t>
      </w:r>
    </w:p>
    <w:p w14:paraId="136DE3B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Zakończenie działki roboczej wykonuje się prostopadle do osi drogi. </w:t>
      </w:r>
    </w:p>
    <w:p w14:paraId="79C69C9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działki roboczej jest równocześnie krawędzią poprzeczną złącza. </w:t>
      </w:r>
    </w:p>
    <w:p w14:paraId="5372C31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poprzeczne między działkami roboczymi układanych pasów kolejnych warstw technologicznych należy przesunąć względem siebie o co najmniej 3 m w kierunku podłużnym do osi jezdni. </w:t>
      </w:r>
    </w:p>
    <w:p w14:paraId="74B25E94" w14:textId="77777777" w:rsidR="00955A27" w:rsidRPr="00326BBF" w:rsidRDefault="00955A27" w:rsidP="00A9424D">
      <w:pPr>
        <w:pStyle w:val="Nagwek1"/>
        <w:tabs>
          <w:tab w:val="center" w:pos="2128"/>
        </w:tabs>
        <w:spacing w:line="360" w:lineRule="auto"/>
        <w:ind w:left="-3"/>
        <w:jc w:val="both"/>
        <w:rPr>
          <w:color w:val="000000" w:themeColor="text1"/>
          <w:sz w:val="22"/>
          <w:szCs w:val="22"/>
          <w:lang w:val="pl-PL"/>
        </w:rPr>
      </w:pPr>
      <w:r w:rsidRPr="00326BBF">
        <w:rPr>
          <w:color w:val="000000" w:themeColor="text1"/>
          <w:sz w:val="22"/>
          <w:szCs w:val="22"/>
          <w:lang w:val="pl-PL"/>
        </w:rPr>
        <w:t>D.</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Sposób wykonywania spoin </w:t>
      </w:r>
    </w:p>
    <w:p w14:paraId="79E35A2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Spoiny wykonuje się z użyciem materiałów wymienionych w punkcie 2.2.1. </w:t>
      </w:r>
    </w:p>
    <w:p w14:paraId="2207B82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elastycznej taśmy bitumicznej do spoin powinna wynosić: </w:t>
      </w:r>
    </w:p>
    <w:p w14:paraId="1D31A756" w14:textId="77777777" w:rsidR="00955A27" w:rsidRPr="001667DB" w:rsidRDefault="00955A27" w:rsidP="00A9424D">
      <w:pPr>
        <w:spacing w:after="120" w:line="360" w:lineRule="auto"/>
        <w:ind w:left="382"/>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nie mniej niż 15 mm w warstwie wiążącej/wyrównawczej. </w:t>
      </w:r>
    </w:p>
    <w:p w14:paraId="14ED53E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6FB98216"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5.9.</w:t>
      </w:r>
      <w:r w:rsidRPr="001667DB">
        <w:rPr>
          <w:rFonts w:eastAsia="Arial"/>
          <w:color w:val="000000" w:themeColor="text1"/>
          <w:sz w:val="22"/>
          <w:szCs w:val="22"/>
        </w:rPr>
        <w:t xml:space="preserve"> </w:t>
      </w:r>
      <w:r w:rsidRPr="001667DB">
        <w:rPr>
          <w:color w:val="000000" w:themeColor="text1"/>
          <w:sz w:val="22"/>
          <w:szCs w:val="22"/>
        </w:rPr>
        <w:t xml:space="preserve">Krawędzie zewnętrzne warstwy wiążącej </w:t>
      </w:r>
    </w:p>
    <w:p w14:paraId="3AC081C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Krawędzie zewnętrzne warstwy wiążącej należy wykonać zgodnie z wymaganiami pkt. 7.7 WT-2 2016 – część II </w:t>
      </w:r>
    </w:p>
    <w:p w14:paraId="063F657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wykonaniu warstwy wiążącej o jednostronnym nachyleniu jezdni należy uszczelnić wyżej położoną krawędź boczną. Niżej położona krawędź boczna powinna pozostać nieuszczelniona. </w:t>
      </w:r>
    </w:p>
    <w:p w14:paraId="49246C9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zewnętrzną oraz powierzchnię odsadzki poziomej należy zabezpieczyć przez pokrycie gorącym asfaltem w ilości: </w:t>
      </w:r>
    </w:p>
    <w:p w14:paraId="15666E9E" w14:textId="77777777" w:rsidR="00955A27" w:rsidRPr="001667DB" w:rsidRDefault="00955A27" w:rsidP="00904E6C">
      <w:pPr>
        <w:numPr>
          <w:ilvl w:val="0"/>
          <w:numId w:val="16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odsadzek  </w:t>
      </w:r>
      <w:r w:rsidRPr="001667DB">
        <w:rPr>
          <w:rFonts w:ascii="Times New Roman" w:hAnsi="Times New Roman" w:cs="Times New Roman"/>
          <w:color w:val="000000" w:themeColor="text1"/>
        </w:rPr>
        <w:tab/>
        <w:t>- 1,5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15AE58C0" w14:textId="77777777" w:rsidR="00955A27" w:rsidRPr="001667DB" w:rsidRDefault="00955A27" w:rsidP="00904E6C">
      <w:pPr>
        <w:numPr>
          <w:ilvl w:val="0"/>
          <w:numId w:val="16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krawędzie zewnętrzne  </w:t>
      </w:r>
      <w:r w:rsidRPr="001667DB">
        <w:rPr>
          <w:rFonts w:ascii="Times New Roman" w:hAnsi="Times New Roman" w:cs="Times New Roman"/>
          <w:color w:val="000000" w:themeColor="text1"/>
        </w:rPr>
        <w:tab/>
        <w:t>- 4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5C8F7DD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zgodnie z rys. 1 pkt. 7.7 WT-2 2016 – część II. </w:t>
      </w:r>
    </w:p>
    <w:p w14:paraId="07DA7A0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nawierzchni o dwustronnym nachyleniu (przekrój daszkowy)  decyzję o potrzebie i sposobie uszczelnienia krawędzi zewnętrznych podejmie Projektant w uzgodnieniu z Zamawiającym. </w:t>
      </w:r>
    </w:p>
    <w:p w14:paraId="6387C30B" w14:textId="77777777" w:rsidR="00955A27" w:rsidRPr="00326BBF" w:rsidRDefault="00955A27" w:rsidP="00A9424D">
      <w:pPr>
        <w:pStyle w:val="Nagwek1"/>
        <w:tabs>
          <w:tab w:val="center" w:pos="2150"/>
        </w:tabs>
        <w:spacing w:line="360" w:lineRule="auto"/>
        <w:ind w:left="-3"/>
        <w:jc w:val="both"/>
        <w:rPr>
          <w:color w:val="000000" w:themeColor="text1"/>
          <w:sz w:val="22"/>
          <w:szCs w:val="22"/>
          <w:lang w:val="pl-PL"/>
        </w:rPr>
      </w:pPr>
      <w:r w:rsidRPr="00326BBF">
        <w:rPr>
          <w:color w:val="000000" w:themeColor="text1"/>
          <w:sz w:val="22"/>
          <w:szCs w:val="22"/>
          <w:lang w:val="pl-PL"/>
        </w:rPr>
        <w:lastRenderedPageBreak/>
        <w:t>6.</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KONTROLA JAKOŚCI ROBÓT </w:t>
      </w:r>
    </w:p>
    <w:p w14:paraId="6A5263CC"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kontroli jakości robót </w:t>
      </w:r>
    </w:p>
    <w:p w14:paraId="75CB6B0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kontroli jakości robót podano w D-00.00.00 „Wymagania ogólne”. </w:t>
      </w:r>
    </w:p>
    <w:p w14:paraId="17D647FC"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mieszanki mineralno-asfaltowej należy wykonywać zgodnie z normami podanymi w pkt. 8.2.2 WT-2 2014 Nawierzchnie Asfaltowe (Tabela 12, 13, 14 – dla mieszanki typu AC). </w:t>
      </w:r>
    </w:p>
    <w:p w14:paraId="1294510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dzielą się na: </w:t>
      </w:r>
    </w:p>
    <w:p w14:paraId="5EF497FC" w14:textId="77777777" w:rsidR="00955A27" w:rsidRPr="001667DB" w:rsidRDefault="00955A27" w:rsidP="00904E6C">
      <w:pPr>
        <w:numPr>
          <w:ilvl w:val="0"/>
          <w:numId w:val="16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Wykonawcy – w ramach własnego nadzoru </w:t>
      </w:r>
    </w:p>
    <w:p w14:paraId="68778BB7" w14:textId="77777777" w:rsidR="00955A27" w:rsidRPr="001667DB" w:rsidRDefault="00955A27" w:rsidP="00904E6C">
      <w:pPr>
        <w:numPr>
          <w:ilvl w:val="0"/>
          <w:numId w:val="164"/>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kontrolne – w ramach nadzoru Zamawiającego. </w:t>
      </w:r>
    </w:p>
    <w:p w14:paraId="4D37DE4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uzasadnionych przypadkach w ramach badań i pomiarów kontrolnych dopuszcza się wykonanie badań i pomiarów kontrolnych dodatkowych i/lub badań i pomiarów arbitrażowych. </w:t>
      </w:r>
    </w:p>
    <w:p w14:paraId="7356E16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obejmują: </w:t>
      </w:r>
    </w:p>
    <w:p w14:paraId="6711C1D8" w14:textId="77777777" w:rsidR="00955A27" w:rsidRPr="001667DB" w:rsidRDefault="00955A27" w:rsidP="00904E6C">
      <w:pPr>
        <w:numPr>
          <w:ilvl w:val="0"/>
          <w:numId w:val="165"/>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pobranie próbek, </w:t>
      </w:r>
    </w:p>
    <w:p w14:paraId="2F4679E0" w14:textId="77777777" w:rsidR="00955A27" w:rsidRPr="001667DB" w:rsidRDefault="00955A27" w:rsidP="00904E6C">
      <w:pPr>
        <w:numPr>
          <w:ilvl w:val="0"/>
          <w:numId w:val="165"/>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zapakowanie próbek do wysyłki, </w:t>
      </w:r>
    </w:p>
    <w:p w14:paraId="3DBE4A43" w14:textId="77777777" w:rsidR="00955A27" w:rsidRPr="001667DB" w:rsidRDefault="00955A27" w:rsidP="00904E6C">
      <w:pPr>
        <w:numPr>
          <w:ilvl w:val="0"/>
          <w:numId w:val="165"/>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próbek z miejsca pobrania do placówki wykonującej badania, </w:t>
      </w:r>
    </w:p>
    <w:p w14:paraId="4833B58B" w14:textId="77777777" w:rsidR="00955A27" w:rsidRPr="001667DB" w:rsidRDefault="00955A27" w:rsidP="00904E6C">
      <w:pPr>
        <w:numPr>
          <w:ilvl w:val="0"/>
          <w:numId w:val="165"/>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badania, </w:t>
      </w:r>
    </w:p>
    <w:p w14:paraId="02C88119" w14:textId="77777777" w:rsidR="00955A27" w:rsidRPr="001667DB" w:rsidRDefault="00955A27" w:rsidP="00904E6C">
      <w:pPr>
        <w:numPr>
          <w:ilvl w:val="0"/>
          <w:numId w:val="165"/>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sprawozdanie z badań.  </w:t>
      </w:r>
    </w:p>
    <w:p w14:paraId="610D494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Pomiary obejmują terenową weryfikację cech nawierzchni. </w:t>
      </w:r>
    </w:p>
    <w:p w14:paraId="55C07D7C"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6.2.</w:t>
      </w:r>
      <w:r w:rsidRPr="001667DB">
        <w:rPr>
          <w:rFonts w:eastAsia="Arial"/>
          <w:color w:val="000000" w:themeColor="text1"/>
          <w:sz w:val="22"/>
          <w:szCs w:val="22"/>
        </w:rPr>
        <w:t xml:space="preserve"> </w:t>
      </w:r>
      <w:r w:rsidRPr="001667DB">
        <w:rPr>
          <w:color w:val="000000" w:themeColor="text1"/>
          <w:sz w:val="22"/>
          <w:szCs w:val="22"/>
        </w:rPr>
        <w:t xml:space="preserve">Badania i pomiary Wykonawcy </w:t>
      </w:r>
    </w:p>
    <w:p w14:paraId="549AEF5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Wykonawca jest zobowiązany do przeprowadzania na bieżąco badań i pomiarów w celu sprawdzania czy jakość wykonanych Robót jest zgodna z postawionymi wymaganiami.</w:t>
      </w:r>
    </w:p>
    <w:p w14:paraId="56DCA8A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STWiORB. Wyniki badań będą dokumentowane i archiwizowane przez Wykonawcę. Wyniki badań Wykonawca jest zobowiązany przekazywać Inżynierowi/Inspektorowi Nadzoru. </w:t>
      </w:r>
    </w:p>
    <w:p w14:paraId="6A3F1CE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badań i pomiarów Wykonawcy powinien:</w:t>
      </w:r>
    </w:p>
    <w:p w14:paraId="1243DA81"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być nie mniejszy niż określony w Zakładowej Kontroli Produkcji dla dostarczanych na budowę materiałów i wyrobów budowlanych - mieszanki mineralno-asfaltowe, kruszywa, lepiszcze, materiały do uszczelnień, itd., </w:t>
      </w:r>
    </w:p>
    <w:p w14:paraId="50223684"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dla wykonanej warstwy być nie mniejszy niż określony zakres i częstotliwość badań i pomiarów kontrolnych określony w tab. 7.  </w:t>
      </w:r>
    </w:p>
    <w:p w14:paraId="4B9253D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badań Wykonawcy związany z wykonywaniem nawierzchni: </w:t>
      </w:r>
    </w:p>
    <w:p w14:paraId="47A87DC2"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powietrza, </w:t>
      </w:r>
    </w:p>
    <w:p w14:paraId="25ED5CF6"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podczas wykonywania nawierzchni, </w:t>
      </w:r>
    </w:p>
    <w:p w14:paraId="1E1408E9"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mieszanki mineralno-asfaltowej, </w:t>
      </w:r>
    </w:p>
    <w:p w14:paraId="01A68753"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wykaz ilości materiałów lub grubości wykonanych warstw, </w:t>
      </w:r>
    </w:p>
    <w:p w14:paraId="6CA222DD"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spadku poprzecznego poszczególnych warstw asfaltowych, </w:t>
      </w:r>
    </w:p>
    <w:p w14:paraId="23205C78"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równości warstwy wiążącej, </w:t>
      </w:r>
    </w:p>
    <w:p w14:paraId="2B882111"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rzędnych wysokościowych i pomiary sytuacyjne, </w:t>
      </w:r>
    </w:p>
    <w:p w14:paraId="206948DE"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zagęszczenia warstwy i zawartości wolnej przestrzeni, </w:t>
      </w:r>
    </w:p>
    <w:p w14:paraId="021D2F44"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sczepności warstw asfaltowych </w:t>
      </w:r>
    </w:p>
    <w:p w14:paraId="34AAE32D"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parametrów geometrycznych poboczy, </w:t>
      </w:r>
    </w:p>
    <w:p w14:paraId="1AD9F3EB"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jednorodności powierzchni warstwy, </w:t>
      </w:r>
    </w:p>
    <w:p w14:paraId="366F3C30" w14:textId="77777777" w:rsidR="00955A27" w:rsidRPr="001667DB" w:rsidRDefault="00955A27" w:rsidP="00904E6C">
      <w:pPr>
        <w:numPr>
          <w:ilvl w:val="0"/>
          <w:numId w:val="166"/>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jakości wykonania połączeń technologicznych. </w:t>
      </w:r>
    </w:p>
    <w:p w14:paraId="6464D1A8" w14:textId="77777777" w:rsidR="00955A27" w:rsidRPr="001667DB" w:rsidRDefault="00955A27" w:rsidP="00A9424D">
      <w:pPr>
        <w:spacing w:after="120" w:line="360" w:lineRule="auto"/>
        <w:ind w:left="732"/>
        <w:jc w:val="both"/>
        <w:rPr>
          <w:rFonts w:ascii="Times New Roman" w:hAnsi="Times New Roman" w:cs="Times New Roman"/>
          <w:color w:val="000000" w:themeColor="text1"/>
        </w:rPr>
      </w:pPr>
    </w:p>
    <w:p w14:paraId="0ACBFA2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7. Minimalna częstotliwość badań ze strony Wykonawcy dla warstwy wiążącej </w:t>
      </w:r>
    </w:p>
    <w:tbl>
      <w:tblPr>
        <w:tblW w:w="8956" w:type="dxa"/>
        <w:tblInd w:w="125" w:type="dxa"/>
        <w:tblCellMar>
          <w:right w:w="50" w:type="dxa"/>
        </w:tblCellMar>
        <w:tblLook w:val="04A0" w:firstRow="1" w:lastRow="0" w:firstColumn="1" w:lastColumn="0" w:noHBand="0" w:noVBand="1"/>
      </w:tblPr>
      <w:tblGrid>
        <w:gridCol w:w="614"/>
        <w:gridCol w:w="2593"/>
        <w:gridCol w:w="2717"/>
        <w:gridCol w:w="3032"/>
      </w:tblGrid>
      <w:tr w:rsidR="00955A27" w:rsidRPr="001667DB" w14:paraId="456472AB" w14:textId="77777777" w:rsidTr="001B4B8F">
        <w:trPr>
          <w:trHeight w:val="530"/>
        </w:trPr>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8F8D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tc>
        <w:tc>
          <w:tcPr>
            <w:tcW w:w="2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E68C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Badana cecha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687FC"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BCBC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Częstotliwość </w:t>
            </w:r>
          </w:p>
        </w:tc>
      </w:tr>
      <w:tr w:rsidR="00955A27" w:rsidRPr="001667DB" w14:paraId="4A48A53C" w14:textId="77777777" w:rsidTr="001B4B8F">
        <w:trPr>
          <w:trHeight w:val="823"/>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398FF5D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 </w:t>
            </w:r>
          </w:p>
        </w:tc>
        <w:tc>
          <w:tcPr>
            <w:tcW w:w="2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8358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Zagęszczenie MMA</w:t>
            </w:r>
            <w:r w:rsidRPr="001667DB">
              <w:rPr>
                <w:rFonts w:ascii="Times New Roman" w:hAnsi="Times New Roman" w:cs="Times New Roman"/>
                <w:color w:val="000000" w:themeColor="text1"/>
              </w:rPr>
              <w:t xml:space="preserve"> oraz zawartość wolnych przestrzeni w warstwie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9EA1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Porównanie gęstości objętościowej referencyjnej do rzeczywistej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52AE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razy na kilometr każdej jezdni, nie   rzadziej niż 1 raz </w:t>
            </w:r>
          </w:p>
          <w:p w14:paraId="36AA9CA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 6000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r w:rsidR="00955A27" w:rsidRPr="001667DB" w14:paraId="2A74D1B3" w14:textId="77777777" w:rsidTr="001B4B8F">
        <w:trPr>
          <w:trHeight w:val="511"/>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5FF7BE3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 </w:t>
            </w:r>
          </w:p>
        </w:tc>
        <w:tc>
          <w:tcPr>
            <w:tcW w:w="2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958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Sczepność</w:t>
            </w:r>
            <w:r w:rsidRPr="001667DB">
              <w:rPr>
                <w:rFonts w:ascii="Times New Roman" w:hAnsi="Times New Roman" w:cs="Times New Roman"/>
                <w:color w:val="000000" w:themeColor="text1"/>
              </w:rPr>
              <w:t xml:space="preserve"> warstw asfaltowych dla dróg KR </w:t>
            </w:r>
          </w:p>
          <w:p w14:paraId="1EE2ED0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4-7 </w:t>
            </w:r>
          </w:p>
        </w:tc>
        <w:tc>
          <w:tcPr>
            <w:tcW w:w="2717" w:type="dxa"/>
            <w:tcBorders>
              <w:top w:val="single" w:sz="4" w:space="0" w:color="000000"/>
              <w:left w:val="single" w:sz="4" w:space="0" w:color="000000"/>
              <w:bottom w:val="single" w:sz="4" w:space="0" w:color="000000"/>
              <w:right w:val="single" w:sz="4" w:space="0" w:color="000000"/>
            </w:tcBorders>
            <w:shd w:val="clear" w:color="auto" w:fill="auto"/>
          </w:tcPr>
          <w:p w14:paraId="02ACF29A"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Leutnera </w:t>
            </w:r>
          </w:p>
        </w:tc>
        <w:tc>
          <w:tcPr>
            <w:tcW w:w="3032" w:type="dxa"/>
            <w:tcBorders>
              <w:top w:val="single" w:sz="4" w:space="0" w:color="000000"/>
              <w:left w:val="single" w:sz="4" w:space="0" w:color="000000"/>
              <w:bottom w:val="single" w:sz="4" w:space="0" w:color="000000"/>
              <w:right w:val="single" w:sz="4" w:space="0" w:color="000000"/>
            </w:tcBorders>
            <w:shd w:val="clear" w:color="auto" w:fill="auto"/>
          </w:tcPr>
          <w:p w14:paraId="3FE3C07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nie rzadziej niż 1 raz na </w:t>
            </w:r>
          </w:p>
          <w:p w14:paraId="1F5C13E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15000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r w:rsidR="00955A27" w:rsidRPr="001667DB" w14:paraId="133285B4" w14:textId="77777777" w:rsidTr="001B4B8F">
        <w:trPr>
          <w:trHeight w:val="1269"/>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5E9D83C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3.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5BD4B1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Grubość</w:t>
            </w:r>
            <w:r w:rsidRPr="001667DB">
              <w:rPr>
                <w:rFonts w:ascii="Times New Roman" w:hAnsi="Times New Roman" w:cs="Times New Roman"/>
                <w:color w:val="000000" w:themeColor="text1"/>
              </w:rPr>
              <w:t xml:space="preserve"> (grubości poszczególnych warstw i grubość pakietu warstw asfaltowych)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93C7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w:t>
            </w:r>
          </w:p>
          <w:p w14:paraId="3C80411F"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w:t>
            </w:r>
          </w:p>
          <w:p w14:paraId="1F4F1117"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elektromagnetyczny, </w:t>
            </w:r>
          </w:p>
          <w:p w14:paraId="374F5621"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Przymiarem na wyciętych próbach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8015B" w14:textId="77777777" w:rsidR="00955A27" w:rsidRPr="001667DB" w:rsidRDefault="00955A27" w:rsidP="00904E6C">
            <w:pPr>
              <w:numPr>
                <w:ilvl w:val="0"/>
                <w:numId w:val="176"/>
              </w:numPr>
              <w:spacing w:after="120" w:line="360" w:lineRule="auto"/>
              <w:ind w:left="330" w:hanging="283"/>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nie rzadziej niż co 50 m  </w:t>
            </w:r>
          </w:p>
          <w:p w14:paraId="3D490A4D" w14:textId="77777777" w:rsidR="00955A27" w:rsidRPr="001667DB" w:rsidRDefault="00955A27" w:rsidP="00904E6C">
            <w:pPr>
              <w:numPr>
                <w:ilvl w:val="0"/>
                <w:numId w:val="176"/>
              </w:numPr>
              <w:spacing w:after="120" w:line="360" w:lineRule="auto"/>
              <w:ind w:left="330" w:hanging="283"/>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rzadziej niż co 100m  </w:t>
            </w:r>
          </w:p>
          <w:p w14:paraId="361D0AC2" w14:textId="77777777" w:rsidR="00955A27" w:rsidRPr="001667DB" w:rsidRDefault="00955A27" w:rsidP="00904E6C">
            <w:pPr>
              <w:numPr>
                <w:ilvl w:val="0"/>
                <w:numId w:val="176"/>
              </w:numPr>
              <w:spacing w:after="120" w:line="360" w:lineRule="auto"/>
              <w:ind w:left="330" w:hanging="283"/>
              <w:rPr>
                <w:rFonts w:ascii="Times New Roman" w:hAnsi="Times New Roman" w:cs="Times New Roman"/>
                <w:color w:val="000000" w:themeColor="text1"/>
              </w:rPr>
            </w:pPr>
            <w:r w:rsidRPr="001667DB">
              <w:rPr>
                <w:rFonts w:ascii="Times New Roman" w:hAnsi="Times New Roman" w:cs="Times New Roman"/>
                <w:color w:val="000000" w:themeColor="text1"/>
              </w:rPr>
              <w:t>2 razy na kilometr każdej jezdni, nie   rzadziej niż 1 raz na 6000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tc>
      </w:tr>
      <w:tr w:rsidR="00955A27" w:rsidRPr="001667DB" w14:paraId="09CE03A0" w14:textId="77777777" w:rsidTr="001B4B8F">
        <w:trPr>
          <w:trHeight w:val="502"/>
        </w:trPr>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FF9F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4.</w:t>
            </w:r>
            <w:r w:rsidRPr="001667DB">
              <w:rPr>
                <w:rFonts w:ascii="Times New Roman" w:hAnsi="Times New Roman" w:cs="Times New Roman"/>
                <w:color w:val="000000" w:themeColor="text1"/>
              </w:rPr>
              <w:t xml:space="preserve"> </w:t>
            </w:r>
          </w:p>
        </w:tc>
        <w:tc>
          <w:tcPr>
            <w:tcW w:w="2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5860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Równość podłużna</w:t>
            </w:r>
            <w:r w:rsidRPr="001667DB">
              <w:rPr>
                <w:rFonts w:ascii="Times New Roman" w:hAnsi="Times New Roman" w:cs="Times New Roman"/>
                <w:color w:val="000000" w:themeColor="text1"/>
              </w:rPr>
              <w:t xml:space="preserve">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443DD"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C567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r>
      <w:tr w:rsidR="00955A27" w:rsidRPr="001667DB" w14:paraId="19942763" w14:textId="77777777" w:rsidTr="001B4B8F">
        <w:trPr>
          <w:trHeight w:val="174"/>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3F6DD64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4.1.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73C27B1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klasy dróg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939FD"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Planografem </w:t>
            </w:r>
          </w:p>
          <w:p w14:paraId="2232528A"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316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każdy pas układania warstwy w sposób ciągły </w:t>
            </w:r>
          </w:p>
        </w:tc>
      </w:tr>
      <w:tr w:rsidR="00955A27" w:rsidRPr="001667DB" w14:paraId="58BDADBE" w14:textId="77777777" w:rsidTr="001B4B8F">
        <w:trPr>
          <w:trHeight w:val="612"/>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63B7D00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4.2.</w:t>
            </w:r>
            <w:r w:rsidRPr="001667DB">
              <w:rPr>
                <w:rFonts w:ascii="Times New Roman" w:hAnsi="Times New Roman" w:cs="Times New Roman"/>
                <w:b/>
                <w:color w:val="000000" w:themeColor="text1"/>
              </w:rPr>
              <w:t xml:space="preserve"> </w:t>
            </w:r>
          </w:p>
        </w:tc>
        <w:tc>
          <w:tcPr>
            <w:tcW w:w="25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3F522" w14:textId="77777777" w:rsidR="00955A27" w:rsidRPr="001667DB" w:rsidRDefault="00955A27" w:rsidP="00955A27">
            <w:pPr>
              <w:spacing w:after="120" w:line="360" w:lineRule="auto"/>
              <w:ind w:right="19"/>
              <w:rPr>
                <w:rFonts w:ascii="Times New Roman" w:hAnsi="Times New Roman" w:cs="Times New Roman"/>
                <w:color w:val="000000" w:themeColor="text1"/>
              </w:rPr>
            </w:pPr>
            <w:r w:rsidRPr="001667DB">
              <w:rPr>
                <w:rFonts w:ascii="Times New Roman" w:hAnsi="Times New Roman" w:cs="Times New Roman"/>
                <w:color w:val="000000" w:themeColor="text1"/>
              </w:rPr>
              <w:t>Wszystkie klasy dróg w miejscach niedostępnych dla urządzeń pomiarowych</w:t>
            </w:r>
            <w:r w:rsidRPr="001667DB">
              <w:rPr>
                <w:rFonts w:ascii="Times New Roman" w:hAnsi="Times New Roman" w:cs="Times New Roman"/>
                <w:b/>
                <w:color w:val="000000" w:themeColor="text1"/>
              </w:rPr>
              <w:t xml:space="preserve"> </w:t>
            </w:r>
          </w:p>
        </w:tc>
        <w:tc>
          <w:tcPr>
            <w:tcW w:w="2717" w:type="dxa"/>
            <w:tcBorders>
              <w:top w:val="single" w:sz="4" w:space="0" w:color="000000"/>
              <w:left w:val="single" w:sz="4" w:space="0" w:color="000000"/>
              <w:bottom w:val="single" w:sz="4" w:space="0" w:color="000000"/>
              <w:right w:val="single" w:sz="4" w:space="0" w:color="000000"/>
            </w:tcBorders>
            <w:shd w:val="clear" w:color="auto" w:fill="auto"/>
          </w:tcPr>
          <w:p w14:paraId="1BCFDE5D"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4 metrową łatą i klinem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2546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 sposób ciągły (początek każdego   pomiaru łatą w  miejscu zakończenia  poprzedniego pomiaru) </w:t>
            </w:r>
          </w:p>
        </w:tc>
      </w:tr>
      <w:tr w:rsidR="00955A27" w:rsidRPr="001667DB" w14:paraId="6A77D2A5" w14:textId="77777777" w:rsidTr="001B4B8F">
        <w:trPr>
          <w:trHeight w:val="757"/>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7FBF2B2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63E8B01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Równość poprzeczna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96D73"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Profilografem lub  </w:t>
            </w:r>
          </w:p>
          <w:p w14:paraId="14A8CCF7"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metrową łatą i pochyłomierzem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BE0B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każdy pas układania warstwy w sposób ciągły - nie rzadziej niż  co 5 m </w:t>
            </w:r>
          </w:p>
        </w:tc>
      </w:tr>
      <w:tr w:rsidR="00955A27" w:rsidRPr="001667DB" w14:paraId="4C2DE45D" w14:textId="77777777" w:rsidTr="001B4B8F">
        <w:trPr>
          <w:trHeight w:val="1126"/>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11D8F6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4B81282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Spadki poprzeczne </w:t>
            </w:r>
          </w:p>
        </w:tc>
        <w:tc>
          <w:tcPr>
            <w:tcW w:w="2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D7E63"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Profilografem lub  </w:t>
            </w:r>
          </w:p>
          <w:p w14:paraId="1616743C"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metrową łatą i pochyłomierzem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675D43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co 10m </w:t>
            </w:r>
          </w:p>
          <w:p w14:paraId="215B71E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razy na 1 km dodatkowe pomiary w punktach głównych łuków poziomych </w:t>
            </w:r>
          </w:p>
        </w:tc>
      </w:tr>
      <w:tr w:rsidR="00955A27" w:rsidRPr="001667DB" w14:paraId="2C8FD13A" w14:textId="77777777" w:rsidTr="001B4B8F">
        <w:trPr>
          <w:trHeight w:val="394"/>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179EB32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7.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3E4ACFA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Szerokość warstwy </w:t>
            </w:r>
          </w:p>
        </w:tc>
        <w:tc>
          <w:tcPr>
            <w:tcW w:w="2717" w:type="dxa"/>
            <w:tcBorders>
              <w:top w:val="single" w:sz="4" w:space="0" w:color="000000"/>
              <w:left w:val="single" w:sz="4" w:space="0" w:color="000000"/>
              <w:bottom w:val="single" w:sz="4" w:space="0" w:color="000000"/>
              <w:right w:val="single" w:sz="4" w:space="0" w:color="000000"/>
            </w:tcBorders>
            <w:shd w:val="clear" w:color="auto" w:fill="auto"/>
          </w:tcPr>
          <w:p w14:paraId="570E261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Taśmą mierniczą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4D939E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pomiar co 50 m, na łukach poziomych w punktach  charakterystycznych </w:t>
            </w:r>
          </w:p>
        </w:tc>
      </w:tr>
      <w:tr w:rsidR="00955A27" w:rsidRPr="001667DB" w14:paraId="05E19A3A" w14:textId="77777777" w:rsidTr="001B4B8F">
        <w:trPr>
          <w:trHeight w:val="545"/>
        </w:trPr>
        <w:tc>
          <w:tcPr>
            <w:tcW w:w="614" w:type="dxa"/>
            <w:tcBorders>
              <w:top w:val="single" w:sz="4" w:space="0" w:color="000000"/>
              <w:left w:val="single" w:sz="4" w:space="0" w:color="000000"/>
              <w:bottom w:val="single" w:sz="4" w:space="0" w:color="000000"/>
              <w:right w:val="single" w:sz="4" w:space="0" w:color="000000"/>
            </w:tcBorders>
            <w:shd w:val="clear" w:color="auto" w:fill="auto"/>
          </w:tcPr>
          <w:p w14:paraId="245A64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8. </w:t>
            </w:r>
          </w:p>
        </w:tc>
        <w:tc>
          <w:tcPr>
            <w:tcW w:w="2593" w:type="dxa"/>
            <w:tcBorders>
              <w:top w:val="single" w:sz="4" w:space="0" w:color="000000"/>
              <w:left w:val="single" w:sz="4" w:space="0" w:color="000000"/>
              <w:bottom w:val="single" w:sz="4" w:space="0" w:color="000000"/>
              <w:right w:val="single" w:sz="4" w:space="0" w:color="000000"/>
            </w:tcBorders>
            <w:shd w:val="clear" w:color="auto" w:fill="auto"/>
          </w:tcPr>
          <w:p w14:paraId="3AC5D933" w14:textId="77777777" w:rsidR="00955A27" w:rsidRPr="001667DB" w:rsidRDefault="00955A27" w:rsidP="00955A27">
            <w:pPr>
              <w:spacing w:after="120" w:line="360" w:lineRule="auto"/>
              <w:ind w:right="24"/>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Odchylenie od projektowanej osi drogi </w:t>
            </w:r>
          </w:p>
        </w:tc>
        <w:tc>
          <w:tcPr>
            <w:tcW w:w="2717" w:type="dxa"/>
            <w:tcBorders>
              <w:top w:val="single" w:sz="4" w:space="0" w:color="000000"/>
              <w:left w:val="single" w:sz="4" w:space="0" w:color="000000"/>
              <w:bottom w:val="single" w:sz="4" w:space="0" w:color="000000"/>
              <w:right w:val="single" w:sz="4" w:space="0" w:color="000000"/>
            </w:tcBorders>
            <w:shd w:val="clear" w:color="auto" w:fill="auto"/>
          </w:tcPr>
          <w:p w14:paraId="532A5876"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w:t>
            </w:r>
          </w:p>
          <w:p w14:paraId="1A908607"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Pomiary sytuacyjne  </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572883F" w14:textId="77777777" w:rsidR="00955A27" w:rsidRPr="001667DB" w:rsidRDefault="00955A27" w:rsidP="00955A27">
            <w:pPr>
              <w:spacing w:after="120" w:line="360" w:lineRule="auto"/>
              <w:ind w:right="287"/>
              <w:rPr>
                <w:rFonts w:ascii="Times New Roman" w:hAnsi="Times New Roman" w:cs="Times New Roman"/>
                <w:color w:val="000000" w:themeColor="text1"/>
              </w:rPr>
            </w:pPr>
            <w:r w:rsidRPr="001667DB">
              <w:rPr>
                <w:rFonts w:ascii="Times New Roman" w:hAnsi="Times New Roman" w:cs="Times New Roman"/>
                <w:color w:val="000000" w:themeColor="text1"/>
              </w:rPr>
              <w:t xml:space="preserve">- pomiar rzędnych niwelacji podłużnej i poprzecznej oraz usytuowania osi, na łukach poziomych i pionowych w punktach charakterystycznych </w:t>
            </w:r>
          </w:p>
        </w:tc>
      </w:tr>
    </w:tbl>
    <w:p w14:paraId="3AE66588"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33D1F0AB"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6.3.</w:t>
      </w:r>
      <w:r w:rsidRPr="001667DB">
        <w:rPr>
          <w:rFonts w:eastAsia="Arial"/>
          <w:color w:val="000000" w:themeColor="text1"/>
          <w:sz w:val="22"/>
          <w:szCs w:val="22"/>
        </w:rPr>
        <w:t xml:space="preserve"> </w:t>
      </w:r>
      <w:r w:rsidRPr="001667DB">
        <w:rPr>
          <w:color w:val="000000" w:themeColor="text1"/>
          <w:sz w:val="22"/>
          <w:szCs w:val="22"/>
        </w:rPr>
        <w:t xml:space="preserve">Badania i pomiary kontrolne </w:t>
      </w:r>
    </w:p>
    <w:p w14:paraId="180A96E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kontrolne są zlecane przez Inżyniera/Inspektora Nadzoru, a których celem jest sprawdzenie, czy jakość zastosowanych materiałów i wyrobów budowlanych (mieszanek mineralno-asfaltowych i ich składników, lepiszczy i materiałów do uszczelnień itp.) oraz gotowej warstwy (wbudowane warstwy asfaltowe, połączenia itp.) spełniają wymagania określone w kontrakcie.   </w:t>
      </w:r>
    </w:p>
    <w:p w14:paraId="694CF4E3"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Pobieraniem próbek, wykonaniem badań i pomiarów na miejscu budowy zajmuje się Laboratorium Zamawiającego/Inżynier/Inspektor Nadzoru przy udziale lub po poinformowaniu przedstawicieli Wykonawcy. Zamawiający decyduje o wyborze Laboratorium Zamawiającego.</w:t>
      </w:r>
    </w:p>
    <w:p w14:paraId="485B8CCB"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6.4.</w:t>
      </w:r>
      <w:r w:rsidRPr="001667DB">
        <w:rPr>
          <w:rFonts w:eastAsia="Arial"/>
          <w:color w:val="000000" w:themeColor="text1"/>
          <w:sz w:val="22"/>
          <w:szCs w:val="22"/>
        </w:rPr>
        <w:t xml:space="preserve"> </w:t>
      </w:r>
      <w:r w:rsidRPr="001667DB">
        <w:rPr>
          <w:color w:val="000000" w:themeColor="text1"/>
          <w:sz w:val="22"/>
          <w:szCs w:val="22"/>
        </w:rPr>
        <w:t xml:space="preserve">Badania i pomiary kontrolne dodatkowe </w:t>
      </w:r>
    </w:p>
    <w:p w14:paraId="7B3529E6"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wypadku uznania, że jeden z wyników badań lub pomiarów kontrolnych nie jest reprezentatywny dla ocenianego odcinka budowy, strony kontraktu mogą wystąpić o przeprowadzenia badań lub pomiarów kontrolnych dodatkowych. Badania kontrolne dodatkowe są wykonywane przez Laboratorium Zamawiającego. </w:t>
      </w:r>
    </w:p>
    <w:p w14:paraId="41955ACF"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Strony Kontraktu decydują wspólnie o miejscach pobierania próbek i wyznaczeniu odcinków częściowych ocenianego odcinka budowy tzn. dziennej działki roboczej. Jeżeli odcinek częściowy przyporządkowany do badań kontrolnych nie może być jednoznacznie i zgodnie wyznaczony, to odcinek ten nie powinien być mniejszy niż 20% ocenianego odcinka budowy. </w:t>
      </w:r>
    </w:p>
    <w:p w14:paraId="19C99397"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6.5.</w:t>
      </w:r>
      <w:r w:rsidRPr="001667DB">
        <w:rPr>
          <w:rFonts w:eastAsia="Arial"/>
          <w:color w:val="000000" w:themeColor="text1"/>
          <w:sz w:val="22"/>
          <w:szCs w:val="22"/>
        </w:rPr>
        <w:t xml:space="preserve"> </w:t>
      </w:r>
      <w:r w:rsidRPr="001667DB">
        <w:rPr>
          <w:color w:val="000000" w:themeColor="text1"/>
          <w:sz w:val="22"/>
          <w:szCs w:val="22"/>
        </w:rPr>
        <w:t xml:space="preserve">Badania i pomiary arbitrażowe </w:t>
      </w:r>
    </w:p>
    <w:p w14:paraId="652FB9E8"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arbitrażowe są powtórzeniem badań lub pomiarów kontrolnych i/lub kontrolnych dodatkowych, co do których istnieją uzasadnione wątpliwości ze strony Inżyniera/Inspektora Nadzoru, Zamawiającego lub Wykonawcy (np. na podstawie własnych badań). </w:t>
      </w:r>
    </w:p>
    <w:p w14:paraId="72FBE001"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arbitrażowe wykonuje się na wniosek strony kontraktu. Badania i pomiary arbitrażowe wykonuje bezstronne, akredytowane laboratorium (w tym inne laboratorium GDDKiA), które nie wykonywało badań lub pomiarów kontrolnych, przy udziale lub po poinformowaniu przedstawicieli stron. </w:t>
      </w:r>
    </w:p>
    <w:p w14:paraId="43CD87B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wniosku Wykonawcy zgodę na przeprowadzenie badań i pomiarów arbitrażowych wyraża Inżynier/Inspektor Nadzoru po wcześniejszej analizie zasadności wniosku. Zamawiający akceptuje laboratorium, które przeprowadzi badania lub pomiary arbitrażowe.  </w:t>
      </w:r>
    </w:p>
    <w:p w14:paraId="3EDB588F"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6.6.</w:t>
      </w:r>
      <w:r w:rsidRPr="001667DB">
        <w:rPr>
          <w:rFonts w:eastAsia="Arial"/>
          <w:color w:val="000000" w:themeColor="text1"/>
          <w:sz w:val="22"/>
          <w:szCs w:val="22"/>
        </w:rPr>
        <w:t xml:space="preserve"> </w:t>
      </w:r>
      <w:r w:rsidRPr="001667DB">
        <w:rPr>
          <w:color w:val="000000" w:themeColor="text1"/>
          <w:sz w:val="22"/>
          <w:szCs w:val="22"/>
        </w:rPr>
        <w:t xml:space="preserve">Badania i pomiary przed przystąpieniem do robót </w:t>
      </w:r>
    </w:p>
    <w:p w14:paraId="7FE135D2"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Wykonawca powinien przedstawić Inżynierowi/Inspektorowi Nadzoru do akceptacji źródła poboru kruszyw oraz wszystkich dodatkowych materiałów, dołączając wszystkie dokumenty potwierdzające jakość materiałów składowych. </w:t>
      </w:r>
    </w:p>
    <w:p w14:paraId="7DDAAB40" w14:textId="77777777" w:rsidR="00955A27" w:rsidRPr="001667DB" w:rsidRDefault="00955A27" w:rsidP="00A9424D">
      <w:pPr>
        <w:pStyle w:val="Nagwek2"/>
        <w:spacing w:line="360" w:lineRule="auto"/>
        <w:jc w:val="both"/>
        <w:rPr>
          <w:color w:val="000000" w:themeColor="text1"/>
          <w:sz w:val="22"/>
          <w:szCs w:val="22"/>
        </w:rPr>
      </w:pPr>
      <w:r w:rsidRPr="001667DB">
        <w:rPr>
          <w:color w:val="000000" w:themeColor="text1"/>
          <w:sz w:val="22"/>
          <w:szCs w:val="22"/>
        </w:rPr>
        <w:t>6.7.</w:t>
      </w:r>
      <w:r w:rsidRPr="001667DB">
        <w:rPr>
          <w:rFonts w:eastAsia="Arial"/>
          <w:color w:val="000000" w:themeColor="text1"/>
          <w:sz w:val="22"/>
          <w:szCs w:val="22"/>
        </w:rPr>
        <w:t xml:space="preserve"> </w:t>
      </w:r>
      <w:r w:rsidRPr="001667DB">
        <w:rPr>
          <w:color w:val="000000" w:themeColor="text1"/>
          <w:sz w:val="22"/>
          <w:szCs w:val="22"/>
        </w:rPr>
        <w:t xml:space="preserve">Badania w czasie robót </w:t>
      </w:r>
    </w:p>
    <w:p w14:paraId="48E8C118" w14:textId="77777777" w:rsidR="00955A27" w:rsidRPr="001667DB" w:rsidRDefault="00955A27" w:rsidP="00A9424D">
      <w:pPr>
        <w:pStyle w:val="Nagwek3"/>
      </w:pPr>
      <w:r w:rsidRPr="001667DB">
        <w:t>6.7.1.</w:t>
      </w:r>
      <w:r w:rsidRPr="001667DB">
        <w:rPr>
          <w:rFonts w:eastAsia="Arial"/>
        </w:rPr>
        <w:t xml:space="preserve"> </w:t>
      </w:r>
      <w:r w:rsidRPr="001667DB">
        <w:t xml:space="preserve">Zawartość lepiszcza rozpuszczalnego </w:t>
      </w:r>
    </w:p>
    <w:p w14:paraId="24447F8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polega na wykonaniu ekstrakcji lepiszcza, zgodnie PN-EN 12697-1, z próbki pobranej z mieszanki mineralno-asfaltowej.  </w:t>
      </w:r>
    </w:p>
    <w:p w14:paraId="72DD0E4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Jakości wbudowanej mieszanki mineralno-asfaltowej należy ocenić na podstawie: </w:t>
      </w:r>
    </w:p>
    <w:p w14:paraId="257A528D" w14:textId="77777777" w:rsidR="00955A27" w:rsidRPr="001667DB" w:rsidRDefault="00955A27" w:rsidP="00904E6C">
      <w:pPr>
        <w:numPr>
          <w:ilvl w:val="0"/>
          <w:numId w:val="16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wielkości odchyłki obliczonej dla wartości średniej (średnia arytmetyczna wszystkich wyników z całej drogi dla danego typu MMA i danej warstwy asfaltowej) z dokładnością do 0,01 %, </w:t>
      </w:r>
    </w:p>
    <w:p w14:paraId="60BDB613" w14:textId="77777777" w:rsidR="00955A27" w:rsidRPr="001667DB" w:rsidRDefault="00955A27" w:rsidP="00904E6C">
      <w:pPr>
        <w:numPr>
          <w:ilvl w:val="0"/>
          <w:numId w:val="167"/>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pojedynczego wyniku (próbki) z dokładnością do 0,1 %. </w:t>
      </w:r>
    </w:p>
    <w:p w14:paraId="68FEE259"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b/>
          <w:color w:val="000000" w:themeColor="text1"/>
        </w:rPr>
        <w:t>Wyżej wymienione kryteria należy stosować jednocześnie</w:t>
      </w:r>
      <w:r w:rsidRPr="001667DB">
        <w:rPr>
          <w:rFonts w:ascii="Times New Roman" w:hAnsi="Times New Roman" w:cs="Times New Roman"/>
          <w:color w:val="000000" w:themeColor="text1"/>
        </w:rPr>
        <w:t xml:space="preserve"> (oba podlegają ocenie jakości MMA). </w:t>
      </w:r>
    </w:p>
    <w:p w14:paraId="153E5C4E" w14:textId="77777777" w:rsidR="00955A27" w:rsidRPr="001667DB" w:rsidRDefault="00955A27" w:rsidP="00A9424D">
      <w:pPr>
        <w:spacing w:after="120" w:line="360" w:lineRule="auto"/>
        <w:ind w:left="5" w:hanging="11"/>
        <w:jc w:val="both"/>
        <w:rPr>
          <w:rFonts w:ascii="Times New Roman" w:hAnsi="Times New Roman" w:cs="Times New Roman"/>
          <w:i/>
          <w:color w:val="000000" w:themeColor="text1"/>
        </w:rPr>
      </w:pPr>
      <w:r w:rsidRPr="001667DB">
        <w:rPr>
          <w:rFonts w:ascii="Times New Roman" w:hAnsi="Times New Roman" w:cs="Times New Roman"/>
          <w:i/>
          <w:color w:val="000000" w:themeColor="text1"/>
        </w:rPr>
        <w:t xml:space="preserve">Odchyłka jest to różnica wartości bezwzględnej pomiędzy procentową zawartością lepiszcza rozpuszczalnego uzyskaną z badań laboratoryjnych a procentową zawartością lepiszcza rozpuszczalnego podaną w Badaniu Typu (%). </w:t>
      </w:r>
    </w:p>
    <w:p w14:paraId="1467EC5D" w14:textId="77777777" w:rsidR="00955A27" w:rsidRPr="001667DB" w:rsidRDefault="00955A27" w:rsidP="00A9424D">
      <w:pPr>
        <w:spacing w:after="120" w:line="360" w:lineRule="auto"/>
        <w:jc w:val="both"/>
        <w:rPr>
          <w:rFonts w:ascii="Times New Roman" w:hAnsi="Times New Roman" w:cs="Times New Roman"/>
          <w:color w:val="000000" w:themeColor="text1"/>
        </w:rPr>
      </w:pPr>
    </w:p>
    <w:p w14:paraId="71E35EF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8. Dopuszczalne odchyłki do odbioru dla </w:t>
      </w:r>
      <w:r w:rsidRPr="001667DB">
        <w:rPr>
          <w:rFonts w:ascii="Times New Roman" w:hAnsi="Times New Roman" w:cs="Times New Roman"/>
          <w:color w:val="000000" w:themeColor="text1"/>
          <w:u w:val="single" w:color="000000"/>
        </w:rPr>
        <w:t>wartości średniej</w:t>
      </w:r>
      <w:r w:rsidRPr="001667DB">
        <w:rPr>
          <w:rFonts w:ascii="Times New Roman" w:hAnsi="Times New Roman" w:cs="Times New Roman"/>
          <w:color w:val="000000" w:themeColor="text1"/>
        </w:rPr>
        <w:t xml:space="preserve"> policzonej z dokładnością do 0,01 % </w:t>
      </w:r>
    </w:p>
    <w:tbl>
      <w:tblPr>
        <w:tblW w:w="8932" w:type="dxa"/>
        <w:tblInd w:w="84" w:type="dxa"/>
        <w:tblCellMar>
          <w:left w:w="0" w:type="dxa"/>
          <w:right w:w="83" w:type="dxa"/>
        </w:tblCellMar>
        <w:tblLook w:val="04A0" w:firstRow="1" w:lastRow="0" w:firstColumn="1" w:lastColumn="0" w:noHBand="0" w:noVBand="1"/>
      </w:tblPr>
      <w:tblGrid>
        <w:gridCol w:w="3828"/>
        <w:gridCol w:w="2552"/>
        <w:gridCol w:w="2552"/>
      </w:tblGrid>
      <w:tr w:rsidR="00955A27" w:rsidRPr="001667DB" w14:paraId="4D17EED7" w14:textId="77777777" w:rsidTr="001B4B8F">
        <w:trPr>
          <w:trHeight w:val="242"/>
        </w:trPr>
        <w:tc>
          <w:tcPr>
            <w:tcW w:w="3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ABEDF88"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Oceniany parametr </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922811"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Wielkość odchyłki dla wartości średniej ; % </w:t>
            </w:r>
          </w:p>
        </w:tc>
      </w:tr>
      <w:tr w:rsidR="00955A27" w:rsidRPr="001667DB" w14:paraId="0B2B73EA" w14:textId="77777777" w:rsidTr="001B4B8F">
        <w:trPr>
          <w:trHeight w:val="132"/>
        </w:trPr>
        <w:tc>
          <w:tcPr>
            <w:tcW w:w="0" w:type="auto"/>
            <w:vMerge/>
            <w:tcBorders>
              <w:top w:val="nil"/>
              <w:left w:val="single" w:sz="4" w:space="0" w:color="000000"/>
              <w:bottom w:val="nil"/>
              <w:right w:val="single" w:sz="4" w:space="0" w:color="000000"/>
            </w:tcBorders>
            <w:shd w:val="clear" w:color="auto" w:fill="auto"/>
          </w:tcPr>
          <w:p w14:paraId="2A327FB4"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59EECF"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AC </w:t>
            </w:r>
          </w:p>
        </w:tc>
      </w:tr>
      <w:tr w:rsidR="00955A27" w:rsidRPr="001667DB" w14:paraId="7252AE17" w14:textId="77777777" w:rsidTr="001B4B8F">
        <w:trPr>
          <w:trHeight w:val="164"/>
        </w:trPr>
        <w:tc>
          <w:tcPr>
            <w:tcW w:w="0" w:type="auto"/>
            <w:vMerge/>
            <w:tcBorders>
              <w:top w:val="nil"/>
              <w:left w:val="single" w:sz="4" w:space="0" w:color="000000"/>
              <w:bottom w:val="single" w:sz="4" w:space="0" w:color="000000"/>
              <w:right w:val="single" w:sz="4" w:space="0" w:color="000000"/>
            </w:tcBorders>
            <w:shd w:val="clear" w:color="auto" w:fill="auto"/>
          </w:tcPr>
          <w:p w14:paraId="1D0A7D1A"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DFE8D" w14:textId="77777777" w:rsidR="00955A27" w:rsidRPr="001667DB" w:rsidRDefault="00955A27" w:rsidP="006D312E">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KR4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B323A"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KR1</w:t>
            </w:r>
          </w:p>
        </w:tc>
      </w:tr>
      <w:tr w:rsidR="00955A27" w:rsidRPr="001667DB" w14:paraId="571ED42B" w14:textId="77777777" w:rsidTr="001B4B8F">
        <w:trPr>
          <w:trHeight w:val="224"/>
        </w:trPr>
        <w:tc>
          <w:tcPr>
            <w:tcW w:w="3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D8C15"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lepiszcza rozpuszczalnego S </w:t>
            </w:r>
          </w:p>
          <w:p w14:paraId="7C23F8D6"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niedomiar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2993"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0,15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D9B62"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  </w:t>
            </w:r>
          </w:p>
        </w:tc>
      </w:tr>
      <w:tr w:rsidR="00955A27" w:rsidRPr="001667DB" w14:paraId="5AE66BF3" w14:textId="77777777" w:rsidTr="001B4B8F">
        <w:trPr>
          <w:trHeight w:val="174"/>
        </w:trPr>
        <w:tc>
          <w:tcPr>
            <w:tcW w:w="3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E6018"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lepiszcza rozpuszczalnego S </w:t>
            </w:r>
          </w:p>
          <w:p w14:paraId="267956D5"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nadmiar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4E241"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885EC"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0,20  </w:t>
            </w:r>
          </w:p>
        </w:tc>
      </w:tr>
    </w:tbl>
    <w:p w14:paraId="54C8327A"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F454D10" w14:textId="77777777" w:rsidR="00955A27" w:rsidRPr="001667DB" w:rsidRDefault="00955A27" w:rsidP="00955A27">
      <w:pPr>
        <w:spacing w:after="120" w:line="360" w:lineRule="auto"/>
        <w:ind w:left="7"/>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9. Dopuszczalne odchyłki do odbioru </w:t>
      </w:r>
      <w:r w:rsidRPr="001667DB">
        <w:rPr>
          <w:rFonts w:ascii="Times New Roman" w:hAnsi="Times New Roman" w:cs="Times New Roman"/>
          <w:color w:val="000000" w:themeColor="text1"/>
          <w:u w:val="single" w:color="000000"/>
        </w:rPr>
        <w:t>dla pojedynczego</w:t>
      </w:r>
      <w:r w:rsidRPr="001667DB">
        <w:rPr>
          <w:rFonts w:ascii="Times New Roman" w:hAnsi="Times New Roman" w:cs="Times New Roman"/>
          <w:color w:val="000000" w:themeColor="text1"/>
        </w:rPr>
        <w:t xml:space="preserve"> wyniku określonego z dokładnością do 0,1 % </w:t>
      </w:r>
    </w:p>
    <w:tbl>
      <w:tblPr>
        <w:tblW w:w="8932" w:type="dxa"/>
        <w:tblInd w:w="84" w:type="dxa"/>
        <w:tblCellMar>
          <w:left w:w="144" w:type="dxa"/>
          <w:right w:w="74" w:type="dxa"/>
        </w:tblCellMar>
        <w:tblLook w:val="04A0" w:firstRow="1" w:lastRow="0" w:firstColumn="1" w:lastColumn="0" w:noHBand="0" w:noVBand="1"/>
      </w:tblPr>
      <w:tblGrid>
        <w:gridCol w:w="3829"/>
        <w:gridCol w:w="5103"/>
      </w:tblGrid>
      <w:tr w:rsidR="00955A27" w:rsidRPr="001667DB" w14:paraId="6F6682D5" w14:textId="77777777" w:rsidTr="001B4B8F">
        <w:trPr>
          <w:trHeight w:val="530"/>
        </w:trPr>
        <w:tc>
          <w:tcPr>
            <w:tcW w:w="3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AA1104"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Oceniany parametr </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B94C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Wielkość odchyłki dla pojedynczego wyniku ; % </w:t>
            </w:r>
          </w:p>
        </w:tc>
      </w:tr>
      <w:tr w:rsidR="00955A27" w:rsidRPr="001667DB" w14:paraId="09C1A9FA" w14:textId="77777777" w:rsidTr="001B4B8F">
        <w:trPr>
          <w:trHeight w:val="263"/>
        </w:trPr>
        <w:tc>
          <w:tcPr>
            <w:tcW w:w="0" w:type="auto"/>
            <w:vMerge/>
            <w:tcBorders>
              <w:top w:val="nil"/>
              <w:left w:val="single" w:sz="4" w:space="0" w:color="000000"/>
              <w:bottom w:val="nil"/>
              <w:right w:val="single" w:sz="4" w:space="0" w:color="000000"/>
            </w:tcBorders>
            <w:shd w:val="clear" w:color="auto" w:fill="auto"/>
          </w:tcPr>
          <w:p w14:paraId="4AB6139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AB5EA"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AC  </w:t>
            </w:r>
          </w:p>
        </w:tc>
      </w:tr>
      <w:tr w:rsidR="00955A27" w:rsidRPr="001667DB" w14:paraId="529E49C5" w14:textId="77777777" w:rsidTr="001B4B8F">
        <w:trPr>
          <w:trHeight w:val="299"/>
        </w:trPr>
        <w:tc>
          <w:tcPr>
            <w:tcW w:w="0" w:type="auto"/>
            <w:vMerge/>
            <w:tcBorders>
              <w:top w:val="nil"/>
              <w:left w:val="single" w:sz="4" w:space="0" w:color="000000"/>
              <w:bottom w:val="single" w:sz="4" w:space="0" w:color="000000"/>
              <w:right w:val="single" w:sz="4" w:space="0" w:color="000000"/>
            </w:tcBorders>
            <w:shd w:val="clear" w:color="auto" w:fill="auto"/>
          </w:tcPr>
          <w:p w14:paraId="65A298B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A57FD" w14:textId="77777777" w:rsidR="00955A27" w:rsidRPr="001667DB" w:rsidRDefault="006D312E" w:rsidP="006D312E">
            <w:pPr>
              <w:spacing w:after="120" w:line="360" w:lineRule="auto"/>
              <w:ind w:right="72"/>
              <w:jc w:val="center"/>
              <w:rPr>
                <w:rFonts w:ascii="Times New Roman" w:hAnsi="Times New Roman" w:cs="Times New Roman"/>
                <w:color w:val="000000" w:themeColor="text1"/>
              </w:rPr>
            </w:pPr>
            <w:r>
              <w:rPr>
                <w:rFonts w:ascii="Times New Roman" w:hAnsi="Times New Roman" w:cs="Times New Roman"/>
                <w:color w:val="000000" w:themeColor="text1"/>
              </w:rPr>
              <w:t>KR1-2 , KR4</w:t>
            </w:r>
          </w:p>
        </w:tc>
      </w:tr>
      <w:tr w:rsidR="00955A27" w:rsidRPr="001667DB" w14:paraId="2A135C94" w14:textId="77777777" w:rsidTr="001B4B8F">
        <w:trPr>
          <w:trHeight w:val="463"/>
        </w:trPr>
        <w:tc>
          <w:tcPr>
            <w:tcW w:w="3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0E1A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lepiszcza rozpuszczalnego S - niedomiar </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CE03C"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w:t>
            </w:r>
          </w:p>
        </w:tc>
      </w:tr>
      <w:tr w:rsidR="00955A27" w:rsidRPr="001667DB" w14:paraId="05541DC0" w14:textId="77777777" w:rsidTr="001B4B8F">
        <w:trPr>
          <w:trHeight w:val="442"/>
        </w:trPr>
        <w:tc>
          <w:tcPr>
            <w:tcW w:w="3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35A2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lepiszcza rozpuszczalnego S - nadmiar </w:t>
            </w:r>
          </w:p>
        </w:tc>
        <w:tc>
          <w:tcPr>
            <w:tcW w:w="51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57EF4"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w:t>
            </w:r>
          </w:p>
        </w:tc>
      </w:tr>
    </w:tbl>
    <w:p w14:paraId="070610B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wielkości dopuszczalnych odchyłek dla wartości średniej  i dla pojedynczego wyniku w zakresie zawartości lepiszcza rozpuszczalnego należy postępować zgodnie z Instrukcją DP-T14 </w:t>
      </w:r>
      <w:r w:rsidRPr="001667DB">
        <w:rPr>
          <w:rFonts w:ascii="Times New Roman" w:hAnsi="Times New Roman" w:cs="Times New Roman"/>
          <w:i/>
          <w:color w:val="000000" w:themeColor="text1"/>
        </w:rPr>
        <w:t>Ocena jakości na drogach krajowych. Część I-Roboty drogowe. 2017</w:t>
      </w:r>
      <w:r w:rsidRPr="001667DB">
        <w:rPr>
          <w:rFonts w:ascii="Times New Roman" w:hAnsi="Times New Roman" w:cs="Times New Roman"/>
          <w:color w:val="000000" w:themeColor="text1"/>
        </w:rPr>
        <w:t xml:space="preserve">. </w:t>
      </w:r>
    </w:p>
    <w:p w14:paraId="0EBB03C9" w14:textId="77777777" w:rsidR="00955A27" w:rsidRPr="001667DB" w:rsidRDefault="00955A27" w:rsidP="00A9424D">
      <w:pPr>
        <w:pStyle w:val="Nagwek3"/>
      </w:pPr>
      <w:r w:rsidRPr="001667DB">
        <w:lastRenderedPageBreak/>
        <w:t>6.7.2.</w:t>
      </w:r>
      <w:r w:rsidRPr="001667DB">
        <w:rPr>
          <w:rFonts w:eastAsia="Arial"/>
        </w:rPr>
        <w:t xml:space="preserve"> </w:t>
      </w:r>
      <w:r w:rsidRPr="001667DB">
        <w:t xml:space="preserve">Uziarnienie mieszanki mineralnej </w:t>
      </w:r>
    </w:p>
    <w:p w14:paraId="378CF35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wykonaniu ekstrakcji lepiszcza należy przeprowadzić kontrolę uziarnienia mieszanki kruszywa mineralnego wg PN-EN 12697-2.  </w:t>
      </w:r>
    </w:p>
    <w:p w14:paraId="355F0DD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Jakości mieszanki mineralnej należy ocenić na podstawie: </w:t>
      </w:r>
    </w:p>
    <w:p w14:paraId="1AA3D445" w14:textId="77777777" w:rsidR="00955A27" w:rsidRPr="001667DB" w:rsidRDefault="00955A27" w:rsidP="00904E6C">
      <w:pPr>
        <w:numPr>
          <w:ilvl w:val="0"/>
          <w:numId w:val="16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wartości średniej (średnia arytmetyczna wszystkich wyników z całej drogi dla danego typu MMA i danej warstwy asfaltowej) z dokładnością do 0,1 % </w:t>
      </w:r>
    </w:p>
    <w:p w14:paraId="1A130DA5" w14:textId="77777777" w:rsidR="00955A27" w:rsidRPr="001667DB" w:rsidRDefault="00955A27" w:rsidP="00904E6C">
      <w:pPr>
        <w:numPr>
          <w:ilvl w:val="0"/>
          <w:numId w:val="168"/>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pojedynczego wyniku (próbki) z dokładnością do 0,1 % dla sita 0,063mm i z dokładnością do 1 % dla pozostałych sit. </w:t>
      </w:r>
    </w:p>
    <w:p w14:paraId="67FF3DB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Wyżej wymienione kryteria należy stosować jednocześnie</w:t>
      </w:r>
      <w:r w:rsidRPr="001667DB">
        <w:rPr>
          <w:rFonts w:ascii="Times New Roman" w:hAnsi="Times New Roman" w:cs="Times New Roman"/>
          <w:color w:val="000000" w:themeColor="text1"/>
        </w:rPr>
        <w:t xml:space="preserve"> (oba podlegają ocenie jakości MMA). </w:t>
      </w:r>
    </w:p>
    <w:p w14:paraId="45EFA05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Odchyłka jest to różnica wartości bezwzględnej pomiędzy procentową zawartością ziaren w wyekstrahowanej mieszance mineralnej uzyskaną z badań laboratoryjnych a procentową zawartością ziaren w mieszance mineralnej podaną w Badaniu Typu (%). </w:t>
      </w:r>
    </w:p>
    <w:p w14:paraId="14E659E2"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odchyłki w zakresie uziarnienia podano w tabeli 10. </w:t>
      </w:r>
    </w:p>
    <w:p w14:paraId="641302C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10. Dopuszczalne odchyłki w zakresie uziarnienia. </w:t>
      </w:r>
    </w:p>
    <w:tbl>
      <w:tblPr>
        <w:tblW w:w="8956" w:type="dxa"/>
        <w:tblInd w:w="125" w:type="dxa"/>
        <w:tblCellMar>
          <w:top w:w="174" w:type="dxa"/>
          <w:left w:w="115" w:type="dxa"/>
          <w:right w:w="55" w:type="dxa"/>
        </w:tblCellMar>
        <w:tblLook w:val="04A0" w:firstRow="1" w:lastRow="0" w:firstColumn="1" w:lastColumn="0" w:noHBand="0" w:noVBand="1"/>
      </w:tblPr>
      <w:tblGrid>
        <w:gridCol w:w="2287"/>
        <w:gridCol w:w="2189"/>
        <w:gridCol w:w="2168"/>
        <w:gridCol w:w="2312"/>
      </w:tblGrid>
      <w:tr w:rsidR="00955A27" w:rsidRPr="001667DB" w14:paraId="27446C45" w14:textId="77777777" w:rsidTr="001B4B8F">
        <w:trPr>
          <w:trHeight w:val="376"/>
        </w:trPr>
        <w:tc>
          <w:tcPr>
            <w:tcW w:w="2287"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85D5CD0" w14:textId="77777777" w:rsidR="00955A27" w:rsidRPr="001667DB" w:rsidRDefault="00955A27" w:rsidP="00955A27">
            <w:pPr>
              <w:spacing w:after="120" w:line="360" w:lineRule="auto"/>
              <w:ind w:left="9" w:righ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Przechodzi przez sito #, mm </w:t>
            </w:r>
          </w:p>
        </w:tc>
        <w:tc>
          <w:tcPr>
            <w:tcW w:w="4357" w:type="dxa"/>
            <w:gridSpan w:val="2"/>
            <w:tcBorders>
              <w:top w:val="single" w:sz="4" w:space="0" w:color="000000"/>
              <w:left w:val="single" w:sz="4" w:space="0" w:color="000000"/>
              <w:bottom w:val="single" w:sz="4" w:space="0" w:color="000000"/>
              <w:right w:val="single" w:sz="4" w:space="0" w:color="000000"/>
            </w:tcBorders>
            <w:shd w:val="clear" w:color="auto" w:fill="auto"/>
          </w:tcPr>
          <w:p w14:paraId="40BE61F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Odchyłki dopuszczalne dla pojedynczego wyniku, %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128BB" w14:textId="77777777" w:rsidR="00955A27" w:rsidRPr="001667DB" w:rsidRDefault="00955A27" w:rsidP="00955A27">
            <w:pPr>
              <w:spacing w:after="120" w:line="360" w:lineRule="auto"/>
              <w:ind w:firstLine="3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Odchyłki dopuszczalne dla wartości średniej, % </w:t>
            </w:r>
          </w:p>
        </w:tc>
      </w:tr>
      <w:tr w:rsidR="00955A27" w:rsidRPr="001667DB" w14:paraId="3A711DB2" w14:textId="77777777" w:rsidTr="001B4B8F">
        <w:trPr>
          <w:trHeight w:val="20"/>
        </w:trPr>
        <w:tc>
          <w:tcPr>
            <w:tcW w:w="0" w:type="auto"/>
            <w:vMerge/>
            <w:tcBorders>
              <w:top w:val="nil"/>
              <w:left w:val="single" w:sz="4" w:space="0" w:color="000000"/>
              <w:bottom w:val="single" w:sz="4" w:space="0" w:color="000000"/>
              <w:right w:val="single" w:sz="4" w:space="0" w:color="000000"/>
            </w:tcBorders>
            <w:shd w:val="clear" w:color="auto" w:fill="auto"/>
          </w:tcPr>
          <w:p w14:paraId="06FA60D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206C6" w14:textId="77777777" w:rsidR="00955A27" w:rsidRPr="001667DB" w:rsidRDefault="00955A27" w:rsidP="006D312E">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6D312E">
              <w:rPr>
                <w:rFonts w:ascii="Times New Roman" w:hAnsi="Times New Roman" w:cs="Times New Roman"/>
                <w:color w:val="000000" w:themeColor="text1"/>
              </w:rPr>
              <w:t>4</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ABEA3"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1-2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02B7D" w14:textId="77777777" w:rsidR="00955A27" w:rsidRPr="001667DB" w:rsidRDefault="00955A27" w:rsidP="006D312E">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KR 1-</w:t>
            </w:r>
            <w:r w:rsidR="006D312E">
              <w:rPr>
                <w:rFonts w:ascii="Times New Roman" w:hAnsi="Times New Roman" w:cs="Times New Roman"/>
                <w:color w:val="000000" w:themeColor="text1"/>
              </w:rPr>
              <w:t>2, KR4</w:t>
            </w:r>
            <w:r w:rsidRPr="001667DB">
              <w:rPr>
                <w:rFonts w:ascii="Times New Roman" w:hAnsi="Times New Roman" w:cs="Times New Roman"/>
                <w:color w:val="000000" w:themeColor="text1"/>
              </w:rPr>
              <w:t xml:space="preserve"> </w:t>
            </w:r>
          </w:p>
        </w:tc>
      </w:tr>
      <w:tr w:rsidR="00955A27" w:rsidRPr="001667DB" w14:paraId="3DCBA96B" w14:textId="77777777" w:rsidTr="001B4B8F">
        <w:trPr>
          <w:trHeight w:val="90"/>
        </w:trPr>
        <w:tc>
          <w:tcPr>
            <w:tcW w:w="22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13D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0,063 </w:t>
            </w:r>
          </w:p>
        </w:tc>
        <w:tc>
          <w:tcPr>
            <w:tcW w:w="2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F5208" w14:textId="77777777" w:rsidR="00955A27" w:rsidRPr="001667DB" w:rsidRDefault="00955A27" w:rsidP="00955A27">
            <w:pPr>
              <w:spacing w:after="120" w:line="360" w:lineRule="auto"/>
              <w:ind w:right="6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2,5 </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AF3D2"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3,0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87CE1"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1,5 </w:t>
            </w:r>
          </w:p>
        </w:tc>
      </w:tr>
      <w:tr w:rsidR="00955A27" w:rsidRPr="001667DB" w14:paraId="784AD24F" w14:textId="77777777" w:rsidTr="001B4B8F">
        <w:trPr>
          <w:trHeight w:val="31"/>
        </w:trPr>
        <w:tc>
          <w:tcPr>
            <w:tcW w:w="22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F3401"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0,125 </w:t>
            </w:r>
          </w:p>
        </w:tc>
        <w:tc>
          <w:tcPr>
            <w:tcW w:w="2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AE4CE"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86F86"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B6CD3"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2,0 </w:t>
            </w:r>
          </w:p>
        </w:tc>
      </w:tr>
      <w:tr w:rsidR="00955A27" w:rsidRPr="001667DB" w14:paraId="5B9ECD73" w14:textId="77777777" w:rsidTr="001B4B8F">
        <w:trPr>
          <w:trHeight w:val="31"/>
        </w:trPr>
        <w:tc>
          <w:tcPr>
            <w:tcW w:w="22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3240C"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2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ACA3D"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D2C86"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1EA85"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3,0 </w:t>
            </w:r>
          </w:p>
        </w:tc>
      </w:tr>
      <w:tr w:rsidR="00955A27" w:rsidRPr="001667DB" w14:paraId="3ADC65D0" w14:textId="77777777" w:rsidTr="001B4B8F">
        <w:trPr>
          <w:trHeight w:val="31"/>
        </w:trPr>
        <w:tc>
          <w:tcPr>
            <w:tcW w:w="22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CAC8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D/2 lub sito charakterystyczne </w:t>
            </w:r>
          </w:p>
        </w:tc>
        <w:tc>
          <w:tcPr>
            <w:tcW w:w="2189" w:type="dxa"/>
            <w:tcBorders>
              <w:top w:val="single" w:sz="4" w:space="0" w:color="000000"/>
              <w:left w:val="single" w:sz="4" w:space="0" w:color="000000"/>
              <w:bottom w:val="single" w:sz="4" w:space="0" w:color="000000"/>
              <w:right w:val="single" w:sz="4" w:space="0" w:color="000000"/>
            </w:tcBorders>
            <w:shd w:val="clear" w:color="auto" w:fill="auto"/>
          </w:tcPr>
          <w:p w14:paraId="10B30179"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2168" w:type="dxa"/>
            <w:tcBorders>
              <w:top w:val="single" w:sz="4" w:space="0" w:color="000000"/>
              <w:left w:val="single" w:sz="4" w:space="0" w:color="000000"/>
              <w:bottom w:val="single" w:sz="4" w:space="0" w:color="000000"/>
              <w:right w:val="single" w:sz="4" w:space="0" w:color="000000"/>
            </w:tcBorders>
            <w:shd w:val="clear" w:color="auto" w:fill="auto"/>
          </w:tcPr>
          <w:p w14:paraId="3E4C3761"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t>
            </w:r>
          </w:p>
        </w:tc>
        <w:tc>
          <w:tcPr>
            <w:tcW w:w="2312" w:type="dxa"/>
            <w:tcBorders>
              <w:top w:val="single" w:sz="4" w:space="0" w:color="000000"/>
              <w:left w:val="single" w:sz="4" w:space="0" w:color="000000"/>
              <w:bottom w:val="single" w:sz="4" w:space="0" w:color="000000"/>
              <w:right w:val="single" w:sz="4" w:space="0" w:color="000000"/>
            </w:tcBorders>
            <w:shd w:val="clear" w:color="auto" w:fill="auto"/>
          </w:tcPr>
          <w:p w14:paraId="0CF55577"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4,0 </w:t>
            </w:r>
          </w:p>
        </w:tc>
      </w:tr>
      <w:tr w:rsidR="00955A27" w:rsidRPr="001667DB" w14:paraId="524B266F" w14:textId="77777777" w:rsidTr="001B4B8F">
        <w:trPr>
          <w:trHeight w:val="31"/>
        </w:trPr>
        <w:tc>
          <w:tcPr>
            <w:tcW w:w="22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9D27"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 </w:t>
            </w:r>
          </w:p>
        </w:tc>
        <w:tc>
          <w:tcPr>
            <w:tcW w:w="21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BAAAC"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F6998"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 </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2AF48"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w:t>
            </w:r>
          </w:p>
        </w:tc>
      </w:tr>
    </w:tbl>
    <w:p w14:paraId="280E62E4"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dotyczące udziału kruszywa grubego, drobnego i wypełniacza powinny być spełnione jednocześnie. </w:t>
      </w:r>
    </w:p>
    <w:p w14:paraId="4AF4944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wielkości dopuszczalnych odchyłek dla wartości średniej  w zakresie uziarnienia należy postępować zgodnie z Instrukcją DP-T14 </w:t>
      </w:r>
      <w:r w:rsidRPr="001667DB">
        <w:rPr>
          <w:rFonts w:ascii="Times New Roman" w:hAnsi="Times New Roman" w:cs="Times New Roman"/>
          <w:i/>
          <w:color w:val="000000" w:themeColor="text1"/>
        </w:rPr>
        <w:t xml:space="preserve">Ocena jakości na drogach krajowych. Część I-Roboty drogowe. 2017. </w:t>
      </w:r>
    </w:p>
    <w:p w14:paraId="23E849C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Dla kryterium dotyczącego pojedynczego wyniku nie stosuje się potrąceń – należy je spełnić wg wyżej wymienionych wymagań. </w:t>
      </w:r>
    </w:p>
    <w:p w14:paraId="2162E156" w14:textId="77777777" w:rsidR="00955A27" w:rsidRPr="001667DB" w:rsidRDefault="00955A27" w:rsidP="00A9424D">
      <w:pPr>
        <w:pStyle w:val="Nagwek3"/>
      </w:pPr>
      <w:r w:rsidRPr="001667DB">
        <w:t>6.7.3.</w:t>
      </w:r>
      <w:r w:rsidRPr="001667DB">
        <w:rPr>
          <w:rFonts w:eastAsia="Arial"/>
        </w:rPr>
        <w:t xml:space="preserve"> </w:t>
      </w:r>
      <w:r w:rsidRPr="001667DB">
        <w:t xml:space="preserve">Zawartość wolnych przestrzeni w mieszance MMA </w:t>
      </w:r>
    </w:p>
    <w:p w14:paraId="696B60C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wolnych przestrzeni w próbkach Marshalla oblicza się zgodnie z PN-EN 126978. Zawartość wolnych przestrzeni nie może przekroczyć wartości podanych w WT-2 2014 Tabela 12, 13 i 14 w zależności od kategorii ruchu. </w:t>
      </w:r>
    </w:p>
    <w:p w14:paraId="576BB503" w14:textId="77777777" w:rsidR="00955A27" w:rsidRPr="001667DB" w:rsidRDefault="00955A27" w:rsidP="00A9424D">
      <w:pPr>
        <w:pStyle w:val="Nagwek3"/>
      </w:pPr>
      <w:r w:rsidRPr="001667DB">
        <w:t>6.7.4.</w:t>
      </w:r>
      <w:r w:rsidRPr="001667DB">
        <w:rPr>
          <w:rFonts w:eastAsia="Arial"/>
        </w:rPr>
        <w:t xml:space="preserve"> </w:t>
      </w:r>
      <w:r w:rsidRPr="001667DB">
        <w:t xml:space="preserve">Pomiar grubości warstwy wg PN-EN 12697-36 </w:t>
      </w:r>
    </w:p>
    <w:p w14:paraId="5A0C195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Grubości wykonanej warstwy należy określać na wyciętych próbkach (nie wycinać próbek na obiektach mostowych wiertnicą mechaniczną) lub metodą elektromagnetyczną z częstotliwością określoną w tab. 7. Sposób oceny grubości warstwy i pakietu warstw należy dokonać zgodnie  WT-2 2016 – część II pkt 8.2 i Instrukcją DP-T14 pkt. 2.3.</w:t>
      </w:r>
    </w:p>
    <w:p w14:paraId="1D34217A"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Grubości warstwy należy ocenić na podstawie wielkości odchyłki obliczonej dla: </w:t>
      </w:r>
    </w:p>
    <w:p w14:paraId="73F5121E" w14:textId="77777777" w:rsidR="00955A27" w:rsidRPr="001667DB" w:rsidRDefault="00955A27" w:rsidP="00904E6C">
      <w:pPr>
        <w:numPr>
          <w:ilvl w:val="0"/>
          <w:numId w:val="16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pojedynczego wyniku pomiaru grubości warstwy i pakietu warstw asfaltowych, </w:t>
      </w:r>
    </w:p>
    <w:p w14:paraId="1BC51012" w14:textId="77777777" w:rsidR="00955A27" w:rsidRPr="001667DB" w:rsidRDefault="00955A27" w:rsidP="00904E6C">
      <w:pPr>
        <w:numPr>
          <w:ilvl w:val="0"/>
          <w:numId w:val="16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wartości średniej ze wszystkich pomiarów grubości danej warstwy i wartości średniej pomiarów pakietu warstw asfaltowych. </w:t>
      </w:r>
    </w:p>
    <w:p w14:paraId="7206501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w zakresie grubości danej warstwy lub pakietu warstw z mieszanek mineralnoasfaltowych jest to procentowe </w:t>
      </w:r>
      <w:r w:rsidRPr="001667DB">
        <w:rPr>
          <w:rFonts w:ascii="Times New Roman" w:hAnsi="Times New Roman" w:cs="Times New Roman"/>
          <w:b/>
          <w:color w:val="000000" w:themeColor="text1"/>
        </w:rPr>
        <w:t>przekroczenie w dół</w:t>
      </w:r>
      <w:r w:rsidRPr="001667DB">
        <w:rPr>
          <w:rFonts w:ascii="Times New Roman" w:hAnsi="Times New Roman" w:cs="Times New Roman"/>
          <w:color w:val="000000" w:themeColor="text1"/>
        </w:rPr>
        <w:t xml:space="preserve"> projektowanej grubości warstwy lub pakietu i obliczona wg pkt 2.3. Instrukcji DP-T14 2017 – część I z dokładnością do 1%. </w:t>
      </w:r>
    </w:p>
    <w:p w14:paraId="773B5C1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Tolerancja dla pojedynczego wyniku w zakresie: </w:t>
      </w:r>
    </w:p>
    <w:p w14:paraId="3B49DC1E" w14:textId="77777777" w:rsidR="00955A27" w:rsidRPr="001667DB" w:rsidRDefault="00955A27" w:rsidP="00904E6C">
      <w:pPr>
        <w:numPr>
          <w:ilvl w:val="0"/>
          <w:numId w:val="16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grubości warstwy może wynosić 1÷10% grubości projektowanej. </w:t>
      </w:r>
    </w:p>
    <w:p w14:paraId="1B8E300F" w14:textId="77777777" w:rsidR="00955A27" w:rsidRPr="001667DB" w:rsidRDefault="00955A27" w:rsidP="00904E6C">
      <w:pPr>
        <w:numPr>
          <w:ilvl w:val="0"/>
          <w:numId w:val="169"/>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pakietu wszystkich warstw asfaltowych wynosi 0÷10% grubości projektowanej, lecz nie więcej niż 1 cm. </w:t>
      </w:r>
    </w:p>
    <w:p w14:paraId="38D67C0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Wartość średnia ze wszystkich pomiarów grubości danej warstwy lub pakietu warstw powinna być równa bądź większa w stosunku do grubości przyjętej w projekcie konstrukcji nawierzchni. </w:t>
      </w:r>
    </w:p>
    <w:p w14:paraId="1760E47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wartości dopuszczalnych w zakresie grubości należy postępować zgodnie z Instrukcją DP-T 14. </w:t>
      </w:r>
    </w:p>
    <w:p w14:paraId="7B28C353" w14:textId="77777777" w:rsidR="00955A27" w:rsidRPr="001667DB" w:rsidRDefault="00955A27" w:rsidP="00A9424D">
      <w:pPr>
        <w:pStyle w:val="Nagwek3"/>
      </w:pPr>
      <w:r w:rsidRPr="001667DB">
        <w:t>6.7.5.</w:t>
      </w:r>
      <w:r w:rsidRPr="001667DB">
        <w:rPr>
          <w:rFonts w:eastAsia="Arial"/>
        </w:rPr>
        <w:t xml:space="preserve"> </w:t>
      </w:r>
      <w:r w:rsidRPr="001667DB">
        <w:t xml:space="preserve">Wskaźnik zagęszczenia warstwy wg PN-EN 13108-20 załącznik C4 </w:t>
      </w:r>
    </w:p>
    <w:p w14:paraId="65DA462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Wskaźnik zagęszczenia warstwy należy sprawdzać na próbkach wyciętych z zagęszczonej warstwy z częstością podaną w pkt. 6.2. tab. 7. Wskaźnik zagęszczenia nie może być niższy niż 98,0%. Dopuszcza się za zgodą Inżyniera/Inspektora Nadzoru badania zagęszczenia warstwy metodami izotopowymi (zamiennie do cięcia próbek). Metodą referencyjną jest badanie na próbkach wyciętych z zagęszczonej warstwy. Wykonawca wytnie próbki na każde życzenie Inżyniera/Inspektora Nadzoru w miejscach wątpliwych przez niego wskazanych. </w:t>
      </w:r>
    </w:p>
    <w:p w14:paraId="01C241E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 przypadku jeśli wskaźnik zagęszczenia jest niższy niż 98,0% należy postępować zgodnie z Instrukcją DP-T14 Ocena jakości na drogach krajowych. Część I - Roboty drogowe. 2017. </w:t>
      </w:r>
    </w:p>
    <w:p w14:paraId="146603F2"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6.7.6.</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Wolna przestrzeń w zagęszczonej warstwie wg PN-EN 12697-8. </w:t>
      </w:r>
    </w:p>
    <w:p w14:paraId="28B21F0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obliczenia wolnej przestrzeni w warstwie należy przyjmować gęstość mieszanki mineralno asfaltowej oznaczonej w dniu wykonywania kontrolowanej działki roboczej. Zawartość wolnej przestrzeni w warstwie powinna mieścić się w granicach dla: KR 1-2 2,07,0%, Zawartość wolnej przestrzeni w warstwie należy sprawdzać z częstością podaną w pkt. 6.2. tab. 7. </w:t>
      </w:r>
    </w:p>
    <w:p w14:paraId="545D1E4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6.7.7.</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Wytrzymałość na ścinanie połączeń międzywarstwowych. </w:t>
      </w:r>
    </w:p>
    <w:p w14:paraId="135FF96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sczepności międzywarstwowej należy wykonać wg metody Leutnera na próbkach Ø 150±2mm lub Ø 100±2mm zgodnie z „Instrukcją laboratoryjnego badania sczepności międzywarstwowej warstw asfaltowych wg metody Leutnera i wymagania techniczne sczepności. 2014”. Wymagana wartość dla połączenia wiążąca – podbudowa wynosi nie mniej niż 0,7 MPa – kryterium należy spełnić. Dopuszcza się też inne sprawdzone metody badania sczepności, przy czym metodą referencyjną jest metoda Leutnera na próbkach Ø 150±2mm. </w:t>
      </w:r>
    </w:p>
    <w:p w14:paraId="63F02D0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sczepności międzywarstwowej należy sprawdzać zgodnie z częstością podaną w pkt. 6.2. tab.7. </w:t>
      </w:r>
    </w:p>
    <w:p w14:paraId="0FFB3C82"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6.7.8.</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Temperatura mięknienia lepiszcza odzyskanego. </w:t>
      </w:r>
    </w:p>
    <w:p w14:paraId="344D031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dla temperatury mięknienia lepiszcza odzyskanego zgodnie z pkt. 8.1.1. WT-2 2016 – część II. Dla lepiszcza wyekstrahowanego należy kontrolować następujące właściwości: </w:t>
      </w:r>
    </w:p>
    <w:p w14:paraId="097C8E95" w14:textId="77777777" w:rsidR="00955A27" w:rsidRPr="001667DB" w:rsidRDefault="00955A27" w:rsidP="00904E6C">
      <w:pPr>
        <w:numPr>
          <w:ilvl w:val="0"/>
          <w:numId w:val="170"/>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temperaturę mięknienia, </w:t>
      </w:r>
    </w:p>
    <w:p w14:paraId="0A769BF6" w14:textId="77777777" w:rsidR="00955A27" w:rsidRPr="001667DB" w:rsidRDefault="00955A27" w:rsidP="00904E6C">
      <w:pPr>
        <w:numPr>
          <w:ilvl w:val="0"/>
          <w:numId w:val="170"/>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 dot. polimeroasfaltów. </w:t>
      </w:r>
    </w:p>
    <w:p w14:paraId="0349D7D4"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6.8.</w:t>
      </w:r>
      <w:r w:rsidRPr="001667DB">
        <w:rPr>
          <w:rFonts w:eastAsia="Arial"/>
          <w:color w:val="000000" w:themeColor="text1"/>
          <w:sz w:val="22"/>
          <w:szCs w:val="22"/>
        </w:rPr>
        <w:t xml:space="preserve"> </w:t>
      </w:r>
      <w:r w:rsidRPr="001667DB">
        <w:rPr>
          <w:color w:val="000000" w:themeColor="text1"/>
          <w:sz w:val="22"/>
          <w:szCs w:val="22"/>
        </w:rPr>
        <w:t xml:space="preserve">Badania i pomiary cech geometrycznych warstwy z MMA </w:t>
      </w:r>
    </w:p>
    <w:p w14:paraId="42E9A0FB"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6.8.1.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Częstość oraz zakres badań i pomiarów </w:t>
      </w:r>
    </w:p>
    <w:p w14:paraId="17D1832C" w14:textId="77777777" w:rsidR="00955A27" w:rsidRPr="001667DB" w:rsidRDefault="00955A27" w:rsidP="006D312E">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Częstość oraz zakres badań i pomiarów podano na warstw</w:t>
      </w:r>
      <w:r w:rsidR="006D312E">
        <w:rPr>
          <w:rFonts w:ascii="Times New Roman" w:hAnsi="Times New Roman" w:cs="Times New Roman"/>
          <w:color w:val="000000" w:themeColor="text1"/>
        </w:rPr>
        <w:t xml:space="preserve">ie wiążącej podano w tabeli 7. </w:t>
      </w:r>
    </w:p>
    <w:p w14:paraId="5BA1EC20" w14:textId="77777777" w:rsidR="00955A27" w:rsidRPr="001667DB" w:rsidRDefault="00955A27" w:rsidP="00A9424D">
      <w:pPr>
        <w:pStyle w:val="Nagwek3"/>
      </w:pPr>
      <w:r w:rsidRPr="001667DB">
        <w:t>6.8.2.</w:t>
      </w:r>
      <w:r w:rsidRPr="001667DB">
        <w:rPr>
          <w:rFonts w:eastAsia="Arial"/>
        </w:rPr>
        <w:t xml:space="preserve"> </w:t>
      </w:r>
      <w:r w:rsidRPr="001667DB">
        <w:t xml:space="preserve">Szerokość warstwy </w:t>
      </w:r>
    </w:p>
    <w:p w14:paraId="6DEC69DA" w14:textId="77777777" w:rsidR="00955A27" w:rsidRDefault="00955A27" w:rsidP="00A9424D">
      <w:pPr>
        <w:spacing w:after="120" w:line="360" w:lineRule="auto"/>
        <w:ind w:left="5" w:hanging="11"/>
        <w:jc w:val="both"/>
        <w:rPr>
          <w:rFonts w:ascii="Times New Roman" w:hAnsi="Times New Roman" w:cs="Times New Roman"/>
          <w:color w:val="000000" w:themeColor="text1"/>
          <w:vertAlign w:val="subscript"/>
        </w:rPr>
      </w:pPr>
      <w:r w:rsidRPr="001667DB">
        <w:rPr>
          <w:rFonts w:ascii="Times New Roman" w:hAnsi="Times New Roman" w:cs="Times New Roman"/>
          <w:color w:val="000000" w:themeColor="text1"/>
        </w:rPr>
        <w:t>Szerokość wykonanej warstwy powinna być zgodna z szerokością projektowaną z tolerancją +5cm. Wymaga się, aby co najmniej 95% wykonanych pomiarów nie przekraczało dopuszczalnego odchylenia. 100% wykonanych pomiarów szerokości wykonanej warstwy powinna być zgodna z szerokością projektowaną z tolerancją + 7 cm.</w:t>
      </w:r>
      <w:r w:rsidRPr="001667DB">
        <w:rPr>
          <w:rFonts w:ascii="Times New Roman" w:hAnsi="Times New Roman" w:cs="Times New Roman"/>
          <w:color w:val="000000" w:themeColor="text1"/>
          <w:vertAlign w:val="subscript"/>
        </w:rPr>
        <w:t xml:space="preserve"> </w:t>
      </w:r>
    </w:p>
    <w:p w14:paraId="21A5D56C" w14:textId="77777777" w:rsidR="006D312E" w:rsidRDefault="006D312E" w:rsidP="00A9424D">
      <w:pPr>
        <w:spacing w:after="120" w:line="360" w:lineRule="auto"/>
        <w:ind w:left="5" w:hanging="11"/>
        <w:jc w:val="both"/>
        <w:rPr>
          <w:rFonts w:ascii="Times New Roman" w:hAnsi="Times New Roman" w:cs="Times New Roman"/>
          <w:color w:val="000000" w:themeColor="text1"/>
          <w:vertAlign w:val="subscript"/>
        </w:rPr>
      </w:pPr>
    </w:p>
    <w:p w14:paraId="71F94235" w14:textId="77777777" w:rsidR="006D312E" w:rsidRDefault="006D312E" w:rsidP="00A9424D">
      <w:pPr>
        <w:spacing w:after="120" w:line="360" w:lineRule="auto"/>
        <w:ind w:left="5" w:hanging="11"/>
        <w:jc w:val="both"/>
        <w:rPr>
          <w:rFonts w:ascii="Times New Roman" w:hAnsi="Times New Roman" w:cs="Times New Roman"/>
          <w:color w:val="000000" w:themeColor="text1"/>
          <w:vertAlign w:val="subscript"/>
        </w:rPr>
      </w:pPr>
    </w:p>
    <w:p w14:paraId="026DF161" w14:textId="77777777" w:rsidR="006D312E" w:rsidRPr="001667DB" w:rsidRDefault="006D312E" w:rsidP="00A9424D">
      <w:pPr>
        <w:spacing w:after="120" w:line="360" w:lineRule="auto"/>
        <w:ind w:left="5" w:hanging="11"/>
        <w:jc w:val="both"/>
        <w:rPr>
          <w:rFonts w:ascii="Times New Roman" w:hAnsi="Times New Roman" w:cs="Times New Roman"/>
          <w:color w:val="000000" w:themeColor="text1"/>
          <w:vertAlign w:val="subscript"/>
        </w:rPr>
      </w:pPr>
    </w:p>
    <w:p w14:paraId="4ED1CF1C" w14:textId="77777777" w:rsidR="00955A27" w:rsidRPr="001667DB" w:rsidRDefault="00955A27" w:rsidP="00A9424D">
      <w:pPr>
        <w:spacing w:after="120" w:line="360" w:lineRule="auto"/>
        <w:ind w:left="7" w:right="2261"/>
        <w:jc w:val="both"/>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6.8.3.</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Równość podłużna i poprzeczna warstwy wiążącej </w:t>
      </w:r>
    </w:p>
    <w:p w14:paraId="620339D7" w14:textId="77777777" w:rsidR="00955A27" w:rsidRPr="001667DB" w:rsidRDefault="00955A27" w:rsidP="00A9424D">
      <w:pPr>
        <w:spacing w:after="120" w:line="360" w:lineRule="auto"/>
        <w:ind w:left="7" w:right="2261"/>
        <w:jc w:val="both"/>
        <w:rPr>
          <w:rFonts w:ascii="Times New Roman" w:hAnsi="Times New Roman" w:cs="Times New Roman"/>
          <w:b/>
          <w:color w:val="000000" w:themeColor="text1"/>
        </w:rPr>
      </w:pPr>
    </w:p>
    <w:p w14:paraId="30CEE7B0" w14:textId="77777777" w:rsidR="00955A27" w:rsidRPr="001667DB" w:rsidRDefault="00955A27" w:rsidP="00A9424D">
      <w:pPr>
        <w:spacing w:after="120" w:line="360" w:lineRule="auto"/>
        <w:ind w:left="7" w:right="2261"/>
        <w:jc w:val="both"/>
        <w:rPr>
          <w:rFonts w:ascii="Times New Roman" w:hAnsi="Times New Roman" w:cs="Times New Roman"/>
          <w:color w:val="000000" w:themeColor="text1"/>
        </w:rPr>
      </w:pPr>
      <w:r w:rsidRPr="001667DB">
        <w:rPr>
          <w:rFonts w:ascii="Times New Roman" w:hAnsi="Times New Roman" w:cs="Times New Roman"/>
          <w:b/>
          <w:color w:val="000000" w:themeColor="text1"/>
        </w:rPr>
        <w:t>A.</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Ocena równości podłużnej warstwy wiążącej. </w:t>
      </w:r>
    </w:p>
    <w:p w14:paraId="0C9B2B13"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podłużnej warstwy wiążącej nawierzchni dróg wszystkich klas technicznych, należy stosować metodę pomiaru ciągłego równoważną użyciu łaty i klina z wykorzystaniem planografu, umożliwiającego wyznaczanie odchyleń równości podłużnej jako największej odległości (prześwitu) pomiędzy teoretyczną linią łączącą spody kółek jezdnych urządzenia a mierzoną powierzchnią warstwy [mm].</w:t>
      </w:r>
    </w:p>
    <w:p w14:paraId="37D02D1A"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miejscach niedostępnych dla planografu pomiar równości podłużnej warstwy wiążącej nawierzchni należy wykonać w sposób ciągły z użyciem łaty i klina. Długość łaty w pomiarze równości podłużnej powinna wynosić 4 m. </w:t>
      </w:r>
    </w:p>
    <w:p w14:paraId="485F16EF"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Wymagana równość podłużna jest określona przez maksymalne dopuszczalne wartości odchyleń dla warstwy wiążącej zostały podane w tabeli 11. </w:t>
      </w:r>
    </w:p>
    <w:p w14:paraId="02FFBC86"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Tabela 11. Dopuszczalne wartości odchyleń dla warstwy wiążącej</w:t>
      </w:r>
    </w:p>
    <w:tbl>
      <w:tblPr>
        <w:tblW w:w="8956" w:type="dxa"/>
        <w:tblInd w:w="125" w:type="dxa"/>
        <w:tblCellMar>
          <w:left w:w="115" w:type="dxa"/>
          <w:right w:w="40" w:type="dxa"/>
        </w:tblCellMar>
        <w:tblLook w:val="04A0" w:firstRow="1" w:lastRow="0" w:firstColumn="1" w:lastColumn="0" w:noHBand="0" w:noVBand="1"/>
      </w:tblPr>
      <w:tblGrid>
        <w:gridCol w:w="2117"/>
        <w:gridCol w:w="3867"/>
        <w:gridCol w:w="2972"/>
      </w:tblGrid>
      <w:tr w:rsidR="00955A27" w:rsidRPr="001667DB" w14:paraId="2A1AD092" w14:textId="77777777" w:rsidTr="001B4B8F">
        <w:trPr>
          <w:trHeight w:val="469"/>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01129" w14:textId="77777777" w:rsidR="00955A27" w:rsidRPr="001667DB" w:rsidRDefault="00955A27" w:rsidP="00955A27">
            <w:pPr>
              <w:spacing w:after="120" w:line="360" w:lineRule="auto"/>
              <w:ind w:right="7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3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F1961"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Element nawierzchni </w:t>
            </w:r>
          </w:p>
        </w:tc>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D73A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wartości odchyleń równości podłużnej warstwy wiążącej [mm] </w:t>
            </w:r>
          </w:p>
        </w:tc>
      </w:tr>
      <w:tr w:rsidR="00955A27" w:rsidRPr="001667DB" w14:paraId="4B09640A" w14:textId="77777777" w:rsidTr="001B4B8F">
        <w:trPr>
          <w:trHeight w:val="862"/>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03107" w14:textId="77777777" w:rsidR="00955A27" w:rsidRPr="001667DB" w:rsidRDefault="00955A27" w:rsidP="00955A27">
            <w:pPr>
              <w:spacing w:after="120" w:line="360" w:lineRule="auto"/>
              <w:ind w:right="80"/>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p>
        </w:tc>
        <w:tc>
          <w:tcPr>
            <w:tcW w:w="38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25B80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dodatkowe, włączenia i wyłączenia, postojowe, </w:t>
            </w:r>
          </w:p>
        </w:tc>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1C042" w14:textId="77777777" w:rsidR="00955A27" w:rsidRPr="001667DB" w:rsidRDefault="00955A27" w:rsidP="00955A27">
            <w:pPr>
              <w:spacing w:after="120" w:line="360" w:lineRule="auto"/>
              <w:ind w:right="7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9 </w:t>
            </w:r>
          </w:p>
        </w:tc>
      </w:tr>
      <w:tr w:rsidR="00955A27" w:rsidRPr="001667DB" w14:paraId="0731B665" w14:textId="77777777" w:rsidTr="001B4B8F">
        <w:trPr>
          <w:trHeight w:val="979"/>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B916" w14:textId="77777777" w:rsidR="00955A27" w:rsidRPr="001667DB" w:rsidRDefault="00955A27" w:rsidP="00955A27">
            <w:pPr>
              <w:spacing w:after="120" w:line="360" w:lineRule="auto"/>
              <w:ind w:right="80"/>
              <w:jc w:val="center"/>
              <w:rPr>
                <w:rFonts w:ascii="Times New Roman" w:hAnsi="Times New Roman" w:cs="Times New Roman"/>
                <w:color w:val="000000" w:themeColor="text1"/>
              </w:rPr>
            </w:pPr>
            <w:r w:rsidRPr="001667DB">
              <w:rPr>
                <w:rFonts w:ascii="Times New Roman" w:hAnsi="Times New Roman" w:cs="Times New Roman"/>
                <w:color w:val="000000" w:themeColor="text1"/>
              </w:rPr>
              <w:t>ścieżki, chodniki</w:t>
            </w:r>
          </w:p>
        </w:tc>
        <w:tc>
          <w:tcPr>
            <w:tcW w:w="3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C5896" w14:textId="77777777" w:rsidR="00955A27" w:rsidRPr="001667DB" w:rsidRDefault="00955A27" w:rsidP="00955A27">
            <w:pPr>
              <w:spacing w:after="120" w:line="360" w:lineRule="auto"/>
              <w:ind w:firstLine="1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pasy ruchu i powierzchnie przeznaczone do ruchu i postoju pojazdów </w:t>
            </w:r>
          </w:p>
        </w:tc>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F32EE"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12 </w:t>
            </w:r>
          </w:p>
        </w:tc>
      </w:tr>
    </w:tbl>
    <w:p w14:paraId="192F03AE" w14:textId="77777777" w:rsidR="00955A27" w:rsidRPr="001667DB" w:rsidRDefault="00955A27" w:rsidP="00955A27">
      <w:pPr>
        <w:spacing w:after="120" w:line="360" w:lineRule="auto"/>
        <w:ind w:left="12"/>
        <w:rPr>
          <w:rFonts w:ascii="Times New Roman" w:hAnsi="Times New Roman" w:cs="Times New Roman"/>
          <w:color w:val="000000" w:themeColor="text1"/>
        </w:rPr>
      </w:pPr>
    </w:p>
    <w:p w14:paraId="3BACEC86" w14:textId="77777777" w:rsidR="00955A27" w:rsidRPr="00326BBF" w:rsidRDefault="00955A27" w:rsidP="00A9424D">
      <w:pPr>
        <w:pStyle w:val="Nagwek1"/>
        <w:spacing w:line="360" w:lineRule="auto"/>
        <w:ind w:left="7"/>
        <w:jc w:val="both"/>
        <w:rPr>
          <w:color w:val="000000" w:themeColor="text1"/>
          <w:sz w:val="22"/>
          <w:szCs w:val="22"/>
          <w:lang w:val="pl-PL"/>
        </w:rPr>
      </w:pPr>
      <w:r w:rsidRPr="00326BBF">
        <w:rPr>
          <w:color w:val="000000" w:themeColor="text1"/>
          <w:sz w:val="22"/>
          <w:szCs w:val="22"/>
          <w:lang w:val="pl-PL"/>
        </w:rPr>
        <w:t xml:space="preserve">Pomiar równości podłużnej nawierzchni metodą łaty i klina </w:t>
      </w:r>
    </w:p>
    <w:p w14:paraId="73FAA100"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równości podłużnej warstw nawierzchni z użyciem łaty (o długości 4 m) i klina należy wykonywać jedynie w miejscach niedostępnych dla sprzętu pomiarowego (stanowiska postojowe, zatoki autobusowe itp.). Pomiary równości podłużnej z wykorzystaniem łaty i klina należy wykonywać w osi podłużnej elementu drogi/pasa ruchu, w płaszczyźnie prostopadłej do powierzchni badanej warstwy. Pomiar należy wykonywać w sposób ciągły (początek każdego pomiaru łatą w miejscu zakończenia poprzedniego pomiaru). Klin należy podkładać pod łatę w miejscu, w którym prześwit jest największy (największe odchylenie równości). Wielkość prześwitu jest równa najmniejszej liczbie widocznej na klinie podłożonym pod łatę. Zasady oceny wyników pomiaru jak w tabeli 11. </w:t>
      </w:r>
    </w:p>
    <w:p w14:paraId="70FF7269" w14:textId="77777777" w:rsidR="00955A27" w:rsidRPr="00326BBF" w:rsidRDefault="00955A27" w:rsidP="00A9424D">
      <w:pPr>
        <w:pStyle w:val="Nagwek1"/>
        <w:spacing w:line="360" w:lineRule="auto"/>
        <w:ind w:left="7"/>
        <w:jc w:val="both"/>
        <w:rPr>
          <w:color w:val="000000" w:themeColor="text1"/>
          <w:sz w:val="22"/>
          <w:szCs w:val="22"/>
          <w:lang w:val="pl-PL"/>
        </w:rPr>
      </w:pPr>
      <w:r w:rsidRPr="00326BBF">
        <w:rPr>
          <w:color w:val="000000" w:themeColor="text1"/>
          <w:sz w:val="22"/>
          <w:szCs w:val="22"/>
          <w:lang w:val="pl-PL"/>
        </w:rPr>
        <w:lastRenderedPageBreak/>
        <w:t>B.</w:t>
      </w:r>
      <w:r w:rsidRPr="00326BBF">
        <w:rPr>
          <w:rFonts w:eastAsia="Arial"/>
          <w:color w:val="000000" w:themeColor="text1"/>
          <w:sz w:val="22"/>
          <w:szCs w:val="22"/>
          <w:lang w:val="pl-PL"/>
        </w:rPr>
        <w:t xml:space="preserve"> </w:t>
      </w:r>
      <w:r w:rsidRPr="00326BBF">
        <w:rPr>
          <w:color w:val="000000" w:themeColor="text1"/>
          <w:sz w:val="22"/>
          <w:szCs w:val="22"/>
          <w:lang w:val="pl-PL"/>
        </w:rPr>
        <w:t xml:space="preserve">Pomiar równości poprzecznej warstwy wiążącej </w:t>
      </w:r>
    </w:p>
    <w:p w14:paraId="12D51843"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równości poprzecznej warstw nawierzchni dróg wszystkich klas technicznych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w:t>
      </w:r>
    </w:p>
    <w:p w14:paraId="14108E65"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Efektywna szerokość pomiarowa jest równa szerokości mierzonego pasa (elementu) nawierzchni z tolerancją ±15%. Wartość odchylenia równości poprzecznej należy wyznaczać z krokiem co 1 m. </w:t>
      </w:r>
    </w:p>
    <w:p w14:paraId="5A337A2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miejscach niedostępnych dla profilografu pomiar równości porzecznej warstwy wiążącej nawierzchni należy wykonać z użyciem łaty i klina. Długość łaty w pomiarze równości poprzecznej powinna wynosić 2 m, Pomiar powinien być wykonany nie rzadziej niż co 5 m. </w:t>
      </w:r>
    </w:p>
    <w:p w14:paraId="03E3071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wartości odchyleń zostały podane w tabeli 12. </w:t>
      </w:r>
    </w:p>
    <w:p w14:paraId="3794933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12. Dopuszczalne wartości odchyleń dla warstwy wiążącej  </w:t>
      </w:r>
    </w:p>
    <w:tbl>
      <w:tblPr>
        <w:tblW w:w="8956" w:type="dxa"/>
        <w:tblInd w:w="125" w:type="dxa"/>
        <w:tblCellMar>
          <w:left w:w="115" w:type="dxa"/>
          <w:right w:w="40" w:type="dxa"/>
        </w:tblCellMar>
        <w:tblLook w:val="04A0" w:firstRow="1" w:lastRow="0" w:firstColumn="1" w:lastColumn="0" w:noHBand="0" w:noVBand="1"/>
      </w:tblPr>
      <w:tblGrid>
        <w:gridCol w:w="2117"/>
        <w:gridCol w:w="4252"/>
        <w:gridCol w:w="2587"/>
      </w:tblGrid>
      <w:tr w:rsidR="00955A27" w:rsidRPr="001667DB" w14:paraId="213AE568" w14:textId="77777777" w:rsidTr="001B4B8F">
        <w:trPr>
          <w:trHeight w:val="300"/>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F865B"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42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23CCE"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Element nawierzchni </w:t>
            </w:r>
          </w:p>
        </w:tc>
        <w:tc>
          <w:tcPr>
            <w:tcW w:w="2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38C5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wartości odchyleń równości poprzecznej warstwy wiążącej [mm] </w:t>
            </w:r>
          </w:p>
        </w:tc>
      </w:tr>
      <w:tr w:rsidR="00955A27" w:rsidRPr="001667DB" w14:paraId="4E5EA531" w14:textId="77777777" w:rsidTr="001B4B8F">
        <w:trPr>
          <w:trHeight w:val="70"/>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F827F" w14:textId="77777777" w:rsidR="00955A27" w:rsidRPr="001667DB" w:rsidRDefault="00955A27" w:rsidP="00955A27">
            <w:pPr>
              <w:spacing w:after="120" w:line="360" w:lineRule="auto"/>
              <w:ind w:right="81"/>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p>
        </w:tc>
        <w:tc>
          <w:tcPr>
            <w:tcW w:w="42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E396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dodatkowe, włączenia i wyłączenia, postojowe, jezdnie łącznic, utwardzone pobocza </w:t>
            </w:r>
          </w:p>
        </w:tc>
        <w:tc>
          <w:tcPr>
            <w:tcW w:w="2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DC4AB" w14:textId="77777777" w:rsidR="00955A27" w:rsidRPr="001667DB" w:rsidRDefault="00955A27" w:rsidP="00955A27">
            <w:pPr>
              <w:spacing w:after="120" w:line="360" w:lineRule="auto"/>
              <w:ind w:right="7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9 </w:t>
            </w:r>
          </w:p>
        </w:tc>
      </w:tr>
      <w:tr w:rsidR="00955A27" w:rsidRPr="001667DB" w14:paraId="75DBE06F" w14:textId="77777777" w:rsidTr="001B4B8F">
        <w:trPr>
          <w:trHeight w:val="73"/>
        </w:trPr>
        <w:tc>
          <w:tcPr>
            <w:tcW w:w="2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4372C" w14:textId="77777777" w:rsidR="00955A27" w:rsidRPr="001667DB" w:rsidRDefault="00955A27" w:rsidP="00955A27">
            <w:pPr>
              <w:spacing w:after="120" w:line="360" w:lineRule="auto"/>
              <w:ind w:right="80"/>
              <w:jc w:val="center"/>
              <w:rPr>
                <w:rFonts w:ascii="Times New Roman" w:hAnsi="Times New Roman" w:cs="Times New Roman"/>
                <w:color w:val="000000" w:themeColor="text1"/>
              </w:rPr>
            </w:pPr>
            <w:r w:rsidRPr="001667DB">
              <w:rPr>
                <w:rFonts w:ascii="Times New Roman" w:hAnsi="Times New Roman" w:cs="Times New Roman"/>
                <w:color w:val="000000" w:themeColor="text1"/>
              </w:rPr>
              <w:t>ścieżki, chodniki</w:t>
            </w:r>
          </w:p>
        </w:tc>
        <w:tc>
          <w:tcPr>
            <w:tcW w:w="42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55BD0" w14:textId="77777777" w:rsidR="00955A27" w:rsidRPr="001667DB" w:rsidRDefault="00955A27" w:rsidP="00955A27">
            <w:pPr>
              <w:spacing w:after="120" w:line="360" w:lineRule="auto"/>
              <w:ind w:firstLine="1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pasy ruchu i powierzchnie przeznaczone do ruchu i postoju pojazdów </w:t>
            </w:r>
          </w:p>
        </w:tc>
        <w:tc>
          <w:tcPr>
            <w:tcW w:w="2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029AE"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12 </w:t>
            </w:r>
          </w:p>
        </w:tc>
      </w:tr>
    </w:tbl>
    <w:p w14:paraId="0F3DF591" w14:textId="77777777" w:rsidR="00955A27" w:rsidRPr="001667DB" w:rsidRDefault="00955A27" w:rsidP="00955A27">
      <w:pPr>
        <w:spacing w:after="120" w:line="360" w:lineRule="auto"/>
        <w:ind w:left="12"/>
        <w:rPr>
          <w:rFonts w:ascii="Times New Roman" w:hAnsi="Times New Roman" w:cs="Times New Roman"/>
          <w:color w:val="000000" w:themeColor="text1"/>
        </w:rPr>
      </w:pPr>
    </w:p>
    <w:p w14:paraId="57027D3D" w14:textId="77777777" w:rsidR="00955A27" w:rsidRPr="00326BBF" w:rsidRDefault="00955A27" w:rsidP="00A9424D">
      <w:pPr>
        <w:pStyle w:val="Nagwek1"/>
        <w:spacing w:line="360" w:lineRule="auto"/>
        <w:ind w:left="7"/>
        <w:jc w:val="both"/>
        <w:rPr>
          <w:color w:val="000000" w:themeColor="text1"/>
          <w:sz w:val="22"/>
          <w:szCs w:val="22"/>
          <w:lang w:val="pl-PL"/>
        </w:rPr>
      </w:pPr>
      <w:r w:rsidRPr="00326BBF">
        <w:rPr>
          <w:color w:val="000000" w:themeColor="text1"/>
          <w:sz w:val="22"/>
          <w:szCs w:val="22"/>
          <w:lang w:val="pl-PL"/>
        </w:rPr>
        <w:t xml:space="preserve">Pomiar równości poprzecznej warstw nawierzchni z użyciem łaty i klina </w:t>
      </w:r>
    </w:p>
    <w:p w14:paraId="158B6488"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równości poprzecznej warstw nawierzchni z użyciem łaty (o długości 2 m) i klina należy wykonywać jedynie w miejscach niedostępnych dla sprzętu pomiarowego takich jak: stanowiska postojowe, zatoki autobusowe itp. Pomiary równości poprzecznej z wykorzystaniem łaty i klina należy wykonywać z krokiem nie rzadziej niż co 5 m. W czasie pomiaru łata powinna leżeć prostopadle do osi drogi i w płaszczyźnie prostopadłej do powierzchni badanej warstwy. </w:t>
      </w:r>
    </w:p>
    <w:p w14:paraId="1F9C60F1"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Klin należy podkładać pod łatę w miejscu, w którym prześwit jest największy (największe odchylenie równości). Wielkość prześwitu jest równa najmniejszej liczbie widocznej na klinie podłożonym pod łatę. Zasady oceny wyników podano w tabeli 12. </w:t>
      </w:r>
    </w:p>
    <w:p w14:paraId="4D3FC57B"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lastRenderedPageBreak/>
        <w:t>6.8.4.</w:t>
      </w:r>
      <w:r w:rsidRPr="001667DB">
        <w:rPr>
          <w:rFonts w:eastAsia="Arial"/>
          <w:color w:val="000000" w:themeColor="text1"/>
          <w:sz w:val="22"/>
          <w:szCs w:val="22"/>
        </w:rPr>
        <w:t xml:space="preserve"> </w:t>
      </w:r>
      <w:r w:rsidRPr="001667DB">
        <w:rPr>
          <w:color w:val="000000" w:themeColor="text1"/>
          <w:sz w:val="22"/>
          <w:szCs w:val="22"/>
        </w:rPr>
        <w:t xml:space="preserve">Spadki poprzeczne </w:t>
      </w:r>
    </w:p>
    <w:p w14:paraId="2287E7E9"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Sprawdzenie polega na przyłożeniu łaty i pomiar prześwitu klinem lub pomiar profilografem laserowym. Spadki poprzeczne warstwy wiążącej na odcinkach prostych i na łukach powinny być zgodne z spadkami poprzecznymi z tolerancją ± 0,5%.  </w:t>
      </w:r>
    </w:p>
    <w:p w14:paraId="52D8A285"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 się, aby co najmniej 95% wykonanych pomiarów nie przekraczało przedziału dopuszczalnych odchyleń. Dla 100% wykonanych pomiarów spadki poprzeczne warstwy wiążącej na odcinkach prostych i na łukach powinny być zgodne z spadkami poprzecznymi z tolerancją ± 0,7%. Spadek poprzeczny musi być wystarczający do zapewnienia sprawnego spływu wody. </w:t>
      </w:r>
    </w:p>
    <w:p w14:paraId="5BDFB017"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6.8.5.</w:t>
      </w:r>
      <w:r w:rsidRPr="001667DB">
        <w:rPr>
          <w:rFonts w:eastAsia="Arial"/>
          <w:color w:val="000000" w:themeColor="text1"/>
          <w:sz w:val="22"/>
          <w:szCs w:val="22"/>
        </w:rPr>
        <w:t xml:space="preserve"> </w:t>
      </w:r>
      <w:r w:rsidRPr="001667DB">
        <w:rPr>
          <w:color w:val="000000" w:themeColor="text1"/>
          <w:sz w:val="22"/>
          <w:szCs w:val="22"/>
        </w:rPr>
        <w:t xml:space="preserve">Ukształtowanie osi w planie </w:t>
      </w:r>
    </w:p>
    <w:p w14:paraId="2F73522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Oś warstwy w planie powinna być usytuowana zgodnie z osią projektowaną z tolerancją ± 5 cm. Wymaga się, aby co najmniej 95% wykonanych pomiarów nie przekraczało przedziału dopuszczalnych odchyleń. 100% wykonanych pomiarów ukształtowania osi w planie powinno być zgodne z osią projektowaną z tolerancją ± 7 cm. </w:t>
      </w:r>
    </w:p>
    <w:p w14:paraId="762355F1"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6.8.6.</w:t>
      </w:r>
      <w:r w:rsidRPr="001667DB">
        <w:rPr>
          <w:rFonts w:eastAsia="Arial"/>
          <w:color w:val="000000" w:themeColor="text1"/>
          <w:sz w:val="22"/>
          <w:szCs w:val="22"/>
        </w:rPr>
        <w:t xml:space="preserve"> </w:t>
      </w:r>
      <w:r w:rsidRPr="001667DB">
        <w:rPr>
          <w:color w:val="000000" w:themeColor="text1"/>
          <w:sz w:val="22"/>
          <w:szCs w:val="22"/>
        </w:rPr>
        <w:t xml:space="preserve">Rzędne wysokościowe nawierzchni </w:t>
      </w:r>
    </w:p>
    <w:p w14:paraId="44A4EC19"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warstwy wiążącej powinny być mierzone w przekrojach co 10m w osi i na krawędziach każdej jezdni. Przed przystąpieniem do robót Wykonawca przedstawi schemat punktów pomiarowych do akceptacji. Różnice pomiędzy rzędnymi wysokościowymi warstwy a rzędnymi projektowanymi nie powinny przekraczać ± 1 cm.  </w:t>
      </w:r>
    </w:p>
    <w:p w14:paraId="06024424"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 się, aby co najmniej 95% wykonanych pomiarów nie przekraczało przedziału dopuszczalnych odchyleń. Dla 100% wykonanych pomiarów różnice pomiędzy rzędnymi wysokościowymi warstwy wiążącej a rzędnymi projektowanymi nie mogą przekraczać ± 1,5 cm. </w:t>
      </w:r>
    </w:p>
    <w:p w14:paraId="1FFCD06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p>
    <w:p w14:paraId="40D2CEAA"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6.8.7.</w:t>
      </w:r>
      <w:r w:rsidRPr="001667DB">
        <w:rPr>
          <w:rFonts w:eastAsia="Arial"/>
          <w:color w:val="000000" w:themeColor="text1"/>
          <w:sz w:val="22"/>
          <w:szCs w:val="22"/>
        </w:rPr>
        <w:t xml:space="preserve"> </w:t>
      </w:r>
      <w:r w:rsidRPr="001667DB">
        <w:rPr>
          <w:color w:val="000000" w:themeColor="text1"/>
          <w:sz w:val="22"/>
          <w:szCs w:val="22"/>
        </w:rPr>
        <w:t xml:space="preserve">Złącza podłużne i poprzeczne </w:t>
      </w:r>
    </w:p>
    <w:p w14:paraId="724F16C9"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w nawierzchni powinny być wykonane w linii prostej, prostopadle do osi drogi.  </w:t>
      </w:r>
    </w:p>
    <w:p w14:paraId="5F2A24B7"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konstrukcji wielowarstwowej: </w:t>
      </w:r>
    </w:p>
    <w:p w14:paraId="6ECF5885" w14:textId="77777777" w:rsidR="00955A27" w:rsidRPr="001667DB" w:rsidRDefault="00955A27" w:rsidP="00904E6C">
      <w:pPr>
        <w:numPr>
          <w:ilvl w:val="0"/>
          <w:numId w:val="171"/>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poprzeczne powinny być przesunięte względem siebie co najmniej o 3 m, </w:t>
      </w:r>
    </w:p>
    <w:p w14:paraId="2383D091" w14:textId="77777777" w:rsidR="00955A27" w:rsidRPr="001667DB" w:rsidRDefault="00955A27" w:rsidP="00904E6C">
      <w:pPr>
        <w:numPr>
          <w:ilvl w:val="0"/>
          <w:numId w:val="171"/>
        </w:numPr>
        <w:spacing w:after="120" w:line="360" w:lineRule="auto"/>
        <w:ind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 powinny być przesunięte względem siebie w kolejnych warstwach technologicznych o co najmniej o 30 cm w kierunku poprzecznym do osi jezdni.  </w:t>
      </w:r>
    </w:p>
    <w:p w14:paraId="12E51409"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można lokalizować złącza podłużnego w śladach kół. Złącza powinny być całkowicie związane, a przylegające warstwy powinny być w jednym poziomie. </w:t>
      </w:r>
    </w:p>
    <w:p w14:paraId="793E4A13"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lastRenderedPageBreak/>
        <w:t>6.8.8.</w:t>
      </w:r>
      <w:r w:rsidRPr="001667DB">
        <w:rPr>
          <w:rFonts w:eastAsia="Arial"/>
          <w:color w:val="000000" w:themeColor="text1"/>
          <w:sz w:val="22"/>
          <w:szCs w:val="22"/>
        </w:rPr>
        <w:t xml:space="preserve"> </w:t>
      </w:r>
      <w:r w:rsidRPr="001667DB">
        <w:rPr>
          <w:color w:val="000000" w:themeColor="text1"/>
          <w:sz w:val="22"/>
          <w:szCs w:val="22"/>
        </w:rPr>
        <w:t xml:space="preserve">Wygląd warstwy </w:t>
      </w:r>
    </w:p>
    <w:p w14:paraId="65ACAC9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Wygląd warstwy z MMA powinien być jednorodny, bez miejsc „przeasfaltowanych”, porowatych, łuszczących się i spękanych.  </w:t>
      </w:r>
    </w:p>
    <w:p w14:paraId="2C6525A5" w14:textId="77777777" w:rsidR="00955A27" w:rsidRPr="00326BBF" w:rsidRDefault="00955A27" w:rsidP="00A9424D">
      <w:pPr>
        <w:pStyle w:val="Nagwek1"/>
        <w:tabs>
          <w:tab w:val="center" w:pos="1470"/>
        </w:tabs>
        <w:spacing w:line="360" w:lineRule="auto"/>
        <w:ind w:left="-3"/>
        <w:jc w:val="both"/>
        <w:rPr>
          <w:color w:val="000000" w:themeColor="text1"/>
          <w:sz w:val="22"/>
          <w:szCs w:val="22"/>
          <w:lang w:val="pl-PL"/>
        </w:rPr>
      </w:pPr>
      <w:r w:rsidRPr="00326BBF">
        <w:rPr>
          <w:color w:val="000000" w:themeColor="text1"/>
          <w:sz w:val="22"/>
          <w:szCs w:val="22"/>
          <w:lang w:val="pl-PL"/>
        </w:rPr>
        <w:t>7.</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OBMIAR ROBÓT </w:t>
      </w:r>
    </w:p>
    <w:p w14:paraId="3F62052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7.1.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Ogólne zasady obmiaru robót </w:t>
      </w:r>
    </w:p>
    <w:p w14:paraId="2E6C9DAF"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obmiaru robót podano w D-00.00.00 „Wymagania ogólne”. </w:t>
      </w:r>
    </w:p>
    <w:p w14:paraId="17EA075C"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7.2.</w:t>
      </w:r>
      <w:r w:rsidRPr="001667DB">
        <w:rPr>
          <w:rFonts w:eastAsia="Arial"/>
          <w:color w:val="000000" w:themeColor="text1"/>
          <w:sz w:val="22"/>
          <w:szCs w:val="22"/>
        </w:rPr>
        <w:t xml:space="preserve"> </w:t>
      </w:r>
      <w:r w:rsidRPr="001667DB">
        <w:rPr>
          <w:color w:val="000000" w:themeColor="text1"/>
          <w:sz w:val="22"/>
          <w:szCs w:val="22"/>
        </w:rPr>
        <w:t xml:space="preserve">Jednostka obmiarowa </w:t>
      </w:r>
    </w:p>
    <w:p w14:paraId="0829248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 wiążącej z betonu asfaltowego (AC W). </w:t>
      </w:r>
    </w:p>
    <w:p w14:paraId="2D6AE2D3" w14:textId="77777777" w:rsidR="00955A27" w:rsidRPr="00326BBF" w:rsidRDefault="00955A27" w:rsidP="00A9424D">
      <w:pPr>
        <w:pStyle w:val="Nagwek1"/>
        <w:tabs>
          <w:tab w:val="center" w:pos="1465"/>
        </w:tabs>
        <w:spacing w:line="360" w:lineRule="auto"/>
        <w:ind w:left="-3"/>
        <w:jc w:val="both"/>
        <w:rPr>
          <w:color w:val="000000" w:themeColor="text1"/>
          <w:sz w:val="22"/>
          <w:szCs w:val="22"/>
          <w:lang w:val="pl-PL"/>
        </w:rPr>
      </w:pPr>
      <w:r w:rsidRPr="00326BBF">
        <w:rPr>
          <w:color w:val="000000" w:themeColor="text1"/>
          <w:sz w:val="22"/>
          <w:szCs w:val="22"/>
          <w:lang w:val="pl-PL"/>
        </w:rPr>
        <w:t>8.</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ODBIÓR ROBÓT </w:t>
      </w:r>
    </w:p>
    <w:p w14:paraId="788C90B1"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zasady odbioru robót podano w D-00.00.00 „Wymagania ogólne”. Roboty uznaje się za wykonane zgodnie z Dokumentacją Projektową i STWiORB, jeżeli wszystkie badania i pomiary z zachowaniem tolerancji wg pkt. 6 niniejszej STWiORB dały wyniki pozytywne.</w:t>
      </w:r>
    </w:p>
    <w:p w14:paraId="4397C08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2FC2AA94"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8.1.</w:t>
      </w:r>
      <w:r w:rsidRPr="001667DB">
        <w:rPr>
          <w:rFonts w:eastAsia="Arial"/>
          <w:color w:val="000000" w:themeColor="text1"/>
          <w:sz w:val="22"/>
          <w:szCs w:val="22"/>
        </w:rPr>
        <w:t xml:space="preserve"> </w:t>
      </w:r>
      <w:r w:rsidRPr="001667DB">
        <w:rPr>
          <w:color w:val="000000" w:themeColor="text1"/>
          <w:sz w:val="22"/>
          <w:szCs w:val="22"/>
        </w:rPr>
        <w:t xml:space="preserve">Zasady postępowania z wadliwie wykonanymi robotami </w:t>
      </w:r>
    </w:p>
    <w:p w14:paraId="5A16C2EF"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wystąpią wyniki negatywne dla materiałów i robót (nie spełniające wymagań określonych w STWiORB), to Inżynier/Inspektor Nadzoru/Zamawiający wydaje Wykonawcy polecenie przedstawienia programu naprawczego, chyba że na wniosek jednej ze stron kontraktu zostaną wykonane badania lub pomiary arbitrażowe (zgodnie z pkt. 6.5 niniejszego STWiORB), a ich wyniki będą pozytywne. Wykonawca w programie tym jest zobowiązany dokonać oceny wpływu na trwałość konstrukcji nawierzchni, przedstawić sposób naprawienia wady lub wnioskować o zredukowanie ceny kontraktowej – naliczenie potrąceń według zasad określonych w Instrukcji DP-T14 Ocena Jakości na Drogach Krajowych. Część I Roboty Drogowe. </w:t>
      </w:r>
    </w:p>
    <w:p w14:paraId="36413C7E"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zastosowanie programu naprawczego wyraża zgodę Inżynier/Inspektor Nadzoru/Zamawiający.  </w:t>
      </w:r>
    </w:p>
    <w:p w14:paraId="7FBA764D"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braku zgody Inżyniera/Inspektora Nadzoru/Zamawiającego na zastosowanie programu naprawczego wszystkie materiały i roboty nie spełniające wymagań podanych w odpowiednich punktach STWiORB zostaną odrzucone. Wykonawca wymieni materiały na właściwe i wykona prawidłowo roboty na własny koszt. </w:t>
      </w:r>
    </w:p>
    <w:p w14:paraId="2F596195" w14:textId="77777777" w:rsidR="00955A27" w:rsidRPr="001667DB" w:rsidRDefault="00955A27" w:rsidP="00A9424D">
      <w:pPr>
        <w:spacing w:after="120" w:line="360" w:lineRule="auto"/>
        <w:ind w:left="5" w:hanging="1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Jeżeli wymiana materiałów niespełniających wymagań lub wadliwie wykonane roboty spowodowują szkodę w innych, prawidłowo wykonanych robotach, to również te roboty powinny być ponownie wykonane przez Wykonawcę na jego koszt. </w:t>
      </w:r>
    </w:p>
    <w:p w14:paraId="1301637A" w14:textId="77777777" w:rsidR="00955A27" w:rsidRPr="00326BBF" w:rsidRDefault="00955A27" w:rsidP="00A9424D">
      <w:pPr>
        <w:pStyle w:val="Nagwek1"/>
        <w:tabs>
          <w:tab w:val="center" w:pos="1465"/>
        </w:tabs>
        <w:spacing w:line="360" w:lineRule="auto"/>
        <w:ind w:left="-3"/>
        <w:jc w:val="both"/>
        <w:rPr>
          <w:color w:val="000000" w:themeColor="text1"/>
          <w:sz w:val="22"/>
          <w:szCs w:val="22"/>
          <w:lang w:val="pl-PL"/>
        </w:rPr>
      </w:pPr>
      <w:r w:rsidRPr="00326BBF">
        <w:rPr>
          <w:color w:val="000000" w:themeColor="text1"/>
          <w:sz w:val="22"/>
          <w:szCs w:val="22"/>
          <w:lang w:val="pl-PL"/>
        </w:rPr>
        <w:t>.</w:t>
      </w:r>
      <w:r w:rsidRPr="00D14686">
        <w:rPr>
          <w:color w:val="000000" w:themeColor="text1"/>
          <w:sz w:val="22"/>
          <w:szCs w:val="22"/>
          <w:lang w:val="pl-PL"/>
        </w:rPr>
        <w:t xml:space="preserve"> </w:t>
      </w:r>
      <w:r w:rsidRPr="00D14686">
        <w:rPr>
          <w:color w:val="000000" w:themeColor="text1"/>
          <w:sz w:val="22"/>
          <w:szCs w:val="22"/>
          <w:lang w:val="pl-PL"/>
        </w:rPr>
        <w:tab/>
      </w:r>
      <w:r w:rsidRPr="00326BBF">
        <w:rPr>
          <w:color w:val="000000" w:themeColor="text1"/>
          <w:sz w:val="22"/>
          <w:szCs w:val="22"/>
          <w:lang w:val="pl-PL"/>
        </w:rPr>
        <w:t xml:space="preserve">PODSTAWA PŁATNOŚCI </w:t>
      </w:r>
    </w:p>
    <w:p w14:paraId="37520AB3"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9.1.</w:t>
      </w:r>
      <w:r w:rsidRPr="001667DB">
        <w:rPr>
          <w:rFonts w:eastAsia="Arial"/>
          <w:color w:val="000000" w:themeColor="text1"/>
          <w:sz w:val="22"/>
          <w:szCs w:val="22"/>
        </w:rPr>
        <w:t xml:space="preserve"> </w:t>
      </w:r>
      <w:r w:rsidRPr="001667DB">
        <w:rPr>
          <w:color w:val="000000" w:themeColor="text1"/>
          <w:sz w:val="22"/>
          <w:szCs w:val="22"/>
        </w:rPr>
        <w:t xml:space="preserve">Ogólne ustalenia dotyczące podstawy płatności </w:t>
      </w:r>
    </w:p>
    <w:p w14:paraId="61714486"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ustalenia dotyczące podstawy płatności podano w D-00.00.00 „Wymagania ogólne”. </w:t>
      </w:r>
    </w:p>
    <w:p w14:paraId="515EBE2B"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9.2.</w:t>
      </w:r>
      <w:r w:rsidRPr="001667DB">
        <w:rPr>
          <w:rFonts w:eastAsia="Arial"/>
          <w:color w:val="000000" w:themeColor="text1"/>
          <w:sz w:val="22"/>
          <w:szCs w:val="22"/>
        </w:rPr>
        <w:t xml:space="preserve"> </w:t>
      </w:r>
      <w:r w:rsidRPr="001667DB">
        <w:rPr>
          <w:color w:val="000000" w:themeColor="text1"/>
          <w:sz w:val="22"/>
          <w:szCs w:val="22"/>
        </w:rPr>
        <w:t xml:space="preserve">Cena jednostki obmiarowej </w:t>
      </w:r>
    </w:p>
    <w:p w14:paraId="3AB24A45"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color w:val="000000" w:themeColor="text1"/>
        </w:rPr>
        <w:t>Cena wykonania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warstwy wiążącej z betonu asfaltowego (AC W) obejmuje: </w:t>
      </w:r>
    </w:p>
    <w:p w14:paraId="64D7F9F4"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4C9CEB05"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3AF0EF71"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oczyszczenie i skropienie podłoża, </w:t>
      </w:r>
    </w:p>
    <w:p w14:paraId="481E869C"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dostarczenie materiałów i sprzętu, </w:t>
      </w:r>
    </w:p>
    <w:p w14:paraId="561EF03A"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opracowanie recepty laboratoryjnej, </w:t>
      </w:r>
    </w:p>
    <w:p w14:paraId="7BF2CDF0"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próby technologicznej i odcinka próbnego, </w:t>
      </w:r>
    </w:p>
    <w:p w14:paraId="2CD36D78"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wyprodukowanie mieszanki betonu asfaltowego i jej transport na miejsce wbudowania, </w:t>
      </w:r>
    </w:p>
    <w:p w14:paraId="461B630B"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posmarowanie lepiszczem lub pokrycie taśmą asfaltową krawędzi urządzeń obcych i krawężników, </w:t>
      </w:r>
    </w:p>
    <w:p w14:paraId="23B37DA8"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rozłożenie i zagęszczenie mieszanki betonu asfaltowego, </w:t>
      </w:r>
    </w:p>
    <w:p w14:paraId="37E855A5"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uformowanie złączy, zagruntowanie środkiem gruntującym i przymocowanie taśm bitumicznych, </w:t>
      </w:r>
    </w:p>
    <w:p w14:paraId="672A7CF2"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posmarowanie krawędzi bocznych asfaltem, </w:t>
      </w:r>
    </w:p>
    <w:p w14:paraId="6408403B"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wymaganych w specyfikacji technicznej, </w:t>
      </w:r>
    </w:p>
    <w:p w14:paraId="2B94FBFD"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odwiezienie sprzętu, </w:t>
      </w:r>
    </w:p>
    <w:p w14:paraId="0D93E99D" w14:textId="77777777" w:rsidR="00955A27" w:rsidRPr="001667DB" w:rsidRDefault="00955A27" w:rsidP="00904E6C">
      <w:pPr>
        <w:numPr>
          <w:ilvl w:val="0"/>
          <w:numId w:val="172"/>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wszelkie inne czynności związane z prawidłowym wykonaniem warstwy zgodnie z wymaganiami niniejszych STWiORB. </w:t>
      </w:r>
    </w:p>
    <w:p w14:paraId="7E75D132" w14:textId="77777777" w:rsidR="00955A27" w:rsidRPr="001667DB" w:rsidRDefault="00955A27" w:rsidP="00A9424D">
      <w:pPr>
        <w:spacing w:after="120" w:line="360" w:lineRule="auto"/>
        <w:jc w:val="both"/>
        <w:rPr>
          <w:rFonts w:ascii="Times New Roman" w:hAnsi="Times New Roman" w:cs="Times New Roman"/>
          <w:color w:val="000000" w:themeColor="text1"/>
        </w:rPr>
      </w:pPr>
    </w:p>
    <w:p w14:paraId="08E76EF7"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9.3.</w:t>
      </w:r>
      <w:r w:rsidRPr="001667DB">
        <w:rPr>
          <w:rFonts w:eastAsia="Arial"/>
          <w:color w:val="000000" w:themeColor="text1"/>
          <w:sz w:val="22"/>
          <w:szCs w:val="22"/>
        </w:rPr>
        <w:t xml:space="preserve"> </w:t>
      </w:r>
      <w:r w:rsidRPr="001667DB">
        <w:rPr>
          <w:color w:val="000000" w:themeColor="text1"/>
          <w:sz w:val="22"/>
          <w:szCs w:val="22"/>
        </w:rPr>
        <w:t xml:space="preserve">Sposób rozliczenia robót tymczasowych i prac towarzyszących </w:t>
      </w:r>
    </w:p>
    <w:p w14:paraId="3198C0B0" w14:textId="77777777" w:rsidR="00955A27" w:rsidRPr="001667DB" w:rsidRDefault="00955A27" w:rsidP="00A9424D">
      <w:pPr>
        <w:tabs>
          <w:tab w:val="center" w:pos="4106"/>
        </w:tabs>
        <w:spacing w:after="120" w:line="360" w:lineRule="auto"/>
        <w:ind w:left="-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robót określonych niniejszymi STWiORB obejmuje: </w:t>
      </w:r>
    </w:p>
    <w:p w14:paraId="4C24FA4D" w14:textId="77777777" w:rsidR="00955A27" w:rsidRPr="001667DB" w:rsidRDefault="00955A27" w:rsidP="00904E6C">
      <w:pPr>
        <w:numPr>
          <w:ilvl w:val="0"/>
          <w:numId w:val="17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roboty tymczasowe, które są potrzebne do wykonania robót podstawowych, ale nie są przekazywane Zamawiającemu i są usuwane po wykonaniu robót podstawowych, </w:t>
      </w:r>
    </w:p>
    <w:p w14:paraId="41A3380F" w14:textId="77777777" w:rsidR="00955A27" w:rsidRPr="001667DB" w:rsidRDefault="00955A27" w:rsidP="00904E6C">
      <w:pPr>
        <w:numPr>
          <w:ilvl w:val="0"/>
          <w:numId w:val="173"/>
        </w:numPr>
        <w:spacing w:after="120" w:line="360" w:lineRule="auto"/>
        <w:ind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towarzyszące, które są niezbędne do wykonania robót podstawowych, niezaliczane do robót tymczasowych, jak geodezyjne wytyczenie robót itd. </w:t>
      </w:r>
    </w:p>
    <w:p w14:paraId="2DAA7A5B" w14:textId="77777777" w:rsidR="00955A27" w:rsidRPr="001667DB" w:rsidRDefault="00955A27" w:rsidP="00A9424D">
      <w:pPr>
        <w:pStyle w:val="Nagwek1"/>
        <w:spacing w:line="360" w:lineRule="auto"/>
        <w:ind w:left="7"/>
        <w:jc w:val="both"/>
        <w:rPr>
          <w:color w:val="000000" w:themeColor="text1"/>
          <w:sz w:val="22"/>
          <w:szCs w:val="22"/>
        </w:rPr>
      </w:pPr>
      <w:r w:rsidRPr="001667DB">
        <w:rPr>
          <w:color w:val="000000" w:themeColor="text1"/>
          <w:sz w:val="22"/>
          <w:szCs w:val="22"/>
        </w:rPr>
        <w:t>10.</w:t>
      </w:r>
      <w:r w:rsidRPr="001667DB">
        <w:rPr>
          <w:rFonts w:eastAsia="Arial"/>
          <w:color w:val="000000" w:themeColor="text1"/>
          <w:sz w:val="22"/>
          <w:szCs w:val="22"/>
        </w:rPr>
        <w:t xml:space="preserve"> </w:t>
      </w:r>
      <w:r w:rsidRPr="001667DB">
        <w:rPr>
          <w:color w:val="000000" w:themeColor="text1"/>
          <w:sz w:val="22"/>
          <w:szCs w:val="22"/>
        </w:rPr>
        <w:t xml:space="preserve">PRZEPISY ZWIĄZANE </w:t>
      </w:r>
    </w:p>
    <w:p w14:paraId="0024C5E9" w14:textId="77777777" w:rsidR="00955A27" w:rsidRPr="001667DB" w:rsidRDefault="00955A27" w:rsidP="00A9424D">
      <w:pPr>
        <w:pStyle w:val="Nagwek2"/>
        <w:tabs>
          <w:tab w:val="center" w:pos="1237"/>
        </w:tabs>
        <w:spacing w:line="360" w:lineRule="auto"/>
        <w:ind w:left="-3"/>
        <w:jc w:val="both"/>
        <w:rPr>
          <w:color w:val="000000" w:themeColor="text1"/>
          <w:sz w:val="22"/>
          <w:szCs w:val="22"/>
        </w:rPr>
      </w:pPr>
      <w:r w:rsidRPr="001667DB">
        <w:rPr>
          <w:color w:val="000000" w:themeColor="text1"/>
          <w:sz w:val="22"/>
          <w:szCs w:val="22"/>
        </w:rPr>
        <w:t xml:space="preserve">Normy </w:t>
      </w:r>
    </w:p>
    <w:p w14:paraId="1DC92EBF"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12591 Asfalty i produkty asfaltowe - Wymagania dla asfaltów drogowych </w:t>
      </w:r>
    </w:p>
    <w:p w14:paraId="4A132A95"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12597 Asfalty i produkty asfaltowe - Terminologia </w:t>
      </w:r>
    </w:p>
    <w:p w14:paraId="5C556C25"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13808 Asfalty i lepiszcza asfaltowe - Zasady klasyfikacji kationowych emulsji asfaltowych </w:t>
      </w:r>
    </w:p>
    <w:p w14:paraId="5422B55C"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14023 Asfalty i lepiszcza asfaltowe - Zasady klasyfikacji asfaltów modyfikowanych polimerami </w:t>
      </w:r>
    </w:p>
    <w:p w14:paraId="5294762B"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13924-2 Asfalty i lepiszcza asfaltowe - Zasady klasyfikacji asfaltów drogowych specjalnych - Część 2: Asfalty drogowe wielorodzajowe </w:t>
      </w:r>
    </w:p>
    <w:p w14:paraId="2486311B"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13043 Kruszywa do mieszanek bitumicznych i powierzchniowych utrwaleń stosowanych na drogach, lotniskach i innych powierzchniach przeznaczonych do ruchu </w:t>
      </w:r>
    </w:p>
    <w:p w14:paraId="4B169859"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932-3 Badania podstawowych właściwości kruszyw – Procedura i terminologia uproszczonego opisu petrograficznego </w:t>
      </w:r>
    </w:p>
    <w:p w14:paraId="3CDF695F"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932-5 Badania podstawowych właściwości kruszyw – Część 5: Wyposażenie podstawowe i wzorcowanie </w:t>
      </w:r>
    </w:p>
    <w:p w14:paraId="61DA2F96"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933-1 Badania geometrycznych właściwości kruszyw – Oznaczanie składu ziarnowego. Metoda przesiewania </w:t>
      </w:r>
    </w:p>
    <w:p w14:paraId="0A6071A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933-3 Badania geometrycznych właściwości kruszyw – Oznaczanie kształtu ziaren za pomocą wskaźnika płaskości </w:t>
      </w:r>
    </w:p>
    <w:p w14:paraId="30F5A7B4"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933-4 Badania geometrycznych właściwości kruszyw – Część 4: Oznaczanie kształtu ziaren – Wskaźnik kształtu </w:t>
      </w:r>
    </w:p>
    <w:p w14:paraId="5B2F8486"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933-5 Badania geometrycznych właściwości kruszyw – Oznaczanie procentowej zawartości ziaren o powierzchniach powstałych w wyniku przekruszenia lub łamania kruszyw grubych </w:t>
      </w:r>
    </w:p>
    <w:p w14:paraId="48FBE43E"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933-6 Badania geometrycznych właściwości kruszyw – Część 6: Ocena właściwości powierzchni – Wskaźnik przepływu kruszywa </w:t>
      </w:r>
    </w:p>
    <w:p w14:paraId="026FF705"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933-9 Badania geometrycznych właściwości kruszyw – Ocena zawartości drobnych cząstek – Badania błękitem metylenowym </w:t>
      </w:r>
    </w:p>
    <w:p w14:paraId="1C641BCA"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933-10 Badania geometrycznych właściwości kruszyw – Część 10: Ocena zawartość drobnych cząstek – Uziarnienie wypełniaczy (przesiewanie w strumieniu powietrza) </w:t>
      </w:r>
    </w:p>
    <w:p w14:paraId="478AC4D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1097-2 Badania mechanicznych i fizycznych właściwości kruszyw – Metody oznaczania odporności na rozdrabianie </w:t>
      </w:r>
    </w:p>
    <w:p w14:paraId="31AF30C5"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1097-3 Badania mechanicznych i fizycznych właściwości kruszyw – Oznaczanie gęstości nasypowej i jamistości </w:t>
      </w:r>
    </w:p>
    <w:p w14:paraId="28EED148"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1097-4 Badania mechanicznych i fizycznych właściwości kruszyw – Część 4: Oznaczanie pustych przestrzeni suchego, zagęszczonego wypełniacza </w:t>
      </w:r>
    </w:p>
    <w:p w14:paraId="6CDF7738"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EN 1097-5 Badania mechanicznych i fizycznych właściwości kruszyw – Część 5: Oznaczanie zawartości wody przez suszenie w suszarce z wentylacją </w:t>
      </w:r>
    </w:p>
    <w:p w14:paraId="53ED84CC"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1097-6 Badania mechanicznych i fizycznych właściwości kruszyw – Część 6: </w:t>
      </w:r>
    </w:p>
    <w:p w14:paraId="5A0C5DD9"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 Mieszanki mineralno-asfaltowe - Metody badań mieszanek mineralnoasfaltowych na gorąco – Część 1: Zawartość lepiszcza rozpuszczalnego </w:t>
      </w:r>
    </w:p>
    <w:p w14:paraId="27794292"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 Mieszanki mineralno-asfaltowe - Metody badań mieszanek mineralnoasfaltowych na gorąco – Część 2: Oznaczanie składu ziarnowego </w:t>
      </w:r>
    </w:p>
    <w:p w14:paraId="71FBB4BA"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 Mieszanki mineralno-asfaltowe - Metody badań mieszanek mineralnoasfaltowych na gorąco – Część 3: Odzyskiwanie asfaltu - Wyparka obrotowa </w:t>
      </w:r>
    </w:p>
    <w:p w14:paraId="60512DAB"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 Mieszanki mineralno-asfaltowe - Metody badań mieszanek mineralnoasfaltowych na gorąco – Część 4: Odzyskiwanie asfaltu - Kolumna do destylacji frakcyjnej </w:t>
      </w:r>
    </w:p>
    <w:p w14:paraId="2551DAC1"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12697-5 Mieszanki mineralno-asfaltowe - Metody badań mieszanek mineralnoasfaltowych na gorąco – Część 5: Oznaczanie gęstości </w:t>
      </w:r>
    </w:p>
    <w:p w14:paraId="5041EB97"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12697-6 Mieszanki mineralno-asfaltowe - Metody badań mieszanek mineralnoasfaltowych na gorąco – Część 6: Oznaczanie gęstości objętościowej metodą hydrostatyczną </w:t>
      </w:r>
    </w:p>
    <w:p w14:paraId="0BF7D2A8"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Mieszanki mineralno-asfaltowe - Metody badań mieszanek mineralnoasfaltowych na gorąco – Część 8: Oznaczanie zawartości wolnej przestrzeni </w:t>
      </w:r>
    </w:p>
    <w:p w14:paraId="3D591F7E"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12697-10 Mieszanki mineralno-asfaltowe - Metody badań mieszanek mineralno-asfaltowych na gorąco – Część 10: Zagęszczalność </w:t>
      </w:r>
    </w:p>
    <w:p w14:paraId="1F1A01E9"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12697-11 Mieszanki mineralno-asfaltowe - Metody badań mieszanek mineralno-asfaltowych na gorąco – Część 11: Określenie powiązania pomiędzy kruszywem i asfaltem </w:t>
      </w:r>
    </w:p>
    <w:p w14:paraId="43C81904"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12697-12 Mieszanki mineralno-asfaltowe - Metody badania mieszanek mineralno-asfaltowych na gorąco – Część 12: Określanie wrażliwości na wodę </w:t>
      </w:r>
    </w:p>
    <w:p w14:paraId="6E749254"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12697-17 Mieszanki mineralno-asfaltowe - Metody badań mieszanek mineralno-asfaltowych na gorąco – Część 17: Ubytek ziaren </w:t>
      </w:r>
    </w:p>
    <w:p w14:paraId="091EA598"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12697-18 Mieszanki mineralno-asfaltowe - Metody badań mieszanek mineralno-asfaltowych na gorąco – Część 18: Spływanie lepiszcza </w:t>
      </w:r>
    </w:p>
    <w:p w14:paraId="77C35C1B"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12697-20 Mieszanki mineralno-asfaltowe - Metody badań mieszanek mineralno-asfaltowych na gorąco – Część 20: Penetracja próbek sześciennych lub Marshalla </w:t>
      </w:r>
    </w:p>
    <w:p w14:paraId="1CB1783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12697-22 Mieszanki mineralno-asfaltowe - Metody badań mieszanek mineralno-asfaltowych na gorąco – Część 22: Koleinowanie </w:t>
      </w:r>
    </w:p>
    <w:p w14:paraId="5F5E7C86"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12697-23 Mieszanki mineralno-asfaltowe - Metody badania mieszanek mineralno-asfaltowych na gorąco – Część 23: Określanie pośredniej wytrzymałości na rozciąganie próbek asfaltowych </w:t>
      </w:r>
    </w:p>
    <w:p w14:paraId="46DBFBA4"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12697-24 Mieszanki mineralno-asfaltowe - Metody badań mieszanek mineralno-asfaltowych na gorąco – Część 24: Odporność na zmęczenie </w:t>
      </w:r>
    </w:p>
    <w:p w14:paraId="0051B00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EN 12697-25 Mieszanki mineralno-asfaltowe - Metody badań mieszanek mineralno-asfaltowych na gorąco – Część 25: Penetracja dynamiczna  </w:t>
      </w:r>
    </w:p>
    <w:p w14:paraId="58DBA4A9"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12697-26 Mieszanki mineralno-asfaltowe - Metody badań mieszanek mineralno-asfaltowych na gorąco – Część 26: Sztywność </w:t>
      </w:r>
    </w:p>
    <w:p w14:paraId="7D48BB3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12697-27 Mieszanki mineralno-asfaltowe - Metody badań mieszanek mineralno-asfaltowych na gorąco – Część 27: Pobieranie próbek </w:t>
      </w:r>
    </w:p>
    <w:p w14:paraId="6A440533"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12697-28 Mieszanki mineralno-asfaltowe - Metody badań mieszanek mineralno-asfaltowych na gorąco – Część 28: Przygotowanie próbek do oznaczania zawartości lepiszcza, zawartości wody i uziarnienia </w:t>
      </w:r>
    </w:p>
    <w:p w14:paraId="4E88610D"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12697-29 Mieszanki mineralno-asfaltowe - Metoda badania mieszanek mineralno-asfaltowych na gorąco – Część 29: Pomiar próbki z zagęszczonej mieszanki mineralno-asfaltowej </w:t>
      </w:r>
    </w:p>
    <w:p w14:paraId="60FFFC4C"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12697-30 Mieszanki mineralno-asfaltowe - Metody badań mieszanek mineralno-asfaltowych na gorąco – Część 30: Przygotowanie próbek zagęszczonych przez ubijanie </w:t>
      </w:r>
    </w:p>
    <w:p w14:paraId="577EE1E0"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12697-31 Mieszanki mineralno-asfaltowe - Metody badań mieszanek mineralno-asfaltowych na gorąco – Część 31: Próbki przygotowane w prasie żyratorowej </w:t>
      </w:r>
    </w:p>
    <w:p w14:paraId="39AC284A"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12697-33 Mieszanki mineralno-asfaltowe - Metody badań mieszanek mineralno-asfaltowych na gorąco – Część 33: Przygotowanie próbek zagęszczanych walcem </w:t>
      </w:r>
    </w:p>
    <w:p w14:paraId="1C927787"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12697-35 Mieszanki mineralno-asfaltowe - Metody badań mieszanek mineralno-asfaltowych na gorąco – Część 35: Mieszanie laboratoryjne </w:t>
      </w:r>
    </w:p>
    <w:p w14:paraId="3A0024F3"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12697-38 Mieszanki mineralno-asfaltowe - Metody badań mieszanek mineralno-asfaltowych na gorąco – Część 38: Podstawowe wyposażenie i kalibracja </w:t>
      </w:r>
    </w:p>
    <w:p w14:paraId="32964CE1"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12697-40 Mieszanki mineralno-asfaltowe - Metody badań mieszanek mineralno-asfaltowych na gorąco – Część 40: Wodoprzepuszczalność „in-situ” </w:t>
      </w:r>
    </w:p>
    <w:p w14:paraId="4B101BF8"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12697-42 Mieszanki mineralno-asfaltowe - Metody badań mieszanek mineralno-asfaltowych na gorąco – Część 42: Zawartość zanieczyszczeń w destrukcie asfaltowym </w:t>
      </w:r>
    </w:p>
    <w:p w14:paraId="440DD6D4"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14188-1 Wypełniacze szczelin i zalewy drogowe - Część 1: Wymagania wobec zalew drogowych na gorąco </w:t>
      </w:r>
    </w:p>
    <w:p w14:paraId="61F765C5"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12272-1 Powierzchniowe utrwalanie - Metody badań - Część 1: Dozowanie i poprzeczny rozkład lepiszcza i kruszywa </w:t>
      </w:r>
    </w:p>
    <w:p w14:paraId="6B081FD7"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13108-1 Mieszanki mineralno-asfaltowe - Wymagania - Część 1: Beton asfaltowy </w:t>
      </w:r>
    </w:p>
    <w:p w14:paraId="31BA5CD0"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13108-8 Mieszanki mineralno-asfaltowe - Wymagania - Część 8: Destrukt asfaltowy </w:t>
      </w:r>
    </w:p>
    <w:p w14:paraId="55876C01"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13108-20 Mieszanki mineralno-asfaltowe - Wymagania - Część 20: Badanie typu </w:t>
      </w:r>
    </w:p>
    <w:p w14:paraId="47475767" w14:textId="77777777" w:rsidR="00955A27" w:rsidRPr="001667DB" w:rsidRDefault="00955A27" w:rsidP="00904E6C">
      <w:pPr>
        <w:numPr>
          <w:ilvl w:val="0"/>
          <w:numId w:val="174"/>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EN 13108-21 Mieszanki mineralno-asfaltowe - Wymagania - Część 21: Zakładowa Kontrola Produkcji </w:t>
      </w:r>
    </w:p>
    <w:p w14:paraId="16F0D99F" w14:textId="77777777" w:rsidR="00955A27" w:rsidRPr="001667DB" w:rsidRDefault="00955A27" w:rsidP="00955A27">
      <w:pPr>
        <w:spacing w:after="120" w:line="360" w:lineRule="auto"/>
        <w:ind w:left="993" w:hanging="426"/>
        <w:rPr>
          <w:rFonts w:ascii="Times New Roman" w:hAnsi="Times New Roman" w:cs="Times New Roman"/>
          <w:color w:val="000000" w:themeColor="text1"/>
        </w:rPr>
      </w:pPr>
    </w:p>
    <w:p w14:paraId="30D95C04" w14:textId="77777777" w:rsidR="00955A27" w:rsidRPr="001667DB" w:rsidRDefault="00955A27" w:rsidP="00955A27">
      <w:pPr>
        <w:pStyle w:val="Nagwek2"/>
        <w:tabs>
          <w:tab w:val="center" w:pos="1779"/>
        </w:tabs>
        <w:spacing w:line="360" w:lineRule="auto"/>
        <w:ind w:left="993" w:hanging="426"/>
        <w:rPr>
          <w:color w:val="000000" w:themeColor="text1"/>
          <w:sz w:val="22"/>
          <w:szCs w:val="22"/>
        </w:rPr>
      </w:pPr>
      <w:r w:rsidRPr="001667DB">
        <w:rPr>
          <w:color w:val="000000" w:themeColor="text1"/>
          <w:sz w:val="22"/>
          <w:szCs w:val="22"/>
        </w:rPr>
        <w:t xml:space="preserve">Inne dokumenty </w:t>
      </w:r>
    </w:p>
    <w:p w14:paraId="1DABC239"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Rozporządzenie Ministra Transportu i Gospodarki Morskiej z dnia 2 marca 1999 r. w sprawie warunków technicznych, jakim powinny odpowiadać drogi publiczne i ich usytuowanie (Dz. U. z 2016 r. poz. 124, z późn. zm.) </w:t>
      </w:r>
    </w:p>
    <w:p w14:paraId="6146C418" w14:textId="77777777" w:rsidR="00955A27" w:rsidRPr="001667DB" w:rsidRDefault="006C3828"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WT-1  2016</w:t>
      </w:r>
      <w:r w:rsidR="00955A27" w:rsidRPr="001667DB">
        <w:rPr>
          <w:rFonts w:ascii="Times New Roman" w:hAnsi="Times New Roman" w:cs="Times New Roman"/>
          <w:color w:val="000000" w:themeColor="text1"/>
        </w:rPr>
        <w:t xml:space="preserve"> Kruszywa do nawierzchni drogowych i powierzchniowych utrwaleń na drogach krajowych  </w:t>
      </w:r>
    </w:p>
    <w:p w14:paraId="72DDC02E"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2014 – część I Mieszanki mineralno-asfaltowe. Wymagania Techniczne. Nawierzchnie asfaltowe na drogach krajowych.  </w:t>
      </w:r>
    </w:p>
    <w:p w14:paraId="4022A164"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2016 – część II Wykonanie warstw nawierzchni asfaltowych. Wymagania techniczne. </w:t>
      </w:r>
    </w:p>
    <w:p w14:paraId="0B965CC3"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Instrukcja laboratoryjnego badania sczepności międzywarstwowej warstw asfaltowych wg. metody Leutnera i wymagania techniczne sczepności” Politechnika Gdańska 2014. </w:t>
      </w:r>
    </w:p>
    <w:p w14:paraId="227159BE"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Instrukcja DP-T14 Ocena jakości na drogach krajowych. Część I-Roboty drogowe. 2017. </w:t>
      </w:r>
    </w:p>
    <w:p w14:paraId="718C8AA3" w14:textId="77777777" w:rsidR="00955A27" w:rsidRPr="001667DB" w:rsidRDefault="00955A27" w:rsidP="00904E6C">
      <w:pPr>
        <w:numPr>
          <w:ilvl w:val="0"/>
          <w:numId w:val="175"/>
        </w:numPr>
        <w:spacing w:after="120" w:line="360" w:lineRule="auto"/>
        <w:ind w:left="993" w:hanging="426"/>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 RIB I/6 Wykorzystanie materiałów pochodzących z recyklingu. Zadanie 2. Recykling na gorąco. Załącznik nr 9.2.1, Załącznik nr 9.2.2, Załącznik nr 9.2.3 </w:t>
      </w:r>
    </w:p>
    <w:p w14:paraId="37AF8D65" w14:textId="77777777" w:rsidR="00AB65BF" w:rsidRPr="001667DB" w:rsidRDefault="00AB65BF" w:rsidP="00AB65BF">
      <w:pPr>
        <w:spacing w:after="120" w:line="360" w:lineRule="auto"/>
        <w:jc w:val="both"/>
        <w:rPr>
          <w:rFonts w:ascii="Times New Roman" w:hAnsi="Times New Roman" w:cs="Times New Roman"/>
          <w:color w:val="000000" w:themeColor="text1"/>
        </w:rPr>
      </w:pPr>
    </w:p>
    <w:p w14:paraId="64D03108" w14:textId="77777777" w:rsidR="00EE6461" w:rsidRPr="001667DB" w:rsidRDefault="00EE6461">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21F5FBD7" w14:textId="77777777" w:rsidR="00955A27" w:rsidRPr="001667DB" w:rsidRDefault="00955A27" w:rsidP="00A9424D">
      <w:pPr>
        <w:pStyle w:val="Standardowytekst0"/>
        <w:spacing w:after="120" w:line="360" w:lineRule="auto"/>
        <w:rPr>
          <w:b/>
          <w:color w:val="000000" w:themeColor="text1"/>
          <w:sz w:val="22"/>
          <w:szCs w:val="22"/>
        </w:rPr>
      </w:pPr>
      <w:r w:rsidRPr="001667DB">
        <w:rPr>
          <w:b/>
          <w:color w:val="000000" w:themeColor="text1"/>
          <w:sz w:val="22"/>
          <w:szCs w:val="22"/>
        </w:rPr>
        <w:lastRenderedPageBreak/>
        <w:t xml:space="preserve">D.05.03.11. </w:t>
      </w:r>
      <w:bookmarkStart w:id="464" w:name="_Toc422115846"/>
      <w:r w:rsidRPr="001667DB">
        <w:rPr>
          <w:b/>
          <w:color w:val="000000" w:themeColor="text1"/>
          <w:sz w:val="22"/>
          <w:szCs w:val="22"/>
        </w:rPr>
        <w:t xml:space="preserve"> FRE</w:t>
      </w:r>
      <w:r w:rsidR="00BE7D98" w:rsidRPr="001667DB">
        <w:rPr>
          <w:b/>
          <w:color w:val="000000" w:themeColor="text1"/>
          <w:sz w:val="22"/>
          <w:szCs w:val="22"/>
        </w:rPr>
        <w:t xml:space="preserve">ZOWANIE NAWIERZCHNI ASFALTOWYCH </w:t>
      </w:r>
      <w:r w:rsidRPr="001667DB">
        <w:rPr>
          <w:b/>
          <w:color w:val="000000" w:themeColor="text1"/>
          <w:sz w:val="22"/>
          <w:szCs w:val="22"/>
        </w:rPr>
        <w:t xml:space="preserve"> NA ZIMNO</w:t>
      </w:r>
    </w:p>
    <w:p w14:paraId="74CB2B36"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65" w:name="_1._Wstęp_2"/>
      <w:bookmarkEnd w:id="464"/>
      <w:bookmarkEnd w:id="465"/>
      <w:r w:rsidRPr="001667DB">
        <w:rPr>
          <w:color w:val="000000" w:themeColor="text1"/>
          <w:sz w:val="22"/>
          <w:szCs w:val="22"/>
        </w:rPr>
        <w:t>Wstęp</w:t>
      </w:r>
    </w:p>
    <w:p w14:paraId="3145BB17"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Przedmiot ST</w:t>
      </w:r>
    </w:p>
    <w:p w14:paraId="5B274097" w14:textId="77777777" w:rsidR="00955A27" w:rsidRPr="001667DB" w:rsidRDefault="00955A27" w:rsidP="00A9424D">
      <w:pPr>
        <w:pStyle w:val="standardowytekst"/>
        <w:spacing w:before="0" w:beforeAutospacing="0" w:after="120" w:afterAutospacing="0" w:line="360" w:lineRule="auto"/>
        <w:jc w:val="both"/>
        <w:rPr>
          <w:b/>
          <w:color w:val="000000" w:themeColor="text1"/>
          <w:sz w:val="22"/>
          <w:szCs w:val="22"/>
        </w:rPr>
      </w:pPr>
      <w:r w:rsidRPr="001667DB">
        <w:rPr>
          <w:color w:val="000000" w:themeColor="text1"/>
          <w:sz w:val="22"/>
          <w:szCs w:val="22"/>
        </w:rPr>
        <w:tab/>
        <w:t xml:space="preserve">Przedmiotem niniejszej specyfikacji technicznej (ST) są wymagania dotyczące wykonania i odbioru robót związanych z frezowaniem nawierzchni asfaltowych na zimno w związku z </w:t>
      </w:r>
      <w:r w:rsidR="00842E1B" w:rsidRPr="00FD3B41">
        <w:rPr>
          <w:b/>
          <w:color w:val="000000" w:themeColor="text1"/>
          <w:sz w:val="22"/>
          <w:szCs w:val="22"/>
        </w:rPr>
        <w:t>„Rozbudowa drogi wojewódzkiej nr 461 w m. Dąbrówka Łubniańska i Łubniany” – Etap I ( km od 9+741,88 do 10+371,13)</w:t>
      </w:r>
    </w:p>
    <w:p w14:paraId="0BE5B587"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Zakres stosowania ST</w:t>
      </w:r>
    </w:p>
    <w:p w14:paraId="0671B943" w14:textId="77777777" w:rsidR="00955A27" w:rsidRPr="001667DB" w:rsidRDefault="00955A27" w:rsidP="00A9424D">
      <w:pPr>
        <w:pStyle w:val="Standardowytekst0"/>
        <w:spacing w:after="120" w:line="360" w:lineRule="auto"/>
        <w:rPr>
          <w:color w:val="000000" w:themeColor="text1"/>
          <w:sz w:val="22"/>
          <w:szCs w:val="22"/>
        </w:rPr>
      </w:pPr>
      <w:r w:rsidRPr="001667DB">
        <w:rPr>
          <w:color w:val="000000" w:themeColor="text1"/>
          <w:sz w:val="22"/>
          <w:szCs w:val="22"/>
        </w:rPr>
        <w:tab/>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opisanych w podpunkcie 1.1.</w:t>
      </w:r>
    </w:p>
    <w:p w14:paraId="53DD022D"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Zakres robót objętych ST</w:t>
      </w:r>
    </w:p>
    <w:p w14:paraId="60A95316" w14:textId="77777777" w:rsidR="00955A27" w:rsidRPr="001667DB" w:rsidRDefault="00955A27" w:rsidP="00A9424D">
      <w:pPr>
        <w:spacing w:after="120" w:line="360" w:lineRule="auto"/>
        <w:ind w:firstLine="708"/>
        <w:jc w:val="both"/>
        <w:rPr>
          <w:rFonts w:ascii="Times New Roman" w:hAnsi="Times New Roman" w:cs="Times New Roman"/>
          <w:b/>
          <w:color w:val="000000" w:themeColor="text1"/>
        </w:rPr>
      </w:pPr>
      <w:r w:rsidRPr="001667DB">
        <w:rPr>
          <w:rFonts w:ascii="Times New Roman" w:hAnsi="Times New Roman" w:cs="Times New Roman"/>
          <w:color w:val="000000" w:themeColor="text1"/>
        </w:rPr>
        <w:tab/>
        <w:t>Zakres robót obejmuje frezowania nawierzchni asfaltowych na zimno.</w:t>
      </w:r>
    </w:p>
    <w:p w14:paraId="5AE54B8E"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Określenia podstawowe</w:t>
      </w:r>
    </w:p>
    <w:p w14:paraId="29907B40"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 </w:t>
      </w:r>
      <w:r w:rsidRPr="001667DB">
        <w:rPr>
          <w:rFonts w:ascii="Times New Roman" w:hAnsi="Times New Roman" w:cs="Times New Roman"/>
          <w:color w:val="000000" w:themeColor="text1"/>
        </w:rPr>
        <w:t>Recykling nawierzchni asfaltowej - powtórne użycie mieszanki mineralno-asfaltowej odzyskanej z nawierzchni.</w:t>
      </w:r>
    </w:p>
    <w:p w14:paraId="26D518F9"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1.4.2. </w:t>
      </w:r>
      <w:r w:rsidRPr="001667DB">
        <w:rPr>
          <w:rFonts w:ascii="Times New Roman" w:hAnsi="Times New Roman" w:cs="Times New Roman"/>
          <w:color w:val="000000" w:themeColor="text1"/>
        </w:rPr>
        <w:t>Frezowanie nawierzchni asfaltowej na zimno - kontrolowany proces skrawania górnej warstwy nawierzchni asfaltowej, bez jej ogrzania, na określoną głębokość.</w:t>
      </w:r>
    </w:p>
    <w:p w14:paraId="582BD050"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1.4.3. </w:t>
      </w:r>
      <w:r w:rsidRPr="001667DB">
        <w:rPr>
          <w:rFonts w:ascii="Times New Roman" w:hAnsi="Times New Roman" w:cs="Times New Roman"/>
          <w:color w:val="000000" w:themeColor="text1"/>
        </w:rPr>
        <w:t>Pozostałe określenia są zgodne z obowiązującymi, odpowiednimi polskimi normami i z definicjami podanymi w ST D-00.00.00 „Wymagania ogólne” pkt 1.4.</w:t>
      </w:r>
    </w:p>
    <w:p w14:paraId="23E36E52"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wymagania dotyczące robót</w:t>
      </w:r>
    </w:p>
    <w:p w14:paraId="670C10C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pkt 1.5.</w:t>
      </w:r>
    </w:p>
    <w:p w14:paraId="54ECD66B"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66" w:name="_2._materiały_2"/>
      <w:bookmarkEnd w:id="466"/>
      <w:r w:rsidRPr="001667DB">
        <w:rPr>
          <w:color w:val="000000" w:themeColor="text1"/>
          <w:sz w:val="22"/>
          <w:szCs w:val="22"/>
        </w:rPr>
        <w:t xml:space="preserve">materiały </w:t>
      </w:r>
    </w:p>
    <w:p w14:paraId="1CEABA30"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 występują.</w:t>
      </w:r>
    </w:p>
    <w:p w14:paraId="73F58BD1" w14:textId="77777777" w:rsidR="00955A27" w:rsidRPr="001667DB" w:rsidRDefault="00955A27" w:rsidP="00A9424D">
      <w:pPr>
        <w:spacing w:after="120" w:line="360" w:lineRule="auto"/>
        <w:ind w:firstLine="851"/>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 z frezowania stanowi własność Wykonawcy.</w:t>
      </w:r>
    </w:p>
    <w:p w14:paraId="2E01BC99"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67" w:name="_3._sprzęt_2"/>
      <w:bookmarkEnd w:id="467"/>
      <w:r w:rsidRPr="001667DB">
        <w:rPr>
          <w:color w:val="000000" w:themeColor="text1"/>
          <w:sz w:val="22"/>
          <w:szCs w:val="22"/>
        </w:rPr>
        <w:t>sprzęt</w:t>
      </w:r>
    </w:p>
    <w:p w14:paraId="13AD142C"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wymagania dotyczące sprzętu</w:t>
      </w:r>
    </w:p>
    <w:p w14:paraId="71EBA69C"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7863AB93" w14:textId="77777777" w:rsidR="00955A27" w:rsidRPr="001667DB" w:rsidRDefault="00955A27" w:rsidP="00A9424D">
      <w:pPr>
        <w:spacing w:after="120" w:line="360" w:lineRule="auto"/>
        <w:jc w:val="both"/>
        <w:rPr>
          <w:rFonts w:ascii="Times New Roman" w:hAnsi="Times New Roman" w:cs="Times New Roman"/>
          <w:color w:val="000000" w:themeColor="text1"/>
        </w:rPr>
      </w:pPr>
    </w:p>
    <w:p w14:paraId="22BA1ED0"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lastRenderedPageBreak/>
        <w:t>Sprzęt do frezowania</w:t>
      </w:r>
    </w:p>
    <w:p w14:paraId="593CE78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Należy stosować frezarki drogowe umożliwiające frezowanie nawierzchni asfaltowej na zimno na określoną głębokość.</w:t>
      </w:r>
    </w:p>
    <w:p w14:paraId="108A26D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Frezarka powinna być sterowana elektronicznie i zapewniać zachowanie wymaganej równości oraz pochyleń poprzecznych i podłużnych powierzchni po frezowaniu. Do małych robót (naprawy części jezdni) Inżynier może dopuścić frezarki sterowane mechanicznie.</w:t>
      </w:r>
    </w:p>
    <w:p w14:paraId="1EFFE96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Szerokość bębna frezującego powinna być dobrana zależnie od zakresu robót. Przy lokalnych naprawach szerokość bębna może być dostosowana do szerokości skrawanych elementów nawierzchni. Przy frezowaniu całej jezdni szerokość bębna skrawającego powinna być co najmniej równa 1200 mm.</w:t>
      </w:r>
    </w:p>
    <w:p w14:paraId="5AAB021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dużych robotach frezarki muszą być wyposażone w przenośnik sfrezowanego materiału, podający go z jezdni na środki transportu.</w:t>
      </w:r>
    </w:p>
    <w:p w14:paraId="6D7B2F9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frezowaniu warstw asfaltowych na głębokość ponad 50 mm, z przeznaczeniem odzyskanego materiału do recyklingu na gorąco w otaczarce, zaleca się frezowanie współbieżne, tzn.  takie, w którym kierunek obrotów bębna skrawającego jest zgodny z kierunkiem ruchu frezarki. Za zgodą Inżyniera może być dopuszczone frezowanie przeciwbieżne, tzn. takie, w którym kierunek obrotów bębna skrawającego jest przeciwny do kierunku ruchu frezarki.</w:t>
      </w:r>
    </w:p>
    <w:p w14:paraId="29DDF03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pracach prowadzonych w terenie zabudowanym frezarki muszą, a poza nimi powinny, być zaopatrzone w systemy odpylania. Za zgodą Inżyniera można dopuścić frezarki bez tego systemu:</w:t>
      </w:r>
    </w:p>
    <w:p w14:paraId="4255AD6C" w14:textId="77777777" w:rsidR="00955A27" w:rsidRPr="001667DB" w:rsidRDefault="00955A27" w:rsidP="00A9424D">
      <w:pPr>
        <w:overflowPunct w:val="0"/>
        <w:autoSpaceDE w:val="0"/>
        <w:autoSpaceDN w:val="0"/>
        <w:adjustRightInd w:val="0"/>
        <w:spacing w:after="120" w:line="36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a)     na drogach zamiejskich w obszarach niezabudowanych,</w:t>
      </w:r>
    </w:p>
    <w:p w14:paraId="6BEAE598" w14:textId="77777777" w:rsidR="00955A27" w:rsidRPr="001667DB" w:rsidRDefault="00955A27" w:rsidP="00A9424D">
      <w:pPr>
        <w:overflowPunct w:val="0"/>
        <w:autoSpaceDE w:val="0"/>
        <w:autoSpaceDN w:val="0"/>
        <w:adjustRightInd w:val="0"/>
        <w:spacing w:after="120" w:line="36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b)     na drogach miejskich, przy małym zakresie robót.</w:t>
      </w:r>
    </w:p>
    <w:p w14:paraId="2D76DE7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może używać tylko frezarki zaakceptowane przez Inżyniera. Wykonawca powinien przedstawić dane techniczne frezarek, a w przypadkach jakichkolwiek wątpliwości przeprowadzić demonstrację pracy frezarki, na własny koszt.</w:t>
      </w:r>
    </w:p>
    <w:p w14:paraId="444285BA"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68" w:name="_4._transport_2"/>
      <w:bookmarkEnd w:id="468"/>
      <w:r w:rsidRPr="001667DB">
        <w:rPr>
          <w:color w:val="000000" w:themeColor="text1"/>
          <w:sz w:val="22"/>
          <w:szCs w:val="22"/>
        </w:rPr>
        <w:t xml:space="preserve">transport </w:t>
      </w:r>
    </w:p>
    <w:p w14:paraId="4711175F"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wymagania dotyczące transportu</w:t>
      </w:r>
    </w:p>
    <w:p w14:paraId="75BA797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pkt 4.</w:t>
      </w:r>
    </w:p>
    <w:p w14:paraId="0DD1CD67"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Transport sfrezowanego materiału</w:t>
      </w:r>
    </w:p>
    <w:p w14:paraId="44C1AAE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Transport sfrezowanego materiału powinien być tak zorganizowany, aby zapewnić pracę frezarki bez postojów. Materiał może być wywożony dowolnymi środkami transportowymi.</w:t>
      </w:r>
    </w:p>
    <w:p w14:paraId="54C557FF" w14:textId="77777777" w:rsidR="00955A27" w:rsidRPr="001667DB" w:rsidRDefault="00955A27" w:rsidP="00A9424D">
      <w:pPr>
        <w:spacing w:after="120" w:line="360" w:lineRule="auto"/>
        <w:jc w:val="both"/>
        <w:rPr>
          <w:rFonts w:ascii="Times New Roman" w:hAnsi="Times New Roman" w:cs="Times New Roman"/>
          <w:color w:val="000000" w:themeColor="text1"/>
        </w:rPr>
      </w:pPr>
    </w:p>
    <w:p w14:paraId="31CDBECF"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69" w:name="_5._wykonanie_robót_2"/>
      <w:bookmarkEnd w:id="469"/>
      <w:r w:rsidRPr="001667DB">
        <w:rPr>
          <w:color w:val="000000" w:themeColor="text1"/>
          <w:sz w:val="22"/>
          <w:szCs w:val="22"/>
        </w:rPr>
        <w:lastRenderedPageBreak/>
        <w:t>wykonanie robót</w:t>
      </w:r>
    </w:p>
    <w:p w14:paraId="3D1DD7A0"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zasady wykonania robót</w:t>
      </w:r>
    </w:p>
    <w:p w14:paraId="3CE5F97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pkt 5.</w:t>
      </w:r>
    </w:p>
    <w:p w14:paraId="5D9FB94C"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Wykonanie frezowania</w:t>
      </w:r>
    </w:p>
    <w:p w14:paraId="53947080"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Nawierzchnia powinna być frezowana do głębokości, szerokości i pochyleń zgodnych z dokumentacją projektową i ST.</w:t>
      </w:r>
    </w:p>
    <w:p w14:paraId="00ACBAD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Jeżeli frezowana nawierzchnia ma być oddana do ruchu bez ułożenia nowej warstwy ścieralnej, to jej tekstura powinna być jednorodna, złożona z nieciągłych prążków podłużnych lub innych form geometrycznych, gwarantujących równość, szorstkość i estetyczny wygląd.</w:t>
      </w:r>
    </w:p>
    <w:p w14:paraId="7D878F0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Jeżeli ruch drogowy ma być dopuszczony po sfrezowanej części jezdni, to wówczas, ze względów bezpieczeństwa należy spełnić następujące warunki:</w:t>
      </w:r>
    </w:p>
    <w:p w14:paraId="54862A93" w14:textId="77777777" w:rsidR="00955A27" w:rsidRPr="001667DB" w:rsidRDefault="00955A27" w:rsidP="00904E6C">
      <w:pPr>
        <w:numPr>
          <w:ilvl w:val="0"/>
          <w:numId w:val="179"/>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należy usunąć ścięty materiał i oczyścić nawierzchnię,</w:t>
      </w:r>
    </w:p>
    <w:p w14:paraId="3A1C2F88" w14:textId="77777777" w:rsidR="00955A27" w:rsidRPr="001667DB" w:rsidRDefault="00955A27" w:rsidP="00904E6C">
      <w:pPr>
        <w:numPr>
          <w:ilvl w:val="0"/>
          <w:numId w:val="179"/>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przy frezowaniu poszczególnych pasów ruchu, wysokość podłużnych pionowych krawędzi nie może przekraczać 40 mm,</w:t>
      </w:r>
    </w:p>
    <w:p w14:paraId="66583DFC" w14:textId="77777777" w:rsidR="00955A27" w:rsidRPr="001667DB" w:rsidRDefault="00955A27" w:rsidP="00904E6C">
      <w:pPr>
        <w:numPr>
          <w:ilvl w:val="0"/>
          <w:numId w:val="179"/>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przy lokalnych naprawach polegających na sfrezowaniu nawierzchni przy linii krawężnika (ścieku) dopuszcza się większy uskok niż określono w pkt b), ale przy głębokości większej od 75 mm wymaga on specjalnego oznakowania,</w:t>
      </w:r>
    </w:p>
    <w:p w14:paraId="624ED49F" w14:textId="77777777" w:rsidR="00955A27" w:rsidRPr="001667DB" w:rsidRDefault="00955A27" w:rsidP="00904E6C">
      <w:pPr>
        <w:numPr>
          <w:ilvl w:val="0"/>
          <w:numId w:val="179"/>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krawędzie poprzeczne na zakończenie dnia roboczego powinny być klinowo ścięte.</w:t>
      </w:r>
    </w:p>
    <w:p w14:paraId="053FBD12" w14:textId="77777777" w:rsidR="00955A27" w:rsidRPr="001667DB" w:rsidRDefault="00955A27" w:rsidP="00A9424D">
      <w:p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Inspektor Nadzoru wskaże miejsce odwozu sfrezowanego materiału. W sytuacji, gdy zaistnieje możliwość bezpośredniego wbudowania frezowin w pasie drogowym ulic remontowanych staraniem Zamawiającego, zarówno miejsce odwozu, jak i sposób rozładunku materiału zostanie określony przez Inspektora Nadzoru. Odbiór sfrezowanego materiału zostanie przez Zamawiającego zorganizowany w sposób nie powodujący zbędnych przestojów środków transportu.</w:t>
      </w:r>
    </w:p>
    <w:p w14:paraId="7944FED4"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Frezowanie warstwy ścieralnej przed ułożeniem nowej warstwy lub warstw asfaltowych</w:t>
      </w:r>
    </w:p>
    <w:p w14:paraId="66F0FA0F"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frezowania należy użyć frezarek sterowanych elektronicznie, względem ustalonego poziomu odniesienia, zachowując spadki poprzeczne i niweletę drogi. Nawierzchnia powinna być sfrezowana na głębokość projektowaną z dokładnością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5 mm.</w:t>
      </w:r>
    </w:p>
    <w:p w14:paraId="45B5F2C8"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70" w:name="_6._kontrola_jakości_2"/>
      <w:bookmarkEnd w:id="470"/>
      <w:r w:rsidRPr="001667DB">
        <w:rPr>
          <w:color w:val="000000" w:themeColor="text1"/>
          <w:sz w:val="22"/>
          <w:szCs w:val="22"/>
        </w:rPr>
        <w:t>kontrola jakości robót</w:t>
      </w:r>
    </w:p>
    <w:p w14:paraId="702FBA9F"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zasady kontroli jakości robót</w:t>
      </w:r>
    </w:p>
    <w:p w14:paraId="7217490A" w14:textId="77777777" w:rsidR="00955A27" w:rsidRPr="001667DB" w:rsidRDefault="00955A27" w:rsidP="00A9424D">
      <w:pPr>
        <w:spacing w:after="120" w:line="360" w:lineRule="auto"/>
        <w:jc w:val="both"/>
        <w:rPr>
          <w:rFonts w:ascii="Times New Roman" w:hAnsi="Times New Roman" w:cs="Times New Roman"/>
          <w:color w:val="000000" w:themeColor="text1"/>
        </w:rPr>
      </w:pPr>
    </w:p>
    <w:p w14:paraId="0259F867"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w:t>
      </w:r>
    </w:p>
    <w:p w14:paraId="509B2CF5"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lastRenderedPageBreak/>
        <w:t>Częstotliwość oraz zakres pomiarów kontrolnych</w:t>
      </w:r>
    </w:p>
    <w:p w14:paraId="6C188CEB" w14:textId="77777777" w:rsidR="00955A27" w:rsidRPr="001667DB" w:rsidRDefault="00955A27" w:rsidP="00904E6C">
      <w:pPr>
        <w:pStyle w:val="Nagwek3"/>
        <w:numPr>
          <w:ilvl w:val="2"/>
          <w:numId w:val="178"/>
        </w:numPr>
      </w:pPr>
      <w:r w:rsidRPr="001667DB">
        <w:t>Minimalna częstotliwość pomiarów</w:t>
      </w:r>
    </w:p>
    <w:p w14:paraId="04E30305"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Częstotliwość oraz zakres pomiarów dla nawierzchni frezowanej na zimno podano w tablicy 1.</w:t>
      </w:r>
    </w:p>
    <w:p w14:paraId="13F77CCF" w14:textId="77777777" w:rsidR="00955A27" w:rsidRPr="001667DB" w:rsidRDefault="00955A27" w:rsidP="00955A27">
      <w:pPr>
        <w:spacing w:before="1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1. Częstotliwość oraz zakres pomiarów kontrolnych nawierzchni frezowanej na zimno</w:t>
      </w:r>
    </w:p>
    <w:tbl>
      <w:tblPr>
        <w:tblW w:w="0" w:type="auto"/>
        <w:jc w:val="center"/>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96"/>
        <w:gridCol w:w="3507"/>
        <w:gridCol w:w="3507"/>
      </w:tblGrid>
      <w:tr w:rsidR="00955A27" w:rsidRPr="001667DB" w14:paraId="53D8F482" w14:textId="77777777" w:rsidTr="001B4B8F">
        <w:trPr>
          <w:jc w:val="center"/>
        </w:trPr>
        <w:tc>
          <w:tcPr>
            <w:tcW w:w="496" w:type="dxa"/>
            <w:tcBorders>
              <w:top w:val="single" w:sz="6" w:space="0" w:color="auto"/>
              <w:left w:val="single" w:sz="6" w:space="0" w:color="auto"/>
              <w:bottom w:val="double" w:sz="6" w:space="0" w:color="auto"/>
              <w:right w:val="single" w:sz="6" w:space="0" w:color="auto"/>
            </w:tcBorders>
            <w:noWrap/>
            <w:hideMark/>
          </w:tcPr>
          <w:p w14:paraId="187BC833"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507" w:type="dxa"/>
            <w:tcBorders>
              <w:top w:val="single" w:sz="6" w:space="0" w:color="auto"/>
              <w:left w:val="single" w:sz="6" w:space="0" w:color="auto"/>
              <w:bottom w:val="double" w:sz="6" w:space="0" w:color="auto"/>
              <w:right w:val="single" w:sz="6" w:space="0" w:color="auto"/>
            </w:tcBorders>
            <w:noWrap/>
            <w:hideMark/>
          </w:tcPr>
          <w:p w14:paraId="5FBC0C71"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Właściwość nawierzchni</w:t>
            </w:r>
          </w:p>
        </w:tc>
        <w:tc>
          <w:tcPr>
            <w:tcW w:w="3507" w:type="dxa"/>
            <w:tcBorders>
              <w:top w:val="single" w:sz="6" w:space="0" w:color="auto"/>
              <w:left w:val="single" w:sz="6" w:space="0" w:color="auto"/>
              <w:bottom w:val="double" w:sz="6" w:space="0" w:color="auto"/>
              <w:right w:val="single" w:sz="6" w:space="0" w:color="auto"/>
            </w:tcBorders>
            <w:noWrap/>
            <w:hideMark/>
          </w:tcPr>
          <w:p w14:paraId="4C362291"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Minimalna częstotliwość pomiarów</w:t>
            </w:r>
          </w:p>
        </w:tc>
      </w:tr>
      <w:tr w:rsidR="00955A27" w:rsidRPr="001667DB" w14:paraId="612971FB" w14:textId="77777777" w:rsidTr="001B4B8F">
        <w:trPr>
          <w:jc w:val="center"/>
        </w:trPr>
        <w:tc>
          <w:tcPr>
            <w:tcW w:w="496" w:type="dxa"/>
            <w:tcBorders>
              <w:top w:val="nil"/>
              <w:left w:val="single" w:sz="6" w:space="0" w:color="auto"/>
              <w:bottom w:val="single" w:sz="6" w:space="0" w:color="auto"/>
              <w:right w:val="single" w:sz="6" w:space="0" w:color="auto"/>
            </w:tcBorders>
            <w:noWrap/>
            <w:hideMark/>
          </w:tcPr>
          <w:p w14:paraId="45290547"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07" w:type="dxa"/>
            <w:tcBorders>
              <w:top w:val="nil"/>
              <w:left w:val="single" w:sz="6" w:space="0" w:color="auto"/>
              <w:bottom w:val="single" w:sz="6" w:space="0" w:color="auto"/>
              <w:right w:val="single" w:sz="6" w:space="0" w:color="auto"/>
            </w:tcBorders>
            <w:noWrap/>
            <w:hideMark/>
          </w:tcPr>
          <w:p w14:paraId="51BC5DC4"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Równość podłużna</w:t>
            </w:r>
          </w:p>
        </w:tc>
        <w:tc>
          <w:tcPr>
            <w:tcW w:w="3507" w:type="dxa"/>
            <w:tcBorders>
              <w:top w:val="nil"/>
              <w:left w:val="single" w:sz="6" w:space="0" w:color="auto"/>
              <w:bottom w:val="single" w:sz="6" w:space="0" w:color="auto"/>
              <w:right w:val="single" w:sz="6" w:space="0" w:color="auto"/>
            </w:tcBorders>
            <w:noWrap/>
            <w:hideMark/>
          </w:tcPr>
          <w:p w14:paraId="42661466"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łatą 4-metrową co 20 metrów</w:t>
            </w:r>
          </w:p>
        </w:tc>
      </w:tr>
      <w:tr w:rsidR="00955A27" w:rsidRPr="001667DB" w14:paraId="37A3F544"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0E069DBA"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07" w:type="dxa"/>
            <w:tcBorders>
              <w:top w:val="single" w:sz="6" w:space="0" w:color="auto"/>
              <w:left w:val="single" w:sz="6" w:space="0" w:color="auto"/>
              <w:bottom w:val="single" w:sz="6" w:space="0" w:color="auto"/>
              <w:right w:val="single" w:sz="6" w:space="0" w:color="auto"/>
            </w:tcBorders>
            <w:noWrap/>
            <w:hideMark/>
          </w:tcPr>
          <w:p w14:paraId="2EDD9F7E"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Równość poprzeczna</w:t>
            </w:r>
          </w:p>
        </w:tc>
        <w:tc>
          <w:tcPr>
            <w:tcW w:w="3507" w:type="dxa"/>
            <w:tcBorders>
              <w:top w:val="single" w:sz="6" w:space="0" w:color="auto"/>
              <w:left w:val="single" w:sz="6" w:space="0" w:color="auto"/>
              <w:bottom w:val="single" w:sz="6" w:space="0" w:color="auto"/>
              <w:right w:val="single" w:sz="6" w:space="0" w:color="auto"/>
            </w:tcBorders>
            <w:noWrap/>
            <w:hideMark/>
          </w:tcPr>
          <w:p w14:paraId="073C8416"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łatą 4-metrową co 20 metrów</w:t>
            </w:r>
          </w:p>
        </w:tc>
      </w:tr>
      <w:tr w:rsidR="00955A27" w:rsidRPr="001667DB" w14:paraId="0E378C87"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2805112A"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07" w:type="dxa"/>
            <w:tcBorders>
              <w:top w:val="single" w:sz="6" w:space="0" w:color="auto"/>
              <w:left w:val="single" w:sz="6" w:space="0" w:color="auto"/>
              <w:bottom w:val="single" w:sz="6" w:space="0" w:color="auto"/>
              <w:right w:val="single" w:sz="6" w:space="0" w:color="auto"/>
            </w:tcBorders>
            <w:noWrap/>
            <w:hideMark/>
          </w:tcPr>
          <w:p w14:paraId="65703B77"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Spadki poprzeczne</w:t>
            </w:r>
          </w:p>
        </w:tc>
        <w:tc>
          <w:tcPr>
            <w:tcW w:w="3507" w:type="dxa"/>
            <w:tcBorders>
              <w:top w:val="single" w:sz="6" w:space="0" w:color="auto"/>
              <w:left w:val="single" w:sz="6" w:space="0" w:color="auto"/>
              <w:bottom w:val="single" w:sz="6" w:space="0" w:color="auto"/>
              <w:right w:val="single" w:sz="6" w:space="0" w:color="auto"/>
            </w:tcBorders>
            <w:noWrap/>
            <w:hideMark/>
          </w:tcPr>
          <w:p w14:paraId="1DA641D0"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50 m</w:t>
            </w:r>
          </w:p>
        </w:tc>
      </w:tr>
      <w:tr w:rsidR="00955A27" w:rsidRPr="001667DB" w14:paraId="3701AE0B"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0416C0DB"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07" w:type="dxa"/>
            <w:tcBorders>
              <w:top w:val="single" w:sz="6" w:space="0" w:color="auto"/>
              <w:left w:val="single" w:sz="6" w:space="0" w:color="auto"/>
              <w:bottom w:val="single" w:sz="6" w:space="0" w:color="auto"/>
              <w:right w:val="single" w:sz="6" w:space="0" w:color="auto"/>
            </w:tcBorders>
            <w:noWrap/>
            <w:hideMark/>
          </w:tcPr>
          <w:p w14:paraId="77F152AB"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Szerokość frezowania</w:t>
            </w:r>
          </w:p>
        </w:tc>
        <w:tc>
          <w:tcPr>
            <w:tcW w:w="3507" w:type="dxa"/>
            <w:tcBorders>
              <w:top w:val="single" w:sz="6" w:space="0" w:color="auto"/>
              <w:left w:val="single" w:sz="6" w:space="0" w:color="auto"/>
              <w:bottom w:val="single" w:sz="6" w:space="0" w:color="auto"/>
              <w:right w:val="single" w:sz="6" w:space="0" w:color="auto"/>
            </w:tcBorders>
            <w:noWrap/>
            <w:hideMark/>
          </w:tcPr>
          <w:p w14:paraId="7FFD6467"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50 m</w:t>
            </w:r>
          </w:p>
        </w:tc>
      </w:tr>
      <w:tr w:rsidR="00955A27" w:rsidRPr="001667DB" w14:paraId="7834026F"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567EA1C1" w14:textId="77777777" w:rsidR="00955A27" w:rsidRPr="001667DB" w:rsidRDefault="00955A27" w:rsidP="00955A27">
            <w:pPr>
              <w:overflowPunct w:val="0"/>
              <w:autoSpaceDE w:val="0"/>
              <w:autoSpaceDN w:val="0"/>
              <w:adjustRightInd w:val="0"/>
              <w:spacing w:before="6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507" w:type="dxa"/>
            <w:tcBorders>
              <w:top w:val="single" w:sz="6" w:space="0" w:color="auto"/>
              <w:left w:val="single" w:sz="6" w:space="0" w:color="auto"/>
              <w:bottom w:val="single" w:sz="6" w:space="0" w:color="auto"/>
              <w:right w:val="single" w:sz="6" w:space="0" w:color="auto"/>
            </w:tcBorders>
            <w:noWrap/>
            <w:hideMark/>
          </w:tcPr>
          <w:p w14:paraId="53104713"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Głębokość frezowania</w:t>
            </w:r>
          </w:p>
        </w:tc>
        <w:tc>
          <w:tcPr>
            <w:tcW w:w="3507" w:type="dxa"/>
            <w:tcBorders>
              <w:top w:val="single" w:sz="6" w:space="0" w:color="auto"/>
              <w:left w:val="single" w:sz="6" w:space="0" w:color="auto"/>
              <w:bottom w:val="single" w:sz="6" w:space="0" w:color="auto"/>
              <w:right w:val="single" w:sz="6" w:space="0" w:color="auto"/>
            </w:tcBorders>
            <w:noWrap/>
            <w:hideMark/>
          </w:tcPr>
          <w:p w14:paraId="32837533" w14:textId="77777777" w:rsidR="00955A27" w:rsidRPr="001667DB" w:rsidRDefault="00955A27" w:rsidP="00955A27">
            <w:pPr>
              <w:overflowPunct w:val="0"/>
              <w:autoSpaceDE w:val="0"/>
              <w:autoSpaceDN w:val="0"/>
              <w:adjustRightInd w:val="0"/>
              <w:spacing w:before="6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na bieżąco, według ST</w:t>
            </w:r>
          </w:p>
        </w:tc>
      </w:tr>
    </w:tbl>
    <w:p w14:paraId="7E4E6584" w14:textId="77777777" w:rsidR="00955A27" w:rsidRPr="001667DB" w:rsidRDefault="00955A27" w:rsidP="00A9424D">
      <w:pPr>
        <w:spacing w:before="24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6.2.2. </w:t>
      </w:r>
      <w:r w:rsidRPr="001667DB">
        <w:rPr>
          <w:rFonts w:ascii="Times New Roman" w:hAnsi="Times New Roman" w:cs="Times New Roman"/>
          <w:color w:val="000000" w:themeColor="text1"/>
        </w:rPr>
        <w:t>Równość nawierzchni</w:t>
      </w:r>
    </w:p>
    <w:p w14:paraId="20996946"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Nierówności powierzchni po frezowaniu mierzone łatą 4-metrową zgodnie z BN-68/8931-04 [1] nie powinny przekraczać 6 mm.</w:t>
      </w:r>
    </w:p>
    <w:p w14:paraId="386860B2"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6.2.3. </w:t>
      </w:r>
      <w:r w:rsidRPr="001667DB">
        <w:rPr>
          <w:rFonts w:ascii="Times New Roman" w:hAnsi="Times New Roman" w:cs="Times New Roman"/>
          <w:color w:val="000000" w:themeColor="text1"/>
        </w:rPr>
        <w:t>Spadki poprzeczne</w:t>
      </w:r>
    </w:p>
    <w:p w14:paraId="17526455"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Spadki poprzeczne nawierzchni po frezowaniu powinny być zgodne z dokumentacją projektową, z tolerancją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0,5%.</w:t>
      </w:r>
    </w:p>
    <w:p w14:paraId="4EDFD849"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6.2.4. </w:t>
      </w:r>
      <w:r w:rsidRPr="001667DB">
        <w:rPr>
          <w:rFonts w:ascii="Times New Roman" w:hAnsi="Times New Roman" w:cs="Times New Roman"/>
          <w:color w:val="000000" w:themeColor="text1"/>
        </w:rPr>
        <w:t>Szerokość frezowania</w:t>
      </w:r>
    </w:p>
    <w:p w14:paraId="7C794654"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Szerokość frezowania powinna odpowiadać szerokości określonej w dokumentacji projektowej z dokładnością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5 cm.</w:t>
      </w:r>
    </w:p>
    <w:p w14:paraId="538BEE3D"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6.2.5. </w:t>
      </w:r>
      <w:r w:rsidRPr="001667DB">
        <w:rPr>
          <w:rFonts w:ascii="Times New Roman" w:hAnsi="Times New Roman" w:cs="Times New Roman"/>
          <w:color w:val="000000" w:themeColor="text1"/>
        </w:rPr>
        <w:t>Głębokość frezowania</w:t>
      </w:r>
    </w:p>
    <w:p w14:paraId="3A3F7F64" w14:textId="77777777" w:rsidR="00955A27" w:rsidRPr="001667DB" w:rsidRDefault="00955A27" w:rsidP="00A9424D">
      <w:pPr>
        <w:spacing w:before="120"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Głębokość frezowania powinna odpowiadać głębokości określonej w dokumentacji projektowej z dokładnością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5 mm.</w:t>
      </w:r>
    </w:p>
    <w:p w14:paraId="3106E204"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Powyższe ustalenia dotyczące dokładności frezowania nie dotyczą wyburzenia kilku lub wszystkich warstw nawierzchni przy naprawach kapitalnych. W takim przypadku wymagania powinny być określone w ST w dostosowaniu do potrzeb wynikających z przyjętej technologii naprawy.</w:t>
      </w:r>
    </w:p>
    <w:p w14:paraId="70198041"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71" w:name="_7._obmiar_robót_2"/>
      <w:bookmarkEnd w:id="471"/>
      <w:r w:rsidRPr="001667DB">
        <w:rPr>
          <w:color w:val="000000" w:themeColor="text1"/>
          <w:sz w:val="22"/>
          <w:szCs w:val="22"/>
        </w:rPr>
        <w:t>obmiar robót</w:t>
      </w:r>
    </w:p>
    <w:p w14:paraId="1D5A1E6C"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zasady obmiaru robót</w:t>
      </w:r>
    </w:p>
    <w:p w14:paraId="254DE2C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pkt 7.</w:t>
      </w:r>
    </w:p>
    <w:p w14:paraId="380212C9"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lastRenderedPageBreak/>
        <w:t>Jednostka obmiarowa</w:t>
      </w:r>
    </w:p>
    <w:p w14:paraId="429773B9"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w:t>
      </w:r>
    </w:p>
    <w:p w14:paraId="473F5DB8"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72" w:name="_8._odbiór_robót_2"/>
      <w:bookmarkEnd w:id="472"/>
      <w:r w:rsidRPr="001667DB">
        <w:rPr>
          <w:color w:val="000000" w:themeColor="text1"/>
          <w:sz w:val="22"/>
          <w:szCs w:val="22"/>
        </w:rPr>
        <w:t>odbiór robót</w:t>
      </w:r>
    </w:p>
    <w:p w14:paraId="64FB29B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pkt 8.</w:t>
      </w:r>
    </w:p>
    <w:p w14:paraId="127B60F1"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2242B7C6"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73" w:name="_9._podstawa_płatności_2"/>
      <w:bookmarkEnd w:id="473"/>
      <w:r w:rsidRPr="001667DB">
        <w:rPr>
          <w:color w:val="000000" w:themeColor="text1"/>
          <w:sz w:val="22"/>
          <w:szCs w:val="22"/>
        </w:rPr>
        <w:t>podstawa płatności</w:t>
      </w:r>
    </w:p>
    <w:p w14:paraId="7490DF93"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r w:rsidRPr="001667DB">
        <w:rPr>
          <w:color w:val="000000" w:themeColor="text1"/>
          <w:sz w:val="22"/>
          <w:szCs w:val="22"/>
        </w:rPr>
        <w:t>Ogólne ustalenia dotyczące podstawy płatności</w:t>
      </w:r>
    </w:p>
    <w:p w14:paraId="74DDF087"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60" w:line="360" w:lineRule="auto"/>
        <w:jc w:val="both"/>
        <w:rPr>
          <w:b w:val="0"/>
          <w:color w:val="000000" w:themeColor="text1"/>
          <w:sz w:val="22"/>
          <w:szCs w:val="22"/>
        </w:rPr>
      </w:pPr>
      <w:r w:rsidRPr="001667DB">
        <w:rPr>
          <w:b w:val="0"/>
          <w:color w:val="000000" w:themeColor="text1"/>
          <w:sz w:val="22"/>
          <w:szCs w:val="22"/>
        </w:rPr>
        <w:tab/>
        <w:t>Ogólne ustalenia dotyczące podstawy płatności podano w ST D-00.00.00 „Wymagania ogólne” pkt 9.</w:t>
      </w:r>
      <w:r w:rsidRPr="001667DB">
        <w:rPr>
          <w:b w:val="0"/>
          <w:color w:val="000000" w:themeColor="text1"/>
          <w:sz w:val="22"/>
          <w:szCs w:val="22"/>
        </w:rPr>
        <w:tab/>
      </w:r>
    </w:p>
    <w:p w14:paraId="01615B11" w14:textId="77777777" w:rsidR="00955A27" w:rsidRPr="001667DB" w:rsidRDefault="00955A27" w:rsidP="00904E6C">
      <w:pPr>
        <w:pStyle w:val="Nagwek2"/>
        <w:numPr>
          <w:ilvl w:val="1"/>
          <w:numId w:val="178"/>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line="360" w:lineRule="auto"/>
        <w:jc w:val="both"/>
        <w:rPr>
          <w:color w:val="000000" w:themeColor="text1"/>
          <w:sz w:val="22"/>
          <w:szCs w:val="22"/>
        </w:rPr>
      </w:pPr>
      <w:r w:rsidRPr="001667DB">
        <w:rPr>
          <w:color w:val="000000" w:themeColor="text1"/>
          <w:sz w:val="22"/>
          <w:szCs w:val="22"/>
        </w:rPr>
        <w:t>Cena jednostki obmiarowej</w:t>
      </w:r>
    </w:p>
    <w:p w14:paraId="0EEF3D92"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1 m</w:t>
      </w: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 xml:space="preserve"> frezowania na zimno nawierzchni asfaltowej obejmuje:</w:t>
      </w:r>
    </w:p>
    <w:p w14:paraId="0B19CBD5" w14:textId="77777777" w:rsidR="00955A27" w:rsidRPr="001667DB" w:rsidRDefault="00955A27"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w:t>
      </w:r>
    </w:p>
    <w:p w14:paraId="77AD556C" w14:textId="77777777" w:rsidR="00955A27" w:rsidRPr="001667DB" w:rsidRDefault="00955A27"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4FB30AC7" w14:textId="77777777" w:rsidR="00955A27" w:rsidRPr="001667DB" w:rsidRDefault="00955A27"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frezowanie,</w:t>
      </w:r>
    </w:p>
    <w:p w14:paraId="22B1642A" w14:textId="77777777" w:rsidR="00955A27" w:rsidRDefault="00955A27"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transport sfrezowanego materiału,</w:t>
      </w:r>
    </w:p>
    <w:p w14:paraId="0A5C5A01" w14:textId="77777777" w:rsidR="003D1C23" w:rsidRPr="001667DB" w:rsidRDefault="003D1C23"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Pr>
          <w:rFonts w:ascii="Times New Roman" w:hAnsi="Times New Roman" w:cs="Times New Roman"/>
          <w:color w:val="000000" w:themeColor="text1"/>
        </w:rPr>
        <w:t>utylizacje frezowiny,</w:t>
      </w:r>
    </w:p>
    <w:p w14:paraId="13F59B6D" w14:textId="77777777" w:rsidR="00955A27" w:rsidRPr="001667DB" w:rsidRDefault="00955A27" w:rsidP="00904E6C">
      <w:pPr>
        <w:numPr>
          <w:ilvl w:val="0"/>
          <w:numId w:val="180"/>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wymaganych w specyfikacji technicznej.</w:t>
      </w:r>
    </w:p>
    <w:p w14:paraId="50586DE0" w14:textId="77777777" w:rsidR="00955A27" w:rsidRPr="001667DB" w:rsidRDefault="00955A27" w:rsidP="00904E6C">
      <w:pPr>
        <w:pStyle w:val="Nagwek1"/>
        <w:numPr>
          <w:ilvl w:val="0"/>
          <w:numId w:val="178"/>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jc w:val="both"/>
        <w:rPr>
          <w:color w:val="000000" w:themeColor="text1"/>
          <w:sz w:val="22"/>
          <w:szCs w:val="22"/>
        </w:rPr>
      </w:pPr>
      <w:bookmarkStart w:id="474" w:name="_10._przepisy_związane_2"/>
      <w:bookmarkEnd w:id="474"/>
      <w:r w:rsidRPr="001667DB">
        <w:rPr>
          <w:color w:val="000000" w:themeColor="text1"/>
          <w:sz w:val="22"/>
          <w:szCs w:val="22"/>
        </w:rPr>
        <w:t>przepisy związane</w:t>
      </w:r>
    </w:p>
    <w:p w14:paraId="6B7C1CF0" w14:textId="77777777" w:rsidR="00955A27" w:rsidRPr="001667DB" w:rsidRDefault="00955A27" w:rsidP="00A9424D">
      <w:pPr>
        <w:spacing w:after="120" w:line="360"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Normy</w:t>
      </w:r>
      <w:r w:rsidRPr="001667DB">
        <w:rPr>
          <w:rFonts w:ascii="Times New Roman" w:hAnsi="Times New Roman" w:cs="Times New Roman"/>
          <w:color w:val="000000" w:themeColor="text1"/>
        </w:rPr>
        <w:tab/>
      </w:r>
    </w:p>
    <w:p w14:paraId="136F18FA" w14:textId="77777777" w:rsidR="00955A27" w:rsidRPr="001667DB" w:rsidRDefault="00955A27" w:rsidP="00A9424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 BN-68/8931-04</w:t>
      </w:r>
      <w:r w:rsidRPr="001667DB">
        <w:rPr>
          <w:rFonts w:ascii="Times New Roman" w:hAnsi="Times New Roman" w:cs="Times New Roman"/>
          <w:color w:val="000000" w:themeColor="text1"/>
        </w:rPr>
        <w:tab/>
        <w:t>Drogi samochodowe. Pomiar równości nawierzchni planografem i łatą.</w:t>
      </w:r>
    </w:p>
    <w:p w14:paraId="281DF6FA" w14:textId="77777777" w:rsidR="00F30637" w:rsidRPr="001667DB" w:rsidRDefault="00F30637" w:rsidP="00A9424D">
      <w:pPr>
        <w:jc w:val="both"/>
        <w:rPr>
          <w:rFonts w:ascii="Times New Roman" w:hAnsi="Times New Roman" w:cs="Times New Roman"/>
          <w:b/>
          <w:color w:val="000000" w:themeColor="text1"/>
        </w:rPr>
      </w:pPr>
      <w:bookmarkStart w:id="475" w:name="_Toc34729988"/>
      <w:bookmarkStart w:id="476" w:name="_Toc40186510"/>
      <w:bookmarkStart w:id="477" w:name="_Toc55060"/>
      <w:r w:rsidRPr="001667DB">
        <w:rPr>
          <w:rFonts w:ascii="Times New Roman" w:hAnsi="Times New Roman" w:cs="Times New Roman"/>
          <w:b/>
          <w:color w:val="000000" w:themeColor="text1"/>
        </w:rPr>
        <w:br w:type="page"/>
      </w:r>
    </w:p>
    <w:p w14:paraId="2098AB97" w14:textId="77777777" w:rsidR="00955A27" w:rsidRPr="001667DB" w:rsidRDefault="00955A27" w:rsidP="00A9424D">
      <w:pPr>
        <w:tabs>
          <w:tab w:val="left" w:pos="2300"/>
        </w:tabs>
        <w:spacing w:after="120" w:line="360" w:lineRule="auto"/>
        <w:jc w:val="both"/>
        <w:rPr>
          <w:rFonts w:ascii="Times New Roman" w:hAnsi="Times New Roman" w:cs="Times New Roman"/>
          <w:b/>
          <w:bCs/>
          <w:color w:val="000000" w:themeColor="text1"/>
        </w:rPr>
      </w:pPr>
      <w:r w:rsidRPr="001667DB">
        <w:rPr>
          <w:rFonts w:ascii="Times New Roman" w:hAnsi="Times New Roman" w:cs="Times New Roman"/>
          <w:b/>
          <w:color w:val="000000" w:themeColor="text1"/>
        </w:rPr>
        <w:lastRenderedPageBreak/>
        <w:t>D.05.03.13</w:t>
      </w:r>
      <w:r w:rsidR="006B57B3">
        <w:rPr>
          <w:rFonts w:ascii="Times New Roman" w:hAnsi="Times New Roman" w:cs="Times New Roman"/>
          <w:b/>
          <w:color w:val="000000" w:themeColor="text1"/>
        </w:rPr>
        <w:t>a</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r>
      <w:bookmarkEnd w:id="475"/>
      <w:bookmarkEnd w:id="476"/>
      <w:r w:rsidRPr="001667DB">
        <w:rPr>
          <w:rFonts w:ascii="Times New Roman" w:hAnsi="Times New Roman" w:cs="Times New Roman"/>
          <w:b/>
          <w:bCs/>
          <w:color w:val="000000" w:themeColor="text1"/>
        </w:rPr>
        <w:t>WARSTWA ŚCIERALNA Z MIESZANKI SMA</w:t>
      </w:r>
    </w:p>
    <w:p w14:paraId="1BFB805F" w14:textId="77777777" w:rsidR="00955A27" w:rsidRPr="00326BBF" w:rsidRDefault="00955A27" w:rsidP="00A9424D">
      <w:pPr>
        <w:pStyle w:val="Nagwek1"/>
        <w:tabs>
          <w:tab w:val="center" w:pos="972"/>
        </w:tabs>
        <w:spacing w:line="360" w:lineRule="auto"/>
        <w:ind w:left="-3"/>
        <w:jc w:val="both"/>
        <w:rPr>
          <w:color w:val="000000" w:themeColor="text1"/>
          <w:sz w:val="22"/>
          <w:szCs w:val="22"/>
          <w:lang w:val="pl-PL"/>
        </w:rPr>
      </w:pPr>
      <w:r w:rsidRPr="00326BBF">
        <w:rPr>
          <w:color w:val="000000" w:themeColor="text1"/>
          <w:sz w:val="22"/>
          <w:szCs w:val="22"/>
          <w:lang w:val="pl-PL"/>
        </w:rPr>
        <w:t>1.</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WSTĘP </w:t>
      </w:r>
      <w:bookmarkEnd w:id="477"/>
    </w:p>
    <w:p w14:paraId="1A787F0D" w14:textId="77777777" w:rsidR="00955A27" w:rsidRPr="001667DB" w:rsidRDefault="00955A27" w:rsidP="00A9424D">
      <w:pPr>
        <w:pStyle w:val="Nagwek2"/>
        <w:spacing w:line="360" w:lineRule="auto"/>
        <w:ind w:left="7"/>
        <w:jc w:val="both"/>
        <w:rPr>
          <w:color w:val="000000" w:themeColor="text1"/>
          <w:sz w:val="22"/>
          <w:szCs w:val="22"/>
        </w:rPr>
      </w:pPr>
      <w:bookmarkStart w:id="478" w:name="_Toc55061"/>
      <w:r w:rsidRPr="001667DB">
        <w:rPr>
          <w:color w:val="000000" w:themeColor="text1"/>
          <w:sz w:val="22"/>
          <w:szCs w:val="22"/>
        </w:rPr>
        <w:t>1.1.</w:t>
      </w:r>
      <w:r w:rsidRPr="001667DB">
        <w:rPr>
          <w:rFonts w:eastAsia="Arial"/>
          <w:color w:val="000000" w:themeColor="text1"/>
          <w:sz w:val="22"/>
          <w:szCs w:val="22"/>
        </w:rPr>
        <w:t xml:space="preserve"> </w:t>
      </w:r>
      <w:r w:rsidRPr="001667DB">
        <w:rPr>
          <w:color w:val="000000" w:themeColor="text1"/>
          <w:sz w:val="22"/>
          <w:szCs w:val="22"/>
        </w:rPr>
        <w:t xml:space="preserve">Nazwa zadania </w:t>
      </w:r>
      <w:bookmarkEnd w:id="478"/>
    </w:p>
    <w:p w14:paraId="1BAED497" w14:textId="77777777" w:rsidR="00842E1B" w:rsidRPr="001667DB" w:rsidRDefault="00842E1B" w:rsidP="00A9424D">
      <w:pPr>
        <w:spacing w:after="120" w:line="360" w:lineRule="auto"/>
        <w:ind w:left="142"/>
        <w:jc w:val="both"/>
        <w:rPr>
          <w:rFonts w:ascii="Times New Roman" w:hAnsi="Times New Roman" w:cs="Times New Roman"/>
          <w:color w:val="000000" w:themeColor="text1"/>
        </w:rPr>
      </w:pPr>
      <w:bookmarkStart w:id="479" w:name="_Toc55062"/>
      <w:r w:rsidRPr="00842E1B">
        <w:rPr>
          <w:rFonts w:ascii="Times New Roman" w:hAnsi="Times New Roman" w:cs="Times New Roman"/>
          <w:color w:val="000000" w:themeColor="text1"/>
        </w:rPr>
        <w:t xml:space="preserve"> „Rozbudowa drogi wojewódzkiej nr 461 w m. Dąbrówka Łubniańska i Łubniany” – Etap I ( km od 9+741,88 do 10+371,13)</w:t>
      </w:r>
    </w:p>
    <w:p w14:paraId="1D1E678B" w14:textId="77777777" w:rsidR="00955A27" w:rsidRPr="001667DB" w:rsidRDefault="00955A27" w:rsidP="00A9424D">
      <w:pPr>
        <w:pStyle w:val="Nagwek2"/>
        <w:spacing w:line="360" w:lineRule="auto"/>
        <w:ind w:left="7"/>
        <w:jc w:val="both"/>
        <w:rPr>
          <w:color w:val="000000" w:themeColor="text1"/>
          <w:sz w:val="22"/>
          <w:szCs w:val="22"/>
        </w:rPr>
      </w:pPr>
      <w:r w:rsidRPr="001667DB">
        <w:rPr>
          <w:color w:val="000000" w:themeColor="text1"/>
          <w:sz w:val="22"/>
          <w:szCs w:val="22"/>
        </w:rPr>
        <w:t>1.2.</w:t>
      </w:r>
      <w:r w:rsidRPr="001667DB">
        <w:rPr>
          <w:rFonts w:eastAsia="Arial"/>
          <w:color w:val="000000" w:themeColor="text1"/>
          <w:sz w:val="22"/>
          <w:szCs w:val="22"/>
        </w:rPr>
        <w:t xml:space="preserve"> </w:t>
      </w:r>
      <w:r w:rsidRPr="001667DB">
        <w:rPr>
          <w:color w:val="000000" w:themeColor="text1"/>
          <w:sz w:val="22"/>
          <w:szCs w:val="22"/>
        </w:rPr>
        <w:t xml:space="preserve">Przedmiot STWiOR </w:t>
      </w:r>
      <w:bookmarkEnd w:id="479"/>
    </w:p>
    <w:p w14:paraId="32770C4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Przedmiotem niniejszych Warunków Wykonania i Odbioru Robót Budowlanych (STWiORB) są wymagania dotyczące wykonania i odbioru robót związanych z wykonaniem warstwy ścieralnej z mieszanki mastyksowo-grysowej (SMA). </w:t>
      </w:r>
    </w:p>
    <w:p w14:paraId="1C1FA06B" w14:textId="77777777" w:rsidR="00955A27" w:rsidRPr="001667DB" w:rsidRDefault="00955A27" w:rsidP="00A9424D">
      <w:pPr>
        <w:pStyle w:val="Nagwek2"/>
        <w:spacing w:line="360" w:lineRule="auto"/>
        <w:ind w:left="7"/>
        <w:jc w:val="both"/>
        <w:rPr>
          <w:color w:val="000000" w:themeColor="text1"/>
          <w:sz w:val="22"/>
          <w:szCs w:val="22"/>
        </w:rPr>
      </w:pPr>
      <w:bookmarkStart w:id="480" w:name="_Toc55063"/>
      <w:r w:rsidRPr="001667DB">
        <w:rPr>
          <w:color w:val="000000" w:themeColor="text1"/>
          <w:sz w:val="22"/>
          <w:szCs w:val="22"/>
        </w:rPr>
        <w:t>1.3.</w:t>
      </w:r>
      <w:r w:rsidRPr="001667DB">
        <w:rPr>
          <w:rFonts w:eastAsia="Arial"/>
          <w:color w:val="000000" w:themeColor="text1"/>
          <w:sz w:val="22"/>
          <w:szCs w:val="22"/>
        </w:rPr>
        <w:t xml:space="preserve"> </w:t>
      </w:r>
      <w:r w:rsidRPr="001667DB">
        <w:rPr>
          <w:color w:val="000000" w:themeColor="text1"/>
          <w:sz w:val="22"/>
          <w:szCs w:val="22"/>
        </w:rPr>
        <w:t xml:space="preserve">Zakres stosowania STWiORB </w:t>
      </w:r>
      <w:bookmarkEnd w:id="480"/>
    </w:p>
    <w:p w14:paraId="0459F66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Niniejsza SST dotyczy wykonania warstwy ścieralnej z SMA:</w:t>
      </w:r>
    </w:p>
    <w:p w14:paraId="0A4F6701" w14:textId="77777777" w:rsidR="004662D8" w:rsidRPr="006D312E" w:rsidRDefault="0063783E" w:rsidP="006D312E">
      <w:pPr>
        <w:numPr>
          <w:ilvl w:val="0"/>
          <w:numId w:val="203"/>
        </w:numPr>
        <w:spacing w:after="120" w:line="360" w:lineRule="auto"/>
        <w:ind w:left="567" w:right="1"/>
        <w:jc w:val="both"/>
        <w:rPr>
          <w:rFonts w:ascii="Times New Roman" w:hAnsi="Times New Roman" w:cs="Times New Roman"/>
          <w:b/>
          <w:color w:val="000000" w:themeColor="text1"/>
          <w:u w:val="single"/>
        </w:rPr>
      </w:pPr>
      <w:r>
        <w:rPr>
          <w:rFonts w:ascii="Times New Roman" w:hAnsi="Times New Roman" w:cs="Times New Roman"/>
          <w:b/>
          <w:color w:val="000000" w:themeColor="text1"/>
          <w:u w:val="single"/>
        </w:rPr>
        <w:t>SMA8</w:t>
      </w:r>
      <w:r w:rsidR="00955A27" w:rsidRPr="001667DB">
        <w:rPr>
          <w:rFonts w:ascii="Times New Roman" w:hAnsi="Times New Roman" w:cs="Times New Roman"/>
          <w:b/>
          <w:color w:val="000000" w:themeColor="text1"/>
          <w:u w:val="single"/>
        </w:rPr>
        <w:t xml:space="preserve"> z PMB 45/80 – 65, grubości 4 cm – (KR4)</w:t>
      </w:r>
    </w:p>
    <w:p w14:paraId="232F35B5" w14:textId="77777777" w:rsidR="00955A27" w:rsidRPr="001667DB" w:rsidRDefault="00955A27" w:rsidP="00A9424D">
      <w:pPr>
        <w:pStyle w:val="Nagwek2"/>
        <w:spacing w:line="360" w:lineRule="auto"/>
        <w:ind w:left="7"/>
        <w:jc w:val="both"/>
        <w:rPr>
          <w:color w:val="000000" w:themeColor="text1"/>
          <w:sz w:val="22"/>
          <w:szCs w:val="22"/>
        </w:rPr>
      </w:pPr>
      <w:bookmarkStart w:id="481" w:name="_Toc55065"/>
      <w:r w:rsidRPr="001667DB">
        <w:rPr>
          <w:color w:val="000000" w:themeColor="text1"/>
          <w:sz w:val="22"/>
          <w:szCs w:val="22"/>
        </w:rPr>
        <w:t>1.5.</w:t>
      </w:r>
      <w:r w:rsidRPr="001667DB">
        <w:rPr>
          <w:rFonts w:eastAsia="Arial"/>
          <w:color w:val="000000" w:themeColor="text1"/>
          <w:sz w:val="22"/>
          <w:szCs w:val="22"/>
        </w:rPr>
        <w:t xml:space="preserve"> </w:t>
      </w:r>
      <w:r w:rsidRPr="001667DB">
        <w:rPr>
          <w:color w:val="000000" w:themeColor="text1"/>
          <w:sz w:val="22"/>
          <w:szCs w:val="22"/>
        </w:rPr>
        <w:t xml:space="preserve">Określenia podstawowe </w:t>
      </w:r>
      <w:bookmarkEnd w:id="481"/>
    </w:p>
    <w:p w14:paraId="652C17E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Definicje i określenia podano w D-M-00.00.00 "Wymagania ogólne", oraz w przepisach związanych wyszczególnionych w pkt. 10 niniejszego STWiORB. </w:t>
      </w:r>
    </w:p>
    <w:p w14:paraId="679DC6C4" w14:textId="77777777" w:rsidR="00955A27" w:rsidRPr="001667DB" w:rsidRDefault="00955A27" w:rsidP="00A9424D">
      <w:pPr>
        <w:pStyle w:val="Nagwek2"/>
        <w:spacing w:line="360" w:lineRule="auto"/>
        <w:ind w:left="7"/>
        <w:jc w:val="both"/>
        <w:rPr>
          <w:color w:val="000000" w:themeColor="text1"/>
          <w:sz w:val="22"/>
          <w:szCs w:val="22"/>
        </w:rPr>
      </w:pPr>
      <w:bookmarkStart w:id="482" w:name="_Toc55066"/>
      <w:r w:rsidRPr="001667DB">
        <w:rPr>
          <w:color w:val="000000" w:themeColor="text1"/>
          <w:sz w:val="22"/>
          <w:szCs w:val="22"/>
        </w:rPr>
        <w:t>1.6.</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robót </w:t>
      </w:r>
      <w:bookmarkEnd w:id="482"/>
    </w:p>
    <w:p w14:paraId="2ADF42D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robót podano w D-M-00.00.00 "Wymagania ogólne". </w:t>
      </w:r>
    </w:p>
    <w:p w14:paraId="521412B0" w14:textId="77777777" w:rsidR="00955A27" w:rsidRPr="00326BBF" w:rsidRDefault="00955A27" w:rsidP="00A9424D">
      <w:pPr>
        <w:pStyle w:val="Nagwek1"/>
        <w:tabs>
          <w:tab w:val="center" w:pos="1235"/>
        </w:tabs>
        <w:spacing w:line="360" w:lineRule="auto"/>
        <w:ind w:left="-3"/>
        <w:jc w:val="both"/>
        <w:rPr>
          <w:color w:val="000000" w:themeColor="text1"/>
          <w:sz w:val="22"/>
          <w:szCs w:val="22"/>
          <w:lang w:val="pl-PL"/>
        </w:rPr>
      </w:pPr>
      <w:bookmarkStart w:id="483" w:name="_Toc55067"/>
      <w:r w:rsidRPr="00326BBF">
        <w:rPr>
          <w:color w:val="000000" w:themeColor="text1"/>
          <w:sz w:val="22"/>
          <w:szCs w:val="22"/>
          <w:lang w:val="pl-PL"/>
        </w:rPr>
        <w:t>2.</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MATERIAŁY </w:t>
      </w:r>
      <w:bookmarkEnd w:id="483"/>
    </w:p>
    <w:p w14:paraId="671DC8F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materiałów, ich pozyskiwania i składowania podano w D-M-00.00.00 "Wymagania ogólne". 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w:t>
      </w:r>
    </w:p>
    <w:p w14:paraId="7CB2D20A"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należy stosować kruszywa ze skał magmowych, metamorficznych lub osadowych za wyjątkiem kruszywa ze skał dolomitowych i wapiennych.</w:t>
      </w:r>
    </w:p>
    <w:p w14:paraId="7330B993" w14:textId="77777777" w:rsidR="00955A27" w:rsidRPr="001667DB" w:rsidRDefault="00955A27" w:rsidP="00A9424D">
      <w:pPr>
        <w:spacing w:after="120" w:line="360"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mieszanki mineralno – asfaltowej nie należy stosować kruszyw sztucznych, organicznych oraz kruszonych żwirów i piasków.</w:t>
      </w:r>
    </w:p>
    <w:p w14:paraId="2F4C24A1"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7260171" w14:textId="77777777" w:rsidR="00955A27" w:rsidRPr="001667DB" w:rsidRDefault="00955A27" w:rsidP="00955A27">
      <w:pPr>
        <w:pStyle w:val="Nagwek2"/>
        <w:spacing w:line="360" w:lineRule="auto"/>
        <w:ind w:left="7"/>
        <w:rPr>
          <w:color w:val="000000" w:themeColor="text1"/>
          <w:sz w:val="22"/>
          <w:szCs w:val="22"/>
        </w:rPr>
      </w:pPr>
      <w:bookmarkStart w:id="484" w:name="_Toc55068"/>
      <w:r w:rsidRPr="001667DB">
        <w:rPr>
          <w:color w:val="000000" w:themeColor="text1"/>
          <w:sz w:val="22"/>
          <w:szCs w:val="22"/>
        </w:rPr>
        <w:lastRenderedPageBreak/>
        <w:t>2.1.</w:t>
      </w:r>
      <w:r w:rsidRPr="001667DB">
        <w:rPr>
          <w:rFonts w:eastAsia="Arial"/>
          <w:color w:val="000000" w:themeColor="text1"/>
          <w:sz w:val="22"/>
          <w:szCs w:val="22"/>
        </w:rPr>
        <w:t xml:space="preserve"> </w:t>
      </w:r>
      <w:r w:rsidRPr="001667DB">
        <w:rPr>
          <w:color w:val="000000" w:themeColor="text1"/>
          <w:sz w:val="22"/>
          <w:szCs w:val="22"/>
        </w:rPr>
        <w:t xml:space="preserve">Rodzaje materiałów </w:t>
      </w:r>
      <w:bookmarkEnd w:id="484"/>
    </w:p>
    <w:p w14:paraId="2812146F"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Rodzaje materiałów stosowanych do mieszanki mineralno-asfaltowej podano w tabeli 1. </w:t>
      </w:r>
    </w:p>
    <w:p w14:paraId="58A6ABA2"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 Rodzaje materiałów do mieszanki mineralno-asfaltowej </w:t>
      </w:r>
    </w:p>
    <w:tbl>
      <w:tblPr>
        <w:tblW w:w="0" w:type="auto"/>
        <w:tblInd w:w="125" w:type="dxa"/>
        <w:tblCellMar>
          <w:top w:w="165" w:type="dxa"/>
          <w:right w:w="38" w:type="dxa"/>
        </w:tblCellMar>
        <w:tblLook w:val="04A0" w:firstRow="1" w:lastRow="0" w:firstColumn="1" w:lastColumn="0" w:noHBand="0" w:noVBand="1"/>
      </w:tblPr>
      <w:tblGrid>
        <w:gridCol w:w="676"/>
        <w:gridCol w:w="3561"/>
        <w:gridCol w:w="4699"/>
      </w:tblGrid>
      <w:tr w:rsidR="00955A27" w:rsidRPr="001667DB" w14:paraId="61DA4206" w14:textId="77777777" w:rsidTr="001B4B8F">
        <w:trPr>
          <w:trHeight w:val="113"/>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13405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Lp. </w:t>
            </w:r>
          </w:p>
          <w:p w14:paraId="369919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A7FF4D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p w14:paraId="09E193E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DF31786"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wg / dokument odniesienia </w:t>
            </w:r>
          </w:p>
        </w:tc>
      </w:tr>
      <w:tr w:rsidR="00955A27" w:rsidRPr="001667DB" w14:paraId="2B6AB662" w14:textId="77777777" w:rsidTr="001B4B8F">
        <w:trPr>
          <w:trHeight w:val="113"/>
        </w:trPr>
        <w:tc>
          <w:tcPr>
            <w:tcW w:w="0" w:type="auto"/>
            <w:vMerge/>
            <w:tcBorders>
              <w:top w:val="nil"/>
              <w:left w:val="single" w:sz="4" w:space="0" w:color="000000"/>
              <w:bottom w:val="single" w:sz="4" w:space="0" w:color="000000"/>
              <w:right w:val="single" w:sz="4" w:space="0" w:color="000000"/>
            </w:tcBorders>
            <w:shd w:val="clear" w:color="auto" w:fill="auto"/>
          </w:tcPr>
          <w:p w14:paraId="0D23D1ED"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nil"/>
              <w:left w:val="single" w:sz="4" w:space="0" w:color="000000"/>
              <w:bottom w:val="single" w:sz="4" w:space="0" w:color="000000"/>
              <w:right w:val="single" w:sz="4" w:space="0" w:color="000000"/>
            </w:tcBorders>
            <w:shd w:val="clear" w:color="auto" w:fill="auto"/>
          </w:tcPr>
          <w:p w14:paraId="32391A3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3B03EEC"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4 </w:t>
            </w:r>
          </w:p>
        </w:tc>
      </w:tr>
      <w:tr w:rsidR="00955A27" w:rsidRPr="001667DB" w14:paraId="4C4E7549"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7E38E7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1.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FDE36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grube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AE8B401" w14:textId="77777777" w:rsidR="00955A27" w:rsidRPr="001667DB" w:rsidRDefault="006C3828" w:rsidP="00955A27">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tabela 16</w:t>
            </w:r>
            <w:r w:rsidR="00955A27" w:rsidRPr="001667DB">
              <w:rPr>
                <w:rFonts w:ascii="Times New Roman" w:hAnsi="Times New Roman" w:cs="Times New Roman"/>
                <w:color w:val="000000" w:themeColor="text1"/>
                <w:vertAlign w:val="superscript"/>
              </w:rPr>
              <w:t>1) 2)</w:t>
            </w:r>
            <w:r w:rsidR="00955A27" w:rsidRPr="001667DB">
              <w:rPr>
                <w:rFonts w:ascii="Times New Roman" w:hAnsi="Times New Roman" w:cs="Times New Roman"/>
                <w:color w:val="000000" w:themeColor="text1"/>
              </w:rPr>
              <w:t xml:space="preserve"> </w:t>
            </w:r>
          </w:p>
        </w:tc>
      </w:tr>
      <w:tr w:rsidR="00955A27" w:rsidRPr="001667DB" w14:paraId="61B6E939"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8F6532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2.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CE0CC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Kruszywo drobne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717A8E2" w14:textId="77777777" w:rsidR="00955A27" w:rsidRPr="001667DB" w:rsidRDefault="006C3828"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xml:space="preserve">, tabela 17 </w:t>
            </w:r>
          </w:p>
        </w:tc>
      </w:tr>
      <w:tr w:rsidR="00955A27" w:rsidRPr="001667DB" w14:paraId="4729262C"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11E2B1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3.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D68D79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A23B6CF" w14:textId="77777777" w:rsidR="00955A27" w:rsidRPr="001667DB" w:rsidRDefault="006C3828"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WT-1 Kruszywa 2016</w:t>
            </w:r>
            <w:r w:rsidR="00955A27" w:rsidRPr="001667DB">
              <w:rPr>
                <w:rFonts w:ascii="Times New Roman" w:hAnsi="Times New Roman" w:cs="Times New Roman"/>
                <w:color w:val="000000" w:themeColor="text1"/>
              </w:rPr>
              <w:t xml:space="preserve">, tabela 18 </w:t>
            </w:r>
          </w:p>
        </w:tc>
      </w:tr>
      <w:tr w:rsidR="00955A27" w:rsidRPr="001667DB" w14:paraId="223DEAC5"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0AA534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14AB1B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98FFC1D" w14:textId="77777777" w:rsidR="00955A27" w:rsidRPr="001667DB" w:rsidRDefault="00955A27" w:rsidP="00955A27">
            <w:pPr>
              <w:spacing w:after="120" w:line="360" w:lineRule="auto"/>
              <w:ind w:left="82"/>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2014 – część I pkt. 8.2.5.1 tab. 25, PN-EN 14023, </w:t>
            </w:r>
          </w:p>
          <w:p w14:paraId="03C7C785" w14:textId="77777777" w:rsidR="00955A27" w:rsidRPr="001667DB" w:rsidRDefault="00955A27" w:rsidP="00955A27">
            <w:pPr>
              <w:spacing w:after="120" w:line="360" w:lineRule="auto"/>
              <w:ind w:right="6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12591, PN-EN 13924-2 </w:t>
            </w:r>
          </w:p>
        </w:tc>
      </w:tr>
      <w:tr w:rsidR="00955A27" w:rsidRPr="001667DB" w14:paraId="5311968A"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C645CE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5.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14D2C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Środek adhezyjny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8A5FE17"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 4.1 PN-EN 13108-5 </w:t>
            </w:r>
          </w:p>
        </w:tc>
      </w:tr>
      <w:tr w:rsidR="00955A27" w:rsidRPr="001667DB" w14:paraId="132F92EC"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4C912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0D13DC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Stabilizator mastyksu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63C5256"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 4.1 PN-EN 13108-5 </w:t>
            </w:r>
          </w:p>
        </w:tc>
      </w:tr>
      <w:tr w:rsidR="00955A27" w:rsidRPr="001667DB" w14:paraId="65DFF624"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3242DD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7.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E00781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Mieszanka mineralnoasfaltowe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30BC7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WT-2 2014– część I pkt. 8.2.5 tab. 26 i 28 </w:t>
            </w:r>
          </w:p>
        </w:tc>
      </w:tr>
      <w:tr w:rsidR="00955A27" w:rsidRPr="001667DB" w14:paraId="6F484883" w14:textId="77777777" w:rsidTr="001B4B8F">
        <w:trPr>
          <w:trHeight w:val="113"/>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BF2BAAA" w14:textId="77777777" w:rsidR="00955A27" w:rsidRPr="001667DB" w:rsidRDefault="00955A27" w:rsidP="00955A27">
            <w:pPr>
              <w:spacing w:after="120" w:line="360" w:lineRule="auto"/>
              <w:ind w:right="65"/>
              <w:rPr>
                <w:rFonts w:ascii="Times New Roman" w:hAnsi="Times New Roman" w:cs="Times New Roman"/>
                <w:color w:val="000000" w:themeColor="text1"/>
              </w:rPr>
            </w:pPr>
            <w:r w:rsidRPr="001667DB">
              <w:rPr>
                <w:rFonts w:ascii="Times New Roman" w:hAnsi="Times New Roman" w:cs="Times New Roman"/>
                <w:color w:val="000000" w:themeColor="text1"/>
                <w:vertAlign w:val="superscript"/>
              </w:rPr>
              <w:t xml:space="preserve">1)  </w:t>
            </w:r>
            <w:r w:rsidRPr="001667DB">
              <w:rPr>
                <w:rFonts w:ascii="Times New Roman" w:hAnsi="Times New Roman" w:cs="Times New Roman"/>
                <w:color w:val="000000" w:themeColor="text1"/>
              </w:rPr>
              <w:t>Dla dróg KR≥5 zaleca się stosowanie jasnych kruszyw tj. posiadających współczynnik luminancji w świetle rozproszonym Q</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≥60 mcd/m2*lx dla kruszywa grubego. Badanie należy wykonać zgodnie z Instrukcją badawczą „Pomiar współczynnika luminancji jasnych nawierzchni asfaltowych” opisaną w Załączniku Nr 4 do WT-2 2014 część 1. Decydującym kryterium oceny jest współczynnik Q</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uzyskany dla próbki MMA wykonanej na etapie projektowania Badania Typu i próbki pobranej z wykonanej nawierzchni.    </w:t>
            </w:r>
          </w:p>
          <w:p w14:paraId="09EFE1B4" w14:textId="77777777" w:rsidR="00955A27" w:rsidRPr="001667DB" w:rsidRDefault="00955A27" w:rsidP="00955A27">
            <w:pPr>
              <w:spacing w:after="120" w:line="360" w:lineRule="auto"/>
              <w:ind w:right="62"/>
              <w:rPr>
                <w:rFonts w:ascii="Times New Roman" w:hAnsi="Times New Roman" w:cs="Times New Roman"/>
                <w:color w:val="000000" w:themeColor="text1"/>
              </w:rPr>
            </w:pPr>
            <w:r w:rsidRPr="001667DB">
              <w:rPr>
                <w:rFonts w:ascii="Times New Roman" w:hAnsi="Times New Roman" w:cs="Times New Roman"/>
                <w:color w:val="000000" w:themeColor="text1"/>
              </w:rPr>
              <w:t xml:space="preserve">W celu osiągnięcia wymaganej jasności nawierzchni, dopuszcza się dodatek sztucznego kruszywa rozjaśniającego w ilości nie przekraczającej 15%. Sztuczne kruszywo musi dodatkowo spełniać wymagania fizyko-mechaniczne określone w niniejszej tabeli 1.  </w:t>
            </w:r>
          </w:p>
          <w:p w14:paraId="52B276FA" w14:textId="77777777" w:rsidR="00955A27" w:rsidRPr="001667DB" w:rsidRDefault="00955A27" w:rsidP="00904E6C">
            <w:pPr>
              <w:numPr>
                <w:ilvl w:val="0"/>
                <w:numId w:val="201"/>
              </w:numPr>
              <w:spacing w:after="120" w:line="360" w:lineRule="auto"/>
              <w:ind w:right="64"/>
              <w:rPr>
                <w:rFonts w:ascii="Times New Roman" w:hAnsi="Times New Roman" w:cs="Times New Roman"/>
                <w:color w:val="000000" w:themeColor="text1"/>
              </w:rPr>
            </w:pPr>
            <w:r w:rsidRPr="001667DB">
              <w:rPr>
                <w:rFonts w:ascii="Times New Roman" w:hAnsi="Times New Roman" w:cs="Times New Roman"/>
                <w:color w:val="000000" w:themeColor="text1"/>
              </w:rPr>
              <w:t>Oprócz ba</w:t>
            </w:r>
            <w:r w:rsidR="006C3828" w:rsidRPr="001667DB">
              <w:rPr>
                <w:rFonts w:ascii="Times New Roman" w:hAnsi="Times New Roman" w:cs="Times New Roman"/>
                <w:color w:val="000000" w:themeColor="text1"/>
              </w:rPr>
              <w:t>dań wymienionych w WT-1 2016</w:t>
            </w:r>
            <w:r w:rsidRPr="001667DB">
              <w:rPr>
                <w:rFonts w:ascii="Times New Roman" w:hAnsi="Times New Roman" w:cs="Times New Roman"/>
                <w:color w:val="000000" w:themeColor="text1"/>
              </w:rPr>
              <w:t xml:space="preserve"> należy przed użyciem przeprowadzić badanie jasności kruszyw </w:t>
            </w:r>
          </w:p>
          <w:p w14:paraId="238B44B1" w14:textId="77777777" w:rsidR="00955A27" w:rsidRPr="001667DB" w:rsidRDefault="00955A27" w:rsidP="00904E6C">
            <w:pPr>
              <w:numPr>
                <w:ilvl w:val="0"/>
                <w:numId w:val="201"/>
              </w:numPr>
              <w:spacing w:after="120" w:line="360" w:lineRule="auto"/>
              <w:ind w:right="64"/>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Wymagania dla mieszanki w zakresie współczynnika luminancji Q</w:t>
            </w:r>
            <w:r w:rsidRPr="001667DB">
              <w:rPr>
                <w:rFonts w:ascii="Times New Roman" w:hAnsi="Times New Roman" w:cs="Times New Roman"/>
                <w:color w:val="000000" w:themeColor="text1"/>
                <w:vertAlign w:val="subscript"/>
              </w:rPr>
              <w:t>d</w:t>
            </w:r>
            <w:r w:rsidRPr="001667DB">
              <w:rPr>
                <w:rFonts w:ascii="Times New Roman" w:hAnsi="Times New Roman" w:cs="Times New Roman"/>
                <w:color w:val="000000" w:themeColor="text1"/>
              </w:rPr>
              <w:t xml:space="preserve"> odnoszą się tylko dla mieszanek stosowanych do nawierzchni dróg KR≥5 na obiektach inżynierskich w ciągu głównym dróg krajowych i autostrad o nawierzchni betonowej oraz dla nawierzchni w tunelach </w:t>
            </w:r>
          </w:p>
          <w:p w14:paraId="30D6F50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Projektowanie mieszanki mineralno-asfaltowej wg WT-2 2014 – część I pkt. 8. </w:t>
            </w:r>
          </w:p>
          <w:p w14:paraId="4183906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produkcji mieszanki SMA nie dopuszcza się stosowania granulatu asfaltowego. </w:t>
            </w:r>
          </w:p>
        </w:tc>
      </w:tr>
    </w:tbl>
    <w:p w14:paraId="4312BC28"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 </w:t>
      </w:r>
    </w:p>
    <w:p w14:paraId="40C91A08" w14:textId="77777777" w:rsidR="00955A27" w:rsidRPr="001667DB" w:rsidRDefault="00955A27" w:rsidP="00955A27">
      <w:pPr>
        <w:pStyle w:val="Nagwek2"/>
        <w:spacing w:line="360" w:lineRule="auto"/>
        <w:ind w:left="7"/>
        <w:rPr>
          <w:color w:val="000000" w:themeColor="text1"/>
          <w:sz w:val="22"/>
          <w:szCs w:val="22"/>
        </w:rPr>
      </w:pPr>
      <w:bookmarkStart w:id="485" w:name="_Toc55069"/>
      <w:r w:rsidRPr="001667DB">
        <w:rPr>
          <w:color w:val="000000" w:themeColor="text1"/>
          <w:sz w:val="22"/>
          <w:szCs w:val="22"/>
        </w:rPr>
        <w:t>2.2.</w:t>
      </w:r>
      <w:r w:rsidRPr="001667DB">
        <w:rPr>
          <w:rFonts w:eastAsia="Arial"/>
          <w:color w:val="000000" w:themeColor="text1"/>
          <w:sz w:val="22"/>
          <w:szCs w:val="22"/>
        </w:rPr>
        <w:t xml:space="preserve"> </w:t>
      </w:r>
      <w:r w:rsidRPr="001667DB">
        <w:rPr>
          <w:color w:val="000000" w:themeColor="text1"/>
          <w:sz w:val="22"/>
          <w:szCs w:val="22"/>
        </w:rPr>
        <w:t xml:space="preserve">Wymagania wobec innych materiałów </w:t>
      </w:r>
      <w:bookmarkEnd w:id="485"/>
    </w:p>
    <w:p w14:paraId="7DF87407" w14:textId="77777777" w:rsidR="00955A27" w:rsidRPr="001667DB" w:rsidRDefault="00955A27" w:rsidP="00955A27">
      <w:pPr>
        <w:pStyle w:val="Nagwek5"/>
        <w:spacing w:line="360" w:lineRule="auto"/>
        <w:ind w:left="7"/>
        <w:rPr>
          <w:color w:val="000000" w:themeColor="text1"/>
          <w:sz w:val="22"/>
          <w:szCs w:val="22"/>
        </w:rPr>
      </w:pPr>
      <w:r w:rsidRPr="001667DB">
        <w:rPr>
          <w:color w:val="000000" w:themeColor="text1"/>
          <w:sz w:val="22"/>
          <w:szCs w:val="22"/>
        </w:rPr>
        <w:t>2.2.1.</w:t>
      </w:r>
      <w:r w:rsidRPr="001667DB">
        <w:rPr>
          <w:rFonts w:eastAsia="Arial"/>
          <w:color w:val="000000" w:themeColor="text1"/>
          <w:sz w:val="22"/>
          <w:szCs w:val="22"/>
        </w:rPr>
        <w:t xml:space="preserve"> </w:t>
      </w:r>
      <w:r w:rsidRPr="001667DB">
        <w:rPr>
          <w:color w:val="000000" w:themeColor="text1"/>
          <w:sz w:val="22"/>
          <w:szCs w:val="22"/>
        </w:rPr>
        <w:t xml:space="preserve">Kruszywa do wykończenia powierzchni warstwy SMA </w:t>
      </w:r>
    </w:p>
    <w:p w14:paraId="3F88298D"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uszorstnienia warstwy z mieszanki SMA będzie użyte kruszywo spełniające wymagania WT-2 2016 część II pkt 7.1.2. </w:t>
      </w:r>
    </w:p>
    <w:p w14:paraId="65AEED8C" w14:textId="77777777" w:rsidR="00955A27" w:rsidRPr="001667DB" w:rsidRDefault="00955A27" w:rsidP="00955A27">
      <w:pPr>
        <w:pStyle w:val="Nagwek5"/>
        <w:spacing w:line="360" w:lineRule="auto"/>
        <w:ind w:left="7"/>
        <w:rPr>
          <w:color w:val="000000" w:themeColor="text1"/>
          <w:sz w:val="22"/>
          <w:szCs w:val="22"/>
        </w:rPr>
      </w:pPr>
      <w:r w:rsidRPr="001667DB">
        <w:rPr>
          <w:color w:val="000000" w:themeColor="text1"/>
          <w:sz w:val="22"/>
          <w:szCs w:val="22"/>
        </w:rPr>
        <w:t>2.2.2.</w:t>
      </w:r>
      <w:r w:rsidRPr="001667DB">
        <w:rPr>
          <w:rFonts w:eastAsia="Arial"/>
          <w:color w:val="000000" w:themeColor="text1"/>
          <w:sz w:val="22"/>
          <w:szCs w:val="22"/>
        </w:rPr>
        <w:t xml:space="preserve"> </w:t>
      </w:r>
      <w:r w:rsidRPr="001667DB">
        <w:rPr>
          <w:color w:val="000000" w:themeColor="text1"/>
          <w:sz w:val="22"/>
          <w:szCs w:val="22"/>
        </w:rPr>
        <w:t xml:space="preserve">Materiały do połączeń technologicznych </w:t>
      </w:r>
    </w:p>
    <w:p w14:paraId="02DC0036"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uszczelniania połączeń technologicznych należy stosować materiały zgodnie z pkt. 7.6.1 WT-2 2016 – część II wg tabel 2 i 3. </w:t>
      </w:r>
    </w:p>
    <w:p w14:paraId="4D00BDC1"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2. Materiały do złączy (podłużnych i poprzecznych wykonywanych metodą „gorące przy zimnym”) </w:t>
      </w:r>
    </w:p>
    <w:tbl>
      <w:tblPr>
        <w:tblW w:w="9872" w:type="dxa"/>
        <w:tblInd w:w="1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right w:w="40" w:type="dxa"/>
        </w:tblCellMar>
        <w:tblLook w:val="04A0" w:firstRow="1" w:lastRow="0" w:firstColumn="1" w:lastColumn="0" w:noHBand="0" w:noVBand="1"/>
      </w:tblPr>
      <w:tblGrid>
        <w:gridCol w:w="1490"/>
        <w:gridCol w:w="919"/>
        <w:gridCol w:w="2927"/>
        <w:gridCol w:w="1418"/>
        <w:gridCol w:w="3118"/>
      </w:tblGrid>
      <w:tr w:rsidR="00955A27" w:rsidRPr="001667DB" w14:paraId="214C020C" w14:textId="77777777" w:rsidTr="001B4B8F">
        <w:trPr>
          <w:trHeight w:val="60"/>
        </w:trPr>
        <w:tc>
          <w:tcPr>
            <w:tcW w:w="1490" w:type="dxa"/>
            <w:vMerge w:val="restart"/>
            <w:shd w:val="clear" w:color="auto" w:fill="auto"/>
            <w:vAlign w:val="center"/>
          </w:tcPr>
          <w:p w14:paraId="307C806A"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warstwy </w:t>
            </w:r>
          </w:p>
        </w:tc>
        <w:tc>
          <w:tcPr>
            <w:tcW w:w="3846" w:type="dxa"/>
            <w:gridSpan w:val="2"/>
            <w:shd w:val="clear" w:color="auto" w:fill="auto"/>
            <w:vAlign w:val="center"/>
          </w:tcPr>
          <w:p w14:paraId="3357312F"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Złącze podłużne </w:t>
            </w:r>
          </w:p>
        </w:tc>
        <w:tc>
          <w:tcPr>
            <w:tcW w:w="4536" w:type="dxa"/>
            <w:gridSpan w:val="2"/>
            <w:shd w:val="clear" w:color="auto" w:fill="auto"/>
            <w:vAlign w:val="center"/>
          </w:tcPr>
          <w:p w14:paraId="3306A74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Złącze poprzeczne </w:t>
            </w:r>
          </w:p>
        </w:tc>
      </w:tr>
      <w:tr w:rsidR="00955A27" w:rsidRPr="001667DB" w14:paraId="6D5070AA" w14:textId="77777777" w:rsidTr="001B4B8F">
        <w:trPr>
          <w:trHeight w:val="60"/>
        </w:trPr>
        <w:tc>
          <w:tcPr>
            <w:tcW w:w="0" w:type="auto"/>
            <w:vMerge/>
            <w:shd w:val="clear" w:color="auto" w:fill="auto"/>
          </w:tcPr>
          <w:p w14:paraId="7BF7431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919" w:type="dxa"/>
            <w:shd w:val="clear" w:color="auto" w:fill="auto"/>
            <w:vAlign w:val="center"/>
          </w:tcPr>
          <w:p w14:paraId="57D7086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2927" w:type="dxa"/>
            <w:shd w:val="clear" w:color="auto" w:fill="auto"/>
            <w:vAlign w:val="center"/>
          </w:tcPr>
          <w:p w14:paraId="6F693E7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c>
          <w:tcPr>
            <w:tcW w:w="1418" w:type="dxa"/>
            <w:shd w:val="clear" w:color="auto" w:fill="auto"/>
            <w:vAlign w:val="center"/>
          </w:tcPr>
          <w:p w14:paraId="338F25A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3118" w:type="dxa"/>
            <w:shd w:val="clear" w:color="auto" w:fill="auto"/>
            <w:vAlign w:val="center"/>
          </w:tcPr>
          <w:p w14:paraId="15A4C61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r>
      <w:tr w:rsidR="00955A27" w:rsidRPr="001667DB" w14:paraId="2A79DEF0" w14:textId="77777777" w:rsidTr="001B4B8F">
        <w:trPr>
          <w:trHeight w:val="60"/>
        </w:trPr>
        <w:tc>
          <w:tcPr>
            <w:tcW w:w="1490" w:type="dxa"/>
            <w:shd w:val="clear" w:color="auto" w:fill="auto"/>
            <w:vAlign w:val="center"/>
          </w:tcPr>
          <w:p w14:paraId="41FF23D1"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ścieralna </w:t>
            </w:r>
          </w:p>
        </w:tc>
        <w:tc>
          <w:tcPr>
            <w:tcW w:w="919" w:type="dxa"/>
            <w:shd w:val="clear" w:color="auto" w:fill="auto"/>
            <w:vAlign w:val="center"/>
          </w:tcPr>
          <w:p w14:paraId="740DDEB7" w14:textId="77777777" w:rsidR="00955A27" w:rsidRPr="001667DB" w:rsidRDefault="00955A27" w:rsidP="006D312E">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6D312E">
              <w:rPr>
                <w:rFonts w:ascii="Times New Roman" w:hAnsi="Times New Roman" w:cs="Times New Roman"/>
                <w:color w:val="000000" w:themeColor="text1"/>
              </w:rPr>
              <w:t>4</w:t>
            </w:r>
            <w:r w:rsidRPr="001667DB">
              <w:rPr>
                <w:rFonts w:ascii="Times New Roman" w:hAnsi="Times New Roman" w:cs="Times New Roman"/>
                <w:color w:val="000000" w:themeColor="text1"/>
              </w:rPr>
              <w:t xml:space="preserve"> </w:t>
            </w:r>
          </w:p>
        </w:tc>
        <w:tc>
          <w:tcPr>
            <w:tcW w:w="2927" w:type="dxa"/>
            <w:shd w:val="clear" w:color="auto" w:fill="auto"/>
            <w:vAlign w:val="center"/>
          </w:tcPr>
          <w:p w14:paraId="532611DC" w14:textId="77777777" w:rsidR="00955A27" w:rsidRPr="001667DB" w:rsidRDefault="00955A27" w:rsidP="00955A27">
            <w:pPr>
              <w:spacing w:after="120" w:line="360" w:lineRule="auto"/>
              <w:ind w:right="72"/>
              <w:rPr>
                <w:rFonts w:ascii="Times New Roman" w:hAnsi="Times New Roman" w:cs="Times New Roman"/>
                <w:color w:val="000000" w:themeColor="text1"/>
              </w:rPr>
            </w:pPr>
            <w:r w:rsidRPr="001667DB">
              <w:rPr>
                <w:rFonts w:ascii="Times New Roman" w:hAnsi="Times New Roman" w:cs="Times New Roman"/>
                <w:color w:val="000000" w:themeColor="text1"/>
              </w:rPr>
              <w:t xml:space="preserve">Elastyczne taśmy bitumiczne + środek gruntujący </w:t>
            </w:r>
          </w:p>
        </w:tc>
        <w:tc>
          <w:tcPr>
            <w:tcW w:w="1418" w:type="dxa"/>
            <w:shd w:val="clear" w:color="auto" w:fill="auto"/>
            <w:vAlign w:val="center"/>
          </w:tcPr>
          <w:p w14:paraId="7687F6AA" w14:textId="77777777" w:rsidR="00955A27" w:rsidRPr="001667DB" w:rsidRDefault="00955A27" w:rsidP="006D312E">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6D312E">
              <w:rPr>
                <w:rFonts w:ascii="Times New Roman" w:hAnsi="Times New Roman" w:cs="Times New Roman"/>
                <w:color w:val="000000" w:themeColor="text1"/>
              </w:rPr>
              <w:t>4</w:t>
            </w:r>
          </w:p>
        </w:tc>
        <w:tc>
          <w:tcPr>
            <w:tcW w:w="3118" w:type="dxa"/>
            <w:shd w:val="clear" w:color="auto" w:fill="auto"/>
            <w:vAlign w:val="center"/>
          </w:tcPr>
          <w:p w14:paraId="590EDE7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Elastyczne taśmy bitumiczne + środek gruntujący </w:t>
            </w:r>
          </w:p>
        </w:tc>
      </w:tr>
    </w:tbl>
    <w:p w14:paraId="206A7741" w14:textId="77777777" w:rsidR="00955A27" w:rsidRPr="001667DB" w:rsidRDefault="00955A27" w:rsidP="00955A27">
      <w:pPr>
        <w:spacing w:after="120" w:line="360" w:lineRule="auto"/>
        <w:ind w:left="12"/>
        <w:rPr>
          <w:rFonts w:ascii="Times New Roman" w:hAnsi="Times New Roman" w:cs="Times New Roman"/>
          <w:color w:val="000000" w:themeColor="text1"/>
        </w:rPr>
      </w:pPr>
    </w:p>
    <w:p w14:paraId="2F6DB8D4"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3. Materiały do spoin między fragmentami zagęszczonej MMA i elementami wyposażenia drogi </w:t>
      </w:r>
    </w:p>
    <w:tbl>
      <w:tblPr>
        <w:tblW w:w="9872" w:type="dxa"/>
        <w:tblInd w:w="17" w:type="dxa"/>
        <w:tblCellMar>
          <w:right w:w="38" w:type="dxa"/>
        </w:tblCellMar>
        <w:tblLook w:val="04A0" w:firstRow="1" w:lastRow="0" w:firstColumn="1" w:lastColumn="0" w:noHBand="0" w:noVBand="1"/>
      </w:tblPr>
      <w:tblGrid>
        <w:gridCol w:w="1978"/>
        <w:gridCol w:w="948"/>
        <w:gridCol w:w="6946"/>
      </w:tblGrid>
      <w:tr w:rsidR="00955A27" w:rsidRPr="001667DB" w14:paraId="164A1335" w14:textId="77777777" w:rsidTr="001B4B8F">
        <w:trPr>
          <w:trHeight w:val="317"/>
        </w:trPr>
        <w:tc>
          <w:tcPr>
            <w:tcW w:w="1978" w:type="dxa"/>
            <w:tcBorders>
              <w:top w:val="single" w:sz="4" w:space="0" w:color="000000"/>
              <w:left w:val="single" w:sz="4" w:space="0" w:color="000000"/>
              <w:bottom w:val="single" w:sz="8" w:space="0" w:color="auto"/>
              <w:right w:val="single" w:sz="4" w:space="0" w:color="000000"/>
            </w:tcBorders>
            <w:shd w:val="clear" w:color="auto" w:fill="auto"/>
            <w:vAlign w:val="center"/>
          </w:tcPr>
          <w:p w14:paraId="1F586A0B"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warstwy </w:t>
            </w:r>
          </w:p>
        </w:tc>
        <w:tc>
          <w:tcPr>
            <w:tcW w:w="948" w:type="dxa"/>
            <w:tcBorders>
              <w:top w:val="single" w:sz="4" w:space="0" w:color="000000"/>
              <w:left w:val="single" w:sz="4" w:space="0" w:color="000000"/>
              <w:bottom w:val="single" w:sz="8" w:space="0" w:color="auto"/>
              <w:right w:val="single" w:sz="4" w:space="0" w:color="000000"/>
            </w:tcBorders>
            <w:shd w:val="clear" w:color="auto" w:fill="auto"/>
            <w:vAlign w:val="center"/>
          </w:tcPr>
          <w:p w14:paraId="1DE8F759"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Ruch </w:t>
            </w:r>
          </w:p>
        </w:tc>
        <w:tc>
          <w:tcPr>
            <w:tcW w:w="6946" w:type="dxa"/>
            <w:tcBorders>
              <w:top w:val="single" w:sz="4" w:space="0" w:color="000000"/>
              <w:left w:val="single" w:sz="4" w:space="0" w:color="000000"/>
              <w:bottom w:val="single" w:sz="8" w:space="0" w:color="auto"/>
              <w:right w:val="single" w:sz="4" w:space="0" w:color="000000"/>
            </w:tcBorders>
            <w:shd w:val="clear" w:color="auto" w:fill="auto"/>
            <w:vAlign w:val="center"/>
          </w:tcPr>
          <w:p w14:paraId="0D65D28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Rodzaj materiału </w:t>
            </w:r>
          </w:p>
        </w:tc>
      </w:tr>
      <w:tr w:rsidR="00955A27" w:rsidRPr="001667DB" w14:paraId="15E70086" w14:textId="77777777" w:rsidTr="001B4B8F">
        <w:trPr>
          <w:trHeight w:val="109"/>
        </w:trPr>
        <w:tc>
          <w:tcPr>
            <w:tcW w:w="1978" w:type="dxa"/>
            <w:tcBorders>
              <w:top w:val="single" w:sz="8" w:space="0" w:color="auto"/>
              <w:left w:val="single" w:sz="8" w:space="0" w:color="auto"/>
              <w:bottom w:val="single" w:sz="8" w:space="0" w:color="auto"/>
              <w:right w:val="single" w:sz="8" w:space="0" w:color="auto"/>
            </w:tcBorders>
            <w:shd w:val="clear" w:color="auto" w:fill="auto"/>
            <w:vAlign w:val="center"/>
          </w:tcPr>
          <w:p w14:paraId="32CF9865" w14:textId="77777777" w:rsidR="00955A27" w:rsidRPr="001667DB" w:rsidRDefault="00955A27" w:rsidP="00955A27">
            <w:pPr>
              <w:spacing w:after="120" w:line="360" w:lineRule="auto"/>
              <w:ind w:left="2"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ścieralna </w:t>
            </w:r>
          </w:p>
        </w:tc>
        <w:tc>
          <w:tcPr>
            <w:tcW w:w="948" w:type="dxa"/>
            <w:tcBorders>
              <w:top w:val="single" w:sz="8" w:space="0" w:color="auto"/>
              <w:left w:val="single" w:sz="8" w:space="0" w:color="auto"/>
              <w:bottom w:val="single" w:sz="8" w:space="0" w:color="auto"/>
              <w:right w:val="single" w:sz="8" w:space="0" w:color="auto"/>
            </w:tcBorders>
            <w:shd w:val="clear" w:color="auto" w:fill="auto"/>
            <w:vAlign w:val="center"/>
          </w:tcPr>
          <w:p w14:paraId="611620BF" w14:textId="77777777" w:rsidR="00955A27" w:rsidRPr="001667DB" w:rsidRDefault="00955A27" w:rsidP="006D312E">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6D312E">
              <w:rPr>
                <w:rFonts w:ascii="Times New Roman" w:hAnsi="Times New Roman" w:cs="Times New Roman"/>
                <w:color w:val="000000" w:themeColor="text1"/>
              </w:rPr>
              <w:t>4</w:t>
            </w:r>
          </w:p>
        </w:tc>
        <w:tc>
          <w:tcPr>
            <w:tcW w:w="6946" w:type="dxa"/>
            <w:tcBorders>
              <w:top w:val="single" w:sz="8" w:space="0" w:color="auto"/>
              <w:left w:val="single" w:sz="8" w:space="0" w:color="auto"/>
              <w:bottom w:val="single" w:sz="8" w:space="0" w:color="auto"/>
              <w:right w:val="single" w:sz="8" w:space="0" w:color="auto"/>
            </w:tcBorders>
            <w:shd w:val="clear" w:color="auto" w:fill="auto"/>
            <w:vAlign w:val="center"/>
          </w:tcPr>
          <w:p w14:paraId="28F3393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Elastyczna taśma bitumiczna + środek gruntujący lub zalewa drogowa na gorąco </w:t>
            </w:r>
          </w:p>
        </w:tc>
      </w:tr>
    </w:tbl>
    <w:p w14:paraId="5A0BCCBA"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Uwaga: W przypadku elastycznych taśm bitumicznych należy zastosować środek do gruntowania powierzchni połączeń technologicznych przewidziany przez producenta taśmy. </w:t>
      </w:r>
    </w:p>
    <w:p w14:paraId="11B9D05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Materiały do połączeń technologicznych muszą spełniać wymagania sformułowane w tabelach 10, 11 i 12 z WT-2 2016 – część II. Zalewy drogowe na gorąco muszą spełniać wymagania dla typu N1 wg normy PN-EN 14188-1 tablica 2 punkty od 1 do 11.2.8 </w:t>
      </w:r>
    </w:p>
    <w:p w14:paraId="2079779D"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2.2.3.</w:t>
      </w:r>
      <w:r w:rsidRPr="001667DB">
        <w:rPr>
          <w:rFonts w:eastAsia="Arial"/>
          <w:color w:val="000000" w:themeColor="text1"/>
          <w:sz w:val="22"/>
          <w:szCs w:val="22"/>
        </w:rPr>
        <w:t xml:space="preserve"> </w:t>
      </w:r>
      <w:r w:rsidRPr="001667DB">
        <w:rPr>
          <w:color w:val="000000" w:themeColor="text1"/>
          <w:sz w:val="22"/>
          <w:szCs w:val="22"/>
        </w:rPr>
        <w:t xml:space="preserve">Lepiszcze do skropienia podłoża </w:t>
      </w:r>
    </w:p>
    <w:p w14:paraId="6EEE80B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do skropienia podłoża powinno spełniać wymagania podane PN-EN 13808 i STWiORB D.04.03.01. </w:t>
      </w:r>
    </w:p>
    <w:p w14:paraId="4ECE20DD"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2.2.4.</w:t>
      </w:r>
      <w:r w:rsidRPr="001667DB">
        <w:rPr>
          <w:rFonts w:eastAsia="Arial"/>
          <w:color w:val="000000" w:themeColor="text1"/>
          <w:sz w:val="22"/>
          <w:szCs w:val="22"/>
        </w:rPr>
        <w:t xml:space="preserve"> </w:t>
      </w:r>
      <w:r w:rsidRPr="001667DB">
        <w:rPr>
          <w:color w:val="000000" w:themeColor="text1"/>
          <w:sz w:val="22"/>
          <w:szCs w:val="22"/>
        </w:rPr>
        <w:t xml:space="preserve">Dodatki do mieszanki mineralno-asfaltowej </w:t>
      </w:r>
    </w:p>
    <w:p w14:paraId="54CF935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zgodą Zamawiającego mogą być stosowane dodatki stabilizujące lub modyfikujące. Pochodzenie, rodzaj i właściwości dodatków powinny być deklarowane. Skuteczność stosowanych dodatków i modyfikatorów powinna być udokumentowana zgodnie z PN-EN 13108-5 punkt 4.1. </w:t>
      </w:r>
    </w:p>
    <w:p w14:paraId="3A53DD9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 się stosowanie do mieszanek mineralno-asfaltowych, dodatku środka obniżającego temperaturę produkcji i układania </w:t>
      </w:r>
    </w:p>
    <w:p w14:paraId="3E6824F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mieszanek mineralno-asfaltowych może być stosowany dodatek asfaltu naturalnego, jeżeli spełnia wymagania podane w PN-EN 13108-4 Załącznik B. </w:t>
      </w:r>
    </w:p>
    <w:p w14:paraId="3C602740" w14:textId="77777777" w:rsidR="00955A27" w:rsidRPr="001667DB" w:rsidRDefault="00955A27" w:rsidP="00A9424D">
      <w:pPr>
        <w:pStyle w:val="Nagwek2"/>
        <w:spacing w:line="360" w:lineRule="auto"/>
        <w:ind w:left="7"/>
        <w:jc w:val="both"/>
        <w:rPr>
          <w:color w:val="000000" w:themeColor="text1"/>
          <w:sz w:val="22"/>
          <w:szCs w:val="22"/>
        </w:rPr>
      </w:pPr>
      <w:bookmarkStart w:id="486" w:name="_Toc55070"/>
      <w:r w:rsidRPr="001667DB">
        <w:rPr>
          <w:color w:val="000000" w:themeColor="text1"/>
          <w:sz w:val="22"/>
          <w:szCs w:val="22"/>
        </w:rPr>
        <w:t>2.3.</w:t>
      </w:r>
      <w:r w:rsidRPr="001667DB">
        <w:rPr>
          <w:rFonts w:eastAsia="Arial"/>
          <w:color w:val="000000" w:themeColor="text1"/>
          <w:sz w:val="22"/>
          <w:szCs w:val="22"/>
        </w:rPr>
        <w:t xml:space="preserve"> </w:t>
      </w:r>
      <w:r w:rsidRPr="001667DB">
        <w:rPr>
          <w:color w:val="000000" w:themeColor="text1"/>
          <w:sz w:val="22"/>
          <w:szCs w:val="22"/>
        </w:rPr>
        <w:t xml:space="preserve">Dostawy materiałów </w:t>
      </w:r>
      <w:bookmarkEnd w:id="486"/>
    </w:p>
    <w:p w14:paraId="4FCE893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 dostawy materiałów odpowiedzialny jest Wykonawca robót zgodnie z ustaleniami określonymi w D-M-00.00.00 "Wymagania ogólne". </w:t>
      </w:r>
    </w:p>
    <w:p w14:paraId="4172909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w:t>
      </w:r>
    </w:p>
    <w:p w14:paraId="6322D97C" w14:textId="77777777" w:rsidR="00955A27" w:rsidRPr="001667DB" w:rsidRDefault="00955A27" w:rsidP="00A9424D">
      <w:pPr>
        <w:pStyle w:val="Nagwek2"/>
        <w:spacing w:line="360" w:lineRule="auto"/>
        <w:ind w:left="7"/>
        <w:jc w:val="both"/>
        <w:rPr>
          <w:color w:val="000000" w:themeColor="text1"/>
          <w:sz w:val="22"/>
          <w:szCs w:val="22"/>
        </w:rPr>
      </w:pPr>
      <w:bookmarkStart w:id="487" w:name="_Toc55071"/>
      <w:r w:rsidRPr="001667DB">
        <w:rPr>
          <w:color w:val="000000" w:themeColor="text1"/>
          <w:sz w:val="22"/>
          <w:szCs w:val="22"/>
        </w:rPr>
        <w:t>2.4.</w:t>
      </w:r>
      <w:r w:rsidRPr="001667DB">
        <w:rPr>
          <w:rFonts w:eastAsia="Arial"/>
          <w:color w:val="000000" w:themeColor="text1"/>
          <w:sz w:val="22"/>
          <w:szCs w:val="22"/>
        </w:rPr>
        <w:t xml:space="preserve"> </w:t>
      </w:r>
      <w:r w:rsidRPr="001667DB">
        <w:rPr>
          <w:color w:val="000000" w:themeColor="text1"/>
          <w:sz w:val="22"/>
          <w:szCs w:val="22"/>
        </w:rPr>
        <w:t xml:space="preserve">Składowanie materiałów </w:t>
      </w:r>
      <w:bookmarkEnd w:id="487"/>
    </w:p>
    <w:p w14:paraId="4AFE4CF4"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2.4.1.</w:t>
      </w:r>
      <w:r w:rsidRPr="001667DB">
        <w:rPr>
          <w:rFonts w:eastAsia="Arial"/>
          <w:color w:val="000000" w:themeColor="text1"/>
          <w:sz w:val="22"/>
          <w:szCs w:val="22"/>
        </w:rPr>
        <w:t xml:space="preserve"> </w:t>
      </w:r>
      <w:r w:rsidRPr="001667DB">
        <w:rPr>
          <w:color w:val="000000" w:themeColor="text1"/>
          <w:sz w:val="22"/>
          <w:szCs w:val="22"/>
        </w:rPr>
        <w:t xml:space="preserve">Składowanie kruszywa </w:t>
      </w:r>
    </w:p>
    <w:p w14:paraId="18DAFD7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Składowanie kruszywa powinno odbywać się w warunkach zabezpieczających je przed zanieczyszczeniem i zmieszaniem z innymi rodzajami lub frakcjami kruszywa. </w:t>
      </w:r>
    </w:p>
    <w:p w14:paraId="243B7DE0"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2.4.2.</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Składowanie wypełniacza </w:t>
      </w:r>
    </w:p>
    <w:p w14:paraId="1958CF9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Wypełniacz należy składować w silosach wyposażonych w urządzenia do aeracji. </w:t>
      </w:r>
    </w:p>
    <w:p w14:paraId="7F1FDBAB"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2.4.3.</w:t>
      </w:r>
      <w:r w:rsidRPr="001667DB">
        <w:rPr>
          <w:rFonts w:eastAsia="Arial"/>
          <w:color w:val="000000" w:themeColor="text1"/>
          <w:sz w:val="22"/>
          <w:szCs w:val="22"/>
        </w:rPr>
        <w:t xml:space="preserve"> </w:t>
      </w:r>
      <w:r w:rsidRPr="001667DB">
        <w:rPr>
          <w:color w:val="000000" w:themeColor="text1"/>
          <w:sz w:val="22"/>
          <w:szCs w:val="22"/>
        </w:rPr>
        <w:t xml:space="preserve">Składowanie asfaltu </w:t>
      </w:r>
    </w:p>
    <w:p w14:paraId="043B21D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Lepiszcze asfaltowe należy przechowywać zgodnie z zasadami podanymi w pkt. 8.3 WT-2 2014 – część I. Zbiorniki na asfalt modyfikowany winny być wyposażone w mieszadła mechaniczne lub co najmniej </w:t>
      </w:r>
      <w:r w:rsidRPr="001667DB">
        <w:rPr>
          <w:rFonts w:ascii="Times New Roman" w:hAnsi="Times New Roman" w:cs="Times New Roman"/>
          <w:color w:val="000000" w:themeColor="text1"/>
        </w:rPr>
        <w:lastRenderedPageBreak/>
        <w:t xml:space="preserve">winny mieć zapewniony system przepompowywania wprawiający w cyrkulację asfalt z dolnych partii zbiornika. Maksymalne temperatury składowania asfaltu drogowego powinny być zgodne z tabelą 41 ww. wytycznych. Temperatury składowania asfaltów modyfikowanych powinny być zgodne z zaleceniami  producenta.  </w:t>
      </w:r>
    </w:p>
    <w:p w14:paraId="6B8DEC2D"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2.4.4.</w:t>
      </w:r>
      <w:r w:rsidRPr="001667DB">
        <w:rPr>
          <w:rFonts w:eastAsia="Arial"/>
          <w:color w:val="000000" w:themeColor="text1"/>
          <w:sz w:val="22"/>
          <w:szCs w:val="22"/>
        </w:rPr>
        <w:t xml:space="preserve"> </w:t>
      </w:r>
      <w:r w:rsidRPr="001667DB">
        <w:rPr>
          <w:color w:val="000000" w:themeColor="text1"/>
          <w:sz w:val="22"/>
          <w:szCs w:val="22"/>
        </w:rPr>
        <w:t xml:space="preserve">Składowanie środka adhezyjnego </w:t>
      </w:r>
    </w:p>
    <w:p w14:paraId="3EAA679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Składowanie środka adhezyjnego jest dozwolone tylko w oryginalnych opakowaniach producenta w warunkach podanych zgodnie z zaleceniami producenta. </w:t>
      </w:r>
    </w:p>
    <w:p w14:paraId="2A5505C4"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2.4.5.</w:t>
      </w:r>
      <w:r w:rsidRPr="001667DB">
        <w:rPr>
          <w:rFonts w:eastAsia="Arial"/>
          <w:color w:val="000000" w:themeColor="text1"/>
          <w:sz w:val="22"/>
          <w:szCs w:val="22"/>
        </w:rPr>
        <w:t xml:space="preserve"> </w:t>
      </w:r>
      <w:r w:rsidRPr="001667DB">
        <w:rPr>
          <w:color w:val="000000" w:themeColor="text1"/>
          <w:sz w:val="22"/>
          <w:szCs w:val="22"/>
        </w:rPr>
        <w:t xml:space="preserve">Składowanie stabilizatora mastyksu </w:t>
      </w:r>
    </w:p>
    <w:p w14:paraId="1ACAF7F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Składowanie stabilizatora mastyksu jest dozwolone tylko w oryginalnych opakowaniach producenta lub w odpowiednich do tego celu przystosowanych zbiornikach,  zgodnie  z zaleceniami producenta. </w:t>
      </w:r>
    </w:p>
    <w:p w14:paraId="779858D5" w14:textId="77777777" w:rsidR="00955A27" w:rsidRPr="00326BBF" w:rsidRDefault="00955A27" w:rsidP="00A9424D">
      <w:pPr>
        <w:pStyle w:val="Nagwek1"/>
        <w:tabs>
          <w:tab w:val="center" w:pos="1005"/>
        </w:tabs>
        <w:spacing w:line="360" w:lineRule="auto"/>
        <w:ind w:left="-3"/>
        <w:jc w:val="both"/>
        <w:rPr>
          <w:color w:val="000000" w:themeColor="text1"/>
          <w:sz w:val="22"/>
          <w:szCs w:val="22"/>
          <w:lang w:val="pl-PL"/>
        </w:rPr>
      </w:pPr>
      <w:bookmarkStart w:id="488" w:name="_Toc55072"/>
      <w:r w:rsidRPr="00326BBF">
        <w:rPr>
          <w:color w:val="000000" w:themeColor="text1"/>
          <w:sz w:val="22"/>
          <w:szCs w:val="22"/>
          <w:lang w:val="pl-PL"/>
        </w:rPr>
        <w:t>3.</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SPRZĘT </w:t>
      </w:r>
      <w:bookmarkEnd w:id="488"/>
    </w:p>
    <w:p w14:paraId="2A94DED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sprzętu podano w D-M-00.00.00 "Wymagania ogólne". </w:t>
      </w:r>
    </w:p>
    <w:p w14:paraId="2C3684F3" w14:textId="77777777" w:rsidR="00955A27" w:rsidRPr="001667DB" w:rsidRDefault="00955A27" w:rsidP="00A9424D">
      <w:pPr>
        <w:pStyle w:val="Nagwek2"/>
        <w:spacing w:line="360" w:lineRule="auto"/>
        <w:ind w:left="7"/>
        <w:jc w:val="both"/>
        <w:rPr>
          <w:color w:val="000000" w:themeColor="text1"/>
          <w:sz w:val="22"/>
          <w:szCs w:val="22"/>
        </w:rPr>
      </w:pPr>
      <w:bookmarkStart w:id="489" w:name="_Toc55073"/>
      <w:r w:rsidRPr="001667DB">
        <w:rPr>
          <w:color w:val="000000" w:themeColor="text1"/>
          <w:sz w:val="22"/>
          <w:szCs w:val="22"/>
        </w:rPr>
        <w:t>3.1.</w:t>
      </w:r>
      <w:r w:rsidRPr="001667DB">
        <w:rPr>
          <w:rFonts w:eastAsia="Arial"/>
          <w:color w:val="000000" w:themeColor="text1"/>
          <w:sz w:val="22"/>
          <w:szCs w:val="22"/>
        </w:rPr>
        <w:t xml:space="preserve"> </w:t>
      </w:r>
      <w:r w:rsidRPr="001667DB">
        <w:rPr>
          <w:color w:val="000000" w:themeColor="text1"/>
          <w:sz w:val="22"/>
          <w:szCs w:val="22"/>
        </w:rPr>
        <w:t xml:space="preserve">Wytwórnia mieszanek mineralno-asfaltowych </w:t>
      </w:r>
      <w:bookmarkEnd w:id="489"/>
    </w:p>
    <w:p w14:paraId="42972EC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   </w:t>
      </w:r>
    </w:p>
    <w:p w14:paraId="3CE958BD" w14:textId="77777777" w:rsidR="00955A27" w:rsidRPr="001667DB" w:rsidRDefault="00955A27" w:rsidP="00A9424D">
      <w:pPr>
        <w:pStyle w:val="Nagwek2"/>
        <w:spacing w:line="360" w:lineRule="auto"/>
        <w:ind w:left="7"/>
        <w:jc w:val="both"/>
        <w:rPr>
          <w:color w:val="000000" w:themeColor="text1"/>
          <w:sz w:val="22"/>
          <w:szCs w:val="22"/>
        </w:rPr>
      </w:pPr>
      <w:bookmarkStart w:id="490" w:name="_Toc55074"/>
      <w:r w:rsidRPr="001667DB">
        <w:rPr>
          <w:color w:val="000000" w:themeColor="text1"/>
          <w:sz w:val="22"/>
          <w:szCs w:val="22"/>
        </w:rPr>
        <w:t>3.2.</w:t>
      </w:r>
      <w:r w:rsidRPr="001667DB">
        <w:rPr>
          <w:rFonts w:eastAsia="Arial"/>
          <w:color w:val="000000" w:themeColor="text1"/>
          <w:sz w:val="22"/>
          <w:szCs w:val="22"/>
        </w:rPr>
        <w:t xml:space="preserve"> </w:t>
      </w:r>
      <w:r w:rsidRPr="001667DB">
        <w:rPr>
          <w:color w:val="000000" w:themeColor="text1"/>
          <w:sz w:val="22"/>
          <w:szCs w:val="22"/>
        </w:rPr>
        <w:t xml:space="preserve">Układarka mieszanek mineralno-asfaltowych </w:t>
      </w:r>
      <w:bookmarkEnd w:id="490"/>
    </w:p>
    <w:p w14:paraId="5EFE0E1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Układanie mieszanki powinno odbywać się możliwie największą szerokością, przy użyciu mechanicznej układarki do układania mieszanki mineralno-asfaltowej lub zespołem układarek pracujących równolegle z przesunięciem roboczym umożliwiającym ułożenie stykających się warstw asfaltowych na gorąco, posiadającej następujące urządzenia: </w:t>
      </w:r>
    </w:p>
    <w:p w14:paraId="536F9AD7" w14:textId="77777777" w:rsidR="00955A27" w:rsidRPr="001667DB" w:rsidRDefault="00955A27" w:rsidP="00A9424D">
      <w:pPr>
        <w:spacing w:after="120" w:line="360" w:lineRule="auto"/>
        <w:ind w:left="393" w:right="1" w:hanging="396"/>
        <w:jc w:val="both"/>
        <w:rPr>
          <w:rFonts w:ascii="Times New Roman" w:hAnsi="Times New Roman" w:cs="Times New Roman"/>
          <w:color w:val="000000" w:themeColor="text1"/>
        </w:rPr>
      </w:pPr>
      <w:r w:rsidRPr="001667DB">
        <w:rPr>
          <w:rFonts w:ascii="Times New Roman" w:eastAsia="Courier New"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 xml:space="preserve">automatyczne sterowanie pozwalające na ułożenie warstwy zgodnie z założoną niweletą i grubością, </w:t>
      </w:r>
    </w:p>
    <w:p w14:paraId="7B940810" w14:textId="77777777" w:rsidR="00955A27" w:rsidRPr="001667DB" w:rsidRDefault="00955A27" w:rsidP="00A9424D">
      <w:pPr>
        <w:tabs>
          <w:tab w:val="center" w:pos="3228"/>
        </w:tabs>
        <w:spacing w:after="120" w:line="360" w:lineRule="auto"/>
        <w:ind w:left="-3"/>
        <w:jc w:val="both"/>
        <w:rPr>
          <w:rFonts w:ascii="Times New Roman" w:hAnsi="Times New Roman" w:cs="Times New Roman"/>
          <w:color w:val="000000" w:themeColor="text1"/>
        </w:rPr>
      </w:pPr>
      <w:r w:rsidRPr="001667DB">
        <w:rPr>
          <w:rFonts w:ascii="Times New Roman" w:eastAsia="Courier New"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płytę wibracyjną do wstępnego zagęszczenia mieszanki, </w:t>
      </w:r>
    </w:p>
    <w:p w14:paraId="79064578" w14:textId="77777777" w:rsidR="00955A27" w:rsidRPr="001667DB" w:rsidRDefault="00955A27" w:rsidP="00A9424D">
      <w:pPr>
        <w:tabs>
          <w:tab w:val="center" w:pos="2770"/>
        </w:tabs>
        <w:spacing w:after="120" w:line="360" w:lineRule="auto"/>
        <w:ind w:left="-3"/>
        <w:jc w:val="both"/>
        <w:rPr>
          <w:rFonts w:ascii="Times New Roman" w:hAnsi="Times New Roman" w:cs="Times New Roman"/>
          <w:color w:val="000000" w:themeColor="text1"/>
        </w:rPr>
      </w:pPr>
      <w:r w:rsidRPr="001667DB">
        <w:rPr>
          <w:rFonts w:ascii="Times New Roman" w:eastAsia="Courier New"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eastAsia="Arial" w:hAnsi="Times New Roman" w:cs="Times New Roman"/>
          <w:color w:val="000000" w:themeColor="text1"/>
        </w:rPr>
        <w:tab/>
      </w:r>
      <w:r w:rsidRPr="001667DB">
        <w:rPr>
          <w:rFonts w:ascii="Times New Roman" w:hAnsi="Times New Roman" w:cs="Times New Roman"/>
          <w:color w:val="000000" w:themeColor="text1"/>
        </w:rPr>
        <w:t xml:space="preserve">urządzenia do podgrzewania płyty wibracyjnej. </w:t>
      </w:r>
    </w:p>
    <w:p w14:paraId="00A40FF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Mieszanki mineralno-asfaltowe można rozkładać specjalną maszyną drogową z podwójnym zestawem rozkładającym do układania dwóch warstw technologicznych w jednej operacji (tzw. asfaltowe warstwy kompaktowe).  </w:t>
      </w:r>
    </w:p>
    <w:p w14:paraId="31047A6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wykonywaniu nawierzchni dróg o kategorii KR 6-7, do warstwy ścieralnej wymagane jest: </w:t>
      </w:r>
    </w:p>
    <w:p w14:paraId="13D9745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 stosowanie podajników mieszanki mineralno-asfaltowej do zasilania kosza rozkładarki ze środków transportu. Zaleca się stosowanie takich podajników również do warstw wiążących, </w:t>
      </w:r>
    </w:p>
    <w:p w14:paraId="1850797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stosowanie rozkładarek wyposażonych w łatę o długości min. 10 m z co najmniej 3 czujnikami. </w:t>
      </w:r>
    </w:p>
    <w:p w14:paraId="6251B718" w14:textId="77777777" w:rsidR="00955A27" w:rsidRPr="001667DB" w:rsidRDefault="00955A27" w:rsidP="00A9424D">
      <w:pPr>
        <w:pStyle w:val="Nagwek2"/>
        <w:spacing w:line="360" w:lineRule="auto"/>
        <w:ind w:left="7"/>
        <w:jc w:val="both"/>
        <w:rPr>
          <w:color w:val="000000" w:themeColor="text1"/>
          <w:sz w:val="22"/>
          <w:szCs w:val="22"/>
        </w:rPr>
      </w:pPr>
      <w:bookmarkStart w:id="491" w:name="_Toc55075"/>
      <w:r w:rsidRPr="001667DB">
        <w:rPr>
          <w:color w:val="000000" w:themeColor="text1"/>
          <w:sz w:val="22"/>
          <w:szCs w:val="22"/>
        </w:rPr>
        <w:t>3.3.</w:t>
      </w:r>
      <w:r w:rsidRPr="001667DB">
        <w:rPr>
          <w:rFonts w:eastAsia="Arial"/>
          <w:color w:val="000000" w:themeColor="text1"/>
          <w:sz w:val="22"/>
          <w:szCs w:val="22"/>
        </w:rPr>
        <w:t xml:space="preserve"> </w:t>
      </w:r>
      <w:r w:rsidRPr="001667DB">
        <w:rPr>
          <w:color w:val="000000" w:themeColor="text1"/>
          <w:sz w:val="22"/>
          <w:szCs w:val="22"/>
        </w:rPr>
        <w:t xml:space="preserve">Walce do zagęszczania </w:t>
      </w:r>
      <w:bookmarkEnd w:id="491"/>
    </w:p>
    <w:p w14:paraId="73E9ED8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dysponować sprzętem pozwalającym na uzyskanie wymaganego wskaźnika zagęszczenia warstwy z mieszanki mineralno-asfaltowej.  </w:t>
      </w:r>
    </w:p>
    <w:p w14:paraId="7049E8B8" w14:textId="77777777" w:rsidR="00955A27" w:rsidRPr="001667DB" w:rsidRDefault="00955A27" w:rsidP="00A9424D">
      <w:pPr>
        <w:pStyle w:val="Nagwek2"/>
        <w:spacing w:line="360" w:lineRule="auto"/>
        <w:ind w:left="7"/>
        <w:jc w:val="both"/>
        <w:rPr>
          <w:color w:val="000000" w:themeColor="text1"/>
          <w:sz w:val="22"/>
          <w:szCs w:val="22"/>
        </w:rPr>
      </w:pPr>
      <w:bookmarkStart w:id="492" w:name="_Toc55076"/>
      <w:r w:rsidRPr="001667DB">
        <w:rPr>
          <w:color w:val="000000" w:themeColor="text1"/>
          <w:sz w:val="22"/>
          <w:szCs w:val="22"/>
        </w:rPr>
        <w:t>3.4.</w:t>
      </w:r>
      <w:r w:rsidRPr="001667DB">
        <w:rPr>
          <w:rFonts w:eastAsia="Arial"/>
          <w:color w:val="000000" w:themeColor="text1"/>
          <w:sz w:val="22"/>
          <w:szCs w:val="22"/>
        </w:rPr>
        <w:t xml:space="preserve"> </w:t>
      </w:r>
      <w:r w:rsidRPr="001667DB">
        <w:rPr>
          <w:color w:val="000000" w:themeColor="text1"/>
          <w:sz w:val="22"/>
          <w:szCs w:val="22"/>
        </w:rPr>
        <w:t xml:space="preserve">Skrapiarki </w:t>
      </w:r>
      <w:bookmarkEnd w:id="492"/>
    </w:p>
    <w:p w14:paraId="5E71E02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dysponować skrapiarką spełniającą wymagania STWiORB D.04.03.01, pozwalającą na równomierne i zgodne z wymaganiami równomierne skropienie podłoża. </w:t>
      </w:r>
    </w:p>
    <w:p w14:paraId="51B0A450" w14:textId="77777777" w:rsidR="00955A27" w:rsidRPr="001667DB" w:rsidRDefault="00955A27" w:rsidP="00A9424D">
      <w:pPr>
        <w:pStyle w:val="Nagwek2"/>
        <w:spacing w:line="360" w:lineRule="auto"/>
        <w:ind w:left="7"/>
        <w:jc w:val="both"/>
        <w:rPr>
          <w:color w:val="000000" w:themeColor="text1"/>
          <w:sz w:val="22"/>
          <w:szCs w:val="22"/>
        </w:rPr>
      </w:pPr>
      <w:bookmarkStart w:id="493" w:name="_Toc55077"/>
      <w:r w:rsidRPr="001667DB">
        <w:rPr>
          <w:color w:val="000000" w:themeColor="text1"/>
          <w:sz w:val="22"/>
          <w:szCs w:val="22"/>
        </w:rPr>
        <w:t>3.5.</w:t>
      </w:r>
      <w:r w:rsidRPr="001667DB">
        <w:rPr>
          <w:rFonts w:eastAsia="Arial"/>
          <w:color w:val="000000" w:themeColor="text1"/>
          <w:sz w:val="22"/>
          <w:szCs w:val="22"/>
        </w:rPr>
        <w:t xml:space="preserve"> </w:t>
      </w:r>
      <w:r w:rsidRPr="001667DB">
        <w:rPr>
          <w:color w:val="000000" w:themeColor="text1"/>
          <w:sz w:val="22"/>
          <w:szCs w:val="22"/>
        </w:rPr>
        <w:t xml:space="preserve">Rozsypywarka kruszywa </w:t>
      </w:r>
      <w:bookmarkEnd w:id="493"/>
    </w:p>
    <w:p w14:paraId="009C65B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dysponować rozsypywarką kruszywa lub posiadać walec  z zamontowaną rozsypywarką. </w:t>
      </w:r>
    </w:p>
    <w:p w14:paraId="0AF79A84" w14:textId="77777777" w:rsidR="00955A27" w:rsidRPr="001667DB" w:rsidRDefault="00955A27" w:rsidP="00A9424D">
      <w:pPr>
        <w:pStyle w:val="Nagwek2"/>
        <w:spacing w:line="360" w:lineRule="auto"/>
        <w:ind w:left="7"/>
        <w:jc w:val="both"/>
        <w:rPr>
          <w:color w:val="000000" w:themeColor="text1"/>
          <w:sz w:val="22"/>
          <w:szCs w:val="22"/>
        </w:rPr>
      </w:pPr>
      <w:bookmarkStart w:id="494" w:name="_Toc55078"/>
      <w:r w:rsidRPr="001667DB">
        <w:rPr>
          <w:color w:val="000000" w:themeColor="text1"/>
          <w:sz w:val="22"/>
          <w:szCs w:val="22"/>
        </w:rPr>
        <w:t>3.6.</w:t>
      </w:r>
      <w:r w:rsidRPr="001667DB">
        <w:rPr>
          <w:rFonts w:eastAsia="Arial"/>
          <w:color w:val="000000" w:themeColor="text1"/>
          <w:sz w:val="22"/>
          <w:szCs w:val="22"/>
        </w:rPr>
        <w:t xml:space="preserve"> </w:t>
      </w:r>
      <w:r w:rsidRPr="001667DB">
        <w:rPr>
          <w:color w:val="000000" w:themeColor="text1"/>
          <w:sz w:val="22"/>
          <w:szCs w:val="22"/>
        </w:rPr>
        <w:t xml:space="preserve">Samobieżny podajnik </w:t>
      </w:r>
      <w:bookmarkEnd w:id="494"/>
    </w:p>
    <w:p w14:paraId="57EF7CC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wykonywaniu nawierzchni dróg o kategorii KR 6-7 Wykonawca powinien dysponować samobieżnym podajnikiem stosowanym jako bezkontaktowy element połączeniowy pomiędzy rozkładarką a pojazdami transportowymi dowożącymi  mieszanki mineralnoasfaltowe. </w:t>
      </w:r>
    </w:p>
    <w:p w14:paraId="199337A0" w14:textId="77777777" w:rsidR="00955A27" w:rsidRPr="00326BBF" w:rsidRDefault="00955A27" w:rsidP="00A9424D">
      <w:pPr>
        <w:pStyle w:val="Nagwek1"/>
        <w:tabs>
          <w:tab w:val="center" w:pos="1261"/>
        </w:tabs>
        <w:spacing w:line="360" w:lineRule="auto"/>
        <w:ind w:left="-3"/>
        <w:jc w:val="both"/>
        <w:rPr>
          <w:color w:val="000000" w:themeColor="text1"/>
          <w:sz w:val="22"/>
          <w:szCs w:val="22"/>
          <w:lang w:val="pl-PL"/>
        </w:rPr>
      </w:pPr>
      <w:bookmarkStart w:id="495" w:name="_Toc55079"/>
      <w:r w:rsidRPr="00326BBF">
        <w:rPr>
          <w:color w:val="000000" w:themeColor="text1"/>
          <w:sz w:val="22"/>
          <w:szCs w:val="22"/>
          <w:lang w:val="pl-PL"/>
        </w:rPr>
        <w:t>4.</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TRANSPORT </w:t>
      </w:r>
      <w:bookmarkEnd w:id="495"/>
    </w:p>
    <w:p w14:paraId="3FC9B60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wymagania dotyczące transportu podano w D-M-00.00.00 "Wymagania ogólne". Mieszanki mineralno-asfaltowe powinny być dowożone na budowę odpowiednio do postępu robót, tak aby zapewnić ciągłość wbudowania. Podczas transportu i postoju przed wbudowaniem mieszanki powinny być zabezpieczone przed ostygnięciem i dopływem powietrza (przykrycie, pojemniki termoizolacyjne lub pojazdy ogrzewane itp.). Mieszanki mineralno-asfaltowe, powinny być przewożone pojazdami samowyładowczymi.  </w:t>
      </w:r>
    </w:p>
    <w:p w14:paraId="3858767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transportu mieszanki mineralno-asfaltowej muszą być zachowane dopuszczalne wartości temperatury. Dowieziona do rozkładarki mieszanka musi mieć temperaturę w wymaganym przedziale określonym w WT-2 2014 – część I tab. 42. Nie dotyczy to przypadków użycia dodatków obniżających temperaturę produkcji i wbudowania lepiszczy zawierających takie środki, lub specjalnych technologii produkcji i wbudowywania w obniżonej temperaturze. W tym zakresie należy  kierować się informacjami (zaleceniami) podanymi przez producentów tych środków. </w:t>
      </w:r>
    </w:p>
    <w:p w14:paraId="34C5AA3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skrzyń ładunkowych lub pojemników używanych do transportu mieszanki powinny być czyste. Do zwilżania tych powierzchni można używać tylko tego rodzaju środków antyadhezyjnych, </w:t>
      </w:r>
      <w:r w:rsidRPr="001667DB">
        <w:rPr>
          <w:rFonts w:ascii="Times New Roman" w:hAnsi="Times New Roman" w:cs="Times New Roman"/>
          <w:color w:val="000000" w:themeColor="text1"/>
        </w:rPr>
        <w:lastRenderedPageBreak/>
        <w:t xml:space="preserve">które nie oddziałują szkodliwie na mieszanki mineralnoasfaltowe. Zabrania się skrapiania skrzyń olejem napędowym lub innymi środkami ropopochodnymi. </w:t>
      </w:r>
    </w:p>
    <w:p w14:paraId="1E1FEAE8" w14:textId="77777777" w:rsidR="00955A27" w:rsidRPr="00326BBF" w:rsidRDefault="00955A27" w:rsidP="00A9424D">
      <w:pPr>
        <w:pStyle w:val="Nagwek1"/>
        <w:tabs>
          <w:tab w:val="clear" w:pos="1701"/>
          <w:tab w:val="center" w:pos="1722"/>
        </w:tabs>
        <w:spacing w:line="360" w:lineRule="auto"/>
        <w:ind w:left="-3"/>
        <w:jc w:val="both"/>
        <w:rPr>
          <w:color w:val="000000" w:themeColor="text1"/>
          <w:sz w:val="22"/>
          <w:szCs w:val="22"/>
          <w:lang w:val="pl-PL"/>
        </w:rPr>
      </w:pPr>
      <w:bookmarkStart w:id="496" w:name="_Toc55080"/>
      <w:r w:rsidRPr="00326BBF">
        <w:rPr>
          <w:color w:val="000000" w:themeColor="text1"/>
          <w:sz w:val="22"/>
          <w:szCs w:val="22"/>
          <w:lang w:val="pl-PL"/>
        </w:rPr>
        <w:t>5.</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WYKONANIE ROBÓT </w:t>
      </w:r>
      <w:bookmarkEnd w:id="496"/>
    </w:p>
    <w:p w14:paraId="4983817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wykonania robót podano w D-M-00.00.00 "Wymagania ogólne". </w:t>
      </w:r>
    </w:p>
    <w:p w14:paraId="550AEBD4" w14:textId="77777777" w:rsidR="00955A27" w:rsidRPr="001667DB" w:rsidRDefault="00955A27" w:rsidP="00A9424D">
      <w:pPr>
        <w:pStyle w:val="Nagwek2"/>
        <w:spacing w:line="360" w:lineRule="auto"/>
        <w:ind w:left="7"/>
        <w:jc w:val="both"/>
        <w:rPr>
          <w:color w:val="000000" w:themeColor="text1"/>
          <w:sz w:val="22"/>
          <w:szCs w:val="22"/>
        </w:rPr>
      </w:pPr>
      <w:bookmarkStart w:id="497" w:name="_Toc55081"/>
      <w:r w:rsidRPr="001667DB">
        <w:rPr>
          <w:color w:val="000000" w:themeColor="text1"/>
          <w:sz w:val="22"/>
          <w:szCs w:val="22"/>
        </w:rPr>
        <w:t>5.1.</w:t>
      </w:r>
      <w:r w:rsidRPr="001667DB">
        <w:rPr>
          <w:rFonts w:eastAsia="Arial"/>
          <w:color w:val="000000" w:themeColor="text1"/>
          <w:sz w:val="22"/>
          <w:szCs w:val="22"/>
        </w:rPr>
        <w:t xml:space="preserve"> </w:t>
      </w:r>
      <w:r w:rsidRPr="001667DB">
        <w:rPr>
          <w:color w:val="000000" w:themeColor="text1"/>
          <w:sz w:val="22"/>
          <w:szCs w:val="22"/>
        </w:rPr>
        <w:t xml:space="preserve">Projektowanie mieszanki mineralno-asfaltowej </w:t>
      </w:r>
      <w:bookmarkEnd w:id="497"/>
    </w:p>
    <w:p w14:paraId="1F05FAE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W terminie 3 tygodni przed rozpoczęciem robót Wykonawca przedstawi Inżynierowi/Inspektorowi Nadzoru do zatwierdzenia projekt MMA (Badanie Typu) oraz wszystkie dokumenty potwierdzające jakość materiałów składowych MMA i reprezentatywne próbki materiałów. MMA powinna być zaprojektowana zgodnie z pkt. 8.1 i 8.2.5 WT-2 2014 – część I w zależności od kategorii ruchu.</w:t>
      </w:r>
    </w:p>
    <w:p w14:paraId="4378714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powinien zapewnić, aby podczas opracowywania Badania Typu MMA, były zastosowane w pełni reprezentatywne próbki materiałów składowych, które zostaną użyte do wykonania robót. </w:t>
      </w:r>
    </w:p>
    <w:p w14:paraId="7E9E6B1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zaprojektowanego Badania Typu dla nawierzchni dróg KR≥5 na obiektach inżynierskich w ciągu głównym dróg krajowych i autostrad o nawierzchni betonowej oraz dla nawierzchni w tunelach należy określić współczynnik luminancji Qd na próbce laboratoryjnej przygotowanej zgodnie Instrukcją badawczą „Pomiar współczynnika luminancji jasnych nawierzchni asfaltowych” opisaną w Załączniku Nr 4 do WT-2 2014 część I. Wartość współczynnika luminancji Qd nie powinna być mniejsza od 70 mcd/m2*lx dla nawierzchni przewidzianych na otwartym terenie i 90 mcd/m2*lx dla nawierzchni przewidzianych  w tunelu. Badanie współczynnika luminancji powinno zostać przeprowadzone i załączone do Badania Typu.  </w:t>
      </w:r>
    </w:p>
    <w:p w14:paraId="1E7F10F9" w14:textId="77777777" w:rsidR="00955A27" w:rsidRPr="001667DB" w:rsidRDefault="00955A27" w:rsidP="00A9424D">
      <w:pPr>
        <w:pStyle w:val="Nagwek2"/>
        <w:spacing w:line="360" w:lineRule="auto"/>
        <w:ind w:left="7"/>
        <w:jc w:val="both"/>
        <w:rPr>
          <w:color w:val="000000" w:themeColor="text1"/>
          <w:sz w:val="22"/>
          <w:szCs w:val="22"/>
        </w:rPr>
      </w:pPr>
      <w:bookmarkStart w:id="498" w:name="_Toc55082"/>
      <w:r w:rsidRPr="001667DB">
        <w:rPr>
          <w:color w:val="000000" w:themeColor="text1"/>
          <w:sz w:val="22"/>
          <w:szCs w:val="22"/>
        </w:rPr>
        <w:t>5.2.</w:t>
      </w:r>
      <w:r w:rsidRPr="001667DB">
        <w:rPr>
          <w:rFonts w:eastAsia="Arial"/>
          <w:color w:val="000000" w:themeColor="text1"/>
          <w:sz w:val="22"/>
          <w:szCs w:val="22"/>
        </w:rPr>
        <w:t xml:space="preserve"> </w:t>
      </w:r>
      <w:r w:rsidRPr="001667DB">
        <w:rPr>
          <w:color w:val="000000" w:themeColor="text1"/>
          <w:sz w:val="22"/>
          <w:szCs w:val="22"/>
        </w:rPr>
        <w:t xml:space="preserve">Wytwarzanie MMA </w:t>
      </w:r>
      <w:bookmarkEnd w:id="498"/>
    </w:p>
    <w:p w14:paraId="0BBADC2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Produkcja MMA powinna odbywać się na WMA o cyklicznym systemie produkcji mieszanki, zgodnie z wymaganiami opisanymi w p. 3.1. Dozowanie wszystkich składników powinno odbywać się wagowo, dopuszcza się objętościowe dozowanie środka adhezyjnego.  </w:t>
      </w:r>
    </w:p>
    <w:p w14:paraId="1A9D7B4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Temperatury technologiczne wytwarzania MMA powinny być zgodne z wymaganiami podanymi w p. 8.3 WT-2 2014 część I (Tabela 42) lub zgodnie z zaleceniami producenta. Mieszankę MMA zaleca się wbudowywać bezpośrednio po wyprodukowaniu bez magazynowania na zapas. Przechowywanie wyprodukowanej MMA w silosie może mieć miejsce tylko w sytuacjach awaryjnych. </w:t>
      </w:r>
    </w:p>
    <w:p w14:paraId="268EE680" w14:textId="77777777" w:rsidR="00955A27" w:rsidRPr="001667DB" w:rsidRDefault="00955A27" w:rsidP="00A9424D">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mieszanka mineralno-asfaltowa jest dostarczana z kilku wytwórni lub od kilku producentów, to należy zapewnić zgodność typu i wymiaru mieszanki oraz spełnienie wymagań dokumentacji projektowej. </w:t>
      </w:r>
    </w:p>
    <w:p w14:paraId="532D8D92" w14:textId="77777777" w:rsidR="00955A27" w:rsidRPr="001667DB" w:rsidRDefault="00955A27" w:rsidP="00A9424D">
      <w:pPr>
        <w:pStyle w:val="Nagwek2"/>
        <w:spacing w:line="360" w:lineRule="auto"/>
        <w:ind w:left="7"/>
        <w:jc w:val="both"/>
        <w:rPr>
          <w:color w:val="000000" w:themeColor="text1"/>
          <w:sz w:val="22"/>
          <w:szCs w:val="22"/>
        </w:rPr>
      </w:pPr>
      <w:bookmarkStart w:id="499" w:name="_Toc55083"/>
      <w:r w:rsidRPr="001667DB">
        <w:rPr>
          <w:color w:val="000000" w:themeColor="text1"/>
          <w:sz w:val="22"/>
          <w:szCs w:val="22"/>
        </w:rPr>
        <w:t>5.3.</w:t>
      </w:r>
      <w:r w:rsidRPr="001667DB">
        <w:rPr>
          <w:rFonts w:eastAsia="Arial"/>
          <w:color w:val="000000" w:themeColor="text1"/>
          <w:sz w:val="22"/>
          <w:szCs w:val="22"/>
        </w:rPr>
        <w:t xml:space="preserve"> </w:t>
      </w:r>
      <w:r w:rsidRPr="001667DB">
        <w:rPr>
          <w:color w:val="000000" w:themeColor="text1"/>
          <w:sz w:val="22"/>
          <w:szCs w:val="22"/>
        </w:rPr>
        <w:t xml:space="preserve">Przygotowanie podłoża </w:t>
      </w:r>
      <w:bookmarkEnd w:id="499"/>
    </w:p>
    <w:p w14:paraId="159D086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Podłoże pod warstwę ścieralną z MMA powinno być: </w:t>
      </w:r>
    </w:p>
    <w:p w14:paraId="44586CFA" w14:textId="77777777" w:rsidR="00955A27" w:rsidRPr="001667DB" w:rsidRDefault="00955A27" w:rsidP="00904E6C">
      <w:pPr>
        <w:numPr>
          <w:ilvl w:val="0"/>
          <w:numId w:val="181"/>
        </w:numPr>
        <w:spacing w:after="120" w:line="360" w:lineRule="auto"/>
        <w:ind w:right="1" w:hanging="372"/>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nośne i ustabilizowane, </w:t>
      </w:r>
    </w:p>
    <w:p w14:paraId="0F597B94" w14:textId="77777777" w:rsidR="00955A27" w:rsidRPr="001667DB" w:rsidRDefault="00955A27" w:rsidP="00904E6C">
      <w:pPr>
        <w:numPr>
          <w:ilvl w:val="0"/>
          <w:numId w:val="181"/>
        </w:numPr>
        <w:spacing w:after="120" w:line="360" w:lineRule="auto"/>
        <w:ind w:right="1" w:hanging="37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czyste, bez zanieczyszczeń lub pozostałości luźnego kruszywa, </w:t>
      </w:r>
    </w:p>
    <w:p w14:paraId="76E69E8D" w14:textId="77777777" w:rsidR="00955A27" w:rsidRPr="001667DB" w:rsidRDefault="00955A27" w:rsidP="00904E6C">
      <w:pPr>
        <w:numPr>
          <w:ilvl w:val="0"/>
          <w:numId w:val="181"/>
        </w:numPr>
        <w:spacing w:after="120" w:line="360" w:lineRule="auto"/>
        <w:ind w:right="1" w:hanging="37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wyprofilowane, równe i bez kolein, </w:t>
      </w:r>
    </w:p>
    <w:p w14:paraId="085D737F" w14:textId="77777777" w:rsidR="00955A27" w:rsidRPr="001667DB" w:rsidRDefault="00955A27" w:rsidP="00904E6C">
      <w:pPr>
        <w:numPr>
          <w:ilvl w:val="0"/>
          <w:numId w:val="181"/>
        </w:numPr>
        <w:spacing w:after="120" w:line="360" w:lineRule="auto"/>
        <w:ind w:right="1" w:hanging="37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suche, </w:t>
      </w:r>
    </w:p>
    <w:p w14:paraId="042494C0" w14:textId="77777777" w:rsidR="00955A27" w:rsidRPr="001667DB" w:rsidRDefault="00955A27" w:rsidP="00904E6C">
      <w:pPr>
        <w:numPr>
          <w:ilvl w:val="0"/>
          <w:numId w:val="181"/>
        </w:numPr>
        <w:spacing w:after="120" w:line="360" w:lineRule="auto"/>
        <w:ind w:right="1" w:hanging="37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skropione emulsją asfaltową lub asfaltem zapewniającym powiązanie warstw (skropienia nie wykonuje się jeżeli podłoże pod warstwę ścieralną stanowi warstwa z asfaltu lanego), oraz spełniać wymagania pkt. 7.2. WT-2 2016 – część II.  </w:t>
      </w:r>
    </w:p>
    <w:p w14:paraId="0A6B336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Brzegi krawężników i innych urządzeń przylegających do nawierzchni powinny zostać połączone z MMA zgodnie z pkt. 7.6.4 WT-2 2016 – część II (sposób wykonania spoin) i przy zastosowaniu materiałów określonych w pkt. 2.2.2 niniejszych WWiORB. </w:t>
      </w:r>
    </w:p>
    <w:p w14:paraId="4DA01CA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127941BD"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5.3.1.</w:t>
      </w:r>
      <w:r w:rsidRPr="001667DB">
        <w:rPr>
          <w:rFonts w:eastAsia="Arial"/>
          <w:color w:val="000000" w:themeColor="text1"/>
          <w:sz w:val="22"/>
          <w:szCs w:val="22"/>
        </w:rPr>
        <w:t xml:space="preserve"> </w:t>
      </w:r>
      <w:r w:rsidRPr="001667DB">
        <w:rPr>
          <w:color w:val="000000" w:themeColor="text1"/>
          <w:sz w:val="22"/>
          <w:szCs w:val="22"/>
        </w:rPr>
        <w:t xml:space="preserve">Połączenia międzywarstwowe </w:t>
      </w:r>
    </w:p>
    <w:p w14:paraId="50DBB32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Uzyskanie wymaganej trwałości nawierzchni jest uzależnione od zapewnienia połączenia między warstwami oraz ich współpracy w przenoszeniu obciążeń nawierzchni wywołanych ruchem pojazdów.  </w:t>
      </w:r>
    </w:p>
    <w:p w14:paraId="17756BB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Zapewnienie połączenia międzywarstwowego wymaga starannego przygotowania podłoża, na którym będą układane kolejne warstwy asfaltowe, zastosowania odpowiedniej emulsji asfaltowej oraz właściwego wykonania skropienia. Podłoże należy przygotować zgodnie z STWiORB D.04.03.01. </w:t>
      </w:r>
    </w:p>
    <w:p w14:paraId="0EB1FEF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Skropienie emulsją asfaltową ma na celu zwiększenie siły połączenia pomiędzy warstwami konstrukcyjnymi oraz zabezpieczenie przed wnikaniem i zaleganiem wody pomiędzy warstwami.  </w:t>
      </w:r>
    </w:p>
    <w:p w14:paraId="5D8ECEA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skropień należy stosować rodzaj emulsji i ilość w zależności od rodzaju warstwy i kategorii ruchu, zgodnie z zasadami określonymi w STWiORB D.04.03.01.  </w:t>
      </w:r>
    </w:p>
    <w:p w14:paraId="4A9B9C3D" w14:textId="77777777" w:rsidR="00955A27" w:rsidRPr="001667DB" w:rsidRDefault="00955A27" w:rsidP="00A9424D">
      <w:pPr>
        <w:pStyle w:val="Nagwek2"/>
        <w:spacing w:line="360" w:lineRule="auto"/>
        <w:ind w:left="7"/>
        <w:jc w:val="both"/>
        <w:rPr>
          <w:color w:val="000000" w:themeColor="text1"/>
          <w:sz w:val="22"/>
          <w:szCs w:val="22"/>
        </w:rPr>
      </w:pPr>
      <w:bookmarkStart w:id="500" w:name="_Toc55084"/>
      <w:r w:rsidRPr="001667DB">
        <w:rPr>
          <w:color w:val="000000" w:themeColor="text1"/>
          <w:sz w:val="22"/>
          <w:szCs w:val="22"/>
        </w:rPr>
        <w:t>5.4.</w:t>
      </w:r>
      <w:r w:rsidRPr="001667DB">
        <w:rPr>
          <w:rFonts w:eastAsia="Arial"/>
          <w:color w:val="000000" w:themeColor="text1"/>
          <w:sz w:val="22"/>
          <w:szCs w:val="22"/>
        </w:rPr>
        <w:t xml:space="preserve"> </w:t>
      </w:r>
      <w:r w:rsidRPr="001667DB">
        <w:rPr>
          <w:color w:val="000000" w:themeColor="text1"/>
          <w:sz w:val="22"/>
          <w:szCs w:val="22"/>
        </w:rPr>
        <w:t xml:space="preserve">Warunki atmosferyczne </w:t>
      </w:r>
      <w:bookmarkEnd w:id="500"/>
    </w:p>
    <w:p w14:paraId="4EC59E6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nawierzchni z MMA powinna być układana w temperaturze: </w:t>
      </w:r>
    </w:p>
    <w:p w14:paraId="0E5A07B9" w14:textId="77777777" w:rsidR="00955A27" w:rsidRPr="001667DB" w:rsidRDefault="00955A27" w:rsidP="00904E6C">
      <w:pPr>
        <w:numPr>
          <w:ilvl w:val="0"/>
          <w:numId w:val="182"/>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podłoża nie mniejszej niż +5°C, </w:t>
      </w:r>
    </w:p>
    <w:p w14:paraId="2EE6E9D3" w14:textId="77777777" w:rsidR="00955A27" w:rsidRPr="001667DB" w:rsidRDefault="00955A27" w:rsidP="00904E6C">
      <w:pPr>
        <w:numPr>
          <w:ilvl w:val="0"/>
          <w:numId w:val="182"/>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temperaturze otoczenie w ciągu doby (pomiary trzy razy dziennie) nie mniejszej niż +5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 dla warstwy o grubości ≥3cm i nie mniejszej niż +10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xml:space="preserve">C  dla warstwy o grubości &lt;3cm. </w:t>
      </w:r>
    </w:p>
    <w:p w14:paraId="6BA4FE2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dopuszcza się układania MMA podczas opadów atmosferycznych i silnego wiatru przekraczającego prędkość 16m/s. </w:t>
      </w:r>
    </w:p>
    <w:p w14:paraId="33B7B281" w14:textId="77777777" w:rsidR="00955A27" w:rsidRPr="001667DB" w:rsidRDefault="00955A27" w:rsidP="00A9424D">
      <w:pPr>
        <w:pStyle w:val="Nagwek2"/>
        <w:spacing w:line="360" w:lineRule="auto"/>
        <w:ind w:left="7"/>
        <w:jc w:val="both"/>
        <w:rPr>
          <w:color w:val="000000" w:themeColor="text1"/>
          <w:sz w:val="22"/>
          <w:szCs w:val="22"/>
        </w:rPr>
      </w:pPr>
      <w:bookmarkStart w:id="501" w:name="_Toc55085"/>
      <w:r w:rsidRPr="001667DB">
        <w:rPr>
          <w:color w:val="000000" w:themeColor="text1"/>
          <w:sz w:val="22"/>
          <w:szCs w:val="22"/>
        </w:rPr>
        <w:lastRenderedPageBreak/>
        <w:t>5.5.</w:t>
      </w:r>
      <w:r w:rsidRPr="001667DB">
        <w:rPr>
          <w:rFonts w:eastAsia="Arial"/>
          <w:color w:val="000000" w:themeColor="text1"/>
          <w:sz w:val="22"/>
          <w:szCs w:val="22"/>
        </w:rPr>
        <w:t xml:space="preserve"> </w:t>
      </w:r>
      <w:r w:rsidRPr="001667DB">
        <w:rPr>
          <w:color w:val="000000" w:themeColor="text1"/>
          <w:sz w:val="22"/>
          <w:szCs w:val="22"/>
        </w:rPr>
        <w:t xml:space="preserve">Próba technologiczna </w:t>
      </w:r>
      <w:bookmarkEnd w:id="501"/>
    </w:p>
    <w:p w14:paraId="2947D48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przed przystąpieniem do produkcji MMA na żądanie Inżyniera/Inspektora Nadzoru jest zobowiązany do przeprowadzenia próby technologicznej. </w:t>
      </w:r>
    </w:p>
    <w:p w14:paraId="43B04A4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dopuszcza się oceniania dokładności pracy otaczarki oraz prawidłowości składu mieszanki mineralnej na podstawie tzw. suchego zarobu, z uwagi na segregację kruszywa. Na podstawie uzyskanych wyników Inżynier/Inspektor Nadzoru podejmuje decyzję o wykonaniu odcinka próbnego. Tolerancje zawartości składników MMA względem składu zaprojektowanego powinny być zgodne z wymaganiami podanymi w pkt. 6.7. niniejszych WWiORB.  </w:t>
      </w:r>
    </w:p>
    <w:p w14:paraId="5D1F6C53" w14:textId="77777777" w:rsidR="00955A27" w:rsidRPr="001667DB" w:rsidRDefault="00955A27" w:rsidP="00A9424D">
      <w:pPr>
        <w:pStyle w:val="Nagwek2"/>
        <w:spacing w:line="360" w:lineRule="auto"/>
        <w:ind w:left="7"/>
        <w:jc w:val="both"/>
        <w:rPr>
          <w:color w:val="000000" w:themeColor="text1"/>
          <w:sz w:val="22"/>
          <w:szCs w:val="22"/>
        </w:rPr>
      </w:pPr>
      <w:bookmarkStart w:id="502" w:name="_Toc55086"/>
      <w:r w:rsidRPr="001667DB">
        <w:rPr>
          <w:color w:val="000000" w:themeColor="text1"/>
          <w:sz w:val="22"/>
          <w:szCs w:val="22"/>
        </w:rPr>
        <w:t>5.6.</w:t>
      </w:r>
      <w:r w:rsidRPr="001667DB">
        <w:rPr>
          <w:rFonts w:eastAsia="Arial"/>
          <w:color w:val="000000" w:themeColor="text1"/>
          <w:sz w:val="22"/>
          <w:szCs w:val="22"/>
        </w:rPr>
        <w:t xml:space="preserve"> </w:t>
      </w:r>
      <w:r w:rsidRPr="001667DB">
        <w:rPr>
          <w:color w:val="000000" w:themeColor="text1"/>
          <w:sz w:val="22"/>
          <w:szCs w:val="22"/>
        </w:rPr>
        <w:t xml:space="preserve">Odcinek próbny </w:t>
      </w:r>
      <w:bookmarkEnd w:id="502"/>
    </w:p>
    <w:p w14:paraId="198B8BC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żądanie Inżyniera/Inspektora Nadzoru, Wykonawca powinien wykonać odcinek próbny o długości przynajmniej 100m na całej szerokości jednej jezdni. Wykonawca powinien wykonać odcinek próbny w celu: </w:t>
      </w:r>
    </w:p>
    <w:p w14:paraId="197D88FD" w14:textId="77777777" w:rsidR="00955A27" w:rsidRPr="001667DB" w:rsidRDefault="00955A27" w:rsidP="00904E6C">
      <w:pPr>
        <w:numPr>
          <w:ilvl w:val="0"/>
          <w:numId w:val="183"/>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zdefiniowania parametrów produkcyjnych MMA, </w:t>
      </w:r>
    </w:p>
    <w:p w14:paraId="7FFD20E2" w14:textId="77777777" w:rsidR="00955A27" w:rsidRPr="001667DB" w:rsidRDefault="00955A27" w:rsidP="00904E6C">
      <w:pPr>
        <w:numPr>
          <w:ilvl w:val="0"/>
          <w:numId w:val="183"/>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sprawdzenia czy sprzęt użyty do rozkładania i zagęszczania mieszanki jest właściwy, </w:t>
      </w:r>
    </w:p>
    <w:p w14:paraId="2CE3692D" w14:textId="77777777" w:rsidR="00955A27" w:rsidRPr="001667DB" w:rsidRDefault="00955A27" w:rsidP="00904E6C">
      <w:pPr>
        <w:numPr>
          <w:ilvl w:val="0"/>
          <w:numId w:val="183"/>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grubości warstwy mieszanki mineralno-asfaltowej przed zagęszczeniem, koniecznej do uzyskania wymaganej ostatecznej grubości warstwy, </w:t>
      </w:r>
    </w:p>
    <w:p w14:paraId="2B46AC8E" w14:textId="77777777" w:rsidR="00955A27" w:rsidRPr="001667DB" w:rsidRDefault="00955A27" w:rsidP="00904E6C">
      <w:pPr>
        <w:numPr>
          <w:ilvl w:val="0"/>
          <w:numId w:val="183"/>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określenia potrzebnej liczby przejść walców dla uzyskania prawidłowego zagęszczenia warstwy.  </w:t>
      </w:r>
    </w:p>
    <w:p w14:paraId="515688D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wykonania odcinka próbnego, Wykonawca powinien zastosować takie same materiały oraz sprzęt, jakie będą stosowane do wykonania warstwy z MMA podczas robót. Lokalizacja odcinka próbnego zostanie zaakceptowana przez Inżyniera/Inspektora Nadzoru – dopuszcza się akceptację wykonanego odcinka próbnego w ramach innego zadania pod warunkiem, że został wbudowany ten sam typ mieszanki mineralno-asfaltowej oraz zastosowano ten sam sprzęt do wbudowania i zagęszczenia warstwy. Wykonawca rozpocznie wykonywanie nawierzchni z MMA dopiero po otrzymaniu akceptacji Inżyniera/Inspektora Nadzoru, wydanej na podstawie testów oraz pomiarów dokonanych na odcinku próbnym. W przypadku nieprawidłowych parametrów warstwy ścieralnej i nie zatwierdzeniu przez Inżyniera/Inspektora Nadzoru odcinka próbnego, Wykonawca ma obowiązek usunąć odcinek próbny warstwy ścieralnej (jeżeli był wykonywany w obrębie Kontraktu) na własny koszt. </w:t>
      </w:r>
    </w:p>
    <w:p w14:paraId="7FCBB3D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44BEE086" w14:textId="77777777" w:rsidR="00955A27" w:rsidRPr="001667DB" w:rsidRDefault="00955A27" w:rsidP="00A9424D">
      <w:pPr>
        <w:pStyle w:val="Nagwek2"/>
        <w:spacing w:line="360" w:lineRule="auto"/>
        <w:ind w:left="7"/>
        <w:jc w:val="both"/>
        <w:rPr>
          <w:color w:val="000000" w:themeColor="text1"/>
          <w:sz w:val="22"/>
          <w:szCs w:val="22"/>
        </w:rPr>
      </w:pPr>
      <w:bookmarkStart w:id="503" w:name="_Toc55087"/>
      <w:r w:rsidRPr="001667DB">
        <w:rPr>
          <w:color w:val="000000" w:themeColor="text1"/>
          <w:sz w:val="22"/>
          <w:szCs w:val="22"/>
        </w:rPr>
        <w:t>5.7.</w:t>
      </w:r>
      <w:r w:rsidRPr="001667DB">
        <w:rPr>
          <w:rFonts w:eastAsia="Arial"/>
          <w:color w:val="000000" w:themeColor="text1"/>
          <w:sz w:val="22"/>
          <w:szCs w:val="22"/>
        </w:rPr>
        <w:t xml:space="preserve"> </w:t>
      </w:r>
      <w:r w:rsidRPr="001667DB">
        <w:rPr>
          <w:color w:val="000000" w:themeColor="text1"/>
          <w:sz w:val="22"/>
          <w:szCs w:val="22"/>
        </w:rPr>
        <w:t xml:space="preserve">Wbudowywanie mieszanki MMA  </w:t>
      </w:r>
      <w:bookmarkEnd w:id="503"/>
    </w:p>
    <w:p w14:paraId="69B84F1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MMA powinien odbywać się zgodnie z wymaganiami podanymi w pkt. 7.4 WT-2 2016 – część II. Wbudowywanie MMA powinno odbywać się zgodnie z wymaganiami podanymi w pkt. 7.5 </w:t>
      </w:r>
      <w:r w:rsidRPr="001667DB">
        <w:rPr>
          <w:rFonts w:ascii="Times New Roman" w:hAnsi="Times New Roman" w:cs="Times New Roman"/>
          <w:color w:val="000000" w:themeColor="text1"/>
        </w:rPr>
        <w:lastRenderedPageBreak/>
        <w:t xml:space="preserve">WT-2 2016 – część II. Prace związane z wbudowaniem mieszanki mineralno-asfaltowej należy tak zaplanować, aby: </w:t>
      </w:r>
    </w:p>
    <w:p w14:paraId="5EC014F4" w14:textId="77777777" w:rsidR="00955A27" w:rsidRPr="001667DB" w:rsidRDefault="00955A27" w:rsidP="00904E6C">
      <w:pPr>
        <w:numPr>
          <w:ilvl w:val="0"/>
          <w:numId w:val="184"/>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umożliwiały układanie warstwy całą szerokością jezdni (jedną rozkładarką lub dwoma rozkładarkami pracującymi obok siebie z przesunięciem wg pkt 7.6.3.1. WT2 2016 – część II); w przypadku przebudów i remontów o dopuszczonym ruchu jednokierunkowym (wahadłowym) szerokością pasa ruchu ,   </w:t>
      </w:r>
    </w:p>
    <w:p w14:paraId="09F0B36E" w14:textId="77777777" w:rsidR="00955A27" w:rsidRPr="001667DB" w:rsidRDefault="00955A27" w:rsidP="00904E6C">
      <w:pPr>
        <w:numPr>
          <w:ilvl w:val="0"/>
          <w:numId w:val="184"/>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dzienne działki robocze  (tj. odcinki nawierzchni na których mieszanka mineralnoasfaltowa jest wbudowywana jednego dnia) powinny być możliwie jak najdłuższe min. 200 m, </w:t>
      </w:r>
    </w:p>
    <w:p w14:paraId="72202DD1" w14:textId="77777777" w:rsidR="00955A27" w:rsidRPr="001667DB" w:rsidRDefault="00955A27" w:rsidP="00904E6C">
      <w:pPr>
        <w:numPr>
          <w:ilvl w:val="0"/>
          <w:numId w:val="184"/>
        </w:numPr>
        <w:spacing w:after="120" w:line="360" w:lineRule="auto"/>
        <w:ind w:left="426"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organizacja dostaw mieszanki powinna zapewnić pracę rozkładarki bez zatrzymań z jednostajną prędkością. </w:t>
      </w:r>
    </w:p>
    <w:p w14:paraId="578AA73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Mieszankę mineralno-asfaltową należy wbudowywać w sprzyjających warunkach atmosferycznych określonych w pkt. 5.4. Temperatura otoczenia może być niższa w wypadku stosowania ogrzewania podłoża i obramowania (np. promienniki podczerwieni, urządzenia mikrofalowe). </w:t>
      </w:r>
    </w:p>
    <w:p w14:paraId="7D3E697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celu poprawy właściwości przeciwpoślizgowych warstwę ścieralną należy układać  w kierunku przeciwnym do przewidywanego ruchu – dotyczy nawierzchni dwujezdniowych oraz jednojezdniowych w przypadku przebudów i remontów układanych szerokością pasa ruchu. </w:t>
      </w:r>
    </w:p>
    <w:p w14:paraId="5E60A45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stosowania mieszanek mineralno-asfaltowych z dodatkiem umożliwiającym obniżenie temperatury mieszania (mieszanki na ciepło) i wbudowania, należy indywidualnie określić wymagane warunki otoczenia. Układarka powinna być stale zasilana w mieszankę tak, aby w zasobniku zawsze znajdowała się odpowiednia jej ilość, a kosz, transporter i stół były zawsze gorące i nie stygły. W miejscach niedostępnych dla sprzętu dopuszcza się wbudowywanie ręczne. </w:t>
      </w:r>
    </w:p>
    <w:p w14:paraId="3C8D7AB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wykonywaniu nawierzchni drogi o kategorii KR 7, do warstwy ścieralnej wymagane jest: </w:t>
      </w:r>
    </w:p>
    <w:p w14:paraId="1AAA9C66" w14:textId="77777777" w:rsidR="00955A27" w:rsidRPr="001667DB" w:rsidRDefault="00955A27" w:rsidP="00904E6C">
      <w:pPr>
        <w:numPr>
          <w:ilvl w:val="0"/>
          <w:numId w:val="185"/>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stosowanie podajników mieszanki mineralno-asfaltowej do zasilania kosza rozkładarki ze środków transportu, </w:t>
      </w:r>
    </w:p>
    <w:p w14:paraId="1E3EB293" w14:textId="77777777" w:rsidR="00955A27" w:rsidRPr="001667DB" w:rsidRDefault="00955A27" w:rsidP="00904E6C">
      <w:pPr>
        <w:numPr>
          <w:ilvl w:val="0"/>
          <w:numId w:val="185"/>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stosowanie rozkładarek wyposażonych w łatę o długości min. 10 m z co najmniej 3 czujnikami. </w:t>
      </w:r>
    </w:p>
    <w:p w14:paraId="665569B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Podczas rozkładania grubość wykonywanej warstwy powinna być sprawdzana co 25 m, w co najmniej trzech miejscach (w osi i przy brzegach warstwy). Warstwy wałowane powinny być równomiernie zagęszczane walcami drogowymi o charakterystyce zapewniającej skuteczność zagęszczania, potwierdzoną na odcinku próbnym. </w:t>
      </w:r>
    </w:p>
    <w:p w14:paraId="75C6B50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Dopuszczenie wykonanej warstwy asfaltowej na gorąco do ruchu może nastąpić po jej schłodzeniu do temperatury zapewniającej jej odporność na deformacje trwałe.  </w:t>
      </w:r>
    </w:p>
    <w:p w14:paraId="631AC16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147B5954" w14:textId="77777777" w:rsidR="00955A27" w:rsidRPr="001667DB" w:rsidRDefault="00955A27" w:rsidP="00A9424D">
      <w:pPr>
        <w:pStyle w:val="Nagwek2"/>
        <w:spacing w:line="360" w:lineRule="auto"/>
        <w:ind w:left="7"/>
        <w:jc w:val="both"/>
        <w:rPr>
          <w:color w:val="000000" w:themeColor="text1"/>
          <w:sz w:val="22"/>
          <w:szCs w:val="22"/>
        </w:rPr>
      </w:pPr>
      <w:bookmarkStart w:id="504" w:name="_Toc55088"/>
      <w:r w:rsidRPr="001667DB">
        <w:rPr>
          <w:color w:val="000000" w:themeColor="text1"/>
          <w:sz w:val="22"/>
          <w:szCs w:val="22"/>
        </w:rPr>
        <w:lastRenderedPageBreak/>
        <w:t>5.8.</w:t>
      </w:r>
      <w:r w:rsidRPr="001667DB">
        <w:rPr>
          <w:rFonts w:eastAsia="Arial"/>
          <w:color w:val="000000" w:themeColor="text1"/>
          <w:sz w:val="22"/>
          <w:szCs w:val="22"/>
        </w:rPr>
        <w:t xml:space="preserve"> </w:t>
      </w:r>
      <w:r w:rsidRPr="001667DB">
        <w:rPr>
          <w:color w:val="000000" w:themeColor="text1"/>
          <w:sz w:val="22"/>
          <w:szCs w:val="22"/>
        </w:rPr>
        <w:t xml:space="preserve">Połączenia technologiczne </w:t>
      </w:r>
      <w:bookmarkEnd w:id="504"/>
    </w:p>
    <w:p w14:paraId="5B1EA01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Połączenia technologiczne powinny być wykonane przy zastosowaniu materiałów określonych w pkt 2.2.1 niniejszego STWiORB, oraz zgodnie z pkt. 7.6 WT-2 2016 – część II.  </w:t>
      </w:r>
    </w:p>
    <w:p w14:paraId="40F16601"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5.8.1.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Sposób i warunki aplikacji materiałów stosowanych do złączy.  </w:t>
      </w:r>
    </w:p>
    <w:p w14:paraId="07E31CAB" w14:textId="77777777" w:rsidR="00955A27" w:rsidRPr="001667DB" w:rsidRDefault="00955A27" w:rsidP="00A9424D">
      <w:pPr>
        <w:pStyle w:val="Nagwek5"/>
        <w:tabs>
          <w:tab w:val="center" w:pos="4797"/>
        </w:tabs>
        <w:spacing w:line="360" w:lineRule="auto"/>
        <w:ind w:left="-3"/>
        <w:rPr>
          <w:color w:val="000000" w:themeColor="text1"/>
          <w:sz w:val="22"/>
          <w:szCs w:val="22"/>
        </w:rPr>
      </w:pPr>
      <w:r w:rsidRPr="001667DB">
        <w:rPr>
          <w:color w:val="000000" w:themeColor="text1"/>
          <w:sz w:val="22"/>
          <w:szCs w:val="22"/>
        </w:rPr>
        <w:t>5.8.1.1.</w:t>
      </w:r>
      <w:r w:rsidRPr="001667DB">
        <w:rPr>
          <w:rFonts w:eastAsia="Arial"/>
          <w:color w:val="000000" w:themeColor="text1"/>
          <w:sz w:val="22"/>
          <w:szCs w:val="22"/>
        </w:rPr>
        <w:t xml:space="preserve"> </w:t>
      </w:r>
      <w:r w:rsidRPr="001667DB">
        <w:rPr>
          <w:rFonts w:eastAsia="Arial"/>
          <w:color w:val="000000" w:themeColor="text1"/>
          <w:sz w:val="22"/>
          <w:szCs w:val="22"/>
        </w:rPr>
        <w:tab/>
      </w:r>
      <w:r w:rsidRPr="001667DB">
        <w:rPr>
          <w:color w:val="000000" w:themeColor="text1"/>
          <w:sz w:val="22"/>
          <w:szCs w:val="22"/>
        </w:rPr>
        <w:t xml:space="preserve">Wymagania wobec wbudowania elastycznych taśm bitumicznych </w:t>
      </w:r>
    </w:p>
    <w:p w14:paraId="2ECF799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boczna złącza podłużnego winna być uformowana za pomocą rolki dociskowej lub poprzez obcięcie nożem talerzowym. </w:t>
      </w:r>
    </w:p>
    <w:p w14:paraId="6878EC9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boczna złącza poprzecznego powinna być uformowana w taki sposób i za pomocą urządzeń umożliwiających uzyskanie nieregularnej powierzchni. </w:t>
      </w:r>
    </w:p>
    <w:p w14:paraId="021999C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krawędzi do których klejona będzie taśma, powinny być czyste i suche. </w:t>
      </w:r>
    </w:p>
    <w:p w14:paraId="2B2C315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przyklejeniem taśmy w metodzie „gorące przy zimnym”, krawędzie „zimnej” warstwy na całkowitej grubości, należy zagruntować środkiem gruntującym zgodnie z zaleceniami producenta taśmy. </w:t>
      </w:r>
    </w:p>
    <w:p w14:paraId="596EBC1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Taśma bitumiczna o grubości 10 mm powinna być wstępnie przyklejona do zimnej krawędzi złącza na całej jego wysokości oraz wystawać ponad powierzchnię warstwy do 5 mm lub wg zaleceń Producenta. </w:t>
      </w:r>
    </w:p>
    <w:p w14:paraId="0832A024" w14:textId="77777777" w:rsidR="00955A27" w:rsidRPr="001667DB" w:rsidRDefault="00955A27" w:rsidP="00A9424D">
      <w:pPr>
        <w:pStyle w:val="Nagwek5"/>
        <w:tabs>
          <w:tab w:val="center" w:pos="4002"/>
        </w:tabs>
        <w:spacing w:line="360" w:lineRule="auto"/>
        <w:ind w:left="-3"/>
        <w:rPr>
          <w:color w:val="000000" w:themeColor="text1"/>
          <w:sz w:val="22"/>
          <w:szCs w:val="22"/>
        </w:rPr>
      </w:pPr>
      <w:r w:rsidRPr="001667DB">
        <w:rPr>
          <w:color w:val="000000" w:themeColor="text1"/>
          <w:sz w:val="22"/>
          <w:szCs w:val="22"/>
        </w:rPr>
        <w:t>5.8.1.2.</w:t>
      </w:r>
      <w:r w:rsidRPr="001667DB">
        <w:rPr>
          <w:rFonts w:eastAsia="Arial"/>
          <w:color w:val="000000" w:themeColor="text1"/>
          <w:sz w:val="22"/>
          <w:szCs w:val="22"/>
        </w:rPr>
        <w:t xml:space="preserve"> </w:t>
      </w:r>
      <w:r w:rsidRPr="001667DB">
        <w:rPr>
          <w:rFonts w:eastAsia="Arial"/>
          <w:color w:val="000000" w:themeColor="text1"/>
          <w:sz w:val="22"/>
          <w:szCs w:val="22"/>
        </w:rPr>
        <w:tab/>
      </w:r>
      <w:r w:rsidRPr="001667DB">
        <w:rPr>
          <w:color w:val="000000" w:themeColor="text1"/>
          <w:sz w:val="22"/>
          <w:szCs w:val="22"/>
        </w:rPr>
        <w:t xml:space="preserve">Wymagania wobec wbudowania past bitumicznych </w:t>
      </w:r>
    </w:p>
    <w:p w14:paraId="19363A2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Przygotowanie krawędzi bocznych jak w przypadku stosowania taśm bitumicznych. </w:t>
      </w:r>
    </w:p>
    <w:p w14:paraId="5060CE8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2CE07A12" w14:textId="77777777" w:rsidR="00955A27" w:rsidRPr="001667DB" w:rsidRDefault="00955A27" w:rsidP="00A9424D">
      <w:p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 się ręczne nanoszenie past w miejscach niedostępnych. </w:t>
      </w:r>
    </w:p>
    <w:p w14:paraId="3AB7DAA2"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5.8.2.</w:t>
      </w:r>
      <w:r w:rsidRPr="001667DB">
        <w:rPr>
          <w:rFonts w:eastAsia="Arial"/>
          <w:color w:val="000000" w:themeColor="text1"/>
          <w:sz w:val="22"/>
          <w:szCs w:val="22"/>
        </w:rPr>
        <w:t xml:space="preserve"> </w:t>
      </w:r>
      <w:r w:rsidRPr="001667DB">
        <w:rPr>
          <w:color w:val="000000" w:themeColor="text1"/>
          <w:sz w:val="22"/>
          <w:szCs w:val="22"/>
        </w:rPr>
        <w:t xml:space="preserve">Sposób wykonania złączy </w:t>
      </w:r>
    </w:p>
    <w:p w14:paraId="3A4B476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ogólne: </w:t>
      </w:r>
    </w:p>
    <w:p w14:paraId="74FE157F" w14:textId="77777777" w:rsidR="00955A27" w:rsidRPr="001667DB" w:rsidRDefault="00955A27" w:rsidP="00904E6C">
      <w:pPr>
        <w:numPr>
          <w:ilvl w:val="0"/>
          <w:numId w:val="186"/>
        </w:numPr>
        <w:spacing w:after="120" w:line="360" w:lineRule="auto"/>
        <w:ind w:left="567"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w warstwach nawierzchni powinny być wykonane w linii prostej,  </w:t>
      </w:r>
    </w:p>
    <w:p w14:paraId="528BB15B" w14:textId="77777777" w:rsidR="00955A27" w:rsidRPr="001667DB" w:rsidRDefault="00955A27" w:rsidP="00904E6C">
      <w:pPr>
        <w:numPr>
          <w:ilvl w:val="0"/>
          <w:numId w:val="186"/>
        </w:numPr>
        <w:spacing w:after="120" w:line="360" w:lineRule="auto"/>
        <w:ind w:left="567"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podłużnego nie można lokalizować w śladach kół, a także w obszarze poziomego oznakowania jezdni </w:t>
      </w:r>
    </w:p>
    <w:p w14:paraId="541FD297" w14:textId="77777777" w:rsidR="00955A27" w:rsidRPr="001667DB" w:rsidRDefault="00955A27" w:rsidP="00904E6C">
      <w:pPr>
        <w:numPr>
          <w:ilvl w:val="0"/>
          <w:numId w:val="186"/>
        </w:numPr>
        <w:spacing w:after="120" w:line="360" w:lineRule="auto"/>
        <w:ind w:left="567"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 w konstrukcji wielowarstwowej należy przesunąć względem siebie w kolejnych warstwach technologicznych o co najmniej 30 cm w kierunku poprzecznym do osi jezdni, </w:t>
      </w:r>
    </w:p>
    <w:p w14:paraId="63DEBF39" w14:textId="77777777" w:rsidR="00955A27" w:rsidRPr="001667DB" w:rsidRDefault="00955A27" w:rsidP="00904E6C">
      <w:pPr>
        <w:numPr>
          <w:ilvl w:val="0"/>
          <w:numId w:val="186"/>
        </w:numPr>
        <w:spacing w:after="120" w:line="360" w:lineRule="auto"/>
        <w:ind w:left="567"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muszą być całkowicie związane a powierzchnie przylegających warstw powinny być w jednym poziomie. </w:t>
      </w:r>
    </w:p>
    <w:p w14:paraId="735ADBC6" w14:textId="77777777" w:rsidR="00955A27" w:rsidRPr="001667DB" w:rsidRDefault="00955A27" w:rsidP="00A9424D">
      <w:pPr>
        <w:pStyle w:val="Nagwek3"/>
      </w:pPr>
      <w:r w:rsidRPr="001667DB">
        <w:lastRenderedPageBreak/>
        <w:t>A.</w:t>
      </w:r>
      <w:r w:rsidRPr="001667DB">
        <w:rPr>
          <w:rFonts w:eastAsia="Arial"/>
        </w:rPr>
        <w:t xml:space="preserve"> </w:t>
      </w:r>
      <w:r w:rsidRPr="001667DB">
        <w:rPr>
          <w:rFonts w:eastAsia="Arial"/>
        </w:rPr>
        <w:tab/>
      </w:r>
      <w:r w:rsidRPr="001667DB">
        <w:t xml:space="preserve">Metoda rozkładania „gorące przy gorącym” </w:t>
      </w:r>
    </w:p>
    <w:p w14:paraId="7FAE349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Metoda ta ma zastosowanie  w przypadku wykonywania złącza podłużnego – należy ją stosować zgodnie z pkt. 7.6.3.1 WT-2 2016 – część II. </w:t>
      </w:r>
    </w:p>
    <w:p w14:paraId="5925444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tej metodzie nie stosuje się dodatkowych materiałów do złączy. </w:t>
      </w:r>
    </w:p>
    <w:p w14:paraId="05B91829" w14:textId="77777777" w:rsidR="00955A27" w:rsidRPr="001667DB" w:rsidRDefault="00955A27" w:rsidP="00A9424D">
      <w:pPr>
        <w:pStyle w:val="Nagwek3"/>
      </w:pPr>
      <w:r w:rsidRPr="001667DB">
        <w:t>B.</w:t>
      </w:r>
      <w:r w:rsidRPr="001667DB">
        <w:rPr>
          <w:rFonts w:eastAsia="Arial"/>
        </w:rPr>
        <w:t xml:space="preserve"> </w:t>
      </w:r>
      <w:r w:rsidRPr="001667DB">
        <w:rPr>
          <w:rFonts w:eastAsia="Arial"/>
        </w:rPr>
        <w:tab/>
      </w:r>
      <w:r w:rsidRPr="001667DB">
        <w:t xml:space="preserve">Metoda rozkładania „gorące przy zimnym” </w:t>
      </w:r>
    </w:p>
    <w:p w14:paraId="28E0917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złączy metodą „gorące przy zimnym” stosuje się w przypadkach, gdy ze względu na ruch, względnie z innych uzasadnionych powodów konieczne jest wykonywanie nawierzchni w odstępach czasowych – należy ją stosować zgodnie z pkt. 7.6.3.2 WT-2 2016 – część II. </w:t>
      </w:r>
    </w:p>
    <w:p w14:paraId="4A3A7C3E" w14:textId="77777777" w:rsidR="00955A27" w:rsidRPr="001667DB" w:rsidRDefault="00955A27" w:rsidP="00A9424D">
      <w:pPr>
        <w:pStyle w:val="Nagwek3"/>
      </w:pPr>
      <w:r w:rsidRPr="001667DB">
        <w:t>C.</w:t>
      </w:r>
      <w:r w:rsidRPr="001667DB">
        <w:rPr>
          <w:rFonts w:eastAsia="Arial"/>
        </w:rPr>
        <w:t xml:space="preserve"> </w:t>
      </w:r>
      <w:r w:rsidRPr="001667DB">
        <w:rPr>
          <w:rFonts w:eastAsia="Arial"/>
        </w:rPr>
        <w:tab/>
      </w:r>
      <w:r w:rsidRPr="001667DB">
        <w:t xml:space="preserve">Sposób zakończenia działki roboczej </w:t>
      </w:r>
    </w:p>
    <w:p w14:paraId="40BD3ED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Zakończenie działki roboczej należy wykonać w sposób i przy pomocy urządzeń zapewniających uzyskanie nieregularnej, szorstkiej powierzchni spoiny (przy pomocy wstawianej kantówki lub frezarki) oraz szorstkiego podłoża w rejonie planowanego złącza. </w:t>
      </w:r>
    </w:p>
    <w:p w14:paraId="371FF87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Niedopuszczalne jest posypywanie piaskiem jako sposobu na obniżenie sczepności warstw w rejonie końca działki roboczej oraz obcinanie piłą tarczową zimnej krawędzi działki. </w:t>
      </w:r>
    </w:p>
    <w:p w14:paraId="608D03C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Zakończenie działki roboczej wykonuje się prostopadle do osi drogi. </w:t>
      </w:r>
    </w:p>
    <w:p w14:paraId="1CD74C8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działki roboczej jest równocześnie krawędzią poprzeczną złącza. </w:t>
      </w:r>
    </w:p>
    <w:p w14:paraId="0AA093D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poprzeczne między działkami roboczymi układanych pasów kolejnych warstw technologicznych należy przesunąć względem siebie o co najmniej 3 m w kierunku podłużnym do osi jezdni. </w:t>
      </w:r>
    </w:p>
    <w:p w14:paraId="4D54780B" w14:textId="77777777" w:rsidR="00955A27" w:rsidRPr="001667DB" w:rsidRDefault="00955A27" w:rsidP="00A9424D">
      <w:pPr>
        <w:spacing w:after="120" w:line="360" w:lineRule="auto"/>
        <w:ind w:left="-3"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jeśli podłożem dla warstwy jest warstwa z AC WMS należy dokładnie nad  złączami poprzecznymi działek roboczych AC WMS wykonać poprzecznie piłą tarczową nacięcia dylatacyjne na całą szerokość ułożonej warstwy ścieralnej do jej spodu. Nacięcia należy wypełnić zalewą drogową typu N1 o właściwościach określonych w PN EN 14 188-1 tablica 2 punkty od 1 do 11.2.8. W okresie ciepłym szczelina winna być wypełniona  z meniskiem wklęsłym, a w okresie chłodnym po jej brzegi. </w:t>
      </w:r>
    </w:p>
    <w:p w14:paraId="3C8E2F23" w14:textId="77777777" w:rsidR="00955A27" w:rsidRPr="001667DB" w:rsidRDefault="00955A27" w:rsidP="00A9424D">
      <w:pPr>
        <w:pStyle w:val="Nagwek3"/>
      </w:pPr>
      <w:r w:rsidRPr="001667DB">
        <w:t>D.</w:t>
      </w:r>
      <w:r w:rsidRPr="001667DB">
        <w:rPr>
          <w:rFonts w:eastAsia="Arial"/>
        </w:rPr>
        <w:t xml:space="preserve"> </w:t>
      </w:r>
      <w:r w:rsidRPr="001667DB">
        <w:rPr>
          <w:rFonts w:eastAsia="Arial"/>
        </w:rPr>
        <w:tab/>
      </w:r>
      <w:r w:rsidRPr="001667DB">
        <w:t xml:space="preserve">Sposób wykonywania spoin </w:t>
      </w:r>
    </w:p>
    <w:p w14:paraId="35B3363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Spoiny wykonuje się z użyciem materiałów wymienionych w punkcie 2.2.2. </w:t>
      </w:r>
    </w:p>
    <w:p w14:paraId="3732E5E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Grubość elastycznej taśmy bitumicznej do spoin powinna wynosić nie mniej niż 10 mm w warstwie ścieralnej. </w:t>
      </w:r>
    </w:p>
    <w:p w14:paraId="36AA51D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Pasta powinna być nanoszona mechanicznie z zapewnieniem równomiernego jej rozprowadzenia na bocznej krawędzi w ilości 3 - 4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(warstwa o grubości 3 - 4 mm przy gęstości około 1,0 g/cm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w:t>
      </w:r>
    </w:p>
    <w:p w14:paraId="3F12822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dla wbudowywania zalew drogowych na gorąco: </w:t>
      </w:r>
    </w:p>
    <w:p w14:paraId="4418760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Zabrudzone szczeliny należy oczyścić za pomocą sprężonego powietrza. </w:t>
      </w:r>
    </w:p>
    <w:p w14:paraId="7974AC2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Zimne  krawędzie winny uprzednio być posmarowane gruntownikiem wg zaleceń producenta zalewy drogowej na gorąco. Szczelinę należy zalać do pełna: z meniskiem wklęsłym w przypadku prac </w:t>
      </w:r>
      <w:r w:rsidRPr="001667DB">
        <w:rPr>
          <w:rFonts w:ascii="Times New Roman" w:hAnsi="Times New Roman" w:cs="Times New Roman"/>
          <w:color w:val="000000" w:themeColor="text1"/>
        </w:rPr>
        <w:lastRenderedPageBreak/>
        <w:t xml:space="preserve">wykonywanych w niskich temperaturach otoczenia, bez menisku w przypadku prac wykonywanych w wysokich temperaturach. </w:t>
      </w:r>
    </w:p>
    <w:p w14:paraId="0BFE3F0D" w14:textId="77777777" w:rsidR="00955A27" w:rsidRPr="001667DB" w:rsidRDefault="00955A27" w:rsidP="00A9424D">
      <w:pPr>
        <w:pStyle w:val="Nagwek2"/>
        <w:spacing w:line="360" w:lineRule="auto"/>
        <w:ind w:left="7"/>
        <w:jc w:val="both"/>
        <w:rPr>
          <w:color w:val="000000" w:themeColor="text1"/>
          <w:sz w:val="22"/>
          <w:szCs w:val="22"/>
        </w:rPr>
      </w:pPr>
      <w:bookmarkStart w:id="505" w:name="_Toc55089"/>
      <w:r w:rsidRPr="001667DB">
        <w:rPr>
          <w:color w:val="000000" w:themeColor="text1"/>
          <w:sz w:val="22"/>
          <w:szCs w:val="22"/>
        </w:rPr>
        <w:t>5.9.</w:t>
      </w:r>
      <w:r w:rsidRPr="001667DB">
        <w:rPr>
          <w:rFonts w:eastAsia="Arial"/>
          <w:color w:val="000000" w:themeColor="text1"/>
          <w:sz w:val="22"/>
          <w:szCs w:val="22"/>
        </w:rPr>
        <w:t xml:space="preserve"> </w:t>
      </w:r>
      <w:r w:rsidRPr="001667DB">
        <w:rPr>
          <w:color w:val="000000" w:themeColor="text1"/>
          <w:sz w:val="22"/>
          <w:szCs w:val="22"/>
        </w:rPr>
        <w:t xml:space="preserve">Krawędzie zewnętrzne warstwy ścieralnej </w:t>
      </w:r>
      <w:bookmarkEnd w:id="505"/>
    </w:p>
    <w:p w14:paraId="33C57D3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Krawędzie zewnętrzne warstwy ścieralnej należy wykonać zgodnie z wymaganiami pkt. 7.7 WT-2 2016 – część II </w:t>
      </w:r>
    </w:p>
    <w:p w14:paraId="3A614FE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wykonaniu warstwy ścieralnej o jednostronnym nachyleniu jezdni należy uszczelnić wyżej położoną krawędź boczną. Niżej położona krawędź boczna powinna pozostać nieuszczelniona. </w:t>
      </w:r>
    </w:p>
    <w:p w14:paraId="4242BE6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Krawędź zewnętrzną oraz powierzchnię odsadzki poziomej należy zabezpieczyć przez pokrycie gorącym asfaltem w ilości: </w:t>
      </w:r>
    </w:p>
    <w:p w14:paraId="158FA128" w14:textId="77777777" w:rsidR="00955A27" w:rsidRPr="001667DB" w:rsidRDefault="00955A27" w:rsidP="00904E6C">
      <w:pPr>
        <w:numPr>
          <w:ilvl w:val="0"/>
          <w:numId w:val="18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powierzchnie odsadzek  </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- 1,5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42263B4C" w14:textId="77777777" w:rsidR="00955A27" w:rsidRPr="001667DB" w:rsidRDefault="00955A27" w:rsidP="00904E6C">
      <w:pPr>
        <w:numPr>
          <w:ilvl w:val="0"/>
          <w:numId w:val="18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krawędzie zewnętrzne  </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- 4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4FBD9C3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zgodnie z rys. 1 pkt. 7.7 WT-2 2016 – część II. </w:t>
      </w:r>
    </w:p>
    <w:p w14:paraId="381DC58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nawierzchni o dwustronnym nachyleniu (przekrój daszkowy)  decyzję o potrzebie i sposobie uszczelnienia krawędzi zewnętrznych podejmie Projektant w uzgodnieniu z Zamawiającym. </w:t>
      </w:r>
    </w:p>
    <w:p w14:paraId="692F17E4" w14:textId="77777777" w:rsidR="00955A27" w:rsidRPr="001667DB" w:rsidRDefault="00955A27" w:rsidP="00A9424D">
      <w:pPr>
        <w:pStyle w:val="Nagwek2"/>
        <w:spacing w:line="360" w:lineRule="auto"/>
        <w:ind w:left="7"/>
        <w:jc w:val="both"/>
        <w:rPr>
          <w:color w:val="000000" w:themeColor="text1"/>
          <w:sz w:val="22"/>
          <w:szCs w:val="22"/>
        </w:rPr>
      </w:pPr>
      <w:bookmarkStart w:id="506" w:name="_Toc55090"/>
      <w:r w:rsidRPr="001667DB">
        <w:rPr>
          <w:color w:val="000000" w:themeColor="text1"/>
          <w:sz w:val="22"/>
          <w:szCs w:val="22"/>
        </w:rPr>
        <w:t>5.10.</w:t>
      </w:r>
      <w:r w:rsidRPr="001667DB">
        <w:rPr>
          <w:rFonts w:eastAsia="Arial"/>
          <w:color w:val="000000" w:themeColor="text1"/>
          <w:sz w:val="22"/>
          <w:szCs w:val="22"/>
        </w:rPr>
        <w:t xml:space="preserve"> </w:t>
      </w:r>
      <w:r w:rsidRPr="001667DB">
        <w:rPr>
          <w:color w:val="000000" w:themeColor="text1"/>
          <w:sz w:val="22"/>
          <w:szCs w:val="22"/>
        </w:rPr>
        <w:t xml:space="preserve">Wykończenie powierzchni warstwy ścieralnej </w:t>
      </w:r>
      <w:bookmarkEnd w:id="506"/>
    </w:p>
    <w:p w14:paraId="4EB475D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 ścieralna powinna mieć jednorodną teksturę i strukturę. Uszorstnienie należy wykonać bezpośrednio po ułożeniu warstwy ścieralnej w początkowym okresie jej zagęszczania. Kruszywo do uszorstnienia warstwy powinno spełniać wymagania podane  w punkcie 2.2.1. </w:t>
      </w:r>
    </w:p>
    <w:p w14:paraId="7C19CE8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Nanoszenie kruszywa uszorstniającego  powinno odbywać się maszynowo, a jedynie  w miejscach trudno dostępnych dopuszcza się wykonywanie ręczne. Kruszywo posypki należy lekko przywałować walcem stalowym. Niezwiązaną posypkę należy usunąć po ostygnięciu warstwy.  </w:t>
      </w:r>
    </w:p>
    <w:p w14:paraId="051458C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Wymagana ilość kruszywa do uszorstnienia:  </w:t>
      </w:r>
    </w:p>
    <w:p w14:paraId="789E6E08" w14:textId="77777777" w:rsidR="00955A27" w:rsidRPr="001667DB" w:rsidRDefault="00955A27" w:rsidP="00A9424D">
      <w:pPr>
        <w:spacing w:after="120" w:line="360" w:lineRule="auto"/>
        <w:ind w:left="567" w:right="1" w:hanging="283"/>
        <w:jc w:val="both"/>
        <w:rPr>
          <w:rFonts w:ascii="Times New Roman" w:hAnsi="Times New Roman" w:cs="Times New Roman"/>
          <w:color w:val="000000" w:themeColor="text1"/>
        </w:rPr>
      </w:pPr>
      <w:r w:rsidRPr="001667DB">
        <w:rPr>
          <w:rFonts w:ascii="Times New Roman" w:eastAsia="Times New Roman" w:hAnsi="Times New Roman" w:cs="Times New Roman"/>
          <w:color w:val="000000" w:themeColor="text1"/>
        </w:rPr>
        <w:t>–</w:t>
      </w:r>
      <w:r w:rsidRPr="001667DB">
        <w:rPr>
          <w:rFonts w:ascii="Times New Roman" w:eastAsia="Arial" w:hAnsi="Times New Roman" w:cs="Times New Roman"/>
          <w:color w:val="000000" w:themeColor="text1"/>
        </w:rPr>
        <w:t xml:space="preserve"> </w:t>
      </w:r>
      <w:r w:rsidRPr="001667DB">
        <w:rPr>
          <w:rFonts w:ascii="Times New Roman" w:hAnsi="Times New Roman" w:cs="Times New Roman"/>
          <w:color w:val="000000" w:themeColor="text1"/>
        </w:rPr>
        <w:t>mieszanki typu SMA: 1 do 2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dla kruszywa o uziarnieniu 2/4 lub 2/5 mm; dopuszcza się zastosowanie kruszywa o uziarnieniu 1/3 mm. </w:t>
      </w:r>
    </w:p>
    <w:p w14:paraId="70F01B6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uszorstnienia mieszanki typu SMA przy zastosowaniu kruszywa 1/3 mm, jego ilość do uszorstnienia warstwy należy dobrać metodą doświadczalną (odcinek próbny). </w:t>
      </w:r>
    </w:p>
    <w:p w14:paraId="4657E08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uzasadnionych przypadkach można nie stosować uszorstnienia, na przykład w celu (zmniejszenia) zminimalizowania hałaśliwości nawierzchni wykonanej z mieszanek drobnoziarnistych na odcinkach dróg przebiegających przez obszary zurbanizowane pod warunkiem uzyskania wymaganych właściwości przeciwpoślizgowych. </w:t>
      </w:r>
    </w:p>
    <w:p w14:paraId="344CCDF1" w14:textId="77777777" w:rsidR="00955A27" w:rsidRPr="00326BBF" w:rsidRDefault="00955A27" w:rsidP="00A9424D">
      <w:pPr>
        <w:pStyle w:val="Nagwek1"/>
        <w:tabs>
          <w:tab w:val="center" w:pos="2150"/>
        </w:tabs>
        <w:spacing w:line="360" w:lineRule="auto"/>
        <w:ind w:left="-3"/>
        <w:jc w:val="both"/>
        <w:rPr>
          <w:color w:val="000000" w:themeColor="text1"/>
          <w:sz w:val="22"/>
          <w:szCs w:val="22"/>
          <w:lang w:val="pl-PL"/>
        </w:rPr>
      </w:pPr>
      <w:bookmarkStart w:id="507" w:name="_Toc55091"/>
      <w:r w:rsidRPr="00326BBF">
        <w:rPr>
          <w:color w:val="000000" w:themeColor="text1"/>
          <w:sz w:val="22"/>
          <w:szCs w:val="22"/>
          <w:lang w:val="pl-PL"/>
        </w:rPr>
        <w:lastRenderedPageBreak/>
        <w:t>6.</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KONTROLA JAKOŚCI ROBÓT </w:t>
      </w:r>
      <w:bookmarkEnd w:id="507"/>
    </w:p>
    <w:p w14:paraId="018573EA" w14:textId="77777777" w:rsidR="00955A27" w:rsidRPr="001667DB" w:rsidRDefault="00955A27" w:rsidP="00A9424D">
      <w:pPr>
        <w:pStyle w:val="Nagwek2"/>
        <w:spacing w:line="360" w:lineRule="auto"/>
        <w:ind w:left="7"/>
        <w:jc w:val="both"/>
        <w:rPr>
          <w:color w:val="000000" w:themeColor="text1"/>
          <w:sz w:val="22"/>
          <w:szCs w:val="22"/>
        </w:rPr>
      </w:pPr>
      <w:bookmarkStart w:id="508" w:name="_Toc55092"/>
      <w:r w:rsidRPr="001667DB">
        <w:rPr>
          <w:color w:val="000000" w:themeColor="text1"/>
          <w:sz w:val="22"/>
          <w:szCs w:val="22"/>
        </w:rPr>
        <w:t>6.1.</w:t>
      </w:r>
      <w:r w:rsidRPr="001667DB">
        <w:rPr>
          <w:rFonts w:eastAsia="Arial"/>
          <w:color w:val="000000" w:themeColor="text1"/>
          <w:sz w:val="22"/>
          <w:szCs w:val="22"/>
        </w:rPr>
        <w:t xml:space="preserve"> </w:t>
      </w:r>
      <w:r w:rsidRPr="001667DB">
        <w:rPr>
          <w:color w:val="000000" w:themeColor="text1"/>
          <w:sz w:val="22"/>
          <w:szCs w:val="22"/>
        </w:rPr>
        <w:t xml:space="preserve">Ogólne wymagania dotyczące kontroli jakości robót </w:t>
      </w:r>
      <w:bookmarkEnd w:id="508"/>
    </w:p>
    <w:p w14:paraId="77BC97E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kontroli jakości robót podano w D-M-00.00.00 "Wymagania ogólne". </w:t>
      </w:r>
    </w:p>
    <w:p w14:paraId="191D104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mieszanki mineralno-asfaltowej należy wykonywać zgodnie z normami podanymi w pkt.8.2.5 WT-2 2014 Nawierzchnie Asfaltowe (Tabela 27, 28, 29 – dla mieszanki typu SMA). </w:t>
      </w:r>
    </w:p>
    <w:p w14:paraId="0B0552A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dzielą się na: </w:t>
      </w:r>
    </w:p>
    <w:p w14:paraId="663F82C3" w14:textId="77777777" w:rsidR="00955A27" w:rsidRPr="001667DB" w:rsidRDefault="00955A27" w:rsidP="00904E6C">
      <w:pPr>
        <w:numPr>
          <w:ilvl w:val="0"/>
          <w:numId w:val="188"/>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Wykonawcy – w ramach własnego nadzoru </w:t>
      </w:r>
    </w:p>
    <w:p w14:paraId="2D886D59" w14:textId="77777777" w:rsidR="00955A27" w:rsidRPr="001667DB" w:rsidRDefault="00955A27" w:rsidP="00904E6C">
      <w:pPr>
        <w:numPr>
          <w:ilvl w:val="0"/>
          <w:numId w:val="188"/>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kontrolne – w ramach nadzoru Zamawiającego. </w:t>
      </w:r>
    </w:p>
    <w:p w14:paraId="65D7C87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uzasadnionych przypadkach w ramach badań i pomiarów kontrolnych dopuszcza się wykonanie badań i pomiarów kontrolnych dodatkowych i/lub badań i pomiarów arbitrażowych. </w:t>
      </w:r>
    </w:p>
    <w:p w14:paraId="22338FD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obejmują: </w:t>
      </w:r>
    </w:p>
    <w:p w14:paraId="2F214368" w14:textId="77777777" w:rsidR="00955A27" w:rsidRPr="001667DB" w:rsidRDefault="00955A27" w:rsidP="00904E6C">
      <w:pPr>
        <w:numPr>
          <w:ilvl w:val="0"/>
          <w:numId w:val="189"/>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pobranie próbek, </w:t>
      </w:r>
    </w:p>
    <w:p w14:paraId="2A23B7A3" w14:textId="77777777" w:rsidR="00955A27" w:rsidRPr="001667DB" w:rsidRDefault="00955A27" w:rsidP="00904E6C">
      <w:pPr>
        <w:numPr>
          <w:ilvl w:val="0"/>
          <w:numId w:val="189"/>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zapakowanie próbek do wysyłki, </w:t>
      </w:r>
    </w:p>
    <w:p w14:paraId="3748AD4D" w14:textId="77777777" w:rsidR="00955A27" w:rsidRPr="001667DB" w:rsidRDefault="00955A27" w:rsidP="00904E6C">
      <w:pPr>
        <w:numPr>
          <w:ilvl w:val="0"/>
          <w:numId w:val="189"/>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transport próbek z miejsca pobrania do placówki wykonującej badania, </w:t>
      </w:r>
    </w:p>
    <w:p w14:paraId="7A2D2894" w14:textId="77777777" w:rsidR="00955A27" w:rsidRPr="001667DB" w:rsidRDefault="00955A27" w:rsidP="00904E6C">
      <w:pPr>
        <w:numPr>
          <w:ilvl w:val="0"/>
          <w:numId w:val="189"/>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badania, </w:t>
      </w:r>
    </w:p>
    <w:p w14:paraId="317AAC27" w14:textId="77777777" w:rsidR="00955A27" w:rsidRPr="001667DB" w:rsidRDefault="00955A27" w:rsidP="00904E6C">
      <w:pPr>
        <w:numPr>
          <w:ilvl w:val="0"/>
          <w:numId w:val="189"/>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sprawozdanie z badań.  </w:t>
      </w:r>
    </w:p>
    <w:p w14:paraId="4A2B2DB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Pomiary obejmują terenową weryfikację cech nawierzchni. </w:t>
      </w:r>
    </w:p>
    <w:p w14:paraId="758554EA" w14:textId="77777777" w:rsidR="00955A27" w:rsidRPr="001667DB" w:rsidRDefault="00955A27" w:rsidP="00A9424D">
      <w:pPr>
        <w:pStyle w:val="Nagwek2"/>
        <w:spacing w:line="360" w:lineRule="auto"/>
        <w:ind w:left="7"/>
        <w:jc w:val="both"/>
        <w:rPr>
          <w:color w:val="000000" w:themeColor="text1"/>
          <w:sz w:val="22"/>
          <w:szCs w:val="22"/>
        </w:rPr>
      </w:pPr>
      <w:bookmarkStart w:id="509" w:name="_Toc55093"/>
      <w:r w:rsidRPr="001667DB">
        <w:rPr>
          <w:color w:val="000000" w:themeColor="text1"/>
          <w:sz w:val="22"/>
          <w:szCs w:val="22"/>
        </w:rPr>
        <w:t>6.2.</w:t>
      </w:r>
      <w:r w:rsidRPr="001667DB">
        <w:rPr>
          <w:rFonts w:eastAsia="Arial"/>
          <w:color w:val="000000" w:themeColor="text1"/>
          <w:sz w:val="22"/>
          <w:szCs w:val="22"/>
        </w:rPr>
        <w:t xml:space="preserve"> </w:t>
      </w:r>
      <w:r w:rsidRPr="001667DB">
        <w:rPr>
          <w:color w:val="000000" w:themeColor="text1"/>
          <w:sz w:val="22"/>
          <w:szCs w:val="22"/>
        </w:rPr>
        <w:t xml:space="preserve">Badania i pomiary Wykonawcy </w:t>
      </w:r>
      <w:bookmarkEnd w:id="509"/>
    </w:p>
    <w:p w14:paraId="17177EE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Wykonawca jest zobowiązany do przeprowadzania na bieżąco badań i pomiarów w celu sprawdzania czy jakość wykonanych Robót jest zgodna z postawionymi wymaganiami.  </w:t>
      </w:r>
    </w:p>
    <w:p w14:paraId="7B6B70E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WWiORB. Wyniki badań będą dokumentowane i archiwizowane przez Wykonawcę. Wyniki badań Wykonawca jest zobowiązany przekazywać Inżynierowi/Inspektorowi Nadzoru. </w:t>
      </w:r>
    </w:p>
    <w:p w14:paraId="63D72EB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badań i pomiarów Wykonawcy powinien: </w:t>
      </w:r>
    </w:p>
    <w:p w14:paraId="5128631F"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być nie mniejszy niż określony w Zakładowej Kontroli Produkcji dla dostarczanych na budowę materiałów i wyrobów budowlanych - mieszanki mineralno-asfaltowe, kruszywa, lepiszcze, materiały do uszczelnień, itd., </w:t>
      </w:r>
    </w:p>
    <w:p w14:paraId="156F7607"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dla wykonanej warstwy być nie mniejszy niż określony zakres i częstotliwość badań i pomiarów kontrolnych określony w tab. 4.  </w:t>
      </w:r>
    </w:p>
    <w:p w14:paraId="700FB53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badań Wykonawcy związany z wykonywaniem nawierzchni: </w:t>
      </w:r>
    </w:p>
    <w:p w14:paraId="25A90F66"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powietrza, </w:t>
      </w:r>
    </w:p>
    <w:p w14:paraId="61C089E7"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temperatury mieszanki mineralno-asfaltowej podczas wykonywania nawierzchni, </w:t>
      </w:r>
    </w:p>
    <w:p w14:paraId="3277588E"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mieszanki mineralno-asfaltowej, </w:t>
      </w:r>
    </w:p>
    <w:p w14:paraId="278D202C"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wykaz ilości materiałów lub grubości wykonanych warstw, </w:t>
      </w:r>
    </w:p>
    <w:p w14:paraId="6C17F0A1"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spadku poprzecznego poszczególnych warstw asfaltowych, </w:t>
      </w:r>
    </w:p>
    <w:p w14:paraId="6D77369D"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równości warstwy ścieralnej, </w:t>
      </w:r>
    </w:p>
    <w:p w14:paraId="1177150E"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właściwości przeciwpoślizgowych, </w:t>
      </w:r>
    </w:p>
    <w:p w14:paraId="206F82D8"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rzędnych wysokościowych i pomiary sytuacyjne, </w:t>
      </w:r>
    </w:p>
    <w:p w14:paraId="70FB5A41"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zagęszczenia warstwy i zawartości wolnej przestrzeni, </w:t>
      </w:r>
    </w:p>
    <w:p w14:paraId="75C25BE2"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sczepności warstw asfaltowych </w:t>
      </w:r>
    </w:p>
    <w:p w14:paraId="3C4BD913"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parametrów geometrycznych poboczy, </w:t>
      </w:r>
    </w:p>
    <w:p w14:paraId="44D37E00"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jednorodności powierzchni warstwy, </w:t>
      </w:r>
    </w:p>
    <w:p w14:paraId="0095A683" w14:textId="77777777" w:rsidR="00955A27" w:rsidRPr="001667DB" w:rsidRDefault="00955A27" w:rsidP="00904E6C">
      <w:pPr>
        <w:numPr>
          <w:ilvl w:val="0"/>
          <w:numId w:val="190"/>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ocena wizualna jakości wykonania połączeń technologicznych. </w:t>
      </w:r>
    </w:p>
    <w:p w14:paraId="0821A145" w14:textId="77777777" w:rsidR="00955A27" w:rsidRPr="001667DB" w:rsidRDefault="00955A27" w:rsidP="00955A27">
      <w:pPr>
        <w:spacing w:after="120" w:line="360" w:lineRule="auto"/>
        <w:ind w:left="732" w:right="1"/>
        <w:rPr>
          <w:rFonts w:ascii="Times New Roman" w:hAnsi="Times New Roman" w:cs="Times New Roman"/>
          <w:color w:val="000000" w:themeColor="text1"/>
        </w:rPr>
      </w:pPr>
    </w:p>
    <w:p w14:paraId="0D3497F5"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4. Minimalna częstotliwość badań ze strony Wykonawcy dla warstwy ścieralnej </w:t>
      </w:r>
    </w:p>
    <w:tbl>
      <w:tblPr>
        <w:tblW w:w="0" w:type="auto"/>
        <w:tblInd w:w="125" w:type="dxa"/>
        <w:tblCellMar>
          <w:top w:w="57" w:type="dxa"/>
          <w:bottom w:w="3" w:type="dxa"/>
          <w:right w:w="42" w:type="dxa"/>
        </w:tblCellMar>
        <w:tblLook w:val="04A0" w:firstRow="1" w:lastRow="0" w:firstColumn="1" w:lastColumn="0" w:noHBand="0" w:noVBand="1"/>
      </w:tblPr>
      <w:tblGrid>
        <w:gridCol w:w="481"/>
        <w:gridCol w:w="2482"/>
        <w:gridCol w:w="2401"/>
        <w:gridCol w:w="3572"/>
      </w:tblGrid>
      <w:tr w:rsidR="00955A27" w:rsidRPr="001667DB" w14:paraId="47CAAF65"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B6405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BCF6A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Badana cecha</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F2A93E6"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Metoda</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F78C92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Częstotliwość</w:t>
            </w:r>
          </w:p>
        </w:tc>
      </w:tr>
      <w:tr w:rsidR="00955A27" w:rsidRPr="001667DB" w14:paraId="5F103CDB"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5B78CA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D9CEAF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Zagęszczenie MMA</w:t>
            </w:r>
            <w:r w:rsidRPr="001667DB">
              <w:rPr>
                <w:rFonts w:ascii="Times New Roman" w:hAnsi="Times New Roman" w:cs="Times New Roman"/>
                <w:color w:val="000000" w:themeColor="text1"/>
              </w:rPr>
              <w:t xml:space="preserve"> oraz zawartość wolnych przestrzeni w warstwie</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7EFEECF"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Porównanie gęstości objętościowej referencyjnej do rzeczywistej</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AA9618D" w14:textId="77777777" w:rsidR="00955A27" w:rsidRPr="001667DB" w:rsidRDefault="00955A27" w:rsidP="00904E6C">
            <w:pPr>
              <w:numPr>
                <w:ilvl w:val="0"/>
                <w:numId w:val="204"/>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2 razy na kilometr każdej jezdni, nie   rzadziej niż 1 raz na 6000 m</w:t>
            </w:r>
            <w:r w:rsidRPr="001667DB">
              <w:rPr>
                <w:rFonts w:ascii="Times New Roman" w:hAnsi="Times New Roman" w:cs="Times New Roman"/>
                <w:color w:val="000000" w:themeColor="text1"/>
                <w:vertAlign w:val="superscript"/>
              </w:rPr>
              <w:t>2</w:t>
            </w:r>
          </w:p>
        </w:tc>
      </w:tr>
      <w:tr w:rsidR="00955A27" w:rsidRPr="001667DB" w14:paraId="0CFC55D5"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CFB87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87EDA7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Sczepność</w:t>
            </w:r>
            <w:r w:rsidRPr="001667DB">
              <w:rPr>
                <w:rFonts w:ascii="Times New Roman" w:hAnsi="Times New Roman" w:cs="Times New Roman"/>
                <w:color w:val="000000" w:themeColor="text1"/>
              </w:rPr>
              <w:t xml:space="preserve"> warstw asfaltowych dla dróg KR4-7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58EE0E4"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Metoda Leutnera</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5565B60" w14:textId="77777777" w:rsidR="00955A27" w:rsidRPr="001667DB" w:rsidRDefault="00955A27" w:rsidP="00904E6C">
            <w:pPr>
              <w:numPr>
                <w:ilvl w:val="0"/>
                <w:numId w:val="204"/>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nie rzadziej niż 1 raz na 15000 m</w:t>
            </w:r>
            <w:r w:rsidRPr="001667DB">
              <w:rPr>
                <w:rFonts w:ascii="Times New Roman" w:hAnsi="Times New Roman" w:cs="Times New Roman"/>
                <w:color w:val="000000" w:themeColor="text1"/>
                <w:vertAlign w:val="superscript"/>
              </w:rPr>
              <w:t>2</w:t>
            </w:r>
          </w:p>
        </w:tc>
      </w:tr>
      <w:tr w:rsidR="00955A27" w:rsidRPr="001667DB" w14:paraId="350394CF"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7758B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382B18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Grubość</w:t>
            </w:r>
            <w:r w:rsidRPr="001667DB">
              <w:rPr>
                <w:rFonts w:ascii="Times New Roman" w:hAnsi="Times New Roman" w:cs="Times New Roman"/>
                <w:color w:val="000000" w:themeColor="text1"/>
              </w:rPr>
              <w:t xml:space="preserve"> (grubości poszczególnych warstw i </w:t>
            </w:r>
            <w:r w:rsidRPr="001667DB">
              <w:rPr>
                <w:rFonts w:ascii="Times New Roman" w:hAnsi="Times New Roman" w:cs="Times New Roman"/>
                <w:color w:val="000000" w:themeColor="text1"/>
              </w:rPr>
              <w:lastRenderedPageBreak/>
              <w:t>grubość pakietu warstw asfaltowych)</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7E1CD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Rzędne wysokościowe,</w:t>
            </w:r>
          </w:p>
          <w:p w14:paraId="3C8EF352"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Pomiar elektromagnetyczny,</w:t>
            </w:r>
          </w:p>
          <w:p w14:paraId="53196887"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Przymiarem na wyciętych próbach</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0CBF7C9" w14:textId="77777777" w:rsidR="00955A27" w:rsidRPr="001667DB" w:rsidRDefault="00955A27" w:rsidP="00904E6C">
            <w:pPr>
              <w:numPr>
                <w:ilvl w:val="0"/>
                <w:numId w:val="205"/>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nie rzadziej niż co 50 m</w:t>
            </w:r>
          </w:p>
          <w:p w14:paraId="7BED8D58" w14:textId="77777777" w:rsidR="00955A27" w:rsidRPr="001667DB" w:rsidRDefault="00955A27" w:rsidP="00904E6C">
            <w:pPr>
              <w:numPr>
                <w:ilvl w:val="0"/>
                <w:numId w:val="205"/>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nie rzadziej niż co 100 m</w:t>
            </w:r>
          </w:p>
          <w:p w14:paraId="63545311" w14:textId="77777777" w:rsidR="00955A27" w:rsidRPr="001667DB" w:rsidRDefault="00955A27" w:rsidP="00904E6C">
            <w:pPr>
              <w:numPr>
                <w:ilvl w:val="0"/>
                <w:numId w:val="205"/>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 razy na kilometr każdej jezdni, nie   rzadziej niż 1 raz na 6000 m</w:t>
            </w:r>
            <w:r w:rsidRPr="001667DB">
              <w:rPr>
                <w:rFonts w:ascii="Times New Roman" w:hAnsi="Times New Roman" w:cs="Times New Roman"/>
                <w:color w:val="000000" w:themeColor="text1"/>
                <w:vertAlign w:val="superscript"/>
              </w:rPr>
              <w:t>2</w:t>
            </w:r>
          </w:p>
        </w:tc>
      </w:tr>
      <w:tr w:rsidR="00955A27" w:rsidRPr="001667DB" w14:paraId="53779FFA"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57096A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B513DA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Równość podłużna</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B6B1C4" w14:textId="77777777" w:rsidR="00955A27" w:rsidRPr="001667DB" w:rsidRDefault="00955A27" w:rsidP="00955A27">
            <w:pPr>
              <w:spacing w:after="120" w:line="360" w:lineRule="auto"/>
              <w:ind w:left="2"/>
              <w:rPr>
                <w:rFonts w:ascii="Times New Roman" w:hAnsi="Times New Roman" w:cs="Times New Roman"/>
                <w:color w:val="000000" w:themeColor="text1"/>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CE8958"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00B6B3F8"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F411DB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4.1.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01D3A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Klasy dróg:  S,G</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C632EEA"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Profilografem</w:t>
            </w:r>
          </w:p>
          <w:p w14:paraId="740BA125" w14:textId="77777777" w:rsidR="00955A27" w:rsidRPr="001667DB" w:rsidRDefault="00955A27" w:rsidP="00955A27">
            <w:pPr>
              <w:spacing w:after="120" w:line="360" w:lineRule="auto"/>
              <w:ind w:left="2"/>
              <w:rPr>
                <w:rFonts w:ascii="Times New Roman" w:hAnsi="Times New Roman" w:cs="Times New Roman"/>
                <w:color w:val="000000" w:themeColor="text1"/>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D31F5FC" w14:textId="77777777" w:rsidR="00955A27" w:rsidRPr="001667DB" w:rsidRDefault="00955A27" w:rsidP="00904E6C">
            <w:pPr>
              <w:numPr>
                <w:ilvl w:val="0"/>
                <w:numId w:val="206"/>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każdy pas układania warstwy w sposób ciągły</w:t>
            </w:r>
          </w:p>
        </w:tc>
      </w:tr>
      <w:tr w:rsidR="00955A27" w:rsidRPr="001667DB" w14:paraId="3D0F1A3E"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22E87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3CFF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Równość poprzeczna</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355B5C" w14:textId="77777777" w:rsidR="00955A27" w:rsidRPr="001667DB" w:rsidRDefault="00955A27" w:rsidP="00955A27">
            <w:pPr>
              <w:spacing w:after="120" w:line="360" w:lineRule="auto"/>
              <w:ind w:left="2"/>
              <w:rPr>
                <w:rFonts w:ascii="Times New Roman" w:hAnsi="Times New Roman" w:cs="Times New Roman"/>
                <w:color w:val="000000" w:themeColor="text1"/>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EFEB914"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3B590637"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76E9E9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9C7713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Wszystkie klasy dróg</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34FC4D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Profilografem</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64049B9" w14:textId="77777777" w:rsidR="00955A27" w:rsidRPr="001667DB" w:rsidRDefault="00955A27" w:rsidP="00904E6C">
            <w:pPr>
              <w:numPr>
                <w:ilvl w:val="0"/>
                <w:numId w:val="206"/>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każdy pas układania warstwy w sposób ciągły</w:t>
            </w:r>
          </w:p>
        </w:tc>
      </w:tr>
      <w:tr w:rsidR="00955A27" w:rsidRPr="001667DB" w14:paraId="5195D461"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15034C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D06D851" w14:textId="77777777" w:rsidR="00955A27" w:rsidRPr="001667DB" w:rsidRDefault="00955A27" w:rsidP="00955A27">
            <w:pPr>
              <w:spacing w:after="120" w:line="360" w:lineRule="auto"/>
              <w:ind w:right="64"/>
              <w:rPr>
                <w:rFonts w:ascii="Times New Roman" w:hAnsi="Times New Roman" w:cs="Times New Roman"/>
                <w:color w:val="000000" w:themeColor="text1"/>
              </w:rPr>
            </w:pPr>
            <w:r w:rsidRPr="001667DB">
              <w:rPr>
                <w:rFonts w:ascii="Times New Roman" w:hAnsi="Times New Roman" w:cs="Times New Roman"/>
                <w:color w:val="000000" w:themeColor="text1"/>
              </w:rPr>
              <w:t xml:space="preserve">Wszystkie klasy dróg </w:t>
            </w:r>
            <w:r w:rsidRPr="001667DB">
              <w:rPr>
                <w:rFonts w:ascii="Times New Roman" w:hAnsi="Times New Roman" w:cs="Times New Roman"/>
                <w:color w:val="000000" w:themeColor="text1"/>
                <w:u w:val="single" w:color="000000"/>
              </w:rPr>
              <w:t>w</w:t>
            </w:r>
            <w:r w:rsidRPr="001667DB">
              <w:rPr>
                <w:rFonts w:ascii="Times New Roman" w:hAnsi="Times New Roman" w:cs="Times New Roman"/>
                <w:color w:val="000000" w:themeColor="text1"/>
              </w:rPr>
              <w:t xml:space="preserve"> miejscach niedostępnych dla urządzeń pomiarowych</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AA58393"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2 metrową łatą i klinem</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AB58AA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nie rzadziej niż co 5 m</w:t>
            </w:r>
          </w:p>
        </w:tc>
      </w:tr>
      <w:tr w:rsidR="00955A27" w:rsidRPr="001667DB" w14:paraId="6DB7144A"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017C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01816B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Spadki poprzeczne</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72B603E"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Profilografem lub</w:t>
            </w:r>
          </w:p>
          <w:p w14:paraId="7617D92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- 2 metrową łatą i pochyłomierzem</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BF1A01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10m</w:t>
            </w:r>
          </w:p>
          <w:p w14:paraId="4F96F80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50 razy na 1 km dodatkowe pomiary w punktach głównych łuków poziomych</w:t>
            </w:r>
          </w:p>
        </w:tc>
      </w:tr>
      <w:tr w:rsidR="00955A27" w:rsidRPr="001667DB" w14:paraId="30E0E825"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39247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DD1CE5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Właściwości przeciwpoślizgowe</w:t>
            </w:r>
          </w:p>
          <w:p w14:paraId="34E6A37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Klasy dróg:  S,G</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F192834"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Urządzeniem SRT-3 lub równoważnym</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32819EC" w14:textId="77777777" w:rsidR="00955A27" w:rsidRPr="001667DB" w:rsidRDefault="00955A27" w:rsidP="00904E6C">
            <w:pPr>
              <w:numPr>
                <w:ilvl w:val="0"/>
                <w:numId w:val="202"/>
              </w:numPr>
              <w:spacing w:after="120" w:line="360" w:lineRule="auto"/>
              <w:ind w:left="330" w:right="21" w:hanging="330"/>
              <w:rPr>
                <w:rFonts w:ascii="Times New Roman" w:hAnsi="Times New Roman" w:cs="Times New Roman"/>
                <w:color w:val="000000" w:themeColor="text1"/>
              </w:rPr>
            </w:pPr>
            <w:r w:rsidRPr="001667DB">
              <w:rPr>
                <w:rFonts w:ascii="Times New Roman" w:hAnsi="Times New Roman" w:cs="Times New Roman"/>
                <w:color w:val="000000" w:themeColor="text1"/>
              </w:rPr>
              <w:t>każdy pas układania warstwy</w:t>
            </w:r>
          </w:p>
          <w:p w14:paraId="44775411" w14:textId="77777777" w:rsidR="00955A27" w:rsidRPr="001667DB" w:rsidRDefault="00955A27" w:rsidP="00904E6C">
            <w:pPr>
              <w:numPr>
                <w:ilvl w:val="0"/>
                <w:numId w:val="202"/>
              </w:numPr>
              <w:spacing w:after="120" w:line="360" w:lineRule="auto"/>
              <w:ind w:left="330" w:right="21" w:hanging="330"/>
              <w:rPr>
                <w:rFonts w:ascii="Times New Roman" w:hAnsi="Times New Roman" w:cs="Times New Roman"/>
                <w:color w:val="000000" w:themeColor="text1"/>
              </w:rPr>
            </w:pPr>
            <w:r w:rsidRPr="001667DB">
              <w:rPr>
                <w:rFonts w:ascii="Times New Roman" w:hAnsi="Times New Roman" w:cs="Times New Roman"/>
                <w:color w:val="000000" w:themeColor="text1"/>
              </w:rPr>
              <w:t>pomiar co 50 m</w:t>
            </w:r>
          </w:p>
        </w:tc>
      </w:tr>
      <w:tr w:rsidR="00955A27" w:rsidRPr="001667DB" w14:paraId="4A2B020C"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F36905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B4CE6C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Szerokość warstwy</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03D189C"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Taśmą mierniczą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2E5EFBE" w14:textId="77777777" w:rsidR="00955A27" w:rsidRPr="001667DB" w:rsidRDefault="00955A27" w:rsidP="00904E6C">
            <w:pPr>
              <w:numPr>
                <w:ilvl w:val="0"/>
                <w:numId w:val="206"/>
              </w:numPr>
              <w:spacing w:after="120" w:line="360" w:lineRule="auto"/>
              <w:ind w:left="330"/>
              <w:rPr>
                <w:rFonts w:ascii="Times New Roman" w:hAnsi="Times New Roman" w:cs="Times New Roman"/>
                <w:color w:val="000000" w:themeColor="text1"/>
              </w:rPr>
            </w:pPr>
            <w:r w:rsidRPr="001667DB">
              <w:rPr>
                <w:rFonts w:ascii="Times New Roman" w:hAnsi="Times New Roman" w:cs="Times New Roman"/>
                <w:color w:val="000000" w:themeColor="text1"/>
              </w:rPr>
              <w:t>pomiar co 50 m, na łukach poziomych w punktach  charakterystycznych</w:t>
            </w:r>
          </w:p>
        </w:tc>
      </w:tr>
      <w:tr w:rsidR="00955A27" w:rsidRPr="001667DB" w14:paraId="695A67AF" w14:textId="77777777" w:rsidTr="001B4B8F">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EFA5EC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612CFAA" w14:textId="77777777" w:rsidR="00955A27" w:rsidRPr="001667DB" w:rsidRDefault="00955A27" w:rsidP="00955A27">
            <w:pPr>
              <w:spacing w:after="120" w:line="360" w:lineRule="auto"/>
              <w:ind w:right="30"/>
              <w:rPr>
                <w:rFonts w:ascii="Times New Roman" w:hAnsi="Times New Roman" w:cs="Times New Roman"/>
                <w:color w:val="000000" w:themeColor="text1"/>
              </w:rPr>
            </w:pPr>
            <w:r w:rsidRPr="001667DB">
              <w:rPr>
                <w:rFonts w:ascii="Times New Roman" w:hAnsi="Times New Roman" w:cs="Times New Roman"/>
                <w:b/>
                <w:color w:val="000000" w:themeColor="text1"/>
              </w:rPr>
              <w:t>Odchylenie od projektowanej osi drogi</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AB55870"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w:t>
            </w:r>
          </w:p>
          <w:p w14:paraId="4A0EBCEB" w14:textId="77777777" w:rsidR="00955A27" w:rsidRPr="001667DB" w:rsidRDefault="00955A27" w:rsidP="00955A27">
            <w:pPr>
              <w:spacing w:after="120" w:line="360" w:lineRule="auto"/>
              <w:ind w:left="2"/>
              <w:rPr>
                <w:rFonts w:ascii="Times New Roman" w:hAnsi="Times New Roman" w:cs="Times New Roman"/>
                <w:color w:val="000000" w:themeColor="text1"/>
              </w:rPr>
            </w:pPr>
            <w:r w:rsidRPr="001667DB">
              <w:rPr>
                <w:rFonts w:ascii="Times New Roman" w:hAnsi="Times New Roman" w:cs="Times New Roman"/>
                <w:color w:val="000000" w:themeColor="text1"/>
              </w:rPr>
              <w:t>Pomiary sytuacyjne</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272635B" w14:textId="77777777" w:rsidR="00955A27" w:rsidRPr="001667DB" w:rsidRDefault="00955A27" w:rsidP="00904E6C">
            <w:pPr>
              <w:numPr>
                <w:ilvl w:val="0"/>
                <w:numId w:val="207"/>
              </w:numPr>
              <w:spacing w:after="120" w:line="360" w:lineRule="auto"/>
              <w:ind w:left="330" w:right="142"/>
              <w:rPr>
                <w:rFonts w:ascii="Times New Roman" w:hAnsi="Times New Roman" w:cs="Times New Roman"/>
                <w:color w:val="000000" w:themeColor="text1"/>
              </w:rPr>
            </w:pPr>
            <w:r w:rsidRPr="001667DB">
              <w:rPr>
                <w:rFonts w:ascii="Times New Roman" w:hAnsi="Times New Roman" w:cs="Times New Roman"/>
                <w:color w:val="000000" w:themeColor="text1"/>
              </w:rPr>
              <w:t>pomiar rzędnych niwelacji podłużnej i poprzecznej oraz usytuowania osi, na łukach poziomych i pionowych  w punktach charakterystycznych</w:t>
            </w:r>
          </w:p>
        </w:tc>
      </w:tr>
    </w:tbl>
    <w:p w14:paraId="4C48854E"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52EEE49" w14:textId="77777777" w:rsidR="00955A27" w:rsidRPr="001667DB" w:rsidRDefault="00955A27" w:rsidP="00A9424D">
      <w:pPr>
        <w:pStyle w:val="Nagwek2"/>
        <w:spacing w:line="360" w:lineRule="auto"/>
        <w:ind w:left="7"/>
        <w:jc w:val="both"/>
        <w:rPr>
          <w:color w:val="000000" w:themeColor="text1"/>
          <w:sz w:val="22"/>
          <w:szCs w:val="22"/>
        </w:rPr>
      </w:pPr>
      <w:bookmarkStart w:id="510" w:name="_Toc55094"/>
      <w:r w:rsidRPr="001667DB">
        <w:rPr>
          <w:color w:val="000000" w:themeColor="text1"/>
          <w:sz w:val="22"/>
          <w:szCs w:val="22"/>
        </w:rPr>
        <w:lastRenderedPageBreak/>
        <w:t>6.3.</w:t>
      </w:r>
      <w:r w:rsidRPr="001667DB">
        <w:rPr>
          <w:rFonts w:eastAsia="Arial"/>
          <w:color w:val="000000" w:themeColor="text1"/>
          <w:sz w:val="22"/>
          <w:szCs w:val="22"/>
        </w:rPr>
        <w:t xml:space="preserve"> </w:t>
      </w:r>
      <w:r w:rsidRPr="001667DB">
        <w:rPr>
          <w:color w:val="000000" w:themeColor="text1"/>
          <w:sz w:val="22"/>
          <w:szCs w:val="22"/>
        </w:rPr>
        <w:t xml:space="preserve">Badania i pomiary kontrolne </w:t>
      </w:r>
      <w:bookmarkEnd w:id="510"/>
    </w:p>
    <w:p w14:paraId="44781E0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i pomiary kontrolne są zlecane przez Inżyniera/Inspektora Nadzoru, a których celem jest sprawdzenie, czy jakość zastosowanych materiałów i wyrobów budowlanych (mieszanek mineralno-asfaltowych i ich składników, lepiszczy i materiałów do uszczelnień itp.) oraz gotowej warstwy (wbudowane warstwy asfaltowe, połączenia itp.) spełniają wymagania określone w kontrakcie.</w:t>
      </w:r>
    </w:p>
    <w:p w14:paraId="4F25565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Pobieraniem próbek, wykonaniem badań i pomiarów na miejscu budowy zajmuje się Laboratorium Zamawiającego/Inżynier/Inspektor Nadzoru przy udziale lub po poinformowaniu przedstawicieli Wykonawcy. Zamawiający decyduje o wyborze Laboratorium Zamawiającego. </w:t>
      </w:r>
    </w:p>
    <w:p w14:paraId="666D8F2F" w14:textId="77777777" w:rsidR="00955A27" w:rsidRPr="001667DB" w:rsidRDefault="00955A27" w:rsidP="00A9424D">
      <w:pPr>
        <w:pStyle w:val="Nagwek2"/>
        <w:spacing w:line="360" w:lineRule="auto"/>
        <w:ind w:left="7"/>
        <w:jc w:val="both"/>
        <w:rPr>
          <w:color w:val="000000" w:themeColor="text1"/>
          <w:sz w:val="22"/>
          <w:szCs w:val="22"/>
        </w:rPr>
      </w:pPr>
      <w:bookmarkStart w:id="511" w:name="_Toc55095"/>
      <w:r w:rsidRPr="001667DB">
        <w:rPr>
          <w:color w:val="000000" w:themeColor="text1"/>
          <w:sz w:val="22"/>
          <w:szCs w:val="22"/>
        </w:rPr>
        <w:t>6.4.</w:t>
      </w:r>
      <w:r w:rsidRPr="001667DB">
        <w:rPr>
          <w:rFonts w:eastAsia="Arial"/>
          <w:color w:val="000000" w:themeColor="text1"/>
          <w:sz w:val="22"/>
          <w:szCs w:val="22"/>
        </w:rPr>
        <w:t xml:space="preserve"> </w:t>
      </w:r>
      <w:r w:rsidRPr="001667DB">
        <w:rPr>
          <w:color w:val="000000" w:themeColor="text1"/>
          <w:sz w:val="22"/>
          <w:szCs w:val="22"/>
        </w:rPr>
        <w:t xml:space="preserve">Badania i pomiary kontrolne dodatkowe </w:t>
      </w:r>
      <w:bookmarkEnd w:id="511"/>
    </w:p>
    <w:p w14:paraId="141AE08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wypadku uznania, że jeden z wyników badań lub pomiarów kontrolnych nie jest reprezentatywny dla ocenianego odcinka budowy, strony kontraktu mogą wystąpić o przeprowadzenia badań lub pomiarów kontrolnych dodatkowych. Badania kontrolne dodatkowe są wykonywane przez Laboratorium Zamawiającego. </w:t>
      </w:r>
    </w:p>
    <w:p w14:paraId="66248EC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Strony Kontraktu decydują wspólnie o miejscach pobierania próbek i wyznaczeniu odcinków częściowych ocenianego odcinka budowy tzn. dziennej działki roboczej. Jeżeli odcinek częściowy przyporządkowany do badań kontrolnych nie może być jednoznacznie i zgodnie wyznaczony, to odcinek ten nie powinien być mniejszy niż 20% ocenianego odcinka budowy. </w:t>
      </w:r>
    </w:p>
    <w:p w14:paraId="23876707" w14:textId="77777777" w:rsidR="00955A27" w:rsidRPr="001667DB" w:rsidRDefault="00955A27" w:rsidP="00A9424D">
      <w:pPr>
        <w:pStyle w:val="Nagwek2"/>
        <w:spacing w:line="360" w:lineRule="auto"/>
        <w:ind w:left="7"/>
        <w:jc w:val="both"/>
        <w:rPr>
          <w:color w:val="000000" w:themeColor="text1"/>
          <w:sz w:val="22"/>
          <w:szCs w:val="22"/>
        </w:rPr>
      </w:pPr>
      <w:bookmarkStart w:id="512" w:name="_Toc55096"/>
      <w:r w:rsidRPr="001667DB">
        <w:rPr>
          <w:color w:val="000000" w:themeColor="text1"/>
          <w:sz w:val="22"/>
          <w:szCs w:val="22"/>
        </w:rPr>
        <w:t>6.5.</w:t>
      </w:r>
      <w:r w:rsidRPr="001667DB">
        <w:rPr>
          <w:rFonts w:eastAsia="Arial"/>
          <w:color w:val="000000" w:themeColor="text1"/>
          <w:sz w:val="22"/>
          <w:szCs w:val="22"/>
        </w:rPr>
        <w:t xml:space="preserve"> </w:t>
      </w:r>
      <w:r w:rsidRPr="001667DB">
        <w:rPr>
          <w:color w:val="000000" w:themeColor="text1"/>
          <w:sz w:val="22"/>
          <w:szCs w:val="22"/>
        </w:rPr>
        <w:t xml:space="preserve">Badania i pomiary arbitrażowe </w:t>
      </w:r>
      <w:bookmarkEnd w:id="512"/>
    </w:p>
    <w:p w14:paraId="1C884A7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arbitrażowe są powtórzeniem badań lub pomiarów kontrolnych i/lub kontrolnych dodatkowych, co do których istnieją uzasadnione wątpliwości ze strony Inżyniera/Inspektora Nadzoru, Zamawiającego lub Wykonawcy (np. na podstawie własnych badań). </w:t>
      </w:r>
    </w:p>
    <w:p w14:paraId="339E7A2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Badania i pomiary arbitrażowe wykonuje się na wniosek strony kontraktu. Badania i pomiary arbitrażowe wykonuje bezstronne, akredytowane laboratorium (w tym inne laboratorium GDDKiA), które nie wykonywało badań lub pomiarów kontrolnych, przy udziale lub po poinformowaniu przedstawicieli stron. </w:t>
      </w:r>
    </w:p>
    <w:p w14:paraId="61C1BEE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wniosku Wykonawcy zgodę na przeprowadzenie badań i pomiarów arbitrażowych wyraża Inżynier/Inspektor Nadzoru po wcześniejszej analizie zasadności wniosku. Zamawiający akceptuje laboratorium, które przeprowadzi badania lub pomiary arbitrażowe.  </w:t>
      </w:r>
    </w:p>
    <w:p w14:paraId="60C48FD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6FCFC7C1" w14:textId="77777777" w:rsidR="00955A27" w:rsidRPr="001667DB" w:rsidRDefault="00955A27" w:rsidP="00A9424D">
      <w:pPr>
        <w:pStyle w:val="Nagwek2"/>
        <w:spacing w:line="360" w:lineRule="auto"/>
        <w:ind w:left="7"/>
        <w:jc w:val="both"/>
        <w:rPr>
          <w:color w:val="000000" w:themeColor="text1"/>
          <w:sz w:val="22"/>
          <w:szCs w:val="22"/>
        </w:rPr>
      </w:pPr>
      <w:bookmarkStart w:id="513" w:name="_Toc55097"/>
      <w:r w:rsidRPr="001667DB">
        <w:rPr>
          <w:color w:val="000000" w:themeColor="text1"/>
          <w:sz w:val="22"/>
          <w:szCs w:val="22"/>
        </w:rPr>
        <w:lastRenderedPageBreak/>
        <w:t>6.6.</w:t>
      </w:r>
      <w:r w:rsidRPr="001667DB">
        <w:rPr>
          <w:rFonts w:eastAsia="Arial"/>
          <w:color w:val="000000" w:themeColor="text1"/>
          <w:sz w:val="22"/>
          <w:szCs w:val="22"/>
        </w:rPr>
        <w:t xml:space="preserve"> </w:t>
      </w:r>
      <w:r w:rsidRPr="001667DB">
        <w:rPr>
          <w:color w:val="000000" w:themeColor="text1"/>
          <w:sz w:val="22"/>
          <w:szCs w:val="22"/>
        </w:rPr>
        <w:t xml:space="preserve">Badania i pomiary przed przystąpieniem do robót </w:t>
      </w:r>
      <w:bookmarkEnd w:id="513"/>
    </w:p>
    <w:p w14:paraId="112F395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Przed przystąpieniem do robót Wykonawca powinien przedstawić Inżynierowi/Inspektorowi Nadzoru do akceptacji źródła poboru kruszyw oraz wszystkich dodatkowych materiałów, dołączając wszystkie dokumenty potwierdzające jakość materiałów składowych. </w:t>
      </w:r>
    </w:p>
    <w:p w14:paraId="5BB78CC1" w14:textId="77777777" w:rsidR="00955A27" w:rsidRPr="001667DB" w:rsidRDefault="00955A27" w:rsidP="00A9424D">
      <w:pPr>
        <w:pStyle w:val="Nagwek2"/>
        <w:spacing w:line="360" w:lineRule="auto"/>
        <w:ind w:left="7"/>
        <w:jc w:val="both"/>
        <w:rPr>
          <w:color w:val="000000" w:themeColor="text1"/>
          <w:sz w:val="22"/>
          <w:szCs w:val="22"/>
        </w:rPr>
      </w:pPr>
      <w:bookmarkStart w:id="514" w:name="_Toc55098"/>
      <w:r w:rsidRPr="001667DB">
        <w:rPr>
          <w:color w:val="000000" w:themeColor="text1"/>
          <w:sz w:val="22"/>
          <w:szCs w:val="22"/>
        </w:rPr>
        <w:t>6.7.</w:t>
      </w:r>
      <w:r w:rsidRPr="001667DB">
        <w:rPr>
          <w:rFonts w:eastAsia="Arial"/>
          <w:color w:val="000000" w:themeColor="text1"/>
          <w:sz w:val="22"/>
          <w:szCs w:val="22"/>
        </w:rPr>
        <w:t xml:space="preserve"> </w:t>
      </w:r>
      <w:r w:rsidRPr="001667DB">
        <w:rPr>
          <w:color w:val="000000" w:themeColor="text1"/>
          <w:sz w:val="22"/>
          <w:szCs w:val="22"/>
        </w:rPr>
        <w:t xml:space="preserve">Badania w czasie robót </w:t>
      </w:r>
      <w:bookmarkEnd w:id="514"/>
    </w:p>
    <w:p w14:paraId="2B9FB343"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6.7.1.</w:t>
      </w:r>
      <w:r w:rsidRPr="001667DB">
        <w:rPr>
          <w:rFonts w:eastAsia="Arial"/>
          <w:color w:val="000000" w:themeColor="text1"/>
          <w:sz w:val="22"/>
          <w:szCs w:val="22"/>
        </w:rPr>
        <w:t xml:space="preserve"> </w:t>
      </w:r>
      <w:r w:rsidRPr="001667DB">
        <w:rPr>
          <w:color w:val="000000" w:themeColor="text1"/>
          <w:sz w:val="22"/>
          <w:szCs w:val="22"/>
        </w:rPr>
        <w:t xml:space="preserve">Zawartość lepiszcza rozpuszczalnego </w:t>
      </w:r>
    </w:p>
    <w:p w14:paraId="28ACE17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polega na wykonaniu ekstrakcji lepiszcza, zgodnie PN-EN 12697-1, z próbki pobranej z mieszanki mineralno-asfaltowej.  </w:t>
      </w:r>
    </w:p>
    <w:p w14:paraId="0B51663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Jakości wbudowanej mieszanki mineralno-asfaltowej należy ocenić na podstawie: </w:t>
      </w:r>
    </w:p>
    <w:p w14:paraId="4CCA6434" w14:textId="77777777" w:rsidR="00955A27" w:rsidRPr="001667DB" w:rsidRDefault="00955A27" w:rsidP="00904E6C">
      <w:pPr>
        <w:numPr>
          <w:ilvl w:val="0"/>
          <w:numId w:val="191"/>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wartości średniej (średnia arytmetyczna wszystkich wyników z całej drogi dla danego typu MMA i danej warstwy asfaltowej) z dokładnością do 0,01 %, </w:t>
      </w:r>
    </w:p>
    <w:p w14:paraId="0B730924" w14:textId="77777777" w:rsidR="00955A27" w:rsidRPr="001667DB" w:rsidRDefault="00955A27" w:rsidP="00904E6C">
      <w:pPr>
        <w:numPr>
          <w:ilvl w:val="0"/>
          <w:numId w:val="191"/>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pojedynczego wyniku (próbki) z dokładnością do 0,1 %. </w:t>
      </w:r>
    </w:p>
    <w:p w14:paraId="5732734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Wyżej wymienione kryteria należy stosować jednocześnie</w:t>
      </w:r>
      <w:r w:rsidRPr="001667DB">
        <w:rPr>
          <w:rFonts w:ascii="Times New Roman" w:hAnsi="Times New Roman" w:cs="Times New Roman"/>
          <w:color w:val="000000" w:themeColor="text1"/>
        </w:rPr>
        <w:t xml:space="preserve"> (oba podlegają ocenie jakości MMA). </w:t>
      </w:r>
    </w:p>
    <w:p w14:paraId="457D7CC1" w14:textId="77777777" w:rsidR="00955A27" w:rsidRPr="001667DB" w:rsidRDefault="00955A27" w:rsidP="00A9424D">
      <w:pPr>
        <w:spacing w:after="120" w:line="360" w:lineRule="auto"/>
        <w:ind w:left="7"/>
        <w:jc w:val="both"/>
        <w:rPr>
          <w:rFonts w:ascii="Times New Roman" w:hAnsi="Times New Roman" w:cs="Times New Roman"/>
          <w:i/>
          <w:color w:val="000000" w:themeColor="text1"/>
        </w:rPr>
      </w:pPr>
      <w:r w:rsidRPr="001667DB">
        <w:rPr>
          <w:rFonts w:ascii="Times New Roman" w:hAnsi="Times New Roman" w:cs="Times New Roman"/>
          <w:i/>
          <w:color w:val="000000" w:themeColor="text1"/>
        </w:rPr>
        <w:t xml:space="preserve">Odchyłka jest to różnica wartości bezwzględnej pomiędzy procentową zawartością lepiszcza rozpuszczalnego uzyskaną z badań laboratoryjnych a procentową zawartością lepiszcza rozpuszczalnego podaną w Badaniu Typu (%). </w:t>
      </w:r>
    </w:p>
    <w:p w14:paraId="7A27CBA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5. Dopuszczalne odchyłki do odbioru dla </w:t>
      </w:r>
      <w:r w:rsidRPr="001667DB">
        <w:rPr>
          <w:rFonts w:ascii="Times New Roman" w:hAnsi="Times New Roman" w:cs="Times New Roman"/>
          <w:color w:val="000000" w:themeColor="text1"/>
          <w:u w:val="single" w:color="000000"/>
        </w:rPr>
        <w:t>wartości średniej</w:t>
      </w:r>
      <w:r w:rsidRPr="001667DB">
        <w:rPr>
          <w:rFonts w:ascii="Times New Roman" w:hAnsi="Times New Roman" w:cs="Times New Roman"/>
          <w:color w:val="000000" w:themeColor="text1"/>
        </w:rPr>
        <w:t xml:space="preserve"> policzonej z dokładnością do 0,01 % </w:t>
      </w:r>
    </w:p>
    <w:tbl>
      <w:tblPr>
        <w:tblW w:w="8932" w:type="dxa"/>
        <w:tblInd w:w="84" w:type="dxa"/>
        <w:tblCellMar>
          <w:left w:w="0" w:type="dxa"/>
          <w:right w:w="79" w:type="dxa"/>
        </w:tblCellMar>
        <w:tblLook w:val="04A0" w:firstRow="1" w:lastRow="0" w:firstColumn="1" w:lastColumn="0" w:noHBand="0" w:noVBand="1"/>
      </w:tblPr>
      <w:tblGrid>
        <w:gridCol w:w="4883"/>
        <w:gridCol w:w="4049"/>
      </w:tblGrid>
      <w:tr w:rsidR="00955A27" w:rsidRPr="001667DB" w14:paraId="3C126413" w14:textId="77777777" w:rsidTr="001B4B8F">
        <w:trPr>
          <w:trHeight w:val="70"/>
        </w:trPr>
        <w:tc>
          <w:tcPr>
            <w:tcW w:w="488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3BCDA2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Oceniany parametr</w:t>
            </w:r>
          </w:p>
        </w:tc>
        <w:tc>
          <w:tcPr>
            <w:tcW w:w="4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ACAC9" w14:textId="77777777" w:rsidR="00955A27" w:rsidRPr="001667DB" w:rsidRDefault="00955A27" w:rsidP="00955A27">
            <w:pPr>
              <w:spacing w:after="120" w:line="360" w:lineRule="auto"/>
              <w:ind w:left="173"/>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Wielkość odchyłki dla wartości średniej % </w:t>
            </w:r>
          </w:p>
        </w:tc>
      </w:tr>
      <w:tr w:rsidR="00955A27" w:rsidRPr="001667DB" w14:paraId="22836AD7" w14:textId="77777777" w:rsidTr="001B4B8F">
        <w:trPr>
          <w:trHeight w:val="70"/>
        </w:trPr>
        <w:tc>
          <w:tcPr>
            <w:tcW w:w="4883" w:type="dxa"/>
            <w:vMerge/>
            <w:tcBorders>
              <w:top w:val="nil"/>
              <w:left w:val="single" w:sz="4" w:space="0" w:color="000000"/>
              <w:bottom w:val="nil"/>
              <w:right w:val="single" w:sz="4" w:space="0" w:color="000000"/>
            </w:tcBorders>
            <w:shd w:val="clear" w:color="auto" w:fill="auto"/>
          </w:tcPr>
          <w:p w14:paraId="28960BB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B3029" w14:textId="77777777" w:rsidR="00955A27" w:rsidRPr="001667DB" w:rsidRDefault="00955A27" w:rsidP="00955A27">
            <w:pPr>
              <w:spacing w:after="120" w:line="360" w:lineRule="auto"/>
              <w:ind w:right="31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SMA </w:t>
            </w:r>
          </w:p>
        </w:tc>
      </w:tr>
      <w:tr w:rsidR="00955A27" w:rsidRPr="001667DB" w14:paraId="1AB4FABB" w14:textId="77777777" w:rsidTr="00072A61">
        <w:trPr>
          <w:trHeight w:val="70"/>
        </w:trPr>
        <w:tc>
          <w:tcPr>
            <w:tcW w:w="4883" w:type="dxa"/>
            <w:vMerge/>
            <w:tcBorders>
              <w:top w:val="nil"/>
              <w:left w:val="single" w:sz="4" w:space="0" w:color="000000"/>
              <w:bottom w:val="single" w:sz="4" w:space="0" w:color="000000"/>
              <w:right w:val="single" w:sz="4" w:space="0" w:color="000000"/>
            </w:tcBorders>
            <w:shd w:val="clear" w:color="auto" w:fill="auto"/>
          </w:tcPr>
          <w:p w14:paraId="26A67AB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DC82B" w14:textId="77777777" w:rsidR="00955A27" w:rsidRPr="001667DB" w:rsidRDefault="00955A27" w:rsidP="00072A61">
            <w:pPr>
              <w:spacing w:after="120" w:line="360" w:lineRule="auto"/>
              <w:ind w:left="62"/>
              <w:jc w:val="center"/>
              <w:rPr>
                <w:rFonts w:ascii="Times New Roman" w:hAnsi="Times New Roman" w:cs="Times New Roman"/>
                <w:color w:val="000000" w:themeColor="text1"/>
              </w:rPr>
            </w:pPr>
            <w:r w:rsidRPr="001667DB">
              <w:rPr>
                <w:rFonts w:ascii="Times New Roman" w:hAnsi="Times New Roman" w:cs="Times New Roman"/>
                <w:color w:val="000000" w:themeColor="text1"/>
              </w:rPr>
              <w:t>KR</w:t>
            </w:r>
            <w:r w:rsidR="00072A61">
              <w:rPr>
                <w:rFonts w:ascii="Times New Roman" w:hAnsi="Times New Roman" w:cs="Times New Roman"/>
                <w:color w:val="000000" w:themeColor="text1"/>
              </w:rPr>
              <w:t>4</w:t>
            </w:r>
          </w:p>
        </w:tc>
      </w:tr>
      <w:tr w:rsidR="00955A27" w:rsidRPr="001667DB" w14:paraId="2C169093" w14:textId="77777777" w:rsidTr="001B4B8F">
        <w:trPr>
          <w:trHeight w:val="87"/>
        </w:trPr>
        <w:tc>
          <w:tcPr>
            <w:tcW w:w="4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39AFF" w14:textId="77777777" w:rsidR="00955A27" w:rsidRPr="001667DB" w:rsidRDefault="00955A27" w:rsidP="00955A27">
            <w:pPr>
              <w:spacing w:after="120" w:line="360" w:lineRule="auto"/>
              <w:ind w:left="-109"/>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rozpuszczalnego S – niedomiar</w:t>
            </w:r>
          </w:p>
        </w:tc>
        <w:tc>
          <w:tcPr>
            <w:tcW w:w="4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DF1EB" w14:textId="77777777" w:rsidR="00955A27" w:rsidRPr="001667DB" w:rsidRDefault="00955A27" w:rsidP="00955A27">
            <w:pPr>
              <w:spacing w:after="120" w:line="360" w:lineRule="auto"/>
              <w:ind w:left="62" w:right="317"/>
              <w:jc w:val="center"/>
              <w:rPr>
                <w:rFonts w:ascii="Times New Roman" w:hAnsi="Times New Roman" w:cs="Times New Roman"/>
                <w:color w:val="000000" w:themeColor="text1"/>
              </w:rPr>
            </w:pPr>
            <w:r w:rsidRPr="001667DB">
              <w:rPr>
                <w:rFonts w:ascii="Times New Roman" w:hAnsi="Times New Roman" w:cs="Times New Roman"/>
                <w:color w:val="000000" w:themeColor="text1"/>
              </w:rPr>
              <w:t>0,15</w:t>
            </w:r>
          </w:p>
        </w:tc>
      </w:tr>
      <w:tr w:rsidR="00955A27" w:rsidRPr="001667DB" w14:paraId="74797DD3" w14:textId="77777777" w:rsidTr="001B4B8F">
        <w:trPr>
          <w:trHeight w:val="270"/>
        </w:trPr>
        <w:tc>
          <w:tcPr>
            <w:tcW w:w="4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526D3" w14:textId="77777777" w:rsidR="00955A27" w:rsidRPr="001667DB" w:rsidRDefault="00955A27" w:rsidP="00955A27">
            <w:pPr>
              <w:spacing w:after="120" w:line="360" w:lineRule="auto"/>
              <w:ind w:left="-109"/>
              <w:jc w:val="center"/>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 rozpuszczalnego S – nadmiar</w:t>
            </w:r>
          </w:p>
        </w:tc>
        <w:tc>
          <w:tcPr>
            <w:tcW w:w="4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F5B2C" w14:textId="77777777" w:rsidR="00955A27" w:rsidRPr="001667DB" w:rsidRDefault="00955A27" w:rsidP="00955A27">
            <w:pPr>
              <w:spacing w:after="120" w:line="360" w:lineRule="auto"/>
              <w:ind w:left="62" w:right="317"/>
              <w:jc w:val="center"/>
              <w:rPr>
                <w:rFonts w:ascii="Times New Roman" w:hAnsi="Times New Roman" w:cs="Times New Roman"/>
                <w:color w:val="000000" w:themeColor="text1"/>
              </w:rPr>
            </w:pPr>
            <w:r w:rsidRPr="001667DB">
              <w:rPr>
                <w:rFonts w:ascii="Times New Roman" w:hAnsi="Times New Roman" w:cs="Times New Roman"/>
                <w:color w:val="000000" w:themeColor="text1"/>
              </w:rPr>
              <w:t>0,20</w:t>
            </w:r>
          </w:p>
        </w:tc>
      </w:tr>
    </w:tbl>
    <w:p w14:paraId="73DCF57F"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7EC2EE10"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6. Dopuszczalne odchyłki do odbioru </w:t>
      </w:r>
      <w:r w:rsidRPr="001667DB">
        <w:rPr>
          <w:rFonts w:ascii="Times New Roman" w:hAnsi="Times New Roman" w:cs="Times New Roman"/>
          <w:color w:val="000000" w:themeColor="text1"/>
          <w:u w:val="single" w:color="000000"/>
        </w:rPr>
        <w:t>dla pojedynczego</w:t>
      </w:r>
      <w:r w:rsidRPr="001667DB">
        <w:rPr>
          <w:rFonts w:ascii="Times New Roman" w:hAnsi="Times New Roman" w:cs="Times New Roman"/>
          <w:color w:val="000000" w:themeColor="text1"/>
        </w:rPr>
        <w:t xml:space="preserve"> wyniku określonego z dokładnością do 0,1% </w:t>
      </w:r>
    </w:p>
    <w:tbl>
      <w:tblPr>
        <w:tblW w:w="8932" w:type="dxa"/>
        <w:tblInd w:w="84" w:type="dxa"/>
        <w:tblCellMar>
          <w:left w:w="144" w:type="dxa"/>
          <w:right w:w="74" w:type="dxa"/>
        </w:tblCellMar>
        <w:tblLook w:val="04A0" w:firstRow="1" w:lastRow="0" w:firstColumn="1" w:lastColumn="0" w:noHBand="0" w:noVBand="1"/>
      </w:tblPr>
      <w:tblGrid>
        <w:gridCol w:w="4455"/>
        <w:gridCol w:w="4477"/>
      </w:tblGrid>
      <w:tr w:rsidR="00955A27" w:rsidRPr="001667DB" w14:paraId="33C4A241" w14:textId="77777777" w:rsidTr="001B4B8F">
        <w:trPr>
          <w:trHeight w:val="191"/>
        </w:trPr>
        <w:tc>
          <w:tcPr>
            <w:tcW w:w="44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733CF6E" w14:textId="77777777" w:rsidR="00955A27" w:rsidRPr="001667DB" w:rsidRDefault="00955A27" w:rsidP="00955A27">
            <w:pPr>
              <w:spacing w:after="120" w:line="360" w:lineRule="auto"/>
              <w:ind w:right="7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Oceniany parametr </w:t>
            </w:r>
          </w:p>
        </w:tc>
        <w:tc>
          <w:tcPr>
            <w:tcW w:w="44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96C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Wielkość odchyłki dla pojedynczego wyniku ; % </w:t>
            </w:r>
          </w:p>
        </w:tc>
      </w:tr>
      <w:tr w:rsidR="00955A27" w:rsidRPr="001667DB" w14:paraId="002E83CD" w14:textId="77777777" w:rsidTr="001B4B8F">
        <w:trPr>
          <w:trHeight w:val="70"/>
        </w:trPr>
        <w:tc>
          <w:tcPr>
            <w:tcW w:w="4455" w:type="dxa"/>
            <w:vMerge/>
            <w:tcBorders>
              <w:top w:val="nil"/>
              <w:left w:val="single" w:sz="4" w:space="0" w:color="000000"/>
              <w:bottom w:val="nil"/>
              <w:right w:val="single" w:sz="4" w:space="0" w:color="000000"/>
            </w:tcBorders>
            <w:shd w:val="clear" w:color="auto" w:fill="auto"/>
          </w:tcPr>
          <w:p w14:paraId="19916F8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4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F842C"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SMA  </w:t>
            </w:r>
          </w:p>
        </w:tc>
      </w:tr>
      <w:tr w:rsidR="00955A27" w:rsidRPr="001667DB" w14:paraId="7D0EDA15" w14:textId="77777777" w:rsidTr="001B4B8F">
        <w:trPr>
          <w:trHeight w:val="70"/>
        </w:trPr>
        <w:tc>
          <w:tcPr>
            <w:tcW w:w="4455" w:type="dxa"/>
            <w:vMerge/>
            <w:tcBorders>
              <w:top w:val="nil"/>
              <w:left w:val="single" w:sz="4" w:space="0" w:color="000000"/>
              <w:bottom w:val="single" w:sz="4" w:space="0" w:color="000000"/>
              <w:right w:val="single" w:sz="4" w:space="0" w:color="000000"/>
            </w:tcBorders>
            <w:shd w:val="clear" w:color="auto" w:fill="auto"/>
          </w:tcPr>
          <w:p w14:paraId="1382EDA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4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49AAE" w14:textId="77777777" w:rsidR="00955A27" w:rsidRPr="001667DB" w:rsidRDefault="00955A27" w:rsidP="00072A61">
            <w:pPr>
              <w:spacing w:after="120" w:line="360" w:lineRule="auto"/>
              <w:ind w:right="72"/>
              <w:jc w:val="center"/>
              <w:rPr>
                <w:rFonts w:ascii="Times New Roman" w:hAnsi="Times New Roman" w:cs="Times New Roman"/>
                <w:color w:val="000000" w:themeColor="text1"/>
              </w:rPr>
            </w:pPr>
            <w:r w:rsidRPr="001667DB">
              <w:rPr>
                <w:rFonts w:ascii="Times New Roman" w:hAnsi="Times New Roman" w:cs="Times New Roman"/>
                <w:color w:val="000000" w:themeColor="text1"/>
              </w:rPr>
              <w:t>KR</w:t>
            </w:r>
            <w:r w:rsidR="00072A61">
              <w:rPr>
                <w:rFonts w:ascii="Times New Roman" w:hAnsi="Times New Roman" w:cs="Times New Roman"/>
                <w:color w:val="000000" w:themeColor="text1"/>
              </w:rPr>
              <w:t>4</w:t>
            </w:r>
          </w:p>
        </w:tc>
      </w:tr>
      <w:tr w:rsidR="00955A27" w:rsidRPr="001667DB" w14:paraId="7A8577C3" w14:textId="77777777" w:rsidTr="001B4B8F">
        <w:trPr>
          <w:trHeight w:val="70"/>
        </w:trPr>
        <w:tc>
          <w:tcPr>
            <w:tcW w:w="4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157F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Zawartość lepiszcza rozpuszczalnego S - niedomiar </w:t>
            </w:r>
          </w:p>
        </w:tc>
        <w:tc>
          <w:tcPr>
            <w:tcW w:w="44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917DE"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w:t>
            </w:r>
          </w:p>
        </w:tc>
      </w:tr>
      <w:tr w:rsidR="00955A27" w:rsidRPr="001667DB" w14:paraId="33E0EE53" w14:textId="77777777" w:rsidTr="001B4B8F">
        <w:trPr>
          <w:trHeight w:val="70"/>
        </w:trPr>
        <w:tc>
          <w:tcPr>
            <w:tcW w:w="4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0650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lepiszcza rozpuszczalnego S - nadmiar </w:t>
            </w:r>
          </w:p>
        </w:tc>
        <w:tc>
          <w:tcPr>
            <w:tcW w:w="44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1B59C"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0,3 </w:t>
            </w:r>
          </w:p>
        </w:tc>
      </w:tr>
    </w:tbl>
    <w:p w14:paraId="5723B90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wielkości dopuszczalnych odchyłek dla wartości średniej  i dla pojedynczego wyniku w zakresie zawartości lepiszcza rozpuszczalnego należy postępować zgodnie z Instrukcją DP-T14 </w:t>
      </w:r>
      <w:r w:rsidRPr="001667DB">
        <w:rPr>
          <w:rFonts w:ascii="Times New Roman" w:hAnsi="Times New Roman" w:cs="Times New Roman"/>
          <w:i/>
          <w:color w:val="000000" w:themeColor="text1"/>
        </w:rPr>
        <w:t>Ocena jakości na drogach krajowych. Część I-Roboty drogowe. 2017</w:t>
      </w:r>
      <w:r w:rsidRPr="001667DB">
        <w:rPr>
          <w:rFonts w:ascii="Times New Roman" w:hAnsi="Times New Roman" w:cs="Times New Roman"/>
          <w:color w:val="000000" w:themeColor="text1"/>
        </w:rPr>
        <w:t xml:space="preserve">. </w:t>
      </w:r>
    </w:p>
    <w:p w14:paraId="107DF0FA"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6.7.2.</w:t>
      </w:r>
      <w:r w:rsidRPr="001667DB">
        <w:rPr>
          <w:rFonts w:eastAsia="Arial"/>
          <w:color w:val="000000" w:themeColor="text1"/>
          <w:sz w:val="22"/>
          <w:szCs w:val="22"/>
        </w:rPr>
        <w:t xml:space="preserve"> </w:t>
      </w:r>
      <w:r w:rsidRPr="001667DB">
        <w:rPr>
          <w:color w:val="000000" w:themeColor="text1"/>
          <w:sz w:val="22"/>
          <w:szCs w:val="22"/>
        </w:rPr>
        <w:t xml:space="preserve">Uziarnienie mieszanki mineralnej </w:t>
      </w:r>
    </w:p>
    <w:p w14:paraId="4A92597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 wykonaniu ekstrakcji lepiszcza należy przeprowadzić kontrolę uziarnienia mieszanki kruszywa mineralnego wg PN-EN 12697-2.  </w:t>
      </w:r>
    </w:p>
    <w:p w14:paraId="6B7F48B4"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Jakości mieszanki mineralnej należy ocenić na podstawie: </w:t>
      </w:r>
    </w:p>
    <w:p w14:paraId="0D1501C0" w14:textId="77777777" w:rsidR="00955A27" w:rsidRPr="001667DB" w:rsidRDefault="00955A27" w:rsidP="00904E6C">
      <w:pPr>
        <w:numPr>
          <w:ilvl w:val="0"/>
          <w:numId w:val="192"/>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wartości średniej (średnia arytmetyczna wszystkich wyników z całej drogi dla danego typu MMA i danej warstwy asfaltowej) z dokładnością do 0,1 % </w:t>
      </w:r>
    </w:p>
    <w:p w14:paraId="79F0ED00" w14:textId="77777777" w:rsidR="00955A27" w:rsidRPr="001667DB" w:rsidRDefault="00955A27" w:rsidP="00904E6C">
      <w:pPr>
        <w:numPr>
          <w:ilvl w:val="0"/>
          <w:numId w:val="192"/>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wielkości odchyłki obliczonej dla pojedynczego wyniku (próbki) z dokładnością do 0,1 % dla sita 0,063mm i z dokładnością do 1 % dla pozostałych sit. </w:t>
      </w:r>
    </w:p>
    <w:p w14:paraId="2AC1196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Wyżej wymienione kryteria należy stosować jednocześnie</w:t>
      </w:r>
      <w:r w:rsidRPr="001667DB">
        <w:rPr>
          <w:rFonts w:ascii="Times New Roman" w:hAnsi="Times New Roman" w:cs="Times New Roman"/>
          <w:color w:val="000000" w:themeColor="text1"/>
        </w:rPr>
        <w:t xml:space="preserve"> (oba podlegają ocenie jakości MMA). </w:t>
      </w:r>
    </w:p>
    <w:p w14:paraId="4CF95153"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i/>
          <w:color w:val="000000" w:themeColor="text1"/>
        </w:rPr>
        <w:t xml:space="preserve">Odchyłka jest to różnica wartości bezwzględnej pomiędzy procentową zawartością ziaren w wyekstrahowanej mieszance mineralnej uzyskaną z badań laboratoryjnych a procentową zawartością ziaren w mieszance mineralnej podaną w Badaniu Typu (%). </w:t>
      </w:r>
    </w:p>
    <w:p w14:paraId="13B1B81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odchyłki w zakresie uziarnienia podano w tabeli 7. </w:t>
      </w:r>
    </w:p>
    <w:p w14:paraId="23F11E0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7418F4A9"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7. Dopuszczalne odchyłki w zakresie uziarnienia. </w:t>
      </w:r>
    </w:p>
    <w:tbl>
      <w:tblPr>
        <w:tblW w:w="0" w:type="auto"/>
        <w:tblInd w:w="125" w:type="dxa"/>
        <w:tblCellMar>
          <w:top w:w="28" w:type="dxa"/>
          <w:left w:w="115" w:type="dxa"/>
          <w:right w:w="55" w:type="dxa"/>
        </w:tblCellMar>
        <w:tblLook w:val="04A0" w:firstRow="1" w:lastRow="0" w:firstColumn="1" w:lastColumn="0" w:noHBand="0" w:noVBand="1"/>
      </w:tblPr>
      <w:tblGrid>
        <w:gridCol w:w="2684"/>
        <w:gridCol w:w="3553"/>
        <w:gridCol w:w="2699"/>
      </w:tblGrid>
      <w:tr w:rsidR="00955A27" w:rsidRPr="001667DB" w14:paraId="1B52D322" w14:textId="77777777" w:rsidTr="00072A61">
        <w:trPr>
          <w:trHeight w:hRule="exact" w:val="757"/>
        </w:trPr>
        <w:tc>
          <w:tcPr>
            <w:tcW w:w="268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C6EF199" w14:textId="77777777" w:rsidR="00955A27" w:rsidRPr="001667DB" w:rsidRDefault="00955A27" w:rsidP="00955A27">
            <w:pPr>
              <w:spacing w:after="120" w:line="360" w:lineRule="auto"/>
              <w:ind w:left="9"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Przechodzi przez sito #, mm</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784AD"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Odchyłki dopuszczalne dla pojedynczego wyniku, %</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7E9B1B2" w14:textId="77777777" w:rsidR="00955A27" w:rsidRPr="001667DB" w:rsidRDefault="00955A27" w:rsidP="00955A27">
            <w:pPr>
              <w:spacing w:after="120" w:line="360" w:lineRule="auto"/>
              <w:ind w:firstLine="33"/>
              <w:jc w:val="center"/>
              <w:rPr>
                <w:rFonts w:ascii="Times New Roman" w:hAnsi="Times New Roman" w:cs="Times New Roman"/>
                <w:color w:val="000000" w:themeColor="text1"/>
              </w:rPr>
            </w:pPr>
            <w:r w:rsidRPr="001667DB">
              <w:rPr>
                <w:rFonts w:ascii="Times New Roman" w:hAnsi="Times New Roman" w:cs="Times New Roman"/>
                <w:color w:val="000000" w:themeColor="text1"/>
              </w:rPr>
              <w:t>Odchyłki dopuszczalne dla wartości średniej, %</w:t>
            </w:r>
          </w:p>
        </w:tc>
      </w:tr>
      <w:tr w:rsidR="00955A27" w:rsidRPr="001667DB" w14:paraId="6987AD2B" w14:textId="77777777" w:rsidTr="001B4B8F">
        <w:trPr>
          <w:trHeight w:hRule="exact" w:val="340"/>
        </w:trPr>
        <w:tc>
          <w:tcPr>
            <w:tcW w:w="2684" w:type="dxa"/>
            <w:vMerge/>
            <w:tcBorders>
              <w:top w:val="nil"/>
              <w:left w:val="single" w:sz="4" w:space="0" w:color="000000"/>
              <w:bottom w:val="single" w:sz="4" w:space="0" w:color="000000"/>
              <w:right w:val="single" w:sz="4" w:space="0" w:color="000000"/>
            </w:tcBorders>
            <w:shd w:val="clear" w:color="auto" w:fill="auto"/>
            <w:vAlign w:val="center"/>
          </w:tcPr>
          <w:p w14:paraId="537A6E2E"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1C8B5" w14:textId="77777777" w:rsidR="00955A27" w:rsidRPr="001667DB" w:rsidRDefault="00955A27" w:rsidP="00072A61">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072A61">
              <w:rPr>
                <w:rFonts w:ascii="Times New Roman" w:hAnsi="Times New Roman" w:cs="Times New Roman"/>
                <w:color w:val="000000" w:themeColor="text1"/>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2DD941B" w14:textId="77777777" w:rsidR="00955A27" w:rsidRPr="001667DB" w:rsidRDefault="00955A27" w:rsidP="00072A61">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 </w:t>
            </w:r>
            <w:r w:rsidR="00072A61">
              <w:rPr>
                <w:rFonts w:ascii="Times New Roman" w:hAnsi="Times New Roman" w:cs="Times New Roman"/>
                <w:color w:val="000000" w:themeColor="text1"/>
              </w:rPr>
              <w:t>4</w:t>
            </w:r>
          </w:p>
        </w:tc>
      </w:tr>
      <w:tr w:rsidR="00955A27" w:rsidRPr="001667DB" w14:paraId="2C9F2391" w14:textId="77777777" w:rsidTr="001B4B8F">
        <w:trPr>
          <w:trHeight w:hRule="exact" w:val="340"/>
        </w:trPr>
        <w:tc>
          <w:tcPr>
            <w:tcW w:w="2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B30E7"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0,063</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FBF12" w14:textId="77777777" w:rsidR="00955A27" w:rsidRPr="001667DB" w:rsidRDefault="00955A27" w:rsidP="00955A27">
            <w:pPr>
              <w:spacing w:after="120" w:line="360" w:lineRule="auto"/>
              <w:ind w:right="63"/>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931F560"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955A27" w:rsidRPr="001667DB" w14:paraId="5144B652" w14:textId="77777777" w:rsidTr="001B4B8F">
        <w:trPr>
          <w:trHeight w:hRule="exact" w:val="340"/>
        </w:trPr>
        <w:tc>
          <w:tcPr>
            <w:tcW w:w="2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43449"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0,125</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6C0B8"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04C116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55A27" w:rsidRPr="001667DB" w14:paraId="413CB513" w14:textId="77777777" w:rsidTr="001B4B8F">
        <w:trPr>
          <w:trHeight w:hRule="exact" w:val="340"/>
        </w:trPr>
        <w:tc>
          <w:tcPr>
            <w:tcW w:w="2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34513"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DC937" w14:textId="77777777" w:rsidR="00955A27" w:rsidRPr="001667DB" w:rsidRDefault="00955A27" w:rsidP="00955A27">
            <w:pPr>
              <w:spacing w:after="120" w:line="360" w:lineRule="auto"/>
              <w:ind w:right="61"/>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D2CF840"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r>
      <w:tr w:rsidR="00955A27" w:rsidRPr="001667DB" w14:paraId="3EE6CF87" w14:textId="77777777" w:rsidTr="001B4B8F">
        <w:trPr>
          <w:trHeight w:hRule="exact" w:val="340"/>
        </w:trPr>
        <w:tc>
          <w:tcPr>
            <w:tcW w:w="2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B743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D/2 lub sito charakterystycze</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550EB"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1E2E66" w14:textId="77777777" w:rsidR="00955A27" w:rsidRPr="001667DB" w:rsidRDefault="00955A27" w:rsidP="00955A27">
            <w:pPr>
              <w:spacing w:after="120" w:line="360" w:lineRule="auto"/>
              <w:ind w:right="4"/>
              <w:jc w:val="center"/>
              <w:rPr>
                <w:rFonts w:ascii="Times New Roman" w:hAnsi="Times New Roman" w:cs="Times New Roman"/>
                <w:color w:val="000000" w:themeColor="text1"/>
              </w:rPr>
            </w:pPr>
            <w:r w:rsidRPr="001667DB">
              <w:rPr>
                <w:rFonts w:ascii="Times New Roman" w:hAnsi="Times New Roman" w:cs="Times New Roman"/>
                <w:color w:val="000000" w:themeColor="text1"/>
              </w:rPr>
              <w:t>4,0</w:t>
            </w:r>
          </w:p>
        </w:tc>
      </w:tr>
      <w:tr w:rsidR="00955A27" w:rsidRPr="001667DB" w14:paraId="26A65B88" w14:textId="77777777" w:rsidTr="001B4B8F">
        <w:trPr>
          <w:trHeight w:hRule="exact" w:val="340"/>
        </w:trPr>
        <w:tc>
          <w:tcPr>
            <w:tcW w:w="2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44B08"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D</w:t>
            </w:r>
          </w:p>
        </w:tc>
        <w:tc>
          <w:tcPr>
            <w:tcW w:w="35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F355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E9E36BA" w14:textId="77777777" w:rsidR="00955A27" w:rsidRPr="001667DB" w:rsidRDefault="00955A27" w:rsidP="00955A27">
            <w:pPr>
              <w:spacing w:after="120" w:line="360" w:lineRule="auto"/>
              <w:ind w:right="4"/>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tc>
      </w:tr>
    </w:tbl>
    <w:p w14:paraId="571241B4"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dotyczące udziału kruszywa grubego, drobnego i wypełniacza powinny być spełnione jednocześnie. </w:t>
      </w:r>
    </w:p>
    <w:p w14:paraId="726F734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 przypadku przekroczenia wielkości dopuszczalnych odchyłek dla wartości średniej  w zakresie uziarnienia należy postępować zgodnie z Instrukcją DP-T14 </w:t>
      </w:r>
      <w:r w:rsidRPr="001667DB">
        <w:rPr>
          <w:rFonts w:ascii="Times New Roman" w:hAnsi="Times New Roman" w:cs="Times New Roman"/>
          <w:i/>
          <w:color w:val="000000" w:themeColor="text1"/>
        </w:rPr>
        <w:t xml:space="preserve">Ocena jakości na drogach krajowych. Część I-Roboty drogowe. 2017. </w:t>
      </w:r>
    </w:p>
    <w:p w14:paraId="38A733C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kryterium dotyczącego pojedynczego wyniku nie stosuje się potrąceń – należy je spełnić wg wyżej wymienionych wymagań. </w:t>
      </w:r>
    </w:p>
    <w:p w14:paraId="017B2FCB"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6.7.3.</w:t>
      </w:r>
      <w:r w:rsidRPr="001667DB">
        <w:rPr>
          <w:rFonts w:eastAsia="Arial"/>
          <w:color w:val="000000" w:themeColor="text1"/>
          <w:sz w:val="22"/>
          <w:szCs w:val="22"/>
        </w:rPr>
        <w:t xml:space="preserve"> </w:t>
      </w:r>
      <w:r w:rsidRPr="001667DB">
        <w:rPr>
          <w:color w:val="000000" w:themeColor="text1"/>
          <w:sz w:val="22"/>
          <w:szCs w:val="22"/>
        </w:rPr>
        <w:t xml:space="preserve">Zawartość wolnych przestrzeni w mieszance MMA </w:t>
      </w:r>
    </w:p>
    <w:p w14:paraId="6DE53CE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Zawartość wolnych przestrzeni w próbkach Marshalla oblicza się zgodnie z PN-EN 126978. Zawartość wolnych przestrzeni nie może przekroczyć wartości podanych w WT-2 2014 Tabela 27, 28 i 29 w zależności od kategorii ruchu. </w:t>
      </w:r>
    </w:p>
    <w:p w14:paraId="0E5F93E4"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6.7.4.</w:t>
      </w:r>
      <w:r w:rsidRPr="001667DB">
        <w:rPr>
          <w:rFonts w:eastAsia="Arial"/>
          <w:color w:val="000000" w:themeColor="text1"/>
          <w:sz w:val="22"/>
          <w:szCs w:val="22"/>
        </w:rPr>
        <w:t xml:space="preserve"> </w:t>
      </w:r>
      <w:r w:rsidRPr="001667DB">
        <w:rPr>
          <w:color w:val="000000" w:themeColor="text1"/>
          <w:sz w:val="22"/>
          <w:szCs w:val="22"/>
        </w:rPr>
        <w:t xml:space="preserve">Pomiar grubości warstwy wg PN-EN 12697-36 </w:t>
      </w:r>
    </w:p>
    <w:p w14:paraId="03B9429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Grubości wykonanej warstwy należy określać na wyciętych próbkach (nie wycinać próbek na obiektach mostowych wiertnicą mechaniczną) lub metodą elektromagnetyczną z częstotliwością określoną w tab. 4. Sposób oceny grubości warstwy i pakietu warstw należy dokonać zgodnie WT-2 2016 – część II pkt 8.2 i Instrukcją DP-T14 pkt. 2.3.</w:t>
      </w:r>
    </w:p>
    <w:p w14:paraId="753D17A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Grubości warstwy należy ocenić na podstawie wielkości odchyłki obliczonej dla: </w:t>
      </w:r>
    </w:p>
    <w:p w14:paraId="43C1A90D" w14:textId="77777777" w:rsidR="00955A27" w:rsidRPr="001667DB" w:rsidRDefault="00955A27" w:rsidP="00904E6C">
      <w:pPr>
        <w:numPr>
          <w:ilvl w:val="0"/>
          <w:numId w:val="193"/>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pojedynczego wyniku pomiaru grubości warstwy i pakietu warstw asfaltowych, </w:t>
      </w:r>
    </w:p>
    <w:p w14:paraId="777F3EE5" w14:textId="77777777" w:rsidR="00955A27" w:rsidRPr="001667DB" w:rsidRDefault="00955A27" w:rsidP="00904E6C">
      <w:pPr>
        <w:numPr>
          <w:ilvl w:val="0"/>
          <w:numId w:val="193"/>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wartości średniej ze wszystkich pomiarów grubości danej warstwy i wartości średniej pomiarów pakietu warstw asfaltowych. </w:t>
      </w:r>
    </w:p>
    <w:p w14:paraId="679CDBF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w zakresie grubości danej warstwy lub pakietu warstw z mieszanek mineralnoasfaltowych jest to procentowe </w:t>
      </w:r>
      <w:r w:rsidRPr="001667DB">
        <w:rPr>
          <w:rFonts w:ascii="Times New Roman" w:hAnsi="Times New Roman" w:cs="Times New Roman"/>
          <w:b/>
          <w:color w:val="000000" w:themeColor="text1"/>
        </w:rPr>
        <w:t>przekroczenie w dół</w:t>
      </w:r>
      <w:r w:rsidRPr="001667DB">
        <w:rPr>
          <w:rFonts w:ascii="Times New Roman" w:hAnsi="Times New Roman" w:cs="Times New Roman"/>
          <w:color w:val="000000" w:themeColor="text1"/>
        </w:rPr>
        <w:t xml:space="preserve"> projektowanej grubości warstwy lub pakietu i obliczona wg pkt 2.3. Instrukcji DP-T14 2017 – część I z dokładnością do 1%. </w:t>
      </w:r>
    </w:p>
    <w:p w14:paraId="07AF677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Tolerancja dla pojedynczego wyniku w zakresie: </w:t>
      </w:r>
    </w:p>
    <w:p w14:paraId="6F217781" w14:textId="77777777" w:rsidR="00955A27" w:rsidRPr="001667DB" w:rsidRDefault="00955A27" w:rsidP="00904E6C">
      <w:pPr>
        <w:numPr>
          <w:ilvl w:val="0"/>
          <w:numId w:val="193"/>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grubości warstwy może wynosić 1÷5% grubości projektowanej. </w:t>
      </w:r>
    </w:p>
    <w:p w14:paraId="71F274F0" w14:textId="77777777" w:rsidR="00955A27" w:rsidRPr="001667DB" w:rsidRDefault="00955A27" w:rsidP="00904E6C">
      <w:pPr>
        <w:numPr>
          <w:ilvl w:val="0"/>
          <w:numId w:val="193"/>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pakietu wszystkich warstw asfaltowych wynosi 0÷10% grubości projektowanej, lecz nie więcej niż 1 cm. </w:t>
      </w:r>
    </w:p>
    <w:p w14:paraId="7D7D1CBC"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Wartość średnia ze wszystkich pomiarów grubości danej warstwy lub pakietu warstw powinna być równa bądź większa w stosunku do grubości przyjętej w projekcie konstrukcji nawierzchni. </w:t>
      </w:r>
    </w:p>
    <w:p w14:paraId="43C45AB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przekroczenia wartości dopuszczalnych w zakresie grubości należy postępować zgodnie z Instrukcją DP-T 14. </w:t>
      </w:r>
    </w:p>
    <w:p w14:paraId="5EDA345E"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6.7.5.</w:t>
      </w:r>
      <w:r w:rsidRPr="001667DB">
        <w:rPr>
          <w:rFonts w:eastAsia="Arial"/>
          <w:color w:val="000000" w:themeColor="text1"/>
          <w:sz w:val="22"/>
          <w:szCs w:val="22"/>
        </w:rPr>
        <w:t xml:space="preserve"> </w:t>
      </w:r>
      <w:r w:rsidRPr="001667DB">
        <w:rPr>
          <w:color w:val="000000" w:themeColor="text1"/>
          <w:sz w:val="22"/>
          <w:szCs w:val="22"/>
        </w:rPr>
        <w:t xml:space="preserve">Wskaźnik zagęszczenia warstwy wg PN-EN 13108-20 załącznik C4 </w:t>
      </w:r>
    </w:p>
    <w:p w14:paraId="7417D1F6"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Wskaźnik zagęszczenia warstwy należy sprawdzać na próbkach wyciętych z zagęszczonej warstwy z częstością podaną w pkt. 6.2. tab. 4. Wskaźnik zagęszczenia nie może być niższy niż 98,0%. Dopuszcza się za zgodą Inżyniera/Inspektora Nadzoru badania zagęszczenia warstwy metodami izotopowymi (zamiennie do cięcia próbek). Metodą referencyjną jest badanie na próbkach wyciętych z zagęszczonej warstwy. Wykonawca wytnie próbki na każde życzenie Inżyniera/Inspektora Nadzoru w miejscach wątpliwych przez niego wskazanych. </w:t>
      </w:r>
    </w:p>
    <w:p w14:paraId="50DEC61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jeśli wskaźnik zagęszczenia jest niższy niż 98,0% należy postępować zgodnie z Instrukcją DP-T14 Ocena jakości na drogach krajowych. Część I - Roboty drogowe. 2017. </w:t>
      </w:r>
    </w:p>
    <w:p w14:paraId="0D619C8C"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6.7.6.</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Wolna przestrzeń w zagęszczonej warstwie wg PN-EN 12697-8. </w:t>
      </w:r>
    </w:p>
    <w:p w14:paraId="74BF71E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obliczenia wolnej przestrzeni w warstwie należy przyjmować gęstość mieszanki mineralno asfaltowej oznaczonej w dniu wykonywania kontrolowanej działki roboczej. Zawartość wolnej przestrzeni w warstwie powinna mieścić się w granicach dla KR 1-4 1,55,0%, dla KR ≥5 2,0-5,0%. Zawartość wolnej przestrzeni w warstwie należy sprawdzać z częstością podaną w pkt. 6.2. tab. 4. </w:t>
      </w:r>
    </w:p>
    <w:p w14:paraId="6F82DE2C"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6.7.7.</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Wytrzymałość na ścinanie połączeń międzywarstwowych. </w:t>
      </w:r>
    </w:p>
    <w:p w14:paraId="0A92440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sczepności międzywarstwowej należy wykonać wg metody Leutnera na próbkach Ø 150±2mm lub Ø 100±2mm zgodnie z „Instrukcją laboratoryjnego badania sczepności międzywarstwowej warstw asfaltowych wg metody Leutnera i wymagania techniczne sczepności. 2014”. Wymagana wartość dla połączenia ścieralna – wiążąca wynosi nie mniej niż 1,0  MPa – kryterium należy spełnić. Dopuszcza się też inne sprawdzone metody badania sczepności, przy czym metodą referencyjną jest metoda Leutnera na próbkach Ø 150±2mm. </w:t>
      </w:r>
    </w:p>
    <w:p w14:paraId="2848BF1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Badanie sczepności międzywarstwowej należy sprawdzać zgodnie z częstością podaną w pkt. 6.2. tab.4. </w:t>
      </w:r>
    </w:p>
    <w:p w14:paraId="09D7F3E8"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6.7.8.</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Temperatura mięknienia lepiszcza odzyskanego. </w:t>
      </w:r>
    </w:p>
    <w:p w14:paraId="3CB4CC3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Wymagania dla temperatury mięknienia lepiszcza odzyskanego zgodnie z pkt. 8.1.1. WT-2 2016 – część II. Dla lepiszcza wyekstrahowanego należy kontrolować następujące właściwości: </w:t>
      </w:r>
    </w:p>
    <w:p w14:paraId="7F0C52DE" w14:textId="77777777" w:rsidR="00955A27" w:rsidRPr="001667DB" w:rsidRDefault="00955A27" w:rsidP="00904E6C">
      <w:pPr>
        <w:numPr>
          <w:ilvl w:val="0"/>
          <w:numId w:val="194"/>
        </w:numPr>
        <w:spacing w:after="120" w:line="360" w:lineRule="auto"/>
        <w:ind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temperaturę mięknienia, </w:t>
      </w:r>
    </w:p>
    <w:p w14:paraId="16D40184" w14:textId="77777777" w:rsidR="00955A27" w:rsidRPr="001667DB" w:rsidRDefault="00955A27" w:rsidP="00904E6C">
      <w:pPr>
        <w:numPr>
          <w:ilvl w:val="0"/>
          <w:numId w:val="194"/>
        </w:numPr>
        <w:spacing w:after="120" w:line="360" w:lineRule="auto"/>
        <w:ind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nawrót sprężysty – dot. polimeroasfaltów. </w:t>
      </w:r>
    </w:p>
    <w:p w14:paraId="5E4AE9F6" w14:textId="77777777" w:rsidR="00955A27" w:rsidRPr="001667DB" w:rsidRDefault="00955A27" w:rsidP="00A9424D">
      <w:pPr>
        <w:pStyle w:val="Nagwek2"/>
        <w:spacing w:line="360" w:lineRule="auto"/>
        <w:ind w:left="7"/>
        <w:jc w:val="both"/>
        <w:rPr>
          <w:color w:val="000000" w:themeColor="text1"/>
          <w:sz w:val="22"/>
          <w:szCs w:val="22"/>
        </w:rPr>
      </w:pPr>
      <w:bookmarkStart w:id="515" w:name="_Toc55099"/>
      <w:r w:rsidRPr="001667DB">
        <w:rPr>
          <w:color w:val="000000" w:themeColor="text1"/>
          <w:sz w:val="22"/>
          <w:szCs w:val="22"/>
        </w:rPr>
        <w:t>6.8.</w:t>
      </w:r>
      <w:r w:rsidRPr="001667DB">
        <w:rPr>
          <w:rFonts w:eastAsia="Arial"/>
          <w:color w:val="000000" w:themeColor="text1"/>
          <w:sz w:val="22"/>
          <w:szCs w:val="22"/>
        </w:rPr>
        <w:t xml:space="preserve"> </w:t>
      </w:r>
      <w:r w:rsidRPr="001667DB">
        <w:rPr>
          <w:color w:val="000000" w:themeColor="text1"/>
          <w:sz w:val="22"/>
          <w:szCs w:val="22"/>
        </w:rPr>
        <w:t xml:space="preserve">Badania i pomiary cech geometrycznych warstwy z MMA </w:t>
      </w:r>
      <w:bookmarkEnd w:id="515"/>
    </w:p>
    <w:p w14:paraId="7AFE675E" w14:textId="77777777" w:rsidR="00955A27" w:rsidRPr="001667DB" w:rsidRDefault="00955A27" w:rsidP="00A9424D">
      <w:pPr>
        <w:spacing w:after="120" w:line="360" w:lineRule="auto"/>
        <w:ind w:left="7"/>
        <w:jc w:val="both"/>
        <w:rPr>
          <w:rFonts w:ascii="Times New Roman" w:hAnsi="Times New Roman" w:cs="Times New Roman"/>
          <w:color w:val="000000" w:themeColor="text1"/>
        </w:rPr>
      </w:pPr>
      <w:r w:rsidRPr="001667DB">
        <w:rPr>
          <w:rFonts w:ascii="Times New Roman" w:hAnsi="Times New Roman" w:cs="Times New Roman"/>
          <w:b/>
          <w:color w:val="000000" w:themeColor="text1"/>
        </w:rPr>
        <w:t>6.8.1.</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Częstość oraz zakres badań i pomiarów </w:t>
      </w:r>
    </w:p>
    <w:p w14:paraId="0CD07BA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Częstość oraz zakres badań i pomiarów podano na warstwie ścieralnej podano w tabeli 4. </w:t>
      </w:r>
    </w:p>
    <w:p w14:paraId="3524B546" w14:textId="77777777" w:rsidR="00955A27" w:rsidRPr="001667DB" w:rsidRDefault="00955A27" w:rsidP="00A9424D">
      <w:pPr>
        <w:pStyle w:val="Nagwek5"/>
        <w:spacing w:line="360" w:lineRule="auto"/>
        <w:ind w:left="7"/>
        <w:rPr>
          <w:color w:val="000000" w:themeColor="text1"/>
          <w:sz w:val="22"/>
          <w:szCs w:val="22"/>
        </w:rPr>
      </w:pPr>
      <w:r w:rsidRPr="001667DB">
        <w:rPr>
          <w:color w:val="000000" w:themeColor="text1"/>
          <w:sz w:val="22"/>
          <w:szCs w:val="22"/>
        </w:rPr>
        <w:t>6.8.2.</w:t>
      </w:r>
      <w:r w:rsidRPr="001667DB">
        <w:rPr>
          <w:rFonts w:eastAsia="Arial"/>
          <w:color w:val="000000" w:themeColor="text1"/>
          <w:sz w:val="22"/>
          <w:szCs w:val="22"/>
        </w:rPr>
        <w:t xml:space="preserve"> </w:t>
      </w:r>
      <w:r w:rsidRPr="001667DB">
        <w:rPr>
          <w:color w:val="000000" w:themeColor="text1"/>
          <w:sz w:val="22"/>
          <w:szCs w:val="22"/>
        </w:rPr>
        <w:t xml:space="preserve">Szerokość warstwy </w:t>
      </w:r>
    </w:p>
    <w:p w14:paraId="5C4AFEB7"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Szerokość wykonanej warstwy powinna być zgodna z szerokością projektowaną z tolerancją + 5 cm. Wymaga się, aby co najmniej 95% wykonanych pomiarów nie przekraczało dopuszczalnego odchylenia. 100% wykonanych pomiarów szerokości wykonanej warstwy powinna być zgodna z szerokością projektowaną z tolerancją + 7 cm.</w:t>
      </w:r>
      <w:r w:rsidRPr="001667DB">
        <w:rPr>
          <w:rFonts w:ascii="Times New Roman" w:hAnsi="Times New Roman" w:cs="Times New Roman"/>
          <w:color w:val="000000" w:themeColor="text1"/>
          <w:vertAlign w:val="subscript"/>
        </w:rPr>
        <w:t xml:space="preserve"> </w:t>
      </w:r>
    </w:p>
    <w:p w14:paraId="441AACD7" w14:textId="77777777" w:rsidR="00955A27" w:rsidRPr="001667DB" w:rsidRDefault="00955A27" w:rsidP="00A9424D">
      <w:pPr>
        <w:spacing w:after="120" w:line="360" w:lineRule="auto"/>
        <w:ind w:left="7" w:right="2146"/>
        <w:jc w:val="both"/>
        <w:rPr>
          <w:rFonts w:ascii="Times New Roman" w:hAnsi="Times New Roman" w:cs="Times New Roman"/>
          <w:color w:val="000000" w:themeColor="text1"/>
        </w:rPr>
      </w:pPr>
      <w:r w:rsidRPr="001667DB">
        <w:rPr>
          <w:rFonts w:ascii="Times New Roman" w:hAnsi="Times New Roman" w:cs="Times New Roman"/>
          <w:b/>
          <w:color w:val="000000" w:themeColor="text1"/>
        </w:rPr>
        <w:t>6.8.3.</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Równość podłużna i poprzeczna warstwy ścieralnej A.</w:t>
      </w:r>
      <w:r w:rsidRPr="001667DB">
        <w:rPr>
          <w:rFonts w:ascii="Times New Roman" w:eastAsia="Arial" w:hAnsi="Times New Roman" w:cs="Times New Roman"/>
          <w:b/>
          <w:color w:val="000000" w:themeColor="text1"/>
        </w:rPr>
        <w:t xml:space="preserve"> </w:t>
      </w:r>
      <w:r w:rsidRPr="001667DB">
        <w:rPr>
          <w:rFonts w:ascii="Times New Roman" w:hAnsi="Times New Roman" w:cs="Times New Roman"/>
          <w:b/>
          <w:color w:val="000000" w:themeColor="text1"/>
        </w:rPr>
        <w:t xml:space="preserve">Ocena równości podłużnej warstwy ścieralnej. </w:t>
      </w:r>
    </w:p>
    <w:p w14:paraId="4E657F5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pomiarach równości nawierzchni należy stosować metody: </w:t>
      </w:r>
    </w:p>
    <w:p w14:paraId="26D2C7CE" w14:textId="77777777" w:rsidR="00955A27" w:rsidRPr="001667DB" w:rsidRDefault="00955A27" w:rsidP="00904E6C">
      <w:pPr>
        <w:numPr>
          <w:ilvl w:val="0"/>
          <w:numId w:val="195"/>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profilometryczną bazującą na wskaźnikach równości IRI; </w:t>
      </w:r>
    </w:p>
    <w:p w14:paraId="7F480133" w14:textId="77777777" w:rsidR="00955A27" w:rsidRPr="001667DB" w:rsidRDefault="00955A27" w:rsidP="00904E6C">
      <w:pPr>
        <w:numPr>
          <w:ilvl w:val="0"/>
          <w:numId w:val="195"/>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pomiaru ciągłego równoważną użyciu łaty i klina z wykorzystaniem planografu  (w miejscach niedostępnych dla planografu pomiar ciągły z użyciem laty o długości 4 m i klina). </w:t>
      </w:r>
    </w:p>
    <w:p w14:paraId="0862F9C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oceny równości podłużnej warstwy ścieralnej nawierzchni dróg klasy G należy stosować metodę profilometryczną bazującą na wskaźnikach równości IRI [mm/m]. Kierunek pomiaru powinien być zgodny z projektowanym kierunkiem jazdy. Profil nierówności warstwy nawierzchni należy rejestrować z krokiem co 10 cm. </w:t>
      </w:r>
    </w:p>
    <w:p w14:paraId="58158263"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Wartość IRI należy wyznaczać z krokiem co 50 m. Długość ocenianego odcinka nawierzchni nie powinna być większa niż 1 000 m. Odcinek końcowy o długości mniejszej niż 500 m należy oceniać łącznie z odcinkiem poprzedzającym. Do oceny równości odcinka nawierzchni ustala się minimalną liczbę wskaźników IRI równą 5. W przypadku odbioru robót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 Wymagana równość podłużna jest określona przez dopuszczalną wartość średnią wyników pomiaru IRIśr oraz dopuszczalną wartość maksymalną pojedynczego pomiaru IRImax, których nie można przekroczyć na długości ocenianego odcinka nawierzchni. Wartości dopuszczalne przy odbiorze warstwy ścieralnej metodą profilometryczną określa tabela 7. </w:t>
      </w:r>
    </w:p>
    <w:p w14:paraId="4C37FF28" w14:textId="77777777" w:rsidR="00072A61" w:rsidRPr="001667DB" w:rsidRDefault="00955A27" w:rsidP="00072A61">
      <w:pPr>
        <w:spacing w:after="120" w:line="360" w:lineRule="auto"/>
        <w:ind w:left="1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B4490A7"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7. Wartości dopuszczalne przy odbiorze warstwy ścieralnej metodą profilometryczną </w:t>
      </w:r>
    </w:p>
    <w:tbl>
      <w:tblPr>
        <w:tblW w:w="9781" w:type="dxa"/>
        <w:tblInd w:w="163" w:type="dxa"/>
        <w:tblCellMar>
          <w:top w:w="54" w:type="dxa"/>
          <w:left w:w="163" w:type="dxa"/>
          <w:right w:w="95" w:type="dxa"/>
        </w:tblCellMar>
        <w:tblLook w:val="04A0" w:firstRow="1" w:lastRow="0" w:firstColumn="1" w:lastColumn="0" w:noHBand="0" w:noVBand="1"/>
      </w:tblPr>
      <w:tblGrid>
        <w:gridCol w:w="832"/>
        <w:gridCol w:w="5278"/>
        <w:gridCol w:w="1695"/>
        <w:gridCol w:w="1976"/>
      </w:tblGrid>
      <w:tr w:rsidR="00955A27" w:rsidRPr="001667DB" w14:paraId="4EAF2D0D" w14:textId="77777777" w:rsidTr="001B4B8F">
        <w:trPr>
          <w:trHeight w:val="20"/>
        </w:trPr>
        <w:tc>
          <w:tcPr>
            <w:tcW w:w="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06E1875"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53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AAD066A"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Element nawierzchni </w:t>
            </w:r>
          </w:p>
        </w:tc>
        <w:tc>
          <w:tcPr>
            <w:tcW w:w="3685" w:type="dxa"/>
            <w:gridSpan w:val="2"/>
            <w:tcBorders>
              <w:top w:val="single" w:sz="4" w:space="0" w:color="000000"/>
              <w:left w:val="single" w:sz="4" w:space="0" w:color="000000"/>
              <w:bottom w:val="single" w:sz="4" w:space="0" w:color="000000"/>
              <w:right w:val="single" w:sz="4" w:space="0" w:color="000000"/>
            </w:tcBorders>
            <w:shd w:val="clear" w:color="auto" w:fill="auto"/>
          </w:tcPr>
          <w:p w14:paraId="2ADBD60B" w14:textId="77777777" w:rsidR="00955A27" w:rsidRPr="001667DB" w:rsidRDefault="00955A27" w:rsidP="00955A27">
            <w:pPr>
              <w:spacing w:after="120" w:line="360" w:lineRule="auto"/>
              <w:ind w:firstLine="17"/>
              <w:jc w:val="center"/>
              <w:rPr>
                <w:rFonts w:ascii="Times New Roman" w:hAnsi="Times New Roman" w:cs="Times New Roman"/>
                <w:color w:val="000000" w:themeColor="text1"/>
              </w:rPr>
            </w:pPr>
            <w:r w:rsidRPr="001667DB">
              <w:rPr>
                <w:rFonts w:ascii="Times New Roman" w:hAnsi="Times New Roman" w:cs="Times New Roman"/>
                <w:color w:val="000000" w:themeColor="text1"/>
              </w:rPr>
              <w:t>Dopuszczalne odbiorcze wartości wskaźników dla zadanego zakresu długości odcinka drogi [mm/m]</w:t>
            </w:r>
          </w:p>
        </w:tc>
      </w:tr>
      <w:tr w:rsidR="00955A27" w:rsidRPr="001667DB" w14:paraId="6AFAD114" w14:textId="77777777" w:rsidTr="001B4B8F">
        <w:trPr>
          <w:trHeight w:val="20"/>
        </w:trPr>
        <w:tc>
          <w:tcPr>
            <w:tcW w:w="787" w:type="dxa"/>
            <w:vMerge/>
            <w:tcBorders>
              <w:top w:val="nil"/>
              <w:left w:val="single" w:sz="4" w:space="0" w:color="000000"/>
              <w:bottom w:val="single" w:sz="4" w:space="0" w:color="000000"/>
              <w:right w:val="single" w:sz="4" w:space="0" w:color="000000"/>
            </w:tcBorders>
            <w:shd w:val="clear" w:color="auto" w:fill="auto"/>
          </w:tcPr>
          <w:p w14:paraId="3160296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309" w:type="dxa"/>
            <w:vMerge/>
            <w:tcBorders>
              <w:top w:val="nil"/>
              <w:left w:val="single" w:sz="4" w:space="0" w:color="000000"/>
              <w:bottom w:val="single" w:sz="4" w:space="0" w:color="000000"/>
              <w:right w:val="single" w:sz="4" w:space="0" w:color="000000"/>
            </w:tcBorders>
            <w:shd w:val="clear" w:color="auto" w:fill="auto"/>
          </w:tcPr>
          <w:p w14:paraId="51207063"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484735C" w14:textId="77777777" w:rsidR="00955A27" w:rsidRPr="001667DB" w:rsidRDefault="00955A27" w:rsidP="00955A27">
            <w:pPr>
              <w:spacing w:after="120" w:line="360" w:lineRule="auto"/>
              <w:ind w:right="6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IRIśr* </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484A71C1"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IRImax </w:t>
            </w:r>
          </w:p>
        </w:tc>
      </w:tr>
      <w:tr w:rsidR="00955A27" w:rsidRPr="001667DB" w14:paraId="61A4386F" w14:textId="77777777" w:rsidTr="001B4B8F">
        <w:trPr>
          <w:trHeight w:val="20"/>
        </w:trPr>
        <w:tc>
          <w:tcPr>
            <w:tcW w:w="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33CF8C"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S</w:t>
            </w:r>
          </w:p>
        </w:tc>
        <w:tc>
          <w:tcPr>
            <w:tcW w:w="5309" w:type="dxa"/>
            <w:tcBorders>
              <w:top w:val="single" w:sz="4" w:space="0" w:color="000000"/>
              <w:left w:val="single" w:sz="4" w:space="0" w:color="000000"/>
              <w:bottom w:val="single" w:sz="4" w:space="0" w:color="000000"/>
              <w:right w:val="single" w:sz="4" w:space="0" w:color="000000"/>
            </w:tcBorders>
            <w:shd w:val="clear" w:color="auto" w:fill="auto"/>
          </w:tcPr>
          <w:p w14:paraId="65ADFB42" w14:textId="77777777" w:rsidR="00955A27" w:rsidRPr="001667DB" w:rsidRDefault="00955A27" w:rsidP="00955A27">
            <w:pPr>
              <w:spacing w:after="120" w:line="360" w:lineRule="auto"/>
              <w:ind w:firstLine="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awaryjne, dodatkowe, włączenia i wyłączenia, jezdnie łącznic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052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1,1 </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C1591"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2,4 </w:t>
            </w:r>
          </w:p>
        </w:tc>
      </w:tr>
      <w:tr w:rsidR="00955A27" w:rsidRPr="001667DB" w14:paraId="44FAA18F" w14:textId="77777777" w:rsidTr="001B4B8F">
        <w:trPr>
          <w:trHeight w:val="20"/>
        </w:trPr>
        <w:tc>
          <w:tcPr>
            <w:tcW w:w="787" w:type="dxa"/>
            <w:vMerge/>
            <w:tcBorders>
              <w:top w:val="nil"/>
              <w:left w:val="single" w:sz="4" w:space="0" w:color="000000"/>
              <w:bottom w:val="nil"/>
              <w:right w:val="single" w:sz="4" w:space="0" w:color="000000"/>
            </w:tcBorders>
            <w:shd w:val="clear" w:color="auto" w:fill="auto"/>
          </w:tcPr>
          <w:p w14:paraId="7415F594"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309" w:type="dxa"/>
            <w:tcBorders>
              <w:top w:val="single" w:sz="4" w:space="0" w:color="000000"/>
              <w:left w:val="single" w:sz="4" w:space="0" w:color="000000"/>
              <w:right w:val="single" w:sz="4" w:space="0" w:color="000000"/>
            </w:tcBorders>
            <w:shd w:val="clear" w:color="auto" w:fill="auto"/>
            <w:vAlign w:val="center"/>
          </w:tcPr>
          <w:p w14:paraId="097B2741"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Utwardzone pobocza</w:t>
            </w:r>
          </w:p>
        </w:tc>
        <w:tc>
          <w:tcPr>
            <w:tcW w:w="1701" w:type="dxa"/>
            <w:tcBorders>
              <w:top w:val="single" w:sz="4" w:space="0" w:color="000000"/>
              <w:left w:val="single" w:sz="4" w:space="0" w:color="000000"/>
              <w:right w:val="single" w:sz="4" w:space="0" w:color="000000"/>
            </w:tcBorders>
            <w:shd w:val="clear" w:color="auto" w:fill="auto"/>
            <w:vAlign w:val="center"/>
          </w:tcPr>
          <w:p w14:paraId="549D9F16"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1984" w:type="dxa"/>
            <w:tcBorders>
              <w:top w:val="single" w:sz="4" w:space="0" w:color="000000"/>
              <w:left w:val="single" w:sz="4" w:space="0" w:color="000000"/>
              <w:right w:val="single" w:sz="4" w:space="0" w:color="000000"/>
            </w:tcBorders>
            <w:shd w:val="clear" w:color="auto" w:fill="auto"/>
            <w:vAlign w:val="center"/>
          </w:tcPr>
          <w:p w14:paraId="3DECEADB"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2,4</w:t>
            </w:r>
          </w:p>
        </w:tc>
      </w:tr>
      <w:tr w:rsidR="00955A27" w:rsidRPr="001667DB" w14:paraId="62FC1937" w14:textId="77777777" w:rsidTr="001B4B8F">
        <w:trPr>
          <w:trHeight w:val="20"/>
        </w:trPr>
        <w:tc>
          <w:tcPr>
            <w:tcW w:w="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E14C829"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 </w:t>
            </w:r>
          </w:p>
        </w:tc>
        <w:tc>
          <w:tcPr>
            <w:tcW w:w="5309" w:type="dxa"/>
            <w:tcBorders>
              <w:top w:val="single" w:sz="4" w:space="0" w:color="000000"/>
              <w:left w:val="single" w:sz="4" w:space="0" w:color="000000"/>
              <w:bottom w:val="single" w:sz="4" w:space="0" w:color="000000"/>
              <w:right w:val="single" w:sz="4" w:space="0" w:color="000000"/>
            </w:tcBorders>
            <w:shd w:val="clear" w:color="auto" w:fill="auto"/>
          </w:tcPr>
          <w:p w14:paraId="5E4FA53C" w14:textId="77777777" w:rsidR="00955A27" w:rsidRPr="001667DB" w:rsidRDefault="00955A27" w:rsidP="00955A27">
            <w:pPr>
              <w:spacing w:after="120" w:line="360" w:lineRule="auto"/>
              <w:ind w:left="14" w:right="8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dodatkowe, włączenia i wyłączenia, postojowe, jezdnie łącznic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2CE8E"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1,5 </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AFCAC"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3,4 </w:t>
            </w:r>
          </w:p>
        </w:tc>
      </w:tr>
      <w:tr w:rsidR="00955A27" w:rsidRPr="001667DB" w14:paraId="237820A3" w14:textId="77777777" w:rsidTr="001B4B8F">
        <w:trPr>
          <w:trHeight w:val="20"/>
        </w:trPr>
        <w:tc>
          <w:tcPr>
            <w:tcW w:w="787" w:type="dxa"/>
            <w:vMerge/>
            <w:tcBorders>
              <w:top w:val="nil"/>
              <w:left w:val="single" w:sz="4" w:space="0" w:color="000000"/>
              <w:bottom w:val="single" w:sz="4" w:space="0" w:color="000000"/>
              <w:right w:val="single" w:sz="4" w:space="0" w:color="000000"/>
            </w:tcBorders>
            <w:shd w:val="clear" w:color="auto" w:fill="auto"/>
          </w:tcPr>
          <w:p w14:paraId="7C603ECD"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5309" w:type="dxa"/>
            <w:tcBorders>
              <w:top w:val="single" w:sz="4" w:space="0" w:color="000000"/>
              <w:left w:val="single" w:sz="4" w:space="0" w:color="000000"/>
              <w:bottom w:val="single" w:sz="4" w:space="0" w:color="000000"/>
              <w:right w:val="single" w:sz="4" w:space="0" w:color="000000"/>
            </w:tcBorders>
            <w:shd w:val="clear" w:color="auto" w:fill="auto"/>
          </w:tcPr>
          <w:p w14:paraId="135626ED" w14:textId="77777777" w:rsidR="00955A27" w:rsidRPr="001667DB" w:rsidRDefault="00955A27" w:rsidP="00955A27">
            <w:pPr>
              <w:spacing w:after="120" w:line="360" w:lineRule="auto"/>
              <w:ind w:right="7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Utwardzone pobocza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B200DAA" w14:textId="77777777" w:rsidR="00955A27" w:rsidRPr="001667DB" w:rsidRDefault="00955A27" w:rsidP="00955A27">
            <w:pPr>
              <w:spacing w:after="120" w:line="360" w:lineRule="auto"/>
              <w:ind w:right="6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1,7 </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47B91C1B" w14:textId="77777777" w:rsidR="00955A27" w:rsidRPr="001667DB" w:rsidRDefault="00955A27" w:rsidP="00955A27">
            <w:pPr>
              <w:spacing w:after="120" w:line="360" w:lineRule="auto"/>
              <w:ind w:right="66"/>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3,4 </w:t>
            </w:r>
          </w:p>
        </w:tc>
      </w:tr>
    </w:tbl>
    <w:p w14:paraId="5288C51C"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 w przypadku: </w:t>
      </w:r>
    </w:p>
    <w:p w14:paraId="63FEB057" w14:textId="77777777" w:rsidR="00955A27" w:rsidRPr="001667DB" w:rsidRDefault="00955A27" w:rsidP="00904E6C">
      <w:pPr>
        <w:numPr>
          <w:ilvl w:val="0"/>
          <w:numId w:val="207"/>
        </w:num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odbioru odcinków warstwy nawierzchni o całkowitej długości mniejszej niż 500 m,</w:t>
      </w:r>
    </w:p>
    <w:p w14:paraId="3CBFEC65" w14:textId="77777777" w:rsidR="00955A27" w:rsidRPr="001667DB" w:rsidRDefault="00955A27" w:rsidP="00904E6C">
      <w:pPr>
        <w:numPr>
          <w:ilvl w:val="0"/>
          <w:numId w:val="207"/>
        </w:numPr>
        <w:spacing w:after="120" w:line="360" w:lineRule="auto"/>
        <w:ind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odbioru robót polegających na ułożeniu na istniejącej nawierzchni jedynie warstwy ścieralnej (niezależnie od długości odcinka robót), dopuszczalną wartość IRIśr wg tabeli należy zwiększyć o 0,2 mm/m. </w:t>
      </w:r>
    </w:p>
    <w:p w14:paraId="29DCC306" w14:textId="77777777" w:rsidR="00955A27" w:rsidRPr="001667DB" w:rsidRDefault="00955A27" w:rsidP="00A9424D">
      <w:pPr>
        <w:spacing w:after="120" w:line="360" w:lineRule="auto"/>
        <w:ind w:left="1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153278FA"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odbioru odcinków warstwy nawierzchni, na których występują dylatacje mostowe, dopuszcza się weryfikację równości podłużnej w miejscu dylatacji z użyciem łaty (o długości 4 m) i klina. Maksymalna wielkość zmierzonego prześwitu nie może przekroczyć wartości określonych w tabeli 8: </w:t>
      </w:r>
    </w:p>
    <w:p w14:paraId="4C57C059" w14:textId="77777777" w:rsidR="00955A27" w:rsidRPr="001667DB" w:rsidRDefault="00955A27" w:rsidP="00A9424D">
      <w:pPr>
        <w:spacing w:after="120" w:line="360" w:lineRule="auto"/>
        <w:ind w:left="1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Tabela 8 Dopuszczalne odbiorcze wartości odchyleń równości podłużnej na odcinkach gdzie występują dylatacje</w:t>
      </w:r>
    </w:p>
    <w:tbl>
      <w:tblPr>
        <w:tblW w:w="9798" w:type="dxa"/>
        <w:tblInd w:w="98" w:type="dxa"/>
        <w:tblCellMar>
          <w:top w:w="59" w:type="dxa"/>
          <w:left w:w="115" w:type="dxa"/>
          <w:right w:w="115" w:type="dxa"/>
        </w:tblCellMar>
        <w:tblLook w:val="04A0" w:firstRow="1" w:lastRow="0" w:firstColumn="1" w:lastColumn="0" w:noHBand="0" w:noVBand="1"/>
      </w:tblPr>
      <w:tblGrid>
        <w:gridCol w:w="1726"/>
        <w:gridCol w:w="8072"/>
      </w:tblGrid>
      <w:tr w:rsidR="00955A27" w:rsidRPr="001667DB" w14:paraId="429341D0" w14:textId="77777777" w:rsidTr="001B4B8F">
        <w:trPr>
          <w:trHeight w:val="505"/>
        </w:trPr>
        <w:tc>
          <w:tcPr>
            <w:tcW w:w="1726" w:type="dxa"/>
            <w:tcBorders>
              <w:top w:val="single" w:sz="12" w:space="0" w:color="000000"/>
              <w:left w:val="single" w:sz="12" w:space="0" w:color="000000"/>
              <w:bottom w:val="single" w:sz="8" w:space="0" w:color="000000"/>
              <w:right w:val="single" w:sz="8" w:space="0" w:color="000000"/>
            </w:tcBorders>
            <w:shd w:val="clear" w:color="auto" w:fill="auto"/>
          </w:tcPr>
          <w:p w14:paraId="5D7AF2A4" w14:textId="77777777" w:rsidR="00955A27" w:rsidRPr="001667DB" w:rsidRDefault="00955A27" w:rsidP="00955A27">
            <w:pPr>
              <w:spacing w:after="120" w:line="360" w:lineRule="auto"/>
              <w:ind w:right="4"/>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8072" w:type="dxa"/>
            <w:tcBorders>
              <w:top w:val="single" w:sz="12" w:space="0" w:color="000000"/>
              <w:left w:val="single" w:sz="8" w:space="0" w:color="000000"/>
              <w:bottom w:val="single" w:sz="8" w:space="0" w:color="000000"/>
              <w:right w:val="single" w:sz="12" w:space="0" w:color="000000"/>
            </w:tcBorders>
            <w:shd w:val="clear" w:color="auto" w:fill="auto"/>
          </w:tcPr>
          <w:p w14:paraId="50BB756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odbiorcze wartości odchyleń równości podłużnej warstwy nawierzchniowej z betonu cementowego dla odcinków zdylatacjami [mm] </w:t>
            </w:r>
          </w:p>
        </w:tc>
      </w:tr>
      <w:tr w:rsidR="00955A27" w:rsidRPr="001667DB" w14:paraId="6FA33DA6" w14:textId="77777777" w:rsidTr="001B4B8F">
        <w:trPr>
          <w:trHeight w:val="266"/>
        </w:trPr>
        <w:tc>
          <w:tcPr>
            <w:tcW w:w="1726" w:type="dxa"/>
            <w:tcBorders>
              <w:top w:val="single" w:sz="8" w:space="0" w:color="000000"/>
              <w:left w:val="single" w:sz="12" w:space="0" w:color="000000"/>
              <w:bottom w:val="single" w:sz="12" w:space="0" w:color="000000"/>
              <w:right w:val="single" w:sz="8" w:space="0" w:color="000000"/>
            </w:tcBorders>
            <w:shd w:val="clear" w:color="auto" w:fill="auto"/>
          </w:tcPr>
          <w:p w14:paraId="2650A327" w14:textId="77777777" w:rsidR="00955A27" w:rsidRPr="001667DB" w:rsidRDefault="00955A27" w:rsidP="00955A27">
            <w:pPr>
              <w:spacing w:after="120" w:line="360" w:lineRule="auto"/>
              <w:ind w:right="2"/>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G </w:t>
            </w:r>
          </w:p>
        </w:tc>
        <w:tc>
          <w:tcPr>
            <w:tcW w:w="8072" w:type="dxa"/>
            <w:tcBorders>
              <w:top w:val="single" w:sz="8" w:space="0" w:color="000000"/>
              <w:left w:val="single" w:sz="8" w:space="0" w:color="000000"/>
              <w:bottom w:val="single" w:sz="12" w:space="0" w:color="000000"/>
              <w:right w:val="single" w:sz="12" w:space="0" w:color="000000"/>
            </w:tcBorders>
            <w:shd w:val="clear" w:color="auto" w:fill="auto"/>
          </w:tcPr>
          <w:p w14:paraId="7E8FD9CB" w14:textId="77777777" w:rsidR="00955A27" w:rsidRPr="001667DB" w:rsidRDefault="00955A27" w:rsidP="00955A27">
            <w:pPr>
              <w:spacing w:after="120" w:line="360" w:lineRule="auto"/>
              <w:ind w:right="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r>
    </w:tbl>
    <w:p w14:paraId="648101B6" w14:textId="77777777" w:rsidR="00955A27" w:rsidRPr="001667DB" w:rsidRDefault="00955A27" w:rsidP="00955A27">
      <w:pPr>
        <w:spacing w:after="120" w:line="360" w:lineRule="auto"/>
        <w:ind w:left="12"/>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442B9F6C" w14:textId="77777777" w:rsidR="00955A27" w:rsidRPr="001667DB" w:rsidRDefault="00955A27" w:rsidP="00A9424D">
      <w:pPr>
        <w:pStyle w:val="Nagwek3"/>
      </w:pPr>
      <w:r w:rsidRPr="001667DB">
        <w:t>B.</w:t>
      </w:r>
      <w:r w:rsidRPr="001667DB">
        <w:rPr>
          <w:rFonts w:eastAsia="Arial"/>
        </w:rPr>
        <w:t xml:space="preserve"> </w:t>
      </w:r>
      <w:r w:rsidRPr="001667DB">
        <w:t xml:space="preserve">Pomiar równości poprzecznej warstwy ścieralnej </w:t>
      </w:r>
    </w:p>
    <w:p w14:paraId="588FD92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Do oceny równości poprzecznej warstw nawierzchni dróg klasy S oraz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w:t>
      </w:r>
    </w:p>
    <w:p w14:paraId="218BCFF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Efektywna szerokość pomiarowa jest równa szerokości mierzonego pasa (elementu) nawierzchni z tolerancją ±15%. Wartość odchylenia równości poprzecznej należy wyznaczać z krokiem co 1 m, natomiast ocenie podlega wartość średnia z kolejnych 5 metrów. </w:t>
      </w:r>
    </w:p>
    <w:p w14:paraId="0BB531A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 miejscach niedostępnych dla profilografu pomiar równości porzecznej warstwy ścieralnej nawierzchni należy wykonać z użyciem łaty i klina. Długość łaty w pomiarze równości poprzecznej powinna wynosić 2 m, Pomiar powinien być wykonany nie rzadziej niż co 5 m. </w:t>
      </w:r>
    </w:p>
    <w:p w14:paraId="413EE37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wartości odchyleń zostały podane w tabeli 10. </w:t>
      </w:r>
    </w:p>
    <w:p w14:paraId="24A8C8C9"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p>
    <w:p w14:paraId="7A2B933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10. Dopuszczalne wartości odchyleń dla warstwy ścieralnej  </w:t>
      </w:r>
    </w:p>
    <w:tbl>
      <w:tblPr>
        <w:tblW w:w="9771" w:type="dxa"/>
        <w:tblInd w:w="125" w:type="dxa"/>
        <w:tblCellMar>
          <w:left w:w="115" w:type="dxa"/>
          <w:right w:w="40" w:type="dxa"/>
        </w:tblCellMar>
        <w:tblLook w:val="04A0" w:firstRow="1" w:lastRow="0" w:firstColumn="1" w:lastColumn="0" w:noHBand="0" w:noVBand="1"/>
      </w:tblPr>
      <w:tblGrid>
        <w:gridCol w:w="1266"/>
        <w:gridCol w:w="4961"/>
        <w:gridCol w:w="3544"/>
      </w:tblGrid>
      <w:tr w:rsidR="00955A27" w:rsidRPr="001667DB" w14:paraId="5ED4E905" w14:textId="77777777" w:rsidTr="001B4B8F">
        <w:trPr>
          <w:trHeight w:val="736"/>
        </w:trPr>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BC121" w14:textId="77777777" w:rsidR="00955A27" w:rsidRPr="001667DB" w:rsidRDefault="00955A27" w:rsidP="00955A27">
            <w:pPr>
              <w:spacing w:after="120" w:line="360" w:lineRule="auto"/>
              <w:ind w:right="7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4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CFD81" w14:textId="77777777" w:rsidR="00955A27" w:rsidRPr="001667DB" w:rsidRDefault="00955A27" w:rsidP="00955A27">
            <w:pPr>
              <w:spacing w:after="120" w:line="360" w:lineRule="auto"/>
              <w:ind w:right="73"/>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Element nawierzchni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63B1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wartości odchyleń równości poprzecznej warstwy ścieralnej [mm] </w:t>
            </w:r>
          </w:p>
        </w:tc>
      </w:tr>
      <w:tr w:rsidR="00955A27" w:rsidRPr="001667DB" w14:paraId="1A0B7290" w14:textId="77777777" w:rsidTr="001B4B8F">
        <w:trPr>
          <w:trHeight w:val="287"/>
        </w:trPr>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C4999" w14:textId="77777777" w:rsidR="00955A27" w:rsidRPr="001667DB" w:rsidRDefault="00955A27" w:rsidP="00955A27">
            <w:pPr>
              <w:spacing w:after="120" w:line="360" w:lineRule="auto"/>
              <w:ind w:right="81"/>
              <w:jc w:val="center"/>
              <w:rPr>
                <w:rFonts w:ascii="Times New Roman" w:hAnsi="Times New Roman" w:cs="Times New Roman"/>
                <w:color w:val="000000" w:themeColor="text1"/>
              </w:rPr>
            </w:pPr>
            <w:r w:rsidRPr="001667DB">
              <w:rPr>
                <w:rFonts w:ascii="Times New Roman" w:hAnsi="Times New Roman" w:cs="Times New Roman"/>
                <w:color w:val="000000" w:themeColor="text1"/>
              </w:rPr>
              <w:t>G</w:t>
            </w:r>
          </w:p>
        </w:tc>
        <w:tc>
          <w:tcPr>
            <w:tcW w:w="4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031D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Pasy ruchu zasadnicze, dodatkowe, włączenia i wyłączenia, postojowe, jezdnie łącznic, utwardzone pobocza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42AD2" w14:textId="77777777" w:rsidR="00955A27" w:rsidRPr="001667DB" w:rsidRDefault="00955A27" w:rsidP="00955A27">
            <w:pPr>
              <w:spacing w:after="120" w:line="360" w:lineRule="auto"/>
              <w:ind w:right="7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w:t>
            </w:r>
          </w:p>
        </w:tc>
      </w:tr>
    </w:tbl>
    <w:p w14:paraId="4436C199" w14:textId="77777777" w:rsidR="00955A27" w:rsidRPr="001667DB" w:rsidRDefault="00955A27" w:rsidP="00A9424D">
      <w:pPr>
        <w:spacing w:after="120" w:line="360" w:lineRule="auto"/>
        <w:ind w:left="12"/>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p>
    <w:p w14:paraId="03ADE8C5" w14:textId="77777777" w:rsidR="00955A27" w:rsidRPr="001667DB" w:rsidRDefault="00955A27" w:rsidP="00A9424D">
      <w:pPr>
        <w:pStyle w:val="Nagwek3"/>
      </w:pPr>
      <w:r w:rsidRPr="001667DB">
        <w:t xml:space="preserve">Pomiar równości poprzecznej warstw nawierzchni z użyciem łaty i klina </w:t>
      </w:r>
    </w:p>
    <w:p w14:paraId="41C78D6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Pomiar równości poprzecznej warstw nawierzchni z użyciem łaty (o długości 2 m) i klina należy wykonywać jedynie w miejscach niedostępnych dla sprzętu pomiarowego takich jak: stanowiska postojowe, zatoki autobusowe itp. Pomiary równości poprzecznej z wykorzystaniem łaty i klina należy wykonywać z krokiem nie rzadziej niż co 5 m. W czasie pomiaru łata powinna leżeć prostopadle do osi drogi i w płaszczyźnie prostopadłej do powierzchni badanej warstwy. </w:t>
      </w:r>
    </w:p>
    <w:p w14:paraId="1F889F5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Klin należy podkładać pod łatę w miejscu, w którym prześwit jest największy (największe odchylenie równości). Wielkość prześwitu jest równa najmniejszej liczbie widocznej na klinie podłożonym pod łatę. Zasady oceny wyników podano w tabeli 9. </w:t>
      </w:r>
    </w:p>
    <w:p w14:paraId="57553D78"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6.8.4.</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Spadki poprzeczne </w:t>
      </w:r>
    </w:p>
    <w:p w14:paraId="7C240A45"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Sprawdzenie polega na przyłożeniu łaty i pomiar prześwitu klinem lub pomiar profilografem laserowym. Spadki poprzeczne warstwy ścieralnej na odcinkach prostych i na łukach powinny być zgodne z spadkami poprzecznymi z tolerancją ± 0,5%.  </w:t>
      </w:r>
    </w:p>
    <w:p w14:paraId="0DAAE591"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 się, aby co najmniej 95% wykonanych pomiarów nie przekraczało przedziału dopuszczalnych odchyleń. Dla 100% wykonanych pomiarów spadki poprzeczne warstwy ścieralnej na odcinkach prostych i na łukach powinny być zgodne z spadkami poprzecznymi z tolerancją ± 0,7%. Spadek poprzeczny musi być wystarczający do zapewnienia sprawnego spływu wody. </w:t>
      </w:r>
    </w:p>
    <w:p w14:paraId="70359FC0"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6.8.5.</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Ukształtowanie osi w planie </w:t>
      </w:r>
    </w:p>
    <w:p w14:paraId="543E6BCE"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Oś warstwy w planie powinna być usytuowana zgodnie z osią projektowaną z tolerancją ± 5 cm. Wymaga się, aby co najmniej 95% wykonanych pomiarów nie przekraczało przedziału dopuszczalnych </w:t>
      </w:r>
      <w:r w:rsidRPr="001667DB">
        <w:rPr>
          <w:rFonts w:ascii="Times New Roman" w:hAnsi="Times New Roman" w:cs="Times New Roman"/>
          <w:color w:val="000000" w:themeColor="text1"/>
        </w:rPr>
        <w:lastRenderedPageBreak/>
        <w:t xml:space="preserve">odchyleń. 100% wykonanych pomiarów ukształtowania osi w planie powinno być zgodne z osią projektowaną z tolerancją ± 7 cm. </w:t>
      </w:r>
    </w:p>
    <w:p w14:paraId="79BA9CC4"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6.8.6.</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Rzędne wysokościowe nawierzchni </w:t>
      </w:r>
    </w:p>
    <w:p w14:paraId="071D10BB"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Rzędne wysokościowe warstwy ścieralnej powinny być mierzone w przekrojach co 10m w osi i na krawędziach każdej jezdni. Przed przystąpieniem do robót Wykonawca przedstawi schemat punktów pomiarowych do akceptacji. Różnice pomiędzy rzędnymi wysokościowymi warstwy a rzędnymi projektowanymi nie powinny przekraczać ± 1 cm.  </w:t>
      </w:r>
    </w:p>
    <w:p w14:paraId="01177D6D"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Wymaga się, aby co najmniej 95% wykonanych pomiarów nie przekraczało przedziału dopuszczalnych odchyleń. Dla 100% wykonanych pomiarów różnice pomiędzy rzędnymi wysokościowymi warstwy ścieralnej a rzędnymi projektowanymi nie mogą przekraczać ± 1,5 cm. </w:t>
      </w:r>
    </w:p>
    <w:p w14:paraId="7D336781"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6.8.7.</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Złącza podłużne i poprzeczne </w:t>
      </w:r>
    </w:p>
    <w:p w14:paraId="3816C6D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w nawierzchni powinny być wykonane w linii prostej, prostopadle do osi drogi.  </w:t>
      </w:r>
    </w:p>
    <w:p w14:paraId="5CD5DDD2"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konstrukcji wielowarstwowej: </w:t>
      </w:r>
    </w:p>
    <w:p w14:paraId="13ABAD57" w14:textId="77777777" w:rsidR="00955A27" w:rsidRPr="001667DB" w:rsidRDefault="00955A27" w:rsidP="00904E6C">
      <w:pPr>
        <w:numPr>
          <w:ilvl w:val="0"/>
          <w:numId w:val="196"/>
        </w:numPr>
        <w:spacing w:after="120" w:line="360" w:lineRule="auto"/>
        <w:ind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poprzeczne powinny być przesunięte względem siebie co najmniej o 3 m, </w:t>
      </w:r>
    </w:p>
    <w:p w14:paraId="3C25933C" w14:textId="77777777" w:rsidR="00955A27" w:rsidRPr="001667DB" w:rsidRDefault="00955A27" w:rsidP="00904E6C">
      <w:pPr>
        <w:numPr>
          <w:ilvl w:val="0"/>
          <w:numId w:val="196"/>
        </w:numPr>
        <w:spacing w:after="120" w:line="360" w:lineRule="auto"/>
        <w:ind w:right="1" w:hanging="355"/>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złącza podłużne powinny być przesunięte względem siebie w kolejnych warstwach technologicznych o co najmniej o 30 cm w kierunku poprzecznym do osi jezdni.  </w:t>
      </w:r>
    </w:p>
    <w:p w14:paraId="088E3A38"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można lokalizować złącza podłużnego w śladach kół, a także w obszarze poziomego oznakowania jezdni. Złącza powinny być całkowicie związane, a przylegające warstwy powinny być w jednym poziomie. </w:t>
      </w:r>
    </w:p>
    <w:p w14:paraId="535C2C84"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6.8.8.</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Wygląd warstwy </w:t>
      </w:r>
    </w:p>
    <w:p w14:paraId="1224AA4F"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Wygląd warstwy z MMA powinien być jednorodny, bez miejsc „przeasfaltowanych”, porowatych, łuszczących się i spękanych.  </w:t>
      </w:r>
    </w:p>
    <w:p w14:paraId="23A650D3" w14:textId="77777777" w:rsidR="00955A27" w:rsidRPr="001667DB" w:rsidRDefault="00955A27" w:rsidP="00A9424D">
      <w:pPr>
        <w:pStyle w:val="Nagwek4"/>
        <w:spacing w:after="120" w:line="360" w:lineRule="auto"/>
        <w:ind w:left="7"/>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6.8.9.</w:t>
      </w:r>
      <w:r w:rsidRPr="001667DB">
        <w:rPr>
          <w:rFonts w:ascii="Times New Roman" w:eastAsia="Arial" w:hAnsi="Times New Roman" w:cs="Times New Roman"/>
          <w:color w:val="000000" w:themeColor="text1"/>
          <w:sz w:val="22"/>
        </w:rPr>
        <w:t xml:space="preserve"> </w:t>
      </w:r>
      <w:r w:rsidRPr="001667DB">
        <w:rPr>
          <w:rFonts w:ascii="Times New Roman" w:hAnsi="Times New Roman" w:cs="Times New Roman"/>
          <w:color w:val="000000" w:themeColor="text1"/>
          <w:sz w:val="22"/>
        </w:rPr>
        <w:t xml:space="preserve">Właściwości przeciwpoślizgowe </w:t>
      </w:r>
    </w:p>
    <w:p w14:paraId="3E776400" w14:textId="77777777" w:rsidR="00955A27" w:rsidRPr="001667DB" w:rsidRDefault="00955A27" w:rsidP="00A9424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Przy ocenie właściwości przeciwpoślizgowych nawierzchni drogi klasy G i dróg wyższych klas powinien być określony współczynnik tarcia na mokrej nawierzchni przy całkowitym poślizgu opony testowej. Pomiar wykonuje się urządzeniem SRT-3 nie rzadziej niż co 50 m na nawierzchni zwilżanej wodą w ilości 0,5 l/m2, przy 100% poślizgu opony testowej rowkowanej (ribbed tyre) rozmiaru 165 R 15 </w:t>
      </w:r>
      <w:r w:rsidRPr="001667DB">
        <w:rPr>
          <w:rFonts w:ascii="Times New Roman" w:eastAsia="Segoe UI Symbol" w:hAnsi="Times New Roman" w:cs="Times New Roman"/>
          <w:color w:val="000000" w:themeColor="text1"/>
        </w:rPr>
        <w:t>-</w:t>
      </w:r>
      <w:r w:rsidRPr="001667DB">
        <w:rPr>
          <w:rFonts w:ascii="Times New Roman" w:hAnsi="Times New Roman" w:cs="Times New Roman"/>
          <w:color w:val="000000" w:themeColor="text1"/>
        </w:rPr>
        <w:t xml:space="preserve"> zalecanej przez World Road Association PIARC, lub za pomocą innej wiarygodnej metody równoważnej, jeśli dysponuje się sprawdzoną zależnością korelacyjną umożlwiającą przeliczenie wyników pomiarów na wartości uzyskiwane zestawem o pełnej blokadzie koła pozytywnie zaopiniowanej przez Zamawiającego. Pomiary powinny być wykonywane w temperaturze otoczenia od 5ºC do 30ºC, na czystej nawierzchni. Badanie należy wykonać w śladzie koła przed dopuszczeniem nawierzchni do ruchu drogowego oraz powtórnie w okresie od 4 do 8 tygodni od oddania nawierzchni </w:t>
      </w:r>
      <w:r w:rsidRPr="001667DB">
        <w:rPr>
          <w:rFonts w:ascii="Times New Roman" w:hAnsi="Times New Roman" w:cs="Times New Roman"/>
          <w:color w:val="000000" w:themeColor="text1"/>
        </w:rPr>
        <w:lastRenderedPageBreak/>
        <w:t xml:space="preserve">do eksploatacji. Jeżeli warunki atmosferyczne uniemożliwiają wykonanie pomiaru w wymienionym terminie, powinien być on zrealizowany z najmniejszym możliwym opóźnieniem.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Wymagane minimalne parametry miarodajnego współczynnika tarcia nawierzchni określa tabela 11: </w:t>
      </w:r>
    </w:p>
    <w:p w14:paraId="05443A6E" w14:textId="77777777" w:rsidR="00955A27" w:rsidRPr="001667DB" w:rsidRDefault="00955A27" w:rsidP="00955A27">
      <w:pPr>
        <w:spacing w:after="120" w:line="360" w:lineRule="auto"/>
        <w:ind w:left="12"/>
        <w:rPr>
          <w:rFonts w:ascii="Times New Roman" w:hAnsi="Times New Roman" w:cs="Times New Roman"/>
          <w:color w:val="000000" w:themeColor="text1"/>
        </w:rPr>
      </w:pPr>
    </w:p>
    <w:p w14:paraId="25824D0D"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Tabela 11. Minimalne wartości miarodajnego współczynnika tarcia nawierzchni dla konkretnej prędkości zablokowanej opony względem nawierzchni. </w:t>
      </w:r>
    </w:p>
    <w:tbl>
      <w:tblPr>
        <w:tblW w:w="9874" w:type="dxa"/>
        <w:tblInd w:w="17" w:type="dxa"/>
        <w:tblCellMar>
          <w:left w:w="110" w:type="dxa"/>
          <w:right w:w="38" w:type="dxa"/>
        </w:tblCellMar>
        <w:tblLook w:val="04A0" w:firstRow="1" w:lastRow="0" w:firstColumn="1" w:lastColumn="0" w:noHBand="0" w:noVBand="1"/>
      </w:tblPr>
      <w:tblGrid>
        <w:gridCol w:w="660"/>
        <w:gridCol w:w="4282"/>
        <w:gridCol w:w="2381"/>
        <w:gridCol w:w="2551"/>
      </w:tblGrid>
      <w:tr w:rsidR="00955A27" w:rsidRPr="001667DB" w14:paraId="11623155" w14:textId="77777777" w:rsidTr="001B4B8F">
        <w:trPr>
          <w:trHeight w:val="351"/>
        </w:trPr>
        <w:tc>
          <w:tcPr>
            <w:tcW w:w="6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2D2C35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drogi </w:t>
            </w:r>
          </w:p>
        </w:tc>
        <w:tc>
          <w:tcPr>
            <w:tcW w:w="428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A9BBADD"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Element nawierzchni </w:t>
            </w:r>
          </w:p>
        </w:tc>
        <w:tc>
          <w:tcPr>
            <w:tcW w:w="493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35C9238" w14:textId="77777777" w:rsidR="00955A27" w:rsidRPr="001667DB" w:rsidRDefault="00955A27" w:rsidP="00955A27">
            <w:pPr>
              <w:spacing w:after="120" w:line="360" w:lineRule="auto"/>
              <w:ind w:left="-139"/>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Minimalna wartość miarodajnego współczynnika tarcia przy prędkości zablokowanej opony względem nawierzchni </w:t>
            </w:r>
          </w:p>
        </w:tc>
      </w:tr>
      <w:tr w:rsidR="00955A27" w:rsidRPr="001667DB" w14:paraId="5F7A75EC" w14:textId="77777777" w:rsidTr="001B4B8F">
        <w:trPr>
          <w:trHeight w:val="70"/>
        </w:trPr>
        <w:tc>
          <w:tcPr>
            <w:tcW w:w="660" w:type="dxa"/>
            <w:vMerge/>
            <w:tcBorders>
              <w:top w:val="nil"/>
              <w:left w:val="single" w:sz="4" w:space="0" w:color="000000"/>
              <w:bottom w:val="single" w:sz="4" w:space="0" w:color="000000"/>
              <w:right w:val="single" w:sz="4" w:space="0" w:color="000000"/>
            </w:tcBorders>
            <w:shd w:val="clear" w:color="auto" w:fill="auto"/>
          </w:tcPr>
          <w:p w14:paraId="7F0B4C30"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4282" w:type="dxa"/>
            <w:vMerge/>
            <w:tcBorders>
              <w:top w:val="nil"/>
              <w:left w:val="single" w:sz="4" w:space="0" w:color="000000"/>
              <w:bottom w:val="single" w:sz="4" w:space="0" w:color="000000"/>
              <w:right w:val="single" w:sz="4" w:space="0" w:color="000000"/>
            </w:tcBorders>
            <w:shd w:val="clear" w:color="auto" w:fill="auto"/>
          </w:tcPr>
          <w:p w14:paraId="6F76C41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3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ECEAD" w14:textId="77777777" w:rsidR="00955A27" w:rsidRPr="001667DB" w:rsidRDefault="00955A27" w:rsidP="00955A27">
            <w:pPr>
              <w:spacing w:after="120" w:line="360" w:lineRule="auto"/>
              <w:ind w:right="71"/>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30 km/h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B8E99" w14:textId="77777777" w:rsidR="00955A27" w:rsidRPr="001667DB" w:rsidRDefault="00955A27" w:rsidP="00955A27">
            <w:pPr>
              <w:spacing w:after="120" w:line="360" w:lineRule="auto"/>
              <w:ind w:right="75"/>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60 km/h </w:t>
            </w:r>
          </w:p>
        </w:tc>
      </w:tr>
      <w:tr w:rsidR="00955A27" w:rsidRPr="001667DB" w14:paraId="6E15BB10" w14:textId="77777777" w:rsidTr="001B4B8F">
        <w:trPr>
          <w:trHeight w:val="70"/>
        </w:trPr>
        <w:tc>
          <w:tcPr>
            <w:tcW w:w="6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ABFC3" w14:textId="77777777" w:rsidR="00955A27" w:rsidRPr="001667DB" w:rsidRDefault="00955A27" w:rsidP="00955A27">
            <w:pPr>
              <w:spacing w:after="120" w:line="360" w:lineRule="auto"/>
              <w:ind w:left="79"/>
              <w:rPr>
                <w:rFonts w:ascii="Times New Roman" w:hAnsi="Times New Roman" w:cs="Times New Roman"/>
                <w:color w:val="000000" w:themeColor="text1"/>
              </w:rPr>
            </w:pPr>
            <w:r w:rsidRPr="001667DB">
              <w:rPr>
                <w:rFonts w:ascii="Times New Roman" w:hAnsi="Times New Roman" w:cs="Times New Roman"/>
                <w:color w:val="000000" w:themeColor="text1"/>
              </w:rPr>
              <w:t xml:space="preserve">G </w:t>
            </w:r>
          </w:p>
        </w:tc>
        <w:tc>
          <w:tcPr>
            <w:tcW w:w="4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BA4A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Pasy ruchu, pasy dodatkowe, jezdnie łącznic, utwardzone pobocza *</w:t>
            </w:r>
            <w:r w:rsidRPr="001667DB">
              <w:rPr>
                <w:rFonts w:ascii="Times New Roman" w:hAnsi="Times New Roman" w:cs="Times New Roman"/>
                <w:color w:val="000000" w:themeColor="text1"/>
                <w:vertAlign w:val="superscript"/>
              </w:rPr>
              <w:t xml:space="preserve">) </w:t>
            </w:r>
          </w:p>
        </w:tc>
        <w:tc>
          <w:tcPr>
            <w:tcW w:w="23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8B4F1" w14:textId="77777777" w:rsidR="00955A27" w:rsidRPr="001667DB" w:rsidRDefault="00955A27" w:rsidP="00955A27">
            <w:pPr>
              <w:spacing w:after="120" w:line="360" w:lineRule="auto"/>
              <w:ind w:right="68"/>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0,48**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281AD" w14:textId="77777777" w:rsidR="00955A27" w:rsidRPr="001667DB" w:rsidRDefault="00955A27" w:rsidP="00955A27">
            <w:pPr>
              <w:spacing w:after="120" w:line="360" w:lineRule="auto"/>
              <w:ind w:right="77"/>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0,41 </w:t>
            </w:r>
          </w:p>
        </w:tc>
      </w:tr>
    </w:tbl>
    <w:p w14:paraId="52B64042" w14:textId="77777777" w:rsidR="00955A27" w:rsidRPr="001667DB" w:rsidRDefault="00955A27" w:rsidP="00955A27">
      <w:pPr>
        <w:spacing w:after="120" w:line="360" w:lineRule="auto"/>
        <w:ind w:left="7" w:right="-11"/>
        <w:rPr>
          <w:rFonts w:ascii="Times New Roman" w:hAnsi="Times New Roman" w:cs="Times New Roman"/>
          <w:color w:val="000000" w:themeColor="text1"/>
        </w:rPr>
      </w:pPr>
      <w:r w:rsidRPr="001667DB">
        <w:rPr>
          <w:rFonts w:ascii="Times New Roman" w:hAnsi="Times New Roman" w:cs="Times New Roman"/>
          <w:b/>
          <w:i/>
          <w:color w:val="000000" w:themeColor="text1"/>
          <w:vertAlign w:val="superscript"/>
        </w:rPr>
        <w:t>*</w:t>
      </w:r>
      <w:r w:rsidRPr="001667DB">
        <w:rPr>
          <w:rFonts w:ascii="Times New Roman" w:eastAsia="Times New Roman" w:hAnsi="Times New Roman" w:cs="Times New Roman"/>
          <w:i/>
          <w:color w:val="000000" w:themeColor="text1"/>
        </w:rPr>
        <w:t xml:space="preserve">w przypadku pasów awaryjnych/utwardzonych poboczy wykonywanych w jednym ciągu technologicznym, wymagania można uznać za spełnione na podstawie pozytywnych parametrów nawierzchni pasów ruchu, </w:t>
      </w:r>
    </w:p>
    <w:p w14:paraId="34CC1019" w14:textId="77777777" w:rsidR="00955A27" w:rsidRPr="001667DB" w:rsidRDefault="00955A27" w:rsidP="00955A27">
      <w:pPr>
        <w:spacing w:after="120" w:line="360" w:lineRule="auto"/>
        <w:ind w:left="7" w:right="-11"/>
        <w:rPr>
          <w:rFonts w:ascii="Times New Roman" w:hAnsi="Times New Roman" w:cs="Times New Roman"/>
          <w:color w:val="000000" w:themeColor="text1"/>
        </w:rPr>
      </w:pPr>
      <w:r w:rsidRPr="001667DB">
        <w:rPr>
          <w:rFonts w:ascii="Times New Roman" w:hAnsi="Times New Roman" w:cs="Times New Roman"/>
          <w:b/>
          <w:i/>
          <w:color w:val="000000" w:themeColor="text1"/>
          <w:vertAlign w:val="superscript"/>
        </w:rPr>
        <w:t>**</w:t>
      </w:r>
      <w:r w:rsidRPr="001667DB">
        <w:rPr>
          <w:rFonts w:ascii="Times New Roman" w:eastAsia="Times New Roman" w:hAnsi="Times New Roman" w:cs="Times New Roman"/>
          <w:i/>
          <w:color w:val="000000" w:themeColor="text1"/>
        </w:rPr>
        <w:t>wartości wymagane dla odcinków nawierzchni, na których nie można wykonać pomiarów z prędkością 60km/h</w:t>
      </w:r>
      <w:r w:rsidRPr="001667DB">
        <w:rPr>
          <w:rFonts w:ascii="Times New Roman" w:hAnsi="Times New Roman" w:cs="Times New Roman"/>
          <w:i/>
          <w:color w:val="000000" w:themeColor="text1"/>
        </w:rPr>
        <w:t xml:space="preserve">, </w:t>
      </w:r>
    </w:p>
    <w:p w14:paraId="13926D0C" w14:textId="77777777" w:rsidR="00955A27" w:rsidRPr="001667DB" w:rsidRDefault="00955A27" w:rsidP="00955A27">
      <w:pPr>
        <w:spacing w:after="120" w:line="360" w:lineRule="auto"/>
        <w:ind w:left="578"/>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 </w:t>
      </w:r>
    </w:p>
    <w:p w14:paraId="736E104A" w14:textId="77777777" w:rsidR="00955A27" w:rsidRPr="00326BBF" w:rsidRDefault="00955A27" w:rsidP="00955A27">
      <w:pPr>
        <w:pStyle w:val="Nagwek1"/>
        <w:tabs>
          <w:tab w:val="center" w:pos="1470"/>
        </w:tabs>
        <w:spacing w:line="360" w:lineRule="auto"/>
        <w:ind w:left="-3"/>
        <w:rPr>
          <w:color w:val="000000" w:themeColor="text1"/>
          <w:sz w:val="22"/>
          <w:szCs w:val="22"/>
          <w:lang w:val="pl-PL"/>
        </w:rPr>
      </w:pPr>
      <w:bookmarkStart w:id="516" w:name="_Toc55100"/>
      <w:r w:rsidRPr="00326BBF">
        <w:rPr>
          <w:color w:val="000000" w:themeColor="text1"/>
          <w:sz w:val="22"/>
          <w:szCs w:val="22"/>
          <w:lang w:val="pl-PL"/>
        </w:rPr>
        <w:t>7.</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OBMIAR ROBÓT </w:t>
      </w:r>
      <w:bookmarkEnd w:id="516"/>
    </w:p>
    <w:p w14:paraId="6073EA28" w14:textId="77777777" w:rsidR="00955A27" w:rsidRPr="001667DB" w:rsidRDefault="00955A27" w:rsidP="00955A27">
      <w:pPr>
        <w:pStyle w:val="Nagwek2"/>
        <w:spacing w:line="360" w:lineRule="auto"/>
        <w:ind w:left="7"/>
        <w:rPr>
          <w:color w:val="000000" w:themeColor="text1"/>
          <w:sz w:val="22"/>
          <w:szCs w:val="22"/>
        </w:rPr>
      </w:pPr>
      <w:bookmarkStart w:id="517" w:name="_Toc55101"/>
      <w:r w:rsidRPr="001667DB">
        <w:rPr>
          <w:color w:val="000000" w:themeColor="text1"/>
          <w:sz w:val="22"/>
          <w:szCs w:val="22"/>
        </w:rPr>
        <w:t>7.1.</w:t>
      </w:r>
      <w:r w:rsidRPr="001667DB">
        <w:rPr>
          <w:rFonts w:eastAsia="Arial"/>
          <w:color w:val="000000" w:themeColor="text1"/>
          <w:sz w:val="22"/>
          <w:szCs w:val="22"/>
        </w:rPr>
        <w:t xml:space="preserve"> </w:t>
      </w:r>
      <w:r w:rsidRPr="001667DB">
        <w:rPr>
          <w:color w:val="000000" w:themeColor="text1"/>
          <w:sz w:val="22"/>
          <w:szCs w:val="22"/>
        </w:rPr>
        <w:t xml:space="preserve">Ogólne zasady obmiaru robót </w:t>
      </w:r>
      <w:bookmarkEnd w:id="517"/>
    </w:p>
    <w:p w14:paraId="59EAE35C"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zasady obmiaru robót podano w D-M-00.00.00 "Wymagania ogólne". </w:t>
      </w:r>
    </w:p>
    <w:p w14:paraId="232130AB" w14:textId="77777777" w:rsidR="00955A27" w:rsidRPr="001667DB" w:rsidRDefault="00955A27" w:rsidP="00955A27">
      <w:pPr>
        <w:pStyle w:val="Nagwek2"/>
        <w:spacing w:line="360" w:lineRule="auto"/>
        <w:ind w:left="7"/>
        <w:rPr>
          <w:color w:val="000000" w:themeColor="text1"/>
          <w:sz w:val="22"/>
          <w:szCs w:val="22"/>
        </w:rPr>
      </w:pPr>
      <w:bookmarkStart w:id="518" w:name="_Toc55102"/>
      <w:r w:rsidRPr="001667DB">
        <w:rPr>
          <w:color w:val="000000" w:themeColor="text1"/>
          <w:sz w:val="22"/>
          <w:szCs w:val="22"/>
        </w:rPr>
        <w:t>7.2.</w:t>
      </w:r>
      <w:r w:rsidRPr="001667DB">
        <w:rPr>
          <w:rFonts w:eastAsia="Arial"/>
          <w:color w:val="000000" w:themeColor="text1"/>
          <w:sz w:val="22"/>
          <w:szCs w:val="22"/>
        </w:rPr>
        <w:t xml:space="preserve"> </w:t>
      </w:r>
      <w:r w:rsidRPr="001667DB">
        <w:rPr>
          <w:color w:val="000000" w:themeColor="text1"/>
          <w:sz w:val="22"/>
          <w:szCs w:val="22"/>
        </w:rPr>
        <w:t xml:space="preserve">Jednostka obmiarowa </w:t>
      </w:r>
      <w:bookmarkEnd w:id="518"/>
    </w:p>
    <w:p w14:paraId="4B54C758"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warstwy ścieralnej  z mieszanki SMA. </w:t>
      </w:r>
    </w:p>
    <w:p w14:paraId="0E704FCA" w14:textId="77777777" w:rsidR="00955A27" w:rsidRPr="00326BBF" w:rsidRDefault="00955A27" w:rsidP="00ED012D">
      <w:pPr>
        <w:pStyle w:val="Nagwek1"/>
        <w:tabs>
          <w:tab w:val="center" w:pos="1465"/>
        </w:tabs>
        <w:spacing w:line="360" w:lineRule="auto"/>
        <w:ind w:left="-3"/>
        <w:jc w:val="both"/>
        <w:rPr>
          <w:color w:val="000000" w:themeColor="text1"/>
          <w:sz w:val="22"/>
          <w:szCs w:val="22"/>
          <w:lang w:val="pl-PL"/>
        </w:rPr>
      </w:pPr>
      <w:bookmarkStart w:id="519" w:name="_Toc55103"/>
      <w:r w:rsidRPr="00326BBF">
        <w:rPr>
          <w:color w:val="000000" w:themeColor="text1"/>
          <w:sz w:val="22"/>
          <w:szCs w:val="22"/>
          <w:lang w:val="pl-PL"/>
        </w:rPr>
        <w:lastRenderedPageBreak/>
        <w:t>8.</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ODBIÓR ROBÓT </w:t>
      </w:r>
      <w:bookmarkEnd w:id="519"/>
    </w:p>
    <w:p w14:paraId="05B1C38A"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zasady odbioru robót podano w D-M-00.00.00 "Wymagania ogólne". Roboty uznaje się za wykonane zgodnie z Dokumentacją Projektową i STWiORB, jeżeli wszystkie badania i pomiary z zachowaniem tolerancji wg pkt. 6 niniejszej STWiORB dały wyniki pozytywne.</w:t>
      </w:r>
    </w:p>
    <w:p w14:paraId="0FA73FBB"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 odbioru ostatecznego uwzględniane są wyniki badań i pomiarów kontrolnych, badań i pomiarów kontrolnych dodatkowych oraz badań i pomiarów arbitrażowych do wyznaczonych odcinków częściowych. </w:t>
      </w:r>
    </w:p>
    <w:p w14:paraId="1E449E0F" w14:textId="77777777" w:rsidR="00955A27" w:rsidRPr="001667DB" w:rsidRDefault="00955A27" w:rsidP="00ED012D">
      <w:pPr>
        <w:pStyle w:val="Nagwek2"/>
        <w:spacing w:line="360" w:lineRule="auto"/>
        <w:ind w:left="7"/>
        <w:jc w:val="both"/>
        <w:rPr>
          <w:color w:val="000000" w:themeColor="text1"/>
          <w:sz w:val="22"/>
          <w:szCs w:val="22"/>
        </w:rPr>
      </w:pPr>
      <w:bookmarkStart w:id="520" w:name="_Toc55104"/>
      <w:r w:rsidRPr="001667DB">
        <w:rPr>
          <w:color w:val="000000" w:themeColor="text1"/>
          <w:sz w:val="22"/>
          <w:szCs w:val="22"/>
        </w:rPr>
        <w:t>8.1.</w:t>
      </w:r>
      <w:r w:rsidRPr="001667DB">
        <w:rPr>
          <w:rFonts w:eastAsia="Arial"/>
          <w:color w:val="000000" w:themeColor="text1"/>
          <w:sz w:val="22"/>
          <w:szCs w:val="22"/>
        </w:rPr>
        <w:t xml:space="preserve"> </w:t>
      </w:r>
      <w:r w:rsidRPr="001667DB">
        <w:rPr>
          <w:color w:val="000000" w:themeColor="text1"/>
          <w:sz w:val="22"/>
          <w:szCs w:val="22"/>
        </w:rPr>
        <w:t xml:space="preserve">Zasady postępowania z wadliwie wykonanymi robotami </w:t>
      </w:r>
      <w:bookmarkEnd w:id="520"/>
    </w:p>
    <w:p w14:paraId="497076F9"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wystąpią wyniki negatywne dla materiałów i robót (nie spełniające wymagań określonych w STWiORB i opracowanych na ich podstawie STWiORB), to Inżynier/Inspektor Nadzoru/Zamawiający wydaje Wykonawcy polecenie przedstawienia programu naprawczego, chyba że na wniosek jednej ze stron kontraktu zostaną wykonane badania lub pomiary arbitrażowe (zgodnie z pkt. 6.5 niniejszego WWiORB), a ich wyniki będą pozytywne. Wykonawca w programie tym jest zobowiązany dokonać oceny wpływu na trwałość konstrukcji nawierzchni, przedstawić sposób naprawienia wady lub wnioskować  o zredukowanie ceny kontraktowej – naliczenie potrąceń według zasad określonych  w Instrukcji DP-T14 Ocena Jakości na Drogach Krajowych. Część I Roboty Drogowe. W przypadku przekroczenia wartości IRI wskazanych w tabeli 7, a mieszczących się w zakresie wartości podanych w Dz. U. Nr 43 poz. 430 ze zm. (Dz. U. 2016 poz. 124 – Załącznik nr 6) należy zastosować potrącenia zgodnie z poniższym wzorem: </w:t>
      </w:r>
    </w:p>
    <w:p w14:paraId="7A90F9E8"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IRIśr</w:t>
      </w:r>
      <w:r w:rsidRPr="001667DB">
        <w:rPr>
          <w:rFonts w:ascii="Times New Roman" w:hAnsi="Times New Roman" w:cs="Times New Roman"/>
          <w:color w:val="000000" w:themeColor="text1"/>
        </w:rPr>
        <w:t xml:space="preserve"> = (IRI</w:t>
      </w:r>
      <w:r w:rsidRPr="001667DB">
        <w:rPr>
          <w:rFonts w:ascii="Times New Roman" w:hAnsi="Times New Roman" w:cs="Times New Roman"/>
          <w:color w:val="000000" w:themeColor="text1"/>
          <w:vertAlign w:val="subscript"/>
        </w:rPr>
        <w:t>śr</w:t>
      </w:r>
      <w:r w:rsidRPr="001667DB">
        <w:rPr>
          <w:rFonts w:ascii="Times New Roman" w:hAnsi="Times New Roman" w:cs="Times New Roman"/>
          <w:color w:val="000000" w:themeColor="text1"/>
        </w:rPr>
        <w:t>-IRI</w:t>
      </w:r>
      <w:r w:rsidRPr="001667DB">
        <w:rPr>
          <w:rFonts w:ascii="Times New Roman" w:hAnsi="Times New Roman" w:cs="Times New Roman"/>
          <w:color w:val="000000" w:themeColor="text1"/>
          <w:vertAlign w:val="subscript"/>
        </w:rPr>
        <w:t>śr dop</w:t>
      </w:r>
      <w:r w:rsidRPr="001667DB">
        <w:rPr>
          <w:rFonts w:ascii="Times New Roman" w:hAnsi="Times New Roman" w:cs="Times New Roman"/>
          <w:color w:val="000000" w:themeColor="text1"/>
        </w:rPr>
        <w:t>) x K x F</w:t>
      </w:r>
    </w:p>
    <w:p w14:paraId="26D0361D" w14:textId="77777777" w:rsidR="00955A27" w:rsidRPr="001667DB" w:rsidRDefault="00955A27" w:rsidP="00ED012D">
      <w:pPr>
        <w:spacing w:after="120" w:line="360" w:lineRule="auto"/>
        <w:ind w:left="709" w:right="1295"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P</w:t>
      </w:r>
      <w:r w:rsidRPr="001667DB">
        <w:rPr>
          <w:rFonts w:ascii="Times New Roman" w:hAnsi="Times New Roman" w:cs="Times New Roman"/>
          <w:color w:val="000000" w:themeColor="text1"/>
          <w:vertAlign w:val="subscript"/>
        </w:rPr>
        <w:t>IRI śr</w:t>
      </w:r>
      <w:r w:rsidRPr="001667DB">
        <w:rPr>
          <w:rFonts w:ascii="Times New Roman" w:hAnsi="Times New Roman" w:cs="Times New Roman"/>
          <w:color w:val="000000" w:themeColor="text1"/>
        </w:rPr>
        <w:t xml:space="preserve"> – </w:t>
      </w:r>
      <w:r w:rsidRPr="001667DB">
        <w:rPr>
          <w:rFonts w:ascii="Times New Roman" w:hAnsi="Times New Roman" w:cs="Times New Roman"/>
          <w:color w:val="000000" w:themeColor="text1"/>
        </w:rPr>
        <w:tab/>
        <w:t>potrącenie za przekroczenie dopuszczalnej wartości średniej IRI</w:t>
      </w:r>
      <w:r w:rsidRPr="001667DB">
        <w:rPr>
          <w:rFonts w:ascii="Times New Roman" w:hAnsi="Times New Roman" w:cs="Times New Roman"/>
          <w:color w:val="000000" w:themeColor="text1"/>
          <w:vertAlign w:val="subscript"/>
        </w:rPr>
        <w:t>śr</w:t>
      </w:r>
      <w:r w:rsidRPr="001667DB">
        <w:rPr>
          <w:rFonts w:ascii="Times New Roman" w:hAnsi="Times New Roman" w:cs="Times New Roman"/>
          <w:color w:val="000000" w:themeColor="text1"/>
        </w:rPr>
        <w:t xml:space="preserve"> na odcinkach 1000 m</w:t>
      </w:r>
    </w:p>
    <w:p w14:paraId="1CB8C1B1" w14:textId="77777777" w:rsidR="00955A27" w:rsidRPr="001667DB" w:rsidRDefault="00955A27" w:rsidP="00ED012D">
      <w:pPr>
        <w:spacing w:after="120" w:line="360" w:lineRule="auto"/>
        <w:ind w:left="709" w:right="1"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IRI</w:t>
      </w:r>
      <w:r w:rsidRPr="001667DB">
        <w:rPr>
          <w:rFonts w:ascii="Times New Roman" w:hAnsi="Times New Roman" w:cs="Times New Roman"/>
          <w:color w:val="000000" w:themeColor="text1"/>
          <w:vertAlign w:val="subscript"/>
        </w:rPr>
        <w:t>śr</w:t>
      </w:r>
      <w:r w:rsidRPr="001667DB">
        <w:rPr>
          <w:rFonts w:ascii="Times New Roman" w:hAnsi="Times New Roman" w:cs="Times New Roman"/>
          <w:color w:val="000000" w:themeColor="text1"/>
        </w:rPr>
        <w:t xml:space="preserve"> – </w:t>
      </w:r>
      <w:r w:rsidRPr="001667DB">
        <w:rPr>
          <w:rFonts w:ascii="Times New Roman" w:hAnsi="Times New Roman" w:cs="Times New Roman"/>
          <w:color w:val="000000" w:themeColor="text1"/>
        </w:rPr>
        <w:tab/>
        <w:t xml:space="preserve">uzyskana wartość średnia wyników pomiaru dla odcinka 1000 m </w:t>
      </w:r>
    </w:p>
    <w:p w14:paraId="76EB5DE4" w14:textId="77777777" w:rsidR="00955A27" w:rsidRPr="001667DB" w:rsidRDefault="00955A27" w:rsidP="00ED012D">
      <w:pPr>
        <w:tabs>
          <w:tab w:val="center" w:pos="4530"/>
        </w:tabs>
        <w:spacing w:after="120" w:line="360" w:lineRule="auto"/>
        <w:ind w:left="709"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IRI</w:t>
      </w:r>
      <w:r w:rsidRPr="001667DB">
        <w:rPr>
          <w:rFonts w:ascii="Times New Roman" w:hAnsi="Times New Roman" w:cs="Times New Roman"/>
          <w:color w:val="000000" w:themeColor="text1"/>
          <w:vertAlign w:val="subscript"/>
        </w:rPr>
        <w:t>śr dop</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 dopuszczalna wartość średnia wyników pomiaru wg tabeli 7 </w:t>
      </w:r>
    </w:p>
    <w:p w14:paraId="3E7DF5AE" w14:textId="77777777" w:rsidR="00955A27" w:rsidRPr="001667DB" w:rsidRDefault="00955A27" w:rsidP="00ED012D">
      <w:pPr>
        <w:spacing w:after="120" w:line="360" w:lineRule="auto"/>
        <w:ind w:left="709" w:right="1"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F –  </w:t>
      </w:r>
      <w:r w:rsidRPr="001667DB">
        <w:rPr>
          <w:rFonts w:ascii="Times New Roman" w:hAnsi="Times New Roman" w:cs="Times New Roman"/>
          <w:color w:val="000000" w:themeColor="text1"/>
        </w:rPr>
        <w:tab/>
        <w:t>powierzchnia elementu nawierzchni, na którym nie został dotrzymany parametr IRI</w:t>
      </w:r>
      <w:r w:rsidRPr="001667DB">
        <w:rPr>
          <w:rFonts w:ascii="Times New Roman" w:hAnsi="Times New Roman" w:cs="Times New Roman"/>
          <w:color w:val="000000" w:themeColor="text1"/>
          <w:vertAlign w:val="subscript"/>
        </w:rPr>
        <w:t>śr</w:t>
      </w:r>
      <w:r w:rsidRPr="001667DB">
        <w:rPr>
          <w:rFonts w:ascii="Times New Roman" w:hAnsi="Times New Roman" w:cs="Times New Roman"/>
          <w:color w:val="000000" w:themeColor="text1"/>
        </w:rPr>
        <w: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t>
      </w:r>
    </w:p>
    <w:p w14:paraId="0146E5D0" w14:textId="77777777" w:rsidR="00955A27" w:rsidRPr="001667DB" w:rsidRDefault="00955A27" w:rsidP="00ED012D">
      <w:pPr>
        <w:spacing w:after="120" w:line="360" w:lineRule="auto"/>
        <w:ind w:left="709" w:right="1"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K</w:t>
      </w:r>
      <w:r w:rsidRPr="001667DB">
        <w:rPr>
          <w:rFonts w:ascii="Times New Roman" w:hAnsi="Times New Roman" w:cs="Times New Roman"/>
          <w:color w:val="000000" w:themeColor="text1"/>
          <w:vertAlign w:val="subscript"/>
        </w:rPr>
        <w:t xml:space="preserve"> </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jednostkowa (średnia) cena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wykonania ocenianego elementu nawierzchni wg biuletynu SEKOCENBUD (aktualnego na dzień złożenia oferty), [PLN/m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(dla kontraktów w formule projektuj i buduj), lub </w:t>
      </w:r>
    </w:p>
    <w:p w14:paraId="17EB08A0" w14:textId="77777777" w:rsidR="00955A27" w:rsidRPr="001667DB" w:rsidRDefault="00955A27" w:rsidP="00ED012D">
      <w:pPr>
        <w:spacing w:after="120" w:line="360" w:lineRule="auto"/>
        <w:ind w:left="709" w:right="1" w:hanging="709"/>
        <w:jc w:val="both"/>
        <w:rPr>
          <w:rFonts w:ascii="Times New Roman" w:hAnsi="Times New Roman" w:cs="Times New Roman"/>
          <w:color w:val="000000" w:themeColor="text1"/>
        </w:rPr>
      </w:pPr>
      <w:r w:rsidRPr="001667DB">
        <w:rPr>
          <w:rFonts w:ascii="Times New Roman" w:hAnsi="Times New Roman" w:cs="Times New Roman"/>
          <w:color w:val="000000" w:themeColor="text1"/>
        </w:rPr>
        <w:t>K</w:t>
      </w:r>
      <w:r w:rsidRPr="001667DB">
        <w:rPr>
          <w:rFonts w:ascii="Times New Roman" w:hAnsi="Times New Roman" w:cs="Times New Roman"/>
          <w:color w:val="000000" w:themeColor="text1"/>
          <w:vertAlign w:val="subscript"/>
        </w:rPr>
        <w:t xml:space="preserve"> </w:t>
      </w: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jednostkowa (średnia) cena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wykonania ocenianego elementu nawierzchni wg kosztorysu ofertowego, [PLN/m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(dla kontraktów w formule buduj) </w:t>
      </w:r>
    </w:p>
    <w:p w14:paraId="2EB68E1C"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 zastosowanie programu naprawczego wyraża zgodę Inżynier/Inspektor Nadzoru/Zamawiający.  </w:t>
      </w:r>
    </w:p>
    <w:p w14:paraId="2C769F0E"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 przypadku braku zgody Inżyniera/Inspektora Nadzoru/Zamawiającego na zastosowanie programu naprawczego wszystkie materiały i roboty nie spełniające wymagań podanych w odpowiednich punktach STWiORB zostaną odrzucone. Wykonawca wymieni materiały na właściwe i wykona prawidłowo roboty na własny koszt. </w:t>
      </w:r>
    </w:p>
    <w:p w14:paraId="5DC093DE"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Jeżeli wymiana materiałów niespełniających wymagań lub wadliwie wykonane roboty spowodowują szkodę w innych, prawidłowo wykonanych robotach, to również te roboty powinny być ponownie wykonane przez Wykonawcę na jego koszt. </w:t>
      </w:r>
    </w:p>
    <w:p w14:paraId="3FF5A18C"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p>
    <w:p w14:paraId="4D435D9D" w14:textId="77777777" w:rsidR="00955A27" w:rsidRPr="00326BBF" w:rsidRDefault="00955A27" w:rsidP="00ED012D">
      <w:pPr>
        <w:pStyle w:val="Nagwek1"/>
        <w:tabs>
          <w:tab w:val="center" w:pos="1911"/>
        </w:tabs>
        <w:spacing w:line="360" w:lineRule="auto"/>
        <w:ind w:left="-3"/>
        <w:jc w:val="both"/>
        <w:rPr>
          <w:color w:val="000000" w:themeColor="text1"/>
          <w:sz w:val="22"/>
          <w:szCs w:val="22"/>
          <w:lang w:val="pl-PL"/>
        </w:rPr>
      </w:pPr>
      <w:bookmarkStart w:id="521" w:name="_Toc55105"/>
      <w:r w:rsidRPr="00326BBF">
        <w:rPr>
          <w:color w:val="000000" w:themeColor="text1"/>
          <w:sz w:val="22"/>
          <w:szCs w:val="22"/>
          <w:lang w:val="pl-PL"/>
        </w:rPr>
        <w:t>9.</w:t>
      </w:r>
      <w:r w:rsidRPr="00326BBF">
        <w:rPr>
          <w:rFonts w:eastAsia="Arial"/>
          <w:color w:val="000000" w:themeColor="text1"/>
          <w:sz w:val="22"/>
          <w:szCs w:val="22"/>
          <w:lang w:val="pl-PL"/>
        </w:rPr>
        <w:t xml:space="preserve"> </w:t>
      </w:r>
      <w:r w:rsidRPr="00326BBF">
        <w:rPr>
          <w:rFonts w:eastAsia="Arial"/>
          <w:color w:val="000000" w:themeColor="text1"/>
          <w:sz w:val="22"/>
          <w:szCs w:val="22"/>
          <w:lang w:val="pl-PL"/>
        </w:rPr>
        <w:tab/>
      </w:r>
      <w:r w:rsidRPr="00326BBF">
        <w:rPr>
          <w:color w:val="000000" w:themeColor="text1"/>
          <w:sz w:val="22"/>
          <w:szCs w:val="22"/>
          <w:lang w:val="pl-PL"/>
        </w:rPr>
        <w:t xml:space="preserve">PODSTAWA PŁATNOŚCI </w:t>
      </w:r>
      <w:bookmarkEnd w:id="521"/>
    </w:p>
    <w:p w14:paraId="2C6B1D23" w14:textId="77777777" w:rsidR="00955A27" w:rsidRPr="001667DB" w:rsidRDefault="00955A27" w:rsidP="00ED012D">
      <w:pPr>
        <w:pStyle w:val="Nagwek2"/>
        <w:spacing w:line="360" w:lineRule="auto"/>
        <w:ind w:left="7"/>
        <w:jc w:val="both"/>
        <w:rPr>
          <w:color w:val="000000" w:themeColor="text1"/>
          <w:sz w:val="22"/>
          <w:szCs w:val="22"/>
        </w:rPr>
      </w:pPr>
      <w:bookmarkStart w:id="522" w:name="_Toc55106"/>
      <w:r w:rsidRPr="001667DB">
        <w:rPr>
          <w:color w:val="000000" w:themeColor="text1"/>
          <w:sz w:val="22"/>
          <w:szCs w:val="22"/>
        </w:rPr>
        <w:t>9.1.</w:t>
      </w:r>
      <w:r w:rsidRPr="001667DB">
        <w:rPr>
          <w:rFonts w:eastAsia="Arial"/>
          <w:color w:val="000000" w:themeColor="text1"/>
          <w:sz w:val="22"/>
          <w:szCs w:val="22"/>
        </w:rPr>
        <w:t xml:space="preserve"> </w:t>
      </w:r>
      <w:r w:rsidRPr="001667DB">
        <w:rPr>
          <w:color w:val="000000" w:themeColor="text1"/>
          <w:sz w:val="22"/>
          <w:szCs w:val="22"/>
        </w:rPr>
        <w:t xml:space="preserve">Ogólne ustalenia dotyczące podstawy płatności </w:t>
      </w:r>
      <w:bookmarkEnd w:id="522"/>
    </w:p>
    <w:p w14:paraId="24499E09"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Ogólne ustalenia dotyczące podstawy płatności podano w D-M-00.00.00 „Wymagania ogólne”. </w:t>
      </w:r>
    </w:p>
    <w:p w14:paraId="37407C56" w14:textId="77777777" w:rsidR="00955A27" w:rsidRPr="001667DB" w:rsidRDefault="00955A27" w:rsidP="00ED012D">
      <w:pPr>
        <w:pStyle w:val="Nagwek2"/>
        <w:spacing w:line="360" w:lineRule="auto"/>
        <w:ind w:left="7"/>
        <w:jc w:val="both"/>
        <w:rPr>
          <w:color w:val="000000" w:themeColor="text1"/>
          <w:sz w:val="22"/>
          <w:szCs w:val="22"/>
        </w:rPr>
      </w:pPr>
      <w:bookmarkStart w:id="523" w:name="_Toc55107"/>
      <w:r w:rsidRPr="001667DB">
        <w:rPr>
          <w:color w:val="000000" w:themeColor="text1"/>
          <w:sz w:val="22"/>
          <w:szCs w:val="22"/>
        </w:rPr>
        <w:t>9.2.</w:t>
      </w:r>
      <w:r w:rsidRPr="001667DB">
        <w:rPr>
          <w:rFonts w:eastAsia="Arial"/>
          <w:color w:val="000000" w:themeColor="text1"/>
          <w:sz w:val="22"/>
          <w:szCs w:val="22"/>
        </w:rPr>
        <w:t xml:space="preserve"> </w:t>
      </w:r>
      <w:r w:rsidRPr="001667DB">
        <w:rPr>
          <w:color w:val="000000" w:themeColor="text1"/>
          <w:sz w:val="22"/>
          <w:szCs w:val="22"/>
        </w:rPr>
        <w:t xml:space="preserve">Cena jednostki obmiarowej </w:t>
      </w:r>
      <w:bookmarkEnd w:id="523"/>
    </w:p>
    <w:p w14:paraId="3FEECA81" w14:textId="77777777" w:rsidR="00955A27" w:rsidRPr="001667DB" w:rsidRDefault="00955A27" w:rsidP="00ED012D">
      <w:pPr>
        <w:spacing w:after="120" w:line="360" w:lineRule="auto"/>
        <w:ind w:left="7" w:right="1"/>
        <w:jc w:val="both"/>
        <w:rPr>
          <w:rFonts w:ascii="Times New Roman" w:hAnsi="Times New Roman" w:cs="Times New Roman"/>
          <w:color w:val="000000" w:themeColor="text1"/>
        </w:rPr>
      </w:pPr>
      <w:r w:rsidRPr="001667DB">
        <w:rPr>
          <w:rFonts w:ascii="Times New Roman" w:hAnsi="Times New Roman" w:cs="Times New Roman"/>
          <w:color w:val="000000" w:themeColor="text1"/>
        </w:rPr>
        <w:t>Cena wykonania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warstwy ścieralnej z mieszanki SMA obejmuje: </w:t>
      </w:r>
    </w:p>
    <w:p w14:paraId="46DB99D8"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pomiarowe i roboty przygotowawcze,  </w:t>
      </w:r>
    </w:p>
    <w:p w14:paraId="71A9CB48"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oznakowanie robót, </w:t>
      </w:r>
    </w:p>
    <w:p w14:paraId="19E884DE"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oczyszczenie i skropienie podłoża, </w:t>
      </w:r>
    </w:p>
    <w:p w14:paraId="083DE7EF"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dostarczenie materiałów i sprzętu, </w:t>
      </w:r>
    </w:p>
    <w:p w14:paraId="49F7608A"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opracowanie recepty laboratoryjnej, </w:t>
      </w:r>
    </w:p>
    <w:p w14:paraId="323F681F"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próby technologicznej i odcinka próbnego, </w:t>
      </w:r>
    </w:p>
    <w:p w14:paraId="458A4CDF"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wyprodukowanie mieszanki betonu asfaltowego i jej transport na miejsce wbudowania, </w:t>
      </w:r>
    </w:p>
    <w:p w14:paraId="65B3D828"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posmarowanie lepiszczem lub pokrycie taśmą asfaltową krawędzi urządzeń obcych i krawężników, </w:t>
      </w:r>
    </w:p>
    <w:p w14:paraId="3F786BDF"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rozłożenie i zagęszczenie mieszanki betonu asfaltowego, </w:t>
      </w:r>
    </w:p>
    <w:p w14:paraId="09CF0EB9"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uformowanie złączy, zagruntowanie środkiem gruntującym i przymocowanie taśm bitumicznych, </w:t>
      </w:r>
    </w:p>
    <w:p w14:paraId="67749856"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posmarowanie krawędzi bocznych asfaltem, </w:t>
      </w:r>
    </w:p>
    <w:p w14:paraId="7F04FFDE"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przeprowadzenie pomiarów i badań  wymaganych w specyfikacji technicznej, </w:t>
      </w:r>
    </w:p>
    <w:p w14:paraId="7DD8E5AD"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odwiezienie sprzętu, </w:t>
      </w:r>
    </w:p>
    <w:p w14:paraId="04F00BC5" w14:textId="77777777" w:rsidR="00955A27" w:rsidRPr="001667DB" w:rsidRDefault="00955A27" w:rsidP="00904E6C">
      <w:pPr>
        <w:numPr>
          <w:ilvl w:val="0"/>
          <w:numId w:val="197"/>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zawiera wszelkie inne czynności związane z prawidłowym wykonaniem warstwy zgodnie z wymaganiami niniejszych STWiORB </w:t>
      </w:r>
    </w:p>
    <w:p w14:paraId="08004A07" w14:textId="77777777" w:rsidR="00955A27" w:rsidRPr="001667DB" w:rsidRDefault="00955A27" w:rsidP="00ED012D">
      <w:pPr>
        <w:pStyle w:val="Nagwek2"/>
        <w:spacing w:line="360" w:lineRule="auto"/>
        <w:ind w:left="7"/>
        <w:jc w:val="both"/>
        <w:rPr>
          <w:color w:val="000000" w:themeColor="text1"/>
          <w:sz w:val="22"/>
          <w:szCs w:val="22"/>
        </w:rPr>
      </w:pPr>
      <w:bookmarkStart w:id="524" w:name="_Toc55108"/>
      <w:r w:rsidRPr="001667DB">
        <w:rPr>
          <w:color w:val="000000" w:themeColor="text1"/>
          <w:sz w:val="22"/>
          <w:szCs w:val="22"/>
        </w:rPr>
        <w:t>9.3.</w:t>
      </w:r>
      <w:r w:rsidRPr="001667DB">
        <w:rPr>
          <w:rFonts w:eastAsia="Arial"/>
          <w:color w:val="000000" w:themeColor="text1"/>
          <w:sz w:val="22"/>
          <w:szCs w:val="22"/>
        </w:rPr>
        <w:t xml:space="preserve"> </w:t>
      </w:r>
      <w:r w:rsidRPr="001667DB">
        <w:rPr>
          <w:color w:val="000000" w:themeColor="text1"/>
          <w:sz w:val="22"/>
          <w:szCs w:val="22"/>
        </w:rPr>
        <w:t xml:space="preserve">Sposób rozliczenia robót tymczasowych i prac towarzyszących </w:t>
      </w:r>
      <w:bookmarkEnd w:id="524"/>
    </w:p>
    <w:p w14:paraId="0E24B0A2" w14:textId="77777777" w:rsidR="00955A27" w:rsidRPr="001667DB" w:rsidRDefault="00955A27" w:rsidP="00ED012D">
      <w:pPr>
        <w:tabs>
          <w:tab w:val="center" w:pos="4106"/>
        </w:tabs>
        <w:spacing w:after="120" w:line="360" w:lineRule="auto"/>
        <w:ind w:left="-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ab/>
        <w:t xml:space="preserve">Cena wykonania robót określonych niniejszymi STWiORB obejmuje: </w:t>
      </w:r>
    </w:p>
    <w:p w14:paraId="3098F245" w14:textId="77777777" w:rsidR="00955A27" w:rsidRPr="001667DB" w:rsidRDefault="00955A27" w:rsidP="00904E6C">
      <w:pPr>
        <w:numPr>
          <w:ilvl w:val="0"/>
          <w:numId w:val="198"/>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tymczasowe, które są potrzebne do wykonania robót podstawowych, ale nie są przekazywane Zamawiającemu i są usuwane po wykonaniu robót podstawowych, </w:t>
      </w:r>
    </w:p>
    <w:p w14:paraId="76931C7A" w14:textId="77777777" w:rsidR="00955A27" w:rsidRPr="001667DB" w:rsidRDefault="00955A27" w:rsidP="00904E6C">
      <w:pPr>
        <w:numPr>
          <w:ilvl w:val="0"/>
          <w:numId w:val="198"/>
        </w:numPr>
        <w:spacing w:after="120" w:line="360" w:lineRule="auto"/>
        <w:ind w:right="1" w:hanging="36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prace towarzyszące, które są niezbędne do wykonania robót podstawowych, niezaliczane do robót tymczasowych, jak geodezyjne wytyczenie robót itd. </w:t>
      </w:r>
    </w:p>
    <w:p w14:paraId="04B8653E" w14:textId="77777777" w:rsidR="00955A27" w:rsidRPr="001667DB" w:rsidRDefault="00955A27" w:rsidP="00ED012D">
      <w:pPr>
        <w:spacing w:after="120" w:line="360" w:lineRule="auto"/>
        <w:ind w:left="372" w:right="1"/>
        <w:jc w:val="both"/>
        <w:rPr>
          <w:rFonts w:ascii="Times New Roman" w:hAnsi="Times New Roman" w:cs="Times New Roman"/>
          <w:color w:val="000000" w:themeColor="text1"/>
        </w:rPr>
      </w:pPr>
    </w:p>
    <w:p w14:paraId="3110A4CF" w14:textId="77777777" w:rsidR="00955A27" w:rsidRPr="001667DB" w:rsidRDefault="00955A27" w:rsidP="00955A27">
      <w:pPr>
        <w:pStyle w:val="Nagwek1"/>
        <w:spacing w:line="360" w:lineRule="auto"/>
        <w:ind w:left="7"/>
        <w:rPr>
          <w:color w:val="000000" w:themeColor="text1"/>
          <w:sz w:val="22"/>
          <w:szCs w:val="22"/>
        </w:rPr>
      </w:pPr>
      <w:bookmarkStart w:id="525" w:name="_Toc55109"/>
      <w:r w:rsidRPr="001667DB">
        <w:rPr>
          <w:color w:val="000000" w:themeColor="text1"/>
          <w:sz w:val="22"/>
          <w:szCs w:val="22"/>
        </w:rPr>
        <w:t>10.</w:t>
      </w:r>
      <w:r w:rsidRPr="001667DB">
        <w:rPr>
          <w:rFonts w:eastAsia="Arial"/>
          <w:color w:val="000000" w:themeColor="text1"/>
          <w:sz w:val="22"/>
          <w:szCs w:val="22"/>
        </w:rPr>
        <w:t xml:space="preserve"> </w:t>
      </w:r>
      <w:r w:rsidRPr="001667DB">
        <w:rPr>
          <w:color w:val="000000" w:themeColor="text1"/>
          <w:sz w:val="22"/>
          <w:szCs w:val="22"/>
        </w:rPr>
        <w:t xml:space="preserve">PRZEPISY ZWIĄZANE </w:t>
      </w:r>
      <w:bookmarkEnd w:id="525"/>
    </w:p>
    <w:p w14:paraId="668F7642" w14:textId="77777777" w:rsidR="00955A27" w:rsidRPr="001667DB" w:rsidRDefault="00955A27" w:rsidP="00955A27">
      <w:pPr>
        <w:pStyle w:val="Nagwek2"/>
        <w:tabs>
          <w:tab w:val="center" w:pos="1237"/>
        </w:tabs>
        <w:spacing w:line="360" w:lineRule="auto"/>
        <w:ind w:left="-3"/>
        <w:rPr>
          <w:color w:val="000000" w:themeColor="text1"/>
          <w:sz w:val="22"/>
          <w:szCs w:val="22"/>
        </w:rPr>
      </w:pPr>
      <w:bookmarkStart w:id="526" w:name="_Toc55110"/>
      <w:r w:rsidRPr="001667DB">
        <w:rPr>
          <w:color w:val="000000" w:themeColor="text1"/>
          <w:sz w:val="22"/>
          <w:szCs w:val="22"/>
        </w:rPr>
        <w:t>10.1.</w:t>
      </w:r>
      <w:r w:rsidRPr="001667DB">
        <w:rPr>
          <w:rFonts w:eastAsia="Arial"/>
          <w:color w:val="000000" w:themeColor="text1"/>
          <w:sz w:val="22"/>
          <w:szCs w:val="22"/>
        </w:rPr>
        <w:t xml:space="preserve"> </w:t>
      </w:r>
      <w:r w:rsidRPr="001667DB">
        <w:rPr>
          <w:rFonts w:eastAsia="Arial"/>
          <w:color w:val="000000" w:themeColor="text1"/>
          <w:sz w:val="22"/>
          <w:szCs w:val="22"/>
        </w:rPr>
        <w:tab/>
      </w:r>
      <w:r w:rsidRPr="001667DB">
        <w:rPr>
          <w:color w:val="000000" w:themeColor="text1"/>
          <w:sz w:val="22"/>
          <w:szCs w:val="22"/>
        </w:rPr>
        <w:t xml:space="preserve">Normy </w:t>
      </w:r>
      <w:bookmarkEnd w:id="526"/>
    </w:p>
    <w:p w14:paraId="28B8B2BF"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12591 Asfalty i produkty asfaltowe - Wymagania dla asfaltów drogowych </w:t>
      </w:r>
    </w:p>
    <w:p w14:paraId="50AE0B06"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12597 Asfalty i produkty asfaltowe - Terminologia </w:t>
      </w:r>
    </w:p>
    <w:p w14:paraId="3FE9C384"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13808 Asfalty i lepiszcza asfaltowe - Zasady klasyfikacji kationowych emulsji asfaltowych </w:t>
      </w:r>
    </w:p>
    <w:p w14:paraId="05FE6CBC"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14023 Asfalty i lepiszcza asfaltowe - Zasady klasyfikacji asfaltów modyfikowanych polimerami </w:t>
      </w:r>
    </w:p>
    <w:p w14:paraId="0C9E0A3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13924-2 Asfalty i lepiszcza asfaltowe - Zasady klasyfikacji asfaltów drogowych specjalnych - Część 2: Asfalty drogowe wielorodzajowe </w:t>
      </w:r>
    </w:p>
    <w:p w14:paraId="25FBAAD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13043 Kruszywa do mieszanek bitumicznych i powierzchniowych utrwaleń stosowanych na drogach, lotniskach i innych powierzchniach przeznaczonych do ruchu </w:t>
      </w:r>
    </w:p>
    <w:p w14:paraId="42D6BEEB"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932-3 Badania podstawowych właściwości kruszyw – Procedura i terminologia uproszczonego opisu petrograficznego </w:t>
      </w:r>
    </w:p>
    <w:p w14:paraId="43672705"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EN 932-5 Badania podstawowych właściwości kruszyw – Część 5: Wyposażenie podstawowe i wzorcowanie </w:t>
      </w:r>
    </w:p>
    <w:p w14:paraId="6750C900"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933-1 Badania geometrycznych właściwości kruszyw – Oznaczanie składu ziarnowego. Metoda przesiewania </w:t>
      </w:r>
    </w:p>
    <w:p w14:paraId="213BEB34"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933-3 Badania geometrycznych właściwości kruszyw – Oznaczanie kształtu ziaren za pomocą wskaźnika płaskości </w:t>
      </w:r>
    </w:p>
    <w:p w14:paraId="12BAFA71"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933-4 Badania geometrycznych właściwości kruszyw – Część 4: Oznaczanie kształtu ziaren – Wskaźnik kształtu </w:t>
      </w:r>
    </w:p>
    <w:p w14:paraId="2A267EA5"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933-5 Badania geometrycznych właściwości kruszyw – Oznaczanie procentowej zawartości ziaren o powierzchniach powstałych w wyniku przekruszenia lub łamania kruszyw grubych </w:t>
      </w:r>
    </w:p>
    <w:p w14:paraId="21D53F4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933-6 Badania geometrycznych właściwości kruszyw – Część 6: Ocena właściwości powierzchni – Wskaźnik przepływu kruszywa </w:t>
      </w:r>
    </w:p>
    <w:p w14:paraId="0CE88D1D"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933-9 Badania geometrycznych właściwości kruszyw – Ocena zawartości drobnych cząstek – Badania błękitem metylenowym </w:t>
      </w:r>
    </w:p>
    <w:p w14:paraId="507A459C"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933-10 Badania geometrycznych właściwości kruszyw – Część 10: Ocena zawartość drobnych cząstek – Uziarnienie wypełniaczy (przesiewanie w strumieniu powietrza) </w:t>
      </w:r>
    </w:p>
    <w:p w14:paraId="7DCD54B9"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1097-2 Badania mechanicznych i fizycznych właściwości kruszyw – Metody oznaczania odporności na rozdrabianie </w:t>
      </w:r>
    </w:p>
    <w:p w14:paraId="4938425B"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1097-3 Badania mechanicznych i fizycznych właściwości kruszyw – Oznaczanie gęstości nasypowej i jamistości </w:t>
      </w:r>
    </w:p>
    <w:p w14:paraId="0E566E5C"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1097-4 Badania mechanicznych i fizycznych właściwości kruszyw – Część 4: Oznaczanie pustych przestrzeni suchego, zagęszczonego wypełniacza </w:t>
      </w:r>
    </w:p>
    <w:p w14:paraId="24D475F9"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1097-5 Badania mechanicznych i fizycznych właściwości kruszyw – Część 5: Oznaczanie zawartości wody przez suszenie w suszarce z wentylacją </w:t>
      </w:r>
    </w:p>
    <w:p w14:paraId="05BE8DE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1097-6 Badania mechanicznych i fizycznych właściwości kruszyw – Część 6: </w:t>
      </w:r>
    </w:p>
    <w:p w14:paraId="7A5786F9"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 Mieszanki mineralno-asfaltowe - Metody badań mieszanek mineralnoasfaltowych na gorąco – Część 1: Zawartość lepiszcza rozpuszczalnego </w:t>
      </w:r>
    </w:p>
    <w:p w14:paraId="0AE20269"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 Mieszanki mineralno-asfaltowe - Metody badań mieszanek mineralnoasfaltowych na gorąco – Część 2: Oznaczanie składu ziarnowego </w:t>
      </w:r>
    </w:p>
    <w:p w14:paraId="1B8324AD"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 Mieszanki mineralno-asfaltowe - Metody badań mieszanek mineralnoasfaltowych na gorąco – Część 3: Odzyskiwanie asfaltu - Wyparka obrotowa </w:t>
      </w:r>
    </w:p>
    <w:p w14:paraId="1122D2F9"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 Mieszanki mineralno-asfaltowe - Metody badań mieszanek mineralnoasfaltowych na gorąco – Część 4: Odzyskiwanie asfaltu - Kolumna do destylacji frakcyjnej </w:t>
      </w:r>
    </w:p>
    <w:p w14:paraId="000450EF"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12697-5 Mieszanki mineralno-asfaltowe - Metody badań mieszanek mineralnoasfaltowych na gorąco – Część 5: Oznaczanie gęstości </w:t>
      </w:r>
    </w:p>
    <w:p w14:paraId="40A19653"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EN 12697-6 Mieszanki mineralno-asfaltowe - Metody badań mieszanek mineralnoasfaltowych na gorąco – Część 6: Oznaczanie gęstości objętościowej metodą hydrostatyczną </w:t>
      </w:r>
    </w:p>
    <w:p w14:paraId="1210BC28"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12697-8 Mieszanki mineralno-asfaltowe - Metody badań mieszanek mineralnoasfaltowych na gorąco – Część 8: Oznaczanie zawartości wolnej przestrzeni </w:t>
      </w:r>
    </w:p>
    <w:p w14:paraId="270F0F3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PN-EN 12697-10 Mieszanki mineralno-asfaltowe - Metody badań mieszanek mineralno-asfaltowych na gorąco – Część 10: Zagęszczalność </w:t>
      </w:r>
    </w:p>
    <w:p w14:paraId="07C886A8"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12697-11 Mieszanki mineralno-asfaltowe - Metody badań mieszanek mineralno-asfaltowych na gorąco – Część 11: Określenie powiązania pomiędzy kruszywem i asfaltem </w:t>
      </w:r>
    </w:p>
    <w:p w14:paraId="32E2994C"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12697-12 Mieszanki mineralno-asfaltowe - Metody badania mieszanek mineralno-asfaltowych na gorąco – Część 12: Określanie wrażliwości na wodę </w:t>
      </w:r>
    </w:p>
    <w:p w14:paraId="3A1FD047"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12697-17 Mieszanki mineralno-asfaltowe - Metody badań mieszanek mineralno-asfaltowych na gorąco – Część 17: Ubytek ziaren </w:t>
      </w:r>
    </w:p>
    <w:p w14:paraId="7185FB3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12697-18 Mieszanki mineralno-asfaltowe - Metody badań mieszanek mineralno-asfaltowych na gorąco – Część 18: Spływanie lepiszcza </w:t>
      </w:r>
    </w:p>
    <w:p w14:paraId="3C02B157"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12697-20 Mieszanki mineralno-asfaltowe - Metody badań mieszanek mineralno-asfaltowych na gorąco – Część 20: Penetracja próbek sześciennych lub Marshalla </w:t>
      </w:r>
    </w:p>
    <w:p w14:paraId="4E5A19F7"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12697-22 Mieszanki mineralno-asfaltowe - Metody badań mieszanek mineralno-asfaltowych na gorąco – Część 22: Koleinowanie </w:t>
      </w:r>
    </w:p>
    <w:p w14:paraId="71A2FDE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12697-23 Mieszanki mineralno-asfaltowe - Metody badania mieszanek mineralno-asfaltowych na gorąco – Część 23: Określanie pośredniej wytrzymałości na rozciąganie próbek asfaltowych </w:t>
      </w:r>
    </w:p>
    <w:p w14:paraId="14F2A930"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12697-24 Mieszanki mineralno-asfaltowe - Metody badań mieszanek mineralno-asfaltowych na gorąco – Część 24: Odporność na zmęczenie </w:t>
      </w:r>
    </w:p>
    <w:p w14:paraId="3C51411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12697-25 Mieszanki mineralno-asfaltowe - Metody badań mieszanek mineralno-asfaltowych na gorąco – Część 25: Penetracja dynamiczna  </w:t>
      </w:r>
    </w:p>
    <w:p w14:paraId="143A36F1"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12697-26 Mieszanki mineralno-asfaltowe - Metody badań mieszanek mineralno-asfaltowych na gorąco – Część 26: Sztywność </w:t>
      </w:r>
    </w:p>
    <w:p w14:paraId="185A8881"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12697-27 Mieszanki mineralno-asfaltowe - Metody badań mieszanek mineralno-asfaltowych na gorąco – Część 27: Pobieranie próbek </w:t>
      </w:r>
    </w:p>
    <w:p w14:paraId="6433853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12697-28 Mieszanki mineralno-asfaltowe - Metody badań mieszanek mineralno-asfaltowych na gorąco – Część 28: Przygotowanie próbek do oznaczania zawartości lepiszcza, zawartości wody i uziarnienia </w:t>
      </w:r>
    </w:p>
    <w:p w14:paraId="278B873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12697-29 Mieszanki mineralno-asfaltowe - Metoda badania mieszanek mineralno-asfaltowych na gorąco – Część 29: Pomiar próbki z zagęszczonej mieszanki mineralno-asfaltowej </w:t>
      </w:r>
    </w:p>
    <w:p w14:paraId="2ECE63A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12697-30 Mieszanki mineralno-asfaltowe - Metody badań mieszanek mineralno-asfaltowych na gorąco – Część 30: Przygotowanie próbek zagęszczonych przez ubijanie </w:t>
      </w:r>
    </w:p>
    <w:p w14:paraId="3ED2CDDF"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EN 12697-31 Mieszanki mineralno-asfaltowe - Metody badań mieszanek mineralno-asfaltowych na gorąco – Część 31: Próbki przygotowane w prasie żyratorowej </w:t>
      </w:r>
    </w:p>
    <w:p w14:paraId="3830BEAD"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12697-33 Mieszanki mineralno-asfaltowe - Metody badań mieszanek mineralno-asfaltowych na gorąco – Część 33: Przygotowanie próbek zagęszczanych walcem </w:t>
      </w:r>
    </w:p>
    <w:p w14:paraId="410FC472"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12697-35 Mieszanki mineralno-asfaltowe - Metody badań mieszanek mineralno-asfaltowych na gorąco – Część 35: Mieszanie laboratoryjne </w:t>
      </w:r>
    </w:p>
    <w:p w14:paraId="14F01BD7"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12697-38 Mieszanki mineralno-asfaltowe - Metody badań mieszanek mineralno-asfaltowych na gorąco – Część 38: Podstawowe wyposażenie i kalibracja </w:t>
      </w:r>
    </w:p>
    <w:p w14:paraId="5A68B316"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12697-40 Mieszanki mineralno-asfaltowe - Metody badań mieszanek mineralno-asfaltowych na gorąco – Część 40: Wodoprzepuszczalność „in-situ” </w:t>
      </w:r>
    </w:p>
    <w:p w14:paraId="7DAB44BB"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12697-42 Mieszanki mineralno-asfaltowe - Metody badań mieszanek mineralno-asfaltowych na gorąco – Część 42: Zawartość zanieczyszczeń w destrukcie asfaltowym </w:t>
      </w:r>
    </w:p>
    <w:p w14:paraId="2E78AFCC"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14188-1 Wypełniacze szczelin i zalewy drogowe - Część 1: Wymagania wobec zalew drogowych na gorąco </w:t>
      </w:r>
    </w:p>
    <w:p w14:paraId="66FCF44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12272-1 Powierzchniowe utrwalanie - Metody badań - Część 1: Dozowanie i poprzeczny rozkład lepiszcza i kruszywa </w:t>
      </w:r>
    </w:p>
    <w:p w14:paraId="11355451"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13108-5 Mieszanki mineralno-asfaltowe - Wymagania - Część 5: Mieszanka SMA </w:t>
      </w:r>
    </w:p>
    <w:p w14:paraId="45F06431"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13108-20 Mieszanki mineralno-asfaltowe - Wymagania - Część 20: Badanie typu </w:t>
      </w:r>
    </w:p>
    <w:p w14:paraId="3240918E" w14:textId="77777777" w:rsidR="00955A27" w:rsidRPr="001667DB" w:rsidRDefault="00955A27" w:rsidP="00904E6C">
      <w:pPr>
        <w:numPr>
          <w:ilvl w:val="0"/>
          <w:numId w:val="199"/>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PN-EN 13108-21 Mieszanki mineralno-asfaltowe - Wymagania - Część 21: Zakładowa Kontrola Produkcji </w:t>
      </w:r>
    </w:p>
    <w:p w14:paraId="721CC1AF"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Obowiązują wydania przywołanych powyżej norm i innych dokumentów na dzień złożenia przez Wykonawcę oferty. </w:t>
      </w:r>
    </w:p>
    <w:p w14:paraId="543F5341" w14:textId="77777777" w:rsidR="00955A27" w:rsidRPr="001667DB" w:rsidRDefault="00955A27" w:rsidP="00955A27">
      <w:pPr>
        <w:spacing w:after="120" w:line="360" w:lineRule="auto"/>
        <w:ind w:left="7" w:right="1"/>
        <w:rPr>
          <w:rFonts w:ascii="Times New Roman" w:hAnsi="Times New Roman" w:cs="Times New Roman"/>
          <w:color w:val="000000" w:themeColor="text1"/>
        </w:rPr>
      </w:pPr>
      <w:r w:rsidRPr="001667DB">
        <w:rPr>
          <w:rFonts w:ascii="Times New Roman" w:hAnsi="Times New Roman" w:cs="Times New Roman"/>
          <w:color w:val="000000" w:themeColor="text1"/>
        </w:rPr>
        <w:t xml:space="preserve">Wprowadzenie nowszego wydania normy czy innego dokumentu wymaga uzgodnienia przez strony kontraktu. </w:t>
      </w:r>
    </w:p>
    <w:p w14:paraId="1C69C80C" w14:textId="77777777" w:rsidR="00955A27" w:rsidRPr="001667DB" w:rsidRDefault="00955A27" w:rsidP="00955A27">
      <w:pPr>
        <w:spacing w:after="120" w:line="360" w:lineRule="auto"/>
        <w:ind w:left="7" w:right="1"/>
        <w:rPr>
          <w:rFonts w:ascii="Times New Roman" w:hAnsi="Times New Roman" w:cs="Times New Roman"/>
          <w:color w:val="000000" w:themeColor="text1"/>
        </w:rPr>
      </w:pPr>
    </w:p>
    <w:p w14:paraId="212C2943" w14:textId="77777777" w:rsidR="00955A27" w:rsidRPr="001667DB" w:rsidRDefault="00955A27" w:rsidP="00955A27">
      <w:pPr>
        <w:pStyle w:val="Nagwek2"/>
        <w:tabs>
          <w:tab w:val="center" w:pos="1779"/>
        </w:tabs>
        <w:spacing w:line="360" w:lineRule="auto"/>
        <w:ind w:left="-3"/>
        <w:rPr>
          <w:color w:val="000000" w:themeColor="text1"/>
          <w:sz w:val="22"/>
          <w:szCs w:val="22"/>
        </w:rPr>
      </w:pPr>
      <w:bookmarkStart w:id="527" w:name="_Toc55111"/>
      <w:r w:rsidRPr="001667DB">
        <w:rPr>
          <w:color w:val="000000" w:themeColor="text1"/>
          <w:sz w:val="22"/>
          <w:szCs w:val="22"/>
        </w:rPr>
        <w:t>10.2.</w:t>
      </w:r>
      <w:r w:rsidRPr="001667DB">
        <w:rPr>
          <w:rFonts w:eastAsia="Arial"/>
          <w:color w:val="000000" w:themeColor="text1"/>
          <w:sz w:val="22"/>
          <w:szCs w:val="22"/>
        </w:rPr>
        <w:t xml:space="preserve"> </w:t>
      </w:r>
      <w:r w:rsidRPr="001667DB">
        <w:rPr>
          <w:rFonts w:eastAsia="Arial"/>
          <w:color w:val="000000" w:themeColor="text1"/>
          <w:sz w:val="22"/>
          <w:szCs w:val="22"/>
        </w:rPr>
        <w:tab/>
      </w:r>
      <w:r w:rsidRPr="001667DB">
        <w:rPr>
          <w:color w:val="000000" w:themeColor="text1"/>
          <w:sz w:val="22"/>
          <w:szCs w:val="22"/>
        </w:rPr>
        <w:t xml:space="preserve">Inne dokumenty </w:t>
      </w:r>
      <w:bookmarkEnd w:id="527"/>
    </w:p>
    <w:p w14:paraId="3637ABF5" w14:textId="77777777" w:rsidR="00955A27" w:rsidRPr="001667DB" w:rsidRDefault="00955A27"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Rozporządzenie Ministra Transportu i Gospodarki Morskiej z dnia 2 marca 1999 r. </w:t>
      </w:r>
    </w:p>
    <w:p w14:paraId="10CCADD3" w14:textId="77777777" w:rsidR="00955A27" w:rsidRPr="001667DB" w:rsidRDefault="00955A27" w:rsidP="00955A27">
      <w:pPr>
        <w:spacing w:after="120" w:line="360" w:lineRule="auto"/>
        <w:ind w:left="435" w:right="1"/>
        <w:rPr>
          <w:rFonts w:ascii="Times New Roman" w:hAnsi="Times New Roman" w:cs="Times New Roman"/>
          <w:color w:val="000000" w:themeColor="text1"/>
        </w:rPr>
      </w:pPr>
      <w:r w:rsidRPr="001667DB">
        <w:rPr>
          <w:rFonts w:ascii="Times New Roman" w:hAnsi="Times New Roman" w:cs="Times New Roman"/>
          <w:color w:val="000000" w:themeColor="text1"/>
        </w:rPr>
        <w:t>w sprawie warunków technicznych, jakim powinny odpowiadać drogi publiczne i ich usytuowanie (Dz. U. z 2016 r. poz. 124, z późn. zm.)</w:t>
      </w:r>
      <w:r w:rsidRPr="001667DB">
        <w:rPr>
          <w:rFonts w:ascii="Times New Roman" w:eastAsia="Calibri" w:hAnsi="Times New Roman" w:cs="Times New Roman"/>
          <w:color w:val="000000" w:themeColor="text1"/>
        </w:rPr>
        <w:t xml:space="preserve"> </w:t>
      </w:r>
    </w:p>
    <w:p w14:paraId="173526A3" w14:textId="77777777" w:rsidR="00955A27" w:rsidRPr="001667DB" w:rsidRDefault="006C3828"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WT-1  2016</w:t>
      </w:r>
      <w:r w:rsidR="00955A27" w:rsidRPr="001667DB">
        <w:rPr>
          <w:rFonts w:ascii="Times New Roman" w:hAnsi="Times New Roman" w:cs="Times New Roman"/>
          <w:color w:val="000000" w:themeColor="text1"/>
        </w:rPr>
        <w:t xml:space="preserve"> Kruszywa do nawierzchni drogowych i powierzchniowych utrwaleń na drogach krajowych  </w:t>
      </w:r>
    </w:p>
    <w:p w14:paraId="6D17EA6B" w14:textId="77777777" w:rsidR="00955A27" w:rsidRPr="001667DB" w:rsidRDefault="00955A27"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WT-2 2014 – część I Mieszanki mineralno-asfaltowe. Wymagania Techniczne. Nawierzchnie asfaltowe na drogach krajowych.  </w:t>
      </w:r>
    </w:p>
    <w:p w14:paraId="4988F558" w14:textId="77777777" w:rsidR="00955A27" w:rsidRPr="001667DB" w:rsidRDefault="00955A27"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WT-2  2016 – część II Wykonanie warstw nawierzchni asfaltowych. Wymagania techniczne. </w:t>
      </w:r>
    </w:p>
    <w:p w14:paraId="26390F28" w14:textId="77777777" w:rsidR="00955A27" w:rsidRPr="001667DB" w:rsidRDefault="00955A27"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Instrukcja laboratoryjnego badania sczepności międzywarstwowej warstw asfaltowych wg. metody Leutnera i wymagania techniczne sczepności” Politechnika Gdańska 2014. </w:t>
      </w:r>
    </w:p>
    <w:p w14:paraId="7607315E" w14:textId="77777777" w:rsidR="00955A27" w:rsidRPr="001667DB" w:rsidRDefault="00955A27" w:rsidP="00904E6C">
      <w:pPr>
        <w:numPr>
          <w:ilvl w:val="0"/>
          <w:numId w:val="200"/>
        </w:numPr>
        <w:spacing w:after="120" w:line="360" w:lineRule="auto"/>
        <w:ind w:right="1" w:hanging="427"/>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Instrukcja DP-T14 Ocena jakości na drogach krajowych. Część I-Roboty drogowe. 2017. </w:t>
      </w:r>
    </w:p>
    <w:p w14:paraId="0CFDDA10" w14:textId="77777777" w:rsidR="00EE6461" w:rsidRPr="001667DB" w:rsidRDefault="00EE6461" w:rsidP="00EE6461">
      <w:pPr>
        <w:spacing w:after="120" w:line="360" w:lineRule="auto"/>
        <w:ind w:right="1"/>
        <w:jc w:val="both"/>
        <w:rPr>
          <w:rFonts w:ascii="Times New Roman" w:hAnsi="Times New Roman" w:cs="Times New Roman"/>
          <w:color w:val="000000" w:themeColor="text1"/>
        </w:rPr>
      </w:pPr>
    </w:p>
    <w:p w14:paraId="01A3557C" w14:textId="77777777" w:rsidR="00955A27" w:rsidRPr="001667DB" w:rsidRDefault="00F30637" w:rsidP="00ED012D">
      <w:pPr>
        <w:jc w:val="both"/>
        <w:rPr>
          <w:rFonts w:ascii="Times New Roman" w:hAnsi="Times New Roman" w:cs="Times New Roman"/>
          <w:b/>
          <w:color w:val="000000" w:themeColor="text1"/>
        </w:rPr>
      </w:pPr>
      <w:r w:rsidRPr="001667DB">
        <w:rPr>
          <w:rFonts w:ascii="Times New Roman" w:hAnsi="Times New Roman" w:cs="Times New Roman"/>
          <w:color w:val="000000" w:themeColor="text1"/>
        </w:rPr>
        <w:br w:type="page"/>
      </w:r>
      <w:bookmarkStart w:id="528" w:name="_Toc421940496"/>
      <w:bookmarkStart w:id="529" w:name="_Toc331335378"/>
      <w:r w:rsidR="00955A27" w:rsidRPr="001667DB">
        <w:rPr>
          <w:rFonts w:ascii="Times New Roman" w:hAnsi="Times New Roman" w:cs="Times New Roman"/>
          <w:b/>
          <w:color w:val="000000" w:themeColor="text1"/>
        </w:rPr>
        <w:lastRenderedPageBreak/>
        <w:t>D.05.03.23</w:t>
      </w:r>
      <w:r w:rsidR="00955A27" w:rsidRPr="001667DB">
        <w:rPr>
          <w:rFonts w:ascii="Times New Roman" w:hAnsi="Times New Roman" w:cs="Times New Roman"/>
          <w:b/>
          <w:caps/>
          <w:color w:val="000000" w:themeColor="text1"/>
        </w:rPr>
        <w:t>a</w:t>
      </w:r>
      <w:r w:rsidR="00955A27" w:rsidRPr="001667DB">
        <w:rPr>
          <w:rFonts w:ascii="Times New Roman" w:hAnsi="Times New Roman" w:cs="Times New Roman"/>
          <w:b/>
          <w:color w:val="000000" w:themeColor="text1"/>
        </w:rPr>
        <w:t>.  NAWIERZCHNIA  Z  BETONOWEJ KOSTKI BRUKOWEJ</w:t>
      </w:r>
    </w:p>
    <w:p w14:paraId="721315F7"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jc w:val="both"/>
        <w:textAlignment w:val="baseline"/>
        <w:rPr>
          <w:color w:val="000000" w:themeColor="text1"/>
          <w:sz w:val="22"/>
          <w:szCs w:val="22"/>
        </w:rPr>
      </w:pPr>
      <w:r w:rsidRPr="001667DB">
        <w:rPr>
          <w:color w:val="000000" w:themeColor="text1"/>
          <w:sz w:val="22"/>
          <w:szCs w:val="22"/>
        </w:rPr>
        <w:t>WSTĘP</w:t>
      </w:r>
      <w:bookmarkEnd w:id="528"/>
      <w:bookmarkEnd w:id="529"/>
    </w:p>
    <w:p w14:paraId="613E8D1B"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jc w:val="both"/>
        <w:textAlignment w:val="baseline"/>
        <w:rPr>
          <w:color w:val="000000" w:themeColor="text1"/>
          <w:sz w:val="22"/>
          <w:szCs w:val="22"/>
        </w:rPr>
      </w:pPr>
      <w:bookmarkStart w:id="530" w:name="_Toc331335379"/>
      <w:r w:rsidRPr="001667DB">
        <w:rPr>
          <w:color w:val="000000" w:themeColor="text1"/>
          <w:sz w:val="22"/>
          <w:szCs w:val="22"/>
        </w:rPr>
        <w:t>Przedmiot ST</w:t>
      </w:r>
      <w:bookmarkEnd w:id="530"/>
    </w:p>
    <w:p w14:paraId="37B82B3D" w14:textId="77777777" w:rsidR="00955A27" w:rsidRPr="001667DB" w:rsidRDefault="00955A27" w:rsidP="00ED012D">
      <w:pPr>
        <w:spacing w:after="120" w:line="360" w:lineRule="auto"/>
        <w:ind w:left="301"/>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Przedmiotem niniejszej specyfikacji technicznej (ST) są wymagania dotyczące wykonania i odbioru robót związanych z wykonaniem nawierzchni z betonowej kostki brukowej w ramach realizacji zadania: </w:t>
      </w:r>
      <w:r w:rsidR="00FE2069" w:rsidRPr="00FD3B41">
        <w:rPr>
          <w:rFonts w:ascii="Times New Roman" w:hAnsi="Times New Roman" w:cs="Times New Roman"/>
          <w:b/>
          <w:color w:val="000000" w:themeColor="text1"/>
        </w:rPr>
        <w:t>„Rozbudowa drogi wojewódzkiej nr 461 w m. Dąbrówka Łubniańska i Łubniany” – Etap I ( km od 9+741,88 do 10+371,13)</w:t>
      </w:r>
    </w:p>
    <w:p w14:paraId="2F5F8240" w14:textId="77777777" w:rsidR="00955A27" w:rsidRPr="001667DB" w:rsidRDefault="00955A27" w:rsidP="00ED012D">
      <w:pPr>
        <w:pStyle w:val="Standardowytekst0"/>
        <w:spacing w:after="120" w:line="360" w:lineRule="auto"/>
        <w:rPr>
          <w:color w:val="000000" w:themeColor="text1"/>
          <w:sz w:val="22"/>
          <w:szCs w:val="22"/>
        </w:rPr>
      </w:pPr>
    </w:p>
    <w:p w14:paraId="7E14A8D6"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31" w:name="_Toc331335380"/>
      <w:r w:rsidRPr="001667DB">
        <w:rPr>
          <w:color w:val="000000" w:themeColor="text1"/>
          <w:sz w:val="22"/>
          <w:szCs w:val="22"/>
        </w:rPr>
        <w:t>Zakres stosowania  ST</w:t>
      </w:r>
      <w:bookmarkEnd w:id="531"/>
    </w:p>
    <w:p w14:paraId="799E26E7" w14:textId="77777777" w:rsidR="00955A27" w:rsidRPr="001667DB" w:rsidRDefault="00955A27" w:rsidP="00ED012D">
      <w:pPr>
        <w:pStyle w:val="Standardowytekst0"/>
        <w:spacing w:after="120" w:line="360" w:lineRule="auto"/>
        <w:ind w:firstLine="708"/>
        <w:rPr>
          <w:color w:val="000000" w:themeColor="text1"/>
          <w:sz w:val="22"/>
          <w:szCs w:val="22"/>
        </w:rPr>
      </w:pPr>
      <w:r w:rsidRPr="001667DB">
        <w:rPr>
          <w:color w:val="000000" w:themeColor="text1"/>
          <w:sz w:val="22"/>
          <w:szCs w:val="22"/>
        </w:rPr>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opisanych w podpunkcie 1.1.</w:t>
      </w:r>
    </w:p>
    <w:p w14:paraId="43477436"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32" w:name="_Toc331335381"/>
      <w:r w:rsidRPr="001667DB">
        <w:rPr>
          <w:color w:val="000000" w:themeColor="text1"/>
          <w:sz w:val="22"/>
          <w:szCs w:val="22"/>
        </w:rPr>
        <w:t>Zakres robót objętych ST</w:t>
      </w:r>
      <w:bookmarkEnd w:id="532"/>
    </w:p>
    <w:p w14:paraId="2742250B" w14:textId="77777777" w:rsidR="00955A27" w:rsidRPr="001667DB" w:rsidRDefault="00955A27" w:rsidP="00ED012D">
      <w:pPr>
        <w:pStyle w:val="Standardowytekst0"/>
        <w:spacing w:after="120" w:line="360" w:lineRule="auto"/>
        <w:rPr>
          <w:color w:val="000000" w:themeColor="text1"/>
          <w:sz w:val="22"/>
          <w:szCs w:val="22"/>
        </w:rPr>
      </w:pPr>
      <w:r w:rsidRPr="001667DB">
        <w:rPr>
          <w:color w:val="000000" w:themeColor="text1"/>
          <w:sz w:val="22"/>
          <w:szCs w:val="22"/>
        </w:rPr>
        <w:tab/>
        <w:t>Ustalenia zawarte w niniejszej specyfikacji dotyczą zasad prowadzenia robót związanych z wykonaniem i odbiorem nawierzchni z betonowej kostki brukowej</w:t>
      </w:r>
    </w:p>
    <w:p w14:paraId="2F93E047" w14:textId="77777777" w:rsidR="00955A27" w:rsidRPr="001667DB" w:rsidRDefault="00955A27" w:rsidP="00ED012D">
      <w:pPr>
        <w:spacing w:after="120" w:line="360" w:lineRule="auto"/>
        <w:ind w:firstLine="360"/>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robót dla przedmiotowego zadania obejmuje:</w:t>
      </w:r>
    </w:p>
    <w:p w14:paraId="570FCFFE"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wykonanie nawierzchni chodnika z kostki betonowej </w:t>
      </w:r>
      <w:r w:rsidRPr="001667DB">
        <w:rPr>
          <w:rFonts w:ascii="Times New Roman" w:hAnsi="Times New Roman" w:cs="Times New Roman"/>
          <w:b/>
          <w:color w:val="000000" w:themeColor="text1"/>
        </w:rPr>
        <w:t>gr. 0,08 m</w:t>
      </w:r>
    </w:p>
    <w:p w14:paraId="14AB3910"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wykonanie nawierzchni zjazdu z kostki betonowej </w:t>
      </w:r>
      <w:r w:rsidRPr="001667DB">
        <w:rPr>
          <w:rFonts w:ascii="Times New Roman" w:hAnsi="Times New Roman" w:cs="Times New Roman"/>
          <w:b/>
          <w:color w:val="000000" w:themeColor="text1"/>
        </w:rPr>
        <w:t>gr. 0,08 m</w:t>
      </w:r>
    </w:p>
    <w:p w14:paraId="07B8E2F9"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Dokumentacja Projektową</w:t>
      </w:r>
    </w:p>
    <w:p w14:paraId="5AE81ADC" w14:textId="77777777" w:rsidR="00F30637" w:rsidRPr="001667DB" w:rsidRDefault="00F30637" w:rsidP="00ED012D">
      <w:pPr>
        <w:spacing w:after="120" w:line="360" w:lineRule="auto"/>
        <w:jc w:val="both"/>
        <w:rPr>
          <w:rFonts w:ascii="Times New Roman" w:hAnsi="Times New Roman" w:cs="Times New Roman"/>
          <w:color w:val="000000" w:themeColor="text1"/>
        </w:rPr>
      </w:pPr>
    </w:p>
    <w:p w14:paraId="155B50CD"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33" w:name="_Toc331335382"/>
      <w:r w:rsidRPr="001667DB">
        <w:rPr>
          <w:color w:val="000000" w:themeColor="text1"/>
          <w:sz w:val="22"/>
          <w:szCs w:val="22"/>
        </w:rPr>
        <w:t>Określenia podstawowe</w:t>
      </w:r>
      <w:bookmarkEnd w:id="533"/>
    </w:p>
    <w:p w14:paraId="6B378B02"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Betonowa kostka brukowa</w:t>
      </w:r>
      <w:r w:rsidRPr="001667DB">
        <w:rPr>
          <w:rFonts w:ascii="Times New Roman" w:hAnsi="Times New Roman" w:cs="Times New Roman"/>
          <w:color w:val="000000" w:themeColor="text1"/>
        </w:rPr>
        <w:t xml:space="preserve"> - prefabrykowany element budowlany, przeznaczony do budowy warstwy ścieralnej nawierzchni, wykonany metodą wibroprasowana z betonu niezbrojonego niebarwionego lub barwionego, jedno- lub dwuwarstwowego, charakteryzujący się kształtem, który umożliwia wzajemne przystawanie elementów. </w:t>
      </w:r>
      <w:r w:rsidRPr="001667DB">
        <w:rPr>
          <w:rFonts w:ascii="Times New Roman" w:hAnsi="Times New Roman" w:cs="Times New Roman"/>
          <w:b/>
          <w:color w:val="000000" w:themeColor="text1"/>
        </w:rPr>
        <w:t>Spoina</w:t>
      </w:r>
      <w:r w:rsidRPr="001667DB">
        <w:rPr>
          <w:rFonts w:ascii="Times New Roman" w:hAnsi="Times New Roman" w:cs="Times New Roman"/>
          <w:color w:val="000000" w:themeColor="text1"/>
        </w:rPr>
        <w:t xml:space="preserve"> - odstęp pomiędzy przylegającymi elementami (kostkami) wypełniony określonymi materiałami wypełniającymi.</w:t>
      </w:r>
    </w:p>
    <w:p w14:paraId="4CDCB0F4"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Szczelina dylatacyjna </w:t>
      </w:r>
      <w:r w:rsidRPr="001667DB">
        <w:rPr>
          <w:rFonts w:ascii="Times New Roman" w:hAnsi="Times New Roman" w:cs="Times New Roman"/>
          <w:color w:val="000000" w:themeColor="text1"/>
        </w:rPr>
        <w:t>- odstęp dzielący duży fragment nawierzchni na sekcje w celu umożliwienia odkształceń temperaturowych, wypełniony określonymi materiałami wypełniającymi. Pozostałe określenia podstawowe są zgodne z obowiązującymi, odpowiednimi polskimi normami i z definicjami podanymi w ST D-00.00.00 „Wymagania ogólne” [10] pkt 1.4.</w:t>
      </w:r>
    </w:p>
    <w:p w14:paraId="497D69C4"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34" w:name="_Toc331335383"/>
      <w:r w:rsidRPr="001667DB">
        <w:rPr>
          <w:color w:val="000000" w:themeColor="text1"/>
          <w:sz w:val="22"/>
          <w:szCs w:val="22"/>
        </w:rPr>
        <w:t>Ogólne wymagania dotyczące robót</w:t>
      </w:r>
      <w:bookmarkEnd w:id="534"/>
      <w:r w:rsidRPr="001667DB">
        <w:rPr>
          <w:color w:val="000000" w:themeColor="text1"/>
          <w:sz w:val="22"/>
          <w:szCs w:val="22"/>
        </w:rPr>
        <w:t xml:space="preserve"> </w:t>
      </w:r>
    </w:p>
    <w:p w14:paraId="6B4F57F8"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robót podano w ST D-00.00.00 „Wymagania ogólne” [10] pkt 1.5.</w:t>
      </w:r>
    </w:p>
    <w:p w14:paraId="5DEEC824" w14:textId="77777777" w:rsidR="00955A27" w:rsidRPr="001667DB" w:rsidRDefault="00955A27" w:rsidP="00ED012D">
      <w:pPr>
        <w:spacing w:after="120" w:line="360" w:lineRule="auto"/>
        <w:jc w:val="both"/>
        <w:rPr>
          <w:rFonts w:ascii="Times New Roman" w:hAnsi="Times New Roman" w:cs="Times New Roman"/>
          <w:color w:val="000000" w:themeColor="text1"/>
        </w:rPr>
      </w:pPr>
    </w:p>
    <w:p w14:paraId="2C810171"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jc w:val="both"/>
        <w:textAlignment w:val="baseline"/>
        <w:rPr>
          <w:color w:val="000000" w:themeColor="text1"/>
          <w:sz w:val="22"/>
          <w:szCs w:val="22"/>
        </w:rPr>
      </w:pPr>
      <w:bookmarkStart w:id="535" w:name="_Toc421686544"/>
      <w:bookmarkStart w:id="536" w:name="_Toc421940497"/>
      <w:bookmarkStart w:id="537" w:name="_Toc331335384"/>
      <w:r w:rsidRPr="001667DB">
        <w:rPr>
          <w:color w:val="000000" w:themeColor="text1"/>
          <w:sz w:val="22"/>
          <w:szCs w:val="22"/>
        </w:rPr>
        <w:t>materiały</w:t>
      </w:r>
      <w:bookmarkEnd w:id="535"/>
      <w:bookmarkEnd w:id="536"/>
      <w:bookmarkEnd w:id="537"/>
    </w:p>
    <w:p w14:paraId="6C212942"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38" w:name="_Toc331335385"/>
      <w:r w:rsidRPr="001667DB">
        <w:rPr>
          <w:color w:val="000000" w:themeColor="text1"/>
          <w:sz w:val="22"/>
          <w:szCs w:val="22"/>
        </w:rPr>
        <w:t>Ogólne wymagania dotyczące materiałów</w:t>
      </w:r>
      <w:bookmarkEnd w:id="538"/>
    </w:p>
    <w:p w14:paraId="4F38C7AE"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materiałów, ich pozyskiwania i składowania, podano w ST D-00.00.00 „Wymagania ogólne” [10] pkt 2.</w:t>
      </w:r>
    </w:p>
    <w:p w14:paraId="50513E0B" w14:textId="77777777" w:rsidR="00955A27" w:rsidRPr="00072A61" w:rsidRDefault="00955A27" w:rsidP="00ED012D">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r w:rsidRPr="001667DB">
        <w:rPr>
          <w:color w:val="000000" w:themeColor="text1"/>
          <w:sz w:val="22"/>
          <w:szCs w:val="22"/>
        </w:rPr>
        <w:t xml:space="preserve">Wymagania techniczne stawiane betonowym kostką brukowym </w:t>
      </w:r>
    </w:p>
    <w:p w14:paraId="57C6120C" w14:textId="77777777" w:rsidR="00955A27" w:rsidRPr="001667DB" w:rsidRDefault="00955A27" w:rsidP="00ED012D">
      <w:pPr>
        <w:pStyle w:val="Standardowytekst0"/>
        <w:spacing w:after="120" w:line="360" w:lineRule="auto"/>
        <w:ind w:firstLine="567"/>
        <w:rPr>
          <w:color w:val="000000" w:themeColor="text1"/>
          <w:sz w:val="22"/>
          <w:szCs w:val="22"/>
        </w:rPr>
      </w:pPr>
      <w:r w:rsidRPr="001667DB">
        <w:rPr>
          <w:color w:val="000000" w:themeColor="text1"/>
          <w:sz w:val="22"/>
          <w:szCs w:val="22"/>
        </w:rPr>
        <w:t>Wymagania techniczne stawiane betonowym kostkom brukowym stosowanym na nawierzchniach dróg, ulic, chodników itp. Określa norma  PN-EN 1338  w sposób przedstawiony w tablicy 1.</w:t>
      </w:r>
    </w:p>
    <w:p w14:paraId="64AF3F55" w14:textId="77777777" w:rsidR="00955A27" w:rsidRPr="001667DB" w:rsidRDefault="00955A27" w:rsidP="00ED012D">
      <w:p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321D8C14" w14:textId="77777777" w:rsidR="00955A27" w:rsidRPr="001667DB" w:rsidRDefault="00955A27" w:rsidP="00ED012D">
      <w:pPr>
        <w:pStyle w:val="Standardowytekst0"/>
        <w:spacing w:after="120" w:line="360" w:lineRule="auto"/>
        <w:rPr>
          <w:color w:val="000000" w:themeColor="text1"/>
          <w:sz w:val="22"/>
          <w:szCs w:val="22"/>
        </w:rPr>
      </w:pPr>
      <w:r w:rsidRPr="001667DB">
        <w:rPr>
          <w:color w:val="000000" w:themeColor="text1"/>
          <w:sz w:val="22"/>
          <w:szCs w:val="22"/>
        </w:rPr>
        <w:t>Tablica 1.  Wymagania wobec betonowej kostki brukowej, ustalone w normie PN-EN 1338 do stosowania na zewnętrznych nawierzchniach, mających kontakt z solą odladzającą w warunkach mrozu</w:t>
      </w:r>
    </w:p>
    <w:p w14:paraId="329399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tbl>
      <w:tblPr>
        <w:tblW w:w="9360" w:type="dxa"/>
        <w:jc w:val="center"/>
        <w:tblCellMar>
          <w:left w:w="0" w:type="dxa"/>
          <w:right w:w="0" w:type="dxa"/>
        </w:tblCellMar>
        <w:tblLook w:val="04A0" w:firstRow="1" w:lastRow="0" w:firstColumn="1" w:lastColumn="0" w:noHBand="0" w:noVBand="1"/>
      </w:tblPr>
      <w:tblGrid>
        <w:gridCol w:w="614"/>
        <w:gridCol w:w="2529"/>
        <w:gridCol w:w="1213"/>
        <w:gridCol w:w="859"/>
        <w:gridCol w:w="218"/>
        <w:gridCol w:w="976"/>
        <w:gridCol w:w="810"/>
        <w:gridCol w:w="548"/>
        <w:gridCol w:w="86"/>
        <w:gridCol w:w="1507"/>
      </w:tblGrid>
      <w:tr w:rsidR="00955A27" w:rsidRPr="001667DB" w14:paraId="38EB6FA9" w14:textId="77777777" w:rsidTr="001B4B8F">
        <w:trPr>
          <w:jc w:val="center"/>
        </w:trPr>
        <w:tc>
          <w:tcPr>
            <w:tcW w:w="562" w:type="dxa"/>
            <w:tcBorders>
              <w:top w:val="single" w:sz="8" w:space="0" w:color="auto"/>
              <w:left w:val="single" w:sz="8" w:space="0" w:color="auto"/>
              <w:bottom w:val="single" w:sz="8" w:space="0" w:color="auto"/>
              <w:right w:val="single" w:sz="8" w:space="0" w:color="auto"/>
            </w:tcBorders>
            <w:tcMar>
              <w:top w:w="0" w:type="dxa"/>
              <w:left w:w="142" w:type="dxa"/>
              <w:bottom w:w="0" w:type="dxa"/>
              <w:right w:w="142" w:type="dxa"/>
            </w:tcMar>
            <w:vAlign w:val="center"/>
            <w:hideMark/>
          </w:tcPr>
          <w:p w14:paraId="63814D8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Lp.</w:t>
            </w:r>
          </w:p>
        </w:tc>
        <w:tc>
          <w:tcPr>
            <w:tcW w:w="2835" w:type="dxa"/>
            <w:tcBorders>
              <w:top w:val="single" w:sz="8" w:space="0" w:color="auto"/>
              <w:left w:val="nil"/>
              <w:bottom w:val="single" w:sz="8" w:space="0" w:color="auto"/>
              <w:right w:val="single" w:sz="8" w:space="0" w:color="auto"/>
            </w:tcBorders>
            <w:tcMar>
              <w:top w:w="0" w:type="dxa"/>
              <w:left w:w="142" w:type="dxa"/>
              <w:bottom w:w="0" w:type="dxa"/>
              <w:right w:w="142" w:type="dxa"/>
            </w:tcMar>
            <w:vAlign w:val="center"/>
            <w:hideMark/>
          </w:tcPr>
          <w:p w14:paraId="72891DD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Cecha</w:t>
            </w:r>
          </w:p>
        </w:tc>
        <w:tc>
          <w:tcPr>
            <w:tcW w:w="1134" w:type="dxa"/>
            <w:tcBorders>
              <w:top w:val="single" w:sz="8" w:space="0" w:color="auto"/>
              <w:left w:val="nil"/>
              <w:bottom w:val="single" w:sz="8" w:space="0" w:color="auto"/>
              <w:right w:val="single" w:sz="8" w:space="0" w:color="auto"/>
            </w:tcBorders>
            <w:tcMar>
              <w:top w:w="0" w:type="dxa"/>
              <w:left w:w="142" w:type="dxa"/>
              <w:bottom w:w="0" w:type="dxa"/>
              <w:right w:w="142" w:type="dxa"/>
            </w:tcMar>
            <w:vAlign w:val="center"/>
            <w:hideMark/>
          </w:tcPr>
          <w:p w14:paraId="114BD35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Metoda pomiaru wg</w:t>
            </w:r>
          </w:p>
          <w:p w14:paraId="24F6CC6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załącznika normy</w:t>
            </w:r>
          </w:p>
        </w:tc>
        <w:tc>
          <w:tcPr>
            <w:tcW w:w="4825" w:type="dxa"/>
            <w:gridSpan w:val="7"/>
            <w:tcBorders>
              <w:top w:val="single" w:sz="8" w:space="0" w:color="auto"/>
              <w:left w:val="nil"/>
              <w:bottom w:val="single" w:sz="8" w:space="0" w:color="auto"/>
              <w:right w:val="single" w:sz="8" w:space="0" w:color="auto"/>
            </w:tcBorders>
            <w:tcMar>
              <w:top w:w="0" w:type="dxa"/>
              <w:left w:w="142" w:type="dxa"/>
              <w:bottom w:w="0" w:type="dxa"/>
              <w:right w:w="142" w:type="dxa"/>
            </w:tcMar>
            <w:vAlign w:val="center"/>
            <w:hideMark/>
          </w:tcPr>
          <w:p w14:paraId="2B0D510F" w14:textId="77777777" w:rsidR="00955A27" w:rsidRPr="001667DB" w:rsidRDefault="00955A27" w:rsidP="00955A27">
            <w:pPr>
              <w:pStyle w:val="Standardowytekst0"/>
              <w:spacing w:after="120" w:line="360" w:lineRule="auto"/>
              <w:ind w:firstLine="567"/>
              <w:rPr>
                <w:color w:val="000000" w:themeColor="text1"/>
                <w:sz w:val="22"/>
                <w:szCs w:val="22"/>
              </w:rPr>
            </w:pPr>
            <w:r w:rsidRPr="001667DB">
              <w:rPr>
                <w:color w:val="000000" w:themeColor="text1"/>
                <w:sz w:val="22"/>
                <w:szCs w:val="22"/>
              </w:rPr>
              <w:t>Wymaganie</w:t>
            </w:r>
          </w:p>
        </w:tc>
      </w:tr>
      <w:tr w:rsidR="00955A27" w:rsidRPr="001667DB" w14:paraId="2DB47183"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3B277D9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w:t>
            </w:r>
          </w:p>
        </w:tc>
        <w:tc>
          <w:tcPr>
            <w:tcW w:w="2835" w:type="dxa"/>
            <w:tcBorders>
              <w:top w:val="nil"/>
              <w:left w:val="nil"/>
              <w:bottom w:val="single" w:sz="8" w:space="0" w:color="auto"/>
              <w:right w:val="single" w:sz="8" w:space="0" w:color="auto"/>
            </w:tcBorders>
            <w:tcMar>
              <w:top w:w="0" w:type="dxa"/>
              <w:left w:w="142" w:type="dxa"/>
              <w:bottom w:w="0" w:type="dxa"/>
              <w:right w:w="142" w:type="dxa"/>
            </w:tcMar>
            <w:vAlign w:val="center"/>
            <w:hideMark/>
          </w:tcPr>
          <w:p w14:paraId="750AB3F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36A80DD0"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vAlign w:val="center"/>
            <w:hideMark/>
          </w:tcPr>
          <w:p w14:paraId="6826A5D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4</w:t>
            </w:r>
          </w:p>
        </w:tc>
      </w:tr>
      <w:tr w:rsidR="00955A27" w:rsidRPr="001667DB" w14:paraId="68DD40C1"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7E736A9B"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w:t>
            </w:r>
          </w:p>
        </w:tc>
        <w:tc>
          <w:tcPr>
            <w:tcW w:w="8794" w:type="dxa"/>
            <w:gridSpan w:val="9"/>
            <w:tcBorders>
              <w:top w:val="nil"/>
              <w:left w:val="nil"/>
              <w:bottom w:val="single" w:sz="8" w:space="0" w:color="auto"/>
              <w:right w:val="single" w:sz="8" w:space="0" w:color="auto"/>
            </w:tcBorders>
            <w:tcMar>
              <w:top w:w="0" w:type="dxa"/>
              <w:left w:w="142" w:type="dxa"/>
              <w:bottom w:w="0" w:type="dxa"/>
              <w:right w:w="142" w:type="dxa"/>
            </w:tcMar>
            <w:hideMark/>
          </w:tcPr>
          <w:p w14:paraId="2CCDA91B"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b/>
                <w:bCs/>
                <w:color w:val="000000" w:themeColor="text1"/>
              </w:rPr>
              <w:t>Kształt i wymiary</w:t>
            </w:r>
          </w:p>
        </w:tc>
      </w:tr>
      <w:tr w:rsidR="00955A27" w:rsidRPr="001667DB" w14:paraId="3994A3A5"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0B0A250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1.1.</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1F3C1DA5"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Dopuszczalne odchyłki w mm od zade-klarowanych wymiarów kostki grubości:</w:t>
            </w:r>
          </w:p>
          <w:p w14:paraId="604A0613" w14:textId="77777777" w:rsidR="00955A27" w:rsidRPr="001667DB" w:rsidRDefault="00AA7AC8" w:rsidP="00955A27">
            <w:pPr>
              <w:spacing w:before="20" w:after="120" w:line="360" w:lineRule="auto"/>
              <w:rPr>
                <w:rFonts w:ascii="Times New Roman" w:hAnsi="Times New Roman" w:cs="Times New Roman"/>
                <w:color w:val="000000" w:themeColor="text1"/>
              </w:rPr>
            </w:pPr>
            <w:r>
              <w:rPr>
                <w:rFonts w:ascii="Times New Roman" w:hAnsi="Times New Roman" w:cs="Times New Roman"/>
                <w:color w:val="000000" w:themeColor="text1"/>
              </w:rPr>
              <w:t>&lt;</w:t>
            </w:r>
            <w:r w:rsidR="00955A27" w:rsidRPr="001667DB">
              <w:rPr>
                <w:rFonts w:ascii="Times New Roman" w:hAnsi="Times New Roman" w:cs="Times New Roman"/>
                <w:color w:val="000000" w:themeColor="text1"/>
              </w:rPr>
              <w:t xml:space="preserve"> 100 mm</w:t>
            </w:r>
          </w:p>
          <w:p w14:paraId="12D7FD84" w14:textId="77777777" w:rsidR="00955A27" w:rsidRPr="001667DB" w:rsidRDefault="00AA7AC8" w:rsidP="00955A27">
            <w:pPr>
              <w:spacing w:before="20" w:after="120" w:line="360" w:lineRule="auto"/>
              <w:rPr>
                <w:rFonts w:ascii="Times New Roman" w:eastAsia="Calibri" w:hAnsi="Times New Roman" w:cs="Times New Roman"/>
                <w:color w:val="000000" w:themeColor="text1"/>
              </w:rPr>
            </w:pPr>
            <w:r>
              <w:rPr>
                <w:rFonts w:ascii="Times New Roman" w:hAnsi="Times New Roman" w:cs="Times New Roman"/>
                <w:color w:val="000000" w:themeColor="text1"/>
              </w:rPr>
              <w:t>≥</w:t>
            </w:r>
            <w:r w:rsidR="00955A27" w:rsidRPr="001667DB">
              <w:rPr>
                <w:rFonts w:ascii="Times New Roman" w:hAnsi="Times New Roman" w:cs="Times New Roman"/>
                <w:color w:val="000000" w:themeColor="text1"/>
              </w:rPr>
              <w:t xml:space="preserve"> 100 mm</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0325790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C</w:t>
            </w:r>
          </w:p>
        </w:tc>
        <w:tc>
          <w:tcPr>
            <w:tcW w:w="3016" w:type="dxa"/>
            <w:gridSpan w:val="5"/>
            <w:tcBorders>
              <w:top w:val="nil"/>
              <w:left w:val="nil"/>
              <w:bottom w:val="single" w:sz="8" w:space="0" w:color="auto"/>
              <w:right w:val="single" w:sz="8" w:space="0" w:color="auto"/>
            </w:tcBorders>
            <w:tcMar>
              <w:top w:w="0" w:type="dxa"/>
              <w:left w:w="142" w:type="dxa"/>
              <w:bottom w:w="0" w:type="dxa"/>
              <w:right w:w="142" w:type="dxa"/>
            </w:tcMar>
            <w:hideMark/>
          </w:tcPr>
          <w:p w14:paraId="4FA11E11"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Długość    Szerokość   Grubość</w:t>
            </w:r>
          </w:p>
          <w:p w14:paraId="730B5D2C"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16026084"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00702E6F" w:rsidRPr="001667DB">
              <w:rPr>
                <w:rFonts w:ascii="Times New Roman" w:hAnsi="Times New Roman" w:cs="Times New Roman"/>
                <w:color w:val="000000" w:themeColor="text1"/>
              </w:rPr>
              <w:t>- 2            - 2            -</w:t>
            </w:r>
            <w:r w:rsidRPr="001667DB">
              <w:rPr>
                <w:rFonts w:ascii="Times New Roman" w:hAnsi="Times New Roman" w:cs="Times New Roman"/>
                <w:color w:val="000000" w:themeColor="text1"/>
              </w:rPr>
              <w:t xml:space="preserve"> 3</w:t>
            </w:r>
          </w:p>
          <w:p w14:paraId="743D616C" w14:textId="77777777" w:rsidR="00955A27" w:rsidRPr="001667DB" w:rsidRDefault="00702E6F"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r w:rsidR="00955A27" w:rsidRPr="001667DB">
              <w:rPr>
                <w:rFonts w:ascii="Times New Roman" w:hAnsi="Times New Roman" w:cs="Times New Roman"/>
                <w:color w:val="000000" w:themeColor="text1"/>
              </w:rPr>
              <w:t xml:space="preserve"> 3     </w:t>
            </w:r>
            <w:r w:rsidRPr="001667DB">
              <w:rPr>
                <w:rFonts w:ascii="Times New Roman" w:hAnsi="Times New Roman" w:cs="Times New Roman"/>
                <w:color w:val="000000" w:themeColor="text1"/>
              </w:rPr>
              <w:t>       - 3            -</w:t>
            </w:r>
            <w:r w:rsidR="00955A27" w:rsidRPr="001667DB">
              <w:rPr>
                <w:rFonts w:ascii="Times New Roman" w:hAnsi="Times New Roman" w:cs="Times New Roman"/>
                <w:color w:val="000000" w:themeColor="text1"/>
              </w:rPr>
              <w:t xml:space="preserve"> 4</w:t>
            </w:r>
          </w:p>
        </w:tc>
        <w:tc>
          <w:tcPr>
            <w:tcW w:w="180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1CF5249" w14:textId="77777777" w:rsidR="00955A27" w:rsidRPr="001667DB" w:rsidRDefault="00955A27" w:rsidP="00AA7AC8">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Różnica pomiędzy dwoma pomiarami grubości, tej samej kostki, powinna być </w:t>
            </w:r>
            <w:r w:rsidR="00AA7AC8">
              <w:rPr>
                <w:rFonts w:ascii="Times New Roman" w:hAnsi="Times New Roman" w:cs="Times New Roman"/>
                <w:color w:val="000000" w:themeColor="text1"/>
              </w:rPr>
              <w:t>≤</w:t>
            </w:r>
            <w:r w:rsidRPr="001667DB">
              <w:rPr>
                <w:rFonts w:ascii="Times New Roman" w:hAnsi="Times New Roman" w:cs="Times New Roman"/>
                <w:color w:val="000000" w:themeColor="text1"/>
              </w:rPr>
              <w:t xml:space="preserve"> 3 mm</w:t>
            </w:r>
          </w:p>
        </w:tc>
      </w:tr>
      <w:tr w:rsidR="00955A27" w:rsidRPr="001667DB" w14:paraId="3ECE3260" w14:textId="77777777" w:rsidTr="001B4B8F">
        <w:trPr>
          <w:trHeight w:val="260"/>
          <w:jc w:val="center"/>
        </w:trPr>
        <w:tc>
          <w:tcPr>
            <w:tcW w:w="562" w:type="dxa"/>
            <w:vMerge w:val="restart"/>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1656C4C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1.2.</w:t>
            </w:r>
          </w:p>
          <w:p w14:paraId="19C836A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2835" w:type="dxa"/>
            <w:vMerge w:val="restart"/>
            <w:tcBorders>
              <w:top w:val="nil"/>
              <w:left w:val="nil"/>
              <w:bottom w:val="single" w:sz="8" w:space="0" w:color="auto"/>
              <w:right w:val="single" w:sz="8" w:space="0" w:color="auto"/>
            </w:tcBorders>
            <w:tcMar>
              <w:top w:w="0" w:type="dxa"/>
              <w:left w:w="142" w:type="dxa"/>
              <w:bottom w:w="0" w:type="dxa"/>
              <w:right w:w="142" w:type="dxa"/>
            </w:tcMar>
            <w:hideMark/>
          </w:tcPr>
          <w:p w14:paraId="30E654A7"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Maksymalne dopuszczalne różnice </w:t>
            </w:r>
            <w:r w:rsidRPr="001667DB">
              <w:rPr>
                <w:rFonts w:ascii="Times New Roman" w:hAnsi="Times New Roman" w:cs="Times New Roman"/>
                <w:color w:val="000000" w:themeColor="text1"/>
              </w:rPr>
              <w:lastRenderedPageBreak/>
              <w:t xml:space="preserve">pomiędzy pomiarami dwóch przekątnych prostokątnej kostki, której długość przekątnych przekracza 300 mm </w:t>
            </w:r>
          </w:p>
        </w:tc>
        <w:tc>
          <w:tcPr>
            <w:tcW w:w="1134" w:type="dxa"/>
            <w:vMerge w:val="restart"/>
            <w:tcBorders>
              <w:top w:val="nil"/>
              <w:left w:val="nil"/>
              <w:bottom w:val="single" w:sz="8" w:space="0" w:color="auto"/>
              <w:right w:val="single" w:sz="8" w:space="0" w:color="auto"/>
            </w:tcBorders>
            <w:tcMar>
              <w:top w:w="0" w:type="dxa"/>
              <w:left w:w="142" w:type="dxa"/>
              <w:bottom w:w="0" w:type="dxa"/>
              <w:right w:w="142" w:type="dxa"/>
            </w:tcMar>
            <w:hideMark/>
          </w:tcPr>
          <w:p w14:paraId="0F4A614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lastRenderedPageBreak/>
              <w:t>C</w:t>
            </w:r>
          </w:p>
          <w:p w14:paraId="33830676"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790" w:type="dxa"/>
            <w:gridSpan w:val="2"/>
            <w:tcBorders>
              <w:top w:val="nil"/>
              <w:left w:val="nil"/>
              <w:bottom w:val="single" w:sz="8" w:space="0" w:color="auto"/>
              <w:right w:val="single" w:sz="8" w:space="0" w:color="auto"/>
            </w:tcBorders>
            <w:tcMar>
              <w:top w:w="0" w:type="dxa"/>
              <w:left w:w="142" w:type="dxa"/>
              <w:bottom w:w="0" w:type="dxa"/>
              <w:right w:w="142" w:type="dxa"/>
            </w:tcMar>
            <w:hideMark/>
          </w:tcPr>
          <w:p w14:paraId="449BA7A5"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Klasa</w:t>
            </w:r>
          </w:p>
        </w:tc>
        <w:tc>
          <w:tcPr>
            <w:tcW w:w="137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27B496C"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Znakowanie</w:t>
            </w:r>
          </w:p>
        </w:tc>
        <w:tc>
          <w:tcPr>
            <w:tcW w:w="2658"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6EBC7DF6"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Maksymalna różnica</w:t>
            </w:r>
          </w:p>
          <w:p w14:paraId="50393C61"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mm</w:t>
            </w:r>
          </w:p>
        </w:tc>
      </w:tr>
      <w:tr w:rsidR="00955A27" w:rsidRPr="001667DB" w14:paraId="2196C5A0" w14:textId="77777777" w:rsidTr="001B4B8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076F5E40"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567F7AC4"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73958FE9"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790" w:type="dxa"/>
            <w:gridSpan w:val="2"/>
            <w:tcBorders>
              <w:top w:val="nil"/>
              <w:left w:val="nil"/>
              <w:bottom w:val="single" w:sz="8" w:space="0" w:color="auto"/>
              <w:right w:val="single" w:sz="8" w:space="0" w:color="auto"/>
            </w:tcBorders>
            <w:tcMar>
              <w:top w:w="0" w:type="dxa"/>
              <w:left w:w="142" w:type="dxa"/>
              <w:bottom w:w="0" w:type="dxa"/>
              <w:right w:w="142" w:type="dxa"/>
            </w:tcMar>
            <w:hideMark/>
          </w:tcPr>
          <w:p w14:paraId="4BBECE4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w:t>
            </w:r>
          </w:p>
          <w:p w14:paraId="71FBBA7A"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137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12DC7D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J</w:t>
            </w:r>
          </w:p>
          <w:p w14:paraId="345958B4"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2658"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62ACCF0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5</w:t>
            </w:r>
          </w:p>
          <w:p w14:paraId="1A900183"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r>
      <w:tr w:rsidR="00955A27" w:rsidRPr="001667DB" w14:paraId="64BB54BA" w14:textId="77777777" w:rsidTr="001B4B8F">
        <w:trPr>
          <w:trHeight w:val="380"/>
          <w:jc w:val="center"/>
        </w:trPr>
        <w:tc>
          <w:tcPr>
            <w:tcW w:w="0" w:type="auto"/>
            <w:vMerge/>
            <w:tcBorders>
              <w:top w:val="nil"/>
              <w:left w:val="single" w:sz="8" w:space="0" w:color="auto"/>
              <w:bottom w:val="single" w:sz="8" w:space="0" w:color="auto"/>
              <w:right w:val="single" w:sz="8" w:space="0" w:color="auto"/>
            </w:tcBorders>
            <w:vAlign w:val="center"/>
            <w:hideMark/>
          </w:tcPr>
          <w:p w14:paraId="30284618"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1415DEB0"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260CC2DB"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790" w:type="dxa"/>
            <w:gridSpan w:val="2"/>
            <w:tcBorders>
              <w:top w:val="nil"/>
              <w:left w:val="nil"/>
              <w:bottom w:val="single" w:sz="8" w:space="0" w:color="auto"/>
              <w:right w:val="single" w:sz="8" w:space="0" w:color="auto"/>
            </w:tcBorders>
            <w:tcMar>
              <w:top w:w="0" w:type="dxa"/>
              <w:left w:w="142" w:type="dxa"/>
              <w:bottom w:w="0" w:type="dxa"/>
              <w:right w:w="142" w:type="dxa"/>
            </w:tcMar>
            <w:hideMark/>
          </w:tcPr>
          <w:p w14:paraId="529C18E2"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w:t>
            </w:r>
          </w:p>
        </w:tc>
        <w:tc>
          <w:tcPr>
            <w:tcW w:w="137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973815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K</w:t>
            </w:r>
          </w:p>
        </w:tc>
        <w:tc>
          <w:tcPr>
            <w:tcW w:w="2658"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6F352437"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w:t>
            </w:r>
          </w:p>
        </w:tc>
      </w:tr>
      <w:tr w:rsidR="00955A27" w:rsidRPr="001667DB" w14:paraId="1AB4067D" w14:textId="77777777" w:rsidTr="001B4B8F">
        <w:trPr>
          <w:trHeight w:val="1210"/>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01AE626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1.3.</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1A02B6EF"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Odchyłki płaskości i pofalowania (jeśli maksymalne wymiary kostki </w:t>
            </w:r>
            <w:r w:rsidR="00AA7AC8">
              <w:rPr>
                <w:rFonts w:ascii="Times New Roman" w:hAnsi="Times New Roman" w:cs="Times New Roman"/>
                <w:color w:val="000000" w:themeColor="text1"/>
              </w:rPr>
              <w:t>&gt;</w:t>
            </w:r>
            <w:r w:rsidRPr="001667DB">
              <w:rPr>
                <w:rFonts w:ascii="Times New Roman" w:hAnsi="Times New Roman" w:cs="Times New Roman"/>
                <w:color w:val="000000" w:themeColor="text1"/>
              </w:rPr>
              <w:t xml:space="preserve"> 300 mm), przy długości pomiarowej:</w:t>
            </w:r>
          </w:p>
          <w:p w14:paraId="75309F4D"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300 mm</w:t>
            </w:r>
          </w:p>
          <w:p w14:paraId="655C51D2"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400 mm</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21BBC114"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C</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3AEAE34C"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Maksymalna (w mm)</w:t>
            </w:r>
          </w:p>
          <w:p w14:paraId="601EBBF1"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161CE485"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wypukłość                   wklęsłość</w:t>
            </w:r>
          </w:p>
          <w:p w14:paraId="6D777F3B"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1,5                             1,0</w:t>
            </w:r>
          </w:p>
          <w:p w14:paraId="1C58EE20"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2,0                             1,5</w:t>
            </w:r>
          </w:p>
        </w:tc>
      </w:tr>
      <w:tr w:rsidR="00955A27" w:rsidRPr="001667DB" w14:paraId="2CC40427"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07699A1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w:t>
            </w:r>
          </w:p>
        </w:tc>
        <w:tc>
          <w:tcPr>
            <w:tcW w:w="8794" w:type="dxa"/>
            <w:gridSpan w:val="9"/>
            <w:tcBorders>
              <w:top w:val="nil"/>
              <w:left w:val="nil"/>
              <w:bottom w:val="single" w:sz="8" w:space="0" w:color="auto"/>
              <w:right w:val="single" w:sz="8" w:space="0" w:color="auto"/>
            </w:tcBorders>
            <w:tcMar>
              <w:top w:w="0" w:type="dxa"/>
              <w:left w:w="142" w:type="dxa"/>
              <w:bottom w:w="0" w:type="dxa"/>
              <w:right w:w="142" w:type="dxa"/>
            </w:tcMar>
            <w:hideMark/>
          </w:tcPr>
          <w:p w14:paraId="794A26EB"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b/>
                <w:bCs/>
                <w:color w:val="000000" w:themeColor="text1"/>
              </w:rPr>
              <w:t>Właściwości fizyczne i mechaniczne</w:t>
            </w:r>
          </w:p>
        </w:tc>
      </w:tr>
      <w:tr w:rsidR="00955A27" w:rsidRPr="001667DB" w14:paraId="5CCCEEA7"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76E00C87"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2.1.</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0C4D985F"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Odporność na zamrażanie/rozmrażanie z udziałem soli odladzających (wg klasy 3, oznaczenie D)</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17DB3BC5"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D</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5090C470" w14:textId="77777777" w:rsidR="00955A27" w:rsidRPr="001667DB" w:rsidRDefault="00955A27" w:rsidP="00AA7AC8">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Ubytek masy po badaniu: wartość średnia </w:t>
            </w:r>
            <w:r w:rsidR="00AA7AC8">
              <w:rPr>
                <w:rFonts w:ascii="Times New Roman" w:hAnsi="Times New Roman" w:cs="Times New Roman"/>
                <w:color w:val="000000" w:themeColor="text1"/>
              </w:rPr>
              <w:t>≤</w:t>
            </w:r>
            <w:r w:rsidRPr="001667DB">
              <w:rPr>
                <w:rFonts w:ascii="Times New Roman" w:hAnsi="Times New Roman" w:cs="Times New Roman"/>
                <w:color w:val="000000" w:themeColor="text1"/>
              </w:rPr>
              <w:t xml:space="preserve"> 1,0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przy czym każdy pojedynczy wynik </w:t>
            </w:r>
            <w:r w:rsidR="00AA7AC8">
              <w:rPr>
                <w:rFonts w:ascii="Times New Roman" w:hAnsi="Times New Roman" w:cs="Times New Roman"/>
                <w:color w:val="000000" w:themeColor="text1"/>
              </w:rPr>
              <w:t>&lt;</w:t>
            </w:r>
            <w:r w:rsidRPr="001667DB">
              <w:rPr>
                <w:rFonts w:ascii="Times New Roman" w:hAnsi="Times New Roman" w:cs="Times New Roman"/>
                <w:color w:val="000000" w:themeColor="text1"/>
              </w:rPr>
              <w:t xml:space="preserve"> 1,5 kg/m</w:t>
            </w:r>
            <w:r w:rsidRPr="001667DB">
              <w:rPr>
                <w:rFonts w:ascii="Times New Roman" w:hAnsi="Times New Roman" w:cs="Times New Roman"/>
                <w:color w:val="000000" w:themeColor="text1"/>
                <w:vertAlign w:val="superscript"/>
              </w:rPr>
              <w:t>2</w:t>
            </w:r>
          </w:p>
        </w:tc>
      </w:tr>
      <w:tr w:rsidR="00955A27" w:rsidRPr="001667DB" w14:paraId="5BEBDBEF"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3CEC611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2.2.</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5354D8AA"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Wytrzymałość na rozciąganie przy rozłupywaniu</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7908C586"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F</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608EA8BA" w14:textId="77777777" w:rsidR="00955A27" w:rsidRPr="001667DB" w:rsidRDefault="00955A27" w:rsidP="00AA7AC8">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Wytrzymałość charakterystyczna T </w:t>
            </w:r>
            <w:r w:rsidR="00AA7AC8">
              <w:rPr>
                <w:rFonts w:ascii="Times New Roman" w:hAnsi="Times New Roman" w:cs="Times New Roman"/>
                <w:color w:val="000000" w:themeColor="text1"/>
              </w:rPr>
              <w:t>≥</w:t>
            </w:r>
            <w:r w:rsidRPr="001667DB">
              <w:rPr>
                <w:rFonts w:ascii="Times New Roman" w:hAnsi="Times New Roman" w:cs="Times New Roman"/>
                <w:color w:val="000000" w:themeColor="text1"/>
              </w:rPr>
              <w:t xml:space="preserve"> 3,6 MPa. Każdy pojedynczy wynik </w:t>
            </w:r>
            <w:r w:rsidR="00AA7AC8">
              <w:rPr>
                <w:rFonts w:ascii="Times New Roman" w:hAnsi="Times New Roman" w:cs="Times New Roman"/>
                <w:color w:val="000000" w:themeColor="text1"/>
              </w:rPr>
              <w:t>≥</w:t>
            </w:r>
            <w:r w:rsidRPr="001667DB">
              <w:rPr>
                <w:rFonts w:ascii="Times New Roman" w:hAnsi="Times New Roman" w:cs="Times New Roman"/>
                <w:color w:val="000000" w:themeColor="text1"/>
              </w:rPr>
              <w:t xml:space="preserve"> 2,9 MPa i nie powinien wykazywać obciążenia niszczącego mniejszego niż 250 N/mm długości rozłupania</w:t>
            </w:r>
          </w:p>
        </w:tc>
      </w:tr>
      <w:tr w:rsidR="00955A27" w:rsidRPr="001667DB" w14:paraId="57E01C63"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02613D0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2.3.</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676F5A9C"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Odporność na warunki atmosferyczne – nasiąkliwość</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35F3F26F"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E</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6AA85C0C"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Żadna z kostek nie powinna mieć nasiąkliwości większej niż 5% dla klasy 2 ( B )</w:t>
            </w:r>
          </w:p>
        </w:tc>
      </w:tr>
      <w:tr w:rsidR="00955A27" w:rsidRPr="001667DB" w14:paraId="0D27CD80" w14:textId="77777777" w:rsidTr="001B4B8F">
        <w:trPr>
          <w:trHeight w:val="135"/>
          <w:jc w:val="center"/>
        </w:trPr>
        <w:tc>
          <w:tcPr>
            <w:tcW w:w="562" w:type="dxa"/>
            <w:vMerge w:val="restart"/>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4BADEE9C"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2.4.</w:t>
            </w:r>
          </w:p>
        </w:tc>
        <w:tc>
          <w:tcPr>
            <w:tcW w:w="2835" w:type="dxa"/>
            <w:vMerge w:val="restart"/>
            <w:tcBorders>
              <w:top w:val="nil"/>
              <w:left w:val="nil"/>
              <w:bottom w:val="single" w:sz="8" w:space="0" w:color="auto"/>
              <w:right w:val="single" w:sz="8" w:space="0" w:color="auto"/>
            </w:tcBorders>
            <w:tcMar>
              <w:top w:w="0" w:type="dxa"/>
              <w:left w:w="142" w:type="dxa"/>
              <w:bottom w:w="0" w:type="dxa"/>
              <w:right w:w="142" w:type="dxa"/>
            </w:tcMar>
            <w:hideMark/>
          </w:tcPr>
          <w:p w14:paraId="6AA7BF0B"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Odporność na ścieranie </w:t>
            </w:r>
          </w:p>
        </w:tc>
        <w:tc>
          <w:tcPr>
            <w:tcW w:w="1134" w:type="dxa"/>
            <w:vMerge w:val="restart"/>
            <w:tcBorders>
              <w:top w:val="nil"/>
              <w:left w:val="nil"/>
              <w:bottom w:val="single" w:sz="8" w:space="0" w:color="auto"/>
              <w:right w:val="single" w:sz="8" w:space="0" w:color="auto"/>
            </w:tcBorders>
            <w:tcMar>
              <w:top w:w="0" w:type="dxa"/>
              <w:left w:w="142" w:type="dxa"/>
              <w:bottom w:w="0" w:type="dxa"/>
              <w:right w:w="142" w:type="dxa"/>
            </w:tcMar>
            <w:hideMark/>
          </w:tcPr>
          <w:p w14:paraId="40590A2C"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G i H</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32E81985"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Pomiar wykonany na tarczy</w:t>
            </w:r>
          </w:p>
        </w:tc>
      </w:tr>
      <w:tr w:rsidR="00955A27" w:rsidRPr="001667DB" w14:paraId="796E4B9E" w14:textId="77777777" w:rsidTr="001B4B8F">
        <w:trPr>
          <w:trHeight w:val="135"/>
          <w:jc w:val="center"/>
        </w:trPr>
        <w:tc>
          <w:tcPr>
            <w:tcW w:w="0" w:type="auto"/>
            <w:vMerge/>
            <w:tcBorders>
              <w:top w:val="nil"/>
              <w:left w:val="single" w:sz="8" w:space="0" w:color="auto"/>
              <w:bottom w:val="single" w:sz="8" w:space="0" w:color="auto"/>
              <w:right w:val="single" w:sz="8" w:space="0" w:color="auto"/>
            </w:tcBorders>
            <w:vAlign w:val="center"/>
            <w:hideMark/>
          </w:tcPr>
          <w:p w14:paraId="4B03543B"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59C34621"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33665301"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637" w:type="dxa"/>
            <w:tcBorders>
              <w:top w:val="nil"/>
              <w:left w:val="nil"/>
              <w:bottom w:val="single" w:sz="8" w:space="0" w:color="auto"/>
              <w:right w:val="single" w:sz="8" w:space="0" w:color="auto"/>
            </w:tcBorders>
            <w:tcMar>
              <w:top w:w="0" w:type="dxa"/>
              <w:left w:w="142" w:type="dxa"/>
              <w:bottom w:w="0" w:type="dxa"/>
              <w:right w:w="142" w:type="dxa"/>
            </w:tcMar>
            <w:hideMark/>
          </w:tcPr>
          <w:p w14:paraId="778B203B"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klasy</w:t>
            </w:r>
          </w:p>
          <w:p w14:paraId="2F607397"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70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23F40F3" w14:textId="77777777" w:rsidR="00955A27" w:rsidRPr="001667DB" w:rsidRDefault="00955A27" w:rsidP="00955A27">
            <w:pPr>
              <w:spacing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oznaczenie</w:t>
            </w:r>
          </w:p>
          <w:p w14:paraId="6FAB5CA0"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tc>
        <w:tc>
          <w:tcPr>
            <w:tcW w:w="1700"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1C0D68BA"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szerokiej ściernej, wg zał. G </w:t>
            </w:r>
          </w:p>
          <w:p w14:paraId="49777220"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spacing w:val="-2"/>
              </w:rPr>
              <w:lastRenderedPageBreak/>
              <w:t>normy – badanie podstawowe</w:t>
            </w:r>
          </w:p>
        </w:tc>
        <w:tc>
          <w:tcPr>
            <w:tcW w:w="1779" w:type="dxa"/>
            <w:tcBorders>
              <w:top w:val="nil"/>
              <w:left w:val="nil"/>
              <w:bottom w:val="single" w:sz="8" w:space="0" w:color="auto"/>
              <w:right w:val="single" w:sz="8" w:space="0" w:color="auto"/>
            </w:tcBorders>
            <w:tcMar>
              <w:top w:w="0" w:type="dxa"/>
              <w:left w:w="142" w:type="dxa"/>
              <w:bottom w:w="0" w:type="dxa"/>
              <w:right w:w="142" w:type="dxa"/>
            </w:tcMar>
            <w:hideMark/>
          </w:tcPr>
          <w:p w14:paraId="06620534"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lastRenderedPageBreak/>
              <w:t>Böhmego, wg zał. H normy – badanie alternatywne</w:t>
            </w:r>
          </w:p>
        </w:tc>
      </w:tr>
      <w:tr w:rsidR="00955A27" w:rsidRPr="001667DB" w14:paraId="16EDFC86" w14:textId="77777777" w:rsidTr="001B4B8F">
        <w:trPr>
          <w:trHeight w:val="240"/>
          <w:jc w:val="center"/>
        </w:trPr>
        <w:tc>
          <w:tcPr>
            <w:tcW w:w="0" w:type="auto"/>
            <w:vMerge/>
            <w:tcBorders>
              <w:top w:val="nil"/>
              <w:left w:val="single" w:sz="8" w:space="0" w:color="auto"/>
              <w:bottom w:val="single" w:sz="8" w:space="0" w:color="auto"/>
              <w:right w:val="single" w:sz="8" w:space="0" w:color="auto"/>
            </w:tcBorders>
            <w:vAlign w:val="center"/>
            <w:hideMark/>
          </w:tcPr>
          <w:p w14:paraId="1757E14A"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216A9526"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10E88E4D"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637" w:type="dxa"/>
            <w:tcBorders>
              <w:top w:val="nil"/>
              <w:left w:val="nil"/>
              <w:bottom w:val="single" w:sz="8" w:space="0" w:color="auto"/>
              <w:right w:val="single" w:sz="8" w:space="0" w:color="auto"/>
            </w:tcBorders>
            <w:tcMar>
              <w:top w:w="0" w:type="dxa"/>
              <w:left w:w="142" w:type="dxa"/>
              <w:bottom w:w="0" w:type="dxa"/>
              <w:right w:w="142" w:type="dxa"/>
            </w:tcMar>
            <w:hideMark/>
          </w:tcPr>
          <w:p w14:paraId="44A7DBFE"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1</w:t>
            </w:r>
          </w:p>
        </w:tc>
        <w:tc>
          <w:tcPr>
            <w:tcW w:w="70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6AF65B4"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F</w:t>
            </w:r>
          </w:p>
        </w:tc>
        <w:tc>
          <w:tcPr>
            <w:tcW w:w="1700"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41DDA0B4"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Nie określa się</w:t>
            </w:r>
          </w:p>
        </w:tc>
        <w:tc>
          <w:tcPr>
            <w:tcW w:w="1779" w:type="dxa"/>
            <w:tcBorders>
              <w:top w:val="nil"/>
              <w:left w:val="nil"/>
              <w:bottom w:val="single" w:sz="8" w:space="0" w:color="auto"/>
              <w:right w:val="single" w:sz="8" w:space="0" w:color="auto"/>
            </w:tcBorders>
            <w:tcMar>
              <w:top w:w="0" w:type="dxa"/>
              <w:left w:w="142" w:type="dxa"/>
              <w:bottom w:w="0" w:type="dxa"/>
              <w:right w:w="142" w:type="dxa"/>
            </w:tcMar>
            <w:hideMark/>
          </w:tcPr>
          <w:p w14:paraId="6E6AEC09"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Nie określa się</w:t>
            </w:r>
          </w:p>
        </w:tc>
      </w:tr>
      <w:tr w:rsidR="00955A27" w:rsidRPr="001667DB" w14:paraId="3F3DCCB1" w14:textId="77777777" w:rsidTr="001B4B8F">
        <w:trPr>
          <w:trHeight w:val="240"/>
          <w:jc w:val="center"/>
        </w:trPr>
        <w:tc>
          <w:tcPr>
            <w:tcW w:w="0" w:type="auto"/>
            <w:vMerge/>
            <w:tcBorders>
              <w:top w:val="nil"/>
              <w:left w:val="single" w:sz="8" w:space="0" w:color="auto"/>
              <w:bottom w:val="single" w:sz="8" w:space="0" w:color="auto"/>
              <w:right w:val="single" w:sz="8" w:space="0" w:color="auto"/>
            </w:tcBorders>
            <w:vAlign w:val="center"/>
            <w:hideMark/>
          </w:tcPr>
          <w:p w14:paraId="42FD5FD8"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0D52C008"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3A9DAF39"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637" w:type="dxa"/>
            <w:tcBorders>
              <w:top w:val="nil"/>
              <w:left w:val="nil"/>
              <w:bottom w:val="single" w:sz="8" w:space="0" w:color="auto"/>
              <w:right w:val="single" w:sz="8" w:space="0" w:color="auto"/>
            </w:tcBorders>
            <w:tcMar>
              <w:top w:w="0" w:type="dxa"/>
              <w:left w:w="142" w:type="dxa"/>
              <w:bottom w:w="0" w:type="dxa"/>
              <w:right w:w="142" w:type="dxa"/>
            </w:tcMar>
            <w:hideMark/>
          </w:tcPr>
          <w:p w14:paraId="4E58000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w:t>
            </w:r>
          </w:p>
        </w:tc>
        <w:tc>
          <w:tcPr>
            <w:tcW w:w="70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10558EB"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H</w:t>
            </w:r>
          </w:p>
        </w:tc>
        <w:tc>
          <w:tcPr>
            <w:tcW w:w="1700"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65310370" w14:textId="77777777" w:rsidR="00955A27" w:rsidRPr="001667DB" w:rsidRDefault="00AA7AC8" w:rsidP="00955A27">
            <w:pPr>
              <w:spacing w:before="20" w:after="120" w:line="360" w:lineRule="auto"/>
              <w:jc w:val="center"/>
              <w:rPr>
                <w:rFonts w:ascii="Times New Roman" w:eastAsia="Calibri" w:hAnsi="Times New Roman" w:cs="Times New Roman"/>
                <w:color w:val="000000" w:themeColor="text1"/>
              </w:rPr>
            </w:pPr>
            <w:r>
              <w:rPr>
                <w:rFonts w:ascii="Times New Roman" w:hAnsi="Times New Roman" w:cs="Times New Roman"/>
                <w:color w:val="000000" w:themeColor="text1"/>
              </w:rPr>
              <w:t>≤</w:t>
            </w:r>
            <w:r w:rsidR="00955A27" w:rsidRPr="001667DB">
              <w:rPr>
                <w:rFonts w:ascii="Times New Roman" w:hAnsi="Times New Roman" w:cs="Times New Roman"/>
                <w:color w:val="000000" w:themeColor="text1"/>
              </w:rPr>
              <w:t xml:space="preserve"> 23 mm</w:t>
            </w:r>
          </w:p>
        </w:tc>
        <w:tc>
          <w:tcPr>
            <w:tcW w:w="1779" w:type="dxa"/>
            <w:tcBorders>
              <w:top w:val="nil"/>
              <w:left w:val="nil"/>
              <w:bottom w:val="single" w:sz="8" w:space="0" w:color="auto"/>
              <w:right w:val="single" w:sz="8" w:space="0" w:color="auto"/>
            </w:tcBorders>
            <w:tcMar>
              <w:top w:w="0" w:type="dxa"/>
              <w:left w:w="142" w:type="dxa"/>
              <w:bottom w:w="0" w:type="dxa"/>
              <w:right w:w="142" w:type="dxa"/>
            </w:tcMar>
            <w:hideMark/>
          </w:tcPr>
          <w:p w14:paraId="245DD840" w14:textId="77777777" w:rsidR="00955A27" w:rsidRPr="001667DB" w:rsidRDefault="00AA7AC8" w:rsidP="00955A27">
            <w:pPr>
              <w:spacing w:before="20" w:after="120" w:line="360" w:lineRule="auto"/>
              <w:jc w:val="center"/>
              <w:rPr>
                <w:rFonts w:ascii="Times New Roman" w:eastAsia="Calibri" w:hAnsi="Times New Roman" w:cs="Times New Roman"/>
                <w:color w:val="000000" w:themeColor="text1"/>
              </w:rPr>
            </w:pPr>
            <w:r>
              <w:rPr>
                <w:rFonts w:ascii="Times New Roman" w:hAnsi="Times New Roman" w:cs="Times New Roman"/>
                <w:color w:val="000000" w:themeColor="text1"/>
              </w:rPr>
              <w:t>≤</w:t>
            </w:r>
            <w:r w:rsidR="00955A27" w:rsidRPr="001667DB">
              <w:rPr>
                <w:rFonts w:ascii="Times New Roman" w:hAnsi="Times New Roman" w:cs="Times New Roman"/>
                <w:color w:val="000000" w:themeColor="text1"/>
              </w:rPr>
              <w:t xml:space="preserve"> 20000 mm</w:t>
            </w:r>
            <w:r w:rsidR="00955A27" w:rsidRPr="001667DB">
              <w:rPr>
                <w:rFonts w:ascii="Times New Roman" w:hAnsi="Times New Roman" w:cs="Times New Roman"/>
                <w:color w:val="000000" w:themeColor="text1"/>
                <w:vertAlign w:val="superscript"/>
              </w:rPr>
              <w:t>3</w:t>
            </w:r>
            <w:r w:rsidR="00955A27" w:rsidRPr="001667DB">
              <w:rPr>
                <w:rFonts w:ascii="Times New Roman" w:hAnsi="Times New Roman" w:cs="Times New Roman"/>
                <w:color w:val="000000" w:themeColor="text1"/>
              </w:rPr>
              <w:t>/5000 mm</w:t>
            </w:r>
            <w:r w:rsidR="00955A27" w:rsidRPr="001667DB">
              <w:rPr>
                <w:rFonts w:ascii="Times New Roman" w:hAnsi="Times New Roman" w:cs="Times New Roman"/>
                <w:color w:val="000000" w:themeColor="text1"/>
                <w:vertAlign w:val="superscript"/>
              </w:rPr>
              <w:t>2</w:t>
            </w:r>
          </w:p>
        </w:tc>
      </w:tr>
      <w:tr w:rsidR="00955A27" w:rsidRPr="001667DB" w14:paraId="31224E41" w14:textId="77777777" w:rsidTr="001B4B8F">
        <w:trPr>
          <w:trHeight w:val="200"/>
          <w:jc w:val="center"/>
        </w:trPr>
        <w:tc>
          <w:tcPr>
            <w:tcW w:w="0" w:type="auto"/>
            <w:vMerge/>
            <w:tcBorders>
              <w:top w:val="nil"/>
              <w:left w:val="single" w:sz="8" w:space="0" w:color="auto"/>
              <w:bottom w:val="single" w:sz="8" w:space="0" w:color="auto"/>
              <w:right w:val="single" w:sz="8" w:space="0" w:color="auto"/>
            </w:tcBorders>
            <w:vAlign w:val="center"/>
            <w:hideMark/>
          </w:tcPr>
          <w:p w14:paraId="40E27A0B"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4B70C65F"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0" w:type="auto"/>
            <w:vMerge/>
            <w:tcBorders>
              <w:top w:val="nil"/>
              <w:left w:val="nil"/>
              <w:bottom w:val="single" w:sz="8" w:space="0" w:color="auto"/>
              <w:right w:val="single" w:sz="8" w:space="0" w:color="auto"/>
            </w:tcBorders>
            <w:vAlign w:val="center"/>
            <w:hideMark/>
          </w:tcPr>
          <w:p w14:paraId="40770434" w14:textId="77777777" w:rsidR="00955A27" w:rsidRPr="001667DB" w:rsidRDefault="00955A27" w:rsidP="00955A27">
            <w:pPr>
              <w:spacing w:after="120" w:line="360" w:lineRule="auto"/>
              <w:rPr>
                <w:rFonts w:ascii="Times New Roman" w:eastAsia="Calibri" w:hAnsi="Times New Roman" w:cs="Times New Roman"/>
                <w:color w:val="000000" w:themeColor="text1"/>
              </w:rPr>
            </w:pPr>
          </w:p>
        </w:tc>
        <w:tc>
          <w:tcPr>
            <w:tcW w:w="637" w:type="dxa"/>
            <w:tcBorders>
              <w:top w:val="nil"/>
              <w:left w:val="nil"/>
              <w:bottom w:val="single" w:sz="8" w:space="0" w:color="auto"/>
              <w:right w:val="single" w:sz="8" w:space="0" w:color="auto"/>
            </w:tcBorders>
            <w:tcMar>
              <w:top w:w="0" w:type="dxa"/>
              <w:left w:w="142" w:type="dxa"/>
              <w:bottom w:w="0" w:type="dxa"/>
              <w:right w:w="142" w:type="dxa"/>
            </w:tcMar>
            <w:hideMark/>
          </w:tcPr>
          <w:p w14:paraId="30E902A1"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4</w:t>
            </w:r>
          </w:p>
        </w:tc>
        <w:tc>
          <w:tcPr>
            <w:tcW w:w="70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61695C1"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I</w:t>
            </w:r>
          </w:p>
        </w:tc>
        <w:tc>
          <w:tcPr>
            <w:tcW w:w="1700" w:type="dxa"/>
            <w:gridSpan w:val="3"/>
            <w:tcBorders>
              <w:top w:val="nil"/>
              <w:left w:val="nil"/>
              <w:bottom w:val="single" w:sz="8" w:space="0" w:color="auto"/>
              <w:right w:val="single" w:sz="8" w:space="0" w:color="auto"/>
            </w:tcBorders>
            <w:tcMar>
              <w:top w:w="0" w:type="dxa"/>
              <w:left w:w="142" w:type="dxa"/>
              <w:bottom w:w="0" w:type="dxa"/>
              <w:right w:w="142" w:type="dxa"/>
            </w:tcMar>
            <w:hideMark/>
          </w:tcPr>
          <w:p w14:paraId="5B7C00F3" w14:textId="77777777" w:rsidR="00955A27" w:rsidRPr="001667DB" w:rsidRDefault="00AA7AC8" w:rsidP="00955A27">
            <w:pPr>
              <w:spacing w:before="20" w:after="120" w:line="360" w:lineRule="auto"/>
              <w:jc w:val="center"/>
              <w:rPr>
                <w:rFonts w:ascii="Times New Roman" w:eastAsia="Calibri" w:hAnsi="Times New Roman" w:cs="Times New Roman"/>
                <w:color w:val="000000" w:themeColor="text1"/>
              </w:rPr>
            </w:pPr>
            <w:r>
              <w:rPr>
                <w:rFonts w:ascii="Times New Roman" w:hAnsi="Times New Roman" w:cs="Times New Roman"/>
                <w:color w:val="000000" w:themeColor="text1"/>
              </w:rPr>
              <w:t>≤</w:t>
            </w:r>
            <w:r w:rsidR="00955A27" w:rsidRPr="001667DB">
              <w:rPr>
                <w:rFonts w:ascii="Times New Roman" w:hAnsi="Times New Roman" w:cs="Times New Roman"/>
                <w:color w:val="000000" w:themeColor="text1"/>
              </w:rPr>
              <w:t xml:space="preserve"> 20 mm</w:t>
            </w:r>
          </w:p>
        </w:tc>
        <w:tc>
          <w:tcPr>
            <w:tcW w:w="1779" w:type="dxa"/>
            <w:tcBorders>
              <w:top w:val="nil"/>
              <w:left w:val="nil"/>
              <w:bottom w:val="single" w:sz="8" w:space="0" w:color="auto"/>
              <w:right w:val="single" w:sz="8" w:space="0" w:color="auto"/>
            </w:tcBorders>
            <w:tcMar>
              <w:top w:w="0" w:type="dxa"/>
              <w:left w:w="142" w:type="dxa"/>
              <w:bottom w:w="0" w:type="dxa"/>
              <w:right w:w="142" w:type="dxa"/>
            </w:tcMar>
            <w:hideMark/>
          </w:tcPr>
          <w:p w14:paraId="3F3D6396" w14:textId="77777777" w:rsidR="00955A27" w:rsidRPr="001667DB" w:rsidRDefault="00AA7AC8" w:rsidP="00955A27">
            <w:pPr>
              <w:spacing w:before="20" w:after="120" w:line="360" w:lineRule="auto"/>
              <w:jc w:val="center"/>
              <w:rPr>
                <w:rFonts w:ascii="Times New Roman" w:eastAsia="Calibri" w:hAnsi="Times New Roman" w:cs="Times New Roman"/>
                <w:color w:val="000000" w:themeColor="text1"/>
              </w:rPr>
            </w:pPr>
            <w:r>
              <w:rPr>
                <w:rFonts w:ascii="Times New Roman" w:hAnsi="Times New Roman" w:cs="Times New Roman"/>
                <w:color w:val="000000" w:themeColor="text1"/>
              </w:rPr>
              <w:t>≤</w:t>
            </w:r>
            <w:r w:rsidR="00955A27" w:rsidRPr="001667DB">
              <w:rPr>
                <w:rFonts w:ascii="Times New Roman" w:hAnsi="Times New Roman" w:cs="Times New Roman"/>
                <w:color w:val="000000" w:themeColor="text1"/>
              </w:rPr>
              <w:t xml:space="preserve"> 18000 mm</w:t>
            </w:r>
            <w:r w:rsidR="00955A27" w:rsidRPr="001667DB">
              <w:rPr>
                <w:rFonts w:ascii="Times New Roman" w:hAnsi="Times New Roman" w:cs="Times New Roman"/>
                <w:color w:val="000000" w:themeColor="text1"/>
                <w:vertAlign w:val="superscript"/>
              </w:rPr>
              <w:t>3</w:t>
            </w:r>
            <w:r w:rsidR="00955A27" w:rsidRPr="001667DB">
              <w:rPr>
                <w:rFonts w:ascii="Times New Roman" w:hAnsi="Times New Roman" w:cs="Times New Roman"/>
                <w:color w:val="000000" w:themeColor="text1"/>
              </w:rPr>
              <w:t>/5000 mm</w:t>
            </w:r>
            <w:r w:rsidR="00955A27" w:rsidRPr="001667DB">
              <w:rPr>
                <w:rFonts w:ascii="Times New Roman" w:hAnsi="Times New Roman" w:cs="Times New Roman"/>
                <w:color w:val="000000" w:themeColor="text1"/>
                <w:vertAlign w:val="superscript"/>
              </w:rPr>
              <w:t>2</w:t>
            </w:r>
          </w:p>
        </w:tc>
      </w:tr>
      <w:tr w:rsidR="00955A27" w:rsidRPr="001667DB" w14:paraId="74B3B991"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0C20E88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2.5.</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65849559"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Odporność na poślizg/poślizgnięcie</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2A62542B"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I</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1943D17C"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t xml:space="preserve">a) jeśli górna powierzchnia kostki nie była szlifowana lub polerowana  w celu uzyskania bardzo gładkiej powierzchni – zadowalająca odporność </w:t>
            </w:r>
          </w:p>
          <w:p w14:paraId="59C8500C"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t>b) jeśli wyjątkowo wymaga się podania wartości odporności na poślizg/poślizgniecie – należy zadeklarować minimalną jej wartość pomierzoną wg zał. I normy (wahadłowym przyrządem do badania tarcia)</w:t>
            </w:r>
          </w:p>
        </w:tc>
      </w:tr>
      <w:tr w:rsidR="00955A27" w:rsidRPr="001667DB" w14:paraId="287D9B98"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2DE2EE62"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w:t>
            </w:r>
          </w:p>
        </w:tc>
        <w:tc>
          <w:tcPr>
            <w:tcW w:w="8794" w:type="dxa"/>
            <w:gridSpan w:val="9"/>
            <w:tcBorders>
              <w:top w:val="nil"/>
              <w:left w:val="nil"/>
              <w:bottom w:val="single" w:sz="8" w:space="0" w:color="auto"/>
              <w:right w:val="single" w:sz="8" w:space="0" w:color="auto"/>
            </w:tcBorders>
            <w:tcMar>
              <w:top w:w="0" w:type="dxa"/>
              <w:left w:w="142" w:type="dxa"/>
              <w:bottom w:w="0" w:type="dxa"/>
              <w:right w:w="142" w:type="dxa"/>
            </w:tcMar>
            <w:hideMark/>
          </w:tcPr>
          <w:p w14:paraId="75DFDF12"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b/>
                <w:bCs/>
                <w:color w:val="000000" w:themeColor="text1"/>
              </w:rPr>
              <w:t>Aspekty wizualne</w:t>
            </w:r>
          </w:p>
        </w:tc>
      </w:tr>
      <w:tr w:rsidR="00955A27" w:rsidRPr="001667DB" w14:paraId="736228DF"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75C6D8F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3.1.</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687EE8F4"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Wygląd</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67BBB57A"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J</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272DE52F"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t>a) górna powierzchnia kostki nie powinna mieć rys</w:t>
            </w:r>
            <w:r w:rsidRPr="001667DB">
              <w:rPr>
                <w:rFonts w:ascii="Times New Roman" w:hAnsi="Times New Roman" w:cs="Times New Roman"/>
                <w:color w:val="000000" w:themeColor="text1"/>
              </w:rPr>
              <w:br/>
              <w:t>i odprysków,</w:t>
            </w:r>
          </w:p>
          <w:p w14:paraId="26BE0A14" w14:textId="77777777" w:rsidR="00955A27" w:rsidRPr="001667DB" w:rsidRDefault="00955A27" w:rsidP="00955A27">
            <w:pPr>
              <w:spacing w:before="20" w:after="120" w:line="36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b) nie dopuszcza się rozwarstwień w kostkach dwuwarstwowych,</w:t>
            </w:r>
          </w:p>
          <w:p w14:paraId="6395581C"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t>c)  ewentualne wykwity nie są uważane za istotne</w:t>
            </w:r>
          </w:p>
        </w:tc>
      </w:tr>
      <w:tr w:rsidR="00955A27" w:rsidRPr="001667DB" w14:paraId="391A57C6" w14:textId="77777777" w:rsidTr="001B4B8F">
        <w:trPr>
          <w:jc w:val="center"/>
        </w:trPr>
        <w:tc>
          <w:tcPr>
            <w:tcW w:w="562" w:type="dxa"/>
            <w:tcBorders>
              <w:top w:val="nil"/>
              <w:left w:val="single" w:sz="8" w:space="0" w:color="auto"/>
              <w:bottom w:val="single" w:sz="8" w:space="0" w:color="auto"/>
              <w:right w:val="single" w:sz="8" w:space="0" w:color="auto"/>
            </w:tcBorders>
            <w:tcMar>
              <w:top w:w="0" w:type="dxa"/>
              <w:left w:w="142" w:type="dxa"/>
              <w:bottom w:w="0" w:type="dxa"/>
              <w:right w:w="142" w:type="dxa"/>
            </w:tcMar>
            <w:hideMark/>
          </w:tcPr>
          <w:p w14:paraId="17C6F923"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3.2.</w:t>
            </w:r>
          </w:p>
          <w:p w14:paraId="47506C96" w14:textId="77777777" w:rsidR="00955A27" w:rsidRPr="001667DB" w:rsidRDefault="00955A27" w:rsidP="00955A27">
            <w:pPr>
              <w:spacing w:before="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73628B29" w14:textId="77777777" w:rsidR="00955A27" w:rsidRPr="001667DB" w:rsidRDefault="00955A27" w:rsidP="00955A27">
            <w:pPr>
              <w:spacing w:before="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2681877A" w14:textId="77777777" w:rsidR="00955A27" w:rsidRPr="001667DB" w:rsidRDefault="00955A27" w:rsidP="00955A27">
            <w:pPr>
              <w:spacing w:before="20"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5237163B"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t>3.3.</w:t>
            </w:r>
          </w:p>
        </w:tc>
        <w:tc>
          <w:tcPr>
            <w:tcW w:w="2835" w:type="dxa"/>
            <w:tcBorders>
              <w:top w:val="nil"/>
              <w:left w:val="nil"/>
              <w:bottom w:val="single" w:sz="8" w:space="0" w:color="auto"/>
              <w:right w:val="single" w:sz="8" w:space="0" w:color="auto"/>
            </w:tcBorders>
            <w:tcMar>
              <w:top w:w="0" w:type="dxa"/>
              <w:left w:w="142" w:type="dxa"/>
              <w:bottom w:w="0" w:type="dxa"/>
              <w:right w:w="142" w:type="dxa"/>
            </w:tcMar>
            <w:hideMark/>
          </w:tcPr>
          <w:p w14:paraId="265CB724"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Tekstura</w:t>
            </w:r>
          </w:p>
          <w:p w14:paraId="4DEAB486"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401C475B"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17EA3D43" w14:textId="77777777" w:rsidR="00955A27" w:rsidRPr="001667DB" w:rsidRDefault="00955A27" w:rsidP="00955A27">
            <w:pPr>
              <w:spacing w:before="20"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103CE698" w14:textId="77777777" w:rsidR="00955A27" w:rsidRPr="001667DB" w:rsidRDefault="00955A27" w:rsidP="00955A27">
            <w:pPr>
              <w:spacing w:before="20"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lastRenderedPageBreak/>
              <w:t>Zabarwienie (barwiona może być warstwa ścieralna lub cały element)</w:t>
            </w:r>
          </w:p>
        </w:tc>
        <w:tc>
          <w:tcPr>
            <w:tcW w:w="1134" w:type="dxa"/>
            <w:tcBorders>
              <w:top w:val="nil"/>
              <w:left w:val="nil"/>
              <w:bottom w:val="single" w:sz="8" w:space="0" w:color="auto"/>
              <w:right w:val="single" w:sz="8" w:space="0" w:color="auto"/>
            </w:tcBorders>
            <w:tcMar>
              <w:top w:w="0" w:type="dxa"/>
              <w:left w:w="142" w:type="dxa"/>
              <w:bottom w:w="0" w:type="dxa"/>
              <w:right w:w="142" w:type="dxa"/>
            </w:tcMar>
            <w:hideMark/>
          </w:tcPr>
          <w:p w14:paraId="0B6711FD" w14:textId="77777777" w:rsidR="00955A27" w:rsidRPr="001667DB" w:rsidRDefault="00955A27" w:rsidP="00955A27">
            <w:pPr>
              <w:spacing w:before="20" w:after="120" w:line="360" w:lineRule="auto"/>
              <w:jc w:val="center"/>
              <w:rPr>
                <w:rFonts w:ascii="Times New Roman" w:eastAsia="Calibri" w:hAnsi="Times New Roman" w:cs="Times New Roman"/>
                <w:color w:val="000000" w:themeColor="text1"/>
              </w:rPr>
            </w:pPr>
            <w:r w:rsidRPr="001667DB">
              <w:rPr>
                <w:rFonts w:ascii="Times New Roman" w:hAnsi="Times New Roman" w:cs="Times New Roman"/>
                <w:color w:val="000000" w:themeColor="text1"/>
              </w:rPr>
              <w:lastRenderedPageBreak/>
              <w:t>J</w:t>
            </w:r>
          </w:p>
        </w:tc>
        <w:tc>
          <w:tcPr>
            <w:tcW w:w="4825" w:type="dxa"/>
            <w:gridSpan w:val="7"/>
            <w:tcBorders>
              <w:top w:val="nil"/>
              <w:left w:val="nil"/>
              <w:bottom w:val="single" w:sz="8" w:space="0" w:color="auto"/>
              <w:right w:val="single" w:sz="8" w:space="0" w:color="auto"/>
            </w:tcBorders>
            <w:tcMar>
              <w:top w:w="0" w:type="dxa"/>
              <w:left w:w="142" w:type="dxa"/>
              <w:bottom w:w="0" w:type="dxa"/>
              <w:right w:w="142" w:type="dxa"/>
            </w:tcMar>
            <w:hideMark/>
          </w:tcPr>
          <w:p w14:paraId="0C29D64E"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t>a) kostki z powierzchnią o specjalnej teksturze – producent powinien opisać rodzaj tekstury,</w:t>
            </w:r>
          </w:p>
          <w:p w14:paraId="3C0F1513" w14:textId="77777777" w:rsidR="00955A27" w:rsidRPr="001667DB" w:rsidRDefault="00955A27" w:rsidP="00955A27">
            <w:pPr>
              <w:spacing w:before="20" w:after="120" w:line="36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b) tekstura lub zabarwienie kostki powinny być porównane</w:t>
            </w:r>
            <w:r w:rsidRPr="001667DB">
              <w:rPr>
                <w:rFonts w:ascii="Times New Roman" w:hAnsi="Times New Roman" w:cs="Times New Roman"/>
                <w:color w:val="000000" w:themeColor="text1"/>
              </w:rPr>
              <w:br/>
              <w:t>z próbka producenta, zatwierdzoną przez odbiorcę,</w:t>
            </w:r>
          </w:p>
          <w:p w14:paraId="29A85039" w14:textId="77777777" w:rsidR="00955A27" w:rsidRPr="001667DB" w:rsidRDefault="00955A27" w:rsidP="00955A27">
            <w:pPr>
              <w:spacing w:before="20" w:after="120" w:line="360" w:lineRule="auto"/>
              <w:ind w:left="256" w:hanging="256"/>
              <w:rPr>
                <w:rFonts w:ascii="Times New Roman" w:eastAsia="Calibri" w:hAnsi="Times New Roman" w:cs="Times New Roman"/>
                <w:color w:val="000000" w:themeColor="text1"/>
              </w:rPr>
            </w:pPr>
            <w:r w:rsidRPr="001667DB">
              <w:rPr>
                <w:rFonts w:ascii="Times New Roman" w:hAnsi="Times New Roman" w:cs="Times New Roman"/>
                <w:color w:val="000000" w:themeColor="text1"/>
              </w:rPr>
              <w:lastRenderedPageBreak/>
              <w:t>c)  ewentualne różnice w jednolitości tekstury lub zabarwienia, spowodowane nieuniknionymi zmianami we właściwościach surowców i zmianach warunków twardnienia nie są uważane za istotne</w:t>
            </w:r>
          </w:p>
        </w:tc>
      </w:tr>
      <w:tr w:rsidR="00955A27" w:rsidRPr="001667DB" w14:paraId="14A955C2" w14:textId="77777777" w:rsidTr="001B4B8F">
        <w:trPr>
          <w:jc w:val="center"/>
        </w:trPr>
        <w:tc>
          <w:tcPr>
            <w:tcW w:w="615" w:type="dxa"/>
            <w:vAlign w:val="center"/>
            <w:hideMark/>
          </w:tcPr>
          <w:p w14:paraId="42A62231"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625" w:type="dxa"/>
            <w:vAlign w:val="center"/>
            <w:hideMark/>
          </w:tcPr>
          <w:p w14:paraId="7A7A94C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170" w:type="dxa"/>
            <w:vAlign w:val="center"/>
            <w:hideMark/>
          </w:tcPr>
          <w:p w14:paraId="4BAA947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735" w:type="dxa"/>
            <w:vAlign w:val="center"/>
            <w:hideMark/>
          </w:tcPr>
          <w:p w14:paraId="6A0EBB4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0" w:type="dxa"/>
            <w:vAlign w:val="center"/>
            <w:hideMark/>
          </w:tcPr>
          <w:p w14:paraId="52344E8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945" w:type="dxa"/>
            <w:vAlign w:val="center"/>
            <w:hideMark/>
          </w:tcPr>
          <w:p w14:paraId="3BB5EE9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825" w:type="dxa"/>
            <w:vAlign w:val="center"/>
            <w:hideMark/>
          </w:tcPr>
          <w:p w14:paraId="4D8F8E6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645" w:type="dxa"/>
            <w:vAlign w:val="center"/>
            <w:hideMark/>
          </w:tcPr>
          <w:p w14:paraId="17577E1C"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0" w:type="dxa"/>
            <w:vAlign w:val="center"/>
            <w:hideMark/>
          </w:tcPr>
          <w:p w14:paraId="128DA67B"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1560" w:type="dxa"/>
            <w:vAlign w:val="center"/>
            <w:hideMark/>
          </w:tcPr>
          <w:p w14:paraId="5F3879E6" w14:textId="77777777" w:rsidR="00955A27" w:rsidRPr="001667DB" w:rsidRDefault="00955A27" w:rsidP="00955A27">
            <w:pPr>
              <w:spacing w:after="120" w:line="360" w:lineRule="auto"/>
              <w:rPr>
                <w:rFonts w:ascii="Times New Roman" w:hAnsi="Times New Roman" w:cs="Times New Roman"/>
                <w:color w:val="000000" w:themeColor="text1"/>
              </w:rPr>
            </w:pPr>
          </w:p>
        </w:tc>
      </w:tr>
    </w:tbl>
    <w:p w14:paraId="3F4BA7DA" w14:textId="77777777" w:rsidR="00955A27" w:rsidRPr="001667DB" w:rsidRDefault="00955A27" w:rsidP="00955A27">
      <w:pPr>
        <w:spacing w:after="120" w:line="360" w:lineRule="auto"/>
        <w:rPr>
          <w:rFonts w:ascii="Times New Roman" w:eastAsia="Calibri" w:hAnsi="Times New Roman" w:cs="Times New Roman"/>
          <w:color w:val="000000" w:themeColor="text1"/>
        </w:rPr>
      </w:pPr>
      <w:r w:rsidRPr="001667DB">
        <w:rPr>
          <w:rFonts w:ascii="Times New Roman" w:hAnsi="Times New Roman" w:cs="Times New Roman"/>
          <w:color w:val="000000" w:themeColor="text1"/>
        </w:rPr>
        <w:t> </w:t>
      </w:r>
    </w:p>
    <w:p w14:paraId="54732EC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 przypadku zastosowań kostki na powierzchniach innych niż przewidziano w tablicy 1 (np. na nawierzchniach wewnętrznych nie narażonych na kontakt z solą odladzającą), wymagania wobec kostki należy odpowiednio dostosować do ustaleń PN-EN·1338 .</w:t>
      </w:r>
    </w:p>
    <w:p w14:paraId="61D5BD2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Kostki kolorowe powinny być barwione substancjami odpornymi na działanie czynników atmosferycznych, światła (w tym promieniowania UV) i silnych alkaliów (m.in. cementu, który przy wypełnianiu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5FC5E0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Uwaga: Naloty wapienne (wykwity w postaci białych plam) mogą pojawiać się na powierzchni kostek w początkowym okresie eksploatacji. Powstają one w wyniku naturalnych procesów fizykochemicznych występujących w betonie i zanikają w trakcie użytkowania w okresie do 2-3 lat.</w:t>
      </w:r>
    </w:p>
    <w:p w14:paraId="454DE054" w14:textId="77777777" w:rsidR="00955A27" w:rsidRPr="001667DB" w:rsidRDefault="00955A27" w:rsidP="00955A27">
      <w:pPr>
        <w:spacing w:after="120" w:line="360" w:lineRule="auto"/>
        <w:rPr>
          <w:rFonts w:ascii="Times New Roman" w:hAnsi="Times New Roman" w:cs="Times New Roman"/>
          <w:color w:val="000000" w:themeColor="text1"/>
        </w:rPr>
      </w:pPr>
    </w:p>
    <w:p w14:paraId="57A3D7C5" w14:textId="77777777" w:rsidR="00955A27" w:rsidRPr="001667DB" w:rsidRDefault="00955A27" w:rsidP="00904E6C">
      <w:pPr>
        <w:pStyle w:val="Nagwek3"/>
        <w:numPr>
          <w:ilvl w:val="2"/>
          <w:numId w:val="225"/>
        </w:numPr>
      </w:pPr>
      <w:bookmarkStart w:id="539" w:name="_Toc331335389"/>
      <w:r w:rsidRPr="001667DB">
        <w:t>Składowanie kostek</w:t>
      </w:r>
      <w:bookmarkEnd w:id="539"/>
    </w:p>
    <w:p w14:paraId="439997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Każda partia dostarczonych na budowę betonowych kostek brukowych powinna być  oznaczona zgodnie z pkt. 7 normy PN-EN 1338. Kostkę zaleca się pakować na paletach. Dopuszcza się pakowanie kostki bez palet lecz przy odpowiednio zwiększonej ilości rzędów taśm bandujących. Na budowie palety z kostką mogą być składowane na otwartej przestrzeni, przy czym podłoże powinno być wyrównane i odwodnione. </w:t>
      </w:r>
      <w:r w:rsidRPr="001667DB">
        <w:rPr>
          <w:rFonts w:ascii="Times New Roman" w:hAnsi="Times New Roman" w:cs="Times New Roman"/>
          <w:color w:val="000000" w:themeColor="text1"/>
        </w:rPr>
        <w:cr/>
      </w:r>
    </w:p>
    <w:p w14:paraId="7666467F"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2.3. Materiały na podsypkę i do wypełnienia spoin. </w:t>
      </w:r>
    </w:p>
    <w:p w14:paraId="4CAB697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Podsypkę należy wykonać jako piaskową</w:t>
      </w:r>
    </w:p>
    <w:p w14:paraId="66F94F98" w14:textId="77777777" w:rsidR="00955A27" w:rsidRPr="001667DB" w:rsidRDefault="00955A27" w:rsidP="00904E6C">
      <w:pPr>
        <w:numPr>
          <w:ilvl w:val="0"/>
          <w:numId w:val="212"/>
        </w:numPr>
        <w:tabs>
          <w:tab w:val="left" w:pos="709"/>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piasek na podsypkę piaskową powinien odpowiadać wymaganiom PN-B-06711</w:t>
      </w:r>
    </w:p>
    <w:p w14:paraId="056F6CDD" w14:textId="77777777" w:rsidR="00955A27" w:rsidRPr="001667DB" w:rsidRDefault="00955A27" w:rsidP="00955A27">
      <w:pPr>
        <w:tabs>
          <w:tab w:val="left" w:pos="709"/>
        </w:tabs>
        <w:spacing w:after="120" w:line="360" w:lineRule="auto"/>
        <w:ind w:left="720"/>
        <w:rPr>
          <w:rFonts w:ascii="Times New Roman" w:hAnsi="Times New Roman" w:cs="Times New Roman"/>
          <w:color w:val="000000" w:themeColor="text1"/>
        </w:rPr>
      </w:pPr>
      <w:r w:rsidRPr="001667DB">
        <w:rPr>
          <w:rFonts w:ascii="Times New Roman" w:hAnsi="Times New Roman" w:cs="Times New Roman"/>
          <w:color w:val="000000" w:themeColor="text1"/>
        </w:rPr>
        <w:t>„Kruszywa naturalne. Piasek do zapraw budowlanych”. Użyty piasek nie może</w:t>
      </w:r>
    </w:p>
    <w:p w14:paraId="1EB00A51" w14:textId="77777777" w:rsidR="00955A27" w:rsidRPr="001667DB" w:rsidRDefault="00955A27" w:rsidP="00955A27">
      <w:pPr>
        <w:tabs>
          <w:tab w:val="left" w:pos="709"/>
        </w:tabs>
        <w:spacing w:after="120" w:line="360" w:lineRule="auto"/>
        <w:ind w:left="720"/>
        <w:rPr>
          <w:rFonts w:ascii="Times New Roman" w:hAnsi="Times New Roman" w:cs="Times New Roman"/>
          <w:color w:val="000000" w:themeColor="text1"/>
        </w:rPr>
      </w:pPr>
      <w:r w:rsidRPr="001667DB">
        <w:rPr>
          <w:rFonts w:ascii="Times New Roman" w:hAnsi="Times New Roman" w:cs="Times New Roman"/>
          <w:color w:val="000000" w:themeColor="text1"/>
        </w:rPr>
        <w:t>zawierać domieszek gliny w ilościach przekraczających 5 %,</w:t>
      </w:r>
    </w:p>
    <w:p w14:paraId="62888975" w14:textId="77777777" w:rsidR="00955A27" w:rsidRPr="001667DB" w:rsidRDefault="00955A27" w:rsidP="00904E6C">
      <w:pPr>
        <w:numPr>
          <w:ilvl w:val="0"/>
          <w:numId w:val="212"/>
        </w:numPr>
        <w:tabs>
          <w:tab w:val="left" w:pos="709"/>
        </w:tabs>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piasek do wypełnienia złączy między kostkami wg PN-B-06711 (zalecany</w:t>
      </w:r>
    </w:p>
    <w:p w14:paraId="2B0E4B03" w14:textId="77777777" w:rsidR="00955A27" w:rsidRPr="001667DB" w:rsidRDefault="00955A27" w:rsidP="00955A27">
      <w:pPr>
        <w:tabs>
          <w:tab w:val="left" w:pos="709"/>
        </w:tabs>
        <w:spacing w:after="120" w:line="360" w:lineRule="auto"/>
        <w:ind w:left="720"/>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drobnoziarnisty).</w:t>
      </w:r>
    </w:p>
    <w:p w14:paraId="5E606F14" w14:textId="77777777" w:rsidR="00955A27" w:rsidRPr="001667DB" w:rsidRDefault="00955A27" w:rsidP="00955A27">
      <w:pPr>
        <w:tabs>
          <w:tab w:val="left" w:pos="709"/>
        </w:tabs>
        <w:spacing w:after="120" w:line="360" w:lineRule="auto"/>
        <w:ind w:left="720"/>
        <w:rPr>
          <w:rFonts w:ascii="Times New Roman" w:hAnsi="Times New Roman" w:cs="Times New Roman"/>
          <w:color w:val="000000" w:themeColor="text1"/>
        </w:rPr>
      </w:pPr>
    </w:p>
    <w:p w14:paraId="34924CED" w14:textId="77777777" w:rsidR="00955A27" w:rsidRPr="001667DB" w:rsidRDefault="00955A27" w:rsidP="00955A27">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2.4. Materiały na podbudowę pod nawierzchnię z betonowej kostki brukowej. </w:t>
      </w:r>
    </w:p>
    <w:p w14:paraId="6B9DE0D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Materiały na podbudowę ustalone w Dokumentacji Projektowej powinny odpowiadać wymaganiom właściwej ST lub innym dokumentom zaakceptowanym przez Inżyniera. </w:t>
      </w:r>
    </w:p>
    <w:p w14:paraId="22C74930"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40" w:name="_Toc421940498"/>
      <w:bookmarkStart w:id="541" w:name="_Toc331335401"/>
      <w:r w:rsidRPr="001667DB">
        <w:rPr>
          <w:color w:val="000000" w:themeColor="text1"/>
          <w:sz w:val="22"/>
          <w:szCs w:val="22"/>
        </w:rPr>
        <w:t>sprzęt</w:t>
      </w:r>
      <w:bookmarkEnd w:id="540"/>
      <w:bookmarkEnd w:id="541"/>
    </w:p>
    <w:p w14:paraId="524F6903"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42" w:name="_Toc331335402"/>
      <w:r w:rsidRPr="001667DB">
        <w:rPr>
          <w:color w:val="000000" w:themeColor="text1"/>
          <w:sz w:val="22"/>
          <w:szCs w:val="22"/>
        </w:rPr>
        <w:t>Ogólne wymagania dotyczące sprzętu</w:t>
      </w:r>
      <w:bookmarkEnd w:id="542"/>
    </w:p>
    <w:p w14:paraId="4B7C893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sprzętu podano w ST D-00.00.00 „Wymagania ogólne” [10] pkt 3.</w:t>
      </w:r>
    </w:p>
    <w:p w14:paraId="03A980EB"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43" w:name="_Toc331335403"/>
      <w:r w:rsidRPr="001667DB">
        <w:rPr>
          <w:color w:val="000000" w:themeColor="text1"/>
          <w:sz w:val="22"/>
          <w:szCs w:val="22"/>
        </w:rPr>
        <w:t>Sprzęt do wykonania nawierzchni</w:t>
      </w:r>
      <w:bookmarkEnd w:id="543"/>
      <w:r w:rsidRPr="001667DB">
        <w:rPr>
          <w:color w:val="000000" w:themeColor="text1"/>
          <w:sz w:val="22"/>
          <w:szCs w:val="22"/>
        </w:rPr>
        <w:t xml:space="preserve">  </w:t>
      </w:r>
    </w:p>
    <w:p w14:paraId="18C35AB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Małe powierzchnie nawierzchni z kostki brukowej wykonuje się ręcznie. Jeśli powierzchnie są duże, a kostki brukowe mają jednolity kształt i kolor, można stosować mechaniczne urządzenia układające. Urządzenie składa się z wózka i chwytaka sterowanego hydraulicznie, służącego do przenoszenia z palety warstwy kostek na miejsce ich ułożenia. Urządzenie to, po skończonym układaniu kostek, można wykorzystać do wmiatania odpowiedniego materiału w szczeliny zamocowanymi do chwytaka szczotkami. Wytwarzanie podsypki z mieszanek związanych spoiwem powinno być wykonywane mechanicznie za pomocą urządzeń do tego przeznaczonych (miksery, betoniarki itp.). Do wyrównania podsypki można stosować mechaniczne urządzenie na rolkach, prowadzone linami na szynie lub krawężnikach. Do zagęszczania nawierzchni stosuje się wibratory płytowe z osłoną z materiału elastycznego zabezpieczającego przed zniszczeniem powierzchni kostek brukowych.</w:t>
      </w:r>
    </w:p>
    <w:p w14:paraId="197CD450"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44" w:name="_Toc421940499"/>
      <w:bookmarkStart w:id="545" w:name="_Toc331335404"/>
      <w:r w:rsidRPr="001667DB">
        <w:rPr>
          <w:color w:val="000000" w:themeColor="text1"/>
          <w:sz w:val="22"/>
          <w:szCs w:val="22"/>
        </w:rPr>
        <w:t>transport</w:t>
      </w:r>
      <w:bookmarkEnd w:id="544"/>
      <w:bookmarkEnd w:id="545"/>
    </w:p>
    <w:p w14:paraId="64E9B7C2"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46" w:name="_Toc331335405"/>
      <w:r w:rsidRPr="001667DB">
        <w:rPr>
          <w:color w:val="000000" w:themeColor="text1"/>
          <w:sz w:val="22"/>
          <w:szCs w:val="22"/>
        </w:rPr>
        <w:t>Ogólne wymagania dotyczące transportu</w:t>
      </w:r>
      <w:bookmarkEnd w:id="546"/>
    </w:p>
    <w:p w14:paraId="753B7E3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Ogólne wymagania dotyczące transportu podano w ST D- 00.00.00 „Wymagania ogólne” [10] pkt 4.</w:t>
      </w:r>
    </w:p>
    <w:p w14:paraId="0666F887"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47" w:name="_Toc331335406"/>
      <w:r w:rsidRPr="001667DB">
        <w:rPr>
          <w:color w:val="000000" w:themeColor="text1"/>
          <w:sz w:val="22"/>
          <w:szCs w:val="22"/>
        </w:rPr>
        <w:t>Transport materiałów do wykonania nawierzchni</w:t>
      </w:r>
      <w:bookmarkEnd w:id="547"/>
    </w:p>
    <w:p w14:paraId="37590B0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Betonowe kostki brukowe mogą być przewożone na paletach - dowolnymi środkami transportowymi po osiągnięciu przez beton wytrzymałości na ściskanie co najmniej 15 MPa. Kostki w trakcie transportu powinny być zabezpieczone przed przemieszczaniem się i uszkodzeniem.</w:t>
      </w:r>
    </w:p>
    <w:p w14:paraId="6E08663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Jako środki transportu wewnątrzzakładowego kostek na środki transportu zewnętrznego mogą służyć wózki widłowe, którymi można dokonać załadunku palet. Do załadunku palet na środki transportu można wykorzystywać również dźwigi samochodowe.</w:t>
      </w:r>
    </w:p>
    <w:p w14:paraId="5346ADB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Palety transportowe powinny być spinane taśmami stalowymi lub plastikowymi, zabezpieczającymi kostki przed uszkodzeniem w czasie transportu. Na jednej palecie zaleca się układać do 10 warstw </w:t>
      </w:r>
      <w:r w:rsidRPr="001667DB">
        <w:rPr>
          <w:rFonts w:ascii="Times New Roman" w:hAnsi="Times New Roman" w:cs="Times New Roman"/>
          <w:color w:val="000000" w:themeColor="text1"/>
        </w:rPr>
        <w:lastRenderedPageBreak/>
        <w:t>kostek (zależnie od grubości i kształtu), tak aby masa palety z kostkami wynosiła od 1200 kg do 1700 kg. Pożądane jest, aby palety z kostkami były wysyłane do odbiorcy środkiem transportu samochodowego wyposażonym w dźwig do za- i rozładunku.</w:t>
      </w:r>
    </w:p>
    <w:p w14:paraId="5984107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3A777E4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1534C2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Zalewę lub masy uszczelniające do szczelin dylatacyjnych można transportować dowolnymi środkami transportu w fabrycznie zamkniętych pojemnikach lub opakowaniach, chroniących je przed zanieczyszczeniem.</w:t>
      </w:r>
    </w:p>
    <w:p w14:paraId="241314B5" w14:textId="77777777" w:rsidR="00955A27" w:rsidRPr="001667DB" w:rsidRDefault="00955A27" w:rsidP="00955A27">
      <w:pPr>
        <w:pStyle w:val="Standardowytekst0"/>
        <w:overflowPunct/>
        <w:autoSpaceDE/>
        <w:autoSpaceDN/>
        <w:adjustRightInd/>
        <w:spacing w:after="120" w:line="360" w:lineRule="auto"/>
        <w:rPr>
          <w:color w:val="000000" w:themeColor="text1"/>
          <w:sz w:val="22"/>
          <w:szCs w:val="22"/>
        </w:rPr>
      </w:pPr>
      <w:r w:rsidRPr="001667DB">
        <w:rPr>
          <w:color w:val="000000" w:themeColor="text1"/>
          <w:sz w:val="22"/>
          <w:szCs w:val="22"/>
        </w:rPr>
        <w:t>Materiały do podbudowy powinny być przewożone w sposób odpowiadający wymaganiom właściwej ST.</w:t>
      </w:r>
    </w:p>
    <w:p w14:paraId="0B0E2013"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48" w:name="_Toc421940500"/>
      <w:bookmarkStart w:id="549" w:name="_Toc331335407"/>
      <w:r w:rsidRPr="001667DB">
        <w:rPr>
          <w:color w:val="000000" w:themeColor="text1"/>
          <w:sz w:val="22"/>
          <w:szCs w:val="22"/>
        </w:rPr>
        <w:t>wykonanie robót</w:t>
      </w:r>
      <w:bookmarkEnd w:id="548"/>
      <w:bookmarkEnd w:id="549"/>
    </w:p>
    <w:p w14:paraId="37F134D9"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50" w:name="_Toc331335408"/>
      <w:r w:rsidRPr="001667DB">
        <w:rPr>
          <w:color w:val="000000" w:themeColor="text1"/>
          <w:sz w:val="22"/>
          <w:szCs w:val="22"/>
        </w:rPr>
        <w:t>Ogólne zasady wykonania robót</w:t>
      </w:r>
      <w:bookmarkEnd w:id="550"/>
    </w:p>
    <w:p w14:paraId="3B85284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Ogólne zasady wykonania robót podano w  ST D-00.00.00 „Wymagania ogólne” [10] pkt 5.</w:t>
      </w:r>
    </w:p>
    <w:p w14:paraId="7E67BFAD"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51" w:name="_Toc331335409"/>
      <w:r w:rsidRPr="001667DB">
        <w:rPr>
          <w:color w:val="000000" w:themeColor="text1"/>
          <w:sz w:val="22"/>
          <w:szCs w:val="22"/>
        </w:rPr>
        <w:t>Podłoże i koryto</w:t>
      </w:r>
      <w:bookmarkEnd w:id="551"/>
    </w:p>
    <w:p w14:paraId="6D31486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bookmarkStart w:id="552" w:name="_Toc331335410"/>
      <w:r w:rsidRPr="001667DB">
        <w:rPr>
          <w:rFonts w:ascii="Times New Roman" w:hAnsi="Times New Roman" w:cs="Times New Roman"/>
          <w:color w:val="000000" w:themeColor="text1"/>
        </w:rPr>
        <w:t xml:space="preserve">Podłoże pod nawierzchnię z betonowych kostek brukowych może stanowić grunt piaszczysty – rodzimy lub nasypowy. Jeżeli Dokumentacja Projektowa nie stanowi inaczej, to nawierzchnię z kostki brukowej przeznaczoną dla ruchu pieszego, rowerowego lub niewielkiego ruchu samochodowego, można wykonywać bezpośrednio na dobrze odwodnionym niewysadzinowym  podłożu  gruntowym (zawartość pyłów do 15%, SE4 ≥ 35 - badanie wg. PN-EN 933-8 Zał.A), które  posiada odpowiednie ukształtowanie powierzchni i zagęszczenie. Grunt podłoża powinien być jednolity, przepuszczalny i zabezpieczony przed skutkami przemarzania. Koryto powinno być wyprofilowane zgodnie z projektowanymi spadkami oraz przygotowane zgodnie z wymaganiami ST D.04.01.01 „Koryto wraz z profilowaniem i zagęszczeniem podłoża”. </w:t>
      </w:r>
      <w:r w:rsidRPr="001667DB">
        <w:rPr>
          <w:rFonts w:ascii="Times New Roman" w:hAnsi="Times New Roman" w:cs="Times New Roman"/>
          <w:color w:val="000000" w:themeColor="text1"/>
        </w:rPr>
        <w:cr/>
      </w:r>
    </w:p>
    <w:p w14:paraId="16B3A1AA"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53" w:name="_Toc331335411"/>
      <w:bookmarkEnd w:id="552"/>
      <w:r w:rsidRPr="001667DB">
        <w:rPr>
          <w:color w:val="000000" w:themeColor="text1"/>
          <w:sz w:val="22"/>
          <w:szCs w:val="22"/>
        </w:rPr>
        <w:t>Podbudowa</w:t>
      </w:r>
      <w:bookmarkEnd w:id="553"/>
    </w:p>
    <w:p w14:paraId="044DAF2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Rodzaj podbudowy przewidzianej do wykonania pod ułożenie nawierzchni z kostki brukowej oraz jej przygotowanie powinien być zgodny z Dokumentacją Projektową i wymaganiami </w:t>
      </w:r>
      <w:r w:rsidRPr="001667DB">
        <w:rPr>
          <w:rFonts w:ascii="Times New Roman" w:hAnsi="Times New Roman" w:cs="Times New Roman"/>
          <w:color w:val="000000" w:themeColor="text1"/>
        </w:rPr>
        <w:lastRenderedPageBreak/>
        <w:t xml:space="preserve">określonymi w odpowiednich specyfikacjach. </w:t>
      </w:r>
      <w:r w:rsidRPr="001667DB">
        <w:rPr>
          <w:rFonts w:ascii="Times New Roman" w:hAnsi="Times New Roman" w:cs="Times New Roman"/>
          <w:color w:val="000000" w:themeColor="text1"/>
        </w:rPr>
        <w:cr/>
      </w:r>
    </w:p>
    <w:p w14:paraId="334648EF"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54" w:name="_Toc331335412"/>
      <w:r w:rsidRPr="001667DB">
        <w:rPr>
          <w:color w:val="000000" w:themeColor="text1"/>
          <w:sz w:val="22"/>
          <w:szCs w:val="22"/>
        </w:rPr>
        <w:t>Obramowanie nawierzchni</w:t>
      </w:r>
      <w:bookmarkEnd w:id="554"/>
    </w:p>
    <w:p w14:paraId="2A68CEC5" w14:textId="77777777" w:rsidR="00955A27" w:rsidRPr="001667DB" w:rsidRDefault="00955A27" w:rsidP="00955A27">
      <w:pPr>
        <w:pStyle w:val="tekstost"/>
        <w:spacing w:after="120" w:line="360" w:lineRule="auto"/>
        <w:rPr>
          <w:color w:val="000000" w:themeColor="text1"/>
          <w:sz w:val="22"/>
          <w:szCs w:val="22"/>
        </w:rPr>
      </w:pPr>
      <w:r w:rsidRPr="001667DB">
        <w:rPr>
          <w:color w:val="000000" w:themeColor="text1"/>
          <w:sz w:val="22"/>
          <w:szCs w:val="22"/>
        </w:rPr>
        <w:tab/>
        <w:t xml:space="preserve">Do obramowania nawierzchni z betonowych kostek brukowych można stosować krawężniki betonowe, obrzeża betonowe lub inne typy krawężników zgodnie z Dokumentacją Projektową oraz odpowiednią ST. </w:t>
      </w:r>
      <w:r w:rsidRPr="001667DB">
        <w:rPr>
          <w:color w:val="000000" w:themeColor="text1"/>
          <w:sz w:val="22"/>
          <w:szCs w:val="22"/>
        </w:rPr>
        <w:cr/>
      </w:r>
    </w:p>
    <w:p w14:paraId="11D11C28"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55" w:name="_Toc331335416"/>
      <w:r w:rsidRPr="001667DB">
        <w:rPr>
          <w:color w:val="000000" w:themeColor="text1"/>
          <w:sz w:val="22"/>
          <w:szCs w:val="22"/>
        </w:rPr>
        <w:t>Układanie nawierzchni z kostek brukowych</w:t>
      </w:r>
      <w:bookmarkEnd w:id="555"/>
    </w:p>
    <w:p w14:paraId="1E31F40A" w14:textId="77777777" w:rsidR="00955A27" w:rsidRPr="001667DB" w:rsidRDefault="00955A27" w:rsidP="00904E6C">
      <w:pPr>
        <w:pStyle w:val="Nagwek3"/>
        <w:numPr>
          <w:ilvl w:val="2"/>
          <w:numId w:val="225"/>
        </w:numPr>
      </w:pPr>
      <w:bookmarkStart w:id="556" w:name="_Toc331335417"/>
      <w:r w:rsidRPr="001667DB">
        <w:t>Ustalenie kształtu, wymiaru i koloru kostek oraz desenia ich układania</w:t>
      </w:r>
      <w:bookmarkEnd w:id="556"/>
    </w:p>
    <w:p w14:paraId="7D6BDE6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Kształt, wymiary, barwę i inne cechy charakterystyczne kostek wg punktu 2.2.1 powinny być zgodne z dokumentacją projektową SST lub ustaleniami inżyniera, a w przypadku braku wystarczających ustaleń Wykonawca przedkłada odpowiednie propozycje do zaakceptowania Inżynierowi. Przed ostatecznym zaakceptowaniem kształtu, koloru, sposobu układania i wytwórni kostek, Inżynier może polecić Wykonawcy ułożenie po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wstępnie wybranych kostek, wyłącznie na podsypce piaskowej.</w:t>
      </w:r>
    </w:p>
    <w:p w14:paraId="2E3EF24D" w14:textId="77777777" w:rsidR="00955A27" w:rsidRPr="001667DB" w:rsidRDefault="00955A27" w:rsidP="00904E6C">
      <w:pPr>
        <w:pStyle w:val="Nagwek3"/>
        <w:numPr>
          <w:ilvl w:val="2"/>
          <w:numId w:val="225"/>
        </w:numPr>
      </w:pPr>
      <w:bookmarkStart w:id="557" w:name="_Toc331335418"/>
      <w:r w:rsidRPr="001667DB">
        <w:t>Warunki atmosferyczne</w:t>
      </w:r>
      <w:bookmarkEnd w:id="557"/>
    </w:p>
    <w:p w14:paraId="3FE23D5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Nawierzchnię na podłożu z zaprawy drenażowej wykonywać przy temperaturze w zakresie </w:t>
      </w:r>
      <w:r w:rsidRPr="001667DB">
        <w:rPr>
          <w:rFonts w:ascii="Times New Roman" w:hAnsi="Times New Roman" w:cs="Times New Roman"/>
          <w:snapToGrid w:val="0"/>
          <w:color w:val="000000" w:themeColor="text1"/>
        </w:rPr>
        <w:t>+5 °C do +30 °C</w:t>
      </w:r>
      <w:r w:rsidRPr="001667DB">
        <w:rPr>
          <w:rFonts w:ascii="Times New Roman" w:hAnsi="Times New Roman" w:cs="Times New Roman"/>
          <w:color w:val="000000" w:themeColor="text1"/>
        </w:rPr>
        <w:t>.</w:t>
      </w:r>
    </w:p>
    <w:p w14:paraId="655792AF" w14:textId="77777777" w:rsidR="00955A27" w:rsidRPr="001667DB" w:rsidRDefault="00955A27" w:rsidP="00904E6C">
      <w:pPr>
        <w:pStyle w:val="Nagwek3"/>
        <w:numPr>
          <w:ilvl w:val="2"/>
          <w:numId w:val="225"/>
        </w:numPr>
      </w:pPr>
      <w:bookmarkStart w:id="558" w:name="_Toc331335419"/>
      <w:r w:rsidRPr="001667DB">
        <w:t>Ułożenie nawierzchni z kostek</w:t>
      </w:r>
      <w:bookmarkEnd w:id="558"/>
    </w:p>
    <w:p w14:paraId="6BA3353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Warstwa nawierzchni z kostki powinna być wykonana z elementów o jednakowej grubości. Na większym fragmencie robót zaleca się stosować kostki dostarczone w tej samej partii materiału, w której niedopuszczalne są różne odcienie wybranego koloru kostki. Układanie kostki należy wykonywać ręcznie lub maszyną.</w:t>
      </w:r>
    </w:p>
    <w:p w14:paraId="6F3E54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w:t>
      </w:r>
    </w:p>
    <w:p w14:paraId="452B705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Kostkę układa się około 1,5 cm wyżej od projektowanej niwelety, ponieważ po procesie ubijania zaprawa drenażowa zagęszcza się. Powierzchnia kostek położonych obok urządzeń infrastruktury technicznej (np. studzienek, włazów itp.) powinna trwale wystawać od 3 mm do 5 mm powyżej powierzchni tych urządzeń oraz od 3 mm do 10 mm powyżej korytek ściekowych (ścieków).</w:t>
      </w:r>
    </w:p>
    <w:p w14:paraId="2E813F3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14:paraId="2F635F7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W celu polepszenia przyczepności kostki do podłoża (warstwa wiążąca – zaprawa podkładowo-drenażowa) należy nałożyć na spodnie strony materiału okładzinowego cienką warstwę ok. (1 mm) elastycznego szlamu trasowo-cementowego i umocować okładziny w świeżej zaprawie. </w:t>
      </w:r>
    </w:p>
    <w:p w14:paraId="12518E4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Układanie kostek powinno odbywać z dużą starannością wraz zachowaniem odstępów między kostkami lub płytami. Odstępy wytworzone między kostkami będą tworzyły wątek fugowy, który następnie zostanie wypełniony zaprawą do fugowania. Min. szerokość spoiny podczas układania musi wynosić  minimum 5 mm do max. 25 mm. Osadzanie poszczególnych elementów powinno odbywać się przy pomocy młotka kamieniarskiego lub gumowego.</w:t>
      </w:r>
    </w:p>
    <w:p w14:paraId="5DCC08EA" w14:textId="77777777" w:rsidR="00955A27" w:rsidRPr="001667DB" w:rsidRDefault="00955A27" w:rsidP="00955A27">
      <w:pPr>
        <w:pStyle w:val="Standardowytekst0"/>
        <w:overflowPunct/>
        <w:autoSpaceDE/>
        <w:autoSpaceDN/>
        <w:adjustRightInd/>
        <w:spacing w:after="120" w:line="360" w:lineRule="auto"/>
        <w:rPr>
          <w:color w:val="000000" w:themeColor="text1"/>
          <w:sz w:val="22"/>
          <w:szCs w:val="22"/>
        </w:rPr>
      </w:pPr>
      <w:r w:rsidRPr="001667DB">
        <w:rPr>
          <w:color w:val="000000" w:themeColor="text1"/>
          <w:sz w:val="22"/>
          <w:szCs w:val="22"/>
        </w:rPr>
        <w:t>Dzienną działkę roboczą nawierzchni na zaprawie drenażowej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w:t>
      </w:r>
    </w:p>
    <w:p w14:paraId="777EF204" w14:textId="77777777" w:rsidR="00955A27" w:rsidRPr="001667DB" w:rsidRDefault="00955A27" w:rsidP="00955A27">
      <w:pPr>
        <w:pStyle w:val="Standardowytekst0"/>
        <w:overflowPunct/>
        <w:autoSpaceDE/>
        <w:autoSpaceDN/>
        <w:adjustRightInd/>
        <w:spacing w:after="120" w:line="360" w:lineRule="auto"/>
        <w:rPr>
          <w:color w:val="000000" w:themeColor="text1"/>
          <w:sz w:val="22"/>
          <w:szCs w:val="22"/>
        </w:rPr>
      </w:pPr>
    </w:p>
    <w:p w14:paraId="5C176AB4" w14:textId="77777777" w:rsidR="00955A27" w:rsidRPr="001667DB" w:rsidRDefault="00955A27" w:rsidP="00904E6C">
      <w:pPr>
        <w:pStyle w:val="Nagwek3"/>
        <w:numPr>
          <w:ilvl w:val="2"/>
          <w:numId w:val="225"/>
        </w:numPr>
      </w:pPr>
      <w:bookmarkStart w:id="559" w:name="_Toc331335421"/>
      <w:r w:rsidRPr="001667DB">
        <w:t>Spoiny i szczeliny dylatacyjne</w:t>
      </w:r>
      <w:bookmarkEnd w:id="559"/>
    </w:p>
    <w:p w14:paraId="096560EC" w14:textId="77777777" w:rsidR="00955A27" w:rsidRPr="001667DB" w:rsidRDefault="00955A27" w:rsidP="00904E6C">
      <w:pPr>
        <w:pStyle w:val="Nagwek4"/>
        <w:keepLines w:val="0"/>
        <w:numPr>
          <w:ilvl w:val="3"/>
          <w:numId w:val="225"/>
        </w:numPr>
        <w:tabs>
          <w:tab w:val="left" w:pos="1134"/>
          <w:tab w:val="left" w:pos="1701"/>
        </w:tabs>
        <w:spacing w:before="0" w:after="120" w:line="360" w:lineRule="auto"/>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Spoiny</w:t>
      </w:r>
    </w:p>
    <w:p w14:paraId="1143F5EF"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color w:val="000000" w:themeColor="text1"/>
        </w:rPr>
        <w:tab/>
        <w:t>Szerokość spoin pomiędzy betonowymi kostkami brukowymi lub z kamienia naturalnego powinna wynosić od 5 mm do 12 mm. W przypadku stosowania prostopadłościennych kostek brukowych zaleca się aby osie spoin pomiędzy dłuższymi bokami tych kostek tworzyły z osią drogi kąt 45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xml:space="preserve">, a wierzchołek utworzonego kąta prostego pomiędzy spoinami miał kierunek odwrotny do kierunku spadku podłużnego nawierzchni. Po ułożeniu kostek, spoiny należy wypełnić zaprawą trasowo-cementową do spoinowania. </w:t>
      </w:r>
      <w:r w:rsidRPr="001667DB">
        <w:rPr>
          <w:rFonts w:ascii="Times New Roman" w:hAnsi="Times New Roman" w:cs="Times New Roman"/>
          <w:snapToGrid w:val="0"/>
          <w:color w:val="000000" w:themeColor="text1"/>
        </w:rPr>
        <w:t>Spoinę należy przed fugowaniem odpowiednio przygotować i oczyścić – w razie potrzeby wydrapać do wymaganej głębokości. Powierzchnia bruku bezpośrednio przed fugowaniem powinna być wilgotna lecz nie mokra (obfite zmoczenie rozproszonym strumieniem wody) ponadto w fudze nie może znajdować się woda.</w:t>
      </w:r>
    </w:p>
    <w:p w14:paraId="773E8E23"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 xml:space="preserve">Zaprawę przygotować przez wymieszanie za  pomocą powszechnie dostępnych maszyn lub agregatów mieszająco-pompujących. W przypadku mieszania ręcznego, zaprawę dokładnie wymieszać przy użyciu wiertarek z mieszadłem śrubowym, aż do uzyskania jednorodnej masy bez grudek. Zaprawa nadaje się do użycia po ok. 5 min. okresie dojrzewania. </w:t>
      </w:r>
    </w:p>
    <w:p w14:paraId="35DFDD63"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Rozprowadzić zaprawę po powierzchni spoin brukowych raklą gumową skośnie do przebiegu spoin pod lekkim naciskiem, aby spoiny zostały wypełnione całkowicie, szczelnie i głęboko. Pozostałości zaprawy na powierzchni bruku powinny być jak najmniejsze, ponieważ utrudni to czyszczenie powierzchni. W przypadku stosowania kostki brukowej o krawędziach fazowanych, spoina powinna znajdować się poniżej rozszerzania się fazowania. W celu oceny optymalnego wyglądu zalecamy ułożenie próbnej powierzchni z wybranego bruku.</w:t>
      </w:r>
    </w:p>
    <w:p w14:paraId="683CDE6D"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lastRenderedPageBreak/>
        <w:t>W zależności od chłonności i ukształtowania powierzchni bruku jej czyszczenie może być wykonywane w następujący sposób:</w:t>
      </w:r>
    </w:p>
    <w:p w14:paraId="022DF609" w14:textId="77777777" w:rsidR="00955A27" w:rsidRPr="001667DB" w:rsidRDefault="00955A27" w:rsidP="00904E6C">
      <w:pPr>
        <w:pStyle w:val="Tekstpodstawowy3"/>
        <w:numPr>
          <w:ilvl w:val="0"/>
          <w:numId w:val="211"/>
        </w:numPr>
        <w:spacing w:line="360" w:lineRule="auto"/>
        <w:rPr>
          <w:snapToGrid w:val="0"/>
          <w:color w:val="000000" w:themeColor="text1"/>
          <w:sz w:val="22"/>
          <w:szCs w:val="22"/>
        </w:rPr>
      </w:pPr>
      <w:r w:rsidRPr="001667DB">
        <w:rPr>
          <w:snapToGrid w:val="0"/>
          <w:color w:val="000000" w:themeColor="text1"/>
          <w:sz w:val="22"/>
          <w:szCs w:val="22"/>
        </w:rPr>
        <w:t>Spłukiwanie pod ciśnieniem:</w:t>
      </w:r>
    </w:p>
    <w:p w14:paraId="3844631A"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ab/>
        <w:t>Bezpośrednio po wstępnym związaniu powierzchni spoiny należy powierzchnię bruku oczyścić. Etap związania należy sprawdzić przez nacisk kciukiem. Przy tym resztki zaprawy na powierzchni bruku mogą być zaschnięte. W zależności od zdolności wchłaniania i ukształtowania powierzchni bruku oraz temperatury stosowania, czas wiązania wynosi ok. 30 minut do ok. 3 godzin.</w:t>
      </w:r>
    </w:p>
    <w:p w14:paraId="329AC041"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Spłukać powierzchnię bruku przy użyciu np. węża ogrodowego lub myjki ciśnieniowej z rozproszonym strumieniem wody i średnio twardej miotły skośnie do przebiegu spoin. Dopilnować, aby zaprawa nie była wymywana ze spoin. Gdy zaprawa będzie miała skłonność do wymywania, to znaczy, że wymagany stopień związania nie został jeszcze osiągnięty. Powtarzać zmywanie do czasu pełnego usunięcia smug bez śladów. W razie potrzeby po pełnym związaniu usunąć resztki zanieczyszczeń myjką wysokociśnieniową.</w:t>
      </w:r>
    </w:p>
    <w:p w14:paraId="75CE45FE" w14:textId="77777777" w:rsidR="00955A27" w:rsidRPr="001667DB" w:rsidRDefault="00955A27" w:rsidP="00904E6C">
      <w:pPr>
        <w:numPr>
          <w:ilvl w:val="0"/>
          <w:numId w:val="211"/>
        </w:num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Zmywanie:</w:t>
      </w:r>
    </w:p>
    <w:p w14:paraId="05600CF3" w14:textId="77777777" w:rsidR="00955A27" w:rsidRPr="001667DB" w:rsidRDefault="00955A27" w:rsidP="00955A27">
      <w:pPr>
        <w:pStyle w:val="Tekstpodstawowy3"/>
        <w:spacing w:line="360" w:lineRule="auto"/>
        <w:rPr>
          <w:color w:val="000000" w:themeColor="text1"/>
          <w:sz w:val="22"/>
          <w:szCs w:val="22"/>
        </w:rPr>
      </w:pPr>
      <w:r w:rsidRPr="001667DB">
        <w:rPr>
          <w:color w:val="000000" w:themeColor="text1"/>
          <w:sz w:val="22"/>
          <w:szCs w:val="22"/>
        </w:rPr>
        <w:tab/>
        <w:t>Bezpośrednio po wstępnym związaniu spoiny należy powierzchnię bruku oczyścić. Związanie należy sprawdzić przez nacisk kciukiem. Przy tym resztki zaprawy na powierzchni bruku mogą być zaschnięte. W zależności od zdolności wchłaniania i ukształtowania powierzchni bruku oraz temperatury stosowania czas wiązanie wynosi ok. 30 minut do ok. 3 godzin. Zmywać / (ściągać nadmiar zaprawy) powierzchnię bruku raklą gumową skośnie do przebiegu spoin. Dopilnować, aby zaprawa nie była wymywana ze spoin. Gdy zaprawa będzie miała skłonność do wymywania, to znaczy, że wymagany stopień stwardnienia nie został jeszcze osiągnięty. Powtarzać zmywanie  do czasu pełnego usunięcia smug bez śladów. W razie potrzeby po pełnym stwardnieniu usunąć resztki zanieczyszczeń myjką wysokociśnieniową.</w:t>
      </w:r>
    </w:p>
    <w:p w14:paraId="50DD7A80" w14:textId="77777777" w:rsidR="00955A27" w:rsidRPr="001667DB" w:rsidRDefault="00955A27" w:rsidP="00904E6C">
      <w:pPr>
        <w:numPr>
          <w:ilvl w:val="0"/>
          <w:numId w:val="211"/>
        </w:num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Czyszczenie za pomocą maszyn czyszczących:</w:t>
      </w:r>
    </w:p>
    <w:p w14:paraId="5BB1717E" w14:textId="77777777" w:rsidR="00955A27" w:rsidRPr="001667DB" w:rsidRDefault="00955A27" w:rsidP="00955A27">
      <w:pPr>
        <w:spacing w:after="120" w:line="360" w:lineRule="auto"/>
        <w:rPr>
          <w:rFonts w:ascii="Times New Roman" w:hAnsi="Times New Roman" w:cs="Times New Roman"/>
          <w:snapToGrid w:val="0"/>
          <w:color w:val="000000" w:themeColor="text1"/>
        </w:rPr>
      </w:pPr>
      <w:r w:rsidRPr="001667DB">
        <w:rPr>
          <w:rFonts w:ascii="Times New Roman" w:hAnsi="Times New Roman" w:cs="Times New Roman"/>
          <w:snapToGrid w:val="0"/>
          <w:color w:val="000000" w:themeColor="text1"/>
        </w:rPr>
        <w:tab/>
        <w:t>Do zmywania maszynowego należy używać urządzeń specjalistycznych zmywająco-czyszczących Czas stosowania wynosi około 30 minut. Nie wykonywać prac przy temperaturach powietrza i podłoża poniżej +5 °C. Podane czasy odnoszą się do stosowania w normalnym zakresie temperatur (+20 °C, wilgotność względna powietrza 65 %). Wyższe temperatury skracają czas nanoszenia. Niższe temperatury przedłużają czas stosowania.</w:t>
      </w:r>
    </w:p>
    <w:p w14:paraId="415BC551" w14:textId="77777777" w:rsidR="00955A27" w:rsidRPr="001667DB" w:rsidRDefault="00955A27" w:rsidP="00904E6C">
      <w:pPr>
        <w:pStyle w:val="Nagwek4"/>
        <w:keepLines w:val="0"/>
        <w:numPr>
          <w:ilvl w:val="3"/>
          <w:numId w:val="225"/>
        </w:numPr>
        <w:tabs>
          <w:tab w:val="left" w:pos="1134"/>
          <w:tab w:val="left" w:pos="1701"/>
        </w:tabs>
        <w:spacing w:before="0" w:after="120" w:line="360" w:lineRule="auto"/>
        <w:rPr>
          <w:rFonts w:ascii="Times New Roman" w:hAnsi="Times New Roman" w:cs="Times New Roman"/>
          <w:color w:val="000000" w:themeColor="text1"/>
          <w:sz w:val="22"/>
        </w:rPr>
      </w:pPr>
      <w:r w:rsidRPr="001667DB">
        <w:rPr>
          <w:rFonts w:ascii="Times New Roman" w:hAnsi="Times New Roman" w:cs="Times New Roman"/>
          <w:color w:val="000000" w:themeColor="text1"/>
          <w:sz w:val="22"/>
        </w:rPr>
        <w:t>Szczeliny dylatacyjne</w:t>
      </w:r>
    </w:p>
    <w:p w14:paraId="78AD86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przypadku układania kostki brukowej lub płyt na zaprawie podkładowej w systemie związanym i wypełnianiu spoin zaprawą trasowo-cementową należy przewidzieć wykonanie pól dylatacyjnych zgodnie z charakterem przewidywanych obciążeń oraz w zależności od wielkości elementów w miarę możliwości kwadratowych (powierzchnie pól powinny być uzależnione od </w:t>
      </w:r>
      <w:r w:rsidRPr="001667DB">
        <w:rPr>
          <w:rFonts w:ascii="Times New Roman" w:hAnsi="Times New Roman" w:cs="Times New Roman"/>
          <w:color w:val="000000" w:themeColor="text1"/>
        </w:rPr>
        <w:lastRenderedPageBreak/>
        <w:t>warunków nagrzewania się nawierzchni. Powierzchnia pól nie powinna przekraczać 25-27 m2 a maksymalna długość boku pola powierzchni powinna wynosić 7 m i nie powinna przekraczać proporcji 1:2) ograniczonych szczelinami dylatacyjnymi w odległościach zgodnych z dokumentacją projektową  względnie nie większych niż co 5 - 8 m. Przy nawierzchniach wykonywanych z płyt kamiennych, zwłaszcza w przypadku nawierzchni ciągłych, należy przewidzieć odstęp między dylatacjami  nie więcej niż</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5-6 m, ponieważ obok termicznie uwarunkowanych zmian długości, należy również uwzględnić ruchy skurczowe występujące w okładzinach.</w:t>
      </w:r>
    </w:p>
    <w:p w14:paraId="3409C5F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Fugi dylatacyjne powinny pokrywać się z dylatacjami wytworzonymi lub istniejącymi w podbudowie.</w:t>
      </w:r>
    </w:p>
    <w:p w14:paraId="75FC05D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Szerokość szczelin dylatacyjnych powinna umożliwiać przejęcie przez nie przemieszczeń wywołanych amplitudami temperatur oddziaływującymi na powierzchnię nawierzchni w okresie letnim (wysokie temperatury), lecz nie powinna być mniejsza niż 8 mm. W przypadku stosowania „Szczeliny”, te powinny być wypełnione odpowiednimi elastycznymi masami, określonymi w dokumentacji projektowej (przykładowym rozwiązaniem jest zastosowanie wkładek z twardej gumy o parametrze wytrzymałości 50-60 w skali wg. Shore lub zastosowanie odpowiedniego elastycznego wypełniacza zgodnie z zaleceniami producenta materiału)</w:t>
      </w:r>
      <w:r w:rsidRPr="001667DB">
        <w:rPr>
          <w:rFonts w:ascii="Times New Roman" w:hAnsi="Times New Roman" w:cs="Times New Roman"/>
          <w:i/>
          <w:color w:val="000000" w:themeColor="text1"/>
        </w:rPr>
        <w:t>.</w:t>
      </w:r>
      <w:r w:rsidRPr="001667DB">
        <w:rPr>
          <w:rFonts w:ascii="Times New Roman" w:hAnsi="Times New Roman" w:cs="Times New Roman"/>
          <w:color w:val="000000" w:themeColor="text1"/>
        </w:rPr>
        <w:t xml:space="preserve"> Sposób wypełnienia szczelin powinien odpowiadać wymaganiom stawianym oferentom materiałów przeznaczonych do wypełniania szczelin dylatacyjnych.</w:t>
      </w:r>
    </w:p>
    <w:p w14:paraId="60781D8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Wzdłuż połączeń nawierzchni poprzez fugi z   (np. mury, ściany budynków, lub inne elementy budowlane) powinny być zastosowane szersze dylatacje niż w przypadku nawierzchni jezdnej o co najmniej ok. 30 %, celem zmniejszenia przekazywania sił horyzontalnych na sąsiadujące elementy budowlane.</w:t>
      </w:r>
    </w:p>
    <w:p w14:paraId="7B10E45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Szczeliny dylatacyjne poprzeczne należy stosować dodatkowo w miejscach, w których występuje zmiana sztywności podłoża (np. nad przepustami, nad szczelinami dylatacyjnymi w podbudowie, zmiany rodzaju nawierzchni np.: z granitowej na betonową itp.) oraz niezbędne są również na styku dwóch zróżnicowanych warstw podbudowy. Ponadto zaleca się wykonywać szczeliny podłużne przy ściekach wzdłuż strefy jezdnej.</w:t>
      </w:r>
    </w:p>
    <w:p w14:paraId="521578F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Zamieszczone informacje należy traktować jako podstawowe wytyczne i zasady dla tworzenia dylatacji. Natomiast każdy przypadek nawierzchni należy traktować indywidualnie i wykonywać zgodnie ze sztuką budowlaną oraz zaleceniami projektanta.</w:t>
      </w:r>
    </w:p>
    <w:p w14:paraId="1CCF3431"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60" w:name="_Toc331335422"/>
      <w:r w:rsidRPr="001667DB">
        <w:rPr>
          <w:color w:val="000000" w:themeColor="text1"/>
          <w:sz w:val="22"/>
          <w:szCs w:val="22"/>
        </w:rPr>
        <w:t>Pielęgnacja nawierzchni i oddanie jej dla ruchu</w:t>
      </w:r>
      <w:bookmarkEnd w:id="560"/>
    </w:p>
    <w:p w14:paraId="5411EA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Nawierzchnię ułożoną na zaprawie drenażowej z wypełnieniem fug zaprawą można użytkować nieznacznym ruchem pieszym po ok. 3 dniach. Natomiast oddać do użytku pod pełne obciążenie po uzyskaniu pełnej wytrzymałości, t. j. co najmniej 28 dni .</w:t>
      </w:r>
    </w:p>
    <w:p w14:paraId="4E65F05A"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61" w:name="_Toc421940501"/>
      <w:bookmarkStart w:id="562" w:name="_Toc331335423"/>
      <w:r w:rsidRPr="001667DB">
        <w:rPr>
          <w:color w:val="000000" w:themeColor="text1"/>
          <w:sz w:val="22"/>
          <w:szCs w:val="22"/>
        </w:rPr>
        <w:lastRenderedPageBreak/>
        <w:t>kontrola jakości robót</w:t>
      </w:r>
      <w:bookmarkEnd w:id="561"/>
      <w:bookmarkEnd w:id="562"/>
    </w:p>
    <w:p w14:paraId="37C29B4A"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63" w:name="_Toc331335424"/>
      <w:r w:rsidRPr="001667DB">
        <w:rPr>
          <w:color w:val="000000" w:themeColor="text1"/>
          <w:sz w:val="22"/>
          <w:szCs w:val="22"/>
        </w:rPr>
        <w:t>Ogólne zasady kontroli jakości robót</w:t>
      </w:r>
      <w:bookmarkEnd w:id="563"/>
    </w:p>
    <w:p w14:paraId="3FCC439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[10] pkt 6.</w:t>
      </w:r>
    </w:p>
    <w:p w14:paraId="1A4AE728"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64" w:name="_Toc331335425"/>
      <w:r w:rsidRPr="001667DB">
        <w:rPr>
          <w:color w:val="000000" w:themeColor="text1"/>
          <w:sz w:val="22"/>
          <w:szCs w:val="22"/>
        </w:rPr>
        <w:t>Badania przed przystąpieniem do robót</w:t>
      </w:r>
      <w:bookmarkEnd w:id="564"/>
    </w:p>
    <w:p w14:paraId="4692AC7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 uzyskać:</w:t>
      </w:r>
    </w:p>
    <w:p w14:paraId="03EE4CC3" w14:textId="77777777" w:rsidR="00955A27" w:rsidRPr="001667DB" w:rsidRDefault="00955A27" w:rsidP="00904E6C">
      <w:pPr>
        <w:numPr>
          <w:ilvl w:val="0"/>
          <w:numId w:val="209"/>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 zakresie betonowej kostki brukowej</w:t>
      </w:r>
    </w:p>
    <w:p w14:paraId="680382EB" w14:textId="77777777" w:rsidR="00955A27" w:rsidRPr="001667DB" w:rsidRDefault="00955A27" w:rsidP="00904E6C">
      <w:pPr>
        <w:numPr>
          <w:ilvl w:val="0"/>
          <w:numId w:val="208"/>
        </w:numPr>
        <w:spacing w:after="120" w:line="360" w:lineRule="auto"/>
        <w:ind w:left="571"/>
        <w:rPr>
          <w:rFonts w:ascii="Times New Roman" w:hAnsi="Times New Roman" w:cs="Times New Roman"/>
          <w:color w:val="000000" w:themeColor="text1"/>
        </w:rPr>
      </w:pPr>
      <w:r w:rsidRPr="001667DB">
        <w:rPr>
          <w:rFonts w:ascii="Times New Roman" w:hAnsi="Times New Roman" w:cs="Times New Roman"/>
          <w:color w:val="000000" w:themeColor="text1"/>
        </w:rPr>
        <w:t>aprobatę techniczną,</w:t>
      </w:r>
    </w:p>
    <w:p w14:paraId="69C26668" w14:textId="77777777" w:rsidR="00955A27" w:rsidRPr="001667DB" w:rsidRDefault="00955A27" w:rsidP="00904E6C">
      <w:pPr>
        <w:numPr>
          <w:ilvl w:val="0"/>
          <w:numId w:val="208"/>
        </w:numPr>
        <w:spacing w:after="120" w:line="360" w:lineRule="auto"/>
        <w:ind w:left="567"/>
        <w:rPr>
          <w:rFonts w:ascii="Times New Roman" w:hAnsi="Times New Roman" w:cs="Times New Roman"/>
          <w:color w:val="000000" w:themeColor="text1"/>
        </w:rPr>
      </w:pPr>
      <w:r w:rsidRPr="001667DB">
        <w:rPr>
          <w:rFonts w:ascii="Times New Roman" w:hAnsi="Times New Roman" w:cs="Times New Roman"/>
          <w:color w:val="000000" w:themeColor="text1"/>
        </w:rPr>
        <w:t>certyfikat zgodności lub deklarację zgodności dostawcy oraz ewentualne wyniki badań cech charakterystycznych kostek, w przypadku żądania ich przez Inżyniera,</w:t>
      </w:r>
    </w:p>
    <w:p w14:paraId="61DF9958" w14:textId="77777777" w:rsidR="00955A27" w:rsidRPr="001667DB" w:rsidRDefault="00955A27" w:rsidP="00904E6C">
      <w:pPr>
        <w:numPr>
          <w:ilvl w:val="0"/>
          <w:numId w:val="208"/>
        </w:numPr>
        <w:spacing w:after="120" w:line="360" w:lineRule="auto"/>
        <w:ind w:left="567"/>
        <w:rPr>
          <w:rFonts w:ascii="Times New Roman" w:hAnsi="Times New Roman" w:cs="Times New Roman"/>
          <w:color w:val="000000" w:themeColor="text1"/>
        </w:rPr>
      </w:pPr>
      <w:r w:rsidRPr="001667DB">
        <w:rPr>
          <w:rFonts w:ascii="Times New Roman" w:hAnsi="Times New Roman" w:cs="Times New Roman"/>
          <w:color w:val="000000" w:themeColor="text1"/>
        </w:rPr>
        <w:t>wyniki sprawdzenia przez Wykonawcę cech zewnętrznych kostek wg pktu 2.2.2.7),</w:t>
      </w:r>
    </w:p>
    <w:p w14:paraId="5A0A9E95" w14:textId="77777777" w:rsidR="00955A27" w:rsidRPr="001667DB" w:rsidRDefault="00955A27" w:rsidP="00904E6C">
      <w:pPr>
        <w:numPr>
          <w:ilvl w:val="0"/>
          <w:numId w:val="209"/>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 zakresie innych materiałów</w:t>
      </w:r>
    </w:p>
    <w:p w14:paraId="64729D42" w14:textId="77777777" w:rsidR="00955A27" w:rsidRPr="001667DB" w:rsidRDefault="00955A27" w:rsidP="00904E6C">
      <w:pPr>
        <w:numPr>
          <w:ilvl w:val="0"/>
          <w:numId w:val="208"/>
        </w:numPr>
        <w:spacing w:after="120" w:line="360" w:lineRule="auto"/>
        <w:ind w:left="571"/>
        <w:rPr>
          <w:rFonts w:ascii="Times New Roman" w:hAnsi="Times New Roman" w:cs="Times New Roman"/>
          <w:color w:val="000000" w:themeColor="text1"/>
        </w:rPr>
      </w:pPr>
      <w:r w:rsidRPr="001667DB">
        <w:rPr>
          <w:rFonts w:ascii="Times New Roman" w:hAnsi="Times New Roman" w:cs="Times New Roman"/>
          <w:color w:val="000000" w:themeColor="text1"/>
        </w:rPr>
        <w:t>sprawdzenie przez Wykonawcę cech zewnętrznych materiałów prefabrykowanych (krawężników, obrzeży),</w:t>
      </w:r>
    </w:p>
    <w:p w14:paraId="1C07D2BB" w14:textId="77777777" w:rsidR="00955A27" w:rsidRPr="001667DB" w:rsidRDefault="00955A27" w:rsidP="00904E6C">
      <w:pPr>
        <w:numPr>
          <w:ilvl w:val="0"/>
          <w:numId w:val="208"/>
        </w:numPr>
        <w:spacing w:after="120" w:line="360" w:lineRule="auto"/>
        <w:ind w:left="571"/>
        <w:rPr>
          <w:rFonts w:ascii="Times New Roman" w:hAnsi="Times New Roman" w:cs="Times New Roman"/>
          <w:color w:val="000000" w:themeColor="text1"/>
        </w:rPr>
      </w:pPr>
      <w:r w:rsidRPr="001667DB">
        <w:rPr>
          <w:rFonts w:ascii="Times New Roman" w:hAnsi="Times New Roman" w:cs="Times New Roman"/>
          <w:color w:val="000000" w:themeColor="text1"/>
        </w:rPr>
        <w:t>ew. badania właściwości kruszyw, piasku, cementu, wody itp. określone w normach, które budzą wątpliwości Inżyniera.</w:t>
      </w:r>
    </w:p>
    <w:p w14:paraId="732C1D0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bookmarkStart w:id="565" w:name="_Toc331335426"/>
    </w:p>
    <w:p w14:paraId="7E62B895" w14:textId="77777777" w:rsidR="00187D2F" w:rsidRPr="001667DB" w:rsidRDefault="00187D2F" w:rsidP="00955A27">
      <w:pPr>
        <w:spacing w:after="120" w:line="360" w:lineRule="auto"/>
        <w:rPr>
          <w:rFonts w:ascii="Times New Roman" w:hAnsi="Times New Roman" w:cs="Times New Roman"/>
          <w:color w:val="000000" w:themeColor="text1"/>
        </w:rPr>
      </w:pPr>
    </w:p>
    <w:p w14:paraId="2C5035EC"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r w:rsidRPr="001667DB">
        <w:rPr>
          <w:color w:val="000000" w:themeColor="text1"/>
          <w:sz w:val="22"/>
          <w:szCs w:val="22"/>
        </w:rPr>
        <w:t>Badania w czasie robót</w:t>
      </w:r>
      <w:bookmarkEnd w:id="565"/>
    </w:p>
    <w:p w14:paraId="1C317A1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Częstotliwość oraz zakres badań i pomiarów w czasie robót nawierzchniowych z kostki podaje</w:t>
      </w:r>
    </w:p>
    <w:p w14:paraId="3124EE7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6. Częstotliwość oraz zakres badań i pomiarów w czasie robót</w:t>
      </w:r>
    </w:p>
    <w:tbl>
      <w:tblPr>
        <w:tblW w:w="9356" w:type="dxa"/>
        <w:tblInd w:w="70" w:type="dxa"/>
        <w:tblLayout w:type="fixed"/>
        <w:tblCellMar>
          <w:left w:w="70" w:type="dxa"/>
          <w:right w:w="70" w:type="dxa"/>
        </w:tblCellMar>
        <w:tblLook w:val="0000" w:firstRow="0" w:lastRow="0" w:firstColumn="0" w:lastColumn="0" w:noHBand="0" w:noVBand="0"/>
      </w:tblPr>
      <w:tblGrid>
        <w:gridCol w:w="426"/>
        <w:gridCol w:w="3056"/>
        <w:gridCol w:w="2755"/>
        <w:gridCol w:w="3119"/>
      </w:tblGrid>
      <w:tr w:rsidR="00955A27" w:rsidRPr="001667DB" w14:paraId="1FEDF0EE" w14:textId="77777777" w:rsidTr="001B4B8F">
        <w:tc>
          <w:tcPr>
            <w:tcW w:w="426" w:type="dxa"/>
            <w:tcBorders>
              <w:top w:val="single" w:sz="6" w:space="0" w:color="auto"/>
              <w:left w:val="single" w:sz="6" w:space="0" w:color="auto"/>
              <w:right w:val="single" w:sz="6" w:space="0" w:color="auto"/>
            </w:tcBorders>
          </w:tcPr>
          <w:p w14:paraId="70DE051A"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056" w:type="dxa"/>
            <w:tcBorders>
              <w:top w:val="single" w:sz="6" w:space="0" w:color="auto"/>
              <w:left w:val="single" w:sz="6" w:space="0" w:color="auto"/>
              <w:right w:val="single" w:sz="6" w:space="0" w:color="auto"/>
            </w:tcBorders>
          </w:tcPr>
          <w:p w14:paraId="1076B28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Wyszczególnienie</w:t>
            </w:r>
          </w:p>
          <w:p w14:paraId="34ABB71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badań i pomiarów</w:t>
            </w:r>
          </w:p>
        </w:tc>
        <w:tc>
          <w:tcPr>
            <w:tcW w:w="2755" w:type="dxa"/>
            <w:tcBorders>
              <w:top w:val="single" w:sz="6" w:space="0" w:color="auto"/>
              <w:left w:val="single" w:sz="6" w:space="0" w:color="auto"/>
              <w:right w:val="single" w:sz="6" w:space="0" w:color="auto"/>
            </w:tcBorders>
          </w:tcPr>
          <w:p w14:paraId="3A9BC33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Częstotliwość badań</w:t>
            </w:r>
          </w:p>
        </w:tc>
        <w:tc>
          <w:tcPr>
            <w:tcW w:w="3119" w:type="dxa"/>
            <w:tcBorders>
              <w:top w:val="single" w:sz="6" w:space="0" w:color="auto"/>
              <w:left w:val="single" w:sz="6" w:space="0" w:color="auto"/>
              <w:right w:val="single" w:sz="6" w:space="0" w:color="auto"/>
            </w:tcBorders>
          </w:tcPr>
          <w:p w14:paraId="049D41B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dopuszczalne</w:t>
            </w:r>
          </w:p>
        </w:tc>
      </w:tr>
      <w:tr w:rsidR="00955A27" w:rsidRPr="001667DB" w14:paraId="4BF40574" w14:textId="77777777" w:rsidTr="001B4B8F">
        <w:tc>
          <w:tcPr>
            <w:tcW w:w="426" w:type="dxa"/>
            <w:tcBorders>
              <w:top w:val="double" w:sz="6" w:space="0" w:color="auto"/>
              <w:left w:val="single" w:sz="6" w:space="0" w:color="auto"/>
            </w:tcBorders>
          </w:tcPr>
          <w:p w14:paraId="064094D5"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056" w:type="dxa"/>
            <w:tcBorders>
              <w:top w:val="double" w:sz="6" w:space="0" w:color="auto"/>
              <w:left w:val="single" w:sz="6" w:space="0" w:color="auto"/>
            </w:tcBorders>
          </w:tcPr>
          <w:p w14:paraId="769A75F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podłoża i koryta</w:t>
            </w:r>
          </w:p>
        </w:tc>
        <w:tc>
          <w:tcPr>
            <w:tcW w:w="2755" w:type="dxa"/>
            <w:tcBorders>
              <w:top w:val="double" w:sz="6" w:space="0" w:color="auto"/>
              <w:left w:val="single" w:sz="6" w:space="0" w:color="auto"/>
            </w:tcBorders>
          </w:tcPr>
          <w:p w14:paraId="1EAC3C41" w14:textId="77777777" w:rsidR="00955A27" w:rsidRPr="001667DB" w:rsidRDefault="00955A27" w:rsidP="00955A27">
            <w:pPr>
              <w:spacing w:after="120" w:line="360" w:lineRule="auto"/>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Wg ST D-04.01.01 [11]</w:t>
            </w:r>
          </w:p>
        </w:tc>
        <w:tc>
          <w:tcPr>
            <w:tcW w:w="3119" w:type="dxa"/>
            <w:tcBorders>
              <w:top w:val="double" w:sz="6" w:space="0" w:color="auto"/>
              <w:right w:val="single" w:sz="6" w:space="0" w:color="auto"/>
            </w:tcBorders>
          </w:tcPr>
          <w:p w14:paraId="50905404" w14:textId="77777777" w:rsidR="00955A27" w:rsidRPr="001667DB" w:rsidRDefault="00955A27" w:rsidP="00955A27">
            <w:pPr>
              <w:spacing w:after="120" w:line="360" w:lineRule="auto"/>
              <w:rPr>
                <w:rFonts w:ascii="Times New Roman" w:hAnsi="Times New Roman" w:cs="Times New Roman"/>
                <w:color w:val="000000" w:themeColor="text1"/>
                <w:lang w:val="de-DE"/>
              </w:rPr>
            </w:pPr>
          </w:p>
        </w:tc>
      </w:tr>
      <w:tr w:rsidR="00955A27" w:rsidRPr="001667DB" w14:paraId="47DC1268" w14:textId="77777777" w:rsidTr="001B4B8F">
        <w:tc>
          <w:tcPr>
            <w:tcW w:w="426" w:type="dxa"/>
            <w:tcBorders>
              <w:top w:val="single" w:sz="6" w:space="0" w:color="auto"/>
              <w:left w:val="single" w:sz="6" w:space="0" w:color="auto"/>
              <w:right w:val="single" w:sz="6" w:space="0" w:color="auto"/>
            </w:tcBorders>
          </w:tcPr>
          <w:p w14:paraId="6B82117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056" w:type="dxa"/>
            <w:tcBorders>
              <w:top w:val="single" w:sz="6" w:space="0" w:color="auto"/>
            </w:tcBorders>
          </w:tcPr>
          <w:p w14:paraId="77E5431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ew. podbudowy</w:t>
            </w:r>
          </w:p>
        </w:tc>
        <w:tc>
          <w:tcPr>
            <w:tcW w:w="2755" w:type="dxa"/>
            <w:tcBorders>
              <w:top w:val="single" w:sz="6" w:space="0" w:color="auto"/>
              <w:left w:val="single" w:sz="6" w:space="0" w:color="auto"/>
            </w:tcBorders>
          </w:tcPr>
          <w:p w14:paraId="314BDE8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Wg ST, norm, wytycznych, wymienionych w pkcie 5.4</w:t>
            </w:r>
          </w:p>
        </w:tc>
        <w:tc>
          <w:tcPr>
            <w:tcW w:w="3119" w:type="dxa"/>
            <w:tcBorders>
              <w:top w:val="single" w:sz="6" w:space="0" w:color="auto"/>
              <w:bottom w:val="single" w:sz="6" w:space="0" w:color="auto"/>
              <w:right w:val="single" w:sz="6" w:space="0" w:color="auto"/>
            </w:tcBorders>
          </w:tcPr>
          <w:p w14:paraId="46A5207C"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0B14D0C4" w14:textId="77777777" w:rsidTr="001B4B8F">
        <w:tc>
          <w:tcPr>
            <w:tcW w:w="426" w:type="dxa"/>
            <w:tcBorders>
              <w:top w:val="single" w:sz="6" w:space="0" w:color="auto"/>
              <w:left w:val="single" w:sz="6" w:space="0" w:color="auto"/>
              <w:right w:val="single" w:sz="6" w:space="0" w:color="auto"/>
            </w:tcBorders>
          </w:tcPr>
          <w:p w14:paraId="60BB060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056" w:type="dxa"/>
            <w:tcBorders>
              <w:top w:val="single" w:sz="6" w:space="0" w:color="auto"/>
            </w:tcBorders>
          </w:tcPr>
          <w:p w14:paraId="01E444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obramowania nawierzchni</w:t>
            </w:r>
          </w:p>
        </w:tc>
        <w:tc>
          <w:tcPr>
            <w:tcW w:w="2755" w:type="dxa"/>
            <w:tcBorders>
              <w:top w:val="single" w:sz="6" w:space="0" w:color="auto"/>
              <w:left w:val="single" w:sz="6" w:space="0" w:color="auto"/>
            </w:tcBorders>
          </w:tcPr>
          <w:p w14:paraId="2D369791" w14:textId="77777777" w:rsidR="00955A27" w:rsidRPr="001667DB" w:rsidRDefault="00955A27" w:rsidP="00955A27">
            <w:pPr>
              <w:spacing w:after="120" w:line="360" w:lineRule="auto"/>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wg ST D-08.01.01</w:t>
            </w:r>
            <w:r w:rsidRPr="001667DB">
              <w:rPr>
                <w:rFonts w:ascii="Times New Roman" w:hAnsi="Times New Roman" w:cs="Times New Roman"/>
                <w:color w:val="000000" w:themeColor="text1"/>
              </w:rPr>
              <w:sym w:font="Symbol" w:char="F0B8"/>
            </w:r>
            <w:r w:rsidRPr="001667DB">
              <w:rPr>
                <w:rFonts w:ascii="Times New Roman" w:hAnsi="Times New Roman" w:cs="Times New Roman"/>
                <w:color w:val="000000" w:themeColor="text1"/>
                <w:lang w:val="de-DE"/>
              </w:rPr>
              <w:t>02 [17];        D-08.03.01 [18]; D-08.05.00 [19]</w:t>
            </w:r>
          </w:p>
        </w:tc>
        <w:tc>
          <w:tcPr>
            <w:tcW w:w="3119" w:type="dxa"/>
            <w:tcBorders>
              <w:right w:val="single" w:sz="6" w:space="0" w:color="auto"/>
            </w:tcBorders>
          </w:tcPr>
          <w:p w14:paraId="2261555F" w14:textId="77777777" w:rsidR="00955A27" w:rsidRPr="001667DB" w:rsidRDefault="00955A27" w:rsidP="00955A27">
            <w:pPr>
              <w:spacing w:after="120" w:line="360" w:lineRule="auto"/>
              <w:rPr>
                <w:rFonts w:ascii="Times New Roman" w:hAnsi="Times New Roman" w:cs="Times New Roman"/>
                <w:color w:val="000000" w:themeColor="text1"/>
                <w:lang w:val="de-DE"/>
              </w:rPr>
            </w:pPr>
          </w:p>
        </w:tc>
      </w:tr>
      <w:tr w:rsidR="00955A27" w:rsidRPr="001667DB" w14:paraId="58E15261" w14:textId="77777777" w:rsidTr="001B4B8F">
        <w:tc>
          <w:tcPr>
            <w:tcW w:w="426" w:type="dxa"/>
            <w:tcBorders>
              <w:top w:val="single" w:sz="6" w:space="0" w:color="auto"/>
              <w:left w:val="single" w:sz="6" w:space="0" w:color="auto"/>
              <w:right w:val="single" w:sz="6" w:space="0" w:color="auto"/>
            </w:tcBorders>
          </w:tcPr>
          <w:p w14:paraId="3899ABF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4</w:t>
            </w:r>
          </w:p>
        </w:tc>
        <w:tc>
          <w:tcPr>
            <w:tcW w:w="3056" w:type="dxa"/>
            <w:tcBorders>
              <w:top w:val="single" w:sz="6" w:space="0" w:color="auto"/>
              <w:left w:val="single" w:sz="6" w:space="0" w:color="auto"/>
              <w:right w:val="single" w:sz="6" w:space="0" w:color="auto"/>
            </w:tcBorders>
          </w:tcPr>
          <w:p w14:paraId="7A672ED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podsypki (przymiarem liniowym lub metodą niwelacji)</w:t>
            </w:r>
          </w:p>
        </w:tc>
        <w:tc>
          <w:tcPr>
            <w:tcW w:w="2755" w:type="dxa"/>
            <w:tcBorders>
              <w:top w:val="single" w:sz="6" w:space="0" w:color="auto"/>
              <w:left w:val="single" w:sz="6" w:space="0" w:color="auto"/>
              <w:right w:val="single" w:sz="6" w:space="0" w:color="auto"/>
            </w:tcBorders>
          </w:tcPr>
          <w:p w14:paraId="637D07E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Bieżąca kontrola w 10 punktach dziennej działki roboczej: grubości, spadków i cech konstrukcyjnych w porównaniu z dokumentacją projektową i specyfikacją</w:t>
            </w:r>
          </w:p>
        </w:tc>
        <w:tc>
          <w:tcPr>
            <w:tcW w:w="3119" w:type="dxa"/>
            <w:tcBorders>
              <w:top w:val="single" w:sz="6" w:space="0" w:color="auto"/>
              <w:left w:val="single" w:sz="6" w:space="0" w:color="auto"/>
              <w:right w:val="single" w:sz="6" w:space="0" w:color="auto"/>
            </w:tcBorders>
          </w:tcPr>
          <w:p w14:paraId="4EA6323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Wg pktu 5.6; odchyłki od projektowanej grubości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1 cm</w:t>
            </w:r>
          </w:p>
        </w:tc>
      </w:tr>
      <w:tr w:rsidR="00955A27" w:rsidRPr="001667DB" w14:paraId="213FDEBF" w14:textId="77777777" w:rsidTr="001B4B8F">
        <w:tc>
          <w:tcPr>
            <w:tcW w:w="426" w:type="dxa"/>
            <w:tcBorders>
              <w:top w:val="single" w:sz="6" w:space="0" w:color="auto"/>
              <w:left w:val="single" w:sz="6" w:space="0" w:color="auto"/>
              <w:right w:val="single" w:sz="6" w:space="0" w:color="auto"/>
            </w:tcBorders>
          </w:tcPr>
          <w:p w14:paraId="57222A6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056" w:type="dxa"/>
            <w:tcBorders>
              <w:top w:val="single" w:sz="6" w:space="0" w:color="auto"/>
            </w:tcBorders>
          </w:tcPr>
          <w:p w14:paraId="54C0AE9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Badania wykonywania nawierzchni z kostki</w:t>
            </w:r>
          </w:p>
        </w:tc>
        <w:tc>
          <w:tcPr>
            <w:tcW w:w="2755" w:type="dxa"/>
            <w:tcBorders>
              <w:top w:val="single" w:sz="6" w:space="0" w:color="auto"/>
            </w:tcBorders>
          </w:tcPr>
          <w:p w14:paraId="7EF6D182"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3119" w:type="dxa"/>
            <w:tcBorders>
              <w:top w:val="single" w:sz="6" w:space="0" w:color="auto"/>
              <w:right w:val="single" w:sz="6" w:space="0" w:color="auto"/>
            </w:tcBorders>
          </w:tcPr>
          <w:p w14:paraId="5DD075B1" w14:textId="77777777" w:rsidR="00955A27" w:rsidRPr="001667DB" w:rsidRDefault="00955A27" w:rsidP="00955A27">
            <w:pPr>
              <w:spacing w:after="120" w:line="360" w:lineRule="auto"/>
              <w:rPr>
                <w:rFonts w:ascii="Times New Roman" w:hAnsi="Times New Roman" w:cs="Times New Roman"/>
                <w:color w:val="000000" w:themeColor="text1"/>
              </w:rPr>
            </w:pPr>
          </w:p>
        </w:tc>
      </w:tr>
      <w:tr w:rsidR="00955A27" w:rsidRPr="001667DB" w14:paraId="2C857654" w14:textId="77777777" w:rsidTr="001B4B8F">
        <w:tc>
          <w:tcPr>
            <w:tcW w:w="426" w:type="dxa"/>
            <w:tcBorders>
              <w:left w:val="single" w:sz="6" w:space="0" w:color="auto"/>
            </w:tcBorders>
          </w:tcPr>
          <w:p w14:paraId="2A50F7E4" w14:textId="77777777" w:rsidR="00955A27" w:rsidRPr="001667DB" w:rsidRDefault="00955A27" w:rsidP="00955A27">
            <w:p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7F42A9A2"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zgodność z dokumentacją projektową</w:t>
            </w:r>
          </w:p>
        </w:tc>
        <w:tc>
          <w:tcPr>
            <w:tcW w:w="2755" w:type="dxa"/>
            <w:tcBorders>
              <w:top w:val="single" w:sz="6" w:space="0" w:color="auto"/>
              <w:left w:val="single" w:sz="6" w:space="0" w:color="auto"/>
              <w:bottom w:val="single" w:sz="6" w:space="0" w:color="auto"/>
              <w:right w:val="single" w:sz="6" w:space="0" w:color="auto"/>
            </w:tcBorders>
          </w:tcPr>
          <w:p w14:paraId="3B72BAD1"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Sukcesywnie na każdej działce roboczej</w:t>
            </w:r>
          </w:p>
        </w:tc>
        <w:tc>
          <w:tcPr>
            <w:tcW w:w="3119" w:type="dxa"/>
            <w:tcBorders>
              <w:top w:val="single" w:sz="6" w:space="0" w:color="auto"/>
              <w:left w:val="single" w:sz="6" w:space="0" w:color="auto"/>
              <w:bottom w:val="single" w:sz="6" w:space="0" w:color="auto"/>
              <w:right w:val="single" w:sz="6" w:space="0" w:color="auto"/>
            </w:tcBorders>
          </w:tcPr>
          <w:p w14:paraId="3B75AD48"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55A27" w:rsidRPr="001667DB" w14:paraId="2580AE68" w14:textId="77777777" w:rsidTr="001B4B8F">
        <w:tc>
          <w:tcPr>
            <w:tcW w:w="426" w:type="dxa"/>
            <w:tcBorders>
              <w:left w:val="single" w:sz="6" w:space="0" w:color="auto"/>
            </w:tcBorders>
          </w:tcPr>
          <w:p w14:paraId="17193FD2"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3EB223D2"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położenie osi w planie (sprawdzone geodezyjnie)</w:t>
            </w:r>
          </w:p>
        </w:tc>
        <w:tc>
          <w:tcPr>
            <w:tcW w:w="2755" w:type="dxa"/>
            <w:tcBorders>
              <w:top w:val="single" w:sz="6" w:space="0" w:color="auto"/>
              <w:left w:val="single" w:sz="6" w:space="0" w:color="auto"/>
              <w:bottom w:val="single" w:sz="6" w:space="0" w:color="auto"/>
              <w:right w:val="single" w:sz="6" w:space="0" w:color="auto"/>
            </w:tcBorders>
          </w:tcPr>
          <w:p w14:paraId="53150289"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100 m i we wszystkich punktach charakterystycznych</w:t>
            </w:r>
          </w:p>
        </w:tc>
        <w:tc>
          <w:tcPr>
            <w:tcW w:w="3119" w:type="dxa"/>
            <w:tcBorders>
              <w:top w:val="single" w:sz="6" w:space="0" w:color="auto"/>
              <w:left w:val="single" w:sz="6" w:space="0" w:color="auto"/>
              <w:bottom w:val="single" w:sz="6" w:space="0" w:color="auto"/>
              <w:right w:val="single" w:sz="6" w:space="0" w:color="auto"/>
            </w:tcBorders>
          </w:tcPr>
          <w:p w14:paraId="680F140A"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Przesunięcie od osi projektowanej do 2 cm</w:t>
            </w:r>
          </w:p>
        </w:tc>
      </w:tr>
      <w:tr w:rsidR="00955A27" w:rsidRPr="001667DB" w14:paraId="349D6AB2" w14:textId="77777777" w:rsidTr="001B4B8F">
        <w:tc>
          <w:tcPr>
            <w:tcW w:w="426" w:type="dxa"/>
            <w:tcBorders>
              <w:left w:val="single" w:sz="6" w:space="0" w:color="auto"/>
            </w:tcBorders>
          </w:tcPr>
          <w:p w14:paraId="54AF9F66"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7083012A"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 (pomierzone instrumentem pomiarowym)</w:t>
            </w:r>
          </w:p>
        </w:tc>
        <w:tc>
          <w:tcPr>
            <w:tcW w:w="2755" w:type="dxa"/>
            <w:tcBorders>
              <w:top w:val="single" w:sz="6" w:space="0" w:color="auto"/>
              <w:left w:val="single" w:sz="6" w:space="0" w:color="auto"/>
              <w:bottom w:val="single" w:sz="6" w:space="0" w:color="auto"/>
              <w:right w:val="single" w:sz="6" w:space="0" w:color="auto"/>
            </w:tcBorders>
          </w:tcPr>
          <w:p w14:paraId="6CD0A4C9"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25 m w osi i przy krawędziach oraz we wszystkich punktach cha-rakterystycznych</w:t>
            </w:r>
          </w:p>
        </w:tc>
        <w:tc>
          <w:tcPr>
            <w:tcW w:w="3119" w:type="dxa"/>
            <w:tcBorders>
              <w:top w:val="single" w:sz="6" w:space="0" w:color="auto"/>
              <w:left w:val="single" w:sz="6" w:space="0" w:color="auto"/>
              <w:bottom w:val="single" w:sz="6" w:space="0" w:color="auto"/>
              <w:right w:val="single" w:sz="6" w:space="0" w:color="auto"/>
            </w:tcBorders>
          </w:tcPr>
          <w:p w14:paraId="1B4EAF07"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Odchylenia:       +1 cm; -2 cm</w:t>
            </w:r>
          </w:p>
        </w:tc>
      </w:tr>
      <w:tr w:rsidR="00955A27" w:rsidRPr="001667DB" w14:paraId="2C9A1312" w14:textId="77777777" w:rsidTr="001B4B8F">
        <w:tc>
          <w:tcPr>
            <w:tcW w:w="426" w:type="dxa"/>
            <w:tcBorders>
              <w:left w:val="single" w:sz="6" w:space="0" w:color="auto"/>
            </w:tcBorders>
          </w:tcPr>
          <w:p w14:paraId="16130FA0"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744B223F"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równość w profilu podłużnym (wg BN-68/8931-04 [9] łatą czterometrową)</w:t>
            </w:r>
          </w:p>
        </w:tc>
        <w:tc>
          <w:tcPr>
            <w:tcW w:w="2755" w:type="dxa"/>
            <w:tcBorders>
              <w:top w:val="single" w:sz="6" w:space="0" w:color="auto"/>
              <w:left w:val="single" w:sz="6" w:space="0" w:color="auto"/>
              <w:bottom w:val="single" w:sz="6" w:space="0" w:color="auto"/>
              <w:right w:val="single" w:sz="6" w:space="0" w:color="auto"/>
            </w:tcBorders>
          </w:tcPr>
          <w:p w14:paraId="016DC2C7"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3119" w:type="dxa"/>
            <w:tcBorders>
              <w:top w:val="single" w:sz="6" w:space="0" w:color="auto"/>
              <w:left w:val="single" w:sz="6" w:space="0" w:color="auto"/>
              <w:bottom w:val="single" w:sz="6" w:space="0" w:color="auto"/>
              <w:right w:val="single" w:sz="6" w:space="0" w:color="auto"/>
            </w:tcBorders>
          </w:tcPr>
          <w:p w14:paraId="6AD5F161"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Nierówności do 8 mm</w:t>
            </w:r>
          </w:p>
        </w:tc>
      </w:tr>
      <w:tr w:rsidR="00955A27" w:rsidRPr="001667DB" w14:paraId="051383A8" w14:textId="77777777" w:rsidTr="001B4B8F">
        <w:tc>
          <w:tcPr>
            <w:tcW w:w="426" w:type="dxa"/>
            <w:tcBorders>
              <w:left w:val="single" w:sz="6" w:space="0" w:color="auto"/>
            </w:tcBorders>
          </w:tcPr>
          <w:p w14:paraId="2DDA7015"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300AA79A"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równość w przekroju poprzecznym (sprawdzona łatą profilową z poziomnicą i pomiarze prześwitu klinem cechowanym oraz przymiarem liniowym względnie metodą niwelacji)</w:t>
            </w:r>
          </w:p>
        </w:tc>
        <w:tc>
          <w:tcPr>
            <w:tcW w:w="2755" w:type="dxa"/>
            <w:tcBorders>
              <w:top w:val="single" w:sz="6" w:space="0" w:color="auto"/>
              <w:left w:val="single" w:sz="6" w:space="0" w:color="auto"/>
              <w:bottom w:val="single" w:sz="6" w:space="0" w:color="auto"/>
              <w:right w:val="single" w:sz="6" w:space="0" w:color="auto"/>
            </w:tcBorders>
          </w:tcPr>
          <w:p w14:paraId="23CC8DD9"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3119" w:type="dxa"/>
            <w:tcBorders>
              <w:top w:val="single" w:sz="6" w:space="0" w:color="auto"/>
              <w:left w:val="single" w:sz="6" w:space="0" w:color="auto"/>
              <w:bottom w:val="single" w:sz="6" w:space="0" w:color="auto"/>
              <w:right w:val="single" w:sz="6" w:space="0" w:color="auto"/>
            </w:tcBorders>
          </w:tcPr>
          <w:p w14:paraId="796A7B92"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Prześwity między łatą a po-     wierzchnią do         8 mm</w:t>
            </w:r>
          </w:p>
        </w:tc>
      </w:tr>
      <w:tr w:rsidR="00955A27" w:rsidRPr="001667DB" w14:paraId="3A0EF57E" w14:textId="77777777" w:rsidTr="001B4B8F">
        <w:tc>
          <w:tcPr>
            <w:tcW w:w="426" w:type="dxa"/>
            <w:tcBorders>
              <w:left w:val="single" w:sz="6" w:space="0" w:color="auto"/>
            </w:tcBorders>
          </w:tcPr>
          <w:p w14:paraId="58AE81FF"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39BDF5CB"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spadki poprzeczne (sprawdzone metodą niwelacji)</w:t>
            </w:r>
          </w:p>
        </w:tc>
        <w:tc>
          <w:tcPr>
            <w:tcW w:w="2755" w:type="dxa"/>
            <w:tcBorders>
              <w:top w:val="single" w:sz="6" w:space="0" w:color="auto"/>
              <w:left w:val="single" w:sz="6" w:space="0" w:color="auto"/>
              <w:bottom w:val="single" w:sz="6" w:space="0" w:color="auto"/>
              <w:right w:val="single" w:sz="6" w:space="0" w:color="auto"/>
            </w:tcBorders>
          </w:tcPr>
          <w:p w14:paraId="478B44A3"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3119" w:type="dxa"/>
            <w:tcBorders>
              <w:top w:val="single" w:sz="6" w:space="0" w:color="auto"/>
              <w:left w:val="single" w:sz="6" w:space="0" w:color="auto"/>
              <w:bottom w:val="single" w:sz="6" w:space="0" w:color="auto"/>
              <w:right w:val="single" w:sz="6" w:space="0" w:color="auto"/>
            </w:tcBorders>
          </w:tcPr>
          <w:p w14:paraId="44D4FD87"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Odchyłki od dokumentacji projektowej do 0,3%</w:t>
            </w:r>
          </w:p>
        </w:tc>
      </w:tr>
      <w:tr w:rsidR="00955A27" w:rsidRPr="001667DB" w14:paraId="52D41B9A" w14:textId="77777777" w:rsidTr="001B4B8F">
        <w:tc>
          <w:tcPr>
            <w:tcW w:w="426" w:type="dxa"/>
            <w:tcBorders>
              <w:left w:val="single" w:sz="6" w:space="0" w:color="auto"/>
            </w:tcBorders>
          </w:tcPr>
          <w:p w14:paraId="6AECA741"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13D96991"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szerokość nawierzchni (sprawdzona przymiarem liniowym)</w:t>
            </w:r>
          </w:p>
        </w:tc>
        <w:tc>
          <w:tcPr>
            <w:tcW w:w="2755" w:type="dxa"/>
            <w:tcBorders>
              <w:top w:val="single" w:sz="6" w:space="0" w:color="auto"/>
              <w:left w:val="single" w:sz="6" w:space="0" w:color="auto"/>
              <w:bottom w:val="single" w:sz="6" w:space="0" w:color="auto"/>
              <w:right w:val="single" w:sz="6" w:space="0" w:color="auto"/>
            </w:tcBorders>
          </w:tcPr>
          <w:p w14:paraId="16B3AA62"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3119" w:type="dxa"/>
            <w:tcBorders>
              <w:top w:val="single" w:sz="6" w:space="0" w:color="auto"/>
              <w:left w:val="single" w:sz="6" w:space="0" w:color="auto"/>
              <w:bottom w:val="single" w:sz="6" w:space="0" w:color="auto"/>
              <w:right w:val="single" w:sz="6" w:space="0" w:color="auto"/>
            </w:tcBorders>
          </w:tcPr>
          <w:p w14:paraId="059C28C1"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Odchyłki od szerokości projekto-wanej do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5 cm</w:t>
            </w:r>
          </w:p>
        </w:tc>
      </w:tr>
      <w:tr w:rsidR="00955A27" w:rsidRPr="001667DB" w14:paraId="588FAEC4" w14:textId="77777777" w:rsidTr="001B4B8F">
        <w:tc>
          <w:tcPr>
            <w:tcW w:w="426" w:type="dxa"/>
            <w:tcBorders>
              <w:left w:val="single" w:sz="6" w:space="0" w:color="auto"/>
            </w:tcBorders>
          </w:tcPr>
          <w:p w14:paraId="2E33B239"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1048EEEE"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szerokość i głębokość wypełnienia spoin i szczelin (oględziny i pomiar przymiarem liniowym po wykruszeniu dług. 10 cm)</w:t>
            </w:r>
          </w:p>
        </w:tc>
        <w:tc>
          <w:tcPr>
            <w:tcW w:w="2755" w:type="dxa"/>
            <w:tcBorders>
              <w:top w:val="single" w:sz="6" w:space="0" w:color="auto"/>
              <w:left w:val="single" w:sz="6" w:space="0" w:color="auto"/>
              <w:bottom w:val="single" w:sz="6" w:space="0" w:color="auto"/>
              <w:right w:val="single" w:sz="6" w:space="0" w:color="auto"/>
            </w:tcBorders>
          </w:tcPr>
          <w:p w14:paraId="5902D91B"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 20 punktach charakterystycznych dziennej działki roboczej</w:t>
            </w:r>
          </w:p>
        </w:tc>
        <w:tc>
          <w:tcPr>
            <w:tcW w:w="3119" w:type="dxa"/>
            <w:tcBorders>
              <w:top w:val="single" w:sz="6" w:space="0" w:color="auto"/>
              <w:left w:val="single" w:sz="6" w:space="0" w:color="auto"/>
              <w:bottom w:val="single" w:sz="6" w:space="0" w:color="auto"/>
              <w:right w:val="single" w:sz="6" w:space="0" w:color="auto"/>
            </w:tcBorders>
          </w:tcPr>
          <w:p w14:paraId="5D4FC6EF"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Wg pktu 5.7.5</w:t>
            </w:r>
          </w:p>
        </w:tc>
      </w:tr>
      <w:tr w:rsidR="00955A27" w:rsidRPr="001667DB" w14:paraId="29CC3BCA" w14:textId="77777777" w:rsidTr="001B4B8F">
        <w:tc>
          <w:tcPr>
            <w:tcW w:w="426" w:type="dxa"/>
            <w:tcBorders>
              <w:left w:val="single" w:sz="6" w:space="0" w:color="auto"/>
              <w:bottom w:val="single" w:sz="6" w:space="0" w:color="auto"/>
            </w:tcBorders>
          </w:tcPr>
          <w:p w14:paraId="1B307D48" w14:textId="77777777" w:rsidR="00955A27" w:rsidRPr="001667DB" w:rsidRDefault="00955A27" w:rsidP="00955A27">
            <w:pPr>
              <w:numPr>
                <w:ilvl w:val="12"/>
                <w:numId w:val="0"/>
              </w:numPr>
              <w:spacing w:after="120" w:line="360" w:lineRule="auto"/>
              <w:jc w:val="center"/>
              <w:rPr>
                <w:rFonts w:ascii="Times New Roman" w:hAnsi="Times New Roman" w:cs="Times New Roman"/>
                <w:color w:val="000000" w:themeColor="text1"/>
              </w:rPr>
            </w:pPr>
          </w:p>
        </w:tc>
        <w:tc>
          <w:tcPr>
            <w:tcW w:w="3056" w:type="dxa"/>
            <w:tcBorders>
              <w:top w:val="single" w:sz="6" w:space="0" w:color="auto"/>
              <w:left w:val="single" w:sz="6" w:space="0" w:color="auto"/>
              <w:bottom w:val="single" w:sz="6" w:space="0" w:color="auto"/>
              <w:right w:val="single" w:sz="6" w:space="0" w:color="auto"/>
            </w:tcBorders>
          </w:tcPr>
          <w:p w14:paraId="2E42F219" w14:textId="77777777" w:rsidR="00955A27" w:rsidRPr="001667DB" w:rsidRDefault="00955A27" w:rsidP="00904E6C">
            <w:pPr>
              <w:numPr>
                <w:ilvl w:val="0"/>
                <w:numId w:val="21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koloru kostek i desenia ich ułożenia</w:t>
            </w:r>
          </w:p>
        </w:tc>
        <w:tc>
          <w:tcPr>
            <w:tcW w:w="2755" w:type="dxa"/>
            <w:tcBorders>
              <w:top w:val="single" w:sz="6" w:space="0" w:color="auto"/>
              <w:left w:val="single" w:sz="6" w:space="0" w:color="auto"/>
              <w:bottom w:val="single" w:sz="6" w:space="0" w:color="auto"/>
              <w:right w:val="single" w:sz="6" w:space="0" w:color="auto"/>
            </w:tcBorders>
          </w:tcPr>
          <w:p w14:paraId="594E72B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Kontrola bieżąca</w:t>
            </w:r>
          </w:p>
        </w:tc>
        <w:tc>
          <w:tcPr>
            <w:tcW w:w="3119" w:type="dxa"/>
            <w:tcBorders>
              <w:top w:val="single" w:sz="6" w:space="0" w:color="auto"/>
              <w:left w:val="single" w:sz="6" w:space="0" w:color="auto"/>
              <w:bottom w:val="single" w:sz="6" w:space="0" w:color="auto"/>
              <w:right w:val="single" w:sz="6" w:space="0" w:color="auto"/>
            </w:tcBorders>
          </w:tcPr>
          <w:p w14:paraId="3194855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Wg dokumentacji projektowej lub decyzji Inżyniera</w:t>
            </w:r>
          </w:p>
        </w:tc>
      </w:tr>
    </w:tbl>
    <w:p w14:paraId="1B1E7E6A"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66" w:name="_Toc331335427"/>
      <w:r w:rsidRPr="001667DB">
        <w:rPr>
          <w:color w:val="000000" w:themeColor="text1"/>
          <w:sz w:val="22"/>
          <w:szCs w:val="22"/>
        </w:rPr>
        <w:t>Badania wykonanych robót</w:t>
      </w:r>
      <w:bookmarkEnd w:id="566"/>
    </w:p>
    <w:p w14:paraId="7BE46DAA" w14:textId="77777777" w:rsidR="00955A27" w:rsidRPr="001667DB" w:rsidRDefault="00955A27" w:rsidP="00955A27">
      <w:pPr>
        <w:spacing w:after="120" w:line="360" w:lineRule="auto"/>
        <w:rPr>
          <w:rFonts w:ascii="Times New Roman" w:hAnsi="Times New Roman" w:cs="Times New Roman"/>
          <w:color w:val="000000" w:themeColor="text1"/>
        </w:rPr>
      </w:pPr>
    </w:p>
    <w:p w14:paraId="055005B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Zakres badań i pomiarów wykonanej nawierzchni z betonowej kostki brukowej podano w tablicy 7.</w:t>
      </w:r>
    </w:p>
    <w:p w14:paraId="69F7701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7. Badania i pomiary po ukończeniu budowy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07"/>
        <w:gridCol w:w="4998"/>
      </w:tblGrid>
      <w:tr w:rsidR="00955A27" w:rsidRPr="001667DB" w14:paraId="6E2B970B" w14:textId="77777777" w:rsidTr="001B4B8F">
        <w:tc>
          <w:tcPr>
            <w:tcW w:w="496" w:type="dxa"/>
            <w:tcBorders>
              <w:bottom w:val="double" w:sz="6" w:space="0" w:color="auto"/>
            </w:tcBorders>
          </w:tcPr>
          <w:p w14:paraId="5493971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507" w:type="dxa"/>
            <w:tcBorders>
              <w:bottom w:val="double" w:sz="6" w:space="0" w:color="auto"/>
            </w:tcBorders>
          </w:tcPr>
          <w:p w14:paraId="3D192A4C"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Wyszczególnienie badań i pomiarów</w:t>
            </w:r>
          </w:p>
        </w:tc>
        <w:tc>
          <w:tcPr>
            <w:tcW w:w="4998" w:type="dxa"/>
            <w:tcBorders>
              <w:bottom w:val="double" w:sz="6" w:space="0" w:color="auto"/>
            </w:tcBorders>
          </w:tcPr>
          <w:p w14:paraId="09787BA1"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Sposób sprawdzenia</w:t>
            </w:r>
          </w:p>
        </w:tc>
      </w:tr>
      <w:tr w:rsidR="00955A27" w:rsidRPr="001667DB" w14:paraId="62D9E62C" w14:textId="77777777" w:rsidTr="001B4B8F">
        <w:tc>
          <w:tcPr>
            <w:tcW w:w="496" w:type="dxa"/>
            <w:tcBorders>
              <w:top w:val="nil"/>
            </w:tcBorders>
          </w:tcPr>
          <w:p w14:paraId="194E6CBF"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07" w:type="dxa"/>
            <w:tcBorders>
              <w:top w:val="nil"/>
            </w:tcBorders>
          </w:tcPr>
          <w:p w14:paraId="70AE96A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Sprawdzenie wyglądu zewnętrznego nawierzchni, krawężników, obrzeży, ścieków</w:t>
            </w:r>
          </w:p>
        </w:tc>
        <w:tc>
          <w:tcPr>
            <w:tcW w:w="4998" w:type="dxa"/>
            <w:tcBorders>
              <w:top w:val="nil"/>
            </w:tcBorders>
          </w:tcPr>
          <w:p w14:paraId="74D6788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Wizualne sprawdzenie jednorodności wyglądu, prawidłowości desenia, kolorów kostek, spękań, plam, deformacji, wy-kruszeń, spoin i szczelin</w:t>
            </w:r>
          </w:p>
        </w:tc>
      </w:tr>
      <w:tr w:rsidR="00955A27" w:rsidRPr="001667DB" w14:paraId="66BF9AD4" w14:textId="77777777" w:rsidTr="001B4B8F">
        <w:tc>
          <w:tcPr>
            <w:tcW w:w="496" w:type="dxa"/>
          </w:tcPr>
          <w:p w14:paraId="5C6002D2"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07" w:type="dxa"/>
          </w:tcPr>
          <w:p w14:paraId="6A590E2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Badanie położenia osi nawierzchni w planie</w:t>
            </w:r>
          </w:p>
        </w:tc>
        <w:tc>
          <w:tcPr>
            <w:tcW w:w="4998" w:type="dxa"/>
          </w:tcPr>
          <w:p w14:paraId="7580BC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Geodezyjne sprawdzenie położenia osi co 25 m i w punktach charakterystycznych (dopuszczalne przesunięcia wg tab. 2, lp. 5b)</w:t>
            </w:r>
          </w:p>
        </w:tc>
      </w:tr>
      <w:tr w:rsidR="00955A27" w:rsidRPr="001667DB" w14:paraId="7CB54BA3" w14:textId="77777777" w:rsidTr="001B4B8F">
        <w:tc>
          <w:tcPr>
            <w:tcW w:w="496" w:type="dxa"/>
          </w:tcPr>
          <w:p w14:paraId="5FA3B5B8"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07" w:type="dxa"/>
          </w:tcPr>
          <w:p w14:paraId="267F33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 równość podłużna i poprzeczna, spadki poprzeczne i szerokość</w:t>
            </w:r>
          </w:p>
        </w:tc>
        <w:tc>
          <w:tcPr>
            <w:tcW w:w="4998" w:type="dxa"/>
          </w:tcPr>
          <w:p w14:paraId="78EB7A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Co 25 m i we wszystkich  punktach charakterystycznych (wg metod i dopuszczalnych wartości podanych w tab. 2, lp. od 5c do 5g)</w:t>
            </w:r>
          </w:p>
        </w:tc>
      </w:tr>
      <w:tr w:rsidR="00955A27" w:rsidRPr="001667DB" w14:paraId="5CF5646D" w14:textId="77777777" w:rsidTr="001B4B8F">
        <w:tc>
          <w:tcPr>
            <w:tcW w:w="496" w:type="dxa"/>
          </w:tcPr>
          <w:p w14:paraId="52239809"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07" w:type="dxa"/>
          </w:tcPr>
          <w:p w14:paraId="3A8C79C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Rozmieszczenie i szerokość spoin i szczelin w nawierzchni, pomiędzy krawężnikami, obrzeżami, ściekami oraz wypełnienie spoin i szczelin</w:t>
            </w:r>
          </w:p>
        </w:tc>
        <w:tc>
          <w:tcPr>
            <w:tcW w:w="4998" w:type="dxa"/>
          </w:tcPr>
          <w:p w14:paraId="3A29497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Wg pktu 5.5 i 5.7.5</w:t>
            </w:r>
          </w:p>
        </w:tc>
      </w:tr>
    </w:tbl>
    <w:p w14:paraId="4D1A9AE4" w14:textId="77777777" w:rsidR="00955A27" w:rsidRPr="001667DB" w:rsidRDefault="00955A27" w:rsidP="00955A27">
      <w:pPr>
        <w:spacing w:after="120" w:line="360" w:lineRule="auto"/>
        <w:rPr>
          <w:rFonts w:ascii="Times New Roman" w:hAnsi="Times New Roman" w:cs="Times New Roman"/>
          <w:color w:val="000000" w:themeColor="text1"/>
        </w:rPr>
      </w:pPr>
    </w:p>
    <w:p w14:paraId="10B4E8E2"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67" w:name="_Toc421940502"/>
      <w:bookmarkStart w:id="568" w:name="_Toc331335428"/>
      <w:r w:rsidRPr="001667DB">
        <w:rPr>
          <w:color w:val="000000" w:themeColor="text1"/>
          <w:sz w:val="22"/>
          <w:szCs w:val="22"/>
        </w:rPr>
        <w:t>obmiar robót</w:t>
      </w:r>
      <w:bookmarkEnd w:id="567"/>
      <w:bookmarkEnd w:id="568"/>
    </w:p>
    <w:p w14:paraId="0756E798"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69" w:name="_Toc331335429"/>
      <w:r w:rsidRPr="001667DB">
        <w:rPr>
          <w:color w:val="000000" w:themeColor="text1"/>
          <w:sz w:val="22"/>
          <w:szCs w:val="22"/>
        </w:rPr>
        <w:t>Ogólne zasady obmiaru robót</w:t>
      </w:r>
      <w:bookmarkEnd w:id="569"/>
    </w:p>
    <w:p w14:paraId="2BFF5C4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[10] pkt 7.</w:t>
      </w:r>
    </w:p>
    <w:p w14:paraId="7E82FFA1"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70" w:name="_Toc331335430"/>
      <w:r w:rsidRPr="001667DB">
        <w:rPr>
          <w:color w:val="000000" w:themeColor="text1"/>
          <w:sz w:val="22"/>
          <w:szCs w:val="22"/>
        </w:rPr>
        <w:lastRenderedPageBreak/>
        <w:t>Jednostka obmiarowa</w:t>
      </w:r>
      <w:bookmarkEnd w:id="570"/>
    </w:p>
    <w:p w14:paraId="0295B16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wykonanej nawierzchni z betonowej (kamiennej) kostki brukowej.</w:t>
      </w:r>
    </w:p>
    <w:p w14:paraId="43C3CE9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Jednostki obmiarowe robót towarzyszących budowie nawierzchni z betonowej kostki brukowej (podbudowa, obramowanie itp.) są ustalone w odpowiednich ST wymienionych w pktach 5.4 i 5.5.</w:t>
      </w:r>
    </w:p>
    <w:p w14:paraId="49D9D266" w14:textId="77777777" w:rsidR="00955A27" w:rsidRPr="001667DB" w:rsidRDefault="00955A27" w:rsidP="00955A27">
      <w:pPr>
        <w:spacing w:after="120" w:line="360" w:lineRule="auto"/>
        <w:rPr>
          <w:rFonts w:ascii="Times New Roman" w:hAnsi="Times New Roman" w:cs="Times New Roman"/>
          <w:color w:val="000000" w:themeColor="text1"/>
        </w:rPr>
      </w:pPr>
    </w:p>
    <w:p w14:paraId="4469657A"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71" w:name="_Toc421940503"/>
      <w:bookmarkStart w:id="572" w:name="_Toc331335431"/>
      <w:r w:rsidRPr="001667DB">
        <w:rPr>
          <w:color w:val="000000" w:themeColor="text1"/>
          <w:sz w:val="22"/>
          <w:szCs w:val="22"/>
        </w:rPr>
        <w:t>odbiór robót</w:t>
      </w:r>
      <w:bookmarkEnd w:id="571"/>
      <w:bookmarkEnd w:id="572"/>
    </w:p>
    <w:p w14:paraId="1A66CBAB"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73" w:name="_Toc331335432"/>
      <w:r w:rsidRPr="001667DB">
        <w:rPr>
          <w:color w:val="000000" w:themeColor="text1"/>
          <w:sz w:val="22"/>
          <w:szCs w:val="22"/>
        </w:rPr>
        <w:t>Ogólne zasady odbioru robót</w:t>
      </w:r>
      <w:bookmarkEnd w:id="573"/>
    </w:p>
    <w:p w14:paraId="74A02A7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[10] pkt 8.</w:t>
      </w:r>
    </w:p>
    <w:p w14:paraId="3F8B400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pktu 6 dały wyniki pozytywne.</w:t>
      </w:r>
    </w:p>
    <w:p w14:paraId="5C230F33"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74" w:name="_Toc331335433"/>
      <w:r w:rsidRPr="001667DB">
        <w:rPr>
          <w:color w:val="000000" w:themeColor="text1"/>
          <w:sz w:val="22"/>
          <w:szCs w:val="22"/>
        </w:rPr>
        <w:t>Odbiór robót zanikających i ulegających zakryciu</w:t>
      </w:r>
      <w:bookmarkEnd w:id="574"/>
    </w:p>
    <w:p w14:paraId="480AF12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Odbiorowi robót zanikających i ulegających zakryciu podlegają:</w:t>
      </w:r>
    </w:p>
    <w:p w14:paraId="66D1D535"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 i wykonanie koryta,</w:t>
      </w:r>
    </w:p>
    <w:p w14:paraId="1AED3802"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ewentualnie wykonanie podbudowy,</w:t>
      </w:r>
    </w:p>
    <w:p w14:paraId="198A71D5"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ewentualnie wykonanie ław (podsypek) pod krawężniki, obrzeża, ścieki,</w:t>
      </w:r>
    </w:p>
    <w:p w14:paraId="6F3DA855"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podłoża z zaprawy drenażowej pod nawierzchnię,</w:t>
      </w:r>
    </w:p>
    <w:p w14:paraId="2B6FA84F"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ewentualnie wypełnienie dolnej części szczelin dylatacyjnych.</w:t>
      </w:r>
    </w:p>
    <w:p w14:paraId="7598BA09"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Odbiór tych robót powinien być zgodny z wymaganiami pktu 8.2 D- 00.00.00 „Wymagania ogólne” [10] oraz niniejszej ST.</w:t>
      </w:r>
    </w:p>
    <w:p w14:paraId="7F25D537"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p>
    <w:p w14:paraId="69719930"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75" w:name="_Toc421686551"/>
      <w:bookmarkStart w:id="576" w:name="_Toc421940504"/>
      <w:bookmarkStart w:id="577" w:name="_Toc331335434"/>
      <w:r w:rsidRPr="001667DB">
        <w:rPr>
          <w:color w:val="000000" w:themeColor="text1"/>
          <w:sz w:val="22"/>
          <w:szCs w:val="22"/>
        </w:rPr>
        <w:t>podstawa płatności</w:t>
      </w:r>
      <w:bookmarkEnd w:id="575"/>
      <w:bookmarkEnd w:id="576"/>
      <w:bookmarkEnd w:id="577"/>
    </w:p>
    <w:p w14:paraId="460EAA2B"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78" w:name="_Toc331335435"/>
      <w:r w:rsidRPr="001667DB">
        <w:rPr>
          <w:color w:val="000000" w:themeColor="text1"/>
          <w:sz w:val="22"/>
          <w:szCs w:val="22"/>
        </w:rPr>
        <w:t>Ogólne ustalenia dotyczące podstawy płatności</w:t>
      </w:r>
      <w:bookmarkEnd w:id="578"/>
    </w:p>
    <w:p w14:paraId="3BA30465"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D- 00.00.00 „Wymagania ogólne” [10] pkt 9.</w:t>
      </w:r>
    </w:p>
    <w:p w14:paraId="77EC692F" w14:textId="77777777" w:rsidR="00955A27" w:rsidRPr="001667DB" w:rsidRDefault="00955A27" w:rsidP="00904E6C">
      <w:pPr>
        <w:pStyle w:val="Nagwek2"/>
        <w:numPr>
          <w:ilvl w:val="1"/>
          <w:numId w:val="225"/>
        </w:numPr>
        <w:tabs>
          <w:tab w:val="clear" w:pos="-720"/>
          <w:tab w:val="clear" w:pos="0"/>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line="360" w:lineRule="auto"/>
        <w:ind w:left="720" w:hanging="720"/>
        <w:jc w:val="both"/>
        <w:textAlignment w:val="baseline"/>
        <w:rPr>
          <w:color w:val="000000" w:themeColor="text1"/>
          <w:sz w:val="22"/>
          <w:szCs w:val="22"/>
        </w:rPr>
      </w:pPr>
      <w:bookmarkStart w:id="579" w:name="_Toc331335436"/>
      <w:r w:rsidRPr="001667DB">
        <w:rPr>
          <w:color w:val="000000" w:themeColor="text1"/>
          <w:sz w:val="22"/>
          <w:szCs w:val="22"/>
        </w:rPr>
        <w:t>Cena jednostki obmiarowej</w:t>
      </w:r>
      <w:bookmarkEnd w:id="579"/>
    </w:p>
    <w:p w14:paraId="438C2FC1"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nawierzchni z betonowej kostki brukowej obejmuje:</w:t>
      </w:r>
    </w:p>
    <w:p w14:paraId="7410C65E"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4296FA63"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oznakowanie robót,</w:t>
      </w:r>
    </w:p>
    <w:p w14:paraId="351073B8"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 i wykonanie koryta,</w:t>
      </w:r>
    </w:p>
    <w:p w14:paraId="533425D2"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129BCA2D"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podsypki,</w:t>
      </w:r>
    </w:p>
    <w:p w14:paraId="7DA7CE80"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ustalenie kształtu, koloru i desenia kostek,</w:t>
      </w:r>
    </w:p>
    <w:p w14:paraId="29AA0082"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i ubicie kostek,</w:t>
      </w:r>
    </w:p>
    <w:p w14:paraId="79E24660"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wypełnienie spoin i ew. szczelin dylatacyjnych w nawierzchni,</w:t>
      </w:r>
    </w:p>
    <w:p w14:paraId="78B2D831"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pielęgnację nawierzchni,</w:t>
      </w:r>
    </w:p>
    <w:p w14:paraId="001CD1CE"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niniejszej specyfikacji technicznej,</w:t>
      </w:r>
    </w:p>
    <w:p w14:paraId="6CA98501" w14:textId="77777777" w:rsidR="00955A27" w:rsidRPr="001667DB" w:rsidRDefault="00955A27" w:rsidP="00F55914">
      <w:pPr>
        <w:numPr>
          <w:ilvl w:val="0"/>
          <w:numId w:val="23"/>
        </w:numPr>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odwiezienie sprzętu.</w:t>
      </w:r>
    </w:p>
    <w:p w14:paraId="3E6067E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nawierzchni z betonowej kostki brukowej nie obejmuje robót towarzyszących (jak: podbudowa, obramowanie itp.), które powinny być ujęte w innych pozycjach kosztorysowych, a których zakres jest określony przez SST wymienione w pktach 5.4 i 5.5.</w:t>
      </w:r>
    </w:p>
    <w:p w14:paraId="137F10C4" w14:textId="77777777" w:rsidR="00955A27" w:rsidRPr="001667DB" w:rsidRDefault="00955A27" w:rsidP="00904E6C">
      <w:pPr>
        <w:pStyle w:val="Nagwek1"/>
        <w:keepLines/>
        <w:numPr>
          <w:ilvl w:val="0"/>
          <w:numId w:val="225"/>
        </w:numPr>
        <w:tabs>
          <w:tab w:val="clear" w:pos="-720"/>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autoSpaceDN w:val="0"/>
        <w:adjustRightInd w:val="0"/>
        <w:spacing w:before="0" w:line="360" w:lineRule="auto"/>
        <w:ind w:left="360" w:hanging="360"/>
        <w:jc w:val="both"/>
        <w:textAlignment w:val="baseline"/>
        <w:rPr>
          <w:color w:val="000000" w:themeColor="text1"/>
          <w:sz w:val="22"/>
          <w:szCs w:val="22"/>
        </w:rPr>
      </w:pPr>
      <w:bookmarkStart w:id="580" w:name="_Toc331335437"/>
      <w:r w:rsidRPr="001667DB">
        <w:rPr>
          <w:color w:val="000000" w:themeColor="text1"/>
          <w:sz w:val="22"/>
          <w:szCs w:val="22"/>
        </w:rPr>
        <w:t>Przepisy</w:t>
      </w:r>
      <w:bookmarkEnd w:id="580"/>
    </w:p>
    <w:p w14:paraId="0CB2EEB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1. PN-EN 1338 - Betonowe kostki brukowe. Wymagania i metody badań. </w:t>
      </w:r>
    </w:p>
    <w:p w14:paraId="477DCA1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2. PN-EN 12620 - Kruszywa do betonu. </w:t>
      </w:r>
    </w:p>
    <w:p w14:paraId="3FBD95E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4. PN-EN 13242 - Kruszywa do niezwiązanych i związanych hydraulicznie materiałów stosowanych w obiektach budowlanych i budownictwie drogowym . </w:t>
      </w:r>
    </w:p>
    <w:p w14:paraId="672C09A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5. PN-EN 206-1 - Beton. Część I. Wymagania, właściwości produkcja i zgodność. </w:t>
      </w:r>
    </w:p>
    <w:p w14:paraId="1F7AD3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6. PN-EN 1008 - Woda zarobowa do betonu. Specyfikacja pobierania próbek, badanie i ocena przydatności wody zarobowej do betonu w tym wody odzyskanej z procesów produkcji betonu. </w:t>
      </w:r>
    </w:p>
    <w:p w14:paraId="4603AC0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7. BN-68/8931-04 - Drogi samochodowe. Pomiar równości nawierzchni planografem i łatą. </w:t>
      </w:r>
    </w:p>
    <w:p w14:paraId="15EB641C"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8. PN-EN 933-8 - Badanie geometrycznych właściwości kruszyw. Część 8: Ocena zawartości drobnych cząstek. Badanie wskaźnika piaskowego. </w:t>
      </w:r>
    </w:p>
    <w:p w14:paraId="026C384E" w14:textId="77777777" w:rsidR="00BE7D98" w:rsidRPr="001667DB" w:rsidRDefault="00955A27">
      <w:pPr>
        <w:rPr>
          <w:rFonts w:ascii="Times New Roman" w:hAnsi="Times New Roman" w:cs="Times New Roman"/>
          <w:color w:val="000000" w:themeColor="text1"/>
        </w:rPr>
      </w:pPr>
      <w:r w:rsidRPr="001667DB">
        <w:rPr>
          <w:rFonts w:ascii="Times New Roman" w:hAnsi="Times New Roman" w:cs="Times New Roman"/>
          <w:color w:val="000000" w:themeColor="text1"/>
        </w:rPr>
        <w:t xml:space="preserve">9. PN-B-06250 - Beton zwykły. </w:t>
      </w:r>
      <w:r w:rsidRPr="001667DB">
        <w:rPr>
          <w:rFonts w:ascii="Times New Roman" w:hAnsi="Times New Roman" w:cs="Times New Roman"/>
          <w:color w:val="000000" w:themeColor="text1"/>
        </w:rPr>
        <w:cr/>
      </w:r>
      <w:r w:rsidR="00BE7D98" w:rsidRPr="001667DB">
        <w:rPr>
          <w:rFonts w:ascii="Times New Roman" w:hAnsi="Times New Roman" w:cs="Times New Roman"/>
          <w:color w:val="000000" w:themeColor="text1"/>
        </w:rPr>
        <w:br w:type="page"/>
      </w:r>
    </w:p>
    <w:p w14:paraId="0CB8A94F" w14:textId="77777777" w:rsidR="00955A27" w:rsidRPr="001667DB" w:rsidRDefault="00955A27" w:rsidP="00BE7D98">
      <w:pPr>
        <w:spacing w:after="120" w:line="360" w:lineRule="auto"/>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D.05.03.26g.  </w:t>
      </w:r>
      <w:r w:rsidRPr="001667DB">
        <w:rPr>
          <w:rFonts w:ascii="Times New Roman" w:hAnsi="Times New Roman" w:cs="Times New Roman"/>
          <w:b/>
          <w:color w:val="000000" w:themeColor="text1"/>
        </w:rPr>
        <w:tab/>
        <w:t>POŁĄCZENIE  NOWEJ  KONSTRUKCJI  NAWIERZCHNI  Z NAWIERZCHNIĄ  ISTNIEJĄCĄ</w:t>
      </w:r>
    </w:p>
    <w:p w14:paraId="2343EC2F"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581" w:name="_Toc250368191"/>
      <w:r w:rsidRPr="001667DB">
        <w:rPr>
          <w:color w:val="000000" w:themeColor="text1"/>
          <w:sz w:val="22"/>
          <w:szCs w:val="22"/>
        </w:rPr>
        <w:t>WSTĘP</w:t>
      </w:r>
      <w:bookmarkEnd w:id="581"/>
    </w:p>
    <w:p w14:paraId="7FC87F2F"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Przedmiot ST</w:t>
      </w:r>
    </w:p>
    <w:p w14:paraId="49C420E7" w14:textId="77777777" w:rsidR="00955A27" w:rsidRPr="001667DB" w:rsidRDefault="00955A27" w:rsidP="00955A27">
      <w:pPr>
        <w:pStyle w:val="standardowytekst"/>
        <w:spacing w:before="0" w:beforeAutospacing="0" w:after="120" w:afterAutospacing="0" w:line="360" w:lineRule="auto"/>
        <w:jc w:val="both"/>
        <w:rPr>
          <w:b/>
          <w:color w:val="000000" w:themeColor="text1"/>
          <w:sz w:val="22"/>
          <w:szCs w:val="22"/>
        </w:rPr>
      </w:pPr>
      <w:r w:rsidRPr="001667DB">
        <w:rPr>
          <w:color w:val="000000" w:themeColor="text1"/>
          <w:sz w:val="22"/>
          <w:szCs w:val="22"/>
        </w:rPr>
        <w:tab/>
        <w:t>Przedmiotem niniejszej specyfikacji technicznej (ST) są wymagania dotyczące wykonania i odbioru robót związanych z połączeniem nowej konstrukcji nawierzchni z nawierzchnią istniejącą w związku z</w:t>
      </w:r>
      <w:r w:rsidRPr="001667DB">
        <w:rPr>
          <w:b/>
          <w:color w:val="000000" w:themeColor="text1"/>
          <w:sz w:val="22"/>
          <w:szCs w:val="22"/>
        </w:rPr>
        <w:t> </w:t>
      </w:r>
      <w:r w:rsidR="00301574" w:rsidRPr="00FD3B41">
        <w:rPr>
          <w:b/>
          <w:color w:val="000000" w:themeColor="text1"/>
          <w:sz w:val="22"/>
          <w:szCs w:val="22"/>
        </w:rPr>
        <w:t>„Rozbudowa drogi wojewódzkiej nr 461 w m. Dąbrówka Łubniańska i Łubniany” – Etap I ( km od 9+741,88 do 10+371,13)</w:t>
      </w:r>
    </w:p>
    <w:p w14:paraId="042F12AA"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Zakres stosowania ST</w:t>
      </w:r>
    </w:p>
    <w:p w14:paraId="1CEBC7F2" w14:textId="77777777" w:rsidR="00955A27" w:rsidRPr="001667DB" w:rsidRDefault="00955A27" w:rsidP="00955A27">
      <w:pPr>
        <w:pStyle w:val="Standardowytekst0"/>
        <w:spacing w:after="120" w:line="360" w:lineRule="auto"/>
        <w:rPr>
          <w:color w:val="000000" w:themeColor="text1"/>
          <w:sz w:val="22"/>
          <w:szCs w:val="22"/>
        </w:rPr>
      </w:pPr>
      <w:r w:rsidRPr="001667DB">
        <w:rPr>
          <w:color w:val="000000" w:themeColor="text1"/>
          <w:sz w:val="22"/>
          <w:szCs w:val="22"/>
        </w:rPr>
        <w:tab/>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opisanych w podpunkcie 1.1.</w:t>
      </w:r>
    </w:p>
    <w:p w14:paraId="1C624DA2"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Zakres robót objętych ST</w:t>
      </w:r>
    </w:p>
    <w:p w14:paraId="0248F49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Ustalenia zawarte w niniejszej specyfikacji dotyczą zasad prowadzenia robót związanych z wykonaniem i odbiorem połączenia nowej konstrukcji nawierzchni, zawierającej asfaltową warstwę ścieralną i wiążącą z istniejącą nawierzchnią asfaltową na dowolnej podbudowie.</w:t>
      </w:r>
    </w:p>
    <w:p w14:paraId="43DC8CF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Połączenie polega na rozbiórce starej nawierzchni z wykonaniem schodkowania jej krawędzi, skropieniu warstwy wiążącej emulsją asfaltową i ułożeniu geokompozytu, a następnie przykryciu go nową asfaltową warstwą ścieralną.</w:t>
      </w:r>
    </w:p>
    <w:p w14:paraId="7F19A5F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Wykonanie połączenia ma zapobiec (lub co najmniej opóźnić) wystąpieniu na powierzchni jezdni poprzecznego pęknięcia, odbitego od spoiny na krawędzi połączenia.</w:t>
      </w:r>
    </w:p>
    <w:p w14:paraId="160106B2" w14:textId="77777777" w:rsidR="00955A27" w:rsidRPr="001667DB" w:rsidRDefault="00955A27" w:rsidP="00187D2F">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Określenia podstawowe</w:t>
      </w:r>
    </w:p>
    <w:p w14:paraId="406A87D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1.4.1. Nawierzchnia</w:t>
      </w:r>
      <w:r w:rsidRPr="001667DB">
        <w:rPr>
          <w:rFonts w:ascii="Times New Roman" w:hAnsi="Times New Roman" w:cs="Times New Roman"/>
          <w:color w:val="000000" w:themeColor="text1"/>
        </w:rPr>
        <w:t xml:space="preserve"> – konstrukcja składająca się z kilku warstw, służących do przejmowania i rozkładania na podłoże obciążeń od ruchu pojazdów.</w:t>
      </w:r>
    </w:p>
    <w:p w14:paraId="51EA579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1.4.2. Warstwa nawierzchni</w:t>
      </w:r>
      <w:r w:rsidRPr="001667DB">
        <w:rPr>
          <w:rFonts w:ascii="Times New Roman" w:hAnsi="Times New Roman" w:cs="Times New Roman"/>
          <w:color w:val="000000" w:themeColor="text1"/>
        </w:rPr>
        <w:t xml:space="preserve"> – element konstrukcji nawierzchni zbudowany z jednego materiału.</w:t>
      </w:r>
    </w:p>
    <w:p w14:paraId="262FFC5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1.4.3. Warstwa ścieralna</w:t>
      </w:r>
      <w:r w:rsidRPr="001667DB">
        <w:rPr>
          <w:rFonts w:ascii="Times New Roman" w:hAnsi="Times New Roman" w:cs="Times New Roman"/>
          <w:color w:val="000000" w:themeColor="text1"/>
        </w:rPr>
        <w:t xml:space="preserve"> – górna warstwa nawierzchni będąca w bezpośrednim kontakcie z kołami pojazdów.</w:t>
      </w:r>
    </w:p>
    <w:p w14:paraId="19EFD14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1.4.4. Warstwa wiążąca</w:t>
      </w:r>
      <w:r w:rsidRPr="001667DB">
        <w:rPr>
          <w:rFonts w:ascii="Times New Roman" w:hAnsi="Times New Roman" w:cs="Times New Roman"/>
          <w:color w:val="000000" w:themeColor="text1"/>
        </w:rPr>
        <w:t xml:space="preserve"> – warstwa nawierzchni między warstwą ścieralną a podbudową.</w:t>
      </w:r>
    </w:p>
    <w:p w14:paraId="203C2B1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1.4.5. Podbudowa</w:t>
      </w:r>
      <w:r w:rsidRPr="001667DB">
        <w:rPr>
          <w:rFonts w:ascii="Times New Roman" w:hAnsi="Times New Roman" w:cs="Times New Roman"/>
          <w:color w:val="000000" w:themeColor="text1"/>
        </w:rPr>
        <w:t xml:space="preserve"> – główny element konstrukcyjny nawierzchni, ułożony w jednej lub kilku warstwach.</w:t>
      </w:r>
    </w:p>
    <w:p w14:paraId="3F4E083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1.4.6. Połączenie nowej i starej nawierzchni</w:t>
      </w:r>
      <w:r w:rsidRPr="001667DB">
        <w:rPr>
          <w:rFonts w:ascii="Times New Roman" w:hAnsi="Times New Roman" w:cs="Times New Roman"/>
          <w:color w:val="000000" w:themeColor="text1"/>
        </w:rPr>
        <w:t xml:space="preserve"> – sposób konstrukcji, łączący nową nawierzchnię z nawierzchnią istniejącą, mający na celu zagwarantowanie tej samej nośności (trwałości zmęczeniowej) obu części i zapobiegający wystąpieniu na powierzchni jezdni poprzecznego pęknięcia.</w:t>
      </w:r>
    </w:p>
    <w:p w14:paraId="2F9D1CC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1.4.7. Kategoria ruchu</w:t>
      </w:r>
      <w:r w:rsidRPr="001667DB">
        <w:rPr>
          <w:rFonts w:ascii="Times New Roman" w:hAnsi="Times New Roman" w:cs="Times New Roman"/>
          <w:color w:val="000000" w:themeColor="text1"/>
        </w:rPr>
        <w:t xml:space="preserve"> – obciążenie drogi ruchem samochodowym, wyrażone w osiach obliczeniowych (100 kN) wg „Katalogu typowych konstrukcji nawierzchni podatnych i półsztywnych”, GDDP – IBDiM, Warszawa 1997.</w:t>
      </w:r>
    </w:p>
    <w:p w14:paraId="396634D2"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1.4.8. Emulsja asfaltowa</w:t>
      </w:r>
      <w:r w:rsidRPr="001667DB">
        <w:rPr>
          <w:rFonts w:ascii="Times New Roman" w:hAnsi="Times New Roman" w:cs="Times New Roman"/>
          <w:color w:val="000000" w:themeColor="text1"/>
        </w:rPr>
        <w:t xml:space="preserve"> – emulsja, w której fazą zdyspergowaną jest asfalt, a fazą ciągłą jest woda lub roztwór wodny, o ile nie ustalono inaczej.</w:t>
      </w:r>
    </w:p>
    <w:p w14:paraId="2105220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1.4.9. Geosiatka</w:t>
      </w:r>
      <w:r w:rsidRPr="001667DB">
        <w:rPr>
          <w:rFonts w:ascii="Times New Roman" w:hAnsi="Times New Roman" w:cs="Times New Roman"/>
          <w:color w:val="000000" w:themeColor="text1"/>
        </w:rPr>
        <w:t>– płaska struktura w postaci siatki, z otworami znacznie większymi niż elementy składowe, z oczkami połączonymi (przeplatanymi) w węzłach lub ciągnionymi</w:t>
      </w:r>
    </w:p>
    <w:p w14:paraId="5CF8045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1.4.10. </w:t>
      </w:r>
      <w:r w:rsidRPr="001667DB">
        <w:rPr>
          <w:rFonts w:ascii="Times New Roman" w:hAnsi="Times New Roman" w:cs="Times New Roman"/>
          <w:color w:val="000000" w:themeColor="text1"/>
        </w:rPr>
        <w:t>Pozostałe określenia podstawowe są zgodne z obowiązującymi, odpowiednimi polskimi normami i z definicjami podanymi w ST D-00.00.00 „Wymagania ogólne” [1] pkt 1.4.</w:t>
      </w:r>
    </w:p>
    <w:p w14:paraId="31CA8F16" w14:textId="77777777" w:rsidR="00955A27" w:rsidRPr="001667DB" w:rsidRDefault="00955A27" w:rsidP="00955A27">
      <w:pPr>
        <w:pStyle w:val="Nagwek2"/>
        <w:spacing w:line="360" w:lineRule="auto"/>
        <w:ind w:left="851" w:hanging="851"/>
        <w:rPr>
          <w:color w:val="000000" w:themeColor="text1"/>
          <w:sz w:val="22"/>
          <w:szCs w:val="22"/>
        </w:rPr>
      </w:pPr>
      <w:r w:rsidRPr="001667DB">
        <w:rPr>
          <w:color w:val="000000" w:themeColor="text1"/>
          <w:sz w:val="22"/>
          <w:szCs w:val="22"/>
        </w:rPr>
        <w:t>1.5. Ogólne wymagania dotyczące robót</w:t>
      </w:r>
    </w:p>
    <w:p w14:paraId="42E01BE7"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wymagania dotyczące robót podano w ST D-00.00.00 „Wymagania ogólne” [1] pkt 1.5.</w:t>
      </w:r>
    </w:p>
    <w:p w14:paraId="2A9B4FC0"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582" w:name="_Toc431184075"/>
      <w:bookmarkStart w:id="583" w:name="_Toc208892382"/>
      <w:bookmarkStart w:id="584" w:name="_Toc210107778"/>
      <w:bookmarkStart w:id="585" w:name="_Toc250368192"/>
      <w:r w:rsidRPr="001667DB">
        <w:rPr>
          <w:color w:val="000000" w:themeColor="text1"/>
          <w:sz w:val="22"/>
          <w:szCs w:val="22"/>
        </w:rPr>
        <w:t>MATERIAŁY</w:t>
      </w:r>
      <w:bookmarkEnd w:id="582"/>
      <w:bookmarkEnd w:id="583"/>
      <w:bookmarkEnd w:id="584"/>
      <w:bookmarkEnd w:id="585"/>
    </w:p>
    <w:p w14:paraId="234F42A2"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wymagania dotyczące materiałów</w:t>
      </w:r>
    </w:p>
    <w:p w14:paraId="32BBF81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wymagania dotyczące materiałów, ich pozyskiwania i składowania, podano w ST D-00.00.00 „Wymagania ogólne” [1] pkt 2.</w:t>
      </w:r>
    </w:p>
    <w:p w14:paraId="7028C5B8" w14:textId="77777777" w:rsidR="00955A27" w:rsidRPr="001667DB" w:rsidRDefault="00955A27" w:rsidP="00955A27">
      <w:pPr>
        <w:spacing w:after="120" w:line="360" w:lineRule="auto"/>
        <w:rPr>
          <w:rFonts w:ascii="Times New Roman" w:hAnsi="Times New Roman" w:cs="Times New Roman"/>
          <w:color w:val="000000" w:themeColor="text1"/>
        </w:rPr>
      </w:pPr>
    </w:p>
    <w:p w14:paraId="6736155C"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Materiały do wykonania robót</w:t>
      </w:r>
    </w:p>
    <w:p w14:paraId="20DE4B7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2.2.1. </w:t>
      </w:r>
      <w:r w:rsidRPr="001667DB">
        <w:rPr>
          <w:rFonts w:ascii="Times New Roman" w:hAnsi="Times New Roman" w:cs="Times New Roman"/>
          <w:color w:val="000000" w:themeColor="text1"/>
        </w:rPr>
        <w:t xml:space="preserve"> Zgodność materiałów z dokumentacją projektową </w:t>
      </w:r>
    </w:p>
    <w:p w14:paraId="0B01839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Materiały do wykonania robót powinny być zgodne z ustaleniami dokumentacji projektowej.</w:t>
      </w:r>
    </w:p>
    <w:p w14:paraId="542251F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2.2.2. </w:t>
      </w:r>
      <w:r w:rsidRPr="001667DB">
        <w:rPr>
          <w:rFonts w:ascii="Times New Roman" w:hAnsi="Times New Roman" w:cs="Times New Roman"/>
          <w:color w:val="000000" w:themeColor="text1"/>
        </w:rPr>
        <w:t>Materiały do wykonania robót</w:t>
      </w:r>
    </w:p>
    <w:p w14:paraId="43AFFC6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wykonania robót należy użyć: </w:t>
      </w:r>
    </w:p>
    <w:p w14:paraId="5171C1D2" w14:textId="77777777" w:rsidR="00955A27" w:rsidRPr="001667DB" w:rsidRDefault="00955A27" w:rsidP="00904E6C">
      <w:pPr>
        <w:numPr>
          <w:ilvl w:val="0"/>
          <w:numId w:val="213"/>
        </w:numPr>
        <w:tabs>
          <w:tab w:val="left" w:pos="851"/>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geosiatki, wzmacniającej nawierzchnię na linii styku starej i nowej nawierzchni,</w:t>
      </w:r>
    </w:p>
    <w:p w14:paraId="1425720E" w14:textId="77777777" w:rsidR="00955A27" w:rsidRPr="001667DB" w:rsidRDefault="00955A27" w:rsidP="00904E6C">
      <w:pPr>
        <w:numPr>
          <w:ilvl w:val="0"/>
          <w:numId w:val="213"/>
        </w:numPr>
        <w:tabs>
          <w:tab w:val="left" w:pos="851"/>
        </w:tabs>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emulsję asfaltową do złączenia geosiatki z nawierzchnią.</w:t>
      </w:r>
    </w:p>
    <w:p w14:paraId="7B95319D"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Ponadto przy konstruowaniu połączenia nowej i starej nawierzchni występują materiały, z których zbudowana będzie nowa nawierzchnia. </w:t>
      </w:r>
    </w:p>
    <w:p w14:paraId="259D4C86"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shd w:val="clear" w:color="auto" w:fill="FFFFFF"/>
        </w:rPr>
        <w:t>Spoiny na połączeniu nowej i starej nawierzchni należy wykonać poprzez zastosowanie taśmy bitumicznej.</w:t>
      </w:r>
    </w:p>
    <w:p w14:paraId="1E8D672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2.2.3. </w:t>
      </w:r>
      <w:r w:rsidRPr="001667DB">
        <w:rPr>
          <w:rFonts w:ascii="Times New Roman" w:hAnsi="Times New Roman" w:cs="Times New Roman"/>
          <w:color w:val="000000" w:themeColor="text1"/>
        </w:rPr>
        <w:t>Geosiatka</w:t>
      </w:r>
    </w:p>
    <w:p w14:paraId="31BB1F08"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Geosiatka powinny być dostarczane w rolkach nawiniętych na tuleje lub rury. Wymiary (szerokość, długość) mogą być standardowe lub dostosowane do indywidualnych zamówień (niektóre wyroby mogą być dostarczane w panelach). Rolki powinny być opakowane w wodoszczelną folię, stabilizowaną przeciw działaniu promieniowania UV i zabezpieczone przed rozwinięciem.</w:t>
      </w:r>
    </w:p>
    <w:p w14:paraId="72A243E7"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Warunki składowania nie powinny wpływać na właściwości geosiatki. Podczas przechowywania należy chronić materiały przed zawilgoceniem, zabrudzeniem, jak również przed długotrwałym (np. parotygodniowym) działaniem promieni słonecznych. Materiały należy przechowywać wyłącznie w rolkach opakowanych fabrycznie, ułożonych poziomo na wyrównanym podłożu. Nie należy układać na nich żadnych obciążeń. Opakowania nie należy zdejmować aż do momentu wbudowania.</w:t>
      </w:r>
    </w:p>
    <w:p w14:paraId="5613F87E"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Podczas ładowania, rozładowywania i składowania należy zabezpieczyć rolki przed uszkodzeniami mechanicznymi lub chemicznymi oraz przed działaniem wysokich temperatur.</w:t>
      </w:r>
    </w:p>
    <w:p w14:paraId="5730D21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Długość geosiatki powinna być równa szerokości nawierzchni. Jeżeli dokumentacja projektowa nie podaje inaczej, szerokość geosiatki powinna wynosić po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z każdej strony spoiny w warstwie wiążącej.</w:t>
      </w:r>
    </w:p>
    <w:p w14:paraId="06F9824C" w14:textId="77777777" w:rsidR="00824F5A" w:rsidRPr="001667DB" w:rsidRDefault="00824F5A" w:rsidP="00824F5A">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ab/>
        <w:t>Jeśli dokumentacja projektowa nie ustala inaczej, pod linią styku starej i nowej nawierzchni można zastosować geokompozyt, stanowiący połączenie siatki z włókien mineralnych (np. poliestrowych, szklanych) z geowłókniną wytworzoną z włókien syntetycznych (polipropylenowych, polietylenowych lub poliestrowych) ciągłych wzmacnianych mechanicznie poprzez igłowanie, stabilizowanych przeciw promieniowaniu UV. Geokompozyt musi mieć deklarowane przez producenta przeznaczenie do wzmacniania nawierzchni asfaltowych i opóźniania powstawania spękań w nawierzchni.</w:t>
      </w:r>
    </w:p>
    <w:p w14:paraId="2D085655" w14:textId="77777777" w:rsidR="00824F5A" w:rsidRPr="001667DB" w:rsidRDefault="00824F5A" w:rsidP="00824F5A">
      <w:pPr>
        <w:spacing w:before="100" w:beforeAutospacing="1" w:after="100" w:afterAutospacing="1"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Wytrzymałość na rozciąganie geokompozytu powinna wynosić:</w:t>
      </w:r>
    </w:p>
    <w:p w14:paraId="33E4C19D" w14:textId="77777777" w:rsidR="00824F5A" w:rsidRPr="001667DB" w:rsidRDefault="00824F5A" w:rsidP="00824F5A">
      <w:pPr>
        <w:tabs>
          <w:tab w:val="num" w:pos="397"/>
        </w:tabs>
        <w:spacing w:before="100" w:beforeAutospacing="1" w:after="100" w:afterAutospacing="1" w:line="240" w:lineRule="auto"/>
        <w:ind w:left="397" w:hanging="397"/>
        <w:rPr>
          <w:rFonts w:ascii="Times New Roman" w:hAnsi="Times New Roman" w:cs="Times New Roman"/>
          <w:color w:val="000000" w:themeColor="text1"/>
        </w:rPr>
      </w:pPr>
      <w:r w:rsidRPr="001667DB">
        <w:rPr>
          <w:rFonts w:ascii="Times New Roman" w:hAnsi="Times New Roman" w:cs="Times New Roman"/>
          <w:color w:val="000000" w:themeColor="text1"/>
        </w:rPr>
        <w:t>–          dla dróg o kategorii ruchu KR1 do KR4</w:t>
      </w:r>
      <w:r w:rsidRPr="001667DB">
        <w:rPr>
          <w:rFonts w:ascii="Times New Roman" w:hAnsi="Times New Roman" w:cs="Times New Roman"/>
          <w:color w:val="000000" w:themeColor="text1"/>
        </w:rPr>
        <w:tab/>
        <w:t>≥ 70 kN/m,</w:t>
      </w:r>
    </w:p>
    <w:p w14:paraId="69E4697E" w14:textId="77777777" w:rsidR="00824F5A" w:rsidRPr="001667DB" w:rsidRDefault="00824F5A" w:rsidP="00824F5A">
      <w:pPr>
        <w:spacing w:before="100" w:beforeAutospacing="1" w:after="100" w:afterAutospacing="1" w:line="240" w:lineRule="auto"/>
        <w:ind w:left="709"/>
        <w:rPr>
          <w:rFonts w:ascii="Times New Roman" w:hAnsi="Times New Roman" w:cs="Times New Roman"/>
          <w:color w:val="000000" w:themeColor="text1"/>
        </w:rPr>
      </w:pPr>
      <w:r w:rsidRPr="001667DB">
        <w:rPr>
          <w:rFonts w:ascii="Times New Roman" w:hAnsi="Times New Roman" w:cs="Times New Roman"/>
          <w:color w:val="000000" w:themeColor="text1"/>
        </w:rPr>
        <w:t>Wydłużenie przy zerwaniu wzdłuż pasma powinno wynosić ≤ 3%.</w:t>
      </w:r>
    </w:p>
    <w:p w14:paraId="7AAFEF38" w14:textId="77777777" w:rsidR="00824F5A" w:rsidRPr="001667DB" w:rsidRDefault="00824F5A" w:rsidP="00824F5A">
      <w:pPr>
        <w:spacing w:before="100" w:beforeAutospacing="1" w:after="100" w:afterAutospacing="1" w:line="24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Temperatura mięknienia geokompozytu powinna być niższa od temperatury układania warstwy ścieralnej.</w:t>
      </w:r>
    </w:p>
    <w:p w14:paraId="4A793F7D" w14:textId="77777777" w:rsidR="00824F5A" w:rsidRPr="001667DB" w:rsidRDefault="00824F5A" w:rsidP="00824F5A">
      <w:pPr>
        <w:spacing w:before="100" w:beforeAutospacing="1" w:after="100" w:afterAutospacing="1" w:line="24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Długość geokompozytu powinna być równa szerokości nawierzchni. Jeżeli dokumentacja projektowa nie podaje inaczej, szerokość geokompozytu powinna wynosić po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z każdej strony spoiny w warstwie wiążącej.</w:t>
      </w:r>
    </w:p>
    <w:p w14:paraId="288579E6" w14:textId="77777777" w:rsidR="00824F5A" w:rsidRPr="001667DB" w:rsidRDefault="00824F5A" w:rsidP="00955A27">
      <w:pPr>
        <w:spacing w:after="120" w:line="360" w:lineRule="auto"/>
        <w:rPr>
          <w:rFonts w:ascii="Times New Roman" w:hAnsi="Times New Roman" w:cs="Times New Roman"/>
          <w:color w:val="000000" w:themeColor="text1"/>
        </w:rPr>
      </w:pPr>
    </w:p>
    <w:p w14:paraId="23A23E1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2.2.4. </w:t>
      </w:r>
      <w:r w:rsidRPr="001667DB">
        <w:rPr>
          <w:rFonts w:ascii="Times New Roman" w:hAnsi="Times New Roman" w:cs="Times New Roman"/>
          <w:color w:val="000000" w:themeColor="text1"/>
        </w:rPr>
        <w:t>Emulsja asfaltowa</w:t>
      </w:r>
    </w:p>
    <w:p w14:paraId="223450B8"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Do złączania geosiatki z asfaltową warstwą nawierzchni należy stosować kationową emulsję modyfikowaną polimerem, spełniającą wymagania określone w tablicy 1.</w:t>
      </w:r>
    </w:p>
    <w:p w14:paraId="4C097950" w14:textId="77777777" w:rsidR="00955A27" w:rsidRPr="001667DB" w:rsidRDefault="00955A27" w:rsidP="00955A27">
      <w:pPr>
        <w:spacing w:after="120" w:line="360" w:lineRule="auto"/>
        <w:ind w:left="992" w:hanging="992"/>
        <w:rPr>
          <w:rFonts w:ascii="Times New Roman" w:hAnsi="Times New Roman" w:cs="Times New Roman"/>
          <w:color w:val="000000" w:themeColor="text1"/>
        </w:rPr>
      </w:pPr>
      <w:r w:rsidRPr="001667DB">
        <w:rPr>
          <w:rFonts w:ascii="Times New Roman" w:hAnsi="Times New Roman" w:cs="Times New Roman"/>
          <w:color w:val="000000" w:themeColor="text1"/>
        </w:rPr>
        <w:t>Tablica 1. Wymagania dotyczące kationowych emulsji asfaltowych modyfikowanych polimerami (wg [7])</w:t>
      </w:r>
    </w:p>
    <w:tbl>
      <w:tblPr>
        <w:tblW w:w="8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1559"/>
        <w:gridCol w:w="1084"/>
        <w:gridCol w:w="807"/>
        <w:gridCol w:w="1300"/>
        <w:gridCol w:w="717"/>
        <w:gridCol w:w="1254"/>
      </w:tblGrid>
      <w:tr w:rsidR="00955A27" w:rsidRPr="001667DB" w14:paraId="66539E62" w14:textId="77777777" w:rsidTr="001B4B8F">
        <w:tc>
          <w:tcPr>
            <w:tcW w:w="2119" w:type="dxa"/>
            <w:vMerge w:val="restart"/>
            <w:tcBorders>
              <w:top w:val="single" w:sz="4" w:space="0" w:color="auto"/>
              <w:left w:val="single" w:sz="4" w:space="0" w:color="auto"/>
              <w:bottom w:val="single" w:sz="4" w:space="0" w:color="auto"/>
              <w:right w:val="single" w:sz="4" w:space="0" w:color="auto"/>
            </w:tcBorders>
            <w:noWrap/>
            <w:vAlign w:val="center"/>
            <w:hideMark/>
          </w:tcPr>
          <w:p w14:paraId="227FBD1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techniczne</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19850833"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badania</w:t>
            </w:r>
          </w:p>
          <w:p w14:paraId="1F9849E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normy</w:t>
            </w:r>
          </w:p>
        </w:tc>
        <w:tc>
          <w:tcPr>
            <w:tcW w:w="637" w:type="dxa"/>
            <w:vMerge w:val="restart"/>
            <w:tcBorders>
              <w:top w:val="single" w:sz="4" w:space="0" w:color="auto"/>
              <w:left w:val="single" w:sz="4" w:space="0" w:color="auto"/>
              <w:bottom w:val="single" w:sz="4" w:space="0" w:color="auto"/>
              <w:right w:val="single" w:sz="4" w:space="0" w:color="auto"/>
            </w:tcBorders>
            <w:noWrap/>
            <w:vAlign w:val="center"/>
            <w:hideMark/>
          </w:tcPr>
          <w:p w14:paraId="3057A6F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Jednostka</w:t>
            </w:r>
          </w:p>
        </w:tc>
        <w:tc>
          <w:tcPr>
            <w:tcW w:w="4077" w:type="dxa"/>
            <w:gridSpan w:val="4"/>
            <w:tcBorders>
              <w:top w:val="single" w:sz="4" w:space="0" w:color="auto"/>
              <w:left w:val="single" w:sz="4" w:space="0" w:color="auto"/>
              <w:bottom w:val="single" w:sz="4" w:space="0" w:color="auto"/>
              <w:right w:val="single" w:sz="4" w:space="0" w:color="auto"/>
            </w:tcBorders>
            <w:noWrap/>
            <w:hideMark/>
          </w:tcPr>
          <w:p w14:paraId="2DAD243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 dla emulsji</w:t>
            </w:r>
          </w:p>
        </w:tc>
      </w:tr>
      <w:tr w:rsidR="00955A27" w:rsidRPr="001667DB" w14:paraId="719FC961" w14:textId="77777777" w:rsidTr="001B4B8F">
        <w:trPr>
          <w:trHeight w:val="3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F00339"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B87196"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2CBA"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2107" w:type="dxa"/>
            <w:gridSpan w:val="2"/>
            <w:tcBorders>
              <w:top w:val="single" w:sz="4" w:space="0" w:color="auto"/>
              <w:left w:val="single" w:sz="4" w:space="0" w:color="auto"/>
              <w:bottom w:val="single" w:sz="4" w:space="0" w:color="auto"/>
              <w:right w:val="single" w:sz="4" w:space="0" w:color="auto"/>
            </w:tcBorders>
            <w:noWrap/>
            <w:hideMark/>
          </w:tcPr>
          <w:p w14:paraId="4AC2E65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C60 BP3 ZM lub</w:t>
            </w:r>
          </w:p>
          <w:p w14:paraId="320B717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 C60 BP4 ZM</w:t>
            </w:r>
          </w:p>
        </w:tc>
        <w:tc>
          <w:tcPr>
            <w:tcW w:w="1970" w:type="dxa"/>
            <w:gridSpan w:val="2"/>
            <w:tcBorders>
              <w:top w:val="single" w:sz="4" w:space="0" w:color="auto"/>
              <w:left w:val="single" w:sz="4" w:space="0" w:color="auto"/>
              <w:bottom w:val="single" w:sz="4" w:space="0" w:color="auto"/>
              <w:right w:val="single" w:sz="4" w:space="0" w:color="auto"/>
            </w:tcBorders>
            <w:noWrap/>
            <w:hideMark/>
          </w:tcPr>
          <w:p w14:paraId="7C0BF41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C60 BP5 ZM</w:t>
            </w:r>
          </w:p>
        </w:tc>
      </w:tr>
      <w:tr w:rsidR="00955A27" w:rsidRPr="001667DB" w14:paraId="5FD88CAC" w14:textId="77777777" w:rsidTr="001B4B8F">
        <w:tc>
          <w:tcPr>
            <w:tcW w:w="0" w:type="auto"/>
            <w:vMerge/>
            <w:tcBorders>
              <w:top w:val="single" w:sz="4" w:space="0" w:color="auto"/>
              <w:left w:val="single" w:sz="4" w:space="0" w:color="auto"/>
              <w:bottom w:val="single" w:sz="4" w:space="0" w:color="auto"/>
              <w:right w:val="single" w:sz="4" w:space="0" w:color="auto"/>
            </w:tcBorders>
            <w:vAlign w:val="center"/>
            <w:hideMark/>
          </w:tcPr>
          <w:p w14:paraId="19FD82E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3AAB7"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8FD4F" w14:textId="77777777" w:rsidR="00955A27" w:rsidRPr="001667DB" w:rsidRDefault="00955A27" w:rsidP="00955A27">
            <w:pPr>
              <w:spacing w:after="120" w:line="360" w:lineRule="auto"/>
              <w:rPr>
                <w:rFonts w:ascii="Times New Roman" w:hAnsi="Times New Roman" w:cs="Times New Roman"/>
                <w:color w:val="000000" w:themeColor="text1"/>
              </w:rPr>
            </w:pPr>
          </w:p>
        </w:tc>
        <w:tc>
          <w:tcPr>
            <w:tcW w:w="807" w:type="dxa"/>
            <w:tcBorders>
              <w:top w:val="single" w:sz="4" w:space="0" w:color="auto"/>
              <w:left w:val="single" w:sz="4" w:space="0" w:color="auto"/>
              <w:bottom w:val="single" w:sz="4" w:space="0" w:color="auto"/>
              <w:right w:val="single" w:sz="4" w:space="0" w:color="auto"/>
            </w:tcBorders>
            <w:noWrap/>
            <w:hideMark/>
          </w:tcPr>
          <w:p w14:paraId="14EA767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1300" w:type="dxa"/>
            <w:tcBorders>
              <w:top w:val="single" w:sz="4" w:space="0" w:color="auto"/>
              <w:left w:val="single" w:sz="4" w:space="0" w:color="auto"/>
              <w:bottom w:val="single" w:sz="4" w:space="0" w:color="auto"/>
              <w:right w:val="single" w:sz="4" w:space="0" w:color="auto"/>
            </w:tcBorders>
            <w:noWrap/>
            <w:hideMark/>
          </w:tcPr>
          <w:p w14:paraId="01CFD15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Zakres wartości</w:t>
            </w:r>
          </w:p>
        </w:tc>
        <w:tc>
          <w:tcPr>
            <w:tcW w:w="716" w:type="dxa"/>
            <w:tcBorders>
              <w:top w:val="single" w:sz="4" w:space="0" w:color="auto"/>
              <w:left w:val="single" w:sz="4" w:space="0" w:color="auto"/>
              <w:bottom w:val="single" w:sz="4" w:space="0" w:color="auto"/>
              <w:right w:val="single" w:sz="4" w:space="0" w:color="auto"/>
            </w:tcBorders>
            <w:noWrap/>
            <w:hideMark/>
          </w:tcPr>
          <w:p w14:paraId="1C9E6766"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1254" w:type="dxa"/>
            <w:tcBorders>
              <w:top w:val="single" w:sz="4" w:space="0" w:color="auto"/>
              <w:left w:val="single" w:sz="4" w:space="0" w:color="auto"/>
              <w:bottom w:val="single" w:sz="4" w:space="0" w:color="auto"/>
              <w:right w:val="single" w:sz="4" w:space="0" w:color="auto"/>
            </w:tcBorders>
            <w:noWrap/>
            <w:hideMark/>
          </w:tcPr>
          <w:p w14:paraId="03F16C68"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Zakres wartości</w:t>
            </w:r>
          </w:p>
        </w:tc>
      </w:tr>
      <w:tr w:rsidR="00955A27" w:rsidRPr="001667DB" w14:paraId="454CA8F8"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119999D9"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Indeks rozpadu</w:t>
            </w:r>
          </w:p>
        </w:tc>
        <w:tc>
          <w:tcPr>
            <w:tcW w:w="1559" w:type="dxa"/>
            <w:tcBorders>
              <w:top w:val="single" w:sz="4" w:space="0" w:color="auto"/>
              <w:left w:val="single" w:sz="4" w:space="0" w:color="auto"/>
              <w:bottom w:val="single" w:sz="4" w:space="0" w:color="auto"/>
              <w:right w:val="single" w:sz="4" w:space="0" w:color="auto"/>
            </w:tcBorders>
            <w:noWrap/>
            <w:hideMark/>
          </w:tcPr>
          <w:p w14:paraId="4CAFDADF"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13075-1 [6]</w:t>
            </w:r>
          </w:p>
        </w:tc>
        <w:tc>
          <w:tcPr>
            <w:tcW w:w="637" w:type="dxa"/>
            <w:tcBorders>
              <w:top w:val="single" w:sz="4" w:space="0" w:color="auto"/>
              <w:left w:val="single" w:sz="4" w:space="0" w:color="auto"/>
              <w:bottom w:val="single" w:sz="4" w:space="0" w:color="auto"/>
              <w:right w:val="single" w:sz="4" w:space="0" w:color="auto"/>
            </w:tcBorders>
            <w:noWrap/>
            <w:hideMark/>
          </w:tcPr>
          <w:p w14:paraId="116C69F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807" w:type="dxa"/>
            <w:tcBorders>
              <w:top w:val="single" w:sz="4" w:space="0" w:color="auto"/>
              <w:left w:val="single" w:sz="4" w:space="0" w:color="auto"/>
              <w:bottom w:val="single" w:sz="4" w:space="0" w:color="auto"/>
              <w:right w:val="single" w:sz="4" w:space="0" w:color="auto"/>
            </w:tcBorders>
            <w:noWrap/>
            <w:hideMark/>
          </w:tcPr>
          <w:p w14:paraId="0729F11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 lub 4</w:t>
            </w:r>
          </w:p>
        </w:tc>
        <w:tc>
          <w:tcPr>
            <w:tcW w:w="1300" w:type="dxa"/>
            <w:tcBorders>
              <w:top w:val="single" w:sz="4" w:space="0" w:color="auto"/>
              <w:left w:val="single" w:sz="4" w:space="0" w:color="auto"/>
              <w:bottom w:val="single" w:sz="4" w:space="0" w:color="auto"/>
              <w:right w:val="single" w:sz="4" w:space="0" w:color="auto"/>
            </w:tcBorders>
            <w:noWrap/>
            <w:hideMark/>
          </w:tcPr>
          <w:p w14:paraId="6F13AAD7"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50 do 100 </w:t>
            </w:r>
          </w:p>
          <w:p w14:paraId="608DFAFB"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lub 70 do 130</w:t>
            </w:r>
          </w:p>
        </w:tc>
        <w:tc>
          <w:tcPr>
            <w:tcW w:w="716" w:type="dxa"/>
            <w:tcBorders>
              <w:top w:val="single" w:sz="4" w:space="0" w:color="auto"/>
              <w:left w:val="single" w:sz="4" w:space="0" w:color="auto"/>
              <w:bottom w:val="single" w:sz="4" w:space="0" w:color="auto"/>
              <w:right w:val="single" w:sz="4" w:space="0" w:color="auto"/>
            </w:tcBorders>
            <w:noWrap/>
            <w:hideMark/>
          </w:tcPr>
          <w:p w14:paraId="41E2593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254" w:type="dxa"/>
            <w:tcBorders>
              <w:top w:val="single" w:sz="4" w:space="0" w:color="auto"/>
              <w:left w:val="single" w:sz="4" w:space="0" w:color="auto"/>
              <w:bottom w:val="single" w:sz="4" w:space="0" w:color="auto"/>
              <w:right w:val="single" w:sz="4" w:space="0" w:color="auto"/>
            </w:tcBorders>
            <w:noWrap/>
            <w:hideMark/>
          </w:tcPr>
          <w:p w14:paraId="238520EB"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120 do 180</w:t>
            </w:r>
          </w:p>
        </w:tc>
      </w:tr>
      <w:tr w:rsidR="00955A27" w:rsidRPr="001667DB" w14:paraId="66A709C6"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28FB0484"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lepiszcza</w:t>
            </w:r>
          </w:p>
        </w:tc>
        <w:tc>
          <w:tcPr>
            <w:tcW w:w="1559" w:type="dxa"/>
            <w:tcBorders>
              <w:top w:val="single" w:sz="4" w:space="0" w:color="auto"/>
              <w:left w:val="single" w:sz="4" w:space="0" w:color="auto"/>
              <w:bottom w:val="single" w:sz="4" w:space="0" w:color="auto"/>
              <w:right w:val="single" w:sz="4" w:space="0" w:color="auto"/>
            </w:tcBorders>
            <w:noWrap/>
            <w:hideMark/>
          </w:tcPr>
          <w:p w14:paraId="40E90E4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1428 [2]</w:t>
            </w:r>
          </w:p>
        </w:tc>
        <w:tc>
          <w:tcPr>
            <w:tcW w:w="637" w:type="dxa"/>
            <w:tcBorders>
              <w:top w:val="single" w:sz="4" w:space="0" w:color="auto"/>
              <w:left w:val="single" w:sz="4" w:space="0" w:color="auto"/>
              <w:bottom w:val="single" w:sz="4" w:space="0" w:color="auto"/>
              <w:right w:val="single" w:sz="4" w:space="0" w:color="auto"/>
            </w:tcBorders>
            <w:noWrap/>
            <w:hideMark/>
          </w:tcPr>
          <w:p w14:paraId="47D66B5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p>
        </w:tc>
        <w:tc>
          <w:tcPr>
            <w:tcW w:w="807" w:type="dxa"/>
            <w:tcBorders>
              <w:top w:val="single" w:sz="4" w:space="0" w:color="auto"/>
              <w:left w:val="single" w:sz="4" w:space="0" w:color="auto"/>
              <w:bottom w:val="single" w:sz="4" w:space="0" w:color="auto"/>
              <w:right w:val="single" w:sz="4" w:space="0" w:color="auto"/>
            </w:tcBorders>
            <w:noWrap/>
            <w:hideMark/>
          </w:tcPr>
          <w:p w14:paraId="07E12B33"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300" w:type="dxa"/>
            <w:tcBorders>
              <w:top w:val="single" w:sz="4" w:space="0" w:color="auto"/>
              <w:left w:val="single" w:sz="4" w:space="0" w:color="auto"/>
              <w:bottom w:val="single" w:sz="4" w:space="0" w:color="auto"/>
              <w:right w:val="single" w:sz="4" w:space="0" w:color="auto"/>
            </w:tcBorders>
            <w:noWrap/>
            <w:hideMark/>
          </w:tcPr>
          <w:p w14:paraId="6442EC49"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58 do 62</w:t>
            </w:r>
            <w:r w:rsidRPr="001667DB">
              <w:rPr>
                <w:rFonts w:ascii="Times New Roman" w:hAnsi="Times New Roman" w:cs="Times New Roman"/>
                <w:color w:val="000000" w:themeColor="text1"/>
                <w:vertAlign w:val="superscript"/>
              </w:rPr>
              <w:t>a)</w:t>
            </w:r>
          </w:p>
        </w:tc>
        <w:tc>
          <w:tcPr>
            <w:tcW w:w="716" w:type="dxa"/>
            <w:tcBorders>
              <w:top w:val="single" w:sz="4" w:space="0" w:color="auto"/>
              <w:left w:val="single" w:sz="4" w:space="0" w:color="auto"/>
              <w:bottom w:val="single" w:sz="4" w:space="0" w:color="auto"/>
              <w:right w:val="single" w:sz="4" w:space="0" w:color="auto"/>
            </w:tcBorders>
            <w:noWrap/>
            <w:hideMark/>
          </w:tcPr>
          <w:p w14:paraId="766FA58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254" w:type="dxa"/>
            <w:tcBorders>
              <w:top w:val="single" w:sz="4" w:space="0" w:color="auto"/>
              <w:left w:val="single" w:sz="4" w:space="0" w:color="auto"/>
              <w:bottom w:val="single" w:sz="4" w:space="0" w:color="auto"/>
              <w:right w:val="single" w:sz="4" w:space="0" w:color="auto"/>
            </w:tcBorders>
            <w:noWrap/>
            <w:hideMark/>
          </w:tcPr>
          <w:p w14:paraId="342E134C"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58 do 62</w:t>
            </w:r>
            <w:r w:rsidRPr="001667DB">
              <w:rPr>
                <w:rFonts w:ascii="Times New Roman" w:hAnsi="Times New Roman" w:cs="Times New Roman"/>
                <w:color w:val="000000" w:themeColor="text1"/>
                <w:vertAlign w:val="superscript"/>
              </w:rPr>
              <w:t>a)</w:t>
            </w:r>
          </w:p>
        </w:tc>
      </w:tr>
      <w:tr w:rsidR="00955A27" w:rsidRPr="001667DB" w14:paraId="2C2B2011"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312ECF7E"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Czas wypływu dla Ø </w:t>
            </w:r>
            <w:smartTag w:uri="urn:schemas-microsoft-com:office:smarttags" w:element="metricconverter">
              <w:smartTagPr>
                <w:attr w:name="ProductID" w:val="2 mm"/>
              </w:smartTagPr>
              <w:r w:rsidRPr="001667DB">
                <w:rPr>
                  <w:rFonts w:ascii="Times New Roman" w:hAnsi="Times New Roman" w:cs="Times New Roman"/>
                  <w:color w:val="000000" w:themeColor="text1"/>
                </w:rPr>
                <w:t>2 mm</w:t>
              </w:r>
            </w:smartTag>
            <w:r w:rsidRPr="001667DB">
              <w:rPr>
                <w:rFonts w:ascii="Times New Roman" w:hAnsi="Times New Roman" w:cs="Times New Roman"/>
                <w:color w:val="000000" w:themeColor="text1"/>
              </w:rPr>
              <w:t xml:space="preserve"> w 40°C</w:t>
            </w:r>
          </w:p>
        </w:tc>
        <w:tc>
          <w:tcPr>
            <w:tcW w:w="1559" w:type="dxa"/>
            <w:tcBorders>
              <w:top w:val="single" w:sz="4" w:space="0" w:color="auto"/>
              <w:left w:val="single" w:sz="4" w:space="0" w:color="auto"/>
              <w:bottom w:val="single" w:sz="4" w:space="0" w:color="auto"/>
              <w:right w:val="single" w:sz="4" w:space="0" w:color="auto"/>
            </w:tcBorders>
            <w:noWrap/>
            <w:hideMark/>
          </w:tcPr>
          <w:p w14:paraId="6BDAD11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12846 [4]</w:t>
            </w:r>
          </w:p>
        </w:tc>
        <w:tc>
          <w:tcPr>
            <w:tcW w:w="637" w:type="dxa"/>
            <w:tcBorders>
              <w:top w:val="single" w:sz="4" w:space="0" w:color="auto"/>
              <w:left w:val="single" w:sz="4" w:space="0" w:color="auto"/>
              <w:bottom w:val="single" w:sz="4" w:space="0" w:color="auto"/>
              <w:right w:val="single" w:sz="4" w:space="0" w:color="auto"/>
            </w:tcBorders>
            <w:noWrap/>
          </w:tcPr>
          <w:p w14:paraId="449441A9"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06A7D63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w:t>
            </w:r>
          </w:p>
        </w:tc>
        <w:tc>
          <w:tcPr>
            <w:tcW w:w="807" w:type="dxa"/>
            <w:tcBorders>
              <w:top w:val="single" w:sz="4" w:space="0" w:color="auto"/>
              <w:left w:val="single" w:sz="4" w:space="0" w:color="auto"/>
              <w:bottom w:val="single" w:sz="4" w:space="0" w:color="auto"/>
              <w:right w:val="single" w:sz="4" w:space="0" w:color="auto"/>
            </w:tcBorders>
            <w:noWrap/>
          </w:tcPr>
          <w:p w14:paraId="6FD21CC6"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AA6D07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300" w:type="dxa"/>
            <w:tcBorders>
              <w:top w:val="single" w:sz="4" w:space="0" w:color="auto"/>
              <w:left w:val="single" w:sz="4" w:space="0" w:color="auto"/>
              <w:bottom w:val="single" w:sz="4" w:space="0" w:color="auto"/>
              <w:right w:val="single" w:sz="4" w:space="0" w:color="auto"/>
            </w:tcBorders>
            <w:noWrap/>
          </w:tcPr>
          <w:p w14:paraId="1C992F4B"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BB80898"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tc>
        <w:tc>
          <w:tcPr>
            <w:tcW w:w="716" w:type="dxa"/>
            <w:tcBorders>
              <w:top w:val="single" w:sz="4" w:space="0" w:color="auto"/>
              <w:left w:val="single" w:sz="4" w:space="0" w:color="auto"/>
              <w:bottom w:val="single" w:sz="4" w:space="0" w:color="auto"/>
              <w:right w:val="single" w:sz="4" w:space="0" w:color="auto"/>
            </w:tcBorders>
            <w:noWrap/>
          </w:tcPr>
          <w:p w14:paraId="1E2E797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77F6F10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254" w:type="dxa"/>
            <w:tcBorders>
              <w:top w:val="single" w:sz="4" w:space="0" w:color="auto"/>
              <w:left w:val="single" w:sz="4" w:space="0" w:color="auto"/>
              <w:bottom w:val="single" w:sz="4" w:space="0" w:color="auto"/>
              <w:right w:val="single" w:sz="4" w:space="0" w:color="auto"/>
            </w:tcBorders>
            <w:noWrap/>
          </w:tcPr>
          <w:p w14:paraId="57893364"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458576CB"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r w:rsidRPr="001667DB">
              <w:rPr>
                <w:rFonts w:ascii="Times New Roman" w:hAnsi="Times New Roman" w:cs="Times New Roman"/>
                <w:color w:val="000000" w:themeColor="text1"/>
                <w:vertAlign w:val="superscript"/>
              </w:rPr>
              <w:t>b)</w:t>
            </w:r>
          </w:p>
        </w:tc>
      </w:tr>
      <w:tr w:rsidR="00955A27" w:rsidRPr="001667DB" w14:paraId="2B4A8557"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0D79E93F"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Pozostałość na sicie </w:t>
            </w:r>
            <w:smartTag w:uri="urn:schemas-microsoft-com:office:smarttags" w:element="metricconverter">
              <w:smartTagPr>
                <w:attr w:name="ProductID" w:val="0,5 mm"/>
              </w:smartTagPr>
              <w:r w:rsidRPr="001667DB">
                <w:rPr>
                  <w:rFonts w:ascii="Times New Roman" w:hAnsi="Times New Roman" w:cs="Times New Roman"/>
                  <w:color w:val="000000" w:themeColor="text1"/>
                </w:rPr>
                <w:t>0,5 mm</w:t>
              </w:r>
            </w:smartTag>
          </w:p>
        </w:tc>
        <w:tc>
          <w:tcPr>
            <w:tcW w:w="1559" w:type="dxa"/>
            <w:tcBorders>
              <w:top w:val="single" w:sz="4" w:space="0" w:color="auto"/>
              <w:left w:val="single" w:sz="4" w:space="0" w:color="auto"/>
              <w:bottom w:val="single" w:sz="4" w:space="0" w:color="auto"/>
              <w:right w:val="single" w:sz="4" w:space="0" w:color="auto"/>
            </w:tcBorders>
            <w:noWrap/>
            <w:hideMark/>
          </w:tcPr>
          <w:p w14:paraId="18F5CAC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1429 [3]</w:t>
            </w:r>
          </w:p>
        </w:tc>
        <w:tc>
          <w:tcPr>
            <w:tcW w:w="637" w:type="dxa"/>
            <w:tcBorders>
              <w:top w:val="single" w:sz="4" w:space="0" w:color="auto"/>
              <w:left w:val="single" w:sz="4" w:space="0" w:color="auto"/>
              <w:bottom w:val="single" w:sz="4" w:space="0" w:color="auto"/>
              <w:right w:val="single" w:sz="4" w:space="0" w:color="auto"/>
            </w:tcBorders>
            <w:noWrap/>
            <w:hideMark/>
          </w:tcPr>
          <w:p w14:paraId="28716400"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p>
        </w:tc>
        <w:tc>
          <w:tcPr>
            <w:tcW w:w="807" w:type="dxa"/>
            <w:tcBorders>
              <w:top w:val="single" w:sz="4" w:space="0" w:color="auto"/>
              <w:left w:val="single" w:sz="4" w:space="0" w:color="auto"/>
              <w:bottom w:val="single" w:sz="4" w:space="0" w:color="auto"/>
              <w:right w:val="single" w:sz="4" w:space="0" w:color="auto"/>
            </w:tcBorders>
            <w:noWrap/>
            <w:hideMark/>
          </w:tcPr>
          <w:p w14:paraId="21162BD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300" w:type="dxa"/>
            <w:tcBorders>
              <w:top w:val="single" w:sz="4" w:space="0" w:color="auto"/>
              <w:left w:val="single" w:sz="4" w:space="0" w:color="auto"/>
              <w:bottom w:val="single" w:sz="4" w:space="0" w:color="auto"/>
              <w:right w:val="single" w:sz="4" w:space="0" w:color="auto"/>
            </w:tcBorders>
            <w:noWrap/>
            <w:hideMark/>
          </w:tcPr>
          <w:p w14:paraId="6A9BC644"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c>
          <w:tcPr>
            <w:tcW w:w="716" w:type="dxa"/>
            <w:tcBorders>
              <w:top w:val="single" w:sz="4" w:space="0" w:color="auto"/>
              <w:left w:val="single" w:sz="4" w:space="0" w:color="auto"/>
              <w:bottom w:val="single" w:sz="4" w:space="0" w:color="auto"/>
              <w:right w:val="single" w:sz="4" w:space="0" w:color="auto"/>
            </w:tcBorders>
            <w:noWrap/>
            <w:hideMark/>
          </w:tcPr>
          <w:p w14:paraId="75121AA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254" w:type="dxa"/>
            <w:tcBorders>
              <w:top w:val="single" w:sz="4" w:space="0" w:color="auto"/>
              <w:left w:val="single" w:sz="4" w:space="0" w:color="auto"/>
              <w:bottom w:val="single" w:sz="4" w:space="0" w:color="auto"/>
              <w:right w:val="single" w:sz="4" w:space="0" w:color="auto"/>
            </w:tcBorders>
            <w:noWrap/>
            <w:hideMark/>
          </w:tcPr>
          <w:p w14:paraId="5294A353"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r>
      <w:tr w:rsidR="00955A27" w:rsidRPr="001667DB" w14:paraId="2E454168"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64EA1A71"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Trwałość po 7 dniach magazynowania</w:t>
            </w:r>
          </w:p>
        </w:tc>
        <w:tc>
          <w:tcPr>
            <w:tcW w:w="1559" w:type="dxa"/>
            <w:tcBorders>
              <w:top w:val="single" w:sz="4" w:space="0" w:color="auto"/>
              <w:left w:val="single" w:sz="4" w:space="0" w:color="auto"/>
              <w:bottom w:val="single" w:sz="4" w:space="0" w:color="auto"/>
              <w:right w:val="single" w:sz="4" w:space="0" w:color="auto"/>
            </w:tcBorders>
            <w:noWrap/>
            <w:hideMark/>
          </w:tcPr>
          <w:p w14:paraId="040557F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1429 [3]</w:t>
            </w:r>
          </w:p>
        </w:tc>
        <w:tc>
          <w:tcPr>
            <w:tcW w:w="637" w:type="dxa"/>
            <w:tcBorders>
              <w:top w:val="single" w:sz="4" w:space="0" w:color="auto"/>
              <w:left w:val="single" w:sz="4" w:space="0" w:color="auto"/>
              <w:bottom w:val="single" w:sz="4" w:space="0" w:color="auto"/>
              <w:right w:val="single" w:sz="4" w:space="0" w:color="auto"/>
            </w:tcBorders>
            <w:noWrap/>
          </w:tcPr>
          <w:p w14:paraId="5C0C5C52"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13E9B7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p>
        </w:tc>
        <w:tc>
          <w:tcPr>
            <w:tcW w:w="807" w:type="dxa"/>
            <w:tcBorders>
              <w:top w:val="single" w:sz="4" w:space="0" w:color="auto"/>
              <w:left w:val="single" w:sz="4" w:space="0" w:color="auto"/>
              <w:bottom w:val="single" w:sz="4" w:space="0" w:color="auto"/>
              <w:right w:val="single" w:sz="4" w:space="0" w:color="auto"/>
            </w:tcBorders>
            <w:noWrap/>
          </w:tcPr>
          <w:p w14:paraId="39DF10BA"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3D918A0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300" w:type="dxa"/>
            <w:tcBorders>
              <w:top w:val="single" w:sz="4" w:space="0" w:color="auto"/>
              <w:left w:val="single" w:sz="4" w:space="0" w:color="auto"/>
              <w:bottom w:val="single" w:sz="4" w:space="0" w:color="auto"/>
              <w:right w:val="single" w:sz="4" w:space="0" w:color="auto"/>
            </w:tcBorders>
            <w:noWrap/>
          </w:tcPr>
          <w:p w14:paraId="136851C9"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2416447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c>
          <w:tcPr>
            <w:tcW w:w="716" w:type="dxa"/>
            <w:tcBorders>
              <w:top w:val="single" w:sz="4" w:space="0" w:color="auto"/>
              <w:left w:val="single" w:sz="4" w:space="0" w:color="auto"/>
              <w:bottom w:val="single" w:sz="4" w:space="0" w:color="auto"/>
              <w:right w:val="single" w:sz="4" w:space="0" w:color="auto"/>
            </w:tcBorders>
            <w:noWrap/>
          </w:tcPr>
          <w:p w14:paraId="054C7447"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6115775F"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254" w:type="dxa"/>
            <w:tcBorders>
              <w:top w:val="single" w:sz="4" w:space="0" w:color="auto"/>
              <w:left w:val="single" w:sz="4" w:space="0" w:color="auto"/>
              <w:bottom w:val="single" w:sz="4" w:space="0" w:color="auto"/>
              <w:right w:val="single" w:sz="4" w:space="0" w:color="auto"/>
            </w:tcBorders>
            <w:noWrap/>
          </w:tcPr>
          <w:p w14:paraId="0F915E77" w14:textId="77777777" w:rsidR="00955A27" w:rsidRPr="001667DB" w:rsidRDefault="00955A27" w:rsidP="00955A27">
            <w:pPr>
              <w:spacing w:after="120" w:line="360" w:lineRule="auto"/>
              <w:jc w:val="center"/>
              <w:rPr>
                <w:rFonts w:ascii="Times New Roman" w:hAnsi="Times New Roman" w:cs="Times New Roman"/>
                <w:color w:val="000000" w:themeColor="text1"/>
              </w:rPr>
            </w:pPr>
          </w:p>
          <w:p w14:paraId="56E1C4BC"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r>
      <w:tr w:rsidR="00955A27" w:rsidRPr="001667DB" w14:paraId="1EFFEED4" w14:textId="77777777" w:rsidTr="001B4B8F">
        <w:tc>
          <w:tcPr>
            <w:tcW w:w="2119" w:type="dxa"/>
            <w:tcBorders>
              <w:top w:val="single" w:sz="4" w:space="0" w:color="auto"/>
              <w:left w:val="single" w:sz="4" w:space="0" w:color="auto"/>
              <w:bottom w:val="single" w:sz="4" w:space="0" w:color="auto"/>
              <w:right w:val="single" w:sz="4" w:space="0" w:color="auto"/>
            </w:tcBorders>
            <w:noWrap/>
            <w:hideMark/>
          </w:tcPr>
          <w:p w14:paraId="31EAF5D8"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Sedymentacja</w:t>
            </w:r>
          </w:p>
        </w:tc>
        <w:tc>
          <w:tcPr>
            <w:tcW w:w="1559" w:type="dxa"/>
            <w:tcBorders>
              <w:top w:val="single" w:sz="4" w:space="0" w:color="auto"/>
              <w:left w:val="single" w:sz="4" w:space="0" w:color="auto"/>
              <w:bottom w:val="single" w:sz="4" w:space="0" w:color="auto"/>
              <w:right w:val="single" w:sz="4" w:space="0" w:color="auto"/>
            </w:tcBorders>
            <w:noWrap/>
            <w:hideMark/>
          </w:tcPr>
          <w:p w14:paraId="1DE628C0"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PN-EN 12847 [5]</w:t>
            </w:r>
          </w:p>
        </w:tc>
        <w:tc>
          <w:tcPr>
            <w:tcW w:w="637" w:type="dxa"/>
            <w:tcBorders>
              <w:top w:val="single" w:sz="4" w:space="0" w:color="auto"/>
              <w:left w:val="single" w:sz="4" w:space="0" w:color="auto"/>
              <w:bottom w:val="single" w:sz="4" w:space="0" w:color="auto"/>
              <w:right w:val="single" w:sz="4" w:space="0" w:color="auto"/>
            </w:tcBorders>
            <w:noWrap/>
            <w:hideMark/>
          </w:tcPr>
          <w:p w14:paraId="21B619F4"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%(m/m)</w:t>
            </w:r>
          </w:p>
        </w:tc>
        <w:tc>
          <w:tcPr>
            <w:tcW w:w="807" w:type="dxa"/>
            <w:tcBorders>
              <w:top w:val="single" w:sz="4" w:space="0" w:color="auto"/>
              <w:left w:val="single" w:sz="4" w:space="0" w:color="auto"/>
              <w:bottom w:val="single" w:sz="4" w:space="0" w:color="auto"/>
              <w:right w:val="single" w:sz="4" w:space="0" w:color="auto"/>
            </w:tcBorders>
            <w:noWrap/>
            <w:hideMark/>
          </w:tcPr>
          <w:p w14:paraId="620E7510"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300" w:type="dxa"/>
            <w:tcBorders>
              <w:top w:val="single" w:sz="4" w:space="0" w:color="auto"/>
              <w:left w:val="single" w:sz="4" w:space="0" w:color="auto"/>
              <w:bottom w:val="single" w:sz="4" w:space="0" w:color="auto"/>
              <w:right w:val="single" w:sz="4" w:space="0" w:color="auto"/>
            </w:tcBorders>
            <w:noWrap/>
            <w:hideMark/>
          </w:tcPr>
          <w:p w14:paraId="5FADD55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c>
          <w:tcPr>
            <w:tcW w:w="716" w:type="dxa"/>
            <w:tcBorders>
              <w:top w:val="single" w:sz="4" w:space="0" w:color="auto"/>
              <w:left w:val="single" w:sz="4" w:space="0" w:color="auto"/>
              <w:bottom w:val="single" w:sz="4" w:space="0" w:color="auto"/>
              <w:right w:val="single" w:sz="4" w:space="0" w:color="auto"/>
            </w:tcBorders>
            <w:noWrap/>
            <w:hideMark/>
          </w:tcPr>
          <w:p w14:paraId="2ADDF4A6"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254" w:type="dxa"/>
            <w:tcBorders>
              <w:top w:val="single" w:sz="4" w:space="0" w:color="auto"/>
              <w:left w:val="single" w:sz="4" w:space="0" w:color="auto"/>
              <w:bottom w:val="single" w:sz="4" w:space="0" w:color="auto"/>
              <w:right w:val="single" w:sz="4" w:space="0" w:color="auto"/>
            </w:tcBorders>
            <w:noWrap/>
            <w:hideMark/>
          </w:tcPr>
          <w:p w14:paraId="1FFF44D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TBR</w:t>
            </w:r>
          </w:p>
        </w:tc>
      </w:tr>
    </w:tbl>
    <w:p w14:paraId="5B79F9E1" w14:textId="77777777" w:rsidR="00955A27" w:rsidRPr="001667DB" w:rsidRDefault="00955A27" w:rsidP="00955A27">
      <w:pPr>
        <w:spacing w:after="120" w:line="360" w:lineRule="auto"/>
        <w:rPr>
          <w:rFonts w:ascii="Times New Roman" w:hAnsi="Times New Roman" w:cs="Times New Roman"/>
          <w:color w:val="000000" w:themeColor="text1"/>
        </w:rPr>
      </w:pPr>
    </w:p>
    <w:p w14:paraId="717415C9" w14:textId="77777777" w:rsidR="00955A27" w:rsidRPr="001667DB" w:rsidRDefault="00955A27" w:rsidP="00904E6C">
      <w:pPr>
        <w:numPr>
          <w:ilvl w:val="0"/>
          <w:numId w:val="214"/>
        </w:numPr>
        <w:tabs>
          <w:tab w:val="num" w:pos="284"/>
        </w:tabs>
        <w:overflowPunct w:val="0"/>
        <w:autoSpaceDE w:val="0"/>
        <w:autoSpaceDN w:val="0"/>
        <w:adjustRightInd w:val="0"/>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Emulsję można rozcieńczać wodą, do stężenia asfaltu nie niższego niż 40%(m/m)</w:t>
      </w:r>
    </w:p>
    <w:p w14:paraId="0D74B330" w14:textId="77777777" w:rsidR="00955A27" w:rsidRPr="001667DB" w:rsidRDefault="00955A27" w:rsidP="00904E6C">
      <w:pPr>
        <w:numPr>
          <w:ilvl w:val="0"/>
          <w:numId w:val="214"/>
        </w:numPr>
        <w:tabs>
          <w:tab w:val="num" w:pos="284"/>
        </w:tabs>
        <w:overflowPunct w:val="0"/>
        <w:autoSpaceDE w:val="0"/>
        <w:autoSpaceDN w:val="0"/>
        <w:adjustRightInd w:val="0"/>
        <w:spacing w:after="120" w:line="360" w:lineRule="auto"/>
        <w:ind w:hanging="720"/>
        <w:jc w:val="both"/>
        <w:rPr>
          <w:rFonts w:ascii="Times New Roman" w:hAnsi="Times New Roman" w:cs="Times New Roman"/>
          <w:color w:val="000000" w:themeColor="text1"/>
        </w:rPr>
      </w:pPr>
      <w:r w:rsidRPr="001667DB">
        <w:rPr>
          <w:rFonts w:ascii="Times New Roman" w:hAnsi="Times New Roman" w:cs="Times New Roman"/>
          <w:color w:val="000000" w:themeColor="text1"/>
        </w:rPr>
        <w:t>Nie dotyczy emulsji rozcieńczanej wodą na budowie</w:t>
      </w:r>
    </w:p>
    <w:p w14:paraId="510AF2F5" w14:textId="77777777" w:rsidR="00955A27" w:rsidRPr="001667DB" w:rsidRDefault="00955A27" w:rsidP="00955A27">
      <w:pPr>
        <w:tabs>
          <w:tab w:val="num" w:pos="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TBR (To be reported) – do zadeklarowania (producent może dostarczyć odpowiednie informacje, jednak nie jest do tego zobowiązany)</w:t>
      </w:r>
    </w:p>
    <w:p w14:paraId="2C177586" w14:textId="77777777" w:rsidR="00955A27" w:rsidRPr="001667DB" w:rsidRDefault="00955A27" w:rsidP="00955A27">
      <w:pPr>
        <w:tabs>
          <w:tab w:val="num" w:pos="0"/>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Przykład oznaczenia kationowej emulsji asfaltowej:</w:t>
      </w:r>
    </w:p>
    <w:p w14:paraId="1B046B53" w14:textId="77777777" w:rsidR="00955A27" w:rsidRPr="001667DB" w:rsidRDefault="00955A27" w:rsidP="00955A27">
      <w:pPr>
        <w:spacing w:after="120" w:line="360" w:lineRule="auto"/>
        <w:ind w:left="1276" w:hanging="1276"/>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C60 BP3 ZM – kationowa emulsja asfaltowa o zawartości lepiszcza 60%, wyprodukowana z asfaltu modyfikowanego polimerami, o klasie indeksu rozpadu 3, przeznaczona do złączania warstw nawierzchni.</w:t>
      </w:r>
    </w:p>
    <w:p w14:paraId="13961A3C" w14:textId="77777777" w:rsidR="00955A27" w:rsidRPr="001667DB" w:rsidRDefault="00955A27" w:rsidP="00955A27">
      <w:pPr>
        <w:spacing w:after="120" w:line="360" w:lineRule="auto"/>
        <w:ind w:left="1276" w:hanging="1276"/>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2.2.5. </w:t>
      </w:r>
      <w:r w:rsidRPr="001667DB">
        <w:rPr>
          <w:rFonts w:ascii="Times New Roman" w:hAnsi="Times New Roman" w:cs="Times New Roman"/>
          <w:color w:val="000000" w:themeColor="text1"/>
        </w:rPr>
        <w:t>Materiały występujące przy budowie nowej nawierzchni</w:t>
      </w:r>
    </w:p>
    <w:p w14:paraId="0079236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Materiały występujące przy budowie nowej nawierzchni powinny być zgodne z ustaleniami dokumentacji projektowej i dostosowane do rodzaju warstw nawierzchni.</w:t>
      </w:r>
    </w:p>
    <w:p w14:paraId="4250C5D8"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586" w:name="_Toc25373382"/>
      <w:bookmarkStart w:id="587" w:name="_Toc25379398"/>
      <w:bookmarkStart w:id="588" w:name="_Toc38338022"/>
      <w:bookmarkStart w:id="589" w:name="_Toc68660263"/>
      <w:bookmarkStart w:id="590" w:name="_Toc68921158"/>
      <w:bookmarkStart w:id="591" w:name="_Toc68929545"/>
      <w:bookmarkStart w:id="592" w:name="_Toc70745913"/>
      <w:bookmarkStart w:id="593" w:name="_Toc113338099"/>
      <w:bookmarkStart w:id="594" w:name="_Toc113935589"/>
      <w:bookmarkStart w:id="595" w:name="_Toc116360494"/>
      <w:bookmarkStart w:id="596" w:name="_Toc174333135"/>
      <w:bookmarkStart w:id="597" w:name="_Toc208892383"/>
      <w:bookmarkStart w:id="598" w:name="_Toc235854624"/>
      <w:bookmarkStart w:id="599" w:name="_Toc250368193"/>
      <w:r w:rsidRPr="001667DB">
        <w:rPr>
          <w:color w:val="000000" w:themeColor="text1"/>
          <w:sz w:val="22"/>
          <w:szCs w:val="22"/>
        </w:rPr>
        <w:t>sprzęt</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FC2C09E"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wymagania dotyczące sprzętu</w:t>
      </w:r>
    </w:p>
    <w:p w14:paraId="5D6447D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w:t>
      </w:r>
      <w:r w:rsidR="00525FBC" w:rsidRPr="001667DB">
        <w:rPr>
          <w:rFonts w:ascii="Times New Roman" w:hAnsi="Times New Roman" w:cs="Times New Roman"/>
          <w:color w:val="000000" w:themeColor="text1"/>
        </w:rPr>
        <w:t xml:space="preserve">00 „Wymagania ogólne” [1] pkt </w:t>
      </w:r>
    </w:p>
    <w:p w14:paraId="6B24BFCC"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Sprzęt stosowany do wykonania robót</w:t>
      </w:r>
    </w:p>
    <w:p w14:paraId="7BDED3E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robót Wykonawca w zależności od potrzeb, powinien wykazać się możliwością korzystania ze sprzętu dostosowanego do przyjętej metody robót, jak:</w:t>
      </w:r>
    </w:p>
    <w:p w14:paraId="2E73C97D"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piły do cięcia betonu asfaltowego,</w:t>
      </w:r>
    </w:p>
    <w:p w14:paraId="2B059D66"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frezarki do betonu asfaltowego,</w:t>
      </w:r>
    </w:p>
    <w:p w14:paraId="1174157E"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młot pneumatyczny, sprężarka powietrza,</w:t>
      </w:r>
    </w:p>
    <w:p w14:paraId="2D694888"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skrapiarka emulsji asfaltowej z ręcznie prowadzoną lancą spryskującą, ze zbiornikiem na lepiszcze,</w:t>
      </w:r>
    </w:p>
    <w:p w14:paraId="3B10675E"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układarka geosiatki, umożliwiającą rozwijanie go ze szpuli oraz noże do cięcia geosiatki,</w:t>
      </w:r>
    </w:p>
    <w:p w14:paraId="7F5A5271" w14:textId="77777777" w:rsidR="00955A27" w:rsidRPr="001667DB" w:rsidRDefault="00955A27" w:rsidP="00904E6C">
      <w:pPr>
        <w:numPr>
          <w:ilvl w:val="0"/>
          <w:numId w:val="215"/>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sprzęt pomocniczy, jak oskardy, łopaty, szczotki itp.</w:t>
      </w:r>
    </w:p>
    <w:p w14:paraId="4719BC53"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Zaleca się, aby skrapiarka była wyposażona w urządzenia pomiarowo-kontrolne, pozwalające na sprawdzenie i regulowanie: temperatury, ciśnienia, obrotów pompy dozującej lepiszcze, prędkości poruszania się skrapiarki oraz ilości dozowanego lepiszcza. Skrapiarka powinna zapewniać rozkładanie lepiszcza z tolerancją ± 10% w stosunku do ilości założonej. Zbiornik na lepiszcze powinien być izolowany termicznie, tak aby było możliwe zachowanie stałej temperatury lepiszcza.</w:t>
      </w:r>
    </w:p>
    <w:p w14:paraId="415A9EFC"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Sprzęt do budowy nowej nawierzchni powinien być dostosowany do rodzaju warstw nawierzchni, ustalonych w dokumentacji projektowej.</w:t>
      </w:r>
    </w:p>
    <w:p w14:paraId="4C91F36D"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Sprzęt powinien odpowiadać wymaganiom określonym w założeniach Zamawiającego, ST, instrukcjach producentów lub propozycji Wykonawcy i powinien być zaakceptowany przez Inżyniera.</w:t>
      </w:r>
    </w:p>
    <w:p w14:paraId="16347A30"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00" w:name="_Toc424534468"/>
      <w:bookmarkStart w:id="601" w:name="_Toc46643999"/>
      <w:bookmarkStart w:id="602" w:name="_Toc51995832"/>
      <w:bookmarkStart w:id="603" w:name="_Toc63568300"/>
      <w:bookmarkStart w:id="604" w:name="_Toc73770658"/>
      <w:bookmarkStart w:id="605" w:name="_Toc113935590"/>
      <w:bookmarkStart w:id="606" w:name="_Toc116360495"/>
      <w:bookmarkStart w:id="607" w:name="_Toc174333136"/>
      <w:bookmarkStart w:id="608" w:name="_Toc208892384"/>
      <w:bookmarkStart w:id="609" w:name="_Toc235854625"/>
      <w:bookmarkStart w:id="610" w:name="_Toc250368194"/>
      <w:r w:rsidRPr="001667DB">
        <w:rPr>
          <w:color w:val="000000" w:themeColor="text1"/>
          <w:sz w:val="22"/>
          <w:szCs w:val="22"/>
        </w:rPr>
        <w:t>TRANSPORT</w:t>
      </w:r>
      <w:bookmarkEnd w:id="600"/>
      <w:bookmarkEnd w:id="601"/>
      <w:bookmarkEnd w:id="602"/>
      <w:bookmarkEnd w:id="603"/>
      <w:bookmarkEnd w:id="604"/>
      <w:bookmarkEnd w:id="605"/>
      <w:bookmarkEnd w:id="606"/>
      <w:bookmarkEnd w:id="607"/>
      <w:bookmarkEnd w:id="608"/>
      <w:bookmarkEnd w:id="609"/>
      <w:bookmarkEnd w:id="610"/>
    </w:p>
    <w:p w14:paraId="764031E4"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 xml:space="preserve">Ogólne wymagania dotyczące transportu </w:t>
      </w:r>
    </w:p>
    <w:p w14:paraId="17C6E959" w14:textId="77777777" w:rsidR="00955A27" w:rsidRPr="001667DB" w:rsidRDefault="00955A27" w:rsidP="00955A27">
      <w:pPr>
        <w:tabs>
          <w:tab w:val="left" w:pos="284"/>
          <w:tab w:val="right" w:leader="dot" w:pos="8505"/>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[1]  pkt 4.</w:t>
      </w:r>
    </w:p>
    <w:p w14:paraId="44F2B600"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lastRenderedPageBreak/>
        <w:t>Transport materiałów</w:t>
      </w:r>
    </w:p>
    <w:p w14:paraId="2E3D0075" w14:textId="77777777" w:rsidR="00955A27" w:rsidRPr="001667DB" w:rsidRDefault="00955A27" w:rsidP="00955A27">
      <w:pPr>
        <w:pStyle w:val="Nagwek2"/>
        <w:spacing w:line="360" w:lineRule="auto"/>
        <w:ind w:firstLine="851"/>
        <w:jc w:val="both"/>
        <w:rPr>
          <w:b w:val="0"/>
          <w:color w:val="000000" w:themeColor="text1"/>
          <w:sz w:val="22"/>
          <w:szCs w:val="22"/>
        </w:rPr>
      </w:pPr>
      <w:r w:rsidRPr="001667DB">
        <w:rPr>
          <w:b w:val="0"/>
          <w:color w:val="000000" w:themeColor="text1"/>
          <w:sz w:val="22"/>
          <w:szCs w:val="22"/>
        </w:rPr>
        <w:t>Geosiatkę należy transportować w rolkach owiniętych folią w celu zabezpieczenia go przed uszkodzeniem w czasie transportu i składowania na budowie, a także przed negatywnym działaniem ultrafioletowego promieniowania słonecznego. Rolki powinny być przewożone w pozycji pionowej lub ułożone poziomo, nie więcej niż w trzech warstwach. Podczas transportu i składowania należy chronić materiał przed zawilgoceniem i zabrudzeniem. W czasie wyładowania geosiatki ze środka transportu nie należy dopuścić do porozrywania lub podziurawienia opakowania z folii.</w:t>
      </w:r>
    </w:p>
    <w:p w14:paraId="754755E7" w14:textId="77777777" w:rsidR="00955A27" w:rsidRPr="001667DB" w:rsidRDefault="00955A27" w:rsidP="00955A27">
      <w:pPr>
        <w:spacing w:after="120" w:line="360" w:lineRule="auto"/>
        <w:ind w:firstLine="851"/>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Emulsja asfaltowa może być transportowana w cysternach, skrapiarkach, beczkach i innych opakowaniach, pod warunkiem, że nie będą korodowały pod wpływem emulsji i nie będą powodowały jej rozpadu. Cysterny powinny być przedzielone przegrodami na komory o pojemności do </w:t>
      </w:r>
      <w:smartTag w:uri="urn:schemas-microsoft-com:office:smarttags" w:element="metricconverter">
        <w:smartTagPr>
          <w:attr w:name="ProductID" w:val="1 m3"/>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3</w:t>
        </w:r>
      </w:smartTag>
      <w:r w:rsidRPr="001667DB">
        <w:rPr>
          <w:rFonts w:ascii="Times New Roman" w:hAnsi="Times New Roman" w:cs="Times New Roman"/>
          <w:color w:val="000000" w:themeColor="text1"/>
        </w:rPr>
        <w:t>, które powinny mieć wykroje umożliwiające przepływ emulsji. Zbiorniki do przewozu emulsji powinny być czyste i nie zawierać resztek innych lepiszczy.</w:t>
      </w:r>
    </w:p>
    <w:p w14:paraId="4CB7711C" w14:textId="77777777" w:rsidR="00955A27" w:rsidRPr="001667DB" w:rsidRDefault="00955A27" w:rsidP="00955A27">
      <w:pPr>
        <w:spacing w:after="120" w:line="360" w:lineRule="auto"/>
        <w:ind w:firstLine="851"/>
        <w:rPr>
          <w:rFonts w:ascii="Times New Roman" w:hAnsi="Times New Roman" w:cs="Times New Roman"/>
          <w:color w:val="000000" w:themeColor="text1"/>
        </w:rPr>
      </w:pPr>
      <w:r w:rsidRPr="001667DB">
        <w:rPr>
          <w:rFonts w:ascii="Times New Roman" w:hAnsi="Times New Roman" w:cs="Times New Roman"/>
          <w:color w:val="000000" w:themeColor="text1"/>
        </w:rPr>
        <w:tab/>
        <w:t>Transport materiałów do budowy nowej nawierzchni powinien być zgodny z ustaleniami dla całego budowanego odcinka drogi.</w:t>
      </w:r>
    </w:p>
    <w:p w14:paraId="347B121E"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11" w:name="_Toc18217006"/>
      <w:bookmarkStart w:id="612" w:name="_Toc30219220"/>
      <w:bookmarkStart w:id="613" w:name="_Toc33319443"/>
      <w:bookmarkStart w:id="614" w:name="_Toc33320735"/>
      <w:bookmarkStart w:id="615" w:name="_Toc38338024"/>
      <w:bookmarkStart w:id="616" w:name="_Toc68660265"/>
      <w:bookmarkStart w:id="617" w:name="_Toc68921160"/>
      <w:bookmarkStart w:id="618" w:name="_Toc68929547"/>
      <w:bookmarkStart w:id="619" w:name="_Toc70745915"/>
      <w:bookmarkStart w:id="620" w:name="_Toc113338101"/>
      <w:bookmarkStart w:id="621" w:name="_Toc124213277"/>
      <w:bookmarkStart w:id="622" w:name="_Toc144694239"/>
      <w:bookmarkStart w:id="623" w:name="_Toc199904823"/>
      <w:bookmarkStart w:id="624" w:name="_Toc204566520"/>
      <w:bookmarkStart w:id="625" w:name="_Toc233428813"/>
      <w:bookmarkStart w:id="626" w:name="_Toc235854626"/>
      <w:bookmarkStart w:id="627" w:name="_Toc250368195"/>
      <w:r w:rsidRPr="001667DB">
        <w:rPr>
          <w:color w:val="000000" w:themeColor="text1"/>
          <w:sz w:val="22"/>
          <w:szCs w:val="22"/>
        </w:rPr>
        <w:t>wykonanie robót</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072E5A8"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zasady wykonania robót</w:t>
      </w:r>
    </w:p>
    <w:p w14:paraId="02E1594B" w14:textId="77777777" w:rsidR="00955A27" w:rsidRPr="001667DB" w:rsidRDefault="00955A27" w:rsidP="00955A27">
      <w:pPr>
        <w:numPr>
          <w:ilvl w:val="12"/>
          <w:numId w:val="0"/>
        </w:num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[1] pkt 5.</w:t>
      </w:r>
    </w:p>
    <w:p w14:paraId="1A2B3E15"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Zasady wykonywania robót</w:t>
      </w:r>
    </w:p>
    <w:p w14:paraId="07F96914"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Sposób wykonania robót powinien być zgodny z dokumentacją projektową i ST. W przypadku braku wystarczających danych można korzystać z ustaleń podanych w niniejszej specyfikacji oraz z informacji podanych w załącznikach.</w:t>
      </w:r>
    </w:p>
    <w:p w14:paraId="0640C64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wykonywaniu robót obejmują:</w:t>
      </w:r>
    </w:p>
    <w:p w14:paraId="7E03A3D3" w14:textId="77777777" w:rsidR="00955A27" w:rsidRPr="001667DB" w:rsidRDefault="00955A27" w:rsidP="00904E6C">
      <w:pPr>
        <w:numPr>
          <w:ilvl w:val="0"/>
          <w:numId w:val="216"/>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6CB0D687" w14:textId="77777777" w:rsidR="00955A27" w:rsidRPr="001667DB" w:rsidRDefault="00955A27" w:rsidP="00904E6C">
      <w:pPr>
        <w:numPr>
          <w:ilvl w:val="0"/>
          <w:numId w:val="216"/>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rozbiórkę starej nawierzchni,</w:t>
      </w:r>
    </w:p>
    <w:p w14:paraId="5722E311" w14:textId="77777777" w:rsidR="00955A27" w:rsidRPr="001667DB" w:rsidRDefault="00955A27" w:rsidP="00904E6C">
      <w:pPr>
        <w:numPr>
          <w:ilvl w:val="0"/>
          <w:numId w:val="216"/>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nowych warstw podbudowy i warstwy wiążącej,</w:t>
      </w:r>
    </w:p>
    <w:p w14:paraId="706DDDE9" w14:textId="77777777" w:rsidR="00955A27" w:rsidRPr="001667DB" w:rsidRDefault="00955A27" w:rsidP="00904E6C">
      <w:pPr>
        <w:numPr>
          <w:ilvl w:val="0"/>
          <w:numId w:val="216"/>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geosiatki i warstwy ścieralnej,</w:t>
      </w:r>
    </w:p>
    <w:p w14:paraId="41E73293" w14:textId="77777777" w:rsidR="00955A27" w:rsidRPr="001667DB" w:rsidRDefault="00955A27" w:rsidP="00904E6C">
      <w:pPr>
        <w:numPr>
          <w:ilvl w:val="0"/>
          <w:numId w:val="216"/>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5D8BFFDA"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Roboty przygotowawcze</w:t>
      </w:r>
    </w:p>
    <w:p w14:paraId="5EE32ED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4C89472C" w14:textId="77777777" w:rsidR="00955A27" w:rsidRPr="001667DB" w:rsidRDefault="00955A27" w:rsidP="00904E6C">
      <w:pPr>
        <w:numPr>
          <w:ilvl w:val="0"/>
          <w:numId w:val="217"/>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ustalić lokalizację robót, wyznaczyć oraz oznaczyć linię styku istniejącej nawierzchni i nowej konstrukcji,</w:t>
      </w:r>
    </w:p>
    <w:p w14:paraId="497C44FE" w14:textId="77777777" w:rsidR="00955A27" w:rsidRPr="001667DB" w:rsidRDefault="00955A27" w:rsidP="00904E6C">
      <w:pPr>
        <w:numPr>
          <w:ilvl w:val="0"/>
          <w:numId w:val="217"/>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przeprowadzić obliczenia i pomiary geodezyjne niezbędne do szczegółowego wytyczenia robót oraz ustalenia danych wysokościowych,</w:t>
      </w:r>
    </w:p>
    <w:p w14:paraId="3F6F8E3A" w14:textId="77777777" w:rsidR="00955A27" w:rsidRPr="001667DB" w:rsidRDefault="00955A27" w:rsidP="00904E6C">
      <w:pPr>
        <w:numPr>
          <w:ilvl w:val="0"/>
          <w:numId w:val="217"/>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usunąć przeszkody, np. drzewa, krzaki, obiekty, elementy dróg, ogrodzeń itd.</w:t>
      </w:r>
    </w:p>
    <w:p w14:paraId="35B02BA0"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Rozbiórka starej nawierzchni</w:t>
      </w:r>
    </w:p>
    <w:p w14:paraId="428669D3"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Fragment istniejącej nawierzchni, od wyznaczonej linii styku nowej i starej nawierzchni, należy rozebrać do głębokości przewidzianej dokumentacją projektową, przy użyciu ręcznego sprzętu rozbiórkowego lub frezarki.</w:t>
      </w:r>
    </w:p>
    <w:p w14:paraId="39968F2E"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Przy rozbiórce istniejącej nawierzchni należy wykonać stopnie w istniejącej konstrukcji w celu uzyskania prawidłowego wzmocnionego połączenia nowych i starych warstw. Szerokość stopni powinna być nie mniejsza niż 1,5 grubości wyżej położonej warstwy, z wyjątkiem stopnia pod warstwą ścieralną, którego szerokość powinna wynosić 1,1 ÷ </w:t>
      </w:r>
      <w:smartTag w:uri="urn:schemas-microsoft-com:office:smarttags" w:element="metricconverter">
        <w:smartTagPr>
          <w:attr w:name="ProductID" w:val="1,15 m"/>
        </w:smartTagPr>
        <w:r w:rsidRPr="001667DB">
          <w:rPr>
            <w:rFonts w:ascii="Times New Roman" w:hAnsi="Times New Roman" w:cs="Times New Roman"/>
            <w:color w:val="000000" w:themeColor="text1"/>
          </w:rPr>
          <w:t>1,15 m</w:t>
        </w:r>
      </w:smartTag>
      <w:r w:rsidRPr="001667DB">
        <w:rPr>
          <w:rFonts w:ascii="Times New Roman" w:hAnsi="Times New Roman" w:cs="Times New Roman"/>
          <w:color w:val="000000" w:themeColor="text1"/>
        </w:rPr>
        <w:t>.</w:t>
      </w:r>
    </w:p>
    <w:p w14:paraId="5FFFB52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Przykład rozbiórki istniejącej nawierzchni przedstawiono na rysunku 1.</w:t>
      </w:r>
    </w:p>
    <w:p w14:paraId="6FD539AF" w14:textId="77777777" w:rsidR="00955A27" w:rsidRPr="001667DB" w:rsidRDefault="00955A27" w:rsidP="00955A27">
      <w:pPr>
        <w:spacing w:after="120" w:line="360" w:lineRule="auto"/>
        <w:rPr>
          <w:rFonts w:ascii="Times New Roman" w:hAnsi="Times New Roman" w:cs="Times New Roman"/>
          <w:color w:val="000000" w:themeColor="text1"/>
        </w:rPr>
      </w:pPr>
    </w:p>
    <w:p w14:paraId="6212E855"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Ułożenie nowych warstw podbudowy i warstwy wiążącej</w:t>
      </w:r>
    </w:p>
    <w:p w14:paraId="0A67E52A"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Do przygotowanych stopni na powierzchniach warstw nawierzchni należy doprowadzić nowe warstwy podbudowy i warstwę wiążącą. Stare powierzchnie warstw należy oczyścić, a w przypadku konstrukcji niezwiązanych należy je zagęścić.</w:t>
      </w:r>
    </w:p>
    <w:p w14:paraId="4ECF3F6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Wykonanie konstrukcji warstw nawierzchni powinno odpowiadać wymaganiom właściwych specyfikacji technicznych, określonych w dokumentacji projektowej.</w:t>
      </w:r>
    </w:p>
    <w:p w14:paraId="7FBFD5F0"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 xml:space="preserve"> Ułożenie geosiatki i warstwy ścieralnej</w:t>
      </w:r>
    </w:p>
    <w:p w14:paraId="7D7F46A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Na ułożonej i zagęszczonej warstwie wiążącej (np. z betonu asfaltowego) należy:</w:t>
      </w:r>
    </w:p>
    <w:p w14:paraId="16C584CE" w14:textId="77777777" w:rsidR="00955A27" w:rsidRPr="001667DB" w:rsidRDefault="00955A27" w:rsidP="00904E6C">
      <w:pPr>
        <w:numPr>
          <w:ilvl w:val="0"/>
          <w:numId w:val="218"/>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skropić emulsją asfaltową, według pktu 2.2.4, pas szerokości 2,2 ÷ </w:t>
      </w:r>
      <w:smartTag w:uri="urn:schemas-microsoft-com:office:smarttags" w:element="metricconverter">
        <w:smartTagPr>
          <w:attr w:name="ProductID" w:val="2,3 m"/>
        </w:smartTagPr>
        <w:r w:rsidRPr="001667DB">
          <w:rPr>
            <w:rFonts w:ascii="Times New Roman" w:hAnsi="Times New Roman" w:cs="Times New Roman"/>
            <w:color w:val="000000" w:themeColor="text1"/>
          </w:rPr>
          <w:t>2,3 m</w:t>
        </w:r>
      </w:smartTag>
      <w:r w:rsidRPr="001667DB">
        <w:rPr>
          <w:rFonts w:ascii="Times New Roman" w:hAnsi="Times New Roman" w:cs="Times New Roman"/>
          <w:color w:val="000000" w:themeColor="text1"/>
        </w:rPr>
        <w:t xml:space="preserve"> (około 0,2 ÷ </w:t>
      </w:r>
      <w:smartTag w:uri="urn:schemas-microsoft-com:office:smarttags" w:element="metricconverter">
        <w:smartTagPr>
          <w:attr w:name="ProductID" w:val="0,3 m"/>
        </w:smartTagPr>
        <w:r w:rsidRPr="001667DB">
          <w:rPr>
            <w:rFonts w:ascii="Times New Roman" w:hAnsi="Times New Roman" w:cs="Times New Roman"/>
            <w:color w:val="000000" w:themeColor="text1"/>
          </w:rPr>
          <w:t>0,3 m</w:t>
        </w:r>
      </w:smartTag>
      <w:r w:rsidRPr="001667DB">
        <w:rPr>
          <w:rFonts w:ascii="Times New Roman" w:hAnsi="Times New Roman" w:cs="Times New Roman"/>
          <w:color w:val="000000" w:themeColor="text1"/>
        </w:rPr>
        <w:t xml:space="preserve"> większy niż szerokość geosiatki, który ma być ułożony),</w:t>
      </w:r>
    </w:p>
    <w:p w14:paraId="32847F1F" w14:textId="77777777" w:rsidR="00955A27" w:rsidRPr="001667DB" w:rsidRDefault="00955A27" w:rsidP="00904E6C">
      <w:pPr>
        <w:numPr>
          <w:ilvl w:val="0"/>
          <w:numId w:val="218"/>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ułożyć geosiatkę o szerokości co najmniej </w:t>
      </w:r>
      <w:smartTag w:uri="urn:schemas-microsoft-com:office:smarttags" w:element="metricconverter">
        <w:smartTagPr>
          <w:attr w:name="ProductID" w:val="1,0 m"/>
        </w:smartTagPr>
        <w:r w:rsidRPr="001667DB">
          <w:rPr>
            <w:rFonts w:ascii="Times New Roman" w:hAnsi="Times New Roman" w:cs="Times New Roman"/>
            <w:color w:val="000000" w:themeColor="text1"/>
          </w:rPr>
          <w:t>1,0 m</w:t>
        </w:r>
      </w:smartTag>
      <w:r w:rsidRPr="001667DB">
        <w:rPr>
          <w:rFonts w:ascii="Times New Roman" w:hAnsi="Times New Roman" w:cs="Times New Roman"/>
          <w:color w:val="000000" w:themeColor="text1"/>
        </w:rPr>
        <w:t xml:space="preserve"> po każdej stronie połączenia,</w:t>
      </w:r>
    </w:p>
    <w:p w14:paraId="200D8927" w14:textId="77777777" w:rsidR="00955A27" w:rsidRPr="001667DB" w:rsidRDefault="00955A27" w:rsidP="00904E6C">
      <w:pPr>
        <w:numPr>
          <w:ilvl w:val="0"/>
          <w:numId w:val="218"/>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przykryć całość fragmentu nawierzchni nad geosiatką nową warstwą ścieralną.</w:t>
      </w:r>
    </w:p>
    <w:p w14:paraId="42535C2F" w14:textId="77777777" w:rsidR="00955A27" w:rsidRPr="001667DB" w:rsidRDefault="00955A27" w:rsidP="00955A27">
      <w:pPr>
        <w:spacing w:after="120" w:line="360" w:lineRule="auto"/>
        <w:ind w:left="709"/>
        <w:rPr>
          <w:rFonts w:ascii="Times New Roman" w:hAnsi="Times New Roman" w:cs="Times New Roman"/>
          <w:color w:val="000000" w:themeColor="text1"/>
        </w:rPr>
      </w:pPr>
      <w:r w:rsidRPr="001667DB">
        <w:rPr>
          <w:rFonts w:ascii="Times New Roman" w:hAnsi="Times New Roman" w:cs="Times New Roman"/>
          <w:color w:val="000000" w:themeColor="text1"/>
        </w:rPr>
        <w:t>Przy wyżej wymienionych czynnościach obowiązują następujące zalecenia:</w:t>
      </w:r>
    </w:p>
    <w:p w14:paraId="130447B3"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układanie geosiatki można prowadzić wyłącznie podczas suchej pogody; geosiatka nie może być mokry i pozostawiony na noc bez przykrycia warstwą asfaltową; temperatura powietrza powinna wynosić co najmniej +10°C,</w:t>
      </w:r>
    </w:p>
    <w:p w14:paraId="263F6297"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ilość lepiszcza do skropienia (składa się z lepiszcza do nasycenia podłoża: około 100 ÷ 250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efektywnego lepiszcza – asfaltu oznaczanego doświadczalnie wg [9]) właściwą ilość powinien podać dostawca lub producent wyrobu,</w:t>
      </w:r>
    </w:p>
    <w:p w14:paraId="68B5F60C"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dobre zespolenie geosiatki z sąsiednimi warstwami nawierzchni uzyska się, gdy: podłoże będzie czyste, suche (przed skropieniem), równe (tak aby wyrób do niego przylegał),</w:t>
      </w:r>
    </w:p>
    <w:p w14:paraId="27AD173B"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skrapiana emulsją asfaltową powinna być czysta – wszelkie zanieczyszczenia gliną, kruszywem itp. powinny zostać usunięte przed skropieniem,</w:t>
      </w:r>
    </w:p>
    <w:p w14:paraId="3661095A"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części geosiatki zanieczyszczone smarem i olejem należy wyciąć, a miejsca te należy powtórnie skropić wraz z brzegiem otaczającego wyrobu i wkleić w nie prostokątną łatę geosiatki o wymiarach zapewniających przykrycie wyciętego otworu z zakładem około </w:t>
      </w:r>
      <w:smartTag w:uri="urn:schemas-microsoft-com:office:smarttags" w:element="metricconverter">
        <w:smartTagPr>
          <w:attr w:name="ProductID" w:val="0,10 m"/>
        </w:smartTagPr>
        <w:r w:rsidRPr="001667DB">
          <w:rPr>
            <w:rFonts w:ascii="Times New Roman" w:hAnsi="Times New Roman" w:cs="Times New Roman"/>
            <w:color w:val="000000" w:themeColor="text1"/>
          </w:rPr>
          <w:t>0,10 m</w:t>
        </w:r>
      </w:smartTag>
      <w:r w:rsidRPr="001667DB">
        <w:rPr>
          <w:rFonts w:ascii="Times New Roman" w:hAnsi="Times New Roman" w:cs="Times New Roman"/>
          <w:color w:val="000000" w:themeColor="text1"/>
        </w:rPr>
        <w:t>,</w:t>
      </w:r>
    </w:p>
    <w:p w14:paraId="43B09025"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 przypadku łączenia pasów geosiatki szerokość poprzecznego zakładu wynosi 0,10 ÷ </w:t>
      </w:r>
      <w:smartTag w:uri="urn:schemas-microsoft-com:office:smarttags" w:element="metricconverter">
        <w:smartTagPr>
          <w:attr w:name="ProductID" w:val="0,15 m"/>
        </w:smartTagPr>
        <w:r w:rsidRPr="001667DB">
          <w:rPr>
            <w:rFonts w:ascii="Times New Roman" w:hAnsi="Times New Roman" w:cs="Times New Roman"/>
            <w:color w:val="000000" w:themeColor="text1"/>
          </w:rPr>
          <w:t>0,15 m</w:t>
        </w:r>
      </w:smartTag>
      <w:r w:rsidRPr="001667DB">
        <w:rPr>
          <w:rFonts w:ascii="Times New Roman" w:hAnsi="Times New Roman" w:cs="Times New Roman"/>
          <w:color w:val="000000" w:themeColor="text1"/>
        </w:rPr>
        <w:t>, przy czym dolną warstwę zakładu należy skropić dodatkowo lepiszczem w ilości około 0,400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6796BC19"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 ręcznym układaniu geosiatki zaleca się, bezpośrednio po jego ułożeniu, przejazd jednokrotny walcem ogumionym (ew. stalowym) w celu ustabilizowania jego położenia,</w:t>
      </w:r>
    </w:p>
    <w:p w14:paraId="1CBAF110" w14:textId="77777777" w:rsidR="00955A27" w:rsidRPr="001667DB" w:rsidRDefault="00955A27" w:rsidP="00904E6C">
      <w:pPr>
        <w:numPr>
          <w:ilvl w:val="0"/>
          <w:numId w:val="219"/>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ruch pojazdów roboczych po rozłożeniu geosiatki powinien być ograniczony do minimum przy przestrzeganiu zakazu gwałtownego hamowania i skręcania, aby nie fałdować wyrobu.</w:t>
      </w:r>
    </w:p>
    <w:p w14:paraId="4ABEAE75"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Konieczne jest zapewnienie prawidłowej impregnacji i przyklejenia geosiatki do podłoża. Jeżeli uzyskanie tego nie jest możliwe z jakiegokolwiek powodu (np. istnieją fale), to należy zrezygnować z zastosowania tej technologii, bowiem niewłaściwe jej wykonanie może być powodem zniszczenia nawierzchni (np. fale mogą zniszczyć połączenie warstw).</w:t>
      </w:r>
    </w:p>
    <w:p w14:paraId="10378876"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Przykład połączenia nowej i starej nawierzchni przedstawiono na rysunku 2.</w:t>
      </w:r>
    </w:p>
    <w:p w14:paraId="3D7AD50F"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Roboty wykończeniowe</w:t>
      </w:r>
    </w:p>
    <w:p w14:paraId="2C4C7126"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 powinny być zgodne z dokumentacją projektową i ST. Do robót wykończeniowych należą prace związane z dostosowaniem wykonanych robót do istniejących warunków terenowych, takie jak:</w:t>
      </w:r>
    </w:p>
    <w:p w14:paraId="0B9D8A56"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odtworzenie przeszkód czasowo usuniętych, </w:t>
      </w:r>
    </w:p>
    <w:p w14:paraId="35D0BC51"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porządkujące otoczenie terenu robót.</w:t>
      </w:r>
    </w:p>
    <w:p w14:paraId="23D5364F"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28" w:name="_Toc120590626"/>
      <w:bookmarkStart w:id="629" w:name="_Toc138042850"/>
      <w:bookmarkStart w:id="630" w:name="_Toc250368196"/>
      <w:r w:rsidRPr="001667DB">
        <w:rPr>
          <w:color w:val="000000" w:themeColor="text1"/>
          <w:sz w:val="22"/>
          <w:szCs w:val="22"/>
        </w:rPr>
        <w:t>KONTROLA JAKOŚCI ROBÓT</w:t>
      </w:r>
      <w:bookmarkEnd w:id="628"/>
      <w:bookmarkEnd w:id="629"/>
      <w:bookmarkEnd w:id="630"/>
    </w:p>
    <w:p w14:paraId="45914818"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zasady kontroli jakości robót</w:t>
      </w:r>
    </w:p>
    <w:p w14:paraId="7187A0ED"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[1] pkt 6.</w:t>
      </w:r>
    </w:p>
    <w:p w14:paraId="7B3586A0"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lastRenderedPageBreak/>
        <w:t>Badania przed przystąpieniem do robót</w:t>
      </w:r>
    </w:p>
    <w:p w14:paraId="4F7AA2EF"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2EC97993"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0249D293"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przez Inżyniera,</w:t>
      </w:r>
    </w:p>
    <w:p w14:paraId="65200088"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sprawdzić cechy zewnętrzne gotowych materiałów.</w:t>
      </w:r>
    </w:p>
    <w:p w14:paraId="17C144EB"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Wszystkie dokumenty oraz wyniki badań Wykonawca przedstawia Inżynierowi do akceptacji.</w:t>
      </w:r>
    </w:p>
    <w:p w14:paraId="6C7D97E0"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Badania w czasie robót</w:t>
      </w:r>
    </w:p>
    <w:p w14:paraId="29386888"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Częstotliwość oraz zakres badań i pomiarów, które należy wykonać w czasie robót podaje tablica 2.</w:t>
      </w:r>
    </w:p>
    <w:p w14:paraId="740F027E" w14:textId="77777777" w:rsidR="00955A27" w:rsidRPr="001667DB" w:rsidRDefault="00955A27" w:rsidP="00955A27">
      <w:pPr>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Tablica 2. Częstotliwość oraz zakres badań i pomiarów w czasie robót</w:t>
      </w:r>
    </w:p>
    <w:tbl>
      <w:tblPr>
        <w:tblW w:w="74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260"/>
        <w:gridCol w:w="1417"/>
        <w:gridCol w:w="2268"/>
      </w:tblGrid>
      <w:tr w:rsidR="00955A27" w:rsidRPr="001667DB" w14:paraId="23BE0728"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7EDF9AD9"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260" w:type="dxa"/>
            <w:tcBorders>
              <w:top w:val="single" w:sz="6" w:space="0" w:color="auto"/>
              <w:left w:val="single" w:sz="6" w:space="0" w:color="auto"/>
              <w:bottom w:val="single" w:sz="6" w:space="0" w:color="auto"/>
              <w:right w:val="single" w:sz="6" w:space="0" w:color="auto"/>
            </w:tcBorders>
            <w:noWrap/>
            <w:hideMark/>
          </w:tcPr>
          <w:p w14:paraId="6344796E"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Wyszczególnienie badań i pomiarów</w:t>
            </w:r>
          </w:p>
        </w:tc>
        <w:tc>
          <w:tcPr>
            <w:tcW w:w="1417" w:type="dxa"/>
            <w:tcBorders>
              <w:top w:val="single" w:sz="6" w:space="0" w:color="auto"/>
              <w:left w:val="single" w:sz="6" w:space="0" w:color="auto"/>
              <w:bottom w:val="single" w:sz="6" w:space="0" w:color="auto"/>
              <w:right w:val="single" w:sz="6" w:space="0" w:color="auto"/>
            </w:tcBorders>
            <w:noWrap/>
            <w:hideMark/>
          </w:tcPr>
          <w:p w14:paraId="54F361E0"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Częstotliwość badań</w:t>
            </w:r>
          </w:p>
        </w:tc>
        <w:tc>
          <w:tcPr>
            <w:tcW w:w="2268" w:type="dxa"/>
            <w:tcBorders>
              <w:top w:val="single" w:sz="6" w:space="0" w:color="auto"/>
              <w:left w:val="single" w:sz="6" w:space="0" w:color="auto"/>
              <w:bottom w:val="single" w:sz="6" w:space="0" w:color="auto"/>
              <w:right w:val="single" w:sz="6" w:space="0" w:color="auto"/>
            </w:tcBorders>
            <w:noWrap/>
            <w:hideMark/>
          </w:tcPr>
          <w:p w14:paraId="17FEC45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dopuszczalne</w:t>
            </w:r>
          </w:p>
        </w:tc>
      </w:tr>
      <w:tr w:rsidR="00955A27" w:rsidRPr="001667DB" w14:paraId="70569F89"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4C25580E"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260" w:type="dxa"/>
            <w:tcBorders>
              <w:top w:val="single" w:sz="6" w:space="0" w:color="auto"/>
              <w:left w:val="single" w:sz="6" w:space="0" w:color="auto"/>
              <w:bottom w:val="single" w:sz="6" w:space="0" w:color="auto"/>
              <w:right w:val="single" w:sz="6" w:space="0" w:color="auto"/>
            </w:tcBorders>
            <w:noWrap/>
            <w:hideMark/>
          </w:tcPr>
          <w:p w14:paraId="4FAFF8B6"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Lokalizacja i zgodność granic terenu robót z dokumentacją projektową</w:t>
            </w:r>
          </w:p>
        </w:tc>
        <w:tc>
          <w:tcPr>
            <w:tcW w:w="1417" w:type="dxa"/>
            <w:tcBorders>
              <w:top w:val="single" w:sz="6" w:space="0" w:color="auto"/>
              <w:left w:val="single" w:sz="6" w:space="0" w:color="auto"/>
              <w:bottom w:val="single" w:sz="6" w:space="0" w:color="auto"/>
              <w:right w:val="single" w:sz="6" w:space="0" w:color="auto"/>
            </w:tcBorders>
            <w:noWrap/>
            <w:hideMark/>
          </w:tcPr>
          <w:p w14:paraId="2CE53FF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raz</w:t>
            </w:r>
          </w:p>
        </w:tc>
        <w:tc>
          <w:tcPr>
            <w:tcW w:w="2268" w:type="dxa"/>
            <w:tcBorders>
              <w:top w:val="single" w:sz="6" w:space="0" w:color="auto"/>
              <w:left w:val="single" w:sz="6" w:space="0" w:color="auto"/>
              <w:bottom w:val="single" w:sz="6" w:space="0" w:color="auto"/>
              <w:right w:val="single" w:sz="6" w:space="0" w:color="auto"/>
            </w:tcBorders>
            <w:noWrap/>
            <w:hideMark/>
          </w:tcPr>
          <w:p w14:paraId="71D415D6"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 i dokumentacji projektowej</w:t>
            </w:r>
          </w:p>
        </w:tc>
      </w:tr>
      <w:tr w:rsidR="00955A27" w:rsidRPr="001667DB" w14:paraId="5F5BF67A"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4633411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260" w:type="dxa"/>
            <w:tcBorders>
              <w:top w:val="single" w:sz="6" w:space="0" w:color="auto"/>
              <w:left w:val="single" w:sz="6" w:space="0" w:color="auto"/>
              <w:bottom w:val="single" w:sz="6" w:space="0" w:color="auto"/>
              <w:right w:val="single" w:sz="6" w:space="0" w:color="auto"/>
            </w:tcBorders>
            <w:noWrap/>
            <w:hideMark/>
          </w:tcPr>
          <w:p w14:paraId="37549547"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Wyznaczenie linii styku starej i nowej nawierzchni</w:t>
            </w:r>
          </w:p>
        </w:tc>
        <w:tc>
          <w:tcPr>
            <w:tcW w:w="1417" w:type="dxa"/>
            <w:tcBorders>
              <w:top w:val="single" w:sz="6" w:space="0" w:color="auto"/>
              <w:left w:val="single" w:sz="6" w:space="0" w:color="auto"/>
              <w:bottom w:val="single" w:sz="6" w:space="0" w:color="auto"/>
              <w:right w:val="single" w:sz="6" w:space="0" w:color="auto"/>
            </w:tcBorders>
            <w:noWrap/>
            <w:hideMark/>
          </w:tcPr>
          <w:p w14:paraId="42EF85AE"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 raz</w:t>
            </w:r>
          </w:p>
        </w:tc>
        <w:tc>
          <w:tcPr>
            <w:tcW w:w="2268" w:type="dxa"/>
            <w:tcBorders>
              <w:top w:val="single" w:sz="6" w:space="0" w:color="auto"/>
              <w:left w:val="single" w:sz="6" w:space="0" w:color="auto"/>
              <w:bottom w:val="single" w:sz="6" w:space="0" w:color="auto"/>
              <w:right w:val="single" w:sz="6" w:space="0" w:color="auto"/>
            </w:tcBorders>
            <w:noWrap/>
            <w:hideMark/>
          </w:tcPr>
          <w:p w14:paraId="79E84996"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Linia prosta</w:t>
            </w:r>
          </w:p>
        </w:tc>
      </w:tr>
      <w:tr w:rsidR="00955A27" w:rsidRPr="001667DB" w14:paraId="69283F4D"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660B913E"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260" w:type="dxa"/>
            <w:tcBorders>
              <w:top w:val="single" w:sz="6" w:space="0" w:color="auto"/>
              <w:left w:val="single" w:sz="6" w:space="0" w:color="auto"/>
              <w:bottom w:val="single" w:sz="6" w:space="0" w:color="auto"/>
              <w:right w:val="single" w:sz="6" w:space="0" w:color="auto"/>
            </w:tcBorders>
            <w:noWrap/>
            <w:hideMark/>
          </w:tcPr>
          <w:p w14:paraId="64CFD914"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Rozbiórka starej nawierzchni</w:t>
            </w:r>
          </w:p>
        </w:tc>
        <w:tc>
          <w:tcPr>
            <w:tcW w:w="1417" w:type="dxa"/>
            <w:tcBorders>
              <w:top w:val="single" w:sz="6" w:space="0" w:color="auto"/>
              <w:left w:val="single" w:sz="6" w:space="0" w:color="auto"/>
              <w:bottom w:val="single" w:sz="6" w:space="0" w:color="auto"/>
              <w:right w:val="single" w:sz="6" w:space="0" w:color="auto"/>
            </w:tcBorders>
            <w:noWrap/>
            <w:hideMark/>
          </w:tcPr>
          <w:p w14:paraId="14C7C124"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268" w:type="dxa"/>
            <w:tcBorders>
              <w:top w:val="single" w:sz="6" w:space="0" w:color="auto"/>
              <w:left w:val="single" w:sz="6" w:space="0" w:color="auto"/>
              <w:bottom w:val="single" w:sz="6" w:space="0" w:color="auto"/>
              <w:right w:val="single" w:sz="6" w:space="0" w:color="auto"/>
            </w:tcBorders>
            <w:noWrap/>
            <w:hideMark/>
          </w:tcPr>
          <w:p w14:paraId="4E4932A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5.4</w:t>
            </w:r>
          </w:p>
        </w:tc>
      </w:tr>
      <w:tr w:rsidR="00955A27" w:rsidRPr="001667DB" w14:paraId="07195D18"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48114DA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260" w:type="dxa"/>
            <w:tcBorders>
              <w:top w:val="single" w:sz="6" w:space="0" w:color="auto"/>
              <w:left w:val="single" w:sz="6" w:space="0" w:color="auto"/>
              <w:bottom w:val="single" w:sz="6" w:space="0" w:color="auto"/>
              <w:right w:val="single" w:sz="6" w:space="0" w:color="auto"/>
            </w:tcBorders>
            <w:noWrap/>
            <w:hideMark/>
          </w:tcPr>
          <w:p w14:paraId="5ADBFF77"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Ułożenie nowych warstw podbudowy i warstwy wiążącej</w:t>
            </w:r>
          </w:p>
        </w:tc>
        <w:tc>
          <w:tcPr>
            <w:tcW w:w="1417" w:type="dxa"/>
            <w:tcBorders>
              <w:top w:val="single" w:sz="6" w:space="0" w:color="auto"/>
              <w:left w:val="single" w:sz="6" w:space="0" w:color="auto"/>
              <w:bottom w:val="single" w:sz="6" w:space="0" w:color="auto"/>
              <w:right w:val="single" w:sz="6" w:space="0" w:color="auto"/>
            </w:tcBorders>
            <w:noWrap/>
            <w:hideMark/>
          </w:tcPr>
          <w:p w14:paraId="44E45A3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268" w:type="dxa"/>
            <w:tcBorders>
              <w:top w:val="single" w:sz="6" w:space="0" w:color="auto"/>
              <w:left w:val="single" w:sz="6" w:space="0" w:color="auto"/>
              <w:bottom w:val="single" w:sz="6" w:space="0" w:color="auto"/>
              <w:right w:val="single" w:sz="6" w:space="0" w:color="auto"/>
            </w:tcBorders>
            <w:noWrap/>
            <w:hideMark/>
          </w:tcPr>
          <w:p w14:paraId="0766A01E"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5.5</w:t>
            </w:r>
          </w:p>
        </w:tc>
      </w:tr>
      <w:tr w:rsidR="00955A27" w:rsidRPr="001667DB" w14:paraId="56AB17A6"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73150C0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260" w:type="dxa"/>
            <w:tcBorders>
              <w:top w:val="single" w:sz="6" w:space="0" w:color="auto"/>
              <w:left w:val="single" w:sz="6" w:space="0" w:color="auto"/>
              <w:bottom w:val="single" w:sz="6" w:space="0" w:color="auto"/>
              <w:right w:val="single" w:sz="6" w:space="0" w:color="auto"/>
            </w:tcBorders>
            <w:noWrap/>
            <w:hideMark/>
          </w:tcPr>
          <w:p w14:paraId="097C409E"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Skropienie emulsją asfaltową podłoża pod geosiatkę</w:t>
            </w:r>
          </w:p>
        </w:tc>
        <w:tc>
          <w:tcPr>
            <w:tcW w:w="1417" w:type="dxa"/>
            <w:tcBorders>
              <w:top w:val="single" w:sz="6" w:space="0" w:color="auto"/>
              <w:left w:val="single" w:sz="6" w:space="0" w:color="auto"/>
              <w:bottom w:val="single" w:sz="6" w:space="0" w:color="auto"/>
              <w:right w:val="single" w:sz="6" w:space="0" w:color="auto"/>
            </w:tcBorders>
            <w:noWrap/>
            <w:hideMark/>
          </w:tcPr>
          <w:p w14:paraId="7EC7A478"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268" w:type="dxa"/>
            <w:tcBorders>
              <w:top w:val="single" w:sz="6" w:space="0" w:color="auto"/>
              <w:left w:val="single" w:sz="6" w:space="0" w:color="auto"/>
              <w:bottom w:val="single" w:sz="6" w:space="0" w:color="auto"/>
              <w:right w:val="single" w:sz="6" w:space="0" w:color="auto"/>
            </w:tcBorders>
            <w:noWrap/>
            <w:hideMark/>
          </w:tcPr>
          <w:p w14:paraId="4BFD7CD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5.6</w:t>
            </w:r>
          </w:p>
        </w:tc>
      </w:tr>
      <w:tr w:rsidR="00955A27" w:rsidRPr="001667DB" w14:paraId="3CF8DBCB"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7CB7297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260" w:type="dxa"/>
            <w:tcBorders>
              <w:top w:val="single" w:sz="6" w:space="0" w:color="auto"/>
              <w:left w:val="single" w:sz="6" w:space="0" w:color="auto"/>
              <w:bottom w:val="single" w:sz="6" w:space="0" w:color="auto"/>
              <w:right w:val="single" w:sz="6" w:space="0" w:color="auto"/>
            </w:tcBorders>
            <w:noWrap/>
            <w:hideMark/>
          </w:tcPr>
          <w:p w14:paraId="19BDFB12"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Ułożenie geosiatki</w:t>
            </w:r>
          </w:p>
        </w:tc>
        <w:tc>
          <w:tcPr>
            <w:tcW w:w="1417" w:type="dxa"/>
            <w:tcBorders>
              <w:top w:val="single" w:sz="6" w:space="0" w:color="auto"/>
              <w:left w:val="single" w:sz="6" w:space="0" w:color="auto"/>
              <w:bottom w:val="single" w:sz="6" w:space="0" w:color="auto"/>
              <w:right w:val="single" w:sz="6" w:space="0" w:color="auto"/>
            </w:tcBorders>
            <w:noWrap/>
            <w:hideMark/>
          </w:tcPr>
          <w:p w14:paraId="2855905F"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268" w:type="dxa"/>
            <w:tcBorders>
              <w:top w:val="single" w:sz="6" w:space="0" w:color="auto"/>
              <w:left w:val="single" w:sz="6" w:space="0" w:color="auto"/>
              <w:bottom w:val="single" w:sz="6" w:space="0" w:color="auto"/>
              <w:right w:val="single" w:sz="6" w:space="0" w:color="auto"/>
            </w:tcBorders>
            <w:noWrap/>
            <w:hideMark/>
          </w:tcPr>
          <w:p w14:paraId="75905424"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5.6</w:t>
            </w:r>
          </w:p>
        </w:tc>
      </w:tr>
      <w:tr w:rsidR="00955A27" w:rsidRPr="001667DB" w14:paraId="10C698E0"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3214D82F"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260" w:type="dxa"/>
            <w:tcBorders>
              <w:top w:val="single" w:sz="6" w:space="0" w:color="auto"/>
              <w:left w:val="single" w:sz="6" w:space="0" w:color="auto"/>
              <w:bottom w:val="single" w:sz="6" w:space="0" w:color="auto"/>
              <w:right w:val="single" w:sz="6" w:space="0" w:color="auto"/>
            </w:tcBorders>
            <w:noWrap/>
            <w:hideMark/>
          </w:tcPr>
          <w:p w14:paraId="64B649F4"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Ułożenie nowej warstwy ścieralnej nawierzchni</w:t>
            </w:r>
          </w:p>
        </w:tc>
        <w:tc>
          <w:tcPr>
            <w:tcW w:w="1417" w:type="dxa"/>
            <w:tcBorders>
              <w:top w:val="single" w:sz="6" w:space="0" w:color="auto"/>
              <w:left w:val="single" w:sz="6" w:space="0" w:color="auto"/>
              <w:bottom w:val="single" w:sz="6" w:space="0" w:color="auto"/>
              <w:right w:val="single" w:sz="6" w:space="0" w:color="auto"/>
            </w:tcBorders>
            <w:noWrap/>
            <w:hideMark/>
          </w:tcPr>
          <w:p w14:paraId="40400F66"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w:t>
            </w:r>
          </w:p>
        </w:tc>
        <w:tc>
          <w:tcPr>
            <w:tcW w:w="2268" w:type="dxa"/>
            <w:tcBorders>
              <w:top w:val="single" w:sz="6" w:space="0" w:color="auto"/>
              <w:left w:val="single" w:sz="6" w:space="0" w:color="auto"/>
              <w:bottom w:val="single" w:sz="6" w:space="0" w:color="auto"/>
              <w:right w:val="single" w:sz="6" w:space="0" w:color="auto"/>
            </w:tcBorders>
            <w:noWrap/>
            <w:hideMark/>
          </w:tcPr>
          <w:p w14:paraId="749B9C42"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5.6</w:t>
            </w:r>
          </w:p>
        </w:tc>
      </w:tr>
      <w:tr w:rsidR="00955A27" w:rsidRPr="001667DB" w14:paraId="394C601C" w14:textId="77777777" w:rsidTr="001B4B8F">
        <w:trPr>
          <w:jc w:val="center"/>
        </w:trPr>
        <w:tc>
          <w:tcPr>
            <w:tcW w:w="496" w:type="dxa"/>
            <w:tcBorders>
              <w:top w:val="single" w:sz="6" w:space="0" w:color="auto"/>
              <w:left w:val="single" w:sz="6" w:space="0" w:color="auto"/>
              <w:bottom w:val="single" w:sz="6" w:space="0" w:color="auto"/>
              <w:right w:val="single" w:sz="6" w:space="0" w:color="auto"/>
            </w:tcBorders>
            <w:noWrap/>
            <w:hideMark/>
          </w:tcPr>
          <w:p w14:paraId="2DE37775"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8</w:t>
            </w:r>
          </w:p>
        </w:tc>
        <w:tc>
          <w:tcPr>
            <w:tcW w:w="3260" w:type="dxa"/>
            <w:tcBorders>
              <w:top w:val="single" w:sz="6" w:space="0" w:color="auto"/>
              <w:left w:val="single" w:sz="6" w:space="0" w:color="auto"/>
              <w:bottom w:val="single" w:sz="6" w:space="0" w:color="auto"/>
              <w:right w:val="single" w:sz="6" w:space="0" w:color="auto"/>
            </w:tcBorders>
            <w:noWrap/>
            <w:hideMark/>
          </w:tcPr>
          <w:p w14:paraId="0A6A922F"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Wykonanie robót wykończeniowych</w:t>
            </w:r>
          </w:p>
        </w:tc>
        <w:tc>
          <w:tcPr>
            <w:tcW w:w="1417" w:type="dxa"/>
            <w:tcBorders>
              <w:top w:val="single" w:sz="6" w:space="0" w:color="auto"/>
              <w:left w:val="single" w:sz="6" w:space="0" w:color="auto"/>
              <w:bottom w:val="single" w:sz="6" w:space="0" w:color="auto"/>
              <w:right w:val="single" w:sz="6" w:space="0" w:color="auto"/>
            </w:tcBorders>
            <w:noWrap/>
            <w:hideMark/>
          </w:tcPr>
          <w:p w14:paraId="3576BDE9"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268" w:type="dxa"/>
            <w:tcBorders>
              <w:top w:val="single" w:sz="6" w:space="0" w:color="auto"/>
              <w:left w:val="single" w:sz="6" w:space="0" w:color="auto"/>
              <w:bottom w:val="single" w:sz="6" w:space="0" w:color="auto"/>
              <w:right w:val="single" w:sz="6" w:space="0" w:color="auto"/>
            </w:tcBorders>
            <w:noWrap/>
            <w:hideMark/>
          </w:tcPr>
          <w:p w14:paraId="27606D43"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5.7</w:t>
            </w:r>
          </w:p>
        </w:tc>
      </w:tr>
    </w:tbl>
    <w:p w14:paraId="420FD190" w14:textId="77777777" w:rsidR="00955A27" w:rsidRPr="001667DB" w:rsidRDefault="00955A27" w:rsidP="00955A27">
      <w:pPr>
        <w:spacing w:after="120" w:line="360" w:lineRule="auto"/>
        <w:rPr>
          <w:rFonts w:ascii="Times New Roman" w:hAnsi="Times New Roman" w:cs="Times New Roman"/>
          <w:color w:val="000000" w:themeColor="text1"/>
        </w:rPr>
      </w:pPr>
    </w:p>
    <w:p w14:paraId="73E74E69"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31" w:name="_Toc421594985"/>
      <w:bookmarkStart w:id="632" w:name="_Toc507909785"/>
      <w:bookmarkStart w:id="633" w:name="_Toc507909892"/>
      <w:bookmarkStart w:id="634" w:name="_Toc138042851"/>
      <w:bookmarkStart w:id="635" w:name="_Toc250368197"/>
      <w:r w:rsidRPr="001667DB">
        <w:rPr>
          <w:color w:val="000000" w:themeColor="text1"/>
          <w:sz w:val="22"/>
          <w:szCs w:val="22"/>
        </w:rPr>
        <w:t>obmiar robót</w:t>
      </w:r>
      <w:bookmarkEnd w:id="631"/>
      <w:bookmarkEnd w:id="632"/>
      <w:bookmarkEnd w:id="633"/>
      <w:bookmarkEnd w:id="634"/>
      <w:bookmarkEnd w:id="635"/>
    </w:p>
    <w:p w14:paraId="0BB80ED4"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zasady obmiaru robót</w:t>
      </w:r>
    </w:p>
    <w:p w14:paraId="2F1D981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 pkt 7.</w:t>
      </w:r>
    </w:p>
    <w:p w14:paraId="1D6038E5"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Jednostka obmiarowa</w:t>
      </w:r>
    </w:p>
    <w:p w14:paraId="0F7365D0"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ułożonego geosiatki.</w:t>
      </w:r>
    </w:p>
    <w:p w14:paraId="59158E04"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Jednostki obmiarowe robót towarzyszących (np. ułożenia warstw nowej nawierzchni) są ustalone w odpowiednich ST.</w:t>
      </w:r>
    </w:p>
    <w:p w14:paraId="2AF604CC" w14:textId="77777777" w:rsidR="00955A27" w:rsidRPr="001667DB" w:rsidRDefault="00955A27" w:rsidP="00955A27">
      <w:pPr>
        <w:spacing w:after="120" w:line="360" w:lineRule="auto"/>
        <w:rPr>
          <w:rFonts w:ascii="Times New Roman" w:hAnsi="Times New Roman" w:cs="Times New Roman"/>
          <w:color w:val="000000" w:themeColor="text1"/>
        </w:rPr>
      </w:pPr>
    </w:p>
    <w:p w14:paraId="3B22DBAE"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36" w:name="_Toc421594986"/>
      <w:bookmarkStart w:id="637" w:name="_Toc507909786"/>
      <w:bookmarkStart w:id="638" w:name="_Toc507909893"/>
      <w:bookmarkStart w:id="639" w:name="_Toc138042852"/>
      <w:bookmarkStart w:id="640" w:name="_Toc250368198"/>
      <w:r w:rsidRPr="001667DB">
        <w:rPr>
          <w:color w:val="000000" w:themeColor="text1"/>
          <w:sz w:val="22"/>
          <w:szCs w:val="22"/>
        </w:rPr>
        <w:t>odbiór robót</w:t>
      </w:r>
      <w:bookmarkEnd w:id="636"/>
      <w:bookmarkEnd w:id="637"/>
      <w:bookmarkEnd w:id="638"/>
      <w:bookmarkEnd w:id="639"/>
      <w:bookmarkEnd w:id="640"/>
    </w:p>
    <w:p w14:paraId="43526652"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zasady odbioru robót</w:t>
      </w:r>
    </w:p>
    <w:p w14:paraId="4B2C35E6" w14:textId="77777777" w:rsidR="00955A27" w:rsidRPr="001667DB" w:rsidRDefault="00955A27" w:rsidP="00955A27">
      <w:pPr>
        <w:pStyle w:val="Nagwek2"/>
        <w:spacing w:line="360" w:lineRule="auto"/>
        <w:ind w:left="851"/>
        <w:rPr>
          <w:color w:val="000000" w:themeColor="text1"/>
          <w:sz w:val="22"/>
          <w:szCs w:val="22"/>
        </w:rPr>
      </w:pPr>
      <w:r w:rsidRPr="001667DB">
        <w:rPr>
          <w:color w:val="000000" w:themeColor="text1"/>
          <w:sz w:val="22"/>
          <w:szCs w:val="22"/>
        </w:rPr>
        <w:tab/>
        <w:t>Ogólne zasady odbioru robót podano w ST D-00.00.00 „Wymagania ogólne” [1] pkt 8.</w:t>
      </w:r>
    </w:p>
    <w:p w14:paraId="7A1C97C9"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według pktu 6 dały wyniki pozytywne.</w:t>
      </w:r>
      <w:bookmarkStart w:id="641" w:name="_Toc421594987"/>
    </w:p>
    <w:p w14:paraId="35F7F50E"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Odbiór robót zanikających i ulegających zakryciu</w:t>
      </w:r>
    </w:p>
    <w:p w14:paraId="0480D775"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Odbiorowi robót zanikających i ulegających zakryciu podlegają:</w:t>
      </w:r>
    </w:p>
    <w:p w14:paraId="5DD64DE9" w14:textId="77777777" w:rsidR="00955A27" w:rsidRPr="001667DB" w:rsidRDefault="00955A27" w:rsidP="00904E6C">
      <w:pPr>
        <w:numPr>
          <w:ilvl w:val="0"/>
          <w:numId w:val="220"/>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oczyszczenie nawierzchni,</w:t>
      </w:r>
    </w:p>
    <w:p w14:paraId="0177DC82" w14:textId="77777777" w:rsidR="00955A27" w:rsidRPr="001667DB" w:rsidRDefault="00955A27" w:rsidP="00904E6C">
      <w:pPr>
        <w:numPr>
          <w:ilvl w:val="0"/>
          <w:numId w:val="220"/>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skropienie nawierzchni emulsją asfaltową,</w:t>
      </w:r>
    </w:p>
    <w:p w14:paraId="6E531A2D" w14:textId="77777777" w:rsidR="00955A27" w:rsidRPr="001667DB" w:rsidRDefault="00955A27" w:rsidP="00904E6C">
      <w:pPr>
        <w:numPr>
          <w:ilvl w:val="0"/>
          <w:numId w:val="220"/>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geosiatki.</w:t>
      </w:r>
    </w:p>
    <w:p w14:paraId="05201DF9"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Odbiór tych robót powinien być zgodny z wymaganiami pktu 8.2 ST D-00.00.00 „Wymagania ogólne” [1] oraz niniejszej ST.</w:t>
      </w:r>
    </w:p>
    <w:p w14:paraId="3C2A8E95" w14:textId="77777777" w:rsidR="00955A27" w:rsidRPr="001667DB" w:rsidRDefault="00955A27" w:rsidP="00955A27">
      <w:pPr>
        <w:spacing w:after="120" w:line="360" w:lineRule="auto"/>
        <w:ind w:firstLine="709"/>
        <w:rPr>
          <w:rFonts w:ascii="Times New Roman" w:hAnsi="Times New Roman" w:cs="Times New Roman"/>
          <w:color w:val="000000" w:themeColor="text1"/>
        </w:rPr>
      </w:pPr>
    </w:p>
    <w:p w14:paraId="47ACBBA7"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42" w:name="_Toc507909787"/>
      <w:bookmarkStart w:id="643" w:name="_Toc507909894"/>
      <w:bookmarkStart w:id="644" w:name="_Toc138042853"/>
      <w:bookmarkStart w:id="645" w:name="_Toc250368199"/>
      <w:r w:rsidRPr="001667DB">
        <w:rPr>
          <w:color w:val="000000" w:themeColor="text1"/>
          <w:sz w:val="22"/>
          <w:szCs w:val="22"/>
        </w:rPr>
        <w:t>podstawa płatności</w:t>
      </w:r>
      <w:bookmarkEnd w:id="641"/>
      <w:bookmarkEnd w:id="642"/>
      <w:bookmarkEnd w:id="643"/>
      <w:bookmarkEnd w:id="644"/>
      <w:bookmarkEnd w:id="645"/>
    </w:p>
    <w:p w14:paraId="48A7C11F"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Ogólne ustalenia dotyczące podstawy płatności</w:t>
      </w:r>
    </w:p>
    <w:p w14:paraId="66A898BA" w14:textId="77777777" w:rsidR="00955A27" w:rsidRPr="001667DB" w:rsidRDefault="00955A27" w:rsidP="00955A27">
      <w:pPr>
        <w:tabs>
          <w:tab w:val="left" w:pos="708"/>
        </w:tabs>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Ogólne ustalenia dotyczące podstawy płatności podano w ST D-00.00.00 „Wymagania ogólne” [1] pkt 9.</w:t>
      </w:r>
    </w:p>
    <w:p w14:paraId="6CF808EF"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lastRenderedPageBreak/>
        <w:t>Cena jednostki obmiarowej</w:t>
      </w:r>
    </w:p>
    <w:p w14:paraId="027BB236"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Cena wykonania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ułożenia geosiatki obejmuje:</w:t>
      </w:r>
    </w:p>
    <w:p w14:paraId="5E707EFB"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1CC45A53"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33C9E54A"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636E1821"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 do ułożenia geosiatki,</w:t>
      </w:r>
    </w:p>
    <w:p w14:paraId="11A09870"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rozebranie istniejącej nawierzchni,</w:t>
      </w:r>
    </w:p>
    <w:p w14:paraId="5904AA1F"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skropienie podłoża emulsją asfaltową,</w:t>
      </w:r>
    </w:p>
    <w:p w14:paraId="22FF5243"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geosiatki,</w:t>
      </w:r>
    </w:p>
    <w:p w14:paraId="38039681"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wszystkich robót według wymagań dokumentacji projektowej, ST i specyfikacji technicznej,</w:t>
      </w:r>
    </w:p>
    <w:p w14:paraId="7CB1953F"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oczyszczenie miejsca robót i uporządkowanie terenu przyległego,</w:t>
      </w:r>
    </w:p>
    <w:p w14:paraId="43B78F8B"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specyfikacji technicznej,</w:t>
      </w:r>
    </w:p>
    <w:p w14:paraId="740A927F" w14:textId="77777777" w:rsidR="00955A27" w:rsidRPr="001667DB" w:rsidRDefault="00955A27" w:rsidP="00904E6C">
      <w:pPr>
        <w:numPr>
          <w:ilvl w:val="0"/>
          <w:numId w:val="221"/>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odwiezienie sprzętu.</w:t>
      </w:r>
    </w:p>
    <w:p w14:paraId="54A30B85" w14:textId="77777777" w:rsidR="00955A27" w:rsidRPr="001667DB" w:rsidRDefault="00955A27" w:rsidP="00955A27">
      <w:pPr>
        <w:spacing w:after="120" w:line="360" w:lineRule="auto"/>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Cena wykonania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ułożenia geosiatki nie obejmuje robót innych, np. wykonania warstw nowej nawierzchni, które powinny być ujęte w innych pozycjach kosztorysowych.</w:t>
      </w:r>
    </w:p>
    <w:p w14:paraId="0DFDD10D" w14:textId="77777777" w:rsidR="00955A27" w:rsidRPr="001667DB" w:rsidRDefault="00955A27" w:rsidP="00904E6C">
      <w:pPr>
        <w:pStyle w:val="Nagwek2"/>
        <w:numPr>
          <w:ilvl w:val="1"/>
          <w:numId w:val="224"/>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r w:rsidRPr="001667DB">
        <w:rPr>
          <w:color w:val="000000" w:themeColor="text1"/>
          <w:sz w:val="22"/>
          <w:szCs w:val="22"/>
        </w:rPr>
        <w:t>Sposób rozliczenia robót tymczasowych i prac towarzyszących</w:t>
      </w:r>
    </w:p>
    <w:p w14:paraId="5D498A21" w14:textId="77777777" w:rsidR="00955A27" w:rsidRPr="001667DB" w:rsidRDefault="00955A27" w:rsidP="00955A27">
      <w:pPr>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69450CD8"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190ABA26" w14:textId="77777777" w:rsidR="00955A27" w:rsidRPr="001667DB" w:rsidRDefault="00955A27" w:rsidP="00F55914">
      <w:pPr>
        <w:numPr>
          <w:ilvl w:val="0"/>
          <w:numId w:val="23"/>
        </w:numPr>
        <w:overflowPunct w:val="0"/>
        <w:autoSpaceDE w:val="0"/>
        <w:autoSpaceDN w:val="0"/>
        <w:adjustRightInd w:val="0"/>
        <w:spacing w:after="12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4B940B10" w14:textId="77777777" w:rsidR="00955A27" w:rsidRPr="001667DB" w:rsidRDefault="00955A27" w:rsidP="00955A27">
      <w:pPr>
        <w:overflowPunct w:val="0"/>
        <w:autoSpaceDE w:val="0"/>
        <w:autoSpaceDN w:val="0"/>
        <w:adjustRightInd w:val="0"/>
        <w:spacing w:after="120" w:line="360" w:lineRule="auto"/>
        <w:ind w:left="283"/>
        <w:rPr>
          <w:rFonts w:ascii="Times New Roman" w:hAnsi="Times New Roman" w:cs="Times New Roman"/>
          <w:color w:val="000000" w:themeColor="text1"/>
        </w:rPr>
      </w:pPr>
    </w:p>
    <w:p w14:paraId="097934B1" w14:textId="77777777" w:rsidR="00955A27" w:rsidRPr="001667DB" w:rsidRDefault="00955A27" w:rsidP="00904E6C">
      <w:pPr>
        <w:pStyle w:val="Nagwek1"/>
        <w:numPr>
          <w:ilvl w:val="0"/>
          <w:numId w:val="224"/>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rPr>
          <w:color w:val="000000" w:themeColor="text1"/>
          <w:sz w:val="22"/>
          <w:szCs w:val="22"/>
        </w:rPr>
      </w:pPr>
      <w:bookmarkStart w:id="646" w:name="_Toc24955917"/>
      <w:bookmarkStart w:id="647" w:name="_Toc25041751"/>
      <w:bookmarkStart w:id="648" w:name="_Toc79371980"/>
      <w:bookmarkStart w:id="649" w:name="_Toc84648750"/>
      <w:bookmarkStart w:id="650" w:name="_Toc84822934"/>
      <w:bookmarkStart w:id="651" w:name="_Toc85259367"/>
      <w:bookmarkStart w:id="652" w:name="_Toc90274382"/>
      <w:bookmarkStart w:id="653" w:name="_Toc92608251"/>
      <w:bookmarkStart w:id="654" w:name="_Toc113935596"/>
      <w:bookmarkStart w:id="655" w:name="_Toc115670890"/>
      <w:bookmarkStart w:id="656" w:name="_Toc120590630"/>
      <w:bookmarkStart w:id="657" w:name="_Toc138042854"/>
      <w:bookmarkStart w:id="658" w:name="_Toc250368200"/>
      <w:r w:rsidRPr="001667DB">
        <w:rPr>
          <w:color w:val="000000" w:themeColor="text1"/>
          <w:sz w:val="22"/>
          <w:szCs w:val="22"/>
        </w:rPr>
        <w:t>przepisy związane</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09E70F8B" w14:textId="77777777" w:rsidR="00955A27" w:rsidRPr="001667DB" w:rsidRDefault="00955A27" w:rsidP="00AC1121">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851"/>
        <w:rPr>
          <w:color w:val="000000" w:themeColor="text1"/>
          <w:sz w:val="22"/>
          <w:szCs w:val="22"/>
        </w:rPr>
      </w:pPr>
      <w:r w:rsidRPr="001667DB">
        <w:rPr>
          <w:color w:val="000000" w:themeColor="text1"/>
          <w:sz w:val="22"/>
          <w:szCs w:val="22"/>
        </w:rPr>
        <w:t>Ogólne specyfikacje techniczne (ST)</w:t>
      </w:r>
    </w:p>
    <w:tbl>
      <w:tblPr>
        <w:tblW w:w="0" w:type="auto"/>
        <w:tblCellMar>
          <w:left w:w="70" w:type="dxa"/>
          <w:right w:w="70" w:type="dxa"/>
        </w:tblCellMar>
        <w:tblLook w:val="04A0" w:firstRow="1" w:lastRow="0" w:firstColumn="1" w:lastColumn="0" w:noHBand="0" w:noVBand="1"/>
      </w:tblPr>
      <w:tblGrid>
        <w:gridCol w:w="561"/>
        <w:gridCol w:w="1547"/>
        <w:gridCol w:w="6963"/>
      </w:tblGrid>
      <w:tr w:rsidR="00955A27" w:rsidRPr="001667DB" w14:paraId="0BFEE571" w14:textId="77777777" w:rsidTr="001B4B8F">
        <w:tc>
          <w:tcPr>
            <w:tcW w:w="567" w:type="dxa"/>
            <w:hideMark/>
          </w:tcPr>
          <w:p w14:paraId="004C058A"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560" w:type="dxa"/>
            <w:hideMark/>
          </w:tcPr>
          <w:p w14:paraId="7F7D41E4"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D-00.00.00</w:t>
            </w:r>
          </w:p>
        </w:tc>
        <w:tc>
          <w:tcPr>
            <w:tcW w:w="7085" w:type="dxa"/>
            <w:hideMark/>
          </w:tcPr>
          <w:p w14:paraId="0355C1F7"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bl>
    <w:p w14:paraId="4CB4E92E" w14:textId="77777777" w:rsidR="00955A27" w:rsidRPr="001667DB" w:rsidRDefault="00955A27" w:rsidP="00AC1121">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851"/>
        <w:rPr>
          <w:color w:val="000000" w:themeColor="text1"/>
          <w:sz w:val="22"/>
          <w:szCs w:val="22"/>
        </w:rPr>
      </w:pPr>
      <w:r w:rsidRPr="001667DB">
        <w:rPr>
          <w:color w:val="000000" w:themeColor="text1"/>
          <w:sz w:val="22"/>
          <w:szCs w:val="22"/>
        </w:rPr>
        <w:t>Normy</w:t>
      </w:r>
    </w:p>
    <w:tbl>
      <w:tblPr>
        <w:tblW w:w="0" w:type="auto"/>
        <w:tblLook w:val="01E0" w:firstRow="1" w:lastRow="1" w:firstColumn="1" w:lastColumn="1" w:noHBand="0" w:noVBand="0"/>
      </w:tblPr>
      <w:tblGrid>
        <w:gridCol w:w="530"/>
        <w:gridCol w:w="1576"/>
        <w:gridCol w:w="6965"/>
      </w:tblGrid>
      <w:tr w:rsidR="00955A27" w:rsidRPr="001667DB" w14:paraId="5903728E" w14:textId="77777777" w:rsidTr="001B4B8F">
        <w:tc>
          <w:tcPr>
            <w:tcW w:w="534" w:type="dxa"/>
            <w:hideMark/>
          </w:tcPr>
          <w:p w14:paraId="53626E57"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593" w:type="dxa"/>
            <w:hideMark/>
          </w:tcPr>
          <w:p w14:paraId="022FD747"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1428</w:t>
            </w:r>
          </w:p>
        </w:tc>
        <w:tc>
          <w:tcPr>
            <w:tcW w:w="7087" w:type="dxa"/>
            <w:hideMark/>
          </w:tcPr>
          <w:p w14:paraId="00625FD7"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zawartości wody w emulsjach asfaltowych – Metoda destylacji azeotropowej</w:t>
            </w:r>
          </w:p>
        </w:tc>
      </w:tr>
      <w:tr w:rsidR="00955A27" w:rsidRPr="001667DB" w14:paraId="100CC3DC" w14:textId="77777777" w:rsidTr="001B4B8F">
        <w:tc>
          <w:tcPr>
            <w:tcW w:w="534" w:type="dxa"/>
            <w:hideMark/>
          </w:tcPr>
          <w:p w14:paraId="744E8BF1"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w:t>
            </w:r>
          </w:p>
        </w:tc>
        <w:tc>
          <w:tcPr>
            <w:tcW w:w="1593" w:type="dxa"/>
            <w:hideMark/>
          </w:tcPr>
          <w:p w14:paraId="045B8EBF"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1429</w:t>
            </w:r>
          </w:p>
        </w:tc>
        <w:tc>
          <w:tcPr>
            <w:tcW w:w="7087" w:type="dxa"/>
            <w:hideMark/>
          </w:tcPr>
          <w:p w14:paraId="477FE1F8"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pozostałości na sicie emulsji asfaltowych oraz trwałości podczas magazynowania metodą pozostałości na sicie</w:t>
            </w:r>
          </w:p>
        </w:tc>
      </w:tr>
      <w:tr w:rsidR="00955A27" w:rsidRPr="001667DB" w14:paraId="5C3ECA35" w14:textId="77777777" w:rsidTr="001B4B8F">
        <w:tc>
          <w:tcPr>
            <w:tcW w:w="534" w:type="dxa"/>
            <w:hideMark/>
          </w:tcPr>
          <w:p w14:paraId="54C27D74"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593" w:type="dxa"/>
            <w:hideMark/>
          </w:tcPr>
          <w:p w14:paraId="44539D43"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12846</w:t>
            </w:r>
          </w:p>
        </w:tc>
        <w:tc>
          <w:tcPr>
            <w:tcW w:w="7087" w:type="dxa"/>
            <w:hideMark/>
          </w:tcPr>
          <w:p w14:paraId="56C4F02D"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czasu wypływu emulsji asfaltowych lepkościomierzem wypływowym</w:t>
            </w:r>
          </w:p>
        </w:tc>
      </w:tr>
      <w:tr w:rsidR="00955A27" w:rsidRPr="001667DB" w14:paraId="0317C4DA" w14:textId="77777777" w:rsidTr="001B4B8F">
        <w:tc>
          <w:tcPr>
            <w:tcW w:w="534" w:type="dxa"/>
            <w:hideMark/>
          </w:tcPr>
          <w:p w14:paraId="6FE0479D"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593" w:type="dxa"/>
            <w:hideMark/>
          </w:tcPr>
          <w:p w14:paraId="0A28559D"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12847</w:t>
            </w:r>
          </w:p>
        </w:tc>
        <w:tc>
          <w:tcPr>
            <w:tcW w:w="7087" w:type="dxa"/>
            <w:hideMark/>
          </w:tcPr>
          <w:p w14:paraId="48691A03"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Oznaczanie sedymentacji emulsji asfaltowych</w:t>
            </w:r>
          </w:p>
        </w:tc>
      </w:tr>
      <w:tr w:rsidR="00955A27" w:rsidRPr="001667DB" w14:paraId="7457E132" w14:textId="77777777" w:rsidTr="001B4B8F">
        <w:tc>
          <w:tcPr>
            <w:tcW w:w="534" w:type="dxa"/>
            <w:hideMark/>
          </w:tcPr>
          <w:p w14:paraId="41E797EB" w14:textId="77777777" w:rsidR="00955A27" w:rsidRPr="001667DB" w:rsidRDefault="00955A27" w:rsidP="00955A27">
            <w:pPr>
              <w:overflowPunct w:val="0"/>
              <w:autoSpaceDE w:val="0"/>
              <w:autoSpaceDN w:val="0"/>
              <w:adjustRightInd w:val="0"/>
              <w:spacing w:after="120" w:line="36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593" w:type="dxa"/>
            <w:hideMark/>
          </w:tcPr>
          <w:p w14:paraId="6CBBD91A"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PN-EN 13075-1</w:t>
            </w:r>
          </w:p>
        </w:tc>
        <w:tc>
          <w:tcPr>
            <w:tcW w:w="7087" w:type="dxa"/>
            <w:hideMark/>
          </w:tcPr>
          <w:p w14:paraId="7D84BD44"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Asfalty i lepiszcza asfaltowe – Badanie rozpadu – Część 1: Oznaczanie indeksu rozpadu kationowych emulsji asfaltowych, metodą z wypełniaczem mineralnym</w:t>
            </w:r>
          </w:p>
          <w:p w14:paraId="685DDF99" w14:textId="77777777" w:rsidR="00955A27" w:rsidRPr="001667DB" w:rsidRDefault="00955A27" w:rsidP="00955A27">
            <w:pPr>
              <w:overflowPunct w:val="0"/>
              <w:autoSpaceDE w:val="0"/>
              <w:autoSpaceDN w:val="0"/>
              <w:adjustRightInd w:val="0"/>
              <w:spacing w:after="120" w:line="360" w:lineRule="auto"/>
              <w:rPr>
                <w:rFonts w:ascii="Times New Roman" w:hAnsi="Times New Roman" w:cs="Times New Roman"/>
                <w:color w:val="000000" w:themeColor="text1"/>
              </w:rPr>
            </w:pPr>
          </w:p>
        </w:tc>
      </w:tr>
    </w:tbl>
    <w:p w14:paraId="6A673B97" w14:textId="77777777" w:rsidR="00955A27" w:rsidRPr="001667DB" w:rsidRDefault="00955A27" w:rsidP="00AC1121">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851"/>
        <w:rPr>
          <w:color w:val="000000" w:themeColor="text1"/>
          <w:sz w:val="22"/>
          <w:szCs w:val="22"/>
        </w:rPr>
      </w:pPr>
      <w:r w:rsidRPr="001667DB">
        <w:rPr>
          <w:color w:val="000000" w:themeColor="text1"/>
          <w:sz w:val="22"/>
          <w:szCs w:val="22"/>
        </w:rPr>
        <w:t>Wymagania techniczne (rekomendowane przez Ministra Infrastruktury)</w:t>
      </w:r>
    </w:p>
    <w:p w14:paraId="1565F696" w14:textId="77777777" w:rsidR="00955A27" w:rsidRPr="001667DB" w:rsidRDefault="00955A27" w:rsidP="00904E6C">
      <w:pPr>
        <w:numPr>
          <w:ilvl w:val="0"/>
          <w:numId w:val="222"/>
        </w:numPr>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WT-3 Emulsje asfaltowe 2009. Kationowe emulsje asfaltowe na drogach publicznych</w:t>
      </w:r>
    </w:p>
    <w:p w14:paraId="03B18D19" w14:textId="77777777" w:rsidR="00955A27" w:rsidRPr="001667DB" w:rsidRDefault="00955A27" w:rsidP="00955A27">
      <w:pPr>
        <w:overflowPunct w:val="0"/>
        <w:autoSpaceDE w:val="0"/>
        <w:autoSpaceDN w:val="0"/>
        <w:adjustRightInd w:val="0"/>
        <w:spacing w:after="120" w:line="360" w:lineRule="auto"/>
        <w:ind w:left="567"/>
        <w:rPr>
          <w:rFonts w:ascii="Times New Roman" w:hAnsi="Times New Roman" w:cs="Times New Roman"/>
          <w:color w:val="000000" w:themeColor="text1"/>
        </w:rPr>
      </w:pPr>
    </w:p>
    <w:p w14:paraId="4D7E98D3" w14:textId="77777777" w:rsidR="00955A27" w:rsidRPr="001667DB" w:rsidRDefault="00955A27" w:rsidP="00AC1121">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line="360" w:lineRule="auto"/>
        <w:ind w:left="851"/>
        <w:rPr>
          <w:color w:val="000000" w:themeColor="text1"/>
          <w:sz w:val="22"/>
          <w:szCs w:val="22"/>
        </w:rPr>
      </w:pPr>
      <w:r w:rsidRPr="001667DB">
        <w:rPr>
          <w:color w:val="000000" w:themeColor="text1"/>
          <w:sz w:val="22"/>
          <w:szCs w:val="22"/>
        </w:rPr>
        <w:t>Inne dokumenty</w:t>
      </w:r>
    </w:p>
    <w:p w14:paraId="0CB9BEF5" w14:textId="77777777" w:rsidR="00955A27" w:rsidRPr="001667DB" w:rsidRDefault="00955A27" w:rsidP="00904E6C">
      <w:pPr>
        <w:numPr>
          <w:ilvl w:val="0"/>
          <w:numId w:val="222"/>
        </w:numPr>
        <w:tabs>
          <w:tab w:val="num" w:pos="-142"/>
        </w:tabs>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Katalog wzmocnień i remontów nawierzchni podatnych i półsztywnych, IBDiM, Warszawa 2001</w:t>
      </w:r>
    </w:p>
    <w:p w14:paraId="4CDF6A7C" w14:textId="77777777" w:rsidR="00955A27" w:rsidRPr="001667DB" w:rsidRDefault="00955A27" w:rsidP="00904E6C">
      <w:pPr>
        <w:numPr>
          <w:ilvl w:val="0"/>
          <w:numId w:val="222"/>
        </w:numPr>
        <w:tabs>
          <w:tab w:val="num" w:pos="-142"/>
        </w:tabs>
        <w:overflowPunct w:val="0"/>
        <w:autoSpaceDE w:val="0"/>
        <w:autoSpaceDN w:val="0"/>
        <w:adjustRightInd w:val="0"/>
        <w:spacing w:after="120" w:line="360"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Zalecenia stosowania geowyrobów w warstwach asfaltowych nawierzchni drogowych. Informacje – instrukcje, zeszyt 66. IBDiM, Warszawa 2004</w:t>
      </w:r>
    </w:p>
    <w:p w14:paraId="3204FAB4" w14:textId="77777777" w:rsidR="008D0D37" w:rsidRPr="001667DB" w:rsidRDefault="008D0D37">
      <w:pPr>
        <w:rPr>
          <w:rFonts w:ascii="Times New Roman" w:hAnsi="Times New Roman" w:cs="Times New Roman"/>
          <w:b/>
          <w:color w:val="000000" w:themeColor="text1"/>
        </w:rPr>
      </w:pPr>
      <w:r w:rsidRPr="001667DB">
        <w:rPr>
          <w:rFonts w:ascii="Times New Roman" w:hAnsi="Times New Roman" w:cs="Times New Roman"/>
          <w:b/>
          <w:color w:val="000000" w:themeColor="text1"/>
        </w:rPr>
        <w:br w:type="page"/>
      </w:r>
    </w:p>
    <w:p w14:paraId="04129533"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D - 06.01.01</w:t>
      </w:r>
      <w:r w:rsidRPr="001667DB">
        <w:rPr>
          <w:rFonts w:ascii="Times New Roman" w:hAnsi="Times New Roman" w:cs="Times New Roman"/>
          <w:b/>
          <w:color w:val="000000" w:themeColor="text1"/>
        </w:rPr>
        <w:tab/>
        <w:t>UMOCNIENIE  POWIERZCHNIOWE  SKARP,  ROWÓW  I  ŚCIEKÓW</w:t>
      </w:r>
    </w:p>
    <w:p w14:paraId="57F275C8"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1. WSTĘP</w:t>
      </w:r>
    </w:p>
    <w:p w14:paraId="0B9D529A"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1.1. Przedmiot ST</w:t>
      </w:r>
    </w:p>
    <w:p w14:paraId="2D76825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Przedmiotem niniejszej specyfikacji technicznej (ST) są wymagania dotyczące wykonania i odbioru robót związanych z przeciwerozyjnym umocnieniem powierzchniowym skarp, rowów i ścieków w ramach realizacji zadania: </w:t>
      </w:r>
      <w:r w:rsidR="00301574" w:rsidRPr="00FD3B41">
        <w:rPr>
          <w:rFonts w:ascii="Times New Roman" w:hAnsi="Times New Roman" w:cs="Times New Roman"/>
          <w:b/>
          <w:color w:val="000000" w:themeColor="text1"/>
        </w:rPr>
        <w:t>„Rozbudowa drogi wojewódzkiej nr 461 w m. Dąbrówka Łubniańska i Łubniany” – Etap I ( km od 9+741,88 do 10+371,13)</w:t>
      </w:r>
    </w:p>
    <w:p w14:paraId="3673E7E7" w14:textId="77777777" w:rsidR="00CC4443" w:rsidRPr="001667DB" w:rsidRDefault="00CC4443" w:rsidP="00AA7AC8">
      <w:pPr>
        <w:pStyle w:val="Nagwek2"/>
        <w:spacing w:before="0" w:after="0" w:line="360" w:lineRule="auto"/>
        <w:jc w:val="both"/>
        <w:rPr>
          <w:color w:val="000000" w:themeColor="text1"/>
          <w:sz w:val="22"/>
          <w:szCs w:val="22"/>
          <w:u w:val="none"/>
        </w:rPr>
      </w:pPr>
    </w:p>
    <w:p w14:paraId="179452A6"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1.2. Zakres stosowania ST</w:t>
      </w:r>
    </w:p>
    <w:p w14:paraId="303379F4"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Specyfikacje Techniczne stanowią część Dokumentów Przetargowych i Kontraktowych i należy je stosować w zlecaniu i wykonaniu robót opisanych w podpunkcie 1.1.</w:t>
      </w:r>
    </w:p>
    <w:p w14:paraId="41DA62B4"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1.3. Zakres robót objętych ST</w:t>
      </w:r>
    </w:p>
    <w:p w14:paraId="72095DCB"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trwałym powierzchniowym umocnieniem skarp, rowów i ścieków.</w:t>
      </w:r>
    </w:p>
    <w:p w14:paraId="6C601CB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robót obejmuje:</w:t>
      </w:r>
    </w:p>
    <w:p w14:paraId="3E3BA9B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ułożenie ścieku drogowego </w:t>
      </w:r>
      <w:r w:rsidRPr="001667DB">
        <w:rPr>
          <w:rFonts w:ascii="Times New Roman" w:hAnsi="Times New Roman" w:cs="Times New Roman"/>
          <w:b/>
          <w:color w:val="000000" w:themeColor="text1"/>
        </w:rPr>
        <w:t>60x50x15 cm</w:t>
      </w:r>
      <w:r w:rsidRPr="001667DB">
        <w:rPr>
          <w:rFonts w:ascii="Times New Roman" w:hAnsi="Times New Roman" w:cs="Times New Roman"/>
          <w:color w:val="000000" w:themeColor="text1"/>
        </w:rPr>
        <w:t>,</w:t>
      </w:r>
    </w:p>
    <w:p w14:paraId="11EAEC10"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 ułożenie kostki kamiennej na skarpach przepustu </w:t>
      </w:r>
    </w:p>
    <w:p w14:paraId="7C6ECAB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ułożenie płyt ażurowych na skarpach o wymiarach </w:t>
      </w:r>
      <w:r w:rsidRPr="001667DB">
        <w:rPr>
          <w:rFonts w:ascii="Times New Roman" w:hAnsi="Times New Roman" w:cs="Times New Roman"/>
          <w:b/>
          <w:color w:val="000000" w:themeColor="text1"/>
        </w:rPr>
        <w:t>40x60x10 cm</w:t>
      </w:r>
      <w:r w:rsidRPr="001667DB">
        <w:rPr>
          <w:rFonts w:ascii="Times New Roman" w:hAnsi="Times New Roman" w:cs="Times New Roman"/>
          <w:color w:val="000000" w:themeColor="text1"/>
        </w:rPr>
        <w:t xml:space="preserve"> </w:t>
      </w:r>
    </w:p>
    <w:p w14:paraId="4163FBCA" w14:textId="77777777" w:rsidR="00CC4443" w:rsidRPr="001667DB" w:rsidRDefault="00301574" w:rsidP="00AA7AC8">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humusowanie, obsianie, darniowanie;</w:t>
      </w:r>
    </w:p>
    <w:p w14:paraId="33BF537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Dokumentacja Projektową.</w:t>
      </w:r>
    </w:p>
    <w:p w14:paraId="4DF1E953"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1.4. Określenia podstawowe</w:t>
      </w:r>
    </w:p>
    <w:p w14:paraId="549100F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 </w:t>
      </w:r>
      <w:r w:rsidRPr="001667DB">
        <w:rPr>
          <w:rFonts w:ascii="Times New Roman" w:hAnsi="Times New Roman" w:cs="Times New Roman"/>
          <w:color w:val="000000" w:themeColor="text1"/>
        </w:rPr>
        <w:t>Rów - otwarty wykop, który zbiera i odprowadza wodę.</w:t>
      </w:r>
    </w:p>
    <w:p w14:paraId="59DF38E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1.4.2. </w:t>
      </w:r>
      <w:r w:rsidRPr="001667DB">
        <w:rPr>
          <w:rFonts w:ascii="Times New Roman" w:hAnsi="Times New Roman" w:cs="Times New Roman"/>
          <w:color w:val="000000" w:themeColor="text1"/>
        </w:rPr>
        <w:t>Darnina - płat lub pasmo wierzchniej warstwy gleby, przerośniętej i związanej korzeniami roślinności trawiastej.</w:t>
      </w:r>
    </w:p>
    <w:p w14:paraId="6396FE10"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1.4.3. </w:t>
      </w:r>
      <w:r w:rsidRPr="001667DB">
        <w:rPr>
          <w:rFonts w:ascii="Times New Roman" w:hAnsi="Times New Roman" w:cs="Times New Roman"/>
          <w:color w:val="000000" w:themeColor="text1"/>
        </w:rPr>
        <w:t>Darniowanie - pokrycie darniną powierzchni korpusu drogowego w taki sposób, aby darnina w sposób trwały związała się z podłożem systemem korzeniowym. Darniowanie kożuchowe wykonuje się na płask, pasami poziomymi, układanymi w rzędach równoległych z przewiązaniem szczelin pomiędzy poszczególnymi płatami. Darniowanie w kratę (krzyżowe) wykonuje się w postaci pasów darniny układanych pod kątem 45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ograniczających powierzchnie skarpy o bokach np. 1,0 x 1,0 m, które wypełnia się ziemią roślinną i zasiewa trawą.</w:t>
      </w:r>
    </w:p>
    <w:p w14:paraId="329D873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1.4.4. </w:t>
      </w:r>
      <w:r w:rsidRPr="001667DB">
        <w:rPr>
          <w:rFonts w:ascii="Times New Roman" w:hAnsi="Times New Roman" w:cs="Times New Roman"/>
          <w:color w:val="000000" w:themeColor="text1"/>
        </w:rPr>
        <w:t>Ziemia urodzajna (humus) - ziemia roślinna zawierająca co najmniej 2% części organicznych.</w:t>
      </w:r>
    </w:p>
    <w:p w14:paraId="6059869F" w14:textId="77777777" w:rsidR="00CC4443" w:rsidRPr="001667DB" w:rsidRDefault="00CC4443" w:rsidP="00904E6C">
      <w:pPr>
        <w:numPr>
          <w:ilvl w:val="0"/>
          <w:numId w:val="228"/>
        </w:numPr>
        <w:tabs>
          <w:tab w:val="left" w:pos="-1725"/>
          <w:tab w:val="left" w:pos="-1440"/>
          <w:tab w:val="left" w:pos="-1005"/>
          <w:tab w:val="left" w:pos="-720"/>
          <w:tab w:val="left" w:pos="-285"/>
        </w:tabs>
        <w:suppressAutoHyphens/>
        <w:overflowPunct w:val="0"/>
        <w:autoSpaceDE w:val="0"/>
        <w:spacing w:after="0" w:line="360" w:lineRule="auto"/>
        <w:ind w:left="0" w:firstLine="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Humusowanie - zespół czynności przygotowujących powierzchnię gruntu do obudowy roślinnej, obejmujący dogęszczenie gruntu, rowkowanie, naniesienie ziemi urodzajnej z jej grabieniem (bronowaniem) i dogęszczeniem.</w:t>
      </w:r>
    </w:p>
    <w:p w14:paraId="658E77B2" w14:textId="77777777" w:rsidR="00CC4443" w:rsidRPr="001667DB" w:rsidRDefault="00CC4443" w:rsidP="00904E6C">
      <w:pPr>
        <w:numPr>
          <w:ilvl w:val="0"/>
          <w:numId w:val="228"/>
        </w:numPr>
        <w:tabs>
          <w:tab w:val="left" w:pos="-1725"/>
          <w:tab w:val="left" w:pos="-1440"/>
          <w:tab w:val="left" w:pos="-1005"/>
          <w:tab w:val="left" w:pos="-720"/>
          <w:tab w:val="left" w:pos="-285"/>
        </w:tabs>
        <w:suppressAutoHyphens/>
        <w:overflowPunct w:val="0"/>
        <w:autoSpaceDE w:val="0"/>
        <w:spacing w:after="0" w:line="360" w:lineRule="auto"/>
        <w:ind w:left="0" w:firstLine="0"/>
        <w:jc w:val="both"/>
        <w:rPr>
          <w:rFonts w:ascii="Times New Roman" w:hAnsi="Times New Roman" w:cs="Times New Roman"/>
          <w:color w:val="000000" w:themeColor="text1"/>
        </w:rPr>
      </w:pPr>
      <w:r w:rsidRPr="001667DB">
        <w:rPr>
          <w:rFonts w:ascii="Times New Roman" w:hAnsi="Times New Roman" w:cs="Times New Roman"/>
          <w:color w:val="000000" w:themeColor="text1"/>
        </w:rPr>
        <w:t>Moletowanie - proces umożliwiający dogęszczenie ziemi urodzajnej i wytworzenie bruzd, przeprowadzany np. za pomocą walca o odpowiednio ukształtowanej powierzchni.</w:t>
      </w:r>
    </w:p>
    <w:p w14:paraId="2592E41F" w14:textId="77777777" w:rsidR="00CC4443" w:rsidRPr="001667DB" w:rsidRDefault="00CC4443" w:rsidP="00904E6C">
      <w:pPr>
        <w:numPr>
          <w:ilvl w:val="0"/>
          <w:numId w:val="228"/>
        </w:numPr>
        <w:tabs>
          <w:tab w:val="left" w:pos="-1725"/>
          <w:tab w:val="left" w:pos="-1440"/>
          <w:tab w:val="left" w:pos="-1005"/>
          <w:tab w:val="left" w:pos="-720"/>
          <w:tab w:val="left" w:pos="-285"/>
        </w:tabs>
        <w:suppressAutoHyphens/>
        <w:overflowPunct w:val="0"/>
        <w:autoSpaceDE w:val="0"/>
        <w:spacing w:after="0" w:line="360" w:lineRule="auto"/>
        <w:ind w:left="0" w:firstLine="0"/>
        <w:jc w:val="both"/>
        <w:rPr>
          <w:rFonts w:ascii="Times New Roman" w:hAnsi="Times New Roman" w:cs="Times New Roman"/>
          <w:color w:val="000000" w:themeColor="text1"/>
        </w:rPr>
      </w:pPr>
      <w:r w:rsidRPr="001667DB">
        <w:rPr>
          <w:rFonts w:ascii="Times New Roman" w:hAnsi="Times New Roman" w:cs="Times New Roman"/>
          <w:color w:val="000000" w:themeColor="text1"/>
        </w:rPr>
        <w:t>Hydroobsiew - proces obejmujący nanoszenie hydromechaniczne mieszanek siewnych, środków użyźniających i emulsji przeciwerozyjnych w celu umocnienia biologicznego powierzchni gruntu.</w:t>
      </w:r>
    </w:p>
    <w:p w14:paraId="0F4647C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1.4.8. </w:t>
      </w:r>
      <w:r w:rsidRPr="001667DB">
        <w:rPr>
          <w:rFonts w:ascii="Times New Roman" w:hAnsi="Times New Roman" w:cs="Times New Roman"/>
          <w:color w:val="000000" w:themeColor="text1"/>
        </w:rPr>
        <w:t>Brukowiec - kamień narzutowy nieobrobiony (otoczak) lub obrobiony w kształcie nieregularnym i zaokrąglonych krawędziach.</w:t>
      </w:r>
    </w:p>
    <w:p w14:paraId="163CD1A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1.4.9. </w:t>
      </w:r>
      <w:r w:rsidRPr="001667DB">
        <w:rPr>
          <w:rFonts w:ascii="Times New Roman" w:hAnsi="Times New Roman" w:cs="Times New Roman"/>
          <w:color w:val="000000" w:themeColor="text1"/>
        </w:rPr>
        <w:t>Prefabrykat - element wykonany w zakładzie przemysłowym, który po zmontowaniu na budowie stanowi umocnienie rowu lub ścieku.</w:t>
      </w:r>
    </w:p>
    <w:p w14:paraId="364388C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1.4.10.</w:t>
      </w:r>
      <w:r w:rsidRPr="001667DB">
        <w:rPr>
          <w:rFonts w:ascii="Times New Roman" w:hAnsi="Times New Roman" w:cs="Times New Roman"/>
          <w:color w:val="000000" w:themeColor="text1"/>
        </w:rPr>
        <w:t xml:space="preserve"> Biowłóknina - mata z włókna bawełnianego lub bawełnopodobnego, wykonana techniką włókninową z równomiernie rozmieszczonymi w czasie produkcji nasionami traw i roślin motylkowatych, służąca do umacniania i zadarniania powierzchni.</w:t>
      </w:r>
    </w:p>
    <w:p w14:paraId="57E3DC7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1.4.11. </w:t>
      </w:r>
      <w:r w:rsidRPr="001667DB">
        <w:rPr>
          <w:rFonts w:ascii="Times New Roman" w:hAnsi="Times New Roman" w:cs="Times New Roman"/>
          <w:color w:val="000000" w:themeColor="text1"/>
        </w:rPr>
        <w:t>Geosyntetyki - geotekstylia (przepuszczalne, polimerowe materiały, wytworzone techniką tkacką, dziewiarską lub włókninową, w tym geotkaniny i geowłókniny) i pokrewne wyroby jak: georuszty (płaskie struktury w postaci regularnej otwartej siatki wewnętrznie połączonych elementów), geomembrany (folie z polimerów syntetycznych), geokompozyty (materiały złożone z różnych wyrobów geotekstylnych), geokontenery (gabiony z tworzywa sztucznego), geosieci (płaskie struktury w postaci siatki z otworami znacznie większymi niż elementy składowe, z oczkami połączonymi węzłami), geomaty z siatki (siatki ze strukturą przestrzenną), geosiatki komórkowe (z taśm tworzących przestrzenną strukturę zbliżoną do plastra miodu).</w:t>
      </w:r>
    </w:p>
    <w:p w14:paraId="5B8E9434"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1.4.12. </w:t>
      </w:r>
      <w:r w:rsidRPr="001667DB">
        <w:rPr>
          <w:rFonts w:ascii="Times New Roman" w:hAnsi="Times New Roman" w:cs="Times New Roman"/>
          <w:color w:val="000000" w:themeColor="text1"/>
        </w:rPr>
        <w:t>Mulczowanie - naniesienie na powierzchnię gruntu ściółki (np. sieczki, stróżyn, trocin, torfu) z lepiszczem w celu ochrony przed wysychaniem i erozją.</w:t>
      </w:r>
    </w:p>
    <w:p w14:paraId="07D88535"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1.4.13. </w:t>
      </w:r>
      <w:r w:rsidRPr="001667DB">
        <w:rPr>
          <w:rFonts w:ascii="Times New Roman" w:hAnsi="Times New Roman" w:cs="Times New Roman"/>
          <w:color w:val="000000" w:themeColor="text1"/>
        </w:rPr>
        <w:t>Hydromulczowanie - sposób hydromechanicznego nanoszenia mieszaniny (o podobnych parametrach jak używanych do hydroobsiewu), w składzie której nie ma nasion traw i roślin motylkowatych.</w:t>
      </w:r>
    </w:p>
    <w:p w14:paraId="187AEE7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1.4.14. </w:t>
      </w:r>
      <w:r w:rsidRPr="001667DB">
        <w:rPr>
          <w:rFonts w:ascii="Times New Roman" w:hAnsi="Times New Roman" w:cs="Times New Roman"/>
          <w:color w:val="000000" w:themeColor="text1"/>
        </w:rPr>
        <w:t>Tymczasowa warstwa przeciwerozyjna - warstwa na powierzchni skarp, wykonana z płynnych osadów ściekowych, emulsji bitumicznych lub lateksowych, biowłókniny i geosyntetyków, doraźnie zabezpieczająca przed erozją powierzchniową do czasu przejęcia tej funkcji przez okrywę roślinną.</w:t>
      </w:r>
    </w:p>
    <w:p w14:paraId="3F1B052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1.4.15. </w:t>
      </w:r>
      <w:r w:rsidRPr="001667DB">
        <w:rPr>
          <w:rFonts w:ascii="Times New Roman" w:hAnsi="Times New Roman" w:cs="Times New Roman"/>
          <w:color w:val="000000" w:themeColor="text1"/>
        </w:rPr>
        <w:t>Ramka Webera - ramka o boku 50 cm, podzielona drutem lub żyłką na 100  kwadratów, każdy o powierzchni 25 cm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do określania procentowego udziału gatunków roślin, po obsianiu.</w:t>
      </w:r>
    </w:p>
    <w:p w14:paraId="0AA16C4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1.4.16. </w:t>
      </w:r>
      <w:r w:rsidRPr="001667DB">
        <w:rPr>
          <w:rFonts w:ascii="Times New Roman" w:hAnsi="Times New Roman" w:cs="Times New Roman"/>
          <w:color w:val="000000" w:themeColor="text1"/>
        </w:rPr>
        <w:t>Pozostałe określenia podstawowe są zgodne z odpowiednimi polskimi normami i z definicjami podanymi w ST D-00.00.00 „Wymagania ogólne” pkt 1.4.</w:t>
      </w:r>
    </w:p>
    <w:p w14:paraId="6DC4BC95" w14:textId="77777777" w:rsidR="00CC4443" w:rsidRPr="001667DB" w:rsidRDefault="00CC4443" w:rsidP="00AA7AC8">
      <w:pPr>
        <w:spacing w:line="360" w:lineRule="auto"/>
        <w:jc w:val="both"/>
        <w:rPr>
          <w:rFonts w:ascii="Times New Roman" w:hAnsi="Times New Roman" w:cs="Times New Roman"/>
          <w:color w:val="000000" w:themeColor="text1"/>
        </w:rPr>
      </w:pPr>
    </w:p>
    <w:p w14:paraId="2F838E93"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1.5. Ogólne wymagania dotyczące robót</w:t>
      </w:r>
    </w:p>
    <w:p w14:paraId="65016D5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pkt 1.5.</w:t>
      </w:r>
    </w:p>
    <w:p w14:paraId="02CCE845" w14:textId="77777777" w:rsidR="00CC4443" w:rsidRPr="001667DB" w:rsidRDefault="00CC4443" w:rsidP="00AA7AC8">
      <w:pPr>
        <w:spacing w:line="360" w:lineRule="auto"/>
        <w:jc w:val="both"/>
        <w:rPr>
          <w:rFonts w:ascii="Times New Roman" w:hAnsi="Times New Roman" w:cs="Times New Roman"/>
          <w:color w:val="000000" w:themeColor="text1"/>
        </w:rPr>
      </w:pPr>
    </w:p>
    <w:p w14:paraId="09F758FD"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2. MATERIAŁY</w:t>
      </w:r>
    </w:p>
    <w:p w14:paraId="711DA50C"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2.1. Ogólne wymagania dotyczące materiałów</w:t>
      </w:r>
    </w:p>
    <w:p w14:paraId="1951A49B"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6C247E2F"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2.2. Rodzaje materiałów</w:t>
      </w:r>
    </w:p>
    <w:p w14:paraId="4F09D3E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Materiałami stosowanymi przy umacnianiu skarp, rowów i ścieków objętymi niniejszą ST są:</w:t>
      </w:r>
    </w:p>
    <w:p w14:paraId="4712FE17"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darnina,</w:t>
      </w:r>
    </w:p>
    <w:p w14:paraId="3EAA8289"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ziemia urodzajna,</w:t>
      </w:r>
    </w:p>
    <w:p w14:paraId="2E5E94DE"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nasiona traw </w:t>
      </w:r>
    </w:p>
    <w:p w14:paraId="7D81CCFB"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brukowiec,</w:t>
      </w:r>
    </w:p>
    <w:p w14:paraId="77A1AC32"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elementy prefabrykowane,</w:t>
      </w:r>
    </w:p>
    <w:p w14:paraId="1057F37A"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2.3. Darnina</w:t>
      </w:r>
    </w:p>
    <w:p w14:paraId="192445C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Darninę należy wycinać z obszarów położonych najbliżej miejsca wbudowania. Cięcie należy przeprowadzać przy użyciu specjalnych pługów i krojów. Płaty lub pasma wyciętej darniny, w zależności od gruntu na jakim będą układane, powinny mieć szerokość od 25 do 50 cm i grubość od 6 do 10 cm.</w:t>
      </w:r>
    </w:p>
    <w:p w14:paraId="1F96589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Wycięta darnina powinna być w krótkim czasie wbudowana.</w:t>
      </w:r>
    </w:p>
    <w:p w14:paraId="65D226A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Darninę, jeżeli nie jest od razu wbudowana, należy układać warstwami w stosy, stroną porostu do siebie, na wysokość nie większą niż 1 m. Ułożone stosy winny być utrzymywane w stanie wilgotnym w warunkach zabezpieczających darninę przed zanieczyszczeniem, najwyżej przez 30 dni.</w:t>
      </w:r>
    </w:p>
    <w:p w14:paraId="4A2271B2"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2.4. Ziemia urodzajna (humus)</w:t>
      </w:r>
    </w:p>
    <w:p w14:paraId="26709202"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Ziemia urodzajna powinna zawierać co najmniej 2% części organicznych. Ziemia urodzajna powinna być wilgotna i pozbawiona kamieni większych od 5 cm oraz wolna od zanieczyszczeń obcych.</w:t>
      </w:r>
    </w:p>
    <w:p w14:paraId="479E101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przypadkach wątpliwych Inżynier może zlecić wykonanie badań w celu stwierdzenia, że ziemia urodzajna odpowiada następującym kryteriom:</w:t>
      </w:r>
    </w:p>
    <w:p w14:paraId="15DD5459" w14:textId="77777777" w:rsidR="00CC4443" w:rsidRPr="001667DB" w:rsidRDefault="00CC4443" w:rsidP="00904E6C">
      <w:pPr>
        <w:numPr>
          <w:ilvl w:val="0"/>
          <w:numId w:val="229"/>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optymalny skład granulometryczny:</w:t>
      </w:r>
    </w:p>
    <w:p w14:paraId="66F9A110" w14:textId="77777777" w:rsidR="00CC4443" w:rsidRPr="001667DB" w:rsidRDefault="00CC4443" w:rsidP="00904E6C">
      <w:pPr>
        <w:numPr>
          <w:ilvl w:val="0"/>
          <w:numId w:val="227"/>
        </w:numPr>
        <w:tabs>
          <w:tab w:val="clear" w:pos="283"/>
          <w:tab w:val="left" w:pos="-1725"/>
          <w:tab w:val="left" w:pos="-1440"/>
          <w:tab w:val="left" w:pos="-1005"/>
          <w:tab w:val="left" w:pos="-720"/>
          <w:tab w:val="left" w:pos="-285"/>
        </w:tabs>
        <w:suppressAutoHyphens/>
        <w:overflowPunct w:val="0"/>
        <w:autoSpaceDE w:val="0"/>
        <w:spacing w:after="0" w:line="360" w:lineRule="auto"/>
        <w:ind w:left="284"/>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frakcja ilasta (d &lt; 0,002 mm) </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12 - 18%,</w:t>
      </w:r>
    </w:p>
    <w:p w14:paraId="11A4CEA3" w14:textId="77777777" w:rsidR="00CC4443" w:rsidRPr="001667DB" w:rsidRDefault="00CC4443" w:rsidP="00904E6C">
      <w:pPr>
        <w:numPr>
          <w:ilvl w:val="0"/>
          <w:numId w:val="227"/>
        </w:numPr>
        <w:tabs>
          <w:tab w:val="clear" w:pos="283"/>
          <w:tab w:val="left" w:pos="-1725"/>
          <w:tab w:val="left" w:pos="-1440"/>
          <w:tab w:val="left" w:pos="-1005"/>
          <w:tab w:val="left" w:pos="-720"/>
          <w:tab w:val="left" w:pos="-285"/>
        </w:tabs>
        <w:suppressAutoHyphens/>
        <w:overflowPunct w:val="0"/>
        <w:autoSpaceDE w:val="0"/>
        <w:spacing w:after="0" w:line="360" w:lineRule="auto"/>
        <w:ind w:left="284"/>
        <w:jc w:val="both"/>
        <w:rPr>
          <w:rFonts w:ascii="Times New Roman" w:hAnsi="Times New Roman" w:cs="Times New Roman"/>
          <w:color w:val="000000" w:themeColor="text1"/>
        </w:rPr>
      </w:pPr>
      <w:r w:rsidRPr="001667DB">
        <w:rPr>
          <w:rFonts w:ascii="Times New Roman" w:hAnsi="Times New Roman" w:cs="Times New Roman"/>
          <w:color w:val="000000" w:themeColor="text1"/>
        </w:rPr>
        <w:t>frakcja pylasta (0,002 do 0,05mm)</w:t>
      </w:r>
      <w:r w:rsidRPr="001667DB">
        <w:rPr>
          <w:rFonts w:ascii="Times New Roman" w:hAnsi="Times New Roman" w:cs="Times New Roman"/>
          <w:color w:val="000000" w:themeColor="text1"/>
        </w:rPr>
        <w:tab/>
        <w:t>20 - 30%,</w:t>
      </w:r>
    </w:p>
    <w:p w14:paraId="7A98054C" w14:textId="77777777" w:rsidR="00CC4443" w:rsidRPr="001667DB" w:rsidRDefault="00CC4443" w:rsidP="00904E6C">
      <w:pPr>
        <w:numPr>
          <w:ilvl w:val="0"/>
          <w:numId w:val="227"/>
        </w:numPr>
        <w:tabs>
          <w:tab w:val="clear" w:pos="283"/>
          <w:tab w:val="left" w:pos="-1725"/>
          <w:tab w:val="left" w:pos="-1440"/>
          <w:tab w:val="left" w:pos="-1005"/>
          <w:tab w:val="left" w:pos="-720"/>
          <w:tab w:val="left" w:pos="-285"/>
        </w:tabs>
        <w:suppressAutoHyphens/>
        <w:overflowPunct w:val="0"/>
        <w:autoSpaceDE w:val="0"/>
        <w:spacing w:after="0" w:line="360" w:lineRule="auto"/>
        <w:ind w:left="284"/>
        <w:jc w:val="both"/>
        <w:rPr>
          <w:rFonts w:ascii="Times New Roman" w:hAnsi="Times New Roman" w:cs="Times New Roman"/>
          <w:color w:val="000000" w:themeColor="text1"/>
        </w:rPr>
      </w:pPr>
      <w:r w:rsidRPr="001667DB">
        <w:rPr>
          <w:rFonts w:ascii="Times New Roman" w:hAnsi="Times New Roman" w:cs="Times New Roman"/>
          <w:color w:val="000000" w:themeColor="text1"/>
        </w:rPr>
        <w:t>frakcja piaszczysta (0,05 do 2,0 mm)</w:t>
      </w:r>
      <w:r w:rsidRPr="001667DB">
        <w:rPr>
          <w:rFonts w:ascii="Times New Roman" w:hAnsi="Times New Roman" w:cs="Times New Roman"/>
          <w:color w:val="000000" w:themeColor="text1"/>
        </w:rPr>
        <w:tab/>
        <w:t>45 - 70%,</w:t>
      </w:r>
    </w:p>
    <w:p w14:paraId="35103CC1" w14:textId="77777777" w:rsidR="00CC4443" w:rsidRPr="001667DB" w:rsidRDefault="00CC4443" w:rsidP="00904E6C">
      <w:pPr>
        <w:numPr>
          <w:ilvl w:val="0"/>
          <w:numId w:val="229"/>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fosforu (P</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O</w:t>
      </w:r>
      <w:r w:rsidRPr="001667DB">
        <w:rPr>
          <w:rFonts w:ascii="Times New Roman" w:hAnsi="Times New Roman" w:cs="Times New Roman"/>
          <w:color w:val="000000" w:themeColor="text1"/>
          <w:vertAlign w:val="subscript"/>
        </w:rPr>
        <w:t>5</w:t>
      </w:r>
      <w:r w:rsidRPr="001667DB">
        <w:rPr>
          <w:rFonts w:ascii="Times New Roman" w:hAnsi="Times New Roman" w:cs="Times New Roman"/>
          <w:color w:val="000000" w:themeColor="text1"/>
        </w:rPr>
        <w:t>)</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&gt; 20 mg/m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4AF7939A" w14:textId="77777777" w:rsidR="00CC4443" w:rsidRPr="001667DB" w:rsidRDefault="00CC4443" w:rsidP="00904E6C">
      <w:pPr>
        <w:numPr>
          <w:ilvl w:val="0"/>
          <w:numId w:val="229"/>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potasu (K</w:t>
      </w:r>
      <w:r w:rsidRPr="001667DB">
        <w:rPr>
          <w:rFonts w:ascii="Times New Roman" w:hAnsi="Times New Roman" w:cs="Times New Roman"/>
          <w:color w:val="000000" w:themeColor="text1"/>
          <w:vertAlign w:val="subscript"/>
        </w:rPr>
        <w:t>2</w:t>
      </w:r>
      <w:r w:rsidRPr="001667DB">
        <w:rPr>
          <w:rFonts w:ascii="Times New Roman" w:hAnsi="Times New Roman" w:cs="Times New Roman"/>
          <w:color w:val="000000" w:themeColor="text1"/>
        </w:rPr>
        <w:t>O)</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&gt; 30 mg/m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16E64C78" w14:textId="77777777" w:rsidR="00CC4443" w:rsidRPr="001667DB" w:rsidRDefault="00CC4443" w:rsidP="00904E6C">
      <w:pPr>
        <w:numPr>
          <w:ilvl w:val="0"/>
          <w:numId w:val="229"/>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kwasowość pH</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xml:space="preserve"> </w:t>
      </w:r>
      <w:r w:rsidR="00D14686">
        <w:rPr>
          <w:rFonts w:ascii="Times New Roman" w:eastAsia="Symbol" w:hAnsi="Times New Roman" w:cs="Times New Roman"/>
          <w:color w:val="000000" w:themeColor="text1"/>
        </w:rPr>
        <w:t>&gt;</w:t>
      </w:r>
      <w:r w:rsidRPr="001667DB">
        <w:rPr>
          <w:rFonts w:ascii="Times New Roman" w:hAnsi="Times New Roman" w:cs="Times New Roman"/>
          <w:color w:val="000000" w:themeColor="text1"/>
        </w:rPr>
        <w:t>5,5.</w:t>
      </w:r>
    </w:p>
    <w:p w14:paraId="1C10630D" w14:textId="77777777" w:rsidR="00CC4443" w:rsidRPr="001667DB" w:rsidRDefault="00CC4443" w:rsidP="00AA7AC8">
      <w:pPr>
        <w:overflowPunct w:val="0"/>
        <w:autoSpaceDE w:val="0"/>
        <w:spacing w:line="360" w:lineRule="auto"/>
        <w:ind w:left="283"/>
        <w:jc w:val="both"/>
        <w:rPr>
          <w:rFonts w:ascii="Times New Roman" w:hAnsi="Times New Roman" w:cs="Times New Roman"/>
          <w:color w:val="000000" w:themeColor="text1"/>
        </w:rPr>
      </w:pPr>
    </w:p>
    <w:p w14:paraId="3BB499D4"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2.5. Nasiona traw</w:t>
      </w:r>
    </w:p>
    <w:p w14:paraId="1A7E2505"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Wybór gatunków traw należy dostosować do rodzaju gleby i stopnia jej zawilgocenia. Zaleca się stosować mieszanki traw o drobnym, gęstym ukorzenieniu, spełniające wymagania PN-R-65023:1999 [9] i PN-B-12074:1998 [4].</w:t>
      </w:r>
    </w:p>
    <w:p w14:paraId="745F03D6"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2.6. Brukowiec</w:t>
      </w:r>
    </w:p>
    <w:p w14:paraId="7C230C7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Brukowiec powinien odpowiadać wymaganiom PN-B-11104:1960 [1].</w:t>
      </w:r>
    </w:p>
    <w:p w14:paraId="67A24EC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Składowanie mchu polega na układaniu go w stosy lub pryzmy. Wysokość stosu nie powinna przekraczać 1 m.</w:t>
      </w:r>
    </w:p>
    <w:p w14:paraId="58B60E60"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2.9. Kruszywo</w:t>
      </w:r>
    </w:p>
    <w:p w14:paraId="5B52550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t>Kruszywo</w:t>
      </w:r>
      <w:r w:rsidRPr="001667DB">
        <w:rPr>
          <w:rFonts w:ascii="Times New Roman" w:hAnsi="Times New Roman" w:cs="Times New Roman"/>
          <w:color w:val="000000" w:themeColor="text1"/>
        </w:rPr>
        <w:t xml:space="preserve"> powinno odpowiadać wymaganiom PN-EN 13242+A1: 2010 [2].</w:t>
      </w:r>
    </w:p>
    <w:p w14:paraId="00952426" w14:textId="77777777" w:rsidR="00CC4443" w:rsidRPr="001667DB" w:rsidRDefault="00CC4443" w:rsidP="00AA7AC8">
      <w:pPr>
        <w:spacing w:line="360" w:lineRule="auto"/>
        <w:jc w:val="both"/>
        <w:rPr>
          <w:rFonts w:ascii="Times New Roman" w:hAnsi="Times New Roman" w:cs="Times New Roman"/>
          <w:color w:val="000000" w:themeColor="text1"/>
        </w:rPr>
      </w:pPr>
    </w:p>
    <w:p w14:paraId="74986C2A"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2.10. Cement</w:t>
      </w:r>
    </w:p>
    <w:p w14:paraId="167A8777" w14:textId="77777777" w:rsidR="00CC4443" w:rsidRPr="001667DB" w:rsidRDefault="00CC4443" w:rsidP="00AA7AC8">
      <w:pPr>
        <w:spacing w:line="360" w:lineRule="auto"/>
        <w:ind w:left="709"/>
        <w:jc w:val="both"/>
        <w:rPr>
          <w:rFonts w:ascii="Times New Roman" w:hAnsi="Times New Roman" w:cs="Times New Roman"/>
          <w:color w:val="000000" w:themeColor="text1"/>
        </w:rPr>
      </w:pPr>
      <w:r w:rsidRPr="001667DB">
        <w:rPr>
          <w:rFonts w:ascii="Times New Roman" w:hAnsi="Times New Roman" w:cs="Times New Roman"/>
          <w:color w:val="000000" w:themeColor="text1"/>
        </w:rPr>
        <w:t>Cement portlandzki powinien odpowiadać wymaganiom PN-B-19701:1997 [7].</w:t>
      </w:r>
    </w:p>
    <w:p w14:paraId="75AB9726" w14:textId="77777777" w:rsidR="00CC4443" w:rsidRPr="001667DB" w:rsidRDefault="00CC4443" w:rsidP="00AA7AC8">
      <w:pPr>
        <w:spacing w:line="360" w:lineRule="auto"/>
        <w:ind w:left="709"/>
        <w:jc w:val="both"/>
        <w:rPr>
          <w:rFonts w:ascii="Times New Roman" w:hAnsi="Times New Roman" w:cs="Times New Roman"/>
          <w:color w:val="000000" w:themeColor="text1"/>
        </w:rPr>
      </w:pPr>
      <w:r w:rsidRPr="001667DB">
        <w:rPr>
          <w:rFonts w:ascii="Times New Roman" w:hAnsi="Times New Roman" w:cs="Times New Roman"/>
          <w:color w:val="000000" w:themeColor="text1"/>
        </w:rPr>
        <w:t>Cement hutniczy powinien odpowiadać wymaganiom PN-B-19701:1997 [7].</w:t>
      </w:r>
    </w:p>
    <w:p w14:paraId="52D2927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Składowanie cementu powinno być zgodne z BN-88/6731-08 [12].</w:t>
      </w:r>
    </w:p>
    <w:p w14:paraId="734A2DF4"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2.11. Zaprawa cementowa</w:t>
      </w:r>
    </w:p>
    <w:p w14:paraId="7FD1EF7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Przy wykonywaniu umocnień rowów i ścieków należy stosować zaprawy cementowe zgodne z wymaganiami PN-B-14501:1990 [6].</w:t>
      </w:r>
    </w:p>
    <w:p w14:paraId="33DC6B98"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2.12. Elementy prefabrykowane</w:t>
      </w:r>
    </w:p>
    <w:p w14:paraId="2A18651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Wytrzymałość, kształt i wymiary elementów powinny być zgodne z dokumentacją projektową i ST.</w:t>
      </w:r>
    </w:p>
    <w:p w14:paraId="04EABFA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Krawężniki betonowe powinny odpowiadać wymaganiom BN-80/6775-03/04 [13].</w:t>
      </w:r>
    </w:p>
    <w:p w14:paraId="3CC84303" w14:textId="77777777" w:rsidR="00CC4443" w:rsidRPr="001667DB" w:rsidRDefault="00CC4443">
      <w:pPr>
        <w:spacing w:line="360" w:lineRule="auto"/>
        <w:rPr>
          <w:rFonts w:ascii="Times New Roman" w:hAnsi="Times New Roman" w:cs="Times New Roman"/>
          <w:color w:val="000000" w:themeColor="text1"/>
        </w:rPr>
      </w:pPr>
    </w:p>
    <w:p w14:paraId="69BFAAE5" w14:textId="77777777" w:rsidR="00CC4443" w:rsidRPr="00326BBF" w:rsidRDefault="00CC4443">
      <w:pPr>
        <w:pStyle w:val="Nagwek1"/>
        <w:spacing w:before="0" w:after="0" w:line="360" w:lineRule="auto"/>
        <w:rPr>
          <w:color w:val="000000" w:themeColor="text1"/>
          <w:sz w:val="22"/>
          <w:szCs w:val="22"/>
          <w:lang w:val="pl-PL"/>
        </w:rPr>
      </w:pPr>
      <w:r w:rsidRPr="001667DB">
        <w:rPr>
          <w:color w:val="000000" w:themeColor="text1"/>
          <w:sz w:val="22"/>
          <w:szCs w:val="22"/>
          <w:lang w:val="pl-PL"/>
        </w:rPr>
        <w:lastRenderedPageBreak/>
        <w:t>3. SPRZĘT</w:t>
      </w:r>
    </w:p>
    <w:p w14:paraId="790C071A"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3.1. Ogólne wymagania dotyczące sprzętu</w:t>
      </w:r>
    </w:p>
    <w:p w14:paraId="5D797092"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16E08242"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3.2. Sprzęt do wykonania robót</w:t>
      </w:r>
    </w:p>
    <w:p w14:paraId="3DF1E310"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Wykonawca przystępujący do wykonania umocnienia techniczno-biologicznego powinien wykazać się możliwością korzystania z następującego sprzętu:</w:t>
      </w:r>
    </w:p>
    <w:p w14:paraId="03A0A26D"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równiarek,</w:t>
      </w:r>
    </w:p>
    <w:p w14:paraId="4483D942"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walców gładkich, żebrowanych lub ryflowanych,</w:t>
      </w:r>
    </w:p>
    <w:p w14:paraId="11329285"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ubijaków o ręcznym prowadzeniu,</w:t>
      </w:r>
    </w:p>
    <w:p w14:paraId="5C2BAE1D"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wibratorów samobieżnych,</w:t>
      </w:r>
    </w:p>
    <w:p w14:paraId="12C37869"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płyt ubijających,</w:t>
      </w:r>
    </w:p>
    <w:p w14:paraId="6FEF20DE"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sprzętu do podwieszania i podciągania,</w:t>
      </w:r>
    </w:p>
    <w:p w14:paraId="43CCE4DA"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hydrosiewnika z ciągnikiem oraz osprzętu do agrouprawy (np. włóki obręczowo-pierścieniowej, brony chwastownika - zgrzebła, wałowłóki),</w:t>
      </w:r>
    </w:p>
    <w:p w14:paraId="267450F2"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cysterny z wodą pod ciśnieniem (do zraszania) oraz węży do podlewania (miejsc niedostępnych).</w:t>
      </w:r>
    </w:p>
    <w:p w14:paraId="57520DE8" w14:textId="77777777" w:rsidR="00CC4443" w:rsidRPr="001667DB" w:rsidRDefault="00CC4443" w:rsidP="00AA7AC8">
      <w:pPr>
        <w:overflowPunct w:val="0"/>
        <w:autoSpaceDE w:val="0"/>
        <w:spacing w:line="360" w:lineRule="auto"/>
        <w:ind w:left="283"/>
        <w:jc w:val="both"/>
        <w:rPr>
          <w:rFonts w:ascii="Times New Roman" w:hAnsi="Times New Roman" w:cs="Times New Roman"/>
          <w:color w:val="000000" w:themeColor="text1"/>
        </w:rPr>
      </w:pPr>
    </w:p>
    <w:p w14:paraId="01EC6DC1"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4. TRANSPORT</w:t>
      </w:r>
    </w:p>
    <w:p w14:paraId="663B2AE0"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4.1. Ogólne wymagania dotyczące transportu</w:t>
      </w:r>
    </w:p>
    <w:p w14:paraId="06E8C233"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pkt 4.</w:t>
      </w:r>
    </w:p>
    <w:p w14:paraId="2A6EDB72"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4.2. Transport materiałów</w:t>
      </w:r>
    </w:p>
    <w:p w14:paraId="79E571B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4.2.1. </w:t>
      </w:r>
      <w:r w:rsidRPr="001667DB">
        <w:rPr>
          <w:rFonts w:ascii="Times New Roman" w:hAnsi="Times New Roman" w:cs="Times New Roman"/>
          <w:color w:val="000000" w:themeColor="text1"/>
        </w:rPr>
        <w:t>Transport darniny</w:t>
      </w:r>
    </w:p>
    <w:p w14:paraId="72494AE1"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Darninę można przewozić dowolnymi środkami transportu w warunkach zabezpieczających przed obsypaniem się ziemi roślinnej i odkryciem korzonków trawy oraz przed innymi uszkodzeniami.</w:t>
      </w:r>
    </w:p>
    <w:p w14:paraId="00CA973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4.2.2. </w:t>
      </w:r>
      <w:r w:rsidRPr="001667DB">
        <w:rPr>
          <w:rFonts w:ascii="Times New Roman" w:hAnsi="Times New Roman" w:cs="Times New Roman"/>
          <w:color w:val="000000" w:themeColor="text1"/>
        </w:rPr>
        <w:t>Transport nasion traw</w:t>
      </w:r>
    </w:p>
    <w:p w14:paraId="771908F3"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Nasiona traw można przewozić dowolnymi środkami transportu w warunkach zabezpieczających je przed zawilgoceniem.</w:t>
      </w:r>
    </w:p>
    <w:p w14:paraId="167953E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4.2.3. </w:t>
      </w:r>
      <w:r w:rsidRPr="001667DB">
        <w:rPr>
          <w:rFonts w:ascii="Times New Roman" w:hAnsi="Times New Roman" w:cs="Times New Roman"/>
          <w:color w:val="000000" w:themeColor="text1"/>
        </w:rPr>
        <w:t>Transport brukowca</w:t>
      </w:r>
    </w:p>
    <w:p w14:paraId="4794B370"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Brukowiec można przewozić dowolnymi środkami transportu.</w:t>
      </w:r>
    </w:p>
    <w:p w14:paraId="2EB4A675"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4.2.5. </w:t>
      </w:r>
      <w:r w:rsidRPr="001667DB">
        <w:rPr>
          <w:rFonts w:ascii="Times New Roman" w:hAnsi="Times New Roman" w:cs="Times New Roman"/>
          <w:color w:val="000000" w:themeColor="text1"/>
        </w:rPr>
        <w:t>Transport materiałów z drewna</w:t>
      </w:r>
    </w:p>
    <w:p w14:paraId="63629704"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Szpilki, paliki i pale można przewozić dowolnymi środkami transportu w warunkach zabezpieczających je przed uszkodzeniami.</w:t>
      </w:r>
    </w:p>
    <w:p w14:paraId="58485D5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4.2.6. </w:t>
      </w:r>
      <w:r w:rsidRPr="001667DB">
        <w:rPr>
          <w:rFonts w:ascii="Times New Roman" w:hAnsi="Times New Roman" w:cs="Times New Roman"/>
          <w:color w:val="000000" w:themeColor="text1"/>
        </w:rPr>
        <w:t>Transport kruszywa</w:t>
      </w:r>
    </w:p>
    <w:p w14:paraId="6B322AE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Kruszywo można przewozić dowolnymi środkami transportu w warunkach zabezpieczających je przed zanieczyszczeniem, zmieszaniem z innymi kruszywami i nadmiernym zawilgoceniem.</w:t>
      </w:r>
    </w:p>
    <w:p w14:paraId="7EA588C8"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4.2.7. </w:t>
      </w:r>
      <w:r w:rsidRPr="001667DB">
        <w:rPr>
          <w:rFonts w:ascii="Times New Roman" w:hAnsi="Times New Roman" w:cs="Times New Roman"/>
          <w:color w:val="000000" w:themeColor="text1"/>
        </w:rPr>
        <w:t>Transport cementu</w:t>
      </w:r>
    </w:p>
    <w:p w14:paraId="2F7D53F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Cement należy przewozić zgodnie z wymaganiami BN-88/6731-08 [12].</w:t>
      </w:r>
    </w:p>
    <w:p w14:paraId="760B3FE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4.2.10. </w:t>
      </w:r>
      <w:r w:rsidRPr="001667DB">
        <w:rPr>
          <w:rFonts w:ascii="Times New Roman" w:hAnsi="Times New Roman" w:cs="Times New Roman"/>
          <w:color w:val="000000" w:themeColor="text1"/>
        </w:rPr>
        <w:t>Transport elementów prefabrykowanych</w:t>
      </w:r>
    </w:p>
    <w:p w14:paraId="289FC04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Elementy prefabrykowane można przewozić dowolnymi środkami transportu w warunkach zabezpieczających je przed uszkodzeniami.</w:t>
      </w:r>
    </w:p>
    <w:p w14:paraId="13A08711"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transportu można przekazać elementy, w których beton osiągnął wytrzymałość co najmniej 0,75 R</w:t>
      </w:r>
      <w:r w:rsidRPr="001667DB">
        <w:rPr>
          <w:rFonts w:ascii="Times New Roman" w:hAnsi="Times New Roman" w:cs="Times New Roman"/>
          <w:color w:val="000000" w:themeColor="text1"/>
          <w:vertAlign w:val="subscript"/>
        </w:rPr>
        <w:t>G</w:t>
      </w:r>
      <w:r w:rsidRPr="001667DB">
        <w:rPr>
          <w:rFonts w:ascii="Times New Roman" w:hAnsi="Times New Roman" w:cs="Times New Roman"/>
          <w:color w:val="000000" w:themeColor="text1"/>
        </w:rPr>
        <w:t>.</w:t>
      </w:r>
    </w:p>
    <w:p w14:paraId="106A42CA" w14:textId="77777777" w:rsidR="00CC4443" w:rsidRPr="001667DB" w:rsidRDefault="00CC4443" w:rsidP="00AA7AC8">
      <w:pPr>
        <w:spacing w:line="360" w:lineRule="auto"/>
        <w:jc w:val="both"/>
        <w:rPr>
          <w:rFonts w:ascii="Times New Roman" w:hAnsi="Times New Roman" w:cs="Times New Roman"/>
          <w:color w:val="000000" w:themeColor="text1"/>
        </w:rPr>
      </w:pPr>
    </w:p>
    <w:p w14:paraId="5790E7EB"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5. WYKONANIE ROBÓT</w:t>
      </w:r>
    </w:p>
    <w:p w14:paraId="6D1E0679"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5.1. Ogólne zasady wykonania robót</w:t>
      </w:r>
    </w:p>
    <w:p w14:paraId="33EB4393"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pkt 5.</w:t>
      </w:r>
    </w:p>
    <w:p w14:paraId="638C1C5E"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5.2. Humusowanie</w:t>
      </w:r>
    </w:p>
    <w:p w14:paraId="1129244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Humusowanie powinno być wykonywane od górnej krawędzi skarpy do jej dolnej krawędzi. Warstwa ziemi urodzajnej powinna sięgać poza górną krawędź skarpy i poza podnóże skarpy nasypu od 15 do 25 cm.</w:t>
      </w:r>
    </w:p>
    <w:p w14:paraId="72629C3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Grubość pokrycia ziemią urodzajną powinna wynosić od 10 do 15 cm po moletowaniu i zagęszczeniu,  w zależności od gruntu występującego na powierzchni skarpy.</w:t>
      </w:r>
    </w:p>
    <w:p w14:paraId="4C103962"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celu lepszego powiązania warstwy ziemi urodzajnej z gruntem, na powierzchni skarpy należy wykonywać rowki poziome lub pod kątem 30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xml:space="preserve"> do 45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xml:space="preserve"> o głębokości od 3 do 5 cm, w odstępach co 0,5</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do</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1,0 m. Ułożoną warstwę ziemi urodzajnej należy zagrabić (pobronować) i lekko zagęścić przez ubicie ręczne lub mechaniczne.</w:t>
      </w:r>
    </w:p>
    <w:p w14:paraId="2576360D"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 xml:space="preserve">5.3. Umocnienie skarp przez obsianie trawą </w:t>
      </w:r>
    </w:p>
    <w:p w14:paraId="43045535"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Proces umocnienia powierzchni skarp i rowów poprzez obsianie nasionami traw i roślin motylkowatych polega na:</w:t>
      </w:r>
    </w:p>
    <w:p w14:paraId="1845ACD8" w14:textId="77777777" w:rsidR="00CC4443" w:rsidRPr="001667DB" w:rsidRDefault="00CC4443" w:rsidP="00904E6C">
      <w:pPr>
        <w:numPr>
          <w:ilvl w:val="0"/>
          <w:numId w:val="230"/>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wytworzeniu na skarpie warstwy ziemi urodzajnej przez:</w:t>
      </w:r>
    </w:p>
    <w:p w14:paraId="4404A519" w14:textId="77777777" w:rsidR="00CC4443" w:rsidRPr="001667DB" w:rsidRDefault="00CC4443" w:rsidP="00904E6C">
      <w:pPr>
        <w:numPr>
          <w:ilvl w:val="0"/>
          <w:numId w:val="227"/>
        </w:numPr>
        <w:tabs>
          <w:tab w:val="clear" w:pos="283"/>
          <w:tab w:val="left" w:pos="-1725"/>
          <w:tab w:val="left" w:pos="-1440"/>
          <w:tab w:val="left" w:pos="-1005"/>
          <w:tab w:val="left" w:pos="-720"/>
          <w:tab w:val="left" w:pos="-285"/>
        </w:tabs>
        <w:suppressAutoHyphens/>
        <w:overflowPunct w:val="0"/>
        <w:autoSpaceDE w:val="0"/>
        <w:spacing w:after="0" w:line="360" w:lineRule="auto"/>
        <w:ind w:left="567"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humusowanie (patrz pkt 5.2), lub,</w:t>
      </w:r>
    </w:p>
    <w:p w14:paraId="013E86A1" w14:textId="77777777" w:rsidR="00CC4443" w:rsidRPr="001667DB" w:rsidRDefault="00CC4443" w:rsidP="00904E6C">
      <w:pPr>
        <w:numPr>
          <w:ilvl w:val="0"/>
          <w:numId w:val="227"/>
        </w:numPr>
        <w:tabs>
          <w:tab w:val="clear" w:pos="283"/>
          <w:tab w:val="left" w:pos="-1725"/>
          <w:tab w:val="left" w:pos="-1440"/>
          <w:tab w:val="left" w:pos="-1005"/>
          <w:tab w:val="left" w:pos="-720"/>
          <w:tab w:val="left" w:pos="-285"/>
        </w:tabs>
        <w:suppressAutoHyphens/>
        <w:overflowPunct w:val="0"/>
        <w:autoSpaceDE w:val="0"/>
        <w:spacing w:after="0" w:line="360" w:lineRule="auto"/>
        <w:ind w:left="567"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wymieszanie gruntu skarpy z naniesionymi osadami ściekowymi za pomocą osprzętu agrouprawowego, aby uzyskać zawartość części organicznych warstwy co najmniej 1%,</w:t>
      </w:r>
    </w:p>
    <w:p w14:paraId="56BF7A18" w14:textId="77777777" w:rsidR="00CC4443" w:rsidRPr="001667DB" w:rsidRDefault="00CC4443" w:rsidP="00904E6C">
      <w:pPr>
        <w:numPr>
          <w:ilvl w:val="0"/>
          <w:numId w:val="230"/>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obsianiu warstwy ziemi urodzajnej kompozycjami nasion traw w ilości od 18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do 30 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dobranych odpowiednio do warunków siedliskowych (rodzaju podłoża, wystawy oraz pochylenia skarp),</w:t>
      </w:r>
    </w:p>
    <w:p w14:paraId="0ABBDFFC" w14:textId="77777777" w:rsidR="00CC4443" w:rsidRPr="001667DB" w:rsidRDefault="00CC4443" w:rsidP="00904E6C">
      <w:pPr>
        <w:numPr>
          <w:ilvl w:val="0"/>
          <w:numId w:val="230"/>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naniesieniu na obsianą powierzchnię tymczasowej warstwy przeciwerozyjnej (patrz pkt 5.4) metodą mulczowania lub hydromulczowania.</w:t>
      </w:r>
    </w:p>
    <w:p w14:paraId="648C8FC0"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okresach posusznych należy systematycznie zraszać wodą obsiane powierzchnie.</w:t>
      </w:r>
    </w:p>
    <w:p w14:paraId="7F73A458"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5.4. Tymczasowa warstwa przeciwerozyjna</w:t>
      </w:r>
    </w:p>
    <w:p w14:paraId="1274BDE1"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Tymczasowa warstwa przeciwerozyjna doraźnie zabezpiecza przed erozją powierzchniową do czasu przejęcia tej funkcji przez okrywę roślinną.</w:t>
      </w:r>
    </w:p>
    <w:p w14:paraId="23A5289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Tymczasowa warstwa przeciwerozyjna może być wykonana z biowłókniny, geosyntetyków,  z płynnych osadów ściekowych, emulsji bitumicznych lub lateksowych np. metodą mulczowania lub hydromulczowania.</w:t>
      </w:r>
    </w:p>
    <w:p w14:paraId="1213307B"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Mulczowanie polega na naniesieniu na powierzchnię gruntu ściółki (np. sieczki, stróżyn, trocin, substratu torfu) z lepiszczem (np. emulsją asfaltową) w celu ochrony przed wysychaniem i erozją, w ilości od 0,03 do 0,05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w:t>
      </w:r>
    </w:p>
    <w:p w14:paraId="05378952"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Zaleca się wykonanie tymczasowej warstwy przeciwerozyjnej na wyprofilowanych skarpach, które jeszcze w stanie surowym powinny być niezwłocznie zabezpieczone przed erozją. Właściwe umocnienie skarp, przewidziane w dokumentacji projektowej, powinno  być wykonywane w optymalnych terminach agrotechnicznych.</w:t>
      </w:r>
    </w:p>
    <w:p w14:paraId="3E9BCFD4"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5.5. Darniowanie</w:t>
      </w:r>
    </w:p>
    <w:p w14:paraId="7A80C4F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Darniowanie należy wykonywać wczesną wiosną do końca maja oraz we wrześniu, a w razie konieczności w październiku.</w:t>
      </w:r>
    </w:p>
    <w:p w14:paraId="3911267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Powierzchnia przeznaczona do darniowania powinna być dokładnie wyrównana, a w uzasadnionych przypadkach pokryta warstwą ziemi urodzajnej.</w:t>
      </w:r>
    </w:p>
    <w:p w14:paraId="61FDDBC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okresach suchych powierzchnie darniowane należy polewać wodą w godzinach popołudniowych przez okres od 2 do 3 tygodni. Można stosować inne zabiegi chroniące darń przed wysychaniem, zaakceptowane przez Inżyniera.</w:t>
      </w:r>
    </w:p>
    <w:p w14:paraId="62E549BE"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5.5.1. </w:t>
      </w:r>
      <w:r w:rsidRPr="001667DB">
        <w:rPr>
          <w:rFonts w:ascii="Times New Roman" w:hAnsi="Times New Roman" w:cs="Times New Roman"/>
          <w:color w:val="000000" w:themeColor="text1"/>
        </w:rPr>
        <w:t>Darniowanie kożuchowe</w:t>
      </w:r>
    </w:p>
    <w:p w14:paraId="114ADFC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Darń układa się pasami poziomymi, rozpoczynając od dołu skarpy. Pas dolny powinien być oparty o element zabezpieczający podstawę skarpy. W przypadku braku zabezpieczenia podstawy skarpy, dolny pas darniny powinien być zagłębiony w dno rowu lub teren na głębokość od 5 do 8 cm. Pasy darniny należy układać tak, aby ściśle przylegały do siebie, ale nie zachodziły na siebie. Powstałe </w:t>
      </w:r>
      <w:r w:rsidRPr="001667DB">
        <w:rPr>
          <w:rFonts w:ascii="Times New Roman" w:hAnsi="Times New Roman" w:cs="Times New Roman"/>
          <w:color w:val="000000" w:themeColor="text1"/>
        </w:rPr>
        <w:lastRenderedPageBreak/>
        <w:t>szpary należy wypełnić odpowiednio przyciętymi kawałkami darniny. Ułożoną darninę należy uklepać drewnianym ubijakiem tak, aby darnina od strony korzeni przylegała ściśle do podłoża.</w:t>
      </w:r>
    </w:p>
    <w:p w14:paraId="0078BD41"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Wykonując darniowanie pod koniec okresu wegetacji oraz na skarpach o nachyleniu bardzo stromym, płaty darniny należy przybić szpilkami, w ilości nie mniejszej niż 16 szt./m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 xml:space="preserve"> i nie mniej niż 2 szt. na płat.</w:t>
      </w:r>
    </w:p>
    <w:p w14:paraId="33010ACE"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5.5.2. </w:t>
      </w:r>
      <w:r w:rsidRPr="001667DB">
        <w:rPr>
          <w:rFonts w:ascii="Times New Roman" w:hAnsi="Times New Roman" w:cs="Times New Roman"/>
          <w:color w:val="000000" w:themeColor="text1"/>
        </w:rPr>
        <w:t>Darniowanie w kratę</w:t>
      </w:r>
    </w:p>
    <w:p w14:paraId="4A08506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Umocnienie skarp przez darniowanie w kratę wykonuje się na wysokich nasypach (powyżej 3,5 m). Darniowanie w kratę należy wykonywać pasami nachylonymi do podstawy skarpy pod kątem 45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krzyżującymi się w taki sposób, aby tworzyły nie pokryte darniną kwadraty (okienka), o wymiarach zgodnych z dokumentacją projektową i SST. Ułożone w kratę płaty darniny należy uklepać ubijakiem i przybić do podłoża szpilkami.</w:t>
      </w:r>
    </w:p>
    <w:p w14:paraId="3C01ADB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Pola okienek powinny być obsiane mieszanką traw spełniającą wymagania PN-R-65023:1999 [9].</w:t>
      </w:r>
    </w:p>
    <w:p w14:paraId="277308DF"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5.6. Wykonanie hydroobsiewu</w:t>
      </w:r>
    </w:p>
    <w:p w14:paraId="03282B5B"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Hydroobsiew może być wykonywany wyłącznie przez przedsiębiorstwa posiadające doświadczenie w tej technologii umacniania skarp i rowów.</w:t>
      </w:r>
    </w:p>
    <w:p w14:paraId="3713FB74"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używane do hydroobsiewu powinny odpowiadać wymaganiom pktu 2, a sprzęt - pktu 3.</w:t>
      </w:r>
    </w:p>
    <w:p w14:paraId="14A2703B"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zaistnieje potrzeba wykonania odcinka próbnego (poletka doświadczalnego) to co najmniej na 40-60 dni przed rozpoczęciem robót (w zależności od rodzaju gruntu, siedliska, temperatury powietrza, możliwości polewania) Wykonawca wykona taki odcinek w celu stwierdzenia prawidłowości przyjętego składu mieszaniny do hydroobsiewu i równomierności pokrycia umacnianej powierzchni trawą. Do próby Wykonawca powinien użyć materiałów i sprzętu takich, jakie będą stosowane w czasie robót umacniających. Odcinek próbny powinien składać się co najmniej z dwóch poletek o powierzchniach min. 100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zlokalizowanych na zacienionej (np. północnej) i niezacienionej (np. południowej) skarpie.</w:t>
      </w:r>
    </w:p>
    <w:p w14:paraId="36B83ECE"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Hydroobsiewu przy użyciu osadów ściekowych nie można wykonywać w strefach ujęć wody oraz w odległości mniejszej niż 20 m od budynków i kąpielisk.</w:t>
      </w:r>
    </w:p>
    <w:p w14:paraId="554E479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Hydroobsiew powinien być wykonany możliwie w najkrótszym czasie po zakończeniu robót ziemnych, w okresie od 1 kwietnia do 15 października oraz, w razie potrzeby,  tuż po pierwszych jesiennych przymrozkach.</w:t>
      </w:r>
    </w:p>
    <w:p w14:paraId="371D5521"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Hydroobsiew należy wykonywać przy obsiewie:</w:t>
      </w:r>
    </w:p>
    <w:p w14:paraId="7B57B4B1" w14:textId="77777777" w:rsidR="00CC4443" w:rsidRPr="001667DB" w:rsidRDefault="00CC4443" w:rsidP="00904E6C">
      <w:pPr>
        <w:numPr>
          <w:ilvl w:val="0"/>
          <w:numId w:val="231"/>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gruntów humusowanych i żyznych - z zastosowaniem uwodnionej dawki osadów ściekowych (min. 12 l/m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o zawartości  4-6% suchej masy, z dodatkiem ściółki i nasion (min. 0,03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suchej masy),</w:t>
      </w:r>
    </w:p>
    <w:p w14:paraId="6EBBE51B" w14:textId="77777777" w:rsidR="00CC4443" w:rsidRPr="001667DB" w:rsidRDefault="00CC4443" w:rsidP="00904E6C">
      <w:pPr>
        <w:numPr>
          <w:ilvl w:val="0"/>
          <w:numId w:val="231"/>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gruntów ubogich i bezglebowych, z dawką odwodnionych osadów ściekowych zwiększoną do 30 l/m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przy zawartości 5-10% suchej masy.</w:t>
      </w:r>
    </w:p>
    <w:p w14:paraId="395131EC"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Hydroobsiew w zasadzie nie wymaga podlewania w czasie kiełkowania nasion i w okresie początkowego rozwoju roślin. Podlewanie może być potrzebne podczas długotrwałej suszy oraz ewentualnie, gdy wymagany jest szybki efekt porostu traw.</w:t>
      </w:r>
    </w:p>
    <w:p w14:paraId="7AF500F9"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zabiegów pielęgnacyjnych (pratotechnicznych) należy: koszenie (po wschodach), użyźnianie (np. nawozami azotowymi do 100 kg/ha) oraz ścinanie nierówności, kęp oraz kretowisk oraz nawadnianie w okresach suszy.</w:t>
      </w:r>
    </w:p>
    <w:p w14:paraId="24335349" w14:textId="77777777" w:rsidR="00CC4443" w:rsidRPr="001667DB"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6. KONTROLA JAKOŚCI ROBÓT</w:t>
      </w:r>
    </w:p>
    <w:p w14:paraId="600ED0B0" w14:textId="77777777" w:rsidR="00CC4443" w:rsidRPr="001667DB" w:rsidRDefault="00CC4443" w:rsidP="00AA7AC8">
      <w:pPr>
        <w:jc w:val="both"/>
        <w:rPr>
          <w:rFonts w:ascii="Times New Roman" w:hAnsi="Times New Roman" w:cs="Times New Roman"/>
          <w:color w:val="000000" w:themeColor="text1"/>
        </w:rPr>
      </w:pPr>
    </w:p>
    <w:p w14:paraId="3368E07B"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6.1. Ogólne zasady kontroli jakości robót</w:t>
      </w:r>
    </w:p>
    <w:p w14:paraId="5978A1C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w:t>
      </w:r>
    </w:p>
    <w:p w14:paraId="03E339FF"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6.2. Kontrola jakości humusowania i obsiania</w:t>
      </w:r>
    </w:p>
    <w:p w14:paraId="3F3491ED"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Kontrola polega na ocenie wizualnej jakości wykonanych robót i ich zgodności z SST, oraz na sprawdzeniu daty ważności świadectwa wartości siewnej wysianej mieszanki nasion traw.</w:t>
      </w:r>
    </w:p>
    <w:p w14:paraId="5ECF03F7"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 wzejściu roślin, łączna powierzchnia nie porośniętych miejsc nie powinna być większa niż 2% powierzchni obsianej skarpy, a maksymalny wymiar pojedynczych nie zatrawionych miejsc nie powinien przekraczać 0,2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Na zarośniętej powierzchni nie mogą występować wyżłobienia erozyjne ani lokalne zsuwy.</w:t>
      </w:r>
    </w:p>
    <w:p w14:paraId="46D816E3"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6.3. Kontrola jakości darniowania</w:t>
      </w:r>
    </w:p>
    <w:p w14:paraId="6AF2DB7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Kontrola polega na sprawdzeniu czy powierzchnia darniowana jest równa i nie ma widocznych szczelin i obsunięć, czy poszczególne płaty darniny nie wyróżniają się barwą charakteryzującą jej nieprzydatność oraz czy szpilki nie wystają ponad powierzchnię.</w:t>
      </w:r>
    </w:p>
    <w:p w14:paraId="01DACF6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powierzchni ok. 1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należy sprawdzić dokładność przylegania poszczególnych płatów darniny do siebie i do powierzchni gruntu.</w:t>
      </w:r>
    </w:p>
    <w:p w14:paraId="42548F65" w14:textId="77777777" w:rsidR="00CC4443" w:rsidRPr="001667DB" w:rsidRDefault="00CC4443" w:rsidP="00AA7AC8">
      <w:pPr>
        <w:overflowPunct w:val="0"/>
        <w:autoSpaceDE w:val="0"/>
        <w:spacing w:line="360" w:lineRule="auto"/>
        <w:ind w:left="283"/>
        <w:jc w:val="both"/>
        <w:rPr>
          <w:rFonts w:ascii="Times New Roman" w:hAnsi="Times New Roman" w:cs="Times New Roman"/>
          <w:color w:val="000000" w:themeColor="text1"/>
        </w:rPr>
      </w:pPr>
    </w:p>
    <w:p w14:paraId="410DE6C4"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7. OBMIAR ROBÓT</w:t>
      </w:r>
    </w:p>
    <w:p w14:paraId="4D5ACC36"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7.1. Ogólne zasady obmiaru robót</w:t>
      </w:r>
    </w:p>
    <w:p w14:paraId="2F5919BF"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pkt 7.</w:t>
      </w:r>
    </w:p>
    <w:p w14:paraId="083D7DF8"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7.2. Jednostka obmiarowa</w:t>
      </w:r>
    </w:p>
    <w:p w14:paraId="3A1654CE"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w:t>
      </w:r>
    </w:p>
    <w:p w14:paraId="05C04825"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powierzchni skarp i rowów umocnionych przez humusowanie, obsianie, darniowanie, brukowanie, ułożenie prefabrykatów wraz z betonowaniem, hydroobsiew </w:t>
      </w:r>
    </w:p>
    <w:p w14:paraId="3C9C56BC"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 (metr) ułożonego ścieku z elementów prefabrykowanych.</w:t>
      </w:r>
    </w:p>
    <w:p w14:paraId="54B832FA" w14:textId="77777777" w:rsidR="00CC4443" w:rsidRPr="001667DB" w:rsidRDefault="00CC4443" w:rsidP="00AA7AC8">
      <w:pPr>
        <w:overflowPunct w:val="0"/>
        <w:autoSpaceDE w:val="0"/>
        <w:spacing w:line="360" w:lineRule="auto"/>
        <w:ind w:left="283"/>
        <w:jc w:val="both"/>
        <w:rPr>
          <w:rFonts w:ascii="Times New Roman" w:hAnsi="Times New Roman" w:cs="Times New Roman"/>
          <w:color w:val="000000" w:themeColor="text1"/>
        </w:rPr>
      </w:pPr>
    </w:p>
    <w:p w14:paraId="39888201"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8. ODBIÓR ROBÓT</w:t>
      </w:r>
    </w:p>
    <w:p w14:paraId="44F02A64"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pkt 8.</w:t>
      </w:r>
    </w:p>
    <w:p w14:paraId="4C9729DA"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pktu 6 dały wyniki pozytywne.</w:t>
      </w:r>
    </w:p>
    <w:p w14:paraId="5E2D5CC5" w14:textId="77777777" w:rsidR="00CC4443" w:rsidRPr="001667DB" w:rsidRDefault="00CC4443" w:rsidP="00AA7AC8">
      <w:pPr>
        <w:spacing w:line="360" w:lineRule="auto"/>
        <w:jc w:val="both"/>
        <w:rPr>
          <w:rFonts w:ascii="Times New Roman" w:hAnsi="Times New Roman" w:cs="Times New Roman"/>
          <w:color w:val="000000" w:themeColor="text1"/>
        </w:rPr>
      </w:pPr>
    </w:p>
    <w:p w14:paraId="0D4CE3D6" w14:textId="77777777" w:rsidR="00CC4443" w:rsidRPr="00326BBF" w:rsidRDefault="00CC4443" w:rsidP="00AA7AC8">
      <w:pPr>
        <w:pStyle w:val="Nagwek1"/>
        <w:spacing w:before="0" w:after="0" w:line="360" w:lineRule="auto"/>
        <w:jc w:val="both"/>
        <w:rPr>
          <w:color w:val="000000" w:themeColor="text1"/>
          <w:sz w:val="22"/>
          <w:szCs w:val="22"/>
          <w:lang w:val="pl-PL"/>
        </w:rPr>
      </w:pPr>
      <w:r w:rsidRPr="001667DB">
        <w:rPr>
          <w:color w:val="000000" w:themeColor="text1"/>
          <w:sz w:val="22"/>
          <w:szCs w:val="22"/>
          <w:lang w:val="pl-PL"/>
        </w:rPr>
        <w:t>9. PODSTAWA PŁATNOŚCI</w:t>
      </w:r>
    </w:p>
    <w:p w14:paraId="59CD3C4B"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9.1. Ogólne ustalenia dotyczące podstawy płatności</w:t>
      </w:r>
    </w:p>
    <w:p w14:paraId="318EE1E3"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pkt 9.</w:t>
      </w:r>
    </w:p>
    <w:p w14:paraId="517C96BC" w14:textId="77777777" w:rsidR="00CC4443" w:rsidRPr="001667DB" w:rsidRDefault="00CC4443" w:rsidP="00AA7AC8">
      <w:pPr>
        <w:pStyle w:val="Nagwek2"/>
        <w:spacing w:before="0" w:after="0" w:line="360" w:lineRule="auto"/>
        <w:jc w:val="both"/>
        <w:rPr>
          <w:color w:val="000000" w:themeColor="text1"/>
          <w:sz w:val="22"/>
          <w:szCs w:val="22"/>
        </w:rPr>
      </w:pPr>
      <w:r w:rsidRPr="001667DB">
        <w:rPr>
          <w:color w:val="000000" w:themeColor="text1"/>
          <w:sz w:val="22"/>
          <w:szCs w:val="22"/>
          <w:u w:val="none"/>
        </w:rPr>
        <w:t>9.2. Cena jednostki obmiarowej</w:t>
      </w:r>
    </w:p>
    <w:p w14:paraId="33AF78E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1m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umocnienia skarp i rowów przez humusowanie, obsianie, brukowanie, hydroobsiew obejmuje:</w:t>
      </w:r>
    </w:p>
    <w:p w14:paraId="6DBDD7C8"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pomiarowe i przygotowawcze,</w:t>
      </w:r>
    </w:p>
    <w:p w14:paraId="270C17C2"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i wbudowanie materiałów,</w:t>
      </w:r>
    </w:p>
    <w:p w14:paraId="15F829F2"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pielęgnacja spoin,</w:t>
      </w:r>
    </w:p>
    <w:p w14:paraId="6C6DF2CA"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w:t>
      </w:r>
    </w:p>
    <w:p w14:paraId="51083355"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badań i pomiarów wymaganych w specyfikacji technicznej.</w:t>
      </w:r>
    </w:p>
    <w:p w14:paraId="42A618C6" w14:textId="77777777" w:rsidR="00CC4443" w:rsidRPr="001667DB" w:rsidRDefault="00CC4443" w:rsidP="00AA7AC8">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1 m ułożonego ścieku z elementów prefabrykowanych obejmuje:</w:t>
      </w:r>
    </w:p>
    <w:p w14:paraId="7911360C"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pomiarowe i przygotowawcze,</w:t>
      </w:r>
    </w:p>
    <w:p w14:paraId="24536D90"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wykonanie koryta,</w:t>
      </w:r>
    </w:p>
    <w:p w14:paraId="2F9EE2E3"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i wbudowanie materiałów,</w:t>
      </w:r>
    </w:p>
    <w:p w14:paraId="7D72F36E"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ułożenie prefabrykatów,</w:t>
      </w:r>
    </w:p>
    <w:p w14:paraId="3DF1C26A"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pielęgnacja spoin,</w:t>
      </w:r>
    </w:p>
    <w:p w14:paraId="7EBC354B"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uporządkowanie terenu,</w:t>
      </w:r>
    </w:p>
    <w:p w14:paraId="155587D1" w14:textId="77777777" w:rsidR="00CC4443" w:rsidRPr="001667DB" w:rsidRDefault="00CC4443" w:rsidP="00904E6C">
      <w:pPr>
        <w:numPr>
          <w:ilvl w:val="0"/>
          <w:numId w:val="226"/>
        </w:numPr>
        <w:tabs>
          <w:tab w:val="clear" w:pos="283"/>
          <w:tab w:val="left" w:pos="-1725"/>
          <w:tab w:val="left" w:pos="-1440"/>
          <w:tab w:val="left" w:pos="-1005"/>
          <w:tab w:val="left" w:pos="-720"/>
          <w:tab w:val="left" w:pos="-285"/>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badań i pomiarów wymaganych w specyfikacji technicznej.</w:t>
      </w:r>
    </w:p>
    <w:p w14:paraId="0D482349" w14:textId="77777777" w:rsidR="00CC4443" w:rsidRPr="001667DB" w:rsidRDefault="00CC4443">
      <w:pPr>
        <w:overflowPunct w:val="0"/>
        <w:autoSpaceDE w:val="0"/>
        <w:spacing w:line="360" w:lineRule="auto"/>
        <w:ind w:left="283"/>
        <w:rPr>
          <w:rFonts w:ascii="Times New Roman" w:hAnsi="Times New Roman" w:cs="Times New Roman"/>
          <w:color w:val="000000" w:themeColor="text1"/>
        </w:rPr>
      </w:pPr>
    </w:p>
    <w:p w14:paraId="237E7080" w14:textId="77777777" w:rsidR="00CC4443" w:rsidRPr="001667DB" w:rsidRDefault="00CC4443">
      <w:pPr>
        <w:pStyle w:val="Nagwek1"/>
        <w:spacing w:before="0" w:after="0" w:line="360" w:lineRule="auto"/>
        <w:rPr>
          <w:color w:val="000000" w:themeColor="text1"/>
          <w:sz w:val="22"/>
          <w:szCs w:val="22"/>
        </w:rPr>
      </w:pPr>
      <w:r w:rsidRPr="001667DB">
        <w:rPr>
          <w:color w:val="000000" w:themeColor="text1"/>
          <w:sz w:val="22"/>
          <w:szCs w:val="22"/>
        </w:rPr>
        <w:lastRenderedPageBreak/>
        <w:t>10. PRZEPISY ZWIĄZANE</w:t>
      </w:r>
    </w:p>
    <w:p w14:paraId="44AEB531" w14:textId="77777777" w:rsidR="00CC4443" w:rsidRPr="001667DB" w:rsidRDefault="00CC4443">
      <w:pPr>
        <w:pStyle w:val="Nagwek2"/>
        <w:spacing w:before="0" w:after="0" w:line="360" w:lineRule="auto"/>
        <w:rPr>
          <w:color w:val="000000" w:themeColor="text1"/>
          <w:sz w:val="22"/>
          <w:szCs w:val="22"/>
        </w:rPr>
      </w:pPr>
      <w:r w:rsidRPr="001667DB">
        <w:rPr>
          <w:color w:val="000000" w:themeColor="text1"/>
          <w:sz w:val="22"/>
          <w:szCs w:val="22"/>
        </w:rPr>
        <w:t>Normy</w:t>
      </w:r>
    </w:p>
    <w:tbl>
      <w:tblPr>
        <w:tblW w:w="0" w:type="auto"/>
        <w:tblLayout w:type="fixed"/>
        <w:tblCellMar>
          <w:left w:w="70" w:type="dxa"/>
          <w:right w:w="70" w:type="dxa"/>
        </w:tblCellMar>
        <w:tblLook w:val="0000" w:firstRow="0" w:lastRow="0" w:firstColumn="0" w:lastColumn="0" w:noHBand="0" w:noVBand="0"/>
      </w:tblPr>
      <w:tblGrid>
        <w:gridCol w:w="2197"/>
        <w:gridCol w:w="6300"/>
      </w:tblGrid>
      <w:tr w:rsidR="00CC4443" w:rsidRPr="001667DB" w14:paraId="26CAA4DC" w14:textId="77777777">
        <w:tc>
          <w:tcPr>
            <w:tcW w:w="2197" w:type="dxa"/>
            <w:shd w:val="clear" w:color="auto" w:fill="auto"/>
          </w:tcPr>
          <w:p w14:paraId="7D69F8B5"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1.   PN-B-11104:1960</w:t>
            </w:r>
          </w:p>
        </w:tc>
        <w:tc>
          <w:tcPr>
            <w:tcW w:w="6300" w:type="dxa"/>
            <w:shd w:val="clear" w:color="auto" w:fill="auto"/>
          </w:tcPr>
          <w:p w14:paraId="657724C6"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Materiały kamienne. Brukowiec</w:t>
            </w:r>
          </w:p>
        </w:tc>
      </w:tr>
      <w:tr w:rsidR="00CC4443" w:rsidRPr="001667DB" w14:paraId="41C18275" w14:textId="77777777">
        <w:tc>
          <w:tcPr>
            <w:tcW w:w="2197" w:type="dxa"/>
            <w:shd w:val="clear" w:color="auto" w:fill="auto"/>
          </w:tcPr>
          <w:p w14:paraId="47235919"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2. PN-EN13242+A1: 2010 </w:t>
            </w:r>
          </w:p>
        </w:tc>
        <w:tc>
          <w:tcPr>
            <w:tcW w:w="6300" w:type="dxa"/>
            <w:shd w:val="clear" w:color="auto" w:fill="auto"/>
          </w:tcPr>
          <w:p w14:paraId="321DF15E"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niezwiązanych i związanych hydraulicznie materiałów stosowanych w obiektach budowlanych i budownictwie drogowym </w:t>
            </w:r>
          </w:p>
        </w:tc>
      </w:tr>
      <w:tr w:rsidR="00CC4443" w:rsidRPr="001667DB" w14:paraId="19E43359" w14:textId="77777777">
        <w:tc>
          <w:tcPr>
            <w:tcW w:w="2197" w:type="dxa"/>
            <w:shd w:val="clear" w:color="auto" w:fill="auto"/>
          </w:tcPr>
          <w:p w14:paraId="37B69E24"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3.   PN-B-04481: 1988</w:t>
            </w:r>
          </w:p>
        </w:tc>
        <w:tc>
          <w:tcPr>
            <w:tcW w:w="6300" w:type="dxa"/>
            <w:shd w:val="clear" w:color="auto" w:fill="auto"/>
          </w:tcPr>
          <w:p w14:paraId="73DDAA89"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Grunty budowlane -- Badania próbek gruntu</w:t>
            </w:r>
          </w:p>
        </w:tc>
      </w:tr>
      <w:tr w:rsidR="00CC4443" w:rsidRPr="001667DB" w14:paraId="5FE8021E" w14:textId="77777777">
        <w:tc>
          <w:tcPr>
            <w:tcW w:w="2197" w:type="dxa"/>
            <w:shd w:val="clear" w:color="auto" w:fill="auto"/>
          </w:tcPr>
          <w:p w14:paraId="62928E42"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4.   PN-B-12074:1998</w:t>
            </w:r>
          </w:p>
        </w:tc>
        <w:tc>
          <w:tcPr>
            <w:tcW w:w="6300" w:type="dxa"/>
            <w:shd w:val="clear" w:color="auto" w:fill="auto"/>
          </w:tcPr>
          <w:p w14:paraId="2B686B45" w14:textId="77777777" w:rsidR="00CC4443" w:rsidRPr="001667DB" w:rsidRDefault="00CC4443">
            <w:pPr>
              <w:overflowPunct w:val="0"/>
              <w:autoSpaceDE w:val="0"/>
              <w:spacing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Urządzenia wodno-melioracyjne. Umacnianie i zadarnianie powierzchni biowłókniną. Wymagania i badania przy odbiorze</w:t>
            </w:r>
          </w:p>
        </w:tc>
      </w:tr>
      <w:tr w:rsidR="00CC4443" w:rsidRPr="001667DB" w14:paraId="1F8125D3" w14:textId="77777777">
        <w:tc>
          <w:tcPr>
            <w:tcW w:w="2197" w:type="dxa"/>
            <w:shd w:val="clear" w:color="auto" w:fill="auto"/>
          </w:tcPr>
          <w:p w14:paraId="62A620BF"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5.   PN-B-12099:1997</w:t>
            </w:r>
          </w:p>
        </w:tc>
        <w:tc>
          <w:tcPr>
            <w:tcW w:w="6300" w:type="dxa"/>
            <w:shd w:val="clear" w:color="auto" w:fill="auto"/>
          </w:tcPr>
          <w:p w14:paraId="1A433627"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Zagospodarowanie pomelioracyjne. Wymagania i metody badań</w:t>
            </w:r>
          </w:p>
        </w:tc>
      </w:tr>
      <w:tr w:rsidR="00CC4443" w:rsidRPr="001667DB" w14:paraId="4306F97B" w14:textId="77777777">
        <w:tc>
          <w:tcPr>
            <w:tcW w:w="2197" w:type="dxa"/>
            <w:shd w:val="clear" w:color="auto" w:fill="auto"/>
          </w:tcPr>
          <w:p w14:paraId="3894D736"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6.   PN-B-14501:1990</w:t>
            </w:r>
          </w:p>
        </w:tc>
        <w:tc>
          <w:tcPr>
            <w:tcW w:w="6300" w:type="dxa"/>
            <w:shd w:val="clear" w:color="auto" w:fill="auto"/>
          </w:tcPr>
          <w:p w14:paraId="4110F800"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Zaprawy budowlane zwykłe</w:t>
            </w:r>
          </w:p>
        </w:tc>
      </w:tr>
      <w:tr w:rsidR="00CC4443" w:rsidRPr="001667DB" w14:paraId="4ADCE18E" w14:textId="77777777">
        <w:tc>
          <w:tcPr>
            <w:tcW w:w="2197" w:type="dxa"/>
            <w:shd w:val="clear" w:color="auto" w:fill="auto"/>
          </w:tcPr>
          <w:p w14:paraId="7D9DC995"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lang w:val="en-US"/>
              </w:rPr>
              <w:t>7.   PN-B-19701:1997</w:t>
            </w:r>
          </w:p>
        </w:tc>
        <w:tc>
          <w:tcPr>
            <w:tcW w:w="6300" w:type="dxa"/>
            <w:shd w:val="clear" w:color="auto" w:fill="auto"/>
          </w:tcPr>
          <w:p w14:paraId="294B5A88"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Cement. Cement powszechnego użytku. Skład, wymagania  i ocena zgodności</w:t>
            </w:r>
          </w:p>
        </w:tc>
      </w:tr>
      <w:tr w:rsidR="00CC4443" w:rsidRPr="001667DB" w14:paraId="62433633" w14:textId="77777777">
        <w:tc>
          <w:tcPr>
            <w:tcW w:w="2197" w:type="dxa"/>
            <w:shd w:val="clear" w:color="auto" w:fill="auto"/>
          </w:tcPr>
          <w:p w14:paraId="16C5EFBC"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8.   PN-P-85012:1992</w:t>
            </w:r>
          </w:p>
        </w:tc>
        <w:tc>
          <w:tcPr>
            <w:tcW w:w="6300" w:type="dxa"/>
            <w:shd w:val="clear" w:color="auto" w:fill="auto"/>
          </w:tcPr>
          <w:p w14:paraId="428ACF65"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Wyroby powroźnicze. Sznurek polipropylenowy do maszyn rolniczych</w:t>
            </w:r>
          </w:p>
        </w:tc>
      </w:tr>
      <w:tr w:rsidR="00CC4443" w:rsidRPr="001667DB" w14:paraId="713F4B4D" w14:textId="77777777">
        <w:tc>
          <w:tcPr>
            <w:tcW w:w="2197" w:type="dxa"/>
            <w:shd w:val="clear" w:color="auto" w:fill="auto"/>
          </w:tcPr>
          <w:p w14:paraId="47831A91"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  9.   PN-R-65023:1999</w:t>
            </w:r>
          </w:p>
        </w:tc>
        <w:tc>
          <w:tcPr>
            <w:tcW w:w="6300" w:type="dxa"/>
            <w:shd w:val="clear" w:color="auto" w:fill="auto"/>
          </w:tcPr>
          <w:p w14:paraId="0B9F16ED"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Materiał siewny. Nasiona roślin rolniczych</w:t>
            </w:r>
          </w:p>
        </w:tc>
      </w:tr>
      <w:tr w:rsidR="00CC4443" w:rsidRPr="001667DB" w14:paraId="36DFFA46" w14:textId="77777777">
        <w:tc>
          <w:tcPr>
            <w:tcW w:w="2197" w:type="dxa"/>
            <w:shd w:val="clear" w:color="auto" w:fill="auto"/>
          </w:tcPr>
          <w:p w14:paraId="2438B492"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10.   PN-S-02205:1998</w:t>
            </w:r>
          </w:p>
        </w:tc>
        <w:tc>
          <w:tcPr>
            <w:tcW w:w="6300" w:type="dxa"/>
            <w:shd w:val="clear" w:color="auto" w:fill="auto"/>
          </w:tcPr>
          <w:p w14:paraId="2E741896"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Drogi samochodowe. Roboty ziemne. Wymagania i badania</w:t>
            </w:r>
          </w:p>
        </w:tc>
      </w:tr>
      <w:tr w:rsidR="00CC4443" w:rsidRPr="001667DB" w14:paraId="7D676064" w14:textId="77777777">
        <w:tc>
          <w:tcPr>
            <w:tcW w:w="2197" w:type="dxa"/>
            <w:shd w:val="clear" w:color="auto" w:fill="auto"/>
          </w:tcPr>
          <w:p w14:paraId="499129B8"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11.   PN-S-96035:1997</w:t>
            </w:r>
          </w:p>
        </w:tc>
        <w:tc>
          <w:tcPr>
            <w:tcW w:w="6300" w:type="dxa"/>
            <w:shd w:val="clear" w:color="auto" w:fill="auto"/>
          </w:tcPr>
          <w:p w14:paraId="60FA4CF6"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Drogi samochodowe. Popioły lotne</w:t>
            </w:r>
          </w:p>
        </w:tc>
      </w:tr>
      <w:tr w:rsidR="00CC4443" w:rsidRPr="001667DB" w14:paraId="575F2711" w14:textId="77777777">
        <w:tc>
          <w:tcPr>
            <w:tcW w:w="2197" w:type="dxa"/>
            <w:shd w:val="clear" w:color="auto" w:fill="auto"/>
          </w:tcPr>
          <w:p w14:paraId="01E9D32B"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12.   BN-88/6731-08</w:t>
            </w:r>
          </w:p>
        </w:tc>
        <w:tc>
          <w:tcPr>
            <w:tcW w:w="6300" w:type="dxa"/>
            <w:shd w:val="clear" w:color="auto" w:fill="auto"/>
          </w:tcPr>
          <w:p w14:paraId="0256CF66"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Cement. Transport i przechowywanie</w:t>
            </w:r>
          </w:p>
        </w:tc>
      </w:tr>
      <w:tr w:rsidR="00CC4443" w:rsidRPr="001667DB" w14:paraId="38200E42" w14:textId="77777777">
        <w:tc>
          <w:tcPr>
            <w:tcW w:w="2197" w:type="dxa"/>
            <w:shd w:val="clear" w:color="auto" w:fill="auto"/>
          </w:tcPr>
          <w:p w14:paraId="786A8BB0"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13.   BN-80/6775-03/04</w:t>
            </w:r>
          </w:p>
        </w:tc>
        <w:tc>
          <w:tcPr>
            <w:tcW w:w="6300" w:type="dxa"/>
            <w:shd w:val="clear" w:color="auto" w:fill="auto"/>
          </w:tcPr>
          <w:p w14:paraId="2A7DD34E" w14:textId="77777777" w:rsidR="00CC4443" w:rsidRPr="001667DB" w:rsidRDefault="00CC4443">
            <w:pPr>
              <w:overflowPunct w:val="0"/>
              <w:autoSpaceDE w:val="0"/>
              <w:spacing w:line="360" w:lineRule="auto"/>
              <w:rPr>
                <w:rFonts w:ascii="Times New Roman" w:hAnsi="Times New Roman" w:cs="Times New Roman"/>
                <w:color w:val="000000" w:themeColor="text1"/>
              </w:rPr>
            </w:pPr>
            <w:r w:rsidRPr="001667DB">
              <w:rPr>
                <w:rFonts w:ascii="Times New Roman" w:hAnsi="Times New Roman" w:cs="Times New Roman"/>
                <w:color w:val="000000" w:themeColor="text1"/>
              </w:rPr>
              <w:t>Prefabrykaty budowlane z betonu. Elementy nawierzchni dróg, ulic, parkingów i torowisk tramwajowych. Krawężniki i obrzeża chodnikowe</w:t>
            </w:r>
          </w:p>
        </w:tc>
      </w:tr>
    </w:tbl>
    <w:p w14:paraId="40CFD949" w14:textId="77777777" w:rsidR="00CC4443" w:rsidRPr="001667DB" w:rsidRDefault="00CC4443" w:rsidP="00904E6C">
      <w:pPr>
        <w:pStyle w:val="Nagwek2"/>
        <w:numPr>
          <w:ilvl w:val="1"/>
          <w:numId w:val="89"/>
        </w:numPr>
        <w:suppressAutoHyphens/>
        <w:spacing w:before="0" w:after="0" w:line="360" w:lineRule="auto"/>
        <w:rPr>
          <w:color w:val="000000" w:themeColor="text1"/>
          <w:sz w:val="22"/>
          <w:szCs w:val="22"/>
        </w:rPr>
      </w:pPr>
      <w:r w:rsidRPr="001667DB">
        <w:rPr>
          <w:color w:val="000000" w:themeColor="text1"/>
          <w:sz w:val="22"/>
          <w:szCs w:val="22"/>
          <w:u w:val="none"/>
        </w:rPr>
        <w:t>Inne materiały</w:t>
      </w:r>
    </w:p>
    <w:p w14:paraId="00CFA129" w14:textId="77777777" w:rsidR="00CC4443" w:rsidRPr="001667DB" w:rsidRDefault="00CC4443" w:rsidP="00904E6C">
      <w:pPr>
        <w:numPr>
          <w:ilvl w:val="0"/>
          <w:numId w:val="232"/>
        </w:numPr>
        <w:tabs>
          <w:tab w:val="left" w:pos="-1725"/>
          <w:tab w:val="left" w:pos="-1440"/>
          <w:tab w:val="left" w:pos="-1005"/>
          <w:tab w:val="left" w:pos="-720"/>
          <w:tab w:val="left" w:pos="-285"/>
          <w:tab w:val="left" w:pos="567"/>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Katalog powtarzalnych elementów drogowych (KPED), Transprojekt - Warszawa, 1979.</w:t>
      </w:r>
    </w:p>
    <w:p w14:paraId="38665AFE" w14:textId="77777777" w:rsidR="00CC4443" w:rsidRPr="001667DB" w:rsidRDefault="00CC4443" w:rsidP="00904E6C">
      <w:pPr>
        <w:numPr>
          <w:ilvl w:val="0"/>
          <w:numId w:val="232"/>
        </w:numPr>
        <w:tabs>
          <w:tab w:val="left" w:pos="-1725"/>
          <w:tab w:val="left" w:pos="-1440"/>
          <w:tab w:val="left" w:pos="-1005"/>
          <w:tab w:val="left" w:pos="-720"/>
          <w:tab w:val="left" w:pos="-285"/>
          <w:tab w:val="left" w:pos="567"/>
        </w:tabs>
        <w:suppressAutoHyphens/>
        <w:overflowPunct w:val="0"/>
        <w:autoSpaceDE w:val="0"/>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Warunki techniczne. Drogowe kationowe emulsje asfaltowe EmA-99. Informacje, instrukcje - zeszyt 60, IBDiM, Warszawa, 1999.</w:t>
      </w:r>
    </w:p>
    <w:p w14:paraId="49BD857C" w14:textId="77777777" w:rsidR="008D0D37" w:rsidRPr="00326BBF" w:rsidRDefault="008D0D37">
      <w:pPr>
        <w:rPr>
          <w:rFonts w:ascii="Times New Roman" w:eastAsia="Times New Roman" w:hAnsi="Times New Roman" w:cs="Times New Roman"/>
          <w:b/>
          <w:caps/>
          <w:color w:val="000000" w:themeColor="text1"/>
          <w:spacing w:val="-3"/>
          <w:kern w:val="28"/>
          <w:lang w:eastAsia="pl-PL"/>
        </w:rPr>
      </w:pPr>
      <w:bookmarkStart w:id="659" w:name="_Toc138042845"/>
      <w:bookmarkStart w:id="660" w:name="_Toc179178830"/>
      <w:r w:rsidRPr="001667DB">
        <w:rPr>
          <w:rFonts w:ascii="Times New Roman" w:hAnsi="Times New Roman" w:cs="Times New Roman"/>
          <w:color w:val="000000" w:themeColor="text1"/>
        </w:rPr>
        <w:br w:type="page"/>
      </w:r>
    </w:p>
    <w:p w14:paraId="06B6C8BB" w14:textId="77777777" w:rsidR="00CC4443" w:rsidRPr="00326BBF" w:rsidRDefault="00CC4443">
      <w:pPr>
        <w:pStyle w:val="Nagwek1"/>
        <w:rPr>
          <w:color w:val="000000" w:themeColor="text1"/>
          <w:sz w:val="22"/>
          <w:szCs w:val="22"/>
          <w:lang w:val="pl-PL"/>
        </w:rPr>
      </w:pPr>
      <w:r w:rsidRPr="00326BBF">
        <w:rPr>
          <w:color w:val="000000" w:themeColor="text1"/>
          <w:sz w:val="22"/>
          <w:szCs w:val="22"/>
          <w:lang w:val="pl-PL"/>
        </w:rPr>
        <w:lastRenderedPageBreak/>
        <w:t>D.06.02.01.a</w:t>
      </w:r>
      <w:r w:rsidRPr="00326BBF">
        <w:rPr>
          <w:color w:val="000000" w:themeColor="text1"/>
          <w:sz w:val="22"/>
          <w:szCs w:val="22"/>
          <w:lang w:val="pl-PL"/>
        </w:rPr>
        <w:tab/>
        <w:t xml:space="preserve">PRZEPUST Z RUR POLIETYLENOWYCH </w:t>
      </w:r>
    </w:p>
    <w:p w14:paraId="2D3F69E1" w14:textId="77777777" w:rsidR="00CC4443" w:rsidRPr="00326BBF" w:rsidRDefault="00CC4443">
      <w:pPr>
        <w:pStyle w:val="Nagwek1"/>
        <w:rPr>
          <w:color w:val="000000" w:themeColor="text1"/>
          <w:sz w:val="22"/>
          <w:szCs w:val="22"/>
          <w:lang w:val="pl-PL"/>
        </w:rPr>
      </w:pPr>
      <w:r w:rsidRPr="00326BBF">
        <w:rPr>
          <w:color w:val="000000" w:themeColor="text1"/>
          <w:sz w:val="22"/>
          <w:szCs w:val="22"/>
          <w:lang w:val="pl-PL"/>
        </w:rPr>
        <w:t>1. WSTĘP</w:t>
      </w:r>
      <w:bookmarkEnd w:id="659"/>
      <w:bookmarkEnd w:id="660"/>
    </w:p>
    <w:p w14:paraId="74CD9C33" w14:textId="77777777" w:rsidR="00CC4443" w:rsidRPr="001667DB" w:rsidRDefault="00CC4443">
      <w:pPr>
        <w:pStyle w:val="Nagwek2"/>
        <w:rPr>
          <w:color w:val="000000" w:themeColor="text1"/>
          <w:sz w:val="22"/>
          <w:szCs w:val="22"/>
        </w:rPr>
      </w:pPr>
      <w:r w:rsidRPr="001667DB">
        <w:rPr>
          <w:color w:val="000000" w:themeColor="text1"/>
          <w:sz w:val="22"/>
          <w:szCs w:val="22"/>
        </w:rPr>
        <w:t>1.1. Przedmiot ST</w:t>
      </w:r>
    </w:p>
    <w:p w14:paraId="0EEE4AF7" w14:textId="77777777" w:rsidR="00CC4443" w:rsidRPr="001667DB" w:rsidRDefault="00CC4443">
      <w:pPr>
        <w:pStyle w:val="Standardowytekst0"/>
        <w:rPr>
          <w:color w:val="000000" w:themeColor="text1"/>
          <w:sz w:val="22"/>
          <w:szCs w:val="22"/>
        </w:rPr>
      </w:pPr>
      <w:r w:rsidRPr="001667DB">
        <w:rPr>
          <w:color w:val="000000" w:themeColor="text1"/>
          <w:sz w:val="22"/>
          <w:szCs w:val="22"/>
        </w:rPr>
        <w:tab/>
        <w:t xml:space="preserve">Przedmiotem niniejszej specyfikacji technicznej (ST) są wymagania dotyczące wykonania i odbioru robót budowlanych związanych z wykonaniem przepustu z rur polietylenowych spiralnie karbowanych na potrzeby zadania pn: </w:t>
      </w:r>
      <w:r w:rsidR="00176EA9" w:rsidRPr="00FD3B41">
        <w:rPr>
          <w:b/>
          <w:color w:val="000000" w:themeColor="text1"/>
          <w:sz w:val="22"/>
          <w:szCs w:val="22"/>
        </w:rPr>
        <w:t>„Rozbudowa drogi wojewódzkiej nr 461 w m. Dąbrówka Łubniańska i Łubniany” – Etap I ( km od 9+741,88 do 10+371,13)</w:t>
      </w:r>
    </w:p>
    <w:p w14:paraId="66BE91B6" w14:textId="77777777" w:rsidR="00CC4443" w:rsidRPr="001667DB" w:rsidRDefault="00CC4443">
      <w:pPr>
        <w:pStyle w:val="Nagwek2"/>
        <w:rPr>
          <w:color w:val="000000" w:themeColor="text1"/>
          <w:sz w:val="22"/>
          <w:szCs w:val="22"/>
        </w:rPr>
      </w:pPr>
      <w:r w:rsidRPr="001667DB">
        <w:rPr>
          <w:color w:val="000000" w:themeColor="text1"/>
          <w:sz w:val="22"/>
          <w:szCs w:val="22"/>
        </w:rPr>
        <w:t>1.2. Zakres stosowania ST</w:t>
      </w:r>
    </w:p>
    <w:p w14:paraId="37E8E4DC" w14:textId="77777777" w:rsidR="00CC4443" w:rsidRPr="001667DB" w:rsidRDefault="00CC4443">
      <w:pPr>
        <w:pStyle w:val="Standardowytekst0"/>
        <w:rPr>
          <w:color w:val="000000" w:themeColor="text1"/>
          <w:sz w:val="22"/>
          <w:szCs w:val="22"/>
        </w:rPr>
      </w:pPr>
      <w:r w:rsidRPr="001667DB">
        <w:rPr>
          <w:color w:val="000000" w:themeColor="text1"/>
          <w:sz w:val="22"/>
          <w:szCs w:val="22"/>
        </w:rPr>
        <w:tab/>
      </w:r>
      <w:r w:rsidR="0008270D" w:rsidRPr="001667DB">
        <w:rPr>
          <w:color w:val="000000" w:themeColor="text1"/>
          <w:sz w:val="22"/>
          <w:szCs w:val="22"/>
        </w:rPr>
        <w:t>S</w:t>
      </w:r>
      <w:r w:rsidRPr="001667DB">
        <w:rPr>
          <w:color w:val="000000" w:themeColor="text1"/>
          <w:sz w:val="22"/>
          <w:szCs w:val="22"/>
        </w:rPr>
        <w:t>pecyfikacja techniczna (ST) jest materiałem pomocniczym do  opracowania specyfikacji technicznej wykonania i odbioru robót budowlanych (ST) stosowanej jako dokument przetargowy i kontraktowy przy zlecaniu i realizacji robót na drogach i ulicach.</w:t>
      </w:r>
    </w:p>
    <w:p w14:paraId="7CA09B6B" w14:textId="77777777" w:rsidR="00CC4443" w:rsidRPr="001667DB" w:rsidRDefault="00CC4443">
      <w:pPr>
        <w:pStyle w:val="Nagwek2"/>
        <w:rPr>
          <w:color w:val="000000" w:themeColor="text1"/>
          <w:sz w:val="22"/>
          <w:szCs w:val="22"/>
        </w:rPr>
      </w:pPr>
      <w:r w:rsidRPr="001667DB">
        <w:rPr>
          <w:color w:val="000000" w:themeColor="text1"/>
          <w:sz w:val="22"/>
          <w:szCs w:val="22"/>
        </w:rPr>
        <w:t>1.3. Zakres robót objętych ST</w:t>
      </w:r>
    </w:p>
    <w:p w14:paraId="38774D5C"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wykonaniem i odbiorem przepustu rurowego z polietylenu wysokiej gęstości (HDPE) z rur spiralnie karbowanych SN8.</w:t>
      </w:r>
    </w:p>
    <w:p w14:paraId="53DF9511" w14:textId="77777777" w:rsidR="00CC4443" w:rsidRPr="001667DB" w:rsidRDefault="00CC4443">
      <w:pPr>
        <w:pStyle w:val="Nagwek2"/>
        <w:rPr>
          <w:color w:val="000000" w:themeColor="text1"/>
          <w:sz w:val="22"/>
          <w:szCs w:val="22"/>
        </w:rPr>
      </w:pPr>
      <w:r w:rsidRPr="001667DB">
        <w:rPr>
          <w:color w:val="000000" w:themeColor="text1"/>
          <w:sz w:val="22"/>
          <w:szCs w:val="22"/>
        </w:rPr>
        <w:t>1.4. Określenia podstawowe</w:t>
      </w:r>
    </w:p>
    <w:p w14:paraId="4366946D" w14:textId="77777777" w:rsidR="00CC4443" w:rsidRPr="001667DB" w:rsidRDefault="00CC4443">
      <w:pPr>
        <w:spacing w:after="120"/>
        <w:rPr>
          <w:rFonts w:ascii="Times New Roman" w:hAnsi="Times New Roman" w:cs="Times New Roman"/>
          <w:b/>
          <w:color w:val="000000" w:themeColor="text1"/>
        </w:rPr>
      </w:pPr>
      <w:r w:rsidRPr="001667DB">
        <w:rPr>
          <w:rFonts w:ascii="Times New Roman" w:hAnsi="Times New Roman" w:cs="Times New Roman"/>
          <w:b/>
          <w:color w:val="000000" w:themeColor="text1"/>
        </w:rPr>
        <w:t xml:space="preserve">1.4.1. </w:t>
      </w:r>
      <w:r w:rsidRPr="001667DB">
        <w:rPr>
          <w:rFonts w:ascii="Times New Roman" w:hAnsi="Times New Roman" w:cs="Times New Roman"/>
          <w:color w:val="000000" w:themeColor="text1"/>
        </w:rPr>
        <w:t>Przepust – obiekt wybudowany w formie zamkniętej</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obudowy konstrukcyjnej, służący do przepływu małych cieków wodnych pod nasypem korpusu drogowego lub służący do ruchu kołowego i pieszego.</w:t>
      </w:r>
    </w:p>
    <w:p w14:paraId="5158FEFA" w14:textId="77777777" w:rsidR="00CC4443" w:rsidRPr="001667DB" w:rsidRDefault="00CC4443">
      <w:pPr>
        <w:spacing w:after="120"/>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1.4.2. </w:t>
      </w:r>
      <w:r w:rsidRPr="001667DB">
        <w:rPr>
          <w:rFonts w:ascii="Times New Roman" w:hAnsi="Times New Roman" w:cs="Times New Roman"/>
          <w:color w:val="000000" w:themeColor="text1"/>
        </w:rPr>
        <w:t>Przepust rurowy – przepust, którego konstrukcja nośna wykonana jest z rur.</w:t>
      </w:r>
    </w:p>
    <w:p w14:paraId="5E3A8D71"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1.4.3. </w:t>
      </w:r>
      <w:r w:rsidRPr="001667DB">
        <w:rPr>
          <w:rFonts w:ascii="Times New Roman" w:hAnsi="Times New Roman" w:cs="Times New Roman"/>
          <w:color w:val="000000" w:themeColor="text1"/>
        </w:rPr>
        <w:t>Przepust pod zjazdem – przepust (zwykle rurowy) pod urządzonym miejscem dostępu do drogi (zjazdem), uzgodnionym z zarządzającym drogą.</w:t>
      </w:r>
    </w:p>
    <w:p w14:paraId="075112FA" w14:textId="77777777" w:rsidR="00CC4443" w:rsidRPr="001667DB" w:rsidRDefault="00CC4443">
      <w:pPr>
        <w:spacing w:before="120" w:after="120"/>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1.4.4. </w:t>
      </w:r>
      <w:r w:rsidRPr="001667DB">
        <w:rPr>
          <w:rFonts w:ascii="Times New Roman" w:hAnsi="Times New Roman" w:cs="Times New Roman"/>
          <w:color w:val="000000" w:themeColor="text1"/>
        </w:rPr>
        <w:t>Polietylen HDPE – wysokoudarowa odmiana polietylenu wysokiej gęstości, charakteryzująca się dobrą odpornością na działanie roztworu soli i olejów mineralnych oraz ograniczoną odpornością na benzynę.</w:t>
      </w:r>
    </w:p>
    <w:p w14:paraId="4C51BC03" w14:textId="77777777" w:rsidR="00CC4443" w:rsidRPr="001667DB" w:rsidRDefault="00CC4443">
      <w:pPr>
        <w:spacing w:after="120"/>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1.4.5. </w:t>
      </w:r>
      <w:r w:rsidRPr="001667DB">
        <w:rPr>
          <w:rFonts w:ascii="Times New Roman" w:hAnsi="Times New Roman" w:cs="Times New Roman"/>
          <w:color w:val="000000" w:themeColor="text1"/>
        </w:rPr>
        <w:t>Przepust z rur polietylenowych spiralnie karbowanych – przepust rurowy z polietylenu HDPE, którego zewnętrzna powierzchnia rur jest ukształtowana w formie spiralnego karbu o wielkości i skoku zwoju dostosowanego do średnicy rury.</w:t>
      </w:r>
    </w:p>
    <w:p w14:paraId="76A6ABF5"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1.4.6. </w:t>
      </w:r>
      <w:r w:rsidRPr="001667DB">
        <w:rPr>
          <w:rFonts w:ascii="Times New Roman" w:hAnsi="Times New Roman" w:cs="Times New Roman"/>
          <w:color w:val="000000" w:themeColor="text1"/>
        </w:rPr>
        <w:t>Złączka do rur – element służący do połączenia dwóch odcinków rur, przy montażu przepustu.</w:t>
      </w:r>
    </w:p>
    <w:p w14:paraId="731FD348" w14:textId="77777777" w:rsidR="00CC4443" w:rsidRPr="001667DB" w:rsidRDefault="00CC4443">
      <w:pPr>
        <w:spacing w:before="120" w:after="120"/>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1.4.7. </w:t>
      </w:r>
      <w:r w:rsidRPr="001667DB">
        <w:rPr>
          <w:rFonts w:ascii="Times New Roman" w:hAnsi="Times New Roman" w:cs="Times New Roman"/>
          <w:color w:val="000000" w:themeColor="text1"/>
        </w:rPr>
        <w:t>Element zaciskowy – opaska zaciskowa lub śruba zaciskająca złączkę, przy łączeniu dwóch odcinków rur.</w:t>
      </w:r>
    </w:p>
    <w:p w14:paraId="26F965F9"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1.4.8. </w:t>
      </w:r>
      <w:r w:rsidRPr="001667DB">
        <w:rPr>
          <w:rFonts w:ascii="Times New Roman" w:hAnsi="Times New Roman" w:cs="Times New Roman"/>
          <w:color w:val="000000" w:themeColor="text1"/>
        </w:rPr>
        <w:t xml:space="preserve">Pozostałe określenia podstawowe są zgodne z obowiązującymi, odpowiednimi polskimi normami i z definicjami podanymi w ST D-M-00.00.00 „Wymagania ogólne” [1]  pkt 1.4. </w:t>
      </w:r>
    </w:p>
    <w:p w14:paraId="48C9BBD3" w14:textId="77777777" w:rsidR="00CC4443" w:rsidRPr="001667DB" w:rsidRDefault="00CC4443">
      <w:pPr>
        <w:pStyle w:val="Nagwek2"/>
        <w:rPr>
          <w:color w:val="000000" w:themeColor="text1"/>
          <w:sz w:val="22"/>
          <w:szCs w:val="22"/>
        </w:rPr>
      </w:pPr>
      <w:r w:rsidRPr="001667DB">
        <w:rPr>
          <w:color w:val="000000" w:themeColor="text1"/>
          <w:sz w:val="22"/>
          <w:szCs w:val="22"/>
        </w:rPr>
        <w:t>1.5. Ogólne wymagania dotyczące robót</w:t>
      </w:r>
    </w:p>
    <w:p w14:paraId="7E377A98"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D-M-00.00.00 „Wymagania ogólne” [1] pkt 1.5.</w:t>
      </w:r>
    </w:p>
    <w:p w14:paraId="31671D78" w14:textId="77777777" w:rsidR="00CC4443" w:rsidRPr="00326BBF" w:rsidRDefault="00CC4443" w:rsidP="00AA7AC8">
      <w:pPr>
        <w:pStyle w:val="Nagwek1"/>
        <w:jc w:val="both"/>
        <w:rPr>
          <w:color w:val="000000" w:themeColor="text1"/>
          <w:sz w:val="22"/>
          <w:szCs w:val="22"/>
          <w:lang w:val="pl-PL"/>
        </w:rPr>
      </w:pPr>
      <w:bookmarkStart w:id="661" w:name="_Toc421594980"/>
      <w:bookmarkStart w:id="662" w:name="_Toc507909780"/>
      <w:bookmarkStart w:id="663" w:name="_Toc507909887"/>
      <w:bookmarkStart w:id="664" w:name="_Toc138042846"/>
      <w:bookmarkStart w:id="665" w:name="_Toc179178831"/>
      <w:r w:rsidRPr="00326BBF">
        <w:rPr>
          <w:color w:val="000000" w:themeColor="text1"/>
          <w:sz w:val="22"/>
          <w:szCs w:val="22"/>
          <w:lang w:val="pl-PL"/>
        </w:rPr>
        <w:lastRenderedPageBreak/>
        <w:t>2. materiały</w:t>
      </w:r>
      <w:bookmarkEnd w:id="661"/>
      <w:bookmarkEnd w:id="662"/>
      <w:bookmarkEnd w:id="663"/>
      <w:bookmarkEnd w:id="664"/>
      <w:bookmarkEnd w:id="665"/>
    </w:p>
    <w:p w14:paraId="5BE24EFF"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2.1. Ogólne wymagania dotyczące materiałów</w:t>
      </w:r>
    </w:p>
    <w:p w14:paraId="13FD74A4"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D-M-00.00.00 „Wymagania ogólne” [1] pkt 2.</w:t>
      </w:r>
    </w:p>
    <w:p w14:paraId="7D706F8C"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2.2. Materiały do wykonania robót</w:t>
      </w:r>
    </w:p>
    <w:p w14:paraId="5D7441FF" w14:textId="77777777" w:rsidR="00CC4443" w:rsidRPr="001667DB" w:rsidRDefault="00CC4443" w:rsidP="00AA7AC8">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2.2.1. </w:t>
      </w:r>
      <w:r w:rsidRPr="001667DB">
        <w:rPr>
          <w:rFonts w:ascii="Times New Roman" w:hAnsi="Times New Roman" w:cs="Times New Roman"/>
          <w:color w:val="000000" w:themeColor="text1"/>
        </w:rPr>
        <w:t>Zgodność materiałów z dokumentacją projektową i aprobatą techniczną</w:t>
      </w:r>
    </w:p>
    <w:p w14:paraId="5014C274"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Materiały do wykonania robót powinny być zgodne z ustaleniami dokumentacji projektowej lub ST oraz aprobatą techniczną IBDiM. </w:t>
      </w:r>
    </w:p>
    <w:p w14:paraId="4774CEC8" w14:textId="77777777" w:rsidR="00CC4443" w:rsidRPr="001667DB" w:rsidRDefault="00CC4443" w:rsidP="00AA7AC8">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2.2.2. </w:t>
      </w:r>
      <w:r w:rsidRPr="001667DB">
        <w:rPr>
          <w:rFonts w:ascii="Times New Roman" w:hAnsi="Times New Roman" w:cs="Times New Roman"/>
          <w:color w:val="000000" w:themeColor="text1"/>
        </w:rPr>
        <w:t>Rodzaje materiałów</w:t>
      </w:r>
    </w:p>
    <w:p w14:paraId="672DA50C"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Materiałami stosowanymi przy wykonywaniu przepustu są:</w:t>
      </w:r>
    </w:p>
    <w:p w14:paraId="5D21A7C2" w14:textId="77777777" w:rsidR="00CC4443" w:rsidRPr="001667DB" w:rsidRDefault="00CC4443" w:rsidP="00904E6C">
      <w:pPr>
        <w:numPr>
          <w:ilvl w:val="0"/>
          <w:numId w:val="234"/>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rury polietylenowe HDPE spiralnie karbowane oraz ew. elementy łączące rury, jak złączki, paski zaciskowe lub śruby, odpowiadające wymaganiom aprobaty technicznej,</w:t>
      </w:r>
    </w:p>
    <w:p w14:paraId="6F2D949E" w14:textId="77777777" w:rsidR="00CC4443" w:rsidRPr="001667DB" w:rsidRDefault="00CC4443" w:rsidP="00904E6C">
      <w:pPr>
        <w:numPr>
          <w:ilvl w:val="0"/>
          <w:numId w:val="234"/>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materiał, stanowiący fundament pod rury i do zasypki przepustu, zgodny z dokumentacją projektową, np. mieszanka kruszywa naturalnego (pospółka) odpowiadająca wymaganiom PN-B-11111:1996 [7], o uziarnieniu 0÷20 mm lub 0÷31,5 mm,</w:t>
      </w:r>
    </w:p>
    <w:p w14:paraId="42AB54C1" w14:textId="77777777" w:rsidR="00CC4443" w:rsidRPr="001667DB" w:rsidRDefault="00CC4443" w:rsidP="00904E6C">
      <w:pPr>
        <w:numPr>
          <w:ilvl w:val="0"/>
          <w:numId w:val="234"/>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materiał do wykonania umocnienia skarp na wlocie i wylocie, zgodny z dokumentacją projektową, np. z:</w:t>
      </w:r>
    </w:p>
    <w:p w14:paraId="41DF448F" w14:textId="77777777" w:rsidR="00CC4443" w:rsidRPr="001667DB" w:rsidRDefault="00CC4443" w:rsidP="00904E6C">
      <w:pPr>
        <w:numPr>
          <w:ilvl w:val="1"/>
          <w:numId w:val="234"/>
        </w:numPr>
        <w:tabs>
          <w:tab w:val="clear" w:pos="1477"/>
          <w:tab w:val="num" w:pos="709"/>
        </w:tabs>
        <w:overflowPunct w:val="0"/>
        <w:autoSpaceDE w:val="0"/>
        <w:autoSpaceDN w:val="0"/>
        <w:adjustRightInd w:val="0"/>
        <w:spacing w:after="0" w:line="240" w:lineRule="auto"/>
        <w:ind w:hanging="10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brukowca, odpowiadającego wymaganiom ST D-06.01.01 [6],</w:t>
      </w:r>
    </w:p>
    <w:p w14:paraId="2D55F0A0" w14:textId="77777777" w:rsidR="00CC4443" w:rsidRPr="001667DB" w:rsidRDefault="00500186" w:rsidP="00904E6C">
      <w:pPr>
        <w:numPr>
          <w:ilvl w:val="1"/>
          <w:numId w:val="234"/>
        </w:numPr>
        <w:tabs>
          <w:tab w:val="clear" w:pos="1477"/>
          <w:tab w:val="num" w:pos="709"/>
        </w:tabs>
        <w:overflowPunct w:val="0"/>
        <w:autoSpaceDE w:val="0"/>
        <w:autoSpaceDN w:val="0"/>
        <w:adjustRightInd w:val="0"/>
        <w:spacing w:after="0" w:line="240" w:lineRule="auto"/>
        <w:ind w:hanging="1051"/>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betonowej koski</w:t>
      </w:r>
      <w:r w:rsidR="00CC4443" w:rsidRPr="001667DB">
        <w:rPr>
          <w:rFonts w:ascii="Times New Roman" w:hAnsi="Times New Roman" w:cs="Times New Roman"/>
          <w:color w:val="000000" w:themeColor="text1"/>
        </w:rPr>
        <w:t xml:space="preserve"> brukowej, odpowiadającej wymaganiom ST D-05.03.23a [5],</w:t>
      </w:r>
    </w:p>
    <w:p w14:paraId="54FCF953" w14:textId="77777777" w:rsidR="00CC4443" w:rsidRPr="001667DB" w:rsidRDefault="00CC4443" w:rsidP="00904E6C">
      <w:pPr>
        <w:numPr>
          <w:ilvl w:val="1"/>
          <w:numId w:val="234"/>
        </w:numPr>
        <w:tabs>
          <w:tab w:val="clear" w:pos="1477"/>
          <w:tab w:val="num" w:pos="709"/>
        </w:tabs>
        <w:overflowPunct w:val="0"/>
        <w:autoSpaceDE w:val="0"/>
        <w:autoSpaceDN w:val="0"/>
        <w:adjustRightInd w:val="0"/>
        <w:spacing w:after="0" w:line="240" w:lineRule="auto"/>
        <w:ind w:left="709" w:hanging="283"/>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geosyntetyków (np. geowłóknin, geosiatek, geomat), odpowiadających wymaganiom aprobat technicznych i ST D-06.01.01 [6].</w:t>
      </w:r>
    </w:p>
    <w:p w14:paraId="07F5BEC5" w14:textId="77777777" w:rsidR="00CC4443" w:rsidRPr="001667DB" w:rsidRDefault="00CC4443" w:rsidP="00AA7AC8">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2.2.3. </w:t>
      </w:r>
      <w:r w:rsidRPr="001667DB">
        <w:rPr>
          <w:rFonts w:ascii="Times New Roman" w:hAnsi="Times New Roman" w:cs="Times New Roman"/>
          <w:color w:val="000000" w:themeColor="text1"/>
        </w:rPr>
        <w:t>Składowanie materiałów</w:t>
      </w:r>
    </w:p>
    <w:p w14:paraId="79A44854"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Rury polietylenowe oraz złączki i paski zaciskowe należy przechowywać tak, aby nie uległy mechanicznemu uszkodzeniu.</w:t>
      </w:r>
    </w:p>
    <w:p w14:paraId="2E77CAA2"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Podłoże, na którym składuje się rury, musi być równe, umożliwiające spoczywanie rury na karbach na całej długości rury. Rury można składować warstwowo do wysokości max. </w:t>
      </w:r>
      <w:smartTag w:uri="urn:schemas-microsoft-com:office:smarttags" w:element="metricconverter">
        <w:smartTagPr>
          <w:attr w:name="ProductID" w:val="3,2 m"/>
        </w:smartTagPr>
        <w:r w:rsidRPr="001667DB">
          <w:rPr>
            <w:rFonts w:ascii="Times New Roman" w:hAnsi="Times New Roman" w:cs="Times New Roman"/>
            <w:color w:val="000000" w:themeColor="text1"/>
          </w:rPr>
          <w:t>3,2 m</w:t>
        </w:r>
      </w:smartTag>
      <w:r w:rsidRPr="001667DB">
        <w:rPr>
          <w:rFonts w:ascii="Times New Roman" w:hAnsi="Times New Roman" w:cs="Times New Roman"/>
          <w:color w:val="000000" w:themeColor="text1"/>
        </w:rPr>
        <w:t>. Rury układane swobodnie zaleca się układać warstwami prostopadłymi względem siebie. Układanie można wykonywać z podpórkami drewnianymi lub metalowymi zapobiegającymi przemieszczaniu rur. Kształt podpórek musi być taki, aby nie występował zbyt duży nacisk na sąsiednie warstwy rur, mogący spowodować ich uszkodzenie. Okres składowania na wolnym powietrzu nie powinien przekraczać 2 lat.</w:t>
      </w:r>
    </w:p>
    <w:p w14:paraId="44A5761A"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Składowanie innych materiałów powinno odpowiadać wymaganiom norm i ST wymienionych w punkcie 2.2.2.</w:t>
      </w:r>
    </w:p>
    <w:p w14:paraId="1AB0A7B4" w14:textId="77777777" w:rsidR="00CC4443" w:rsidRPr="00326BBF" w:rsidRDefault="00CC4443" w:rsidP="00AA7AC8">
      <w:pPr>
        <w:pStyle w:val="Nagwek1"/>
        <w:numPr>
          <w:ilvl w:val="12"/>
          <w:numId w:val="0"/>
        </w:numPr>
        <w:jc w:val="both"/>
        <w:rPr>
          <w:color w:val="000000" w:themeColor="text1"/>
          <w:sz w:val="22"/>
          <w:szCs w:val="22"/>
          <w:lang w:val="pl-PL"/>
        </w:rPr>
      </w:pPr>
      <w:bookmarkStart w:id="666" w:name="_Toc124213275"/>
      <w:bookmarkStart w:id="667" w:name="_Toc144694237"/>
      <w:bookmarkStart w:id="668" w:name="_Toc144793977"/>
      <w:bookmarkStart w:id="669" w:name="_Toc146429502"/>
      <w:bookmarkStart w:id="670" w:name="_Toc161023544"/>
      <w:bookmarkStart w:id="671" w:name="_Toc179178832"/>
      <w:r w:rsidRPr="00326BBF">
        <w:rPr>
          <w:color w:val="000000" w:themeColor="text1"/>
          <w:sz w:val="22"/>
          <w:szCs w:val="22"/>
          <w:lang w:val="pl-PL"/>
        </w:rPr>
        <w:t>3. sprzęt</w:t>
      </w:r>
      <w:bookmarkEnd w:id="666"/>
      <w:bookmarkEnd w:id="667"/>
      <w:bookmarkEnd w:id="668"/>
      <w:bookmarkEnd w:id="669"/>
      <w:bookmarkEnd w:id="670"/>
      <w:bookmarkEnd w:id="671"/>
    </w:p>
    <w:p w14:paraId="061E5938" w14:textId="77777777" w:rsidR="00CC4443" w:rsidRPr="001667DB" w:rsidRDefault="00CC4443" w:rsidP="00AA7AC8">
      <w:pPr>
        <w:pStyle w:val="Nagwek2"/>
        <w:numPr>
          <w:ilvl w:val="12"/>
          <w:numId w:val="0"/>
        </w:numPr>
        <w:jc w:val="both"/>
        <w:rPr>
          <w:color w:val="000000" w:themeColor="text1"/>
          <w:sz w:val="22"/>
          <w:szCs w:val="22"/>
        </w:rPr>
      </w:pPr>
      <w:r w:rsidRPr="001667DB">
        <w:rPr>
          <w:color w:val="000000" w:themeColor="text1"/>
          <w:sz w:val="22"/>
          <w:szCs w:val="22"/>
        </w:rPr>
        <w:t>3.1. Ogólne wymagania dotyczące sprzętu</w:t>
      </w:r>
    </w:p>
    <w:p w14:paraId="55516EFE" w14:textId="77777777" w:rsidR="00CC4443" w:rsidRPr="001667DB" w:rsidRDefault="00CC4443" w:rsidP="00AA7AC8">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D-M-00.00.00 „Wymagania ogólne” [1] pkt 3.</w:t>
      </w:r>
    </w:p>
    <w:p w14:paraId="301BE236"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3.2. Sprzęt stosowany do wykonania robót</w:t>
      </w:r>
    </w:p>
    <w:p w14:paraId="38C20696"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Przy wykonywaniu robót Wykonawca w zależności od potrzeb, powinien wykazać się możliwością korzystania ze sprzętu dostosowanego do przyjętej metody robót, jak np.:</w:t>
      </w:r>
    </w:p>
    <w:p w14:paraId="06838196" w14:textId="77777777" w:rsidR="00CC4443" w:rsidRPr="001667DB" w:rsidRDefault="00CC4443" w:rsidP="00904E6C">
      <w:pPr>
        <w:numPr>
          <w:ilvl w:val="0"/>
          <w:numId w:val="23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xml:space="preserve">koparką chwytakową na podwoziu gąsienicowym o pojemności łyżki </w:t>
      </w:r>
      <w:smartTag w:uri="urn:schemas-microsoft-com:office:smarttags" w:element="metricconverter">
        <w:smartTagPr>
          <w:attr w:name="ProductID" w:val="0,4 m3"/>
        </w:smartTagPr>
        <w:r w:rsidRPr="001667DB">
          <w:rPr>
            <w:rFonts w:ascii="Times New Roman" w:hAnsi="Times New Roman" w:cs="Times New Roman"/>
            <w:color w:val="000000" w:themeColor="text1"/>
          </w:rPr>
          <w:t>0,4 m</w:t>
        </w:r>
        <w:r w:rsidRPr="001667DB">
          <w:rPr>
            <w:rFonts w:ascii="Times New Roman" w:hAnsi="Times New Roman" w:cs="Times New Roman"/>
            <w:color w:val="000000" w:themeColor="text1"/>
            <w:vertAlign w:val="superscript"/>
          </w:rPr>
          <w:t>3</w:t>
        </w:r>
      </w:smartTag>
      <w:r w:rsidRPr="001667DB">
        <w:rPr>
          <w:rFonts w:ascii="Times New Roman" w:hAnsi="Times New Roman" w:cs="Times New Roman"/>
          <w:color w:val="000000" w:themeColor="text1"/>
        </w:rPr>
        <w:t>,</w:t>
      </w:r>
    </w:p>
    <w:p w14:paraId="7E0F09D7" w14:textId="77777777" w:rsidR="00CC4443" w:rsidRPr="001667DB" w:rsidRDefault="00CC4443" w:rsidP="00904E6C">
      <w:pPr>
        <w:numPr>
          <w:ilvl w:val="0"/>
          <w:numId w:val="23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ubijakiem spalinowym, płytą wibracyjną, walcem lub innym sprzętem zagęszczającym,</w:t>
      </w:r>
    </w:p>
    <w:p w14:paraId="21F97FB5" w14:textId="77777777" w:rsidR="00CC4443" w:rsidRPr="001667DB" w:rsidRDefault="00CC4443" w:rsidP="00904E6C">
      <w:pPr>
        <w:numPr>
          <w:ilvl w:val="0"/>
          <w:numId w:val="23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sprzętem transportowym,</w:t>
      </w:r>
    </w:p>
    <w:p w14:paraId="7BA50D4E" w14:textId="77777777" w:rsidR="00CC4443" w:rsidRPr="001667DB" w:rsidRDefault="00CC4443" w:rsidP="00904E6C">
      <w:pPr>
        <w:numPr>
          <w:ilvl w:val="0"/>
          <w:numId w:val="23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sprzętem do rozładunku rur, jak lekkim sprzętem dźwigowym, wózkami widłowymi (rozładunek może też być wykonywany ręcznie).</w:t>
      </w:r>
    </w:p>
    <w:p w14:paraId="05FC5F47"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Uwaga: W czasie rozładunku rur należy zwracać uwagę, żeby nie uszkodzić karbów, np. przez zbyt energiczne wyciąganie rur, co powoduje tarcie karbów o podłoże.</w:t>
      </w:r>
    </w:p>
    <w:p w14:paraId="3DDFD6AC"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Sprzęt powinien odpowiadać wymaganiom określonym w dokumentacji projektowej, ST, instrukcjach producentów lub propozycji Wykonawcy i powinien być zaakceptowany przez Inżyniera.</w:t>
      </w:r>
    </w:p>
    <w:p w14:paraId="4F3B60F2" w14:textId="77777777" w:rsidR="00CC4443" w:rsidRPr="00326BBF" w:rsidRDefault="00CC4443" w:rsidP="00AA7AC8">
      <w:pPr>
        <w:pStyle w:val="Nagwek1"/>
        <w:jc w:val="both"/>
        <w:rPr>
          <w:color w:val="000000" w:themeColor="text1"/>
          <w:sz w:val="22"/>
          <w:szCs w:val="22"/>
          <w:lang w:val="pl-PL"/>
        </w:rPr>
      </w:pPr>
      <w:bookmarkStart w:id="672" w:name="_Toc144793978"/>
      <w:bookmarkStart w:id="673" w:name="_Toc146429503"/>
      <w:bookmarkStart w:id="674" w:name="_Toc161023545"/>
      <w:bookmarkStart w:id="675" w:name="_Toc179178833"/>
      <w:r w:rsidRPr="00326BBF">
        <w:rPr>
          <w:color w:val="000000" w:themeColor="text1"/>
          <w:sz w:val="22"/>
          <w:szCs w:val="22"/>
          <w:lang w:val="pl-PL"/>
        </w:rPr>
        <w:t>4. TRANSPORT</w:t>
      </w:r>
      <w:bookmarkEnd w:id="672"/>
      <w:bookmarkEnd w:id="673"/>
      <w:bookmarkEnd w:id="674"/>
      <w:bookmarkEnd w:id="675"/>
    </w:p>
    <w:p w14:paraId="3403034D" w14:textId="77777777" w:rsidR="00CC4443" w:rsidRPr="001667DB" w:rsidRDefault="00CC4443" w:rsidP="00AA7AC8">
      <w:pPr>
        <w:pStyle w:val="Nagwek2"/>
        <w:numPr>
          <w:ilvl w:val="12"/>
          <w:numId w:val="0"/>
        </w:numPr>
        <w:jc w:val="both"/>
        <w:rPr>
          <w:color w:val="000000" w:themeColor="text1"/>
          <w:sz w:val="22"/>
          <w:szCs w:val="22"/>
        </w:rPr>
      </w:pPr>
      <w:r w:rsidRPr="001667DB">
        <w:rPr>
          <w:color w:val="000000" w:themeColor="text1"/>
          <w:sz w:val="22"/>
          <w:szCs w:val="22"/>
        </w:rPr>
        <w:t>4.1. Ogólne wymagania dotyczące transportu</w:t>
      </w:r>
    </w:p>
    <w:p w14:paraId="72A25D36" w14:textId="77777777" w:rsidR="00CC4443" w:rsidRPr="001667DB" w:rsidRDefault="00CC4443" w:rsidP="00AA7AC8">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D-M-00.00.00 „Wymagania ogólne” [1] pkt 4.</w:t>
      </w:r>
      <w:r w:rsidRPr="001667DB">
        <w:rPr>
          <w:rFonts w:ascii="Times New Roman" w:hAnsi="Times New Roman" w:cs="Times New Roman"/>
          <w:color w:val="000000" w:themeColor="text1"/>
        </w:rPr>
        <w:tab/>
      </w:r>
    </w:p>
    <w:p w14:paraId="59DEE251"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 xml:space="preserve">4.2. Transport materiałów </w:t>
      </w:r>
    </w:p>
    <w:p w14:paraId="569D2773"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sypkie i drobne przedmioty można przewozić dowolnymi środkami transportu, w warunkach zabezpieczających je przed zanieczyszczeniem, zmieszaniem z innymi materiałami i nadmiernym zawilgoceniem.</w:t>
      </w:r>
    </w:p>
    <w:p w14:paraId="65FF4170"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Rury należy ułożyć równomiernie na całej powierzchni ładunkowej obok siebie i zabezpieczyć przed możliwością przesuwania się podczas transportu. Nie należy dopuścić, aby więcej niż </w:t>
      </w:r>
      <w:smartTag w:uri="urn:schemas-microsoft-com:office:smarttags" w:element="metricconverter">
        <w:smartTagPr>
          <w:attr w:name="ProductID" w:val="1 m"/>
        </w:smartTagPr>
        <w:r w:rsidRPr="001667DB">
          <w:rPr>
            <w:rFonts w:ascii="Times New Roman" w:hAnsi="Times New Roman" w:cs="Times New Roman"/>
            <w:color w:val="000000" w:themeColor="text1"/>
          </w:rPr>
          <w:t>1 m</w:t>
        </w:r>
      </w:smartTag>
      <w:r w:rsidRPr="001667DB">
        <w:rPr>
          <w:rFonts w:ascii="Times New Roman" w:hAnsi="Times New Roman" w:cs="Times New Roman"/>
          <w:color w:val="000000" w:themeColor="text1"/>
        </w:rPr>
        <w:t xml:space="preserve"> rury wystawał poza obrys środka transportowego.</w:t>
      </w:r>
    </w:p>
    <w:p w14:paraId="0C7E5DA7"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Geosyntetyki należy zabezpieczyć przed nadmiernym zawilgoceniem, ogrzaniem, naświetleniem, chemikaliami, tłuszczami i przedmiotami mogącymi je przebić lub rozciąć.</w:t>
      </w:r>
    </w:p>
    <w:p w14:paraId="66DB7BB9" w14:textId="77777777" w:rsidR="00CC4443" w:rsidRPr="00326BBF" w:rsidRDefault="00CC4443" w:rsidP="00AA7AC8">
      <w:pPr>
        <w:pStyle w:val="Nagwek1"/>
        <w:jc w:val="both"/>
        <w:rPr>
          <w:color w:val="000000" w:themeColor="text1"/>
          <w:sz w:val="22"/>
          <w:szCs w:val="22"/>
          <w:lang w:val="pl-PL"/>
        </w:rPr>
      </w:pPr>
      <w:bookmarkStart w:id="676" w:name="_Toc131992896"/>
      <w:bookmarkStart w:id="677" w:name="_Toc161023546"/>
      <w:bookmarkStart w:id="678" w:name="_Toc179178834"/>
      <w:r w:rsidRPr="00326BBF">
        <w:rPr>
          <w:color w:val="000000" w:themeColor="text1"/>
          <w:sz w:val="22"/>
          <w:szCs w:val="22"/>
          <w:lang w:val="pl-PL"/>
        </w:rPr>
        <w:t>5. wykonanie robót</w:t>
      </w:r>
      <w:bookmarkEnd w:id="676"/>
      <w:bookmarkEnd w:id="677"/>
      <w:bookmarkEnd w:id="678"/>
    </w:p>
    <w:p w14:paraId="0D2660EC" w14:textId="77777777" w:rsidR="00CC4443" w:rsidRPr="001667DB" w:rsidRDefault="00CC4443" w:rsidP="00AA7AC8">
      <w:pPr>
        <w:pStyle w:val="Nagwek2"/>
        <w:numPr>
          <w:ilvl w:val="12"/>
          <w:numId w:val="0"/>
        </w:numPr>
        <w:jc w:val="both"/>
        <w:rPr>
          <w:color w:val="000000" w:themeColor="text1"/>
          <w:sz w:val="22"/>
          <w:szCs w:val="22"/>
        </w:rPr>
      </w:pPr>
      <w:r w:rsidRPr="001667DB">
        <w:rPr>
          <w:color w:val="000000" w:themeColor="text1"/>
          <w:sz w:val="22"/>
          <w:szCs w:val="22"/>
        </w:rPr>
        <w:t>5.1. Ogólne zasady wykonania robót</w:t>
      </w:r>
    </w:p>
    <w:p w14:paraId="1460E2C0" w14:textId="77777777" w:rsidR="00CC4443" w:rsidRPr="001667DB" w:rsidRDefault="00CC4443" w:rsidP="00AA7AC8">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D-M-00.00.00 „Wymagania ogólne” [1] pkt 5.</w:t>
      </w:r>
    </w:p>
    <w:p w14:paraId="63E7AF3F" w14:textId="77777777" w:rsidR="00CC4443" w:rsidRPr="001667DB" w:rsidRDefault="00CC4443" w:rsidP="00AA7AC8">
      <w:pPr>
        <w:numPr>
          <w:ilvl w:val="12"/>
          <w:numId w:val="0"/>
        </w:numPr>
        <w:jc w:val="both"/>
        <w:rPr>
          <w:rFonts w:ascii="Times New Roman" w:hAnsi="Times New Roman" w:cs="Times New Roman"/>
          <w:color w:val="000000" w:themeColor="text1"/>
        </w:rPr>
      </w:pPr>
    </w:p>
    <w:p w14:paraId="4A3AF960"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5.2. Zasady wykonywania robót</w:t>
      </w:r>
    </w:p>
    <w:p w14:paraId="537DAA85"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Sposób wykonania robót powinien być zgodny z dokumentacją projektową i ST. W przypadku braku wystarczających danych można korzystać z ustaleń podanych w niniejszej specyfikacji oraz z informacji podanych w załącznikach.</w:t>
      </w:r>
    </w:p>
    <w:p w14:paraId="17039792"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wykonywaniu robót obejmują:</w:t>
      </w:r>
    </w:p>
    <w:p w14:paraId="7FDA7B0D"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7BAF98B5"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wykopów, np. pod ławę,</w:t>
      </w:r>
    </w:p>
    <w:p w14:paraId="1A8242AE"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wykonanie fundamentu (ławy) pod rury, np. z mieszanki kruszywa naturalnego (pospółki), </w:t>
      </w:r>
    </w:p>
    <w:p w14:paraId="1244C87B"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ułożenie rury na ławie w jednym odcinku lub w odcinkach, wymagających połączenia kolejnych dwóch rur złączką,</w:t>
      </w:r>
    </w:p>
    <w:p w14:paraId="73CBE428"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zasypki przepustu,</w:t>
      </w:r>
    </w:p>
    <w:p w14:paraId="6FFCCBB0"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umocnienie skarp przy wlocie i wylocie przepustu,</w:t>
      </w:r>
    </w:p>
    <w:p w14:paraId="501F1433" w14:textId="77777777" w:rsidR="00CC4443" w:rsidRPr="001667DB" w:rsidRDefault="00CC4443" w:rsidP="00904E6C">
      <w:pPr>
        <w:numPr>
          <w:ilvl w:val="0"/>
          <w:numId w:val="236"/>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5356CCB5"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lastRenderedPageBreak/>
        <w:t>5.3. Roboty przygotowawcze</w:t>
      </w:r>
    </w:p>
    <w:p w14:paraId="43F80FF9"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1E89A398"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ustalić lokalizację robót,</w:t>
      </w:r>
    </w:p>
    <w:p w14:paraId="2155B36C"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przeprowadzić obliczenia i pomiary geodezyjne niezbędne do szczegółowego wytyczenia robót oraz ustalenia danych wysokościowych,</w:t>
      </w:r>
    </w:p>
    <w:p w14:paraId="6FD0E85C"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usunąć przeszkody, np. drzewa, krzaki, obiekty, elementy dróg, ogrodzeń itd.,</w:t>
      </w:r>
    </w:p>
    <w:p w14:paraId="3C6EFF1E"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ew. odwodnić teren budowy w zakresie uzgodnionym z Inżynierem.</w:t>
      </w:r>
    </w:p>
    <w:p w14:paraId="093DF8BE"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Zaleca się korzystanie z ustaleń ST D-01.00.00 [2] w zakresie niezbędnym do wykonania robót przygotowawczych. </w:t>
      </w:r>
    </w:p>
    <w:p w14:paraId="297C5882"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5.4. Wykonanie wykopów</w:t>
      </w:r>
    </w:p>
    <w:p w14:paraId="225C31A5"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Wykonanie wykopów pod ławę i ewentualne inne elementy robót powinno być zgodne z dokumentacją projektową. Dobór sprzętu i metody wykonania należy dostosować do rodzajów gruntu, objętości robót i odległości transportu.</w:t>
      </w:r>
    </w:p>
    <w:p w14:paraId="45E9462E"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Wykonanie wykopów powinno odpowia</w:t>
      </w:r>
      <w:r w:rsidR="006763FA">
        <w:rPr>
          <w:rFonts w:ascii="Times New Roman" w:hAnsi="Times New Roman" w:cs="Times New Roman"/>
          <w:color w:val="000000" w:themeColor="text1"/>
        </w:rPr>
        <w:t xml:space="preserve">dać wymaganiom określonym w ST </w:t>
      </w:r>
      <w:r w:rsidRPr="001667DB">
        <w:rPr>
          <w:rFonts w:ascii="Times New Roman" w:hAnsi="Times New Roman" w:cs="Times New Roman"/>
          <w:color w:val="000000" w:themeColor="text1"/>
        </w:rPr>
        <w:t>D-02.00.00 [3].</w:t>
      </w:r>
    </w:p>
    <w:p w14:paraId="2136383E"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Dno wykopu powinno być wyrównane z dokładnością co najmniej ± </w:t>
      </w:r>
      <w:smartTag w:uri="urn:schemas-microsoft-com:office:smarttags" w:element="metricconverter">
        <w:smartTagPr>
          <w:attr w:name="ProductID" w:val="2 cm"/>
        </w:smartTagPr>
        <w:r w:rsidRPr="001667DB">
          <w:rPr>
            <w:rFonts w:ascii="Times New Roman" w:hAnsi="Times New Roman" w:cs="Times New Roman"/>
            <w:color w:val="000000" w:themeColor="text1"/>
          </w:rPr>
          <w:t>2 cm</w:t>
        </w:r>
      </w:smartTag>
      <w:r w:rsidRPr="001667DB">
        <w:rPr>
          <w:rFonts w:ascii="Times New Roman" w:hAnsi="Times New Roman" w:cs="Times New Roman"/>
          <w:color w:val="000000" w:themeColor="text1"/>
        </w:rPr>
        <w:t>.</w:t>
      </w:r>
    </w:p>
    <w:p w14:paraId="38185AB8"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Wykop należy wykonać w takim okresie, aby po jego zakończeniu można było przystąpić do wykonywania przepustu.</w:t>
      </w:r>
    </w:p>
    <w:p w14:paraId="195D2787"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5.5. Ława pod przepustem</w:t>
      </w:r>
    </w:p>
    <w:p w14:paraId="25C221FD"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układania przepustu bezpośrednio na gruncie (np. piaszczystym), kształt podłoża powinien być wyprofilowany stosownie do kształtu spodu rury.</w:t>
      </w:r>
    </w:p>
    <w:p w14:paraId="239EA660"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Jeśli grunt podłoża wymaga rozłożenia nacisku, to rury przepustu powinny być układane na zagęszczonej warstwie podsypki (ławie) o grubości ustalonej w dokumentacji projektowej, z mieszanki kruszywa naturalnego o uziarnieniu np. 0÷20 mm, bez zanieczyszczeń. </w:t>
      </w:r>
    </w:p>
    <w:p w14:paraId="186184F3"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Podsypkę należy zagęścić do 0,98 Proctora normalnego. Górna jej warstwa o grubości równej wysokości karbu powinna być luźna, aby karby rury mogły swobodnie się w niej zagłębić.</w:t>
      </w:r>
    </w:p>
    <w:p w14:paraId="70360A1C"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Dopuszczalne odchyłki dla ław fundamentowych przepustu wynoszą:</w:t>
      </w:r>
    </w:p>
    <w:p w14:paraId="642EB7F9" w14:textId="77777777" w:rsidR="00CC4443" w:rsidRPr="001667DB" w:rsidRDefault="00CC4443" w:rsidP="00904E6C">
      <w:pPr>
        <w:numPr>
          <w:ilvl w:val="0"/>
          <w:numId w:val="241"/>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wymiarów w planie ±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w:t>
      </w:r>
    </w:p>
    <w:p w14:paraId="6F54C98F" w14:textId="77777777" w:rsidR="00CC4443" w:rsidRPr="001667DB" w:rsidRDefault="00CC4443" w:rsidP="00904E6C">
      <w:pPr>
        <w:numPr>
          <w:ilvl w:val="0"/>
          <w:numId w:val="241"/>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rzędnych wierzchu ławy ± </w:t>
      </w:r>
      <w:smartTag w:uri="urn:schemas-microsoft-com:office:smarttags" w:element="metricconverter">
        <w:smartTagPr>
          <w:attr w:name="ProductID" w:val="2 cm"/>
        </w:smartTagPr>
        <w:r w:rsidRPr="001667DB">
          <w:rPr>
            <w:rFonts w:ascii="Times New Roman" w:hAnsi="Times New Roman" w:cs="Times New Roman"/>
            <w:color w:val="000000" w:themeColor="text1"/>
          </w:rPr>
          <w:t>2 cm</w:t>
        </w:r>
      </w:smartTag>
      <w:r w:rsidRPr="001667DB">
        <w:rPr>
          <w:rFonts w:ascii="Times New Roman" w:hAnsi="Times New Roman" w:cs="Times New Roman"/>
          <w:color w:val="000000" w:themeColor="text1"/>
        </w:rPr>
        <w:t>.</w:t>
      </w:r>
    </w:p>
    <w:p w14:paraId="22C567B1"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5.6. Ułożenie rur przepustu na ławie</w:t>
      </w:r>
    </w:p>
    <w:p w14:paraId="0A27A4C8"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Ułożenia rury na ławie należy dokonać</w:t>
      </w:r>
      <w:r w:rsidR="006763FA">
        <w:rPr>
          <w:rFonts w:ascii="Times New Roman" w:hAnsi="Times New Roman" w:cs="Times New Roman"/>
          <w:color w:val="000000" w:themeColor="text1"/>
        </w:rPr>
        <w:t xml:space="preserve"> po zaniwelowaniu poziomu dna</w:t>
      </w:r>
      <w:r w:rsidRPr="001667DB">
        <w:rPr>
          <w:rFonts w:ascii="Times New Roman" w:hAnsi="Times New Roman" w:cs="Times New Roman"/>
          <w:color w:val="000000" w:themeColor="text1"/>
        </w:rPr>
        <w:t xml:space="preserve"> i wytyczeniu osi przepustu.</w:t>
      </w:r>
    </w:p>
    <w:p w14:paraId="2DE937F7"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Zaleca się układać rurę w jednym odcinku, jeśli możliwa jest dostawa rury o odpowiedniej długości, wynikająca z asortymentu produkcji i możliwości transportowych. W innych przypadkach, przepust złożony z dwóch lub większej liczby rur powinien mieć połączenia złączkami poszczególnych odcinków rur.</w:t>
      </w:r>
    </w:p>
    <w:p w14:paraId="6714D81E"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Łączenie dwóch odcinków rur polega na:</w:t>
      </w:r>
    </w:p>
    <w:p w14:paraId="25B3EB7D" w14:textId="77777777" w:rsidR="00CC4443" w:rsidRPr="001667DB" w:rsidRDefault="00CC4443" w:rsidP="00904E6C">
      <w:pPr>
        <w:numPr>
          <w:ilvl w:val="0"/>
          <w:numId w:val="237"/>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ułożeniu na ławie złączki,</w:t>
      </w:r>
    </w:p>
    <w:p w14:paraId="025DE62B" w14:textId="77777777" w:rsidR="00CC4443" w:rsidRPr="001667DB" w:rsidRDefault="00CC4443" w:rsidP="00904E6C">
      <w:pPr>
        <w:numPr>
          <w:ilvl w:val="0"/>
          <w:numId w:val="237"/>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położeniu na złączce dwóch sąsiednich końców rur,</w:t>
      </w:r>
    </w:p>
    <w:p w14:paraId="6753A53C" w14:textId="77777777" w:rsidR="00CC4443" w:rsidRPr="001667DB" w:rsidRDefault="00CC4443" w:rsidP="00904E6C">
      <w:pPr>
        <w:numPr>
          <w:ilvl w:val="0"/>
          <w:numId w:val="237"/>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zamknięciu złączki,</w:t>
      </w:r>
    </w:p>
    <w:p w14:paraId="0EF6CFAF" w14:textId="77777777" w:rsidR="00CC4443" w:rsidRPr="001667DB" w:rsidRDefault="00CC4443" w:rsidP="00904E6C">
      <w:pPr>
        <w:numPr>
          <w:ilvl w:val="0"/>
          <w:numId w:val="237"/>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założeniu w złączce pasków lub śrub zaciskowych i zaciągnięcie ich.</w:t>
      </w:r>
    </w:p>
    <w:p w14:paraId="2D8A31BC"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gdy przepust ułożono na ławie, po uprzednim połączeniu odcinków rur poza ławą, należy sprawdzić skuteczność połączeń między rurami.</w:t>
      </w:r>
    </w:p>
    <w:p w14:paraId="29A2C5E0"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Rurę przepustu po ułożeniu należy ustabilizować w taki sposób, aby nie zmieniła swojego położenia w czasie zasypywania przepustu. Można dokonać tego podsypką wspierającą.</w:t>
      </w:r>
    </w:p>
    <w:p w14:paraId="648DEE47"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Przycięcie skrajnych rur do płaszczyzny skarpy można wykonać przed montażem przepustu lub też na budowie po wykonaniu nasypu.</w:t>
      </w:r>
    </w:p>
    <w:p w14:paraId="33FAF3B5"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5.7. Zasypka przepustu</w:t>
      </w:r>
    </w:p>
    <w:p w14:paraId="3D643F65"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Zasypka przepustu do wysokości co najmniej </w:t>
      </w:r>
      <w:smartTag w:uri="urn:schemas-microsoft-com:office:smarttags" w:element="metricconverter">
        <w:smartTagPr>
          <w:attr w:name="ProductID" w:val="30 cm"/>
        </w:smartTagPr>
        <w:r w:rsidRPr="001667DB">
          <w:rPr>
            <w:rFonts w:ascii="Times New Roman" w:hAnsi="Times New Roman" w:cs="Times New Roman"/>
            <w:color w:val="000000" w:themeColor="text1"/>
          </w:rPr>
          <w:t>30 cm</w:t>
        </w:r>
      </w:smartTag>
      <w:r w:rsidRPr="001667DB">
        <w:rPr>
          <w:rFonts w:ascii="Times New Roman" w:hAnsi="Times New Roman" w:cs="Times New Roman"/>
          <w:color w:val="000000" w:themeColor="text1"/>
        </w:rPr>
        <w:t xml:space="preserve"> ponad górną krawędź przepustu zaleca się wykonać mieszanką kruszywa naturalnego o frakcji 0 ÷ </w:t>
      </w:r>
      <w:smartTag w:uri="urn:schemas-microsoft-com:office:smarttags" w:element="metricconverter">
        <w:smartTagPr>
          <w:attr w:name="ProductID" w:val="31,5 mm"/>
        </w:smartTagPr>
        <w:r w:rsidRPr="001667DB">
          <w:rPr>
            <w:rFonts w:ascii="Times New Roman" w:hAnsi="Times New Roman" w:cs="Times New Roman"/>
            <w:color w:val="000000" w:themeColor="text1"/>
          </w:rPr>
          <w:t>31,5 mm</w:t>
        </w:r>
      </w:smartTag>
      <w:r w:rsidRPr="001667DB">
        <w:rPr>
          <w:rFonts w:ascii="Times New Roman" w:hAnsi="Times New Roman" w:cs="Times New Roman"/>
          <w:color w:val="000000" w:themeColor="text1"/>
        </w:rPr>
        <w:t xml:space="preserve"> o klasie niejednorodności D5 lub piaskiem gruboziarnistym. Za zgodą Inżyniera, do zasypki można użyć piasku lub gruntu rodzimego.</w:t>
      </w:r>
    </w:p>
    <w:p w14:paraId="49E0DAF6"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Zasypka powinna być wykonywana:</w:t>
      </w:r>
    </w:p>
    <w:p w14:paraId="523CDDF7" w14:textId="77777777" w:rsidR="00CC4443" w:rsidRPr="001667DB" w:rsidRDefault="00CC4443" w:rsidP="00904E6C">
      <w:pPr>
        <w:numPr>
          <w:ilvl w:val="0"/>
          <w:numId w:val="238"/>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równomiernie i równocześnie z obu stron przepustu,</w:t>
      </w:r>
    </w:p>
    <w:p w14:paraId="041C3B54" w14:textId="77777777" w:rsidR="00CC4443" w:rsidRPr="001667DB" w:rsidRDefault="00CC4443" w:rsidP="00904E6C">
      <w:pPr>
        <w:numPr>
          <w:ilvl w:val="0"/>
          <w:numId w:val="238"/>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warstwami o grubości dostosowanej do wysokości zasypki, zagęszczonymi do wskaźnika zagęszczenia  ≥ 0,98,   </w:t>
      </w:r>
    </w:p>
    <w:p w14:paraId="4A1CBCE3" w14:textId="77777777" w:rsidR="00CC4443" w:rsidRPr="001667DB" w:rsidRDefault="00CC4443" w:rsidP="00904E6C">
      <w:pPr>
        <w:numPr>
          <w:ilvl w:val="0"/>
          <w:numId w:val="238"/>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ze zwróceniem uwagi, aby średnica ziaren kruszywa, układanego bezpośrednio na rurze, nie przekraczała wielkości skoku karbu zewnętrznego rury.</w:t>
      </w:r>
    </w:p>
    <w:p w14:paraId="4B873338"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Szczególnie starannie należy wykonać podsypkę wspierającą przepust, umieszczoną nad ławą. Materiał na podsypkę wspierającą powinien odpowiadać wymaganiom mieszanki z kruszywa 0÷20 mm dla ławy.</w:t>
      </w:r>
    </w:p>
    <w:p w14:paraId="1CC4D49F"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5.8. Umocnienie skarp przy wlocie i wylocie przepustu</w:t>
      </w:r>
    </w:p>
    <w:p w14:paraId="461D931B" w14:textId="77777777" w:rsidR="00CC4443" w:rsidRPr="001667DB" w:rsidRDefault="00CC4443" w:rsidP="00AA7AC8">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5.8.1. </w:t>
      </w:r>
      <w:r w:rsidRPr="001667DB">
        <w:rPr>
          <w:rFonts w:ascii="Times New Roman" w:hAnsi="Times New Roman" w:cs="Times New Roman"/>
          <w:color w:val="000000" w:themeColor="text1"/>
        </w:rPr>
        <w:t>Rodzaje umocnień skarp</w:t>
      </w:r>
    </w:p>
    <w:p w14:paraId="77A14740"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Umocnienie skarp przy wlocie i wylocie przepustu powinno odpowiadać ustaleniom dokumentacji projektowej. Umocnieniu podlega dno oraz skarpy.</w:t>
      </w:r>
    </w:p>
    <w:p w14:paraId="0137574B"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dokumentacja projektowa nie ustala inaczej, to umocnienie skarp można wykonać z:</w:t>
      </w:r>
    </w:p>
    <w:p w14:paraId="431C813B" w14:textId="77777777" w:rsidR="00CC4443" w:rsidRPr="001667DB" w:rsidRDefault="00CC4443" w:rsidP="00904E6C">
      <w:pPr>
        <w:numPr>
          <w:ilvl w:val="0"/>
          <w:numId w:val="239"/>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betonowej kostki brukowej,</w:t>
      </w:r>
    </w:p>
    <w:p w14:paraId="37969BFD" w14:textId="77777777" w:rsidR="00CC4443" w:rsidRPr="001667DB" w:rsidRDefault="00CC4443" w:rsidP="00904E6C">
      <w:pPr>
        <w:numPr>
          <w:ilvl w:val="0"/>
          <w:numId w:val="239"/>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brukowca, </w:t>
      </w:r>
    </w:p>
    <w:p w14:paraId="27EAF8E7" w14:textId="77777777" w:rsidR="00CC4443" w:rsidRPr="001667DB" w:rsidRDefault="00CC4443" w:rsidP="00904E6C">
      <w:pPr>
        <w:numPr>
          <w:ilvl w:val="0"/>
          <w:numId w:val="239"/>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geosyntetyku.</w:t>
      </w:r>
    </w:p>
    <w:p w14:paraId="7C5B6E09" w14:textId="77777777" w:rsidR="00CC4443" w:rsidRPr="001667DB" w:rsidRDefault="00CC4443" w:rsidP="00AA7AC8">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5.8.2. </w:t>
      </w:r>
      <w:r w:rsidRPr="001667DB">
        <w:rPr>
          <w:rFonts w:ascii="Times New Roman" w:hAnsi="Times New Roman" w:cs="Times New Roman"/>
          <w:color w:val="000000" w:themeColor="text1"/>
        </w:rPr>
        <w:t>Umocnienie skarpy betonową kistką brukową</w:t>
      </w:r>
    </w:p>
    <w:p w14:paraId="5A995158"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Betonowa kostka brukowa powinna odpowiadać wymaganiom ST D-05.03.23a [5], a sposób wykonania umocnienia powinien być zgodny z ustaleniami ST D-05.03.23a [5] i ST D-06.01.01 [6].</w:t>
      </w:r>
    </w:p>
    <w:p w14:paraId="46D28365" w14:textId="77777777" w:rsidR="00CC4443" w:rsidRPr="001667DB" w:rsidRDefault="00CC4443" w:rsidP="00AA7AC8">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5.8.3. </w:t>
      </w:r>
      <w:r w:rsidRPr="001667DB">
        <w:rPr>
          <w:rFonts w:ascii="Times New Roman" w:hAnsi="Times New Roman" w:cs="Times New Roman"/>
          <w:color w:val="000000" w:themeColor="text1"/>
        </w:rPr>
        <w:t>Umocnienie skarpy brukowcem</w:t>
      </w:r>
    </w:p>
    <w:p w14:paraId="15079F26"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Brukowiec i sposób wykonania umocnienia powinien odpowiadać wymaganiom ST D-06.01.01 [6].</w:t>
      </w:r>
    </w:p>
    <w:p w14:paraId="60712608" w14:textId="77777777" w:rsidR="00CC4443" w:rsidRPr="001667DB" w:rsidRDefault="00CC4443" w:rsidP="00AA7AC8">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5.8.4. </w:t>
      </w:r>
      <w:r w:rsidRPr="001667DB">
        <w:rPr>
          <w:rFonts w:ascii="Times New Roman" w:hAnsi="Times New Roman" w:cs="Times New Roman"/>
          <w:color w:val="000000" w:themeColor="text1"/>
        </w:rPr>
        <w:t>Umocnienie skarpy geosyntetykiem</w:t>
      </w:r>
    </w:p>
    <w:p w14:paraId="6FCCE7B5"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umocnienia skarp geosyntetykami można stosować:</w:t>
      </w:r>
    </w:p>
    <w:p w14:paraId="22E1ECB0" w14:textId="77777777" w:rsidR="00CC4443" w:rsidRPr="001667DB" w:rsidRDefault="00CC4443" w:rsidP="00904E6C">
      <w:pPr>
        <w:numPr>
          <w:ilvl w:val="0"/>
          <w:numId w:val="240"/>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geotekstylia, w tym przede wszystkim geowłókniny,</w:t>
      </w:r>
    </w:p>
    <w:p w14:paraId="5041DEFF" w14:textId="77777777" w:rsidR="00CC4443" w:rsidRPr="001667DB" w:rsidRDefault="00CC4443" w:rsidP="00904E6C">
      <w:pPr>
        <w:numPr>
          <w:ilvl w:val="0"/>
          <w:numId w:val="240"/>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geosiatki, płaskie lub komórkowe,</w:t>
      </w:r>
    </w:p>
    <w:p w14:paraId="0A14CC49" w14:textId="77777777" w:rsidR="00CC4443" w:rsidRPr="001667DB" w:rsidRDefault="00CC4443" w:rsidP="00904E6C">
      <w:pPr>
        <w:numPr>
          <w:ilvl w:val="0"/>
          <w:numId w:val="240"/>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geomaty, tj.siatki ze strukturą przestrzenną, w tym geomatę darniową z wcześniej wyhodowaną trawą do natychmiastowego utworzenia roślinnego pokrycia skarpy.</w:t>
      </w:r>
    </w:p>
    <w:p w14:paraId="5AEDB25B"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Ustalony geosyntetyk powinien odpowiadać wymaganiom i sposobowi wykonania umocnienia zgodnymi z ST D-06.01.01 [6].</w:t>
      </w:r>
    </w:p>
    <w:p w14:paraId="6BE042D8"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5.9. Roboty wykończeniowe</w:t>
      </w:r>
    </w:p>
    <w:p w14:paraId="157146FE"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 powinny być zgodne z dokumentacją projektową i ST. Do robót wykończeniowych należą prace związane z dostosowaniem wykonanych robót do istniejących warunków terenowych, takie jak:</w:t>
      </w:r>
    </w:p>
    <w:p w14:paraId="35BD2EC1"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odtworzenie przeszkód czasowo usuniętych, np. parkanów, ogrodzeń nawierzchni, chodników, krawężników itp.,</w:t>
      </w:r>
    </w:p>
    <w:p w14:paraId="35B76999"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niezbędne uzupełnienia zniszczonej w czasie robót roślinności, tj. zatrawienia,  krzewów, </w:t>
      </w:r>
    </w:p>
    <w:p w14:paraId="585AD0FF"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porządkujące otoczenie terenu robót.</w:t>
      </w:r>
    </w:p>
    <w:p w14:paraId="2F10AC3E" w14:textId="77777777" w:rsidR="00CC4443" w:rsidRPr="00326BBF" w:rsidRDefault="00CC4443" w:rsidP="00AA7AC8">
      <w:pPr>
        <w:pStyle w:val="Nagwek1"/>
        <w:jc w:val="both"/>
        <w:rPr>
          <w:color w:val="000000" w:themeColor="text1"/>
          <w:sz w:val="22"/>
          <w:szCs w:val="22"/>
          <w:lang w:val="pl-PL"/>
        </w:rPr>
      </w:pPr>
      <w:bookmarkStart w:id="679" w:name="_Toc179178835"/>
      <w:r w:rsidRPr="00326BBF">
        <w:rPr>
          <w:color w:val="000000" w:themeColor="text1"/>
          <w:sz w:val="22"/>
          <w:szCs w:val="22"/>
          <w:lang w:val="pl-PL"/>
        </w:rPr>
        <w:t>6. KONTROLA JAKOŚCI ROBÓT</w:t>
      </w:r>
      <w:bookmarkEnd w:id="679"/>
    </w:p>
    <w:p w14:paraId="2DAC85B0"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6.1. Ogólne zasady kontroli jakości robót</w:t>
      </w:r>
    </w:p>
    <w:p w14:paraId="4E918F7F"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D-M-00.00.00 „Wymagania ogólne” [1] pkt 6.</w:t>
      </w:r>
    </w:p>
    <w:p w14:paraId="413ADDD1"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6.2. Badania  przed przystąpieniem do robót</w:t>
      </w:r>
    </w:p>
    <w:p w14:paraId="0A5C7D3C"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193D2644" w14:textId="77777777" w:rsidR="00CC4443" w:rsidRPr="001667DB" w:rsidRDefault="00CC4443"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(aprobaty techniczne, certyfikaty zgodności, deklaracje zgodności, ew. badania materiałów wykonane przez dostawców itp.),</w:t>
      </w:r>
    </w:p>
    <w:p w14:paraId="59F1AC68" w14:textId="77777777" w:rsidR="00CC4443" w:rsidRPr="001667DB" w:rsidRDefault="00CC4443"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w pkcie 2,</w:t>
      </w:r>
    </w:p>
    <w:p w14:paraId="27700A58" w14:textId="77777777" w:rsidR="00CC4443" w:rsidRPr="001667DB" w:rsidRDefault="00CC4443"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sprawdzić cechy zewnętrzne gotowych materiałów z tworzyw i prefabrykowanych.</w:t>
      </w:r>
    </w:p>
    <w:p w14:paraId="10498F6A"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Wszystkie dokumenty oraz wyniki badań Wykonawca przedstawia Inżynierowi do akceptacji.</w:t>
      </w:r>
    </w:p>
    <w:p w14:paraId="710F86E2" w14:textId="77777777" w:rsidR="00CC4443" w:rsidRPr="001667DB" w:rsidRDefault="00CC4443" w:rsidP="00AA7AC8">
      <w:pPr>
        <w:pStyle w:val="Nagwek2"/>
        <w:numPr>
          <w:ilvl w:val="12"/>
          <w:numId w:val="0"/>
        </w:numPr>
        <w:jc w:val="both"/>
        <w:rPr>
          <w:color w:val="000000" w:themeColor="text1"/>
          <w:sz w:val="22"/>
          <w:szCs w:val="22"/>
        </w:rPr>
      </w:pPr>
      <w:r w:rsidRPr="001667DB">
        <w:rPr>
          <w:color w:val="000000" w:themeColor="text1"/>
          <w:sz w:val="22"/>
          <w:szCs w:val="22"/>
        </w:rPr>
        <w:t>6.3. Badania w czasie robót</w:t>
      </w:r>
    </w:p>
    <w:p w14:paraId="7BB680D6" w14:textId="77777777" w:rsidR="00CC4443" w:rsidRPr="001667DB" w:rsidRDefault="00CC4443" w:rsidP="00AA7AC8">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Częstotliwość oraz zakres badań i pomiarów, które należy wykonać w czasie robót  podaje tablica 1.</w:t>
      </w:r>
    </w:p>
    <w:p w14:paraId="237991F2" w14:textId="77777777" w:rsidR="00CC4443" w:rsidRPr="001667DB" w:rsidRDefault="00CC4443">
      <w:pPr>
        <w:numPr>
          <w:ilvl w:val="12"/>
          <w:numId w:val="0"/>
        </w:numPr>
        <w:spacing w:before="120" w:after="120"/>
        <w:rPr>
          <w:rFonts w:ascii="Times New Roman" w:hAnsi="Times New Roman" w:cs="Times New Roman"/>
          <w:color w:val="000000" w:themeColor="text1"/>
        </w:rPr>
      </w:pPr>
      <w:r w:rsidRPr="001667DB">
        <w:rPr>
          <w:rFonts w:ascii="Times New Roman" w:hAnsi="Times New Roman" w:cs="Times New Roman"/>
          <w:color w:val="000000" w:themeColor="text1"/>
        </w:rPr>
        <w:t>Tablica 1. Częstotliwość oraz zakres badań i pomiarów w czasie robót</w:t>
      </w:r>
    </w:p>
    <w:tbl>
      <w:tblPr>
        <w:tblW w:w="75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118"/>
        <w:gridCol w:w="1559"/>
        <w:gridCol w:w="2410"/>
      </w:tblGrid>
      <w:tr w:rsidR="00CC4443" w:rsidRPr="001667DB" w14:paraId="2732A16A" w14:textId="77777777">
        <w:tc>
          <w:tcPr>
            <w:tcW w:w="496" w:type="dxa"/>
            <w:tcBorders>
              <w:bottom w:val="double" w:sz="6" w:space="0" w:color="auto"/>
            </w:tcBorders>
          </w:tcPr>
          <w:p w14:paraId="09E0C2AA" w14:textId="77777777" w:rsidR="00CC4443" w:rsidRPr="001667DB" w:rsidRDefault="00CC4443">
            <w:pPr>
              <w:numPr>
                <w:ilvl w:val="12"/>
                <w:numId w:val="0"/>
              </w:num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118" w:type="dxa"/>
            <w:tcBorders>
              <w:bottom w:val="double" w:sz="6" w:space="0" w:color="auto"/>
            </w:tcBorders>
          </w:tcPr>
          <w:p w14:paraId="0E98ADC1" w14:textId="77777777" w:rsidR="00CC4443" w:rsidRPr="001667DB" w:rsidRDefault="00CC4443">
            <w:pPr>
              <w:numPr>
                <w:ilvl w:val="12"/>
                <w:numId w:val="0"/>
              </w:num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Wyszczególnienie robót</w:t>
            </w:r>
          </w:p>
        </w:tc>
        <w:tc>
          <w:tcPr>
            <w:tcW w:w="1559" w:type="dxa"/>
            <w:tcBorders>
              <w:bottom w:val="double" w:sz="6" w:space="0" w:color="auto"/>
            </w:tcBorders>
          </w:tcPr>
          <w:p w14:paraId="124E8F38" w14:textId="77777777" w:rsidR="00CC4443" w:rsidRPr="001667DB" w:rsidRDefault="00CC4443">
            <w:pPr>
              <w:numPr>
                <w:ilvl w:val="12"/>
                <w:numId w:val="0"/>
              </w:numPr>
              <w:jc w:val="center"/>
              <w:rPr>
                <w:rFonts w:ascii="Times New Roman" w:hAnsi="Times New Roman" w:cs="Times New Roman"/>
                <w:color w:val="000000" w:themeColor="text1"/>
              </w:rPr>
            </w:pPr>
            <w:r w:rsidRPr="001667DB">
              <w:rPr>
                <w:rFonts w:ascii="Times New Roman" w:hAnsi="Times New Roman" w:cs="Times New Roman"/>
                <w:color w:val="000000" w:themeColor="text1"/>
              </w:rPr>
              <w:t>Częstotliwość badań</w:t>
            </w:r>
          </w:p>
        </w:tc>
        <w:tc>
          <w:tcPr>
            <w:tcW w:w="2410" w:type="dxa"/>
            <w:tcBorders>
              <w:bottom w:val="double" w:sz="6" w:space="0" w:color="auto"/>
            </w:tcBorders>
          </w:tcPr>
          <w:p w14:paraId="6AD92378" w14:textId="77777777" w:rsidR="00CC4443" w:rsidRPr="001667DB" w:rsidRDefault="00CC4443">
            <w:pPr>
              <w:numPr>
                <w:ilvl w:val="12"/>
                <w:numId w:val="0"/>
              </w:num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dopuszczalne</w:t>
            </w:r>
          </w:p>
        </w:tc>
      </w:tr>
      <w:tr w:rsidR="00CC4443" w:rsidRPr="001667DB" w14:paraId="50E6C721" w14:textId="77777777">
        <w:tc>
          <w:tcPr>
            <w:tcW w:w="496" w:type="dxa"/>
            <w:tcBorders>
              <w:top w:val="nil"/>
            </w:tcBorders>
          </w:tcPr>
          <w:p w14:paraId="5C672BDC" w14:textId="77777777" w:rsidR="00CC4443" w:rsidRPr="001667DB" w:rsidRDefault="00CC4443">
            <w:pPr>
              <w:numPr>
                <w:ilvl w:val="12"/>
                <w:numId w:val="0"/>
              </w:numPr>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118" w:type="dxa"/>
            <w:tcBorders>
              <w:top w:val="nil"/>
            </w:tcBorders>
          </w:tcPr>
          <w:p w14:paraId="7D0A7447" w14:textId="77777777" w:rsidR="00CC4443" w:rsidRPr="001667DB" w:rsidRDefault="00CC4443">
            <w:pPr>
              <w:numPr>
                <w:ilvl w:val="12"/>
                <w:numId w:val="0"/>
              </w:numPr>
              <w:rPr>
                <w:rFonts w:ascii="Times New Roman" w:hAnsi="Times New Roman" w:cs="Times New Roman"/>
                <w:color w:val="000000" w:themeColor="text1"/>
              </w:rPr>
            </w:pPr>
            <w:r w:rsidRPr="001667DB">
              <w:rPr>
                <w:rFonts w:ascii="Times New Roman" w:hAnsi="Times New Roman" w:cs="Times New Roman"/>
                <w:color w:val="000000" w:themeColor="text1"/>
              </w:rPr>
              <w:t>Lokalizacja i zgodność granic terenu robót z dokumentacją projektową</w:t>
            </w:r>
          </w:p>
        </w:tc>
        <w:tc>
          <w:tcPr>
            <w:tcW w:w="1559" w:type="dxa"/>
            <w:tcBorders>
              <w:top w:val="nil"/>
            </w:tcBorders>
          </w:tcPr>
          <w:p w14:paraId="151BD470" w14:textId="77777777" w:rsidR="00CC4443" w:rsidRPr="001667DB" w:rsidRDefault="00CC4443">
            <w:pPr>
              <w:numPr>
                <w:ilvl w:val="12"/>
                <w:numId w:val="0"/>
              </w:num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1 raz</w:t>
            </w:r>
          </w:p>
        </w:tc>
        <w:tc>
          <w:tcPr>
            <w:tcW w:w="2410" w:type="dxa"/>
            <w:tcBorders>
              <w:top w:val="nil"/>
            </w:tcBorders>
          </w:tcPr>
          <w:p w14:paraId="67B17DEA" w14:textId="77777777" w:rsidR="00CC4443" w:rsidRPr="001667DB" w:rsidRDefault="00CC4443">
            <w:pPr>
              <w:numPr>
                <w:ilvl w:val="12"/>
                <w:numId w:val="0"/>
              </w:numPr>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 i dokumentacji</w:t>
            </w:r>
          </w:p>
          <w:p w14:paraId="1F3860D0" w14:textId="77777777" w:rsidR="00CC4443" w:rsidRPr="001667DB" w:rsidRDefault="00CC4443">
            <w:pPr>
              <w:numPr>
                <w:ilvl w:val="12"/>
                <w:numId w:val="0"/>
              </w:numPr>
              <w:jc w:val="center"/>
              <w:rPr>
                <w:rFonts w:ascii="Times New Roman" w:hAnsi="Times New Roman" w:cs="Times New Roman"/>
                <w:color w:val="000000" w:themeColor="text1"/>
              </w:rPr>
            </w:pPr>
            <w:r w:rsidRPr="001667DB">
              <w:rPr>
                <w:rFonts w:ascii="Times New Roman" w:hAnsi="Times New Roman" w:cs="Times New Roman"/>
                <w:color w:val="000000" w:themeColor="text1"/>
              </w:rPr>
              <w:t>projektowej</w:t>
            </w:r>
          </w:p>
        </w:tc>
      </w:tr>
      <w:tr w:rsidR="00CC4443" w:rsidRPr="001667DB" w14:paraId="25366329" w14:textId="77777777">
        <w:tc>
          <w:tcPr>
            <w:tcW w:w="496" w:type="dxa"/>
          </w:tcPr>
          <w:p w14:paraId="40722656"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118" w:type="dxa"/>
          </w:tcPr>
          <w:p w14:paraId="763599EA"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Wykonanie wykopów</w:t>
            </w:r>
          </w:p>
        </w:tc>
        <w:tc>
          <w:tcPr>
            <w:tcW w:w="1559" w:type="dxa"/>
          </w:tcPr>
          <w:p w14:paraId="015E9CB3"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Bieżąco</w:t>
            </w:r>
          </w:p>
        </w:tc>
        <w:tc>
          <w:tcPr>
            <w:tcW w:w="2410" w:type="dxa"/>
          </w:tcPr>
          <w:p w14:paraId="25AE27B7"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r w:rsidR="00CC4443" w:rsidRPr="001667DB" w14:paraId="29AD238D" w14:textId="77777777">
        <w:tc>
          <w:tcPr>
            <w:tcW w:w="496" w:type="dxa"/>
          </w:tcPr>
          <w:p w14:paraId="3286EC68"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118" w:type="dxa"/>
          </w:tcPr>
          <w:p w14:paraId="7D281F11"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Wykonanie fundamentu (ławy) przepustu</w:t>
            </w:r>
          </w:p>
        </w:tc>
        <w:tc>
          <w:tcPr>
            <w:tcW w:w="1559" w:type="dxa"/>
          </w:tcPr>
          <w:p w14:paraId="073CCA19" w14:textId="77777777" w:rsidR="00CC4443" w:rsidRPr="001667DB" w:rsidRDefault="00CC4443">
            <w:pPr>
              <w:numPr>
                <w:ilvl w:val="12"/>
                <w:numId w:val="0"/>
              </w:numPr>
              <w:spacing w:before="18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Bieżąco</w:t>
            </w:r>
          </w:p>
        </w:tc>
        <w:tc>
          <w:tcPr>
            <w:tcW w:w="2410" w:type="dxa"/>
          </w:tcPr>
          <w:p w14:paraId="4221E724" w14:textId="77777777" w:rsidR="00CC4443" w:rsidRPr="001667DB" w:rsidRDefault="00CC4443">
            <w:pPr>
              <w:numPr>
                <w:ilvl w:val="12"/>
                <w:numId w:val="0"/>
              </w:numPr>
              <w:spacing w:before="18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r w:rsidR="00CC4443" w:rsidRPr="001667DB" w14:paraId="3C3A2084" w14:textId="77777777">
        <w:tc>
          <w:tcPr>
            <w:tcW w:w="496" w:type="dxa"/>
          </w:tcPr>
          <w:p w14:paraId="72399908"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118" w:type="dxa"/>
          </w:tcPr>
          <w:p w14:paraId="26B0CCAE"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Ułożenie rur przepustu na ławie</w:t>
            </w:r>
          </w:p>
        </w:tc>
        <w:tc>
          <w:tcPr>
            <w:tcW w:w="1559" w:type="dxa"/>
          </w:tcPr>
          <w:p w14:paraId="67A903F4"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Bieżąco</w:t>
            </w:r>
          </w:p>
        </w:tc>
        <w:tc>
          <w:tcPr>
            <w:tcW w:w="2410" w:type="dxa"/>
          </w:tcPr>
          <w:p w14:paraId="5A099230"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r w:rsidR="00CC4443" w:rsidRPr="001667DB" w14:paraId="2FEEFFB4" w14:textId="77777777">
        <w:tc>
          <w:tcPr>
            <w:tcW w:w="496" w:type="dxa"/>
          </w:tcPr>
          <w:p w14:paraId="1CFE4312"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118" w:type="dxa"/>
          </w:tcPr>
          <w:p w14:paraId="615FB838"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Zasypka przepustu</w:t>
            </w:r>
          </w:p>
        </w:tc>
        <w:tc>
          <w:tcPr>
            <w:tcW w:w="1559" w:type="dxa"/>
          </w:tcPr>
          <w:p w14:paraId="302B1C67"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Bieżąco</w:t>
            </w:r>
          </w:p>
        </w:tc>
        <w:tc>
          <w:tcPr>
            <w:tcW w:w="2410" w:type="dxa"/>
          </w:tcPr>
          <w:p w14:paraId="00ED7004"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r w:rsidR="00CC4443" w:rsidRPr="001667DB" w14:paraId="7F4BDCF2" w14:textId="77777777">
        <w:tc>
          <w:tcPr>
            <w:tcW w:w="496" w:type="dxa"/>
          </w:tcPr>
          <w:p w14:paraId="7ED46358"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w:t>
            </w:r>
          </w:p>
        </w:tc>
        <w:tc>
          <w:tcPr>
            <w:tcW w:w="3118" w:type="dxa"/>
          </w:tcPr>
          <w:p w14:paraId="34F43333"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Umocnienie skarp przy wlocie i wylocie przepustu</w:t>
            </w:r>
          </w:p>
        </w:tc>
        <w:tc>
          <w:tcPr>
            <w:tcW w:w="1559" w:type="dxa"/>
          </w:tcPr>
          <w:p w14:paraId="175CEFF1" w14:textId="77777777" w:rsidR="00CC4443" w:rsidRPr="001667DB" w:rsidRDefault="00CC4443">
            <w:pPr>
              <w:numPr>
                <w:ilvl w:val="12"/>
                <w:numId w:val="0"/>
              </w:numPr>
              <w:spacing w:before="18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Bieżąco</w:t>
            </w:r>
          </w:p>
        </w:tc>
        <w:tc>
          <w:tcPr>
            <w:tcW w:w="2410" w:type="dxa"/>
          </w:tcPr>
          <w:p w14:paraId="636D9DCE" w14:textId="77777777" w:rsidR="00CC4443" w:rsidRPr="001667DB" w:rsidRDefault="00CC4443">
            <w:pPr>
              <w:numPr>
                <w:ilvl w:val="12"/>
                <w:numId w:val="0"/>
              </w:numPr>
              <w:spacing w:before="18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r w:rsidR="00CC4443" w:rsidRPr="001667DB" w14:paraId="614F1097" w14:textId="77777777">
        <w:tc>
          <w:tcPr>
            <w:tcW w:w="496" w:type="dxa"/>
          </w:tcPr>
          <w:p w14:paraId="1C682C73"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118" w:type="dxa"/>
          </w:tcPr>
          <w:p w14:paraId="637DE70E" w14:textId="77777777" w:rsidR="00CC4443" w:rsidRPr="001667DB" w:rsidRDefault="00CC4443">
            <w:pPr>
              <w:numPr>
                <w:ilvl w:val="12"/>
                <w:numId w:val="0"/>
              </w:numPr>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Wykonanie robót wykończeniowych</w:t>
            </w:r>
          </w:p>
        </w:tc>
        <w:tc>
          <w:tcPr>
            <w:tcW w:w="1559" w:type="dxa"/>
          </w:tcPr>
          <w:p w14:paraId="7015F586"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Ocena ciągła</w:t>
            </w:r>
          </w:p>
        </w:tc>
        <w:tc>
          <w:tcPr>
            <w:tcW w:w="2410" w:type="dxa"/>
          </w:tcPr>
          <w:p w14:paraId="15791609" w14:textId="77777777" w:rsidR="00CC4443" w:rsidRPr="001667DB" w:rsidRDefault="00CC4443">
            <w:pPr>
              <w:numPr>
                <w:ilvl w:val="12"/>
                <w:numId w:val="0"/>
              </w:numPr>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Wg pktu 5</w:t>
            </w:r>
          </w:p>
        </w:tc>
      </w:tr>
    </w:tbl>
    <w:p w14:paraId="313C48F9" w14:textId="77777777" w:rsidR="00CC4443" w:rsidRPr="001667DB" w:rsidRDefault="00CC4443">
      <w:pPr>
        <w:pStyle w:val="Nagwek1"/>
        <w:rPr>
          <w:color w:val="000000" w:themeColor="text1"/>
          <w:sz w:val="22"/>
          <w:szCs w:val="22"/>
        </w:rPr>
      </w:pPr>
      <w:bookmarkStart w:id="680" w:name="_Toc424534471"/>
      <w:bookmarkStart w:id="681" w:name="_Toc46644002"/>
      <w:bookmarkStart w:id="682" w:name="_Toc51995835"/>
      <w:bookmarkStart w:id="683" w:name="_Toc70745917"/>
      <w:bookmarkStart w:id="684" w:name="_Toc113338103"/>
      <w:bookmarkStart w:id="685" w:name="_Toc122409840"/>
      <w:bookmarkStart w:id="686" w:name="_Toc128547956"/>
      <w:bookmarkStart w:id="687" w:name="_Toc144694241"/>
      <w:bookmarkStart w:id="688" w:name="_Toc144793981"/>
      <w:bookmarkStart w:id="689" w:name="_Toc146429506"/>
      <w:bookmarkStart w:id="690" w:name="_Toc147039498"/>
      <w:r w:rsidRPr="001667DB">
        <w:rPr>
          <w:color w:val="000000" w:themeColor="text1"/>
          <w:sz w:val="22"/>
          <w:szCs w:val="22"/>
        </w:rPr>
        <w:t xml:space="preserve"> </w:t>
      </w:r>
      <w:bookmarkStart w:id="691" w:name="_Toc161023548"/>
      <w:bookmarkStart w:id="692" w:name="_Toc179178836"/>
      <w:r w:rsidRPr="001667DB">
        <w:rPr>
          <w:color w:val="000000" w:themeColor="text1"/>
          <w:sz w:val="22"/>
          <w:szCs w:val="22"/>
        </w:rPr>
        <w:t>7. OBMIAR ROBÓT</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0C8434F"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7.1. Ogólne zasady obmiaru robót</w:t>
      </w:r>
    </w:p>
    <w:p w14:paraId="4DCB1925" w14:textId="77777777" w:rsidR="00CC4443" w:rsidRPr="001667DB" w:rsidRDefault="00CC4443" w:rsidP="00AA7AC8">
      <w:pPr>
        <w:tabs>
          <w:tab w:val="left" w:pos="-709"/>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D-M-00.00.00 „Wymagania ogólne” [1]  pkt 7.</w:t>
      </w:r>
    </w:p>
    <w:p w14:paraId="03908C91" w14:textId="77777777" w:rsidR="00CC4443" w:rsidRPr="001667DB" w:rsidRDefault="00DC1A24" w:rsidP="00AA7AC8">
      <w:pPr>
        <w:pStyle w:val="Nagwek2"/>
        <w:jc w:val="both"/>
        <w:rPr>
          <w:color w:val="000000" w:themeColor="text1"/>
          <w:sz w:val="22"/>
          <w:szCs w:val="22"/>
        </w:rPr>
      </w:pPr>
      <w:r w:rsidRPr="001667DB">
        <w:rPr>
          <w:color w:val="000000" w:themeColor="text1"/>
          <w:sz w:val="22"/>
          <w:szCs w:val="22"/>
        </w:rPr>
        <w:t>7.2. Jednostka</w:t>
      </w:r>
      <w:r w:rsidR="00CC4443" w:rsidRPr="001667DB">
        <w:rPr>
          <w:color w:val="000000" w:themeColor="text1"/>
          <w:sz w:val="22"/>
          <w:szCs w:val="22"/>
        </w:rPr>
        <w:t xml:space="preserve"> obmiarowa</w:t>
      </w:r>
    </w:p>
    <w:p w14:paraId="5B6D4E45" w14:textId="77777777" w:rsidR="00CC4443" w:rsidRPr="001667DB" w:rsidRDefault="00785224" w:rsidP="00AA7AC8">
      <w:pPr>
        <w:tabs>
          <w:tab w:val="left" w:pos="-709"/>
        </w:tabs>
        <w:jc w:val="both"/>
        <w:rPr>
          <w:rFonts w:ascii="Times New Roman" w:hAnsi="Times New Roman" w:cs="Times New Roman"/>
          <w:color w:val="000000" w:themeColor="text1"/>
        </w:rPr>
      </w:pPr>
      <w:r>
        <w:rPr>
          <w:rFonts w:ascii="Times New Roman" w:hAnsi="Times New Roman" w:cs="Times New Roman"/>
          <w:color w:val="000000" w:themeColor="text1"/>
        </w:rPr>
        <w:tab/>
        <w:t>Jednost</w:t>
      </w:r>
      <w:r w:rsidR="00CC4443" w:rsidRPr="001667DB">
        <w:rPr>
          <w:rFonts w:ascii="Times New Roman" w:hAnsi="Times New Roman" w:cs="Times New Roman"/>
          <w:color w:val="000000" w:themeColor="text1"/>
        </w:rPr>
        <w:t>ką obmiarową jest m (metr) kompletnego wykonania przepustu.</w:t>
      </w:r>
    </w:p>
    <w:p w14:paraId="0B60A4BB" w14:textId="77777777" w:rsidR="00CC4443" w:rsidRPr="00326BBF" w:rsidRDefault="00CC4443" w:rsidP="00AA7AC8">
      <w:pPr>
        <w:pStyle w:val="Nagwek1"/>
        <w:jc w:val="both"/>
        <w:rPr>
          <w:color w:val="000000" w:themeColor="text1"/>
          <w:sz w:val="22"/>
          <w:szCs w:val="22"/>
          <w:lang w:val="pl-PL"/>
        </w:rPr>
      </w:pPr>
      <w:bookmarkStart w:id="693" w:name="_Toc424534472"/>
      <w:bookmarkStart w:id="694" w:name="_Toc46644003"/>
      <w:bookmarkStart w:id="695" w:name="_Toc51995836"/>
      <w:bookmarkStart w:id="696" w:name="_Toc70745918"/>
      <w:bookmarkStart w:id="697" w:name="_Toc113338104"/>
      <w:bookmarkStart w:id="698" w:name="_Toc122409841"/>
      <w:bookmarkStart w:id="699" w:name="_Toc128547957"/>
      <w:bookmarkStart w:id="700" w:name="_Toc144694242"/>
      <w:bookmarkStart w:id="701" w:name="_Toc144793982"/>
      <w:bookmarkStart w:id="702" w:name="_Toc146429507"/>
      <w:bookmarkStart w:id="703" w:name="_Toc147039499"/>
      <w:bookmarkStart w:id="704" w:name="_Toc161023549"/>
      <w:bookmarkStart w:id="705" w:name="_Toc179178837"/>
      <w:r w:rsidRPr="00326BBF">
        <w:rPr>
          <w:color w:val="000000" w:themeColor="text1"/>
          <w:sz w:val="22"/>
          <w:szCs w:val="22"/>
          <w:lang w:val="pl-PL"/>
        </w:rPr>
        <w:t>8. ODBIÓR ROBÓT</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159C507C"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8.1. Ogólne zasady odbioru robót</w:t>
      </w:r>
    </w:p>
    <w:p w14:paraId="28C86184" w14:textId="77777777" w:rsidR="00CC4443" w:rsidRPr="001667DB" w:rsidRDefault="00CC4443" w:rsidP="00AA7AC8">
      <w:pPr>
        <w:tabs>
          <w:tab w:val="left" w:pos="-709"/>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D-M-00.00.00 „Wymagania ogólne” [1] pkt 8.</w:t>
      </w:r>
    </w:p>
    <w:p w14:paraId="2A51CED6" w14:textId="77777777" w:rsidR="00CC4443" w:rsidRPr="001667DB" w:rsidRDefault="00CC4443" w:rsidP="00AA7AC8">
      <w:pPr>
        <w:tabs>
          <w:tab w:val="left" w:pos="-709"/>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1F789EF7"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8.2. Odbiór robót zanikających i ulegających zakryciu</w:t>
      </w:r>
    </w:p>
    <w:p w14:paraId="71773E8C"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Odbiorowi robót zanikających i ulegających zakryciu podlegają:</w:t>
      </w:r>
    </w:p>
    <w:p w14:paraId="06A77261" w14:textId="77777777" w:rsidR="00CC4443" w:rsidRPr="001667DB" w:rsidRDefault="00CC4443" w:rsidP="00904E6C">
      <w:pPr>
        <w:numPr>
          <w:ilvl w:val="0"/>
          <w:numId w:val="242"/>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wykopu,</w:t>
      </w:r>
    </w:p>
    <w:p w14:paraId="60DBADE8" w14:textId="77777777" w:rsidR="00CC4443" w:rsidRPr="001667DB" w:rsidRDefault="00CC4443" w:rsidP="00904E6C">
      <w:pPr>
        <w:numPr>
          <w:ilvl w:val="0"/>
          <w:numId w:val="242"/>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ławy fundamentowej.</w:t>
      </w:r>
    </w:p>
    <w:p w14:paraId="66AB7FBC" w14:textId="77777777" w:rsidR="00CC4443" w:rsidRPr="001667DB" w:rsidRDefault="00CC4443" w:rsidP="00AA7AC8">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Odbiór tych robót powinien być zgodny z wymaganiami pktu 8.2 D-M-00.00.00 „Wymagania ogólne” [1] oraz niniejszej ST.</w:t>
      </w:r>
    </w:p>
    <w:p w14:paraId="5C50430F" w14:textId="77777777" w:rsidR="00CC4443" w:rsidRPr="00326BBF" w:rsidRDefault="00CC4443" w:rsidP="00AA7AC8">
      <w:pPr>
        <w:pStyle w:val="Nagwek1"/>
        <w:jc w:val="both"/>
        <w:rPr>
          <w:color w:val="000000" w:themeColor="text1"/>
          <w:sz w:val="22"/>
          <w:szCs w:val="22"/>
          <w:lang w:val="pl-PL"/>
        </w:rPr>
      </w:pPr>
      <w:bookmarkStart w:id="706" w:name="_Toc424534473"/>
      <w:bookmarkStart w:id="707" w:name="_Toc46644004"/>
      <w:bookmarkStart w:id="708" w:name="_Toc51995837"/>
      <w:bookmarkStart w:id="709" w:name="_Toc70745919"/>
      <w:bookmarkStart w:id="710" w:name="_Toc113338105"/>
      <w:bookmarkStart w:id="711" w:name="_Toc122409842"/>
      <w:bookmarkStart w:id="712" w:name="_Toc128547958"/>
      <w:bookmarkStart w:id="713" w:name="_Toc144694243"/>
      <w:bookmarkStart w:id="714" w:name="_Toc144793983"/>
      <w:bookmarkStart w:id="715" w:name="_Toc146429508"/>
      <w:bookmarkStart w:id="716" w:name="_Toc147039500"/>
      <w:bookmarkStart w:id="717" w:name="_Toc161023550"/>
      <w:bookmarkStart w:id="718" w:name="_Toc179178838"/>
      <w:r w:rsidRPr="00326BBF">
        <w:rPr>
          <w:color w:val="000000" w:themeColor="text1"/>
          <w:sz w:val="22"/>
          <w:szCs w:val="22"/>
          <w:lang w:val="pl-PL"/>
        </w:rPr>
        <w:t>9. PODSTAWA PŁATNOŚCI</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0E2988A5"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9.1. Ogólne ustalenia dotyczące podstawy płatności</w:t>
      </w:r>
    </w:p>
    <w:p w14:paraId="6A6BCE85" w14:textId="77777777" w:rsidR="00CC4443" w:rsidRPr="001667DB" w:rsidRDefault="00CC4443" w:rsidP="00AA7AC8">
      <w:pPr>
        <w:tabs>
          <w:tab w:val="left" w:pos="-709"/>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ustalenia  dotyczące  podstawy  płatności  podano   w </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ST D-M-00.00.00 „Wymagania ogólne” [1]  pkt 9.</w:t>
      </w:r>
    </w:p>
    <w:p w14:paraId="44DEC771"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t>9.2. Cena jednostki obmiarowej</w:t>
      </w:r>
    </w:p>
    <w:p w14:paraId="31960EF2" w14:textId="77777777" w:rsidR="00CC4443" w:rsidRPr="001667DB" w:rsidRDefault="00CC4443" w:rsidP="00AA7AC8">
      <w:pPr>
        <w:tabs>
          <w:tab w:val="left" w:pos="-709"/>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Cena wykonania </w:t>
      </w:r>
      <w:smartTag w:uri="urn:schemas-microsoft-com:office:smarttags" w:element="metricconverter">
        <w:smartTagPr>
          <w:attr w:name="ProductID" w:val="1 m"/>
        </w:smartTagPr>
        <w:r w:rsidRPr="001667DB">
          <w:rPr>
            <w:rFonts w:ascii="Times New Roman" w:hAnsi="Times New Roman" w:cs="Times New Roman"/>
            <w:color w:val="000000" w:themeColor="text1"/>
          </w:rPr>
          <w:t>1 m</w:t>
        </w:r>
      </w:smartTag>
      <w:r w:rsidRPr="001667DB">
        <w:rPr>
          <w:rFonts w:ascii="Times New Roman" w:hAnsi="Times New Roman" w:cs="Times New Roman"/>
          <w:color w:val="000000" w:themeColor="text1"/>
        </w:rPr>
        <w:t xml:space="preserve"> kompletnego przepustu obejmuje:</w:t>
      </w:r>
    </w:p>
    <w:p w14:paraId="64C82C09"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6E4E321A"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48E511AC"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w:t>
      </w:r>
    </w:p>
    <w:p w14:paraId="16E3C1A3"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3A884F00"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przepustu z wykopem, ławą, ułożeniem rur, zasypką, umocnieniem skarp według wymagań dokumentacji projektowej, ST i specyfikacji technicznej,</w:t>
      </w:r>
    </w:p>
    <w:p w14:paraId="1A4B831A"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specyfikacji technicznej,</w:t>
      </w:r>
    </w:p>
    <w:p w14:paraId="5DF13697" w14:textId="77777777" w:rsidR="00CC4443" w:rsidRPr="001667DB" w:rsidRDefault="00CC4443" w:rsidP="00904E6C">
      <w:pPr>
        <w:numPr>
          <w:ilvl w:val="0"/>
          <w:numId w:val="24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odwiezienie sprzętu.</w:t>
      </w:r>
    </w:p>
    <w:p w14:paraId="09C816E6" w14:textId="77777777" w:rsidR="00CC4443" w:rsidRPr="001667DB" w:rsidRDefault="00CC4443" w:rsidP="00AA7AC8">
      <w:pPr>
        <w:pStyle w:val="Nagwek2"/>
        <w:jc w:val="both"/>
        <w:rPr>
          <w:color w:val="000000" w:themeColor="text1"/>
          <w:sz w:val="22"/>
          <w:szCs w:val="22"/>
        </w:rPr>
      </w:pPr>
      <w:r w:rsidRPr="001667DB">
        <w:rPr>
          <w:color w:val="000000" w:themeColor="text1"/>
          <w:sz w:val="22"/>
          <w:szCs w:val="22"/>
        </w:rPr>
        <w:lastRenderedPageBreak/>
        <w:t>9.3. Sposób rozliczenia robót tymczasowych i prac towarzyszących</w:t>
      </w:r>
    </w:p>
    <w:p w14:paraId="5C233970" w14:textId="77777777" w:rsidR="00CC4443" w:rsidRPr="001667DB" w:rsidRDefault="00CC4443" w:rsidP="00AA7AC8">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4E5F6D41" w14:textId="77777777" w:rsidR="00CC4443" w:rsidRPr="001667DB" w:rsidRDefault="00CC4443" w:rsidP="00AA7AC8">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3DEF4236" w14:textId="77777777" w:rsidR="00CC4443" w:rsidRPr="001667DB" w:rsidRDefault="00CC4443" w:rsidP="00F55914">
      <w:pPr>
        <w:numPr>
          <w:ilvl w:val="0"/>
          <w:numId w:val="23"/>
        </w:numPr>
        <w:tabs>
          <w:tab w:val="left" w:pos="-709"/>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1ECBE52A" w14:textId="77777777" w:rsidR="00CC4443" w:rsidRPr="00326BBF" w:rsidRDefault="00CC4443">
      <w:pPr>
        <w:pStyle w:val="Nagwek1"/>
        <w:rPr>
          <w:color w:val="000000" w:themeColor="text1"/>
          <w:sz w:val="22"/>
          <w:szCs w:val="22"/>
          <w:lang w:val="pl-PL"/>
        </w:rPr>
      </w:pPr>
      <w:bookmarkStart w:id="719" w:name="_Toc424534474"/>
      <w:bookmarkStart w:id="720" w:name="_Toc46644005"/>
      <w:bookmarkStart w:id="721" w:name="_Toc51995838"/>
      <w:bookmarkStart w:id="722" w:name="_Toc70745920"/>
      <w:bookmarkStart w:id="723" w:name="_Toc113338106"/>
      <w:bookmarkStart w:id="724" w:name="_Toc122409843"/>
      <w:bookmarkStart w:id="725" w:name="_Toc128547959"/>
      <w:bookmarkStart w:id="726" w:name="_Toc144694244"/>
      <w:bookmarkStart w:id="727" w:name="_Toc144793984"/>
      <w:bookmarkStart w:id="728" w:name="_Toc146429509"/>
      <w:bookmarkStart w:id="729" w:name="_Toc147039501"/>
      <w:bookmarkStart w:id="730" w:name="_Toc161023551"/>
      <w:bookmarkStart w:id="731" w:name="_Toc179178839"/>
      <w:r w:rsidRPr="00326BBF">
        <w:rPr>
          <w:color w:val="000000" w:themeColor="text1"/>
          <w:sz w:val="22"/>
          <w:szCs w:val="22"/>
          <w:lang w:val="pl-PL"/>
        </w:rPr>
        <w:t>10. PRZEPISY ZWIĄZANE</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0F23440B" w14:textId="77777777" w:rsidR="00CC4443" w:rsidRPr="001667DB" w:rsidRDefault="00CC4443">
      <w:pPr>
        <w:pStyle w:val="Nagwek2"/>
        <w:rPr>
          <w:color w:val="000000" w:themeColor="text1"/>
          <w:sz w:val="22"/>
          <w:szCs w:val="22"/>
        </w:rPr>
      </w:pPr>
      <w:r w:rsidRPr="001667DB">
        <w:rPr>
          <w:color w:val="000000" w:themeColor="text1"/>
          <w:sz w:val="22"/>
          <w:szCs w:val="22"/>
        </w:rPr>
        <w:t>Ogólne specyfikacje techniczne (ST)</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CC4443" w:rsidRPr="001667DB" w14:paraId="1E06E82F" w14:textId="77777777">
        <w:tc>
          <w:tcPr>
            <w:tcW w:w="496" w:type="dxa"/>
          </w:tcPr>
          <w:p w14:paraId="56F60DEC"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984" w:type="dxa"/>
          </w:tcPr>
          <w:p w14:paraId="3880EBDB"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D-M-00.00.00</w:t>
            </w:r>
          </w:p>
        </w:tc>
        <w:tc>
          <w:tcPr>
            <w:tcW w:w="5030" w:type="dxa"/>
          </w:tcPr>
          <w:p w14:paraId="44E4F139"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r w:rsidR="00CC4443" w:rsidRPr="001667DB" w14:paraId="4A25ACDF" w14:textId="77777777">
        <w:tc>
          <w:tcPr>
            <w:tcW w:w="496" w:type="dxa"/>
          </w:tcPr>
          <w:p w14:paraId="0A0609B3"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984" w:type="dxa"/>
          </w:tcPr>
          <w:p w14:paraId="24AEDB77"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D-01.00.00</w:t>
            </w:r>
          </w:p>
        </w:tc>
        <w:tc>
          <w:tcPr>
            <w:tcW w:w="5030" w:type="dxa"/>
          </w:tcPr>
          <w:p w14:paraId="632629FD"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Roboty przygotowawcze</w:t>
            </w:r>
          </w:p>
        </w:tc>
      </w:tr>
      <w:tr w:rsidR="00CC4443" w:rsidRPr="001667DB" w14:paraId="348698BE" w14:textId="77777777">
        <w:tc>
          <w:tcPr>
            <w:tcW w:w="496" w:type="dxa"/>
          </w:tcPr>
          <w:p w14:paraId="2265B850"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984" w:type="dxa"/>
          </w:tcPr>
          <w:p w14:paraId="335C8B9D"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D-02.00.00</w:t>
            </w:r>
          </w:p>
        </w:tc>
        <w:tc>
          <w:tcPr>
            <w:tcW w:w="5030" w:type="dxa"/>
          </w:tcPr>
          <w:p w14:paraId="0064C282"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Roboty ziemne</w:t>
            </w:r>
          </w:p>
        </w:tc>
      </w:tr>
      <w:tr w:rsidR="00CC4443" w:rsidRPr="001667DB" w14:paraId="31A0AF10" w14:textId="77777777">
        <w:tc>
          <w:tcPr>
            <w:tcW w:w="496" w:type="dxa"/>
          </w:tcPr>
          <w:p w14:paraId="2A9E8E9D"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984" w:type="dxa"/>
          </w:tcPr>
          <w:p w14:paraId="1FD1D9E1"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D-03.01.03a</w:t>
            </w:r>
          </w:p>
        </w:tc>
        <w:tc>
          <w:tcPr>
            <w:tcW w:w="5030" w:type="dxa"/>
          </w:tcPr>
          <w:p w14:paraId="50A05318"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Przepust pod koroną drogi z rur polietylenowych HDPE spiralnie karbowanych</w:t>
            </w:r>
          </w:p>
        </w:tc>
      </w:tr>
      <w:tr w:rsidR="00CC4443" w:rsidRPr="001667DB" w14:paraId="11EBA859" w14:textId="77777777">
        <w:tc>
          <w:tcPr>
            <w:tcW w:w="496" w:type="dxa"/>
          </w:tcPr>
          <w:p w14:paraId="7C68CF80"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984" w:type="dxa"/>
          </w:tcPr>
          <w:p w14:paraId="5BED67C5"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D-05.03.23a</w:t>
            </w:r>
          </w:p>
        </w:tc>
        <w:tc>
          <w:tcPr>
            <w:tcW w:w="5030" w:type="dxa"/>
          </w:tcPr>
          <w:p w14:paraId="3DB2DD96"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Nawierzchnia z betonowej kSTki brukowej dla dróg i ulic oraz placów i chodników</w:t>
            </w:r>
          </w:p>
        </w:tc>
      </w:tr>
      <w:tr w:rsidR="00CC4443" w:rsidRPr="001667DB" w14:paraId="29789F56" w14:textId="77777777">
        <w:tc>
          <w:tcPr>
            <w:tcW w:w="496" w:type="dxa"/>
          </w:tcPr>
          <w:p w14:paraId="18A6248B"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984" w:type="dxa"/>
          </w:tcPr>
          <w:p w14:paraId="38D4A38A"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D-06.01.01</w:t>
            </w:r>
          </w:p>
        </w:tc>
        <w:tc>
          <w:tcPr>
            <w:tcW w:w="5030" w:type="dxa"/>
          </w:tcPr>
          <w:p w14:paraId="5092C411"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Umocnienie powierzchniowe skarp, rowów i ścieków</w:t>
            </w:r>
          </w:p>
        </w:tc>
      </w:tr>
    </w:tbl>
    <w:p w14:paraId="138573F2" w14:textId="77777777" w:rsidR="00CC4443" w:rsidRPr="001667DB" w:rsidRDefault="00CC4443">
      <w:pPr>
        <w:pStyle w:val="Nagwek2"/>
        <w:rPr>
          <w:color w:val="000000" w:themeColor="text1"/>
          <w:sz w:val="22"/>
          <w:szCs w:val="22"/>
        </w:rPr>
      </w:pPr>
      <w:r w:rsidRPr="001667DB">
        <w:rPr>
          <w:color w:val="000000" w:themeColor="text1"/>
          <w:sz w:val="22"/>
          <w:szCs w:val="22"/>
        </w:rPr>
        <w:t>Normy</w:t>
      </w:r>
    </w:p>
    <w:tbl>
      <w:tblPr>
        <w:tblW w:w="0" w:type="auto"/>
        <w:tblInd w:w="108" w:type="dxa"/>
        <w:tblLayout w:type="fixed"/>
        <w:tblLook w:val="01E0" w:firstRow="1" w:lastRow="1" w:firstColumn="1" w:lastColumn="1" w:noHBand="0" w:noVBand="0"/>
      </w:tblPr>
      <w:tblGrid>
        <w:gridCol w:w="426"/>
        <w:gridCol w:w="1984"/>
        <w:gridCol w:w="5069"/>
      </w:tblGrid>
      <w:tr w:rsidR="00CC4443" w:rsidRPr="001667DB" w14:paraId="1A322012" w14:textId="77777777" w:rsidTr="00CC4443">
        <w:tc>
          <w:tcPr>
            <w:tcW w:w="426" w:type="dxa"/>
            <w:shd w:val="clear" w:color="auto" w:fill="auto"/>
          </w:tcPr>
          <w:p w14:paraId="01BDCC41" w14:textId="77777777" w:rsidR="00CC4443" w:rsidRPr="001667DB" w:rsidRDefault="00CC4443" w:rsidP="00904E6C">
            <w:pPr>
              <w:numPr>
                <w:ilvl w:val="0"/>
                <w:numId w:val="244"/>
              </w:numPr>
              <w:tabs>
                <w:tab w:val="clear" w:pos="397"/>
              </w:tabs>
              <w:overflowPunct w:val="0"/>
              <w:autoSpaceDE w:val="0"/>
              <w:autoSpaceDN w:val="0"/>
              <w:adjustRightInd w:val="0"/>
              <w:spacing w:after="0" w:line="240" w:lineRule="auto"/>
              <w:ind w:left="0" w:firstLine="0"/>
              <w:jc w:val="center"/>
              <w:textAlignment w:val="baseline"/>
              <w:rPr>
                <w:rFonts w:ascii="Times New Roman" w:hAnsi="Times New Roman" w:cs="Times New Roman"/>
                <w:color w:val="000000" w:themeColor="text1"/>
              </w:rPr>
            </w:pPr>
          </w:p>
        </w:tc>
        <w:tc>
          <w:tcPr>
            <w:tcW w:w="1984" w:type="dxa"/>
            <w:shd w:val="clear" w:color="auto" w:fill="auto"/>
          </w:tcPr>
          <w:p w14:paraId="69519C13"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xml:space="preserve"> PN-B-11111:1996</w:t>
            </w:r>
          </w:p>
        </w:tc>
        <w:tc>
          <w:tcPr>
            <w:tcW w:w="5069" w:type="dxa"/>
            <w:shd w:val="clear" w:color="auto" w:fill="auto"/>
          </w:tcPr>
          <w:p w14:paraId="7ADD6329"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mineralne. Kruszywa naturalne do nawierzchni drogowych. Żwir i mieszanka   </w:t>
            </w:r>
          </w:p>
        </w:tc>
      </w:tr>
    </w:tbl>
    <w:p w14:paraId="100515E7" w14:textId="77777777" w:rsidR="008D0D37" w:rsidRPr="001667DB" w:rsidRDefault="008D0D37" w:rsidP="00904E6C">
      <w:pPr>
        <w:pStyle w:val="Nagwek2"/>
        <w:numPr>
          <w:ilvl w:val="8"/>
          <w:numId w:val="8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1985"/>
        </w:tabs>
        <w:suppressAutoHyphens/>
        <w:spacing w:before="0" w:after="0" w:line="276" w:lineRule="auto"/>
        <w:ind w:left="2127" w:hanging="2127"/>
        <w:jc w:val="both"/>
        <w:rPr>
          <w:color w:val="000000" w:themeColor="text1"/>
          <w:sz w:val="22"/>
          <w:szCs w:val="22"/>
        </w:rPr>
      </w:pPr>
    </w:p>
    <w:p w14:paraId="2E25FDB6" w14:textId="77777777" w:rsidR="008D0D37" w:rsidRPr="001667DB" w:rsidRDefault="008D0D37">
      <w:pPr>
        <w:rPr>
          <w:rFonts w:ascii="Times New Roman" w:eastAsia="Times New Roman" w:hAnsi="Times New Roman" w:cs="Times New Roman"/>
          <w:b/>
          <w:color w:val="000000" w:themeColor="text1"/>
          <w:spacing w:val="-3"/>
          <w:u w:val="single"/>
          <w:lang w:eastAsia="pl-PL"/>
        </w:rPr>
      </w:pPr>
      <w:r w:rsidRPr="001667DB">
        <w:rPr>
          <w:rFonts w:ascii="Times New Roman" w:hAnsi="Times New Roman" w:cs="Times New Roman"/>
          <w:color w:val="000000" w:themeColor="text1"/>
        </w:rPr>
        <w:br w:type="page"/>
      </w:r>
    </w:p>
    <w:p w14:paraId="0282EAD7" w14:textId="77777777" w:rsidR="00CC4443" w:rsidRPr="001667DB" w:rsidRDefault="00CC4443" w:rsidP="00904E6C">
      <w:pPr>
        <w:pStyle w:val="Nagwek2"/>
        <w:numPr>
          <w:ilvl w:val="8"/>
          <w:numId w:val="89"/>
        </w:numPr>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1985"/>
        </w:tabs>
        <w:suppressAutoHyphens/>
        <w:spacing w:before="0" w:after="0" w:line="276" w:lineRule="auto"/>
        <w:ind w:left="2127" w:hanging="2127"/>
        <w:jc w:val="both"/>
        <w:rPr>
          <w:color w:val="000000" w:themeColor="text1"/>
          <w:sz w:val="22"/>
          <w:szCs w:val="22"/>
          <w:u w:val="none"/>
        </w:rPr>
      </w:pPr>
      <w:r w:rsidRPr="001667DB">
        <w:rPr>
          <w:color w:val="000000" w:themeColor="text1"/>
          <w:sz w:val="22"/>
          <w:szCs w:val="22"/>
          <w:u w:val="none"/>
        </w:rPr>
        <w:lastRenderedPageBreak/>
        <w:t>D.06.03.01</w:t>
      </w:r>
      <w:r w:rsidRPr="001667DB">
        <w:rPr>
          <w:color w:val="000000" w:themeColor="text1"/>
          <w:sz w:val="22"/>
          <w:szCs w:val="22"/>
          <w:u w:val="none"/>
        </w:rPr>
        <w:tab/>
      </w:r>
      <w:r w:rsidRPr="001667DB">
        <w:rPr>
          <w:color w:val="000000" w:themeColor="text1"/>
          <w:sz w:val="22"/>
          <w:szCs w:val="22"/>
          <w:u w:val="none"/>
        </w:rPr>
        <w:tab/>
      </w:r>
      <w:r w:rsidRPr="001667DB">
        <w:rPr>
          <w:bCs/>
          <w:color w:val="000000" w:themeColor="text1"/>
          <w:sz w:val="22"/>
          <w:szCs w:val="22"/>
          <w:u w:val="none"/>
        </w:rPr>
        <w:t>POBOCZE GRUNTOWE</w:t>
      </w:r>
    </w:p>
    <w:p w14:paraId="7377E4A9" w14:textId="77777777" w:rsidR="00CC4443" w:rsidRPr="001667DB" w:rsidRDefault="00CC4443" w:rsidP="00CC4443">
      <w:pPr>
        <w:pStyle w:val="Tekstpodstawowy"/>
        <w:spacing w:line="276" w:lineRule="auto"/>
        <w:rPr>
          <w:b/>
          <w:bCs/>
          <w:color w:val="000000" w:themeColor="text1"/>
          <w:sz w:val="22"/>
          <w:szCs w:val="22"/>
        </w:rPr>
      </w:pPr>
    </w:p>
    <w:p w14:paraId="598C2E31"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r w:rsidRPr="001667DB">
        <w:rPr>
          <w:color w:val="000000" w:themeColor="text1"/>
          <w:sz w:val="22"/>
          <w:szCs w:val="22"/>
          <w:lang w:val="pl-PL"/>
        </w:rPr>
        <w:t>1.</w:t>
      </w:r>
      <w:r w:rsidRPr="001667DB">
        <w:rPr>
          <w:color w:val="000000" w:themeColor="text1"/>
          <w:sz w:val="22"/>
          <w:szCs w:val="22"/>
          <w:lang w:val="pl-PL"/>
        </w:rPr>
        <w:tab/>
      </w:r>
      <w:r w:rsidRPr="001667DB">
        <w:rPr>
          <w:color w:val="000000" w:themeColor="text1"/>
          <w:sz w:val="22"/>
          <w:szCs w:val="22"/>
        </w:rPr>
        <w:t>WSTĘP</w:t>
      </w:r>
    </w:p>
    <w:p w14:paraId="71D4F5E0" w14:textId="77777777" w:rsidR="00CC4443" w:rsidRPr="001667DB" w:rsidRDefault="00CC4443" w:rsidP="00CC4443">
      <w:pPr>
        <w:rPr>
          <w:rFonts w:ascii="Times New Roman" w:hAnsi="Times New Roman" w:cs="Times New Roman"/>
          <w:color w:val="000000" w:themeColor="text1"/>
          <w:lang w:val="x-none"/>
        </w:rPr>
      </w:pPr>
    </w:p>
    <w:p w14:paraId="11E977AE"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1.1. Przedmiot ST</w:t>
      </w:r>
    </w:p>
    <w:p w14:paraId="44A117DE" w14:textId="77777777" w:rsidR="00CC4443" w:rsidRPr="001667DB" w:rsidRDefault="00CC4443" w:rsidP="00CC4443">
      <w:pPr>
        <w:spacing w:line="276" w:lineRule="auto"/>
        <w:jc w:val="both"/>
        <w:rPr>
          <w:rFonts w:ascii="Times New Roman" w:hAnsi="Times New Roman" w:cs="Times New Roman"/>
          <w:b/>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Przedmiotem niniejszej ogólnej specyfikacji technicznej (ST) są wymagania </w:t>
      </w:r>
      <w:r w:rsidR="006763FA">
        <w:rPr>
          <w:rFonts w:ascii="Times New Roman" w:hAnsi="Times New Roman" w:cs="Times New Roman"/>
          <w:color w:val="000000" w:themeColor="text1"/>
        </w:rPr>
        <w:t>dotyczące wykonania</w:t>
      </w:r>
      <w:r w:rsidRPr="001667DB">
        <w:rPr>
          <w:rFonts w:ascii="Times New Roman" w:hAnsi="Times New Roman" w:cs="Times New Roman"/>
          <w:color w:val="000000" w:themeColor="text1"/>
        </w:rPr>
        <w:t xml:space="preserve"> i odbioru robót związanych z wykonaniem poboczy gruntowych w ramach realizacji zadania: </w:t>
      </w:r>
      <w:r w:rsidR="00576B4E" w:rsidRPr="00FD3B41">
        <w:rPr>
          <w:rFonts w:ascii="Times New Roman" w:hAnsi="Times New Roman" w:cs="Times New Roman"/>
          <w:b/>
          <w:color w:val="000000" w:themeColor="text1"/>
        </w:rPr>
        <w:t>„Rozbudowa drogi wojewódzkiej nr 461 w m. Dąbrówka Łubniańska i Łubniany” – Etap I ( km od 9+741,88 do 10+371,13)</w:t>
      </w:r>
    </w:p>
    <w:p w14:paraId="731D6853" w14:textId="77777777" w:rsidR="0082563C" w:rsidRPr="001667DB" w:rsidRDefault="0082563C" w:rsidP="00CC4443">
      <w:pPr>
        <w:spacing w:line="276" w:lineRule="auto"/>
        <w:jc w:val="both"/>
        <w:rPr>
          <w:rFonts w:ascii="Times New Roman" w:hAnsi="Times New Roman" w:cs="Times New Roman"/>
          <w:b/>
          <w:bCs/>
          <w:color w:val="000000" w:themeColor="text1"/>
        </w:rPr>
      </w:pPr>
    </w:p>
    <w:p w14:paraId="4A383FB3"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1.2. Zakres stosowania ST</w:t>
      </w:r>
    </w:p>
    <w:p w14:paraId="6AF08021" w14:textId="77777777" w:rsidR="00CC4443" w:rsidRPr="001667DB" w:rsidRDefault="00CC4443" w:rsidP="00CC4443">
      <w:pPr>
        <w:spacing w:line="360" w:lineRule="auto"/>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Specyfikacje Techniczne stanowią część Dokumentów Przetargowych i Kontraktowych i należy je stosować w zlecaniu i wykonaniu robót opisanych w podpunkcie 1.1.</w:t>
      </w:r>
    </w:p>
    <w:p w14:paraId="2770647B"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1.3. Zakres robót objętych ST</w:t>
      </w:r>
    </w:p>
    <w:p w14:paraId="1DCB8B2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Ustalenia zawarte w niniejszej specyfikacji dotyczą zasad prowadzenia robót związanych z wykonaniem poboczy gruntowych</w:t>
      </w:r>
      <w:r w:rsidR="00DC0BF3">
        <w:rPr>
          <w:rFonts w:ascii="Times New Roman" w:hAnsi="Times New Roman" w:cs="Times New Roman"/>
          <w:color w:val="000000" w:themeColor="text1"/>
        </w:rPr>
        <w:t xml:space="preserve"> ulepszonych mechanicznie o grubości 0,20m </w:t>
      </w:r>
      <w:r w:rsidRPr="001667DB">
        <w:rPr>
          <w:rFonts w:ascii="Times New Roman" w:hAnsi="Times New Roman" w:cs="Times New Roman"/>
          <w:color w:val="000000" w:themeColor="text1"/>
        </w:rPr>
        <w:t>.</w:t>
      </w:r>
    </w:p>
    <w:p w14:paraId="24A5B05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Dokumentacja Projektową.</w:t>
      </w:r>
    </w:p>
    <w:p w14:paraId="036B6974" w14:textId="77777777" w:rsidR="00CC4443" w:rsidRPr="001667DB" w:rsidRDefault="00CC4443" w:rsidP="00CC4443">
      <w:pPr>
        <w:spacing w:line="276" w:lineRule="auto"/>
        <w:jc w:val="both"/>
        <w:rPr>
          <w:rFonts w:ascii="Times New Roman" w:hAnsi="Times New Roman" w:cs="Times New Roman"/>
          <w:color w:val="000000" w:themeColor="text1"/>
        </w:rPr>
      </w:pPr>
    </w:p>
    <w:p w14:paraId="4AB94B2D"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1.4. Określenia podstawowe</w:t>
      </w:r>
    </w:p>
    <w:p w14:paraId="4185D47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 </w:t>
      </w:r>
      <w:r w:rsidRPr="001667DB">
        <w:rPr>
          <w:rFonts w:ascii="Times New Roman" w:hAnsi="Times New Roman" w:cs="Times New Roman"/>
          <w:color w:val="000000" w:themeColor="text1"/>
        </w:rPr>
        <w:t>Pobocze gruntowe - część korony drogi przeznaczona do chwilowego zatrzymania się pojazdów, umieszczenia urządzeń bezpieczeństwa ruchu i wykorzystywana do ruchu pieszych, służąca jednocześnie do bocznego oparcia konstrukcji nawierzchni.</w:t>
      </w:r>
    </w:p>
    <w:p w14:paraId="4635A2C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1.4.2. </w:t>
      </w:r>
      <w:r w:rsidRPr="001667DB">
        <w:rPr>
          <w:rFonts w:ascii="Times New Roman" w:hAnsi="Times New Roman" w:cs="Times New Roman"/>
          <w:color w:val="000000" w:themeColor="text1"/>
        </w:rPr>
        <w:t>Odkład - miejsce składowania gruntu pozyskanego w czasie ścinania poboczy.</w:t>
      </w:r>
    </w:p>
    <w:p w14:paraId="12B20D8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1.4.3. </w:t>
      </w:r>
      <w:r w:rsidRPr="001667DB">
        <w:rPr>
          <w:rFonts w:ascii="Times New Roman" w:hAnsi="Times New Roman" w:cs="Times New Roman"/>
          <w:color w:val="000000" w:themeColor="text1"/>
        </w:rPr>
        <w:t>Dokop - miejsce pozyskania gruntu do wykonania uzupełnienia poboczy położone poza pasem drogowym.</w:t>
      </w:r>
    </w:p>
    <w:p w14:paraId="53BCA83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1.4.4. </w:t>
      </w:r>
      <w:r w:rsidRPr="001667DB">
        <w:rPr>
          <w:rFonts w:ascii="Times New Roman" w:hAnsi="Times New Roman" w:cs="Times New Roman"/>
          <w:color w:val="000000" w:themeColor="text1"/>
        </w:rPr>
        <w:t>Pozostałe określenia podstawowe są zgodne z obowiązującymi, odpowiednimi polskimi normami i z definicjami podanymi w ST D-00.00.00 „Wymagania ogólne” pkt 1.4.</w:t>
      </w:r>
    </w:p>
    <w:p w14:paraId="078F039B"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1.5. Ogólne wymagania dotyczące robót</w:t>
      </w:r>
    </w:p>
    <w:p w14:paraId="148A03D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pkt 1.5.</w:t>
      </w:r>
    </w:p>
    <w:p w14:paraId="0DC10660" w14:textId="77777777" w:rsidR="00CC4443" w:rsidRPr="001667DB" w:rsidRDefault="00CC4443" w:rsidP="00CC4443">
      <w:pPr>
        <w:spacing w:line="276" w:lineRule="auto"/>
        <w:jc w:val="both"/>
        <w:rPr>
          <w:rFonts w:ascii="Times New Roman" w:hAnsi="Times New Roman" w:cs="Times New Roman"/>
          <w:color w:val="000000" w:themeColor="text1"/>
        </w:rPr>
      </w:pPr>
    </w:p>
    <w:p w14:paraId="411E531D"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732" w:name="_Toc428247149"/>
      <w:r w:rsidRPr="001667DB">
        <w:rPr>
          <w:color w:val="000000" w:themeColor="text1"/>
          <w:sz w:val="22"/>
          <w:szCs w:val="22"/>
        </w:rPr>
        <w:t>2. MATERIAŁY</w:t>
      </w:r>
      <w:bookmarkEnd w:id="732"/>
    </w:p>
    <w:p w14:paraId="436748E4" w14:textId="77777777" w:rsidR="00E35278" w:rsidRDefault="00E35278"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bookmarkStart w:id="733" w:name="_Toc407161185"/>
      <w:bookmarkStart w:id="734" w:name="_Toc405615037"/>
    </w:p>
    <w:p w14:paraId="6C6425FF"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2.1. Ogólne wymagania dotyczące materiałów</w:t>
      </w:r>
      <w:bookmarkEnd w:id="733"/>
      <w:bookmarkEnd w:id="734"/>
    </w:p>
    <w:p w14:paraId="5912994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39900DF1"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2.2. Grunt</w:t>
      </w:r>
    </w:p>
    <w:p w14:paraId="6673B0C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Grunt jest podstawowym materiałem do budowy nawierzchni gruntowych.</w:t>
      </w:r>
    </w:p>
    <w:p w14:paraId="7F511D5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Grunty należy klasyfikować zgodnie z normą PN-B-02480 [1].</w:t>
      </w:r>
    </w:p>
    <w:p w14:paraId="65DFF0D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Przy budowie nawierzchni gruntowej należy kierować się zasadą wykorzystania w maksymalnym stopniu gruntu zalegającego w podłożu.</w:t>
      </w:r>
    </w:p>
    <w:p w14:paraId="5B275EB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Rozpoznanie gruntu należy przeprowadzić na podstawie badań makroskopowych określonych w normie PN-B-04452 [2]; badania uziarnienia według normy PN-B-04481 [3] lub PN-B-06714-15 [5].</w:t>
      </w:r>
    </w:p>
    <w:p w14:paraId="106980E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Podział gruntów pod względem wysadzinowości podaje tablica 1.</w:t>
      </w:r>
    </w:p>
    <w:p w14:paraId="3A83D3E6" w14:textId="77777777" w:rsidR="00CC4443" w:rsidRPr="001667DB" w:rsidRDefault="00CC4443" w:rsidP="00CC4443">
      <w:pPr>
        <w:spacing w:line="276" w:lineRule="auto"/>
        <w:jc w:val="both"/>
        <w:rPr>
          <w:rFonts w:ascii="Times New Roman" w:hAnsi="Times New Roman" w:cs="Times New Roman"/>
          <w:color w:val="000000" w:themeColor="text1"/>
        </w:rPr>
      </w:pPr>
    </w:p>
    <w:p w14:paraId="6E64E33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1. Podział gruntów pod względem wysadzinowości</w:t>
      </w:r>
    </w:p>
    <w:tbl>
      <w:tblPr>
        <w:tblW w:w="0" w:type="auto"/>
        <w:tblInd w:w="-78" w:type="dxa"/>
        <w:tblLayout w:type="fixed"/>
        <w:tblCellMar>
          <w:left w:w="70" w:type="dxa"/>
          <w:right w:w="70" w:type="dxa"/>
        </w:tblCellMar>
        <w:tblLook w:val="04A0" w:firstRow="1" w:lastRow="0" w:firstColumn="1" w:lastColumn="0" w:noHBand="0" w:noVBand="1"/>
      </w:tblPr>
      <w:tblGrid>
        <w:gridCol w:w="496"/>
        <w:gridCol w:w="3402"/>
        <w:gridCol w:w="1205"/>
        <w:gridCol w:w="1205"/>
        <w:gridCol w:w="1205"/>
      </w:tblGrid>
      <w:tr w:rsidR="00CC4443" w:rsidRPr="001667DB" w14:paraId="324C10C5" w14:textId="77777777" w:rsidTr="00CC4443">
        <w:tc>
          <w:tcPr>
            <w:tcW w:w="496" w:type="dxa"/>
            <w:tcBorders>
              <w:top w:val="single" w:sz="6" w:space="0" w:color="auto"/>
              <w:left w:val="single" w:sz="6" w:space="0" w:color="auto"/>
              <w:bottom w:val="nil"/>
              <w:right w:val="nil"/>
            </w:tcBorders>
          </w:tcPr>
          <w:p w14:paraId="2F6C90F7" w14:textId="77777777" w:rsidR="00CC4443" w:rsidRPr="001667DB" w:rsidRDefault="00CC4443" w:rsidP="00CC4443">
            <w:pPr>
              <w:spacing w:line="276" w:lineRule="auto"/>
              <w:jc w:val="both"/>
              <w:rPr>
                <w:rFonts w:ascii="Times New Roman" w:hAnsi="Times New Roman" w:cs="Times New Roman"/>
                <w:color w:val="000000" w:themeColor="text1"/>
              </w:rPr>
            </w:pPr>
          </w:p>
        </w:tc>
        <w:tc>
          <w:tcPr>
            <w:tcW w:w="3402" w:type="dxa"/>
            <w:tcBorders>
              <w:top w:val="single" w:sz="6" w:space="0" w:color="auto"/>
              <w:left w:val="single" w:sz="6" w:space="0" w:color="auto"/>
              <w:bottom w:val="nil"/>
              <w:right w:val="nil"/>
            </w:tcBorders>
          </w:tcPr>
          <w:p w14:paraId="73021630" w14:textId="77777777" w:rsidR="00CC4443" w:rsidRPr="001667DB" w:rsidRDefault="00CC4443" w:rsidP="00CC4443">
            <w:pPr>
              <w:spacing w:line="276" w:lineRule="auto"/>
              <w:jc w:val="both"/>
              <w:rPr>
                <w:rFonts w:ascii="Times New Roman" w:hAnsi="Times New Roman" w:cs="Times New Roman"/>
                <w:color w:val="000000" w:themeColor="text1"/>
              </w:rPr>
            </w:pPr>
          </w:p>
        </w:tc>
        <w:tc>
          <w:tcPr>
            <w:tcW w:w="3612" w:type="dxa"/>
            <w:gridSpan w:val="3"/>
            <w:tcBorders>
              <w:top w:val="single" w:sz="6" w:space="0" w:color="auto"/>
              <w:left w:val="single" w:sz="6" w:space="0" w:color="auto"/>
              <w:bottom w:val="single" w:sz="6" w:space="0" w:color="auto"/>
              <w:right w:val="single" w:sz="6" w:space="0" w:color="auto"/>
            </w:tcBorders>
            <w:hideMark/>
          </w:tcPr>
          <w:p w14:paraId="321A341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w:t>
            </w:r>
          </w:p>
        </w:tc>
      </w:tr>
      <w:tr w:rsidR="00CC4443" w:rsidRPr="001667DB" w14:paraId="28416A7C" w14:textId="77777777" w:rsidTr="00CC4443">
        <w:tc>
          <w:tcPr>
            <w:tcW w:w="496" w:type="dxa"/>
            <w:tcBorders>
              <w:top w:val="nil"/>
              <w:left w:val="single" w:sz="6" w:space="0" w:color="auto"/>
              <w:bottom w:val="double" w:sz="6" w:space="0" w:color="auto"/>
              <w:right w:val="nil"/>
            </w:tcBorders>
            <w:hideMark/>
          </w:tcPr>
          <w:p w14:paraId="2B2C2FE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402" w:type="dxa"/>
            <w:tcBorders>
              <w:top w:val="nil"/>
              <w:left w:val="single" w:sz="6" w:space="0" w:color="auto"/>
              <w:bottom w:val="double" w:sz="6" w:space="0" w:color="auto"/>
              <w:right w:val="nil"/>
            </w:tcBorders>
            <w:hideMark/>
          </w:tcPr>
          <w:p w14:paraId="5937998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1205" w:type="dxa"/>
            <w:tcBorders>
              <w:top w:val="single" w:sz="6" w:space="0" w:color="auto"/>
              <w:left w:val="single" w:sz="6" w:space="0" w:color="auto"/>
              <w:bottom w:val="double" w:sz="6" w:space="0" w:color="auto"/>
              <w:right w:val="single" w:sz="6" w:space="0" w:color="auto"/>
            </w:tcBorders>
            <w:hideMark/>
          </w:tcPr>
          <w:p w14:paraId="450A72C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niewysadzinowe</w:t>
            </w:r>
          </w:p>
        </w:tc>
        <w:tc>
          <w:tcPr>
            <w:tcW w:w="1205" w:type="dxa"/>
            <w:tcBorders>
              <w:top w:val="single" w:sz="6" w:space="0" w:color="auto"/>
              <w:left w:val="single" w:sz="6" w:space="0" w:color="auto"/>
              <w:bottom w:val="double" w:sz="6" w:space="0" w:color="auto"/>
              <w:right w:val="single" w:sz="6" w:space="0" w:color="auto"/>
            </w:tcBorders>
            <w:hideMark/>
          </w:tcPr>
          <w:p w14:paraId="3CE19A0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w:t>
            </w:r>
          </w:p>
          <w:p w14:paraId="35DFBE3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wątpliwe</w:t>
            </w:r>
          </w:p>
        </w:tc>
        <w:tc>
          <w:tcPr>
            <w:tcW w:w="1205" w:type="dxa"/>
            <w:tcBorders>
              <w:top w:val="single" w:sz="6" w:space="0" w:color="auto"/>
              <w:left w:val="single" w:sz="6" w:space="0" w:color="auto"/>
              <w:bottom w:val="double" w:sz="6" w:space="0" w:color="auto"/>
              <w:right w:val="single" w:sz="6" w:space="0" w:color="auto"/>
            </w:tcBorders>
            <w:hideMark/>
          </w:tcPr>
          <w:p w14:paraId="63900CA1"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wysadzinowe</w:t>
            </w:r>
          </w:p>
        </w:tc>
      </w:tr>
      <w:tr w:rsidR="00CC4443" w:rsidRPr="001667DB" w14:paraId="55634067" w14:textId="77777777" w:rsidTr="00CC4443">
        <w:tc>
          <w:tcPr>
            <w:tcW w:w="496" w:type="dxa"/>
            <w:tcBorders>
              <w:top w:val="nil"/>
              <w:left w:val="single" w:sz="6" w:space="0" w:color="auto"/>
              <w:bottom w:val="single" w:sz="6" w:space="0" w:color="auto"/>
              <w:right w:val="single" w:sz="6" w:space="0" w:color="auto"/>
            </w:tcBorders>
            <w:hideMark/>
          </w:tcPr>
          <w:p w14:paraId="709EE36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402" w:type="dxa"/>
            <w:tcBorders>
              <w:top w:val="nil"/>
              <w:left w:val="single" w:sz="6" w:space="0" w:color="auto"/>
              <w:bottom w:val="single" w:sz="6" w:space="0" w:color="auto"/>
              <w:right w:val="single" w:sz="6" w:space="0" w:color="auto"/>
            </w:tcBorders>
            <w:hideMark/>
          </w:tcPr>
          <w:p w14:paraId="1A869D6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Wskaźnik nośności według BN-70/8931-05 [17], %, (W</w:t>
            </w:r>
            <w:r w:rsidRPr="001667DB">
              <w:rPr>
                <w:rFonts w:ascii="Times New Roman" w:hAnsi="Times New Roman" w:cs="Times New Roman"/>
                <w:color w:val="000000" w:themeColor="text1"/>
                <w:vertAlign w:val="subscript"/>
              </w:rPr>
              <w:t>noś</w:t>
            </w:r>
            <w:r w:rsidRPr="001667DB">
              <w:rPr>
                <w:rFonts w:ascii="Times New Roman" w:hAnsi="Times New Roman" w:cs="Times New Roman"/>
                <w:color w:val="000000" w:themeColor="text1"/>
              </w:rPr>
              <w:t>)</w:t>
            </w:r>
          </w:p>
        </w:tc>
        <w:tc>
          <w:tcPr>
            <w:tcW w:w="1205" w:type="dxa"/>
            <w:tcBorders>
              <w:top w:val="nil"/>
              <w:left w:val="single" w:sz="6" w:space="0" w:color="auto"/>
              <w:bottom w:val="single" w:sz="6" w:space="0" w:color="auto"/>
              <w:right w:val="single" w:sz="6" w:space="0" w:color="auto"/>
            </w:tcBorders>
            <w:hideMark/>
          </w:tcPr>
          <w:p w14:paraId="3951D1E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 xml:space="preserve">noś </w:t>
            </w:r>
            <w:r w:rsidRPr="001667DB">
              <w:rPr>
                <w:rFonts w:ascii="Times New Roman" w:hAnsi="Times New Roman" w:cs="Times New Roman"/>
                <w:color w:val="000000" w:themeColor="text1"/>
              </w:rPr>
              <w:sym w:font="Symbol" w:char="F03E"/>
            </w:r>
            <w:r w:rsidRPr="001667DB">
              <w:rPr>
                <w:rFonts w:ascii="Times New Roman" w:hAnsi="Times New Roman" w:cs="Times New Roman"/>
                <w:color w:val="000000" w:themeColor="text1"/>
              </w:rPr>
              <w:t xml:space="preserve"> 10</w:t>
            </w:r>
          </w:p>
        </w:tc>
        <w:tc>
          <w:tcPr>
            <w:tcW w:w="1205" w:type="dxa"/>
            <w:tcBorders>
              <w:top w:val="nil"/>
              <w:left w:val="single" w:sz="6" w:space="0" w:color="auto"/>
              <w:bottom w:val="single" w:sz="6" w:space="0" w:color="auto"/>
              <w:right w:val="single" w:sz="6" w:space="0" w:color="auto"/>
            </w:tcBorders>
            <w:hideMark/>
          </w:tcPr>
          <w:p w14:paraId="12EFA34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noś</w:t>
            </w:r>
            <w:r w:rsidRPr="001667DB">
              <w:rPr>
                <w:rFonts w:ascii="Times New Roman" w:hAnsi="Times New Roman" w:cs="Times New Roman"/>
                <w:color w:val="000000" w:themeColor="text1"/>
              </w:rPr>
              <w:t xml:space="preserve"> od 5  do 10</w:t>
            </w:r>
          </w:p>
        </w:tc>
        <w:tc>
          <w:tcPr>
            <w:tcW w:w="1205" w:type="dxa"/>
            <w:tcBorders>
              <w:top w:val="nil"/>
              <w:left w:val="single" w:sz="6" w:space="0" w:color="auto"/>
              <w:bottom w:val="single" w:sz="6" w:space="0" w:color="auto"/>
              <w:right w:val="single" w:sz="6" w:space="0" w:color="auto"/>
            </w:tcBorders>
            <w:hideMark/>
          </w:tcPr>
          <w:p w14:paraId="0E57B26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w:t>
            </w:r>
            <w:r w:rsidRPr="001667DB">
              <w:rPr>
                <w:rFonts w:ascii="Times New Roman" w:hAnsi="Times New Roman" w:cs="Times New Roman"/>
                <w:color w:val="000000" w:themeColor="text1"/>
                <w:vertAlign w:val="subscript"/>
              </w:rPr>
              <w:t>noś</w:t>
            </w:r>
            <w:r w:rsidRPr="001667DB">
              <w:rPr>
                <w:rFonts w:ascii="Times New Roman" w:hAnsi="Times New Roman" w:cs="Times New Roman"/>
                <w:color w:val="000000" w:themeColor="text1"/>
              </w:rPr>
              <w:t xml:space="preserve"> &lt; 5</w:t>
            </w:r>
          </w:p>
        </w:tc>
      </w:tr>
      <w:tr w:rsidR="00CC4443" w:rsidRPr="001667DB" w14:paraId="0F09B914"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5BAA915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402" w:type="dxa"/>
            <w:tcBorders>
              <w:top w:val="single" w:sz="6" w:space="0" w:color="auto"/>
              <w:left w:val="single" w:sz="6" w:space="0" w:color="auto"/>
              <w:bottom w:val="single" w:sz="6" w:space="0" w:color="auto"/>
              <w:right w:val="single" w:sz="6" w:space="0" w:color="auto"/>
            </w:tcBorders>
            <w:hideMark/>
          </w:tcPr>
          <w:p w14:paraId="3996ECA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Wskaźnik piaskowy (WP) według BN-64/8931-01 [13]</w:t>
            </w:r>
          </w:p>
        </w:tc>
        <w:tc>
          <w:tcPr>
            <w:tcW w:w="1205" w:type="dxa"/>
            <w:tcBorders>
              <w:top w:val="single" w:sz="6" w:space="0" w:color="auto"/>
              <w:left w:val="single" w:sz="6" w:space="0" w:color="auto"/>
              <w:bottom w:val="single" w:sz="6" w:space="0" w:color="auto"/>
              <w:right w:val="single" w:sz="6" w:space="0" w:color="auto"/>
            </w:tcBorders>
            <w:hideMark/>
          </w:tcPr>
          <w:p w14:paraId="6E02B7E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WP </w:t>
            </w:r>
            <w:r w:rsidRPr="001667DB">
              <w:rPr>
                <w:rFonts w:ascii="Times New Roman" w:hAnsi="Times New Roman" w:cs="Times New Roman"/>
                <w:color w:val="000000" w:themeColor="text1"/>
              </w:rPr>
              <w:sym w:font="Symbol" w:char="F03E"/>
            </w:r>
            <w:r w:rsidRPr="001667DB">
              <w:rPr>
                <w:rFonts w:ascii="Times New Roman" w:hAnsi="Times New Roman" w:cs="Times New Roman"/>
                <w:color w:val="000000" w:themeColor="text1"/>
              </w:rPr>
              <w:t xml:space="preserve"> 35</w:t>
            </w:r>
          </w:p>
        </w:tc>
        <w:tc>
          <w:tcPr>
            <w:tcW w:w="1205" w:type="dxa"/>
            <w:tcBorders>
              <w:top w:val="single" w:sz="6" w:space="0" w:color="auto"/>
              <w:left w:val="single" w:sz="6" w:space="0" w:color="auto"/>
              <w:bottom w:val="single" w:sz="6" w:space="0" w:color="auto"/>
              <w:right w:val="single" w:sz="6" w:space="0" w:color="auto"/>
            </w:tcBorders>
            <w:hideMark/>
          </w:tcPr>
          <w:p w14:paraId="79554FC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WP od 25  do 35</w:t>
            </w:r>
          </w:p>
        </w:tc>
        <w:tc>
          <w:tcPr>
            <w:tcW w:w="1205" w:type="dxa"/>
            <w:tcBorders>
              <w:top w:val="single" w:sz="6" w:space="0" w:color="auto"/>
              <w:left w:val="single" w:sz="6" w:space="0" w:color="auto"/>
              <w:bottom w:val="single" w:sz="6" w:space="0" w:color="auto"/>
              <w:right w:val="single" w:sz="6" w:space="0" w:color="auto"/>
            </w:tcBorders>
            <w:hideMark/>
          </w:tcPr>
          <w:p w14:paraId="58E2C76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WP &lt; 25</w:t>
            </w:r>
          </w:p>
        </w:tc>
      </w:tr>
      <w:tr w:rsidR="00CC4443" w:rsidRPr="001667DB" w14:paraId="61A53A7B"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030E003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402" w:type="dxa"/>
            <w:tcBorders>
              <w:top w:val="single" w:sz="6" w:space="0" w:color="auto"/>
              <w:left w:val="single" w:sz="6" w:space="0" w:color="auto"/>
              <w:bottom w:val="single" w:sz="6" w:space="0" w:color="auto"/>
              <w:right w:val="single" w:sz="6" w:space="0" w:color="auto"/>
            </w:tcBorders>
            <w:hideMark/>
          </w:tcPr>
          <w:p w14:paraId="4B2C2B6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cząstek poniżej 0,063 mm według PN-B-06714-15 [5], %</w:t>
            </w:r>
          </w:p>
        </w:tc>
        <w:tc>
          <w:tcPr>
            <w:tcW w:w="1205" w:type="dxa"/>
            <w:tcBorders>
              <w:top w:val="single" w:sz="6" w:space="0" w:color="auto"/>
              <w:left w:val="single" w:sz="6" w:space="0" w:color="auto"/>
              <w:bottom w:val="single" w:sz="6" w:space="0" w:color="auto"/>
              <w:right w:val="single" w:sz="6" w:space="0" w:color="auto"/>
            </w:tcBorders>
            <w:hideMark/>
          </w:tcPr>
          <w:p w14:paraId="788A094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poniżej 20</w:t>
            </w:r>
          </w:p>
        </w:tc>
        <w:tc>
          <w:tcPr>
            <w:tcW w:w="1205" w:type="dxa"/>
            <w:tcBorders>
              <w:top w:val="single" w:sz="6" w:space="0" w:color="auto"/>
              <w:left w:val="single" w:sz="6" w:space="0" w:color="auto"/>
              <w:bottom w:val="single" w:sz="6" w:space="0" w:color="auto"/>
              <w:right w:val="single" w:sz="6" w:space="0" w:color="auto"/>
            </w:tcBorders>
            <w:hideMark/>
          </w:tcPr>
          <w:p w14:paraId="6293BB9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 20 do 30</w:t>
            </w:r>
          </w:p>
        </w:tc>
        <w:tc>
          <w:tcPr>
            <w:tcW w:w="1205" w:type="dxa"/>
            <w:tcBorders>
              <w:top w:val="single" w:sz="6" w:space="0" w:color="auto"/>
              <w:left w:val="single" w:sz="6" w:space="0" w:color="auto"/>
              <w:bottom w:val="single" w:sz="6" w:space="0" w:color="auto"/>
              <w:right w:val="single" w:sz="6" w:space="0" w:color="auto"/>
            </w:tcBorders>
            <w:hideMark/>
          </w:tcPr>
          <w:p w14:paraId="589184E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powyżej 30</w:t>
            </w:r>
          </w:p>
        </w:tc>
      </w:tr>
      <w:tr w:rsidR="00CC4443" w:rsidRPr="001667DB" w14:paraId="5CDC1869"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1AC17E5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402" w:type="dxa"/>
            <w:tcBorders>
              <w:top w:val="single" w:sz="6" w:space="0" w:color="auto"/>
              <w:left w:val="single" w:sz="6" w:space="0" w:color="auto"/>
              <w:bottom w:val="single" w:sz="6" w:space="0" w:color="auto"/>
              <w:right w:val="single" w:sz="6" w:space="0" w:color="auto"/>
            </w:tcBorders>
            <w:hideMark/>
          </w:tcPr>
          <w:p w14:paraId="0C189A8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cząstek poniżej 0,02 mm według PN-B-04481 [3], %</w:t>
            </w:r>
          </w:p>
        </w:tc>
        <w:tc>
          <w:tcPr>
            <w:tcW w:w="1205" w:type="dxa"/>
            <w:tcBorders>
              <w:top w:val="single" w:sz="6" w:space="0" w:color="auto"/>
              <w:left w:val="single" w:sz="6" w:space="0" w:color="auto"/>
              <w:bottom w:val="single" w:sz="6" w:space="0" w:color="auto"/>
              <w:right w:val="single" w:sz="6" w:space="0" w:color="auto"/>
            </w:tcBorders>
            <w:hideMark/>
          </w:tcPr>
          <w:p w14:paraId="26ED45D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poniżej 3</w:t>
            </w:r>
          </w:p>
        </w:tc>
        <w:tc>
          <w:tcPr>
            <w:tcW w:w="1205" w:type="dxa"/>
            <w:tcBorders>
              <w:top w:val="single" w:sz="6" w:space="0" w:color="auto"/>
              <w:left w:val="single" w:sz="6" w:space="0" w:color="auto"/>
              <w:bottom w:val="single" w:sz="6" w:space="0" w:color="auto"/>
              <w:right w:val="single" w:sz="6" w:space="0" w:color="auto"/>
            </w:tcBorders>
            <w:hideMark/>
          </w:tcPr>
          <w:p w14:paraId="779C712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 3 do 10</w:t>
            </w:r>
          </w:p>
        </w:tc>
        <w:tc>
          <w:tcPr>
            <w:tcW w:w="1205" w:type="dxa"/>
            <w:tcBorders>
              <w:top w:val="single" w:sz="6" w:space="0" w:color="auto"/>
              <w:left w:val="single" w:sz="6" w:space="0" w:color="auto"/>
              <w:bottom w:val="single" w:sz="6" w:space="0" w:color="auto"/>
              <w:right w:val="single" w:sz="6" w:space="0" w:color="auto"/>
            </w:tcBorders>
            <w:hideMark/>
          </w:tcPr>
          <w:p w14:paraId="47AD427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powyżej 10</w:t>
            </w:r>
          </w:p>
        </w:tc>
      </w:tr>
      <w:tr w:rsidR="00CC4443" w:rsidRPr="001667DB" w14:paraId="081B1BB6"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02A1690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402" w:type="dxa"/>
            <w:tcBorders>
              <w:top w:val="single" w:sz="6" w:space="0" w:color="auto"/>
              <w:left w:val="single" w:sz="6" w:space="0" w:color="auto"/>
              <w:bottom w:val="single" w:sz="6" w:space="0" w:color="auto"/>
              <w:right w:val="single" w:sz="6" w:space="0" w:color="auto"/>
            </w:tcBorders>
            <w:hideMark/>
          </w:tcPr>
          <w:p w14:paraId="05473F8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Kapilarność bierna według PN-B-04493 [4], m</w:t>
            </w:r>
          </w:p>
        </w:tc>
        <w:tc>
          <w:tcPr>
            <w:tcW w:w="1205" w:type="dxa"/>
            <w:tcBorders>
              <w:top w:val="single" w:sz="6" w:space="0" w:color="auto"/>
              <w:left w:val="single" w:sz="6" w:space="0" w:color="auto"/>
              <w:bottom w:val="single" w:sz="6" w:space="0" w:color="auto"/>
              <w:right w:val="single" w:sz="6" w:space="0" w:color="auto"/>
            </w:tcBorders>
            <w:hideMark/>
          </w:tcPr>
          <w:p w14:paraId="195D264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H</w:t>
            </w:r>
            <w:r w:rsidRPr="001667DB">
              <w:rPr>
                <w:rFonts w:ascii="Times New Roman" w:hAnsi="Times New Roman" w:cs="Times New Roman"/>
                <w:color w:val="000000" w:themeColor="text1"/>
                <w:vertAlign w:val="subscript"/>
              </w:rPr>
              <w:t>kb</w:t>
            </w:r>
            <w:r w:rsidRPr="001667DB">
              <w:rPr>
                <w:rFonts w:ascii="Times New Roman" w:hAnsi="Times New Roman" w:cs="Times New Roman"/>
                <w:color w:val="000000" w:themeColor="text1"/>
              </w:rPr>
              <w:t xml:space="preserve"> &lt; 1,0</w:t>
            </w:r>
          </w:p>
        </w:tc>
        <w:tc>
          <w:tcPr>
            <w:tcW w:w="1205" w:type="dxa"/>
            <w:tcBorders>
              <w:top w:val="single" w:sz="6" w:space="0" w:color="auto"/>
              <w:left w:val="single" w:sz="6" w:space="0" w:color="auto"/>
              <w:bottom w:val="single" w:sz="6" w:space="0" w:color="auto"/>
              <w:right w:val="single" w:sz="6" w:space="0" w:color="auto"/>
            </w:tcBorders>
            <w:hideMark/>
          </w:tcPr>
          <w:p w14:paraId="2591D1B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H</w:t>
            </w:r>
            <w:r w:rsidRPr="001667DB">
              <w:rPr>
                <w:rFonts w:ascii="Times New Roman" w:hAnsi="Times New Roman" w:cs="Times New Roman"/>
                <w:color w:val="000000" w:themeColor="text1"/>
                <w:vertAlign w:val="subscript"/>
              </w:rPr>
              <w:t>kb</w:t>
            </w:r>
            <w:r w:rsidRPr="001667DB">
              <w:rPr>
                <w:rFonts w:ascii="Times New Roman" w:hAnsi="Times New Roman" w:cs="Times New Roman"/>
                <w:color w:val="000000" w:themeColor="text1"/>
              </w:rPr>
              <w:t xml:space="preserve"> od 1,0 do 1,3</w:t>
            </w:r>
          </w:p>
        </w:tc>
        <w:tc>
          <w:tcPr>
            <w:tcW w:w="1205" w:type="dxa"/>
            <w:tcBorders>
              <w:top w:val="single" w:sz="6" w:space="0" w:color="auto"/>
              <w:left w:val="single" w:sz="6" w:space="0" w:color="auto"/>
              <w:bottom w:val="single" w:sz="6" w:space="0" w:color="auto"/>
              <w:right w:val="single" w:sz="6" w:space="0" w:color="auto"/>
            </w:tcBorders>
            <w:hideMark/>
          </w:tcPr>
          <w:p w14:paraId="66272DF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H</w:t>
            </w:r>
            <w:r w:rsidRPr="001667DB">
              <w:rPr>
                <w:rFonts w:ascii="Times New Roman" w:hAnsi="Times New Roman" w:cs="Times New Roman"/>
                <w:color w:val="000000" w:themeColor="text1"/>
                <w:vertAlign w:val="subscript"/>
              </w:rPr>
              <w:t>kb</w:t>
            </w:r>
            <w:r w:rsidRPr="001667DB">
              <w:rPr>
                <w:rFonts w:ascii="Times New Roman" w:hAnsi="Times New Roman" w:cs="Times New Roman"/>
                <w:color w:val="000000" w:themeColor="text1"/>
              </w:rPr>
              <w:t xml:space="preserve"> &gt; 1,3</w:t>
            </w:r>
          </w:p>
        </w:tc>
      </w:tr>
    </w:tbl>
    <w:p w14:paraId="1302CF1D" w14:textId="77777777" w:rsidR="00CC4443" w:rsidRPr="001667DB" w:rsidRDefault="00CC4443" w:rsidP="00CC4443">
      <w:pPr>
        <w:spacing w:line="276" w:lineRule="auto"/>
        <w:jc w:val="both"/>
        <w:rPr>
          <w:rFonts w:ascii="Times New Roman" w:hAnsi="Times New Roman" w:cs="Times New Roman"/>
          <w:color w:val="000000" w:themeColor="text1"/>
        </w:rPr>
      </w:pPr>
    </w:p>
    <w:p w14:paraId="6DD055A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Badaniami powinny być objęte próbki gruntów pobrane co najmniej na głębokość strefy przemarzania (od 0,8 do 1,4 m od  poziomu terenu).</w:t>
      </w:r>
    </w:p>
    <w:p w14:paraId="6C7240B4" w14:textId="77777777" w:rsidR="00CC4443" w:rsidRPr="001667DB" w:rsidRDefault="00CC4443" w:rsidP="00CC4443">
      <w:pPr>
        <w:spacing w:line="276" w:lineRule="auto"/>
        <w:jc w:val="both"/>
        <w:rPr>
          <w:rFonts w:ascii="Times New Roman" w:hAnsi="Times New Roman" w:cs="Times New Roman"/>
          <w:color w:val="000000" w:themeColor="text1"/>
        </w:rPr>
      </w:pPr>
    </w:p>
    <w:p w14:paraId="76292835"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735" w:name="_Toc426175609"/>
      <w:bookmarkStart w:id="736" w:name="_Toc407086012"/>
      <w:bookmarkStart w:id="737" w:name="_Toc407085564"/>
      <w:bookmarkStart w:id="738" w:name="_Toc407085421"/>
      <w:bookmarkStart w:id="739" w:name="_Toc407085278"/>
      <w:bookmarkStart w:id="740" w:name="_Toc407084159"/>
      <w:bookmarkStart w:id="741" w:name="_Toc407083325"/>
      <w:bookmarkStart w:id="742" w:name="_Toc407081526"/>
      <w:bookmarkStart w:id="743" w:name="_Toc407069561"/>
      <w:bookmarkStart w:id="744" w:name="_Toc406984353"/>
      <w:bookmarkStart w:id="745" w:name="_Toc406984162"/>
      <w:bookmarkStart w:id="746" w:name="_Toc406984015"/>
      <w:bookmarkStart w:id="747" w:name="_Toc406915322"/>
      <w:bookmarkStart w:id="748" w:name="_Toc406914744"/>
      <w:bookmarkStart w:id="749" w:name="_Toc406914086"/>
      <w:bookmarkStart w:id="750" w:name="_Toc406913841"/>
      <w:r w:rsidRPr="001667DB">
        <w:rPr>
          <w:color w:val="000000" w:themeColor="text1"/>
          <w:sz w:val="22"/>
          <w:szCs w:val="22"/>
        </w:rPr>
        <w:t>3. SPRZĘT</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3F86BF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0C52E68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wykonania nawierzchni gruntowych należy stosować sprzęt określony w ST D-05.01.01 „Nawierzchnia gruntowa naturalna”.</w:t>
      </w:r>
    </w:p>
    <w:p w14:paraId="6362B649" w14:textId="77777777" w:rsidR="00CC4443" w:rsidRPr="001667DB" w:rsidRDefault="00CC4443" w:rsidP="00CC4443">
      <w:pPr>
        <w:spacing w:line="276" w:lineRule="auto"/>
        <w:jc w:val="both"/>
        <w:rPr>
          <w:rFonts w:ascii="Times New Roman" w:hAnsi="Times New Roman" w:cs="Times New Roman"/>
          <w:color w:val="000000" w:themeColor="text1"/>
        </w:rPr>
      </w:pPr>
    </w:p>
    <w:p w14:paraId="5CF80847"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751" w:name="_Toc426175610"/>
      <w:bookmarkStart w:id="752" w:name="_Toc407086015"/>
      <w:bookmarkStart w:id="753" w:name="_Toc407085567"/>
      <w:bookmarkStart w:id="754" w:name="_Toc407085424"/>
      <w:bookmarkStart w:id="755" w:name="_Toc407085281"/>
      <w:bookmarkStart w:id="756" w:name="_Toc407084162"/>
      <w:bookmarkStart w:id="757" w:name="_Toc407083328"/>
      <w:bookmarkStart w:id="758" w:name="_Toc407081529"/>
      <w:bookmarkStart w:id="759" w:name="_Toc407069564"/>
      <w:bookmarkStart w:id="760" w:name="_Toc406984356"/>
      <w:bookmarkStart w:id="761" w:name="_Toc406984165"/>
      <w:bookmarkStart w:id="762" w:name="_Toc406984018"/>
      <w:bookmarkStart w:id="763" w:name="_Toc406915325"/>
      <w:bookmarkStart w:id="764" w:name="_Toc406914747"/>
      <w:bookmarkStart w:id="765" w:name="_Toc406914089"/>
      <w:bookmarkStart w:id="766" w:name="_Toc406913844"/>
      <w:r w:rsidRPr="001667DB">
        <w:rPr>
          <w:color w:val="000000" w:themeColor="text1"/>
          <w:sz w:val="22"/>
          <w:szCs w:val="22"/>
        </w:rPr>
        <w:t>4. TRANSPORT</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32626C01" w14:textId="77777777" w:rsidR="00CC4443" w:rsidRPr="001667DB" w:rsidRDefault="00CC4443" w:rsidP="00CC4443">
      <w:pPr>
        <w:jc w:val="both"/>
        <w:rPr>
          <w:rFonts w:ascii="Times New Roman" w:hAnsi="Times New Roman" w:cs="Times New Roman"/>
          <w:color w:val="000000" w:themeColor="text1"/>
          <w:lang w:val="x-none"/>
        </w:rPr>
      </w:pPr>
    </w:p>
    <w:p w14:paraId="04D61E8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bookmarkStart w:id="767" w:name="_Toc406914091"/>
      <w:bookmarkStart w:id="768" w:name="_Toc406913846"/>
      <w:bookmarkStart w:id="769" w:name="_Toc406822326"/>
      <w:r w:rsidRPr="001667DB">
        <w:rPr>
          <w:rFonts w:ascii="Times New Roman" w:hAnsi="Times New Roman" w:cs="Times New Roman"/>
          <w:color w:val="000000" w:themeColor="text1"/>
        </w:rPr>
        <w:t>Ogólne wymagania dotyczące transportu podano w ST D-00.00.00 „Wymagania ogólne” pkt 4.</w:t>
      </w:r>
      <w:bookmarkEnd w:id="767"/>
      <w:bookmarkEnd w:id="768"/>
      <w:bookmarkEnd w:id="769"/>
    </w:p>
    <w:p w14:paraId="255E1BC7" w14:textId="77777777" w:rsidR="00CC4443" w:rsidRPr="001667DB" w:rsidRDefault="00CC4443" w:rsidP="00CC4443">
      <w:pPr>
        <w:spacing w:line="276" w:lineRule="auto"/>
        <w:jc w:val="both"/>
        <w:rPr>
          <w:rFonts w:ascii="Times New Roman" w:hAnsi="Times New Roman" w:cs="Times New Roman"/>
          <w:color w:val="000000" w:themeColor="text1"/>
        </w:rPr>
      </w:pPr>
    </w:p>
    <w:p w14:paraId="265C6900"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770" w:name="_Toc426175611"/>
      <w:bookmarkStart w:id="771" w:name="_Toc407086018"/>
      <w:bookmarkStart w:id="772" w:name="_Toc407085570"/>
      <w:bookmarkStart w:id="773" w:name="_Toc407085427"/>
      <w:bookmarkStart w:id="774" w:name="_Toc407085284"/>
      <w:bookmarkStart w:id="775" w:name="_Toc407084165"/>
      <w:bookmarkStart w:id="776" w:name="_Toc407083331"/>
      <w:bookmarkStart w:id="777" w:name="_Toc407081532"/>
      <w:bookmarkStart w:id="778" w:name="_Toc407069567"/>
      <w:bookmarkStart w:id="779" w:name="_Toc406984359"/>
      <w:bookmarkStart w:id="780" w:name="_Toc406984168"/>
      <w:bookmarkStart w:id="781" w:name="_Toc406984021"/>
      <w:bookmarkStart w:id="782" w:name="_Toc406915328"/>
      <w:bookmarkStart w:id="783" w:name="_Toc406914750"/>
      <w:bookmarkStart w:id="784" w:name="_Toc406914094"/>
      <w:bookmarkStart w:id="785" w:name="_Toc406913849"/>
      <w:r w:rsidRPr="001667DB">
        <w:rPr>
          <w:color w:val="000000" w:themeColor="text1"/>
          <w:sz w:val="22"/>
          <w:szCs w:val="22"/>
        </w:rPr>
        <w:t>5. WYKONANIE ROBÓT</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234F852" w14:textId="77777777" w:rsidR="00CC4443" w:rsidRPr="001667DB" w:rsidRDefault="00CC4443" w:rsidP="00CC4443">
      <w:pPr>
        <w:jc w:val="both"/>
        <w:rPr>
          <w:rFonts w:ascii="Times New Roman" w:hAnsi="Times New Roman" w:cs="Times New Roman"/>
          <w:color w:val="000000" w:themeColor="text1"/>
          <w:lang w:val="x-none"/>
        </w:rPr>
      </w:pPr>
    </w:p>
    <w:p w14:paraId="05273B08"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bookmarkStart w:id="786" w:name="_Toc407086019"/>
      <w:bookmarkStart w:id="787" w:name="_Toc407085571"/>
      <w:bookmarkStart w:id="788" w:name="_Toc407085428"/>
      <w:bookmarkStart w:id="789" w:name="_Toc407085285"/>
      <w:bookmarkStart w:id="790" w:name="_Toc407084166"/>
      <w:bookmarkStart w:id="791" w:name="_Toc407083332"/>
      <w:bookmarkStart w:id="792" w:name="_Toc407081533"/>
      <w:bookmarkStart w:id="793" w:name="_Toc407069568"/>
      <w:bookmarkStart w:id="794" w:name="_Toc406984360"/>
      <w:bookmarkStart w:id="795" w:name="_Toc406984169"/>
      <w:bookmarkStart w:id="796" w:name="_Toc406984022"/>
      <w:bookmarkStart w:id="797" w:name="_Toc406915329"/>
      <w:bookmarkStart w:id="798" w:name="_Toc406914751"/>
      <w:bookmarkStart w:id="799" w:name="_Toc406914095"/>
      <w:bookmarkStart w:id="800" w:name="_Toc406913850"/>
      <w:r w:rsidRPr="001667DB">
        <w:rPr>
          <w:i/>
          <w:color w:val="000000" w:themeColor="text1"/>
          <w:sz w:val="22"/>
          <w:szCs w:val="22"/>
        </w:rPr>
        <w:lastRenderedPageBreak/>
        <w:t>5.1. Ogólne zasady wykonania robót</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D10623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bookmarkStart w:id="801" w:name="_Toc406914096"/>
      <w:bookmarkStart w:id="802" w:name="_Toc406913851"/>
      <w:bookmarkStart w:id="803" w:name="_Toc406822331"/>
      <w:r w:rsidRPr="001667DB">
        <w:rPr>
          <w:rFonts w:ascii="Times New Roman" w:hAnsi="Times New Roman" w:cs="Times New Roman"/>
          <w:color w:val="000000" w:themeColor="text1"/>
        </w:rPr>
        <w:t>Ogólne zasady wykonania robót podano w ST D-00.00.00 „Wymagania ogólne” pkt 5.</w:t>
      </w:r>
      <w:bookmarkEnd w:id="801"/>
      <w:bookmarkEnd w:id="802"/>
      <w:bookmarkEnd w:id="803"/>
    </w:p>
    <w:p w14:paraId="0893EC2A" w14:textId="77777777" w:rsidR="00CC4443" w:rsidRPr="001667DB" w:rsidRDefault="00CC4443" w:rsidP="00CC4443">
      <w:pPr>
        <w:spacing w:line="276" w:lineRule="auto"/>
        <w:jc w:val="both"/>
        <w:rPr>
          <w:rFonts w:ascii="Times New Roman" w:hAnsi="Times New Roman" w:cs="Times New Roman"/>
          <w:color w:val="000000" w:themeColor="text1"/>
        </w:rPr>
      </w:pPr>
    </w:p>
    <w:p w14:paraId="2DD7AC20"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bookmarkStart w:id="804" w:name="_Toc407086020"/>
      <w:bookmarkStart w:id="805" w:name="_Toc407085572"/>
      <w:bookmarkStart w:id="806" w:name="_Toc407085429"/>
      <w:bookmarkStart w:id="807" w:name="_Toc407085286"/>
      <w:bookmarkStart w:id="808" w:name="_Toc407084167"/>
      <w:bookmarkStart w:id="809" w:name="_Toc407083333"/>
      <w:bookmarkStart w:id="810" w:name="_Toc407081534"/>
      <w:bookmarkStart w:id="811" w:name="_Toc407069569"/>
      <w:bookmarkStart w:id="812" w:name="_Toc406984361"/>
      <w:bookmarkStart w:id="813" w:name="_Toc406984170"/>
      <w:bookmarkStart w:id="814" w:name="_Toc406984023"/>
      <w:bookmarkStart w:id="815" w:name="_Toc406915330"/>
      <w:bookmarkStart w:id="816" w:name="_Toc406914752"/>
      <w:bookmarkStart w:id="817" w:name="_Toc406914097"/>
      <w:bookmarkStart w:id="818" w:name="_Toc406913852"/>
      <w:r w:rsidRPr="001667DB">
        <w:rPr>
          <w:i/>
          <w:color w:val="000000" w:themeColor="text1"/>
          <w:sz w:val="22"/>
          <w:szCs w:val="22"/>
        </w:rPr>
        <w:t xml:space="preserve">5.2. </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r w:rsidRPr="001667DB">
        <w:rPr>
          <w:i/>
          <w:color w:val="000000" w:themeColor="text1"/>
          <w:sz w:val="22"/>
          <w:szCs w:val="22"/>
        </w:rPr>
        <w:t>Przygotowanie podłoża</w:t>
      </w:r>
    </w:p>
    <w:p w14:paraId="45F30930" w14:textId="77777777" w:rsidR="00CC4443" w:rsidRPr="001667DB" w:rsidRDefault="00CC4443" w:rsidP="00CC4443">
      <w:pPr>
        <w:jc w:val="both"/>
        <w:rPr>
          <w:rFonts w:ascii="Times New Roman" w:hAnsi="Times New Roman" w:cs="Times New Roman"/>
          <w:color w:val="000000" w:themeColor="text1"/>
          <w:lang w:val="x-none"/>
        </w:rPr>
      </w:pPr>
    </w:p>
    <w:p w14:paraId="17B44DC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Paliki lub szpilki do prawidłowego ukształtowania nawierzchni powinny być wcześniej przygotowane.</w:t>
      </w:r>
    </w:p>
    <w:p w14:paraId="7B19A9B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Paliki lub szpilki należy ustawiać w osi drogi i w rzędach równoległych do osi drogi.</w:t>
      </w:r>
    </w:p>
    <w:p w14:paraId="2291593B" w14:textId="77777777" w:rsidR="00CC4443" w:rsidRPr="001667DB" w:rsidRDefault="00CC4443" w:rsidP="00CC4443">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Rozmieszczenie palików lub szpilek powinno umożliwić naciągnięcie sznurków lub linek do wytyczenia robót w odstępach nie większych niż co 10 metrów.</w:t>
      </w:r>
    </w:p>
    <w:p w14:paraId="3D18EE4C" w14:textId="77777777" w:rsidR="00CC4443" w:rsidRPr="001667DB" w:rsidRDefault="00CC4443" w:rsidP="00CC4443">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Przed wykonaniem nawierzchni należy oczyścić i przygotować podłoże.</w:t>
      </w:r>
    </w:p>
    <w:p w14:paraId="007AA67D" w14:textId="77777777" w:rsidR="00CC4443" w:rsidRPr="001667DB" w:rsidRDefault="00CC4443" w:rsidP="00CC4443">
      <w:pPr>
        <w:spacing w:line="276" w:lineRule="auto"/>
        <w:ind w:firstLine="709"/>
        <w:jc w:val="both"/>
        <w:rPr>
          <w:rFonts w:ascii="Times New Roman" w:hAnsi="Times New Roman" w:cs="Times New Roman"/>
          <w:color w:val="000000" w:themeColor="text1"/>
        </w:rPr>
      </w:pPr>
    </w:p>
    <w:p w14:paraId="7C51CAD2"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5.3. Wykonanie nawierzchni</w:t>
      </w:r>
    </w:p>
    <w:p w14:paraId="68DECA15" w14:textId="77777777" w:rsidR="00CC4443" w:rsidRPr="001667DB" w:rsidRDefault="00CC4443" w:rsidP="00CC4443">
      <w:pPr>
        <w:jc w:val="both"/>
        <w:rPr>
          <w:rFonts w:ascii="Times New Roman" w:hAnsi="Times New Roman" w:cs="Times New Roman"/>
          <w:color w:val="000000" w:themeColor="text1"/>
          <w:lang w:val="x-none"/>
        </w:rPr>
      </w:pPr>
    </w:p>
    <w:p w14:paraId="45FB6D4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Wymagania dotyczące wykonania nawierzchni gruntowej i jej pielęgnacji podano w ST D-05.01.01 „Nawierzchnia gruntowa naturalna” .</w:t>
      </w:r>
    </w:p>
    <w:p w14:paraId="599D35D5" w14:textId="77777777" w:rsidR="00CC4443" w:rsidRPr="001667DB" w:rsidRDefault="00CC4443" w:rsidP="00CC4443">
      <w:pPr>
        <w:spacing w:line="276" w:lineRule="auto"/>
        <w:jc w:val="both"/>
        <w:rPr>
          <w:rFonts w:ascii="Times New Roman" w:hAnsi="Times New Roman" w:cs="Times New Roman"/>
          <w:color w:val="000000" w:themeColor="text1"/>
        </w:rPr>
      </w:pPr>
    </w:p>
    <w:p w14:paraId="7F2706D0"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819" w:name="_Toc426175612"/>
      <w:r w:rsidRPr="001667DB">
        <w:rPr>
          <w:color w:val="000000" w:themeColor="text1"/>
          <w:sz w:val="22"/>
          <w:szCs w:val="22"/>
        </w:rPr>
        <w:t>6. KONTROLA JAKOŚCI ROBÓT</w:t>
      </w:r>
      <w:bookmarkEnd w:id="819"/>
    </w:p>
    <w:p w14:paraId="173D62FC" w14:textId="77777777" w:rsidR="00CC4443" w:rsidRPr="001667DB" w:rsidRDefault="00CC4443" w:rsidP="00CC4443">
      <w:pPr>
        <w:jc w:val="both"/>
        <w:rPr>
          <w:rFonts w:ascii="Times New Roman" w:hAnsi="Times New Roman" w:cs="Times New Roman"/>
          <w:color w:val="000000" w:themeColor="text1"/>
          <w:lang w:val="x-none"/>
        </w:rPr>
      </w:pPr>
    </w:p>
    <w:p w14:paraId="290B161F"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6.1. Ogólne zasady kontroli jakości robót</w:t>
      </w:r>
    </w:p>
    <w:p w14:paraId="295C5C0F" w14:textId="77777777" w:rsidR="00CC4443" w:rsidRPr="001667DB" w:rsidRDefault="00CC4443" w:rsidP="00CC4443">
      <w:pPr>
        <w:jc w:val="both"/>
        <w:rPr>
          <w:rFonts w:ascii="Times New Roman" w:hAnsi="Times New Roman" w:cs="Times New Roman"/>
          <w:color w:val="000000" w:themeColor="text1"/>
          <w:lang w:val="x-none"/>
        </w:rPr>
      </w:pPr>
    </w:p>
    <w:p w14:paraId="5744792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 a pozostałe zasady w ST D-05.01.01 dla nawierzchni gruntowej naturalnej pkt 6.</w:t>
      </w:r>
    </w:p>
    <w:p w14:paraId="78E88E81" w14:textId="77777777" w:rsidR="00CC4443" w:rsidRPr="001667DB" w:rsidRDefault="00CC4443" w:rsidP="00CC4443">
      <w:pPr>
        <w:spacing w:line="276" w:lineRule="auto"/>
        <w:jc w:val="both"/>
        <w:rPr>
          <w:rFonts w:ascii="Times New Roman" w:hAnsi="Times New Roman" w:cs="Times New Roman"/>
          <w:color w:val="000000" w:themeColor="text1"/>
        </w:rPr>
      </w:pPr>
    </w:p>
    <w:p w14:paraId="0CAFD3B1"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6.2. Wymagania dotyczące cech geometrycznych nawierzchni</w:t>
      </w:r>
    </w:p>
    <w:p w14:paraId="5058E546" w14:textId="77777777" w:rsidR="00CC4443" w:rsidRPr="001667DB" w:rsidRDefault="00CC4443" w:rsidP="00CC4443">
      <w:pPr>
        <w:jc w:val="both"/>
        <w:rPr>
          <w:rFonts w:ascii="Times New Roman" w:hAnsi="Times New Roman" w:cs="Times New Roman"/>
          <w:color w:val="000000" w:themeColor="text1"/>
          <w:lang w:val="x-none"/>
        </w:rPr>
      </w:pPr>
    </w:p>
    <w:p w14:paraId="7D607C3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6.2.1. </w:t>
      </w:r>
      <w:r w:rsidRPr="001667DB">
        <w:rPr>
          <w:rFonts w:ascii="Times New Roman" w:hAnsi="Times New Roman" w:cs="Times New Roman"/>
          <w:color w:val="000000" w:themeColor="text1"/>
        </w:rPr>
        <w:t>Równość nawierzchni</w:t>
      </w:r>
    </w:p>
    <w:p w14:paraId="7989C58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Nierówności podłużne nawierzchni należy mierzyć 4-metrową łatą, zgodnie z normą BN-68/8931-04 [16].</w:t>
      </w:r>
    </w:p>
    <w:p w14:paraId="356CE3B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Nierówności nawierzchni gruntowej nie powinny przekraczać 15 mm.</w:t>
      </w:r>
    </w:p>
    <w:p w14:paraId="2D693C4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6.2.2. </w:t>
      </w:r>
      <w:r w:rsidRPr="001667DB">
        <w:rPr>
          <w:rFonts w:ascii="Times New Roman" w:hAnsi="Times New Roman" w:cs="Times New Roman"/>
          <w:color w:val="000000" w:themeColor="text1"/>
        </w:rPr>
        <w:t>Spadki poprzeczne nawierzchni</w:t>
      </w:r>
    </w:p>
    <w:p w14:paraId="3939296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Spadki poprzeczne nawierzchni należy mierzyć przy użyciu 4-metrowej łaty i poziomicy.</w:t>
      </w:r>
    </w:p>
    <w:p w14:paraId="60F56F0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Odchylenia spadków poprzecznych nawierzchni na prostych i łukach nie powinny być większe niż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0,5 % od spadków projektowanych.</w:t>
      </w:r>
    </w:p>
    <w:p w14:paraId="42B1B5B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6.2.3. </w:t>
      </w:r>
      <w:r w:rsidRPr="001667DB">
        <w:rPr>
          <w:rFonts w:ascii="Times New Roman" w:hAnsi="Times New Roman" w:cs="Times New Roman"/>
          <w:color w:val="000000" w:themeColor="text1"/>
        </w:rPr>
        <w:t xml:space="preserve">Rzędne wysokościowe </w:t>
      </w:r>
    </w:p>
    <w:p w14:paraId="3693FFB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Odchylenie rzędnych wysokościowych nawierzchni od rzędnych projektowanych nie powinno być większe niż + 1 cm i -3 cm.</w:t>
      </w:r>
    </w:p>
    <w:p w14:paraId="66C62D6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6.2.4. </w:t>
      </w:r>
      <w:r w:rsidRPr="001667DB">
        <w:rPr>
          <w:rFonts w:ascii="Times New Roman" w:hAnsi="Times New Roman" w:cs="Times New Roman"/>
          <w:color w:val="000000" w:themeColor="text1"/>
        </w:rPr>
        <w:t>Ukształtowanie osi nawierzchni</w:t>
      </w:r>
    </w:p>
    <w:p w14:paraId="5BC9AAE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Oś nawierzchni w planie nie może być przesunięta w stosunku do osi projektowanej o więcej niż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5 cm.</w:t>
      </w:r>
    </w:p>
    <w:p w14:paraId="62AE46D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6.2.5. </w:t>
      </w:r>
      <w:r w:rsidRPr="001667DB">
        <w:rPr>
          <w:rFonts w:ascii="Times New Roman" w:hAnsi="Times New Roman" w:cs="Times New Roman"/>
          <w:color w:val="000000" w:themeColor="text1"/>
        </w:rPr>
        <w:t>Szerokość nawierzchni</w:t>
      </w:r>
    </w:p>
    <w:p w14:paraId="52E1A28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Szerokość nawierzchni nie może różnić się od szerokości projektowanej o więcej niż + 10 cm i -5 cm.</w:t>
      </w:r>
    </w:p>
    <w:p w14:paraId="35248310"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6.3.</w:t>
      </w:r>
      <w:r w:rsidRPr="001667DB">
        <w:rPr>
          <w:b w:val="0"/>
          <w:i/>
          <w:color w:val="000000" w:themeColor="text1"/>
          <w:sz w:val="22"/>
          <w:szCs w:val="22"/>
        </w:rPr>
        <w:t xml:space="preserve"> </w:t>
      </w:r>
      <w:r w:rsidRPr="001667DB">
        <w:rPr>
          <w:i/>
          <w:color w:val="000000" w:themeColor="text1"/>
          <w:sz w:val="22"/>
          <w:szCs w:val="22"/>
        </w:rPr>
        <w:t>Częstotliwość oraz zakres badań i pomiarów</w:t>
      </w:r>
    </w:p>
    <w:p w14:paraId="54C4BFDF" w14:textId="77777777" w:rsidR="00CC4443" w:rsidRPr="001667DB" w:rsidRDefault="00CC4443" w:rsidP="00CC4443">
      <w:pPr>
        <w:rPr>
          <w:rFonts w:ascii="Times New Roman" w:hAnsi="Times New Roman" w:cs="Times New Roman"/>
          <w:color w:val="000000" w:themeColor="text1"/>
          <w:lang w:val="x-none"/>
        </w:rPr>
      </w:pPr>
    </w:p>
    <w:p w14:paraId="1B01BDA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Częstotliwość oraz zakres badań i pomiarów wykonanej nawierzchni gruntowej podano w tablicy 2.</w:t>
      </w:r>
    </w:p>
    <w:p w14:paraId="2CD5A23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2. Częstotliwość oraz zakres badań i pomiarów wykonanej nawierzchni gruntowej</w:t>
      </w:r>
    </w:p>
    <w:tbl>
      <w:tblPr>
        <w:tblW w:w="0" w:type="auto"/>
        <w:tblInd w:w="-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96"/>
        <w:gridCol w:w="3507"/>
        <w:gridCol w:w="3508"/>
      </w:tblGrid>
      <w:tr w:rsidR="00CC4443" w:rsidRPr="001667DB" w14:paraId="7C3BB938" w14:textId="77777777" w:rsidTr="00CC4443">
        <w:tc>
          <w:tcPr>
            <w:tcW w:w="496" w:type="dxa"/>
            <w:tcBorders>
              <w:top w:val="single" w:sz="6" w:space="0" w:color="auto"/>
              <w:left w:val="single" w:sz="6" w:space="0" w:color="auto"/>
              <w:bottom w:val="double" w:sz="6" w:space="0" w:color="auto"/>
              <w:right w:val="single" w:sz="6" w:space="0" w:color="auto"/>
            </w:tcBorders>
            <w:hideMark/>
          </w:tcPr>
          <w:p w14:paraId="1ABDA73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Lp.               </w:t>
            </w:r>
          </w:p>
        </w:tc>
        <w:tc>
          <w:tcPr>
            <w:tcW w:w="3507" w:type="dxa"/>
            <w:tcBorders>
              <w:top w:val="single" w:sz="6" w:space="0" w:color="auto"/>
              <w:left w:val="single" w:sz="6" w:space="0" w:color="auto"/>
              <w:bottom w:val="double" w:sz="6" w:space="0" w:color="auto"/>
              <w:right w:val="single" w:sz="6" w:space="0" w:color="auto"/>
            </w:tcBorders>
            <w:hideMark/>
          </w:tcPr>
          <w:p w14:paraId="78C4FDD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Wyszczególnienie badań i pomiarów</w:t>
            </w:r>
          </w:p>
        </w:tc>
        <w:tc>
          <w:tcPr>
            <w:tcW w:w="3507" w:type="dxa"/>
            <w:tcBorders>
              <w:top w:val="single" w:sz="6" w:space="0" w:color="auto"/>
              <w:left w:val="single" w:sz="6" w:space="0" w:color="auto"/>
              <w:bottom w:val="double" w:sz="6" w:space="0" w:color="auto"/>
              <w:right w:val="single" w:sz="6" w:space="0" w:color="auto"/>
            </w:tcBorders>
            <w:hideMark/>
          </w:tcPr>
          <w:p w14:paraId="384BDE0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częstotliwość</w:t>
            </w:r>
          </w:p>
          <w:p w14:paraId="51927FC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badań i pomiarów</w:t>
            </w:r>
          </w:p>
        </w:tc>
      </w:tr>
      <w:tr w:rsidR="00CC4443" w:rsidRPr="001667DB" w14:paraId="10862DBF"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1A3D9CB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507" w:type="dxa"/>
            <w:tcBorders>
              <w:top w:val="single" w:sz="6" w:space="0" w:color="auto"/>
              <w:left w:val="single" w:sz="6" w:space="0" w:color="auto"/>
              <w:bottom w:val="single" w:sz="6" w:space="0" w:color="auto"/>
              <w:right w:val="single" w:sz="6" w:space="0" w:color="auto"/>
            </w:tcBorders>
            <w:hideMark/>
          </w:tcPr>
          <w:p w14:paraId="48B11C2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podłużna</w:t>
            </w:r>
          </w:p>
        </w:tc>
        <w:tc>
          <w:tcPr>
            <w:tcW w:w="3507" w:type="dxa"/>
            <w:tcBorders>
              <w:top w:val="single" w:sz="6" w:space="0" w:color="auto"/>
              <w:left w:val="single" w:sz="6" w:space="0" w:color="auto"/>
              <w:bottom w:val="single" w:sz="6" w:space="0" w:color="auto"/>
              <w:right w:val="single" w:sz="6" w:space="0" w:color="auto"/>
            </w:tcBorders>
            <w:hideMark/>
          </w:tcPr>
          <w:p w14:paraId="4D92B71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co 20 m łatą na każdym pasie ruchu</w:t>
            </w:r>
          </w:p>
        </w:tc>
      </w:tr>
      <w:tr w:rsidR="00CC4443" w:rsidRPr="001667DB" w14:paraId="010718D2"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0695A3B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507" w:type="dxa"/>
            <w:tcBorders>
              <w:top w:val="single" w:sz="6" w:space="0" w:color="auto"/>
              <w:left w:val="single" w:sz="6" w:space="0" w:color="auto"/>
              <w:bottom w:val="single" w:sz="6" w:space="0" w:color="auto"/>
              <w:right w:val="single" w:sz="6" w:space="0" w:color="auto"/>
            </w:tcBorders>
            <w:hideMark/>
          </w:tcPr>
          <w:p w14:paraId="35B5BD0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poprzeczna</w:t>
            </w:r>
          </w:p>
        </w:tc>
        <w:tc>
          <w:tcPr>
            <w:tcW w:w="3507" w:type="dxa"/>
            <w:tcBorders>
              <w:top w:val="single" w:sz="6" w:space="0" w:color="auto"/>
              <w:left w:val="single" w:sz="6" w:space="0" w:color="auto"/>
              <w:bottom w:val="single" w:sz="6" w:space="0" w:color="auto"/>
              <w:right w:val="single" w:sz="6" w:space="0" w:color="auto"/>
            </w:tcBorders>
            <w:hideMark/>
          </w:tcPr>
          <w:p w14:paraId="1822905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r>
      <w:tr w:rsidR="00CC4443" w:rsidRPr="001667DB" w14:paraId="73CD1519"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084FD5E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507" w:type="dxa"/>
            <w:tcBorders>
              <w:top w:val="single" w:sz="6" w:space="0" w:color="auto"/>
              <w:left w:val="single" w:sz="6" w:space="0" w:color="auto"/>
              <w:bottom w:val="single" w:sz="6" w:space="0" w:color="auto"/>
              <w:right w:val="single" w:sz="6" w:space="0" w:color="auto"/>
            </w:tcBorders>
            <w:hideMark/>
          </w:tcPr>
          <w:p w14:paraId="79CDDFC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Spadki poprzeczne </w:t>
            </w:r>
            <w:r w:rsidRPr="001667DB">
              <w:rPr>
                <w:rFonts w:ascii="Times New Roman" w:hAnsi="Times New Roman" w:cs="Times New Roman"/>
                <w:color w:val="000000" w:themeColor="text1"/>
                <w:vertAlign w:val="superscript"/>
              </w:rPr>
              <w:t>*)</w:t>
            </w:r>
          </w:p>
        </w:tc>
        <w:tc>
          <w:tcPr>
            <w:tcW w:w="3507" w:type="dxa"/>
            <w:tcBorders>
              <w:top w:val="single" w:sz="6" w:space="0" w:color="auto"/>
              <w:left w:val="single" w:sz="6" w:space="0" w:color="auto"/>
              <w:bottom w:val="nil"/>
              <w:right w:val="single" w:sz="6" w:space="0" w:color="auto"/>
            </w:tcBorders>
            <w:hideMark/>
          </w:tcPr>
          <w:p w14:paraId="6A0F9B7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r>
      <w:tr w:rsidR="00CC4443" w:rsidRPr="001667DB" w14:paraId="00A1BF78"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1DAF689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507" w:type="dxa"/>
            <w:tcBorders>
              <w:top w:val="single" w:sz="6" w:space="0" w:color="auto"/>
              <w:left w:val="single" w:sz="6" w:space="0" w:color="auto"/>
              <w:bottom w:val="single" w:sz="6" w:space="0" w:color="auto"/>
              <w:right w:val="single" w:sz="6" w:space="0" w:color="auto"/>
            </w:tcBorders>
            <w:hideMark/>
          </w:tcPr>
          <w:p w14:paraId="6D4CB3F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Rzędne wysokościowe</w:t>
            </w:r>
          </w:p>
        </w:tc>
        <w:tc>
          <w:tcPr>
            <w:tcW w:w="3507" w:type="dxa"/>
            <w:tcBorders>
              <w:top w:val="single" w:sz="6" w:space="0" w:color="auto"/>
              <w:left w:val="single" w:sz="6" w:space="0" w:color="auto"/>
              <w:bottom w:val="single" w:sz="6" w:space="0" w:color="auto"/>
              <w:right w:val="single" w:sz="6" w:space="0" w:color="auto"/>
            </w:tcBorders>
            <w:hideMark/>
          </w:tcPr>
          <w:p w14:paraId="32A1B4C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co 100 m</w:t>
            </w:r>
          </w:p>
        </w:tc>
      </w:tr>
      <w:tr w:rsidR="00CC4443" w:rsidRPr="001667DB" w14:paraId="4E789031"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583B0B6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5</w:t>
            </w:r>
          </w:p>
        </w:tc>
        <w:tc>
          <w:tcPr>
            <w:tcW w:w="3507" w:type="dxa"/>
            <w:tcBorders>
              <w:top w:val="single" w:sz="6" w:space="0" w:color="auto"/>
              <w:left w:val="single" w:sz="6" w:space="0" w:color="auto"/>
              <w:bottom w:val="single" w:sz="6" w:space="0" w:color="auto"/>
              <w:right w:val="single" w:sz="6" w:space="0" w:color="auto"/>
            </w:tcBorders>
            <w:hideMark/>
          </w:tcPr>
          <w:p w14:paraId="6C3139B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Ukształtowanie osi w planie </w:t>
            </w:r>
            <w:r w:rsidRPr="001667DB">
              <w:rPr>
                <w:rFonts w:ascii="Times New Roman" w:hAnsi="Times New Roman" w:cs="Times New Roman"/>
                <w:color w:val="000000" w:themeColor="text1"/>
                <w:vertAlign w:val="superscript"/>
              </w:rPr>
              <w:t>*)</w:t>
            </w:r>
          </w:p>
        </w:tc>
        <w:tc>
          <w:tcPr>
            <w:tcW w:w="3507" w:type="dxa"/>
            <w:tcBorders>
              <w:top w:val="nil"/>
              <w:left w:val="single" w:sz="6" w:space="0" w:color="auto"/>
              <w:bottom w:val="single" w:sz="6" w:space="0" w:color="auto"/>
              <w:right w:val="single" w:sz="6" w:space="0" w:color="auto"/>
            </w:tcBorders>
            <w:hideMark/>
          </w:tcPr>
          <w:p w14:paraId="3780423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co 100 m</w:t>
            </w:r>
          </w:p>
        </w:tc>
      </w:tr>
      <w:tr w:rsidR="00CC4443" w:rsidRPr="001667DB" w14:paraId="6FA803C7" w14:textId="77777777" w:rsidTr="00CC4443">
        <w:tc>
          <w:tcPr>
            <w:tcW w:w="496" w:type="dxa"/>
            <w:tcBorders>
              <w:top w:val="single" w:sz="6" w:space="0" w:color="auto"/>
              <w:left w:val="single" w:sz="6" w:space="0" w:color="auto"/>
              <w:bottom w:val="single" w:sz="6" w:space="0" w:color="auto"/>
              <w:right w:val="single" w:sz="6" w:space="0" w:color="auto"/>
            </w:tcBorders>
            <w:hideMark/>
          </w:tcPr>
          <w:p w14:paraId="024096B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507" w:type="dxa"/>
            <w:tcBorders>
              <w:top w:val="single" w:sz="6" w:space="0" w:color="auto"/>
              <w:left w:val="single" w:sz="6" w:space="0" w:color="auto"/>
              <w:bottom w:val="single" w:sz="6" w:space="0" w:color="auto"/>
              <w:right w:val="single" w:sz="6" w:space="0" w:color="auto"/>
            </w:tcBorders>
            <w:hideMark/>
          </w:tcPr>
          <w:p w14:paraId="02E1FDE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Szerokość nawierzchni</w:t>
            </w:r>
          </w:p>
        </w:tc>
        <w:tc>
          <w:tcPr>
            <w:tcW w:w="3507" w:type="dxa"/>
            <w:tcBorders>
              <w:top w:val="single" w:sz="6" w:space="0" w:color="auto"/>
              <w:left w:val="single" w:sz="6" w:space="0" w:color="auto"/>
              <w:bottom w:val="single" w:sz="6" w:space="0" w:color="auto"/>
              <w:right w:val="single" w:sz="6" w:space="0" w:color="auto"/>
            </w:tcBorders>
            <w:hideMark/>
          </w:tcPr>
          <w:p w14:paraId="32D6A5EB"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 razy na 1 km</w:t>
            </w:r>
          </w:p>
        </w:tc>
      </w:tr>
      <w:tr w:rsidR="00CC4443" w:rsidRPr="001667DB" w14:paraId="438BE675" w14:textId="77777777" w:rsidTr="00CC4443">
        <w:tc>
          <w:tcPr>
            <w:tcW w:w="7511" w:type="dxa"/>
            <w:gridSpan w:val="3"/>
            <w:tcBorders>
              <w:top w:val="nil"/>
              <w:left w:val="single" w:sz="6" w:space="0" w:color="auto"/>
              <w:bottom w:val="single" w:sz="6" w:space="0" w:color="auto"/>
              <w:right w:val="single" w:sz="6" w:space="0" w:color="auto"/>
            </w:tcBorders>
            <w:hideMark/>
          </w:tcPr>
          <w:p w14:paraId="1BA5D29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Dodatkowe pomiary spadków poprzecznych i ukształtowania osi w planie należy wykonać w punktach głównych łuków poziomych.</w:t>
            </w:r>
          </w:p>
        </w:tc>
      </w:tr>
    </w:tbl>
    <w:p w14:paraId="6914F1EA" w14:textId="77777777" w:rsidR="00CC4443" w:rsidRPr="00326BBF"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lang w:val="pl-PL"/>
        </w:rPr>
      </w:pPr>
      <w:bookmarkStart w:id="820" w:name="_Toc426175613"/>
      <w:bookmarkStart w:id="821" w:name="_Toc419094307"/>
    </w:p>
    <w:p w14:paraId="63918EEC"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r w:rsidRPr="001667DB">
        <w:rPr>
          <w:color w:val="000000" w:themeColor="text1"/>
          <w:sz w:val="22"/>
          <w:szCs w:val="22"/>
        </w:rPr>
        <w:t>7. OBMIAR ROBÓT</w:t>
      </w:r>
      <w:bookmarkEnd w:id="820"/>
      <w:bookmarkEnd w:id="821"/>
    </w:p>
    <w:p w14:paraId="6224E9AB" w14:textId="77777777" w:rsidR="00CC4443" w:rsidRPr="001667DB" w:rsidRDefault="00CC4443" w:rsidP="00CC4443">
      <w:pPr>
        <w:jc w:val="both"/>
        <w:rPr>
          <w:rFonts w:ascii="Times New Roman" w:hAnsi="Times New Roman" w:cs="Times New Roman"/>
          <w:color w:val="000000" w:themeColor="text1"/>
          <w:lang w:val="x-none"/>
        </w:rPr>
      </w:pPr>
    </w:p>
    <w:p w14:paraId="3D254194"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7.1. Ogólne zasady obmiaru robót</w:t>
      </w:r>
    </w:p>
    <w:p w14:paraId="5951994A" w14:textId="77777777" w:rsidR="00CC4443" w:rsidRPr="001667DB" w:rsidRDefault="00CC4443" w:rsidP="00CC4443">
      <w:pPr>
        <w:jc w:val="both"/>
        <w:rPr>
          <w:rFonts w:ascii="Times New Roman" w:hAnsi="Times New Roman" w:cs="Times New Roman"/>
          <w:color w:val="000000" w:themeColor="text1"/>
          <w:lang w:val="x-none"/>
        </w:rPr>
      </w:pPr>
    </w:p>
    <w:p w14:paraId="2A72938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pkt 7.</w:t>
      </w:r>
    </w:p>
    <w:p w14:paraId="0891C416" w14:textId="77777777" w:rsidR="00CC4443" w:rsidRPr="001667DB" w:rsidRDefault="00CC4443" w:rsidP="00CC4443">
      <w:pPr>
        <w:spacing w:line="276" w:lineRule="auto"/>
        <w:jc w:val="both"/>
        <w:rPr>
          <w:rFonts w:ascii="Times New Roman" w:hAnsi="Times New Roman" w:cs="Times New Roman"/>
          <w:color w:val="000000" w:themeColor="text1"/>
        </w:rPr>
      </w:pPr>
    </w:p>
    <w:p w14:paraId="5B1C3C02"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7.2. Jednostka obmiarowa</w:t>
      </w:r>
    </w:p>
    <w:p w14:paraId="65370585" w14:textId="77777777" w:rsidR="00CC4443" w:rsidRPr="001667DB" w:rsidRDefault="00CC4443" w:rsidP="00CC4443">
      <w:pPr>
        <w:jc w:val="both"/>
        <w:rPr>
          <w:rFonts w:ascii="Times New Roman" w:hAnsi="Times New Roman" w:cs="Times New Roman"/>
          <w:color w:val="000000" w:themeColor="text1"/>
          <w:lang w:val="x-none"/>
        </w:rPr>
      </w:pPr>
    </w:p>
    <w:p w14:paraId="0ADBB5A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nawierzchni gruntowej.</w:t>
      </w:r>
    </w:p>
    <w:p w14:paraId="29D3B410"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822" w:name="_Toc426175614"/>
      <w:bookmarkStart w:id="823" w:name="_Toc419094308"/>
      <w:r w:rsidRPr="001667DB">
        <w:rPr>
          <w:color w:val="000000" w:themeColor="text1"/>
          <w:sz w:val="22"/>
          <w:szCs w:val="22"/>
        </w:rPr>
        <w:t>8. ODBIÓR ROBÓT</w:t>
      </w:r>
      <w:bookmarkEnd w:id="822"/>
      <w:bookmarkEnd w:id="823"/>
    </w:p>
    <w:p w14:paraId="39AF83B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pkt 8.</w:t>
      </w:r>
    </w:p>
    <w:p w14:paraId="1D5D866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Roboty uznaje się za wykonane zgodnie z dokumentacją projektową, ST i wymaganiami Inżyniera, jeżeli wszystkie badania i pomiary z zachowaniem tolerancji według pkt 6 dały wyniki pozytywne.</w:t>
      </w:r>
    </w:p>
    <w:p w14:paraId="27FB2093"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824" w:name="_Toc426175615"/>
      <w:bookmarkStart w:id="825" w:name="_Toc419094309"/>
      <w:r w:rsidRPr="001667DB">
        <w:rPr>
          <w:color w:val="000000" w:themeColor="text1"/>
          <w:sz w:val="22"/>
          <w:szCs w:val="22"/>
        </w:rPr>
        <w:t>9. PODSTAWA PŁATNOŚCI</w:t>
      </w:r>
      <w:bookmarkEnd w:id="824"/>
      <w:bookmarkEnd w:id="825"/>
    </w:p>
    <w:p w14:paraId="681D6F7B"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9.1. Ogólne ustalenia dotyczące podstawy płatności</w:t>
      </w:r>
    </w:p>
    <w:p w14:paraId="4C4AB7D8" w14:textId="77777777" w:rsidR="00CC4443" w:rsidRPr="001667DB" w:rsidRDefault="00CC4443" w:rsidP="00CC4443">
      <w:pPr>
        <w:jc w:val="both"/>
        <w:rPr>
          <w:rFonts w:ascii="Times New Roman" w:hAnsi="Times New Roman" w:cs="Times New Roman"/>
          <w:color w:val="000000" w:themeColor="text1"/>
          <w:lang w:val="x-none"/>
        </w:rPr>
      </w:pPr>
    </w:p>
    <w:p w14:paraId="697BC47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pkt 9.</w:t>
      </w:r>
    </w:p>
    <w:p w14:paraId="4C2CF1C1" w14:textId="77777777" w:rsidR="00CC4443" w:rsidRPr="001667DB" w:rsidRDefault="00CC4443" w:rsidP="00904E6C">
      <w:pPr>
        <w:pStyle w:val="Nagwek2"/>
        <w:numPr>
          <w:ilvl w:val="1"/>
          <w:numId w:val="89"/>
        </w:numPr>
        <w:tabs>
          <w:tab w:val="clear" w:pos="-72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9.2. Cena jednostki obmiarowej</w:t>
      </w:r>
    </w:p>
    <w:p w14:paraId="734361DC" w14:textId="77777777" w:rsidR="00CC4443" w:rsidRPr="001667DB" w:rsidRDefault="00CC4443" w:rsidP="00CC4443">
      <w:pPr>
        <w:jc w:val="both"/>
        <w:rPr>
          <w:rFonts w:ascii="Times New Roman" w:hAnsi="Times New Roman" w:cs="Times New Roman"/>
          <w:color w:val="000000" w:themeColor="text1"/>
          <w:lang w:val="x-none"/>
        </w:rPr>
      </w:pPr>
    </w:p>
    <w:p w14:paraId="7B0E329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Zakres czynności objętych ceną jednostkową podano w ST: </w:t>
      </w:r>
    </w:p>
    <w:p w14:paraId="6AB722C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D-05.01.01 dla nawierzchni gruntowej naturalnej, pkt 9;</w:t>
      </w:r>
    </w:p>
    <w:p w14:paraId="0EBDB2AA" w14:textId="77777777" w:rsidR="00CC4443" w:rsidRPr="001667DB" w:rsidRDefault="00CC4443" w:rsidP="00904E6C">
      <w:pPr>
        <w:pStyle w:val="Nagwek1"/>
        <w:keepLines/>
        <w:numPr>
          <w:ilvl w:val="0"/>
          <w:numId w:val="89"/>
        </w:numPr>
        <w:tabs>
          <w:tab w:val="clear" w:pos="-72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color w:val="000000" w:themeColor="text1"/>
          <w:sz w:val="22"/>
          <w:szCs w:val="22"/>
        </w:rPr>
      </w:pPr>
      <w:bookmarkStart w:id="826" w:name="_Toc426175616"/>
      <w:r w:rsidRPr="001667DB">
        <w:rPr>
          <w:color w:val="000000" w:themeColor="text1"/>
          <w:sz w:val="22"/>
          <w:szCs w:val="22"/>
        </w:rPr>
        <w:t>10. PRZEPISY ZWIĄZANE</w:t>
      </w:r>
      <w:bookmarkEnd w:id="826"/>
    </w:p>
    <w:p w14:paraId="1E7BE818" w14:textId="77777777" w:rsidR="00CC4443" w:rsidRPr="001667DB" w:rsidRDefault="00CC4443" w:rsidP="00CC4443">
      <w:pPr>
        <w:jc w:val="both"/>
        <w:rPr>
          <w:rFonts w:ascii="Times New Roman" w:hAnsi="Times New Roman" w:cs="Times New Roman"/>
          <w:color w:val="000000" w:themeColor="text1"/>
          <w:lang w:val="x-none"/>
        </w:rPr>
      </w:pPr>
    </w:p>
    <w:p w14:paraId="1283AD60" w14:textId="77777777" w:rsidR="00CC4443" w:rsidRPr="001667DB" w:rsidRDefault="00CC4443" w:rsidP="001D6969">
      <w:pPr>
        <w:pStyle w:val="Nagwek2"/>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 xml:space="preserve"> Normy</w:t>
      </w:r>
    </w:p>
    <w:tbl>
      <w:tblPr>
        <w:tblW w:w="0" w:type="auto"/>
        <w:tblInd w:w="-70" w:type="dxa"/>
        <w:tblLayout w:type="fixed"/>
        <w:tblCellMar>
          <w:left w:w="70" w:type="dxa"/>
          <w:right w:w="70" w:type="dxa"/>
        </w:tblCellMar>
        <w:tblLook w:val="04A0" w:firstRow="1" w:lastRow="0" w:firstColumn="1" w:lastColumn="0" w:noHBand="0" w:noVBand="1"/>
      </w:tblPr>
      <w:tblGrid>
        <w:gridCol w:w="637"/>
        <w:gridCol w:w="1701"/>
        <w:gridCol w:w="5171"/>
      </w:tblGrid>
      <w:tr w:rsidR="00CC4443" w:rsidRPr="001667DB" w14:paraId="30BB1580" w14:textId="77777777" w:rsidTr="00CC4443">
        <w:tc>
          <w:tcPr>
            <w:tcW w:w="637" w:type="dxa"/>
            <w:hideMark/>
          </w:tcPr>
          <w:p w14:paraId="609EE861"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1.</w:t>
            </w:r>
          </w:p>
        </w:tc>
        <w:tc>
          <w:tcPr>
            <w:tcW w:w="1701" w:type="dxa"/>
            <w:hideMark/>
          </w:tcPr>
          <w:p w14:paraId="4B45CD6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PN-B-02480</w:t>
            </w:r>
          </w:p>
        </w:tc>
        <w:tc>
          <w:tcPr>
            <w:tcW w:w="5171" w:type="dxa"/>
            <w:hideMark/>
          </w:tcPr>
          <w:p w14:paraId="4FE574B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budowlane. Określenia, symbole, podział i opis gruntów</w:t>
            </w:r>
          </w:p>
        </w:tc>
      </w:tr>
      <w:tr w:rsidR="00CC4443" w:rsidRPr="001667DB" w14:paraId="2524C3F1" w14:textId="77777777" w:rsidTr="00CC4443">
        <w:tc>
          <w:tcPr>
            <w:tcW w:w="637" w:type="dxa"/>
            <w:hideMark/>
          </w:tcPr>
          <w:p w14:paraId="1434AFD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2.</w:t>
            </w:r>
          </w:p>
        </w:tc>
        <w:tc>
          <w:tcPr>
            <w:tcW w:w="1701" w:type="dxa"/>
            <w:hideMark/>
          </w:tcPr>
          <w:p w14:paraId="444B5507"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PN-B-04452</w:t>
            </w:r>
          </w:p>
        </w:tc>
        <w:tc>
          <w:tcPr>
            <w:tcW w:w="5171" w:type="dxa"/>
            <w:hideMark/>
          </w:tcPr>
          <w:p w14:paraId="1909B9A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budowlane. Badania polowe</w:t>
            </w:r>
          </w:p>
        </w:tc>
      </w:tr>
      <w:tr w:rsidR="00CC4443" w:rsidRPr="001667DB" w14:paraId="5F57AEDA" w14:textId="77777777" w:rsidTr="00CC4443">
        <w:tc>
          <w:tcPr>
            <w:tcW w:w="637" w:type="dxa"/>
            <w:hideMark/>
          </w:tcPr>
          <w:p w14:paraId="0E7DC0D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3.</w:t>
            </w:r>
          </w:p>
        </w:tc>
        <w:tc>
          <w:tcPr>
            <w:tcW w:w="1701" w:type="dxa"/>
            <w:hideMark/>
          </w:tcPr>
          <w:p w14:paraId="095B5B6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PN-B-04481</w:t>
            </w:r>
          </w:p>
        </w:tc>
        <w:tc>
          <w:tcPr>
            <w:tcW w:w="5171" w:type="dxa"/>
            <w:hideMark/>
          </w:tcPr>
          <w:p w14:paraId="10CE8F2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budowlane. Badania próbek gruntu</w:t>
            </w:r>
          </w:p>
        </w:tc>
      </w:tr>
      <w:tr w:rsidR="00CC4443" w:rsidRPr="001667DB" w14:paraId="00DDB488" w14:textId="77777777" w:rsidTr="00CC4443">
        <w:tc>
          <w:tcPr>
            <w:tcW w:w="637" w:type="dxa"/>
            <w:hideMark/>
          </w:tcPr>
          <w:p w14:paraId="41DBC48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4.</w:t>
            </w:r>
          </w:p>
        </w:tc>
        <w:tc>
          <w:tcPr>
            <w:tcW w:w="1701" w:type="dxa"/>
            <w:hideMark/>
          </w:tcPr>
          <w:p w14:paraId="2710298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PN-B-04493</w:t>
            </w:r>
          </w:p>
        </w:tc>
        <w:tc>
          <w:tcPr>
            <w:tcW w:w="5171" w:type="dxa"/>
            <w:hideMark/>
          </w:tcPr>
          <w:p w14:paraId="3215940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Grunty budowlane. Oznaczenie kapilarności biernej</w:t>
            </w:r>
          </w:p>
        </w:tc>
      </w:tr>
      <w:tr w:rsidR="00CC4443" w:rsidRPr="001667DB" w14:paraId="43ACE197" w14:textId="77777777" w:rsidTr="00CC4443">
        <w:tc>
          <w:tcPr>
            <w:tcW w:w="637" w:type="dxa"/>
            <w:hideMark/>
          </w:tcPr>
          <w:p w14:paraId="546377E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5.</w:t>
            </w:r>
          </w:p>
        </w:tc>
        <w:tc>
          <w:tcPr>
            <w:tcW w:w="1701" w:type="dxa"/>
            <w:hideMark/>
          </w:tcPr>
          <w:p w14:paraId="06FBE97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PN-B-06714-15</w:t>
            </w:r>
          </w:p>
        </w:tc>
        <w:tc>
          <w:tcPr>
            <w:tcW w:w="5171" w:type="dxa"/>
            <w:hideMark/>
          </w:tcPr>
          <w:p w14:paraId="0937FB3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mineralne. Badania. Oznaczanie składu ziarnowego</w:t>
            </w:r>
          </w:p>
        </w:tc>
      </w:tr>
      <w:tr w:rsidR="00CC4443" w:rsidRPr="001667DB" w14:paraId="10B90AA2" w14:textId="77777777" w:rsidTr="00CC4443">
        <w:tc>
          <w:tcPr>
            <w:tcW w:w="637" w:type="dxa"/>
            <w:hideMark/>
          </w:tcPr>
          <w:p w14:paraId="5A5746A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6.</w:t>
            </w:r>
          </w:p>
        </w:tc>
        <w:tc>
          <w:tcPr>
            <w:tcW w:w="1701" w:type="dxa"/>
            <w:hideMark/>
          </w:tcPr>
          <w:p w14:paraId="613F5F7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PN-B-06714-28</w:t>
            </w:r>
          </w:p>
        </w:tc>
        <w:tc>
          <w:tcPr>
            <w:tcW w:w="5171" w:type="dxa"/>
            <w:hideMark/>
          </w:tcPr>
          <w:p w14:paraId="573E6BC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Kruszywa mineralne. Badania. Oznaczanie zawartości siarki metodą bromową</w:t>
            </w:r>
          </w:p>
        </w:tc>
      </w:tr>
      <w:tr w:rsidR="00CC4443" w:rsidRPr="001667DB" w14:paraId="2C86C5A1" w14:textId="77777777" w:rsidTr="00CC4443">
        <w:tc>
          <w:tcPr>
            <w:tcW w:w="637" w:type="dxa"/>
            <w:hideMark/>
          </w:tcPr>
          <w:p w14:paraId="25D9A6D2"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7.</w:t>
            </w:r>
          </w:p>
        </w:tc>
        <w:tc>
          <w:tcPr>
            <w:tcW w:w="1701" w:type="dxa"/>
            <w:hideMark/>
          </w:tcPr>
          <w:p w14:paraId="29E1821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PN-B-06731</w:t>
            </w:r>
          </w:p>
        </w:tc>
        <w:tc>
          <w:tcPr>
            <w:tcW w:w="5171" w:type="dxa"/>
            <w:hideMark/>
          </w:tcPr>
          <w:p w14:paraId="4B48378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Żużel wielkopiecowy kawałkowy. Kruszywo budowlane                 i drogowe. Badania techniczne</w:t>
            </w:r>
          </w:p>
        </w:tc>
      </w:tr>
      <w:tr w:rsidR="00CC4443" w:rsidRPr="001667DB" w14:paraId="469A7D88" w14:textId="77777777" w:rsidTr="00CC4443">
        <w:tc>
          <w:tcPr>
            <w:tcW w:w="637" w:type="dxa"/>
            <w:hideMark/>
          </w:tcPr>
          <w:p w14:paraId="495882EF"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8.</w:t>
            </w:r>
          </w:p>
        </w:tc>
        <w:tc>
          <w:tcPr>
            <w:tcW w:w="1701" w:type="dxa"/>
            <w:hideMark/>
          </w:tcPr>
          <w:p w14:paraId="63A3F5A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PN-B-19701</w:t>
            </w:r>
          </w:p>
        </w:tc>
        <w:tc>
          <w:tcPr>
            <w:tcW w:w="5171" w:type="dxa"/>
            <w:hideMark/>
          </w:tcPr>
          <w:p w14:paraId="2414A21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Cement powszechnego użytku. Skład, wymagania i ocena zgodności</w:t>
            </w:r>
          </w:p>
        </w:tc>
      </w:tr>
      <w:tr w:rsidR="00CC4443" w:rsidRPr="001667DB" w14:paraId="7856DFE8" w14:textId="77777777" w:rsidTr="00CC4443">
        <w:tc>
          <w:tcPr>
            <w:tcW w:w="637" w:type="dxa"/>
            <w:hideMark/>
          </w:tcPr>
          <w:p w14:paraId="2FCEA0F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9.</w:t>
            </w:r>
          </w:p>
        </w:tc>
        <w:tc>
          <w:tcPr>
            <w:tcW w:w="1701" w:type="dxa"/>
            <w:hideMark/>
          </w:tcPr>
          <w:p w14:paraId="25015C4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PN-B-30020</w:t>
            </w:r>
          </w:p>
        </w:tc>
        <w:tc>
          <w:tcPr>
            <w:tcW w:w="5171" w:type="dxa"/>
            <w:hideMark/>
          </w:tcPr>
          <w:p w14:paraId="403CD22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Wapno</w:t>
            </w:r>
          </w:p>
        </w:tc>
      </w:tr>
      <w:tr w:rsidR="00CC4443" w:rsidRPr="001667DB" w14:paraId="48A7C8D9" w14:textId="77777777" w:rsidTr="00CC4443">
        <w:tc>
          <w:tcPr>
            <w:tcW w:w="637" w:type="dxa"/>
            <w:hideMark/>
          </w:tcPr>
          <w:p w14:paraId="37D8BAE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1701" w:type="dxa"/>
            <w:hideMark/>
          </w:tcPr>
          <w:p w14:paraId="1086C78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PN-B-32250</w:t>
            </w:r>
          </w:p>
        </w:tc>
        <w:tc>
          <w:tcPr>
            <w:tcW w:w="5171" w:type="dxa"/>
            <w:hideMark/>
          </w:tcPr>
          <w:p w14:paraId="1DA11B7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budowlane. Woda do betonów i zapraw</w:t>
            </w:r>
          </w:p>
        </w:tc>
      </w:tr>
      <w:tr w:rsidR="00CC4443" w:rsidRPr="001667DB" w14:paraId="271313A7" w14:textId="77777777" w:rsidTr="00CC4443">
        <w:tc>
          <w:tcPr>
            <w:tcW w:w="637" w:type="dxa"/>
            <w:hideMark/>
          </w:tcPr>
          <w:p w14:paraId="67D1092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1701" w:type="dxa"/>
            <w:hideMark/>
          </w:tcPr>
          <w:p w14:paraId="5958A1E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PN-S-96011</w:t>
            </w:r>
          </w:p>
        </w:tc>
        <w:tc>
          <w:tcPr>
            <w:tcW w:w="5171" w:type="dxa"/>
            <w:hideMark/>
          </w:tcPr>
          <w:p w14:paraId="38476C5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Podbudowa z gruntu ulepszonego wapnem</w:t>
            </w:r>
          </w:p>
        </w:tc>
      </w:tr>
      <w:tr w:rsidR="00CC4443" w:rsidRPr="001667DB" w14:paraId="6E2A17FA" w14:textId="77777777" w:rsidTr="00CC4443">
        <w:tc>
          <w:tcPr>
            <w:tcW w:w="637" w:type="dxa"/>
            <w:hideMark/>
          </w:tcPr>
          <w:p w14:paraId="21E5B84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1701" w:type="dxa"/>
            <w:hideMark/>
          </w:tcPr>
          <w:p w14:paraId="04DC122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PN-S-96035</w:t>
            </w:r>
          </w:p>
        </w:tc>
        <w:tc>
          <w:tcPr>
            <w:tcW w:w="5171" w:type="dxa"/>
            <w:hideMark/>
          </w:tcPr>
          <w:p w14:paraId="09B1342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Popioły lotne</w:t>
            </w:r>
          </w:p>
        </w:tc>
      </w:tr>
      <w:tr w:rsidR="00CC4443" w:rsidRPr="001667DB" w14:paraId="17EC89AF" w14:textId="77777777" w:rsidTr="00CC4443">
        <w:tc>
          <w:tcPr>
            <w:tcW w:w="637" w:type="dxa"/>
            <w:hideMark/>
          </w:tcPr>
          <w:p w14:paraId="5FE6B5E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1701" w:type="dxa"/>
            <w:hideMark/>
          </w:tcPr>
          <w:p w14:paraId="30DE125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BN-64/8931-01</w:t>
            </w:r>
          </w:p>
        </w:tc>
        <w:tc>
          <w:tcPr>
            <w:tcW w:w="5171" w:type="dxa"/>
            <w:hideMark/>
          </w:tcPr>
          <w:p w14:paraId="5272C496"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Oznaczanie wskaźnika piaskowego</w:t>
            </w:r>
          </w:p>
        </w:tc>
      </w:tr>
      <w:tr w:rsidR="00CC4443" w:rsidRPr="001667DB" w14:paraId="77B8F3BB" w14:textId="77777777" w:rsidTr="00CC4443">
        <w:tc>
          <w:tcPr>
            <w:tcW w:w="637" w:type="dxa"/>
            <w:hideMark/>
          </w:tcPr>
          <w:p w14:paraId="686AB43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1701" w:type="dxa"/>
            <w:hideMark/>
          </w:tcPr>
          <w:p w14:paraId="6090CAA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BN-64/8931-02</w:t>
            </w:r>
          </w:p>
        </w:tc>
        <w:tc>
          <w:tcPr>
            <w:tcW w:w="5171" w:type="dxa"/>
            <w:hideMark/>
          </w:tcPr>
          <w:p w14:paraId="2DBAF0E9"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Oznaczanie modułu odkształcenia nawierzchni podatnych i podłoża przez obciążenie płytą</w:t>
            </w:r>
          </w:p>
        </w:tc>
      </w:tr>
      <w:tr w:rsidR="00CC4443" w:rsidRPr="001667DB" w14:paraId="73E9623D" w14:textId="77777777" w:rsidTr="00CC4443">
        <w:tc>
          <w:tcPr>
            <w:tcW w:w="637" w:type="dxa"/>
            <w:hideMark/>
          </w:tcPr>
          <w:p w14:paraId="0D6B4C0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15.</w:t>
            </w:r>
          </w:p>
        </w:tc>
        <w:tc>
          <w:tcPr>
            <w:tcW w:w="1701" w:type="dxa"/>
            <w:hideMark/>
          </w:tcPr>
          <w:p w14:paraId="684FEB53"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BN-75/8931-03</w:t>
            </w:r>
          </w:p>
        </w:tc>
        <w:tc>
          <w:tcPr>
            <w:tcW w:w="5171" w:type="dxa"/>
            <w:hideMark/>
          </w:tcPr>
          <w:p w14:paraId="5D03BFF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Pobieranie próbek gruntów do celów drogowych i lotniskowych</w:t>
            </w:r>
          </w:p>
        </w:tc>
      </w:tr>
      <w:tr w:rsidR="00CC4443" w:rsidRPr="001667DB" w14:paraId="57202C6E" w14:textId="77777777" w:rsidTr="00CC4443">
        <w:tc>
          <w:tcPr>
            <w:tcW w:w="637" w:type="dxa"/>
            <w:hideMark/>
          </w:tcPr>
          <w:p w14:paraId="5B6ABEB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1701" w:type="dxa"/>
            <w:hideMark/>
          </w:tcPr>
          <w:p w14:paraId="292426D0"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BN-68/8931-04</w:t>
            </w:r>
          </w:p>
        </w:tc>
        <w:tc>
          <w:tcPr>
            <w:tcW w:w="5171" w:type="dxa"/>
            <w:hideMark/>
          </w:tcPr>
          <w:p w14:paraId="6AF1BE58"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Pomiar równości nawierzchni planografem i łatą</w:t>
            </w:r>
          </w:p>
        </w:tc>
      </w:tr>
      <w:tr w:rsidR="00CC4443" w:rsidRPr="001667DB" w14:paraId="588B2EDA" w14:textId="77777777" w:rsidTr="00CC4443">
        <w:tc>
          <w:tcPr>
            <w:tcW w:w="637" w:type="dxa"/>
            <w:hideMark/>
          </w:tcPr>
          <w:p w14:paraId="0855588C"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1701" w:type="dxa"/>
            <w:hideMark/>
          </w:tcPr>
          <w:p w14:paraId="4D32AB81"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BN-70/8931-05</w:t>
            </w:r>
          </w:p>
        </w:tc>
        <w:tc>
          <w:tcPr>
            <w:tcW w:w="5171" w:type="dxa"/>
            <w:hideMark/>
          </w:tcPr>
          <w:p w14:paraId="2BEA59F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Oznaczanie wskaźnika nośności gruntu jako podłoża nawierzchni podatnych</w:t>
            </w:r>
          </w:p>
        </w:tc>
      </w:tr>
      <w:tr w:rsidR="00CC4443" w:rsidRPr="001667DB" w14:paraId="7C30F14C" w14:textId="77777777" w:rsidTr="00CC4443">
        <w:tc>
          <w:tcPr>
            <w:tcW w:w="637" w:type="dxa"/>
            <w:hideMark/>
          </w:tcPr>
          <w:p w14:paraId="6E914945"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1701" w:type="dxa"/>
            <w:hideMark/>
          </w:tcPr>
          <w:p w14:paraId="56B4C15E"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BN-77/8931-12</w:t>
            </w:r>
          </w:p>
        </w:tc>
        <w:tc>
          <w:tcPr>
            <w:tcW w:w="5171" w:type="dxa"/>
            <w:hideMark/>
          </w:tcPr>
          <w:p w14:paraId="6F6B232A"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Oznaczanie wskaźnika zagęszczenia gruntu</w:t>
            </w:r>
          </w:p>
        </w:tc>
      </w:tr>
      <w:tr w:rsidR="00CC4443" w:rsidRPr="001667DB" w14:paraId="5D160DB3" w14:textId="77777777" w:rsidTr="00CC4443">
        <w:tc>
          <w:tcPr>
            <w:tcW w:w="637" w:type="dxa"/>
            <w:hideMark/>
          </w:tcPr>
          <w:p w14:paraId="7CA5F84D"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19.</w:t>
            </w:r>
          </w:p>
        </w:tc>
        <w:tc>
          <w:tcPr>
            <w:tcW w:w="1701" w:type="dxa"/>
            <w:hideMark/>
          </w:tcPr>
          <w:p w14:paraId="0633A061"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BN-71/8933-10</w:t>
            </w:r>
          </w:p>
        </w:tc>
        <w:tc>
          <w:tcPr>
            <w:tcW w:w="5171" w:type="dxa"/>
            <w:hideMark/>
          </w:tcPr>
          <w:p w14:paraId="059C6D34" w14:textId="77777777" w:rsidR="00CC4443" w:rsidRPr="001667DB" w:rsidRDefault="00CC4443" w:rsidP="00CC4443">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Podbudowa z gruntów stabilizowanych aktywnymi popiołami lotnymi</w:t>
            </w:r>
          </w:p>
        </w:tc>
      </w:tr>
    </w:tbl>
    <w:p w14:paraId="32187381" w14:textId="77777777" w:rsidR="00CC4443" w:rsidRPr="001667DB" w:rsidRDefault="00CC4443" w:rsidP="001D6969">
      <w:pPr>
        <w:pStyle w:val="Nagwek2"/>
        <w:tabs>
          <w:tab w:val="clear" w:pos="-720"/>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76" w:lineRule="auto"/>
        <w:jc w:val="both"/>
        <w:rPr>
          <w:i/>
          <w:color w:val="000000" w:themeColor="text1"/>
          <w:sz w:val="22"/>
          <w:szCs w:val="22"/>
        </w:rPr>
      </w:pPr>
      <w:r w:rsidRPr="001667DB">
        <w:rPr>
          <w:i/>
          <w:color w:val="000000" w:themeColor="text1"/>
          <w:sz w:val="22"/>
          <w:szCs w:val="22"/>
        </w:rPr>
        <w:t xml:space="preserve"> Inne materiały</w:t>
      </w:r>
    </w:p>
    <w:p w14:paraId="6F13EFC8" w14:textId="77777777" w:rsidR="00CC4443" w:rsidRPr="001667DB" w:rsidRDefault="00CC4443" w:rsidP="00904E6C">
      <w:pPr>
        <w:numPr>
          <w:ilvl w:val="0"/>
          <w:numId w:val="245"/>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 Jaworski. Drogi gruntowe. Część I. Projektowanie. Studia i materiały. Zeszyt nr 8, IBDiM, Warszawa, 1977.</w:t>
      </w:r>
    </w:p>
    <w:p w14:paraId="6AE2B647" w14:textId="77777777" w:rsidR="00CC4443" w:rsidRPr="001667DB" w:rsidRDefault="00CC4443" w:rsidP="00904E6C">
      <w:pPr>
        <w:numPr>
          <w:ilvl w:val="0"/>
          <w:numId w:val="245"/>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J. Jaworski. Drogi gruntowe. Część II. Budowa nawierzchni, dróg i placów. Studia i materiały. Zeszyt nr 10, IBDiM, Warszawa 1978.</w:t>
      </w:r>
    </w:p>
    <w:p w14:paraId="1677ADEB" w14:textId="77777777" w:rsidR="008D0D37" w:rsidRPr="001667DB" w:rsidRDefault="008D0D37">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0857C80C" w14:textId="77777777" w:rsidR="0093341C" w:rsidRPr="001667DB" w:rsidRDefault="0093341C" w:rsidP="0093341C">
      <w:pPr>
        <w:spacing w:line="276" w:lineRule="auto"/>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D.07.01.01.  </w:t>
      </w:r>
      <w:r w:rsidRPr="001667DB">
        <w:rPr>
          <w:rFonts w:ascii="Times New Roman" w:hAnsi="Times New Roman" w:cs="Times New Roman"/>
          <w:b/>
          <w:color w:val="000000" w:themeColor="text1"/>
        </w:rPr>
        <w:tab/>
        <w:t>OZNAKOWANIE  POZIOME</w:t>
      </w:r>
    </w:p>
    <w:p w14:paraId="2AA22643"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29A2B122"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rPr>
          <w:color w:val="000000" w:themeColor="text1"/>
          <w:sz w:val="22"/>
          <w:szCs w:val="22"/>
        </w:rPr>
      </w:pPr>
      <w:bookmarkStart w:id="827" w:name="_Toc131919910"/>
      <w:r w:rsidRPr="001667DB">
        <w:rPr>
          <w:color w:val="000000" w:themeColor="text1"/>
          <w:sz w:val="22"/>
          <w:szCs w:val="22"/>
        </w:rPr>
        <w:t>WSTĘP</w:t>
      </w:r>
      <w:bookmarkEnd w:id="827"/>
    </w:p>
    <w:p w14:paraId="61722231"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Przedmiot ST</w:t>
      </w:r>
    </w:p>
    <w:p w14:paraId="72969E85" w14:textId="77777777" w:rsidR="0093341C" w:rsidRPr="001667DB" w:rsidRDefault="0093341C" w:rsidP="00AA7AC8">
      <w:pPr>
        <w:pStyle w:val="standardowytekst"/>
        <w:spacing w:before="0" w:beforeAutospacing="0" w:after="0" w:afterAutospacing="0"/>
        <w:jc w:val="both"/>
        <w:rPr>
          <w:b/>
          <w:color w:val="000000" w:themeColor="text1"/>
          <w:sz w:val="22"/>
          <w:szCs w:val="22"/>
        </w:rPr>
      </w:pPr>
      <w:r w:rsidRPr="001667DB">
        <w:rPr>
          <w:color w:val="000000" w:themeColor="text1"/>
          <w:sz w:val="22"/>
          <w:szCs w:val="22"/>
        </w:rPr>
        <w:tab/>
        <w:t xml:space="preserve">Przedmiotem niniejszej specyfikacji technicznej (ST) są wymagania dotyczące wykonania i odbioru oznakowania poziomego dróg w związku z </w:t>
      </w:r>
      <w:r w:rsidR="00576B4E" w:rsidRPr="00FD3B41">
        <w:rPr>
          <w:b/>
          <w:color w:val="000000" w:themeColor="text1"/>
          <w:sz w:val="22"/>
          <w:szCs w:val="22"/>
        </w:rPr>
        <w:t>„Rozbudowa drogi wojewódzkiej nr 461 w m. Dąbrówka Łubniańska i Łubniany” – Etap I ( km od 9+741,88 do 10+371,13)</w:t>
      </w:r>
    </w:p>
    <w:p w14:paraId="174C43AA" w14:textId="77777777" w:rsidR="0093341C" w:rsidRPr="001667DB" w:rsidRDefault="0093341C" w:rsidP="00AA7AC8">
      <w:pPr>
        <w:pStyle w:val="Standardowytekst0"/>
        <w:spacing w:line="276" w:lineRule="auto"/>
        <w:rPr>
          <w:color w:val="000000" w:themeColor="text1"/>
          <w:sz w:val="22"/>
          <w:szCs w:val="22"/>
        </w:rPr>
      </w:pPr>
    </w:p>
    <w:p w14:paraId="63CC813C"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Zakres stosowania ST</w:t>
      </w:r>
    </w:p>
    <w:p w14:paraId="3786C8A5" w14:textId="77777777" w:rsidR="0093341C" w:rsidRPr="001667DB" w:rsidRDefault="0093341C" w:rsidP="00AA7AC8">
      <w:pPr>
        <w:pStyle w:val="Standardowytekst0"/>
        <w:spacing w:line="276" w:lineRule="auto"/>
        <w:rPr>
          <w:color w:val="000000" w:themeColor="text1"/>
          <w:sz w:val="22"/>
          <w:szCs w:val="22"/>
        </w:rPr>
      </w:pPr>
      <w:r w:rsidRPr="001667DB">
        <w:rPr>
          <w:color w:val="000000" w:themeColor="text1"/>
          <w:sz w:val="22"/>
          <w:szCs w:val="22"/>
        </w:rPr>
        <w:tab/>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opisanych w podpunkcie 1.1.</w:t>
      </w:r>
    </w:p>
    <w:p w14:paraId="48CC205B" w14:textId="77777777" w:rsidR="0093341C" w:rsidRPr="001667DB" w:rsidRDefault="0093341C" w:rsidP="00AA7AC8">
      <w:pPr>
        <w:pStyle w:val="Standardowytekst0"/>
        <w:spacing w:line="276" w:lineRule="auto"/>
        <w:rPr>
          <w:color w:val="000000" w:themeColor="text1"/>
          <w:sz w:val="22"/>
          <w:szCs w:val="22"/>
        </w:rPr>
      </w:pPr>
    </w:p>
    <w:p w14:paraId="5A0228A9"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Zakres robót objętych ST</w:t>
      </w:r>
    </w:p>
    <w:p w14:paraId="1FDEC0ED"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Zakres robót obejmuje wykonywanie i odbiór oznakowania poziomego stosowanego na drogach o nawierzchni twardej.</w:t>
      </w:r>
    </w:p>
    <w:p w14:paraId="3F9BFC4B"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Określenia podstawowe</w:t>
      </w:r>
    </w:p>
    <w:p w14:paraId="5E2AABED"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 Oznakowanie poziome</w:t>
      </w:r>
      <w:r w:rsidRPr="001667DB">
        <w:rPr>
          <w:rFonts w:ascii="Times New Roman" w:hAnsi="Times New Roman" w:cs="Times New Roman"/>
          <w:color w:val="000000" w:themeColor="text1"/>
        </w:rPr>
        <w:t xml:space="preserve"> - znaki drogowe poziome, umieszczone na nawierzchni w postaci linii ciągłych lub przerywanych, pojedynczych lub podwójnych, strzałek, napisów, symboli oraz innych linii związanych z oznaczeniem określonych miejsc na tej nawierzchni. W zależności od rodzaju i sposobu zastosowania znaki poziome mogą mieć znaczenie prowadzące, segregujące, informujące, ostrzegawcze, zakazujące lub nakazujące.</w:t>
      </w:r>
    </w:p>
    <w:p w14:paraId="26128568"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1.4.2. Znaki podłużne</w:t>
      </w:r>
      <w:r w:rsidRPr="001667DB">
        <w:rPr>
          <w:rFonts w:ascii="Times New Roman" w:hAnsi="Times New Roman" w:cs="Times New Roman"/>
          <w:color w:val="000000" w:themeColor="text1"/>
        </w:rPr>
        <w:t xml:space="preserve"> - linie równoległe do osi jezdni lub odchylone od niej pod niewielkim kątem, występujące jako linie: – pojedyncze: przerywane lub ciągłe, segregacyjne lub krawędziowe, – podwójne: ciągłe z przerywanymi, ciągłe lub przerywane.</w:t>
      </w:r>
    </w:p>
    <w:p w14:paraId="2F94A63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1.4.3. Strzałki</w:t>
      </w:r>
      <w:r w:rsidRPr="001667DB">
        <w:rPr>
          <w:rFonts w:ascii="Times New Roman" w:hAnsi="Times New Roman" w:cs="Times New Roman"/>
          <w:color w:val="000000" w:themeColor="text1"/>
        </w:rPr>
        <w:t xml:space="preserve"> - znaki poziome na nawierzchni, występujące jako strzałki kierunkowe służące do wskazania dozwolonego kierunku zjazdu z pasa oraz strzałki naprowadzające, które uprzedzają o konieczności opuszczenia pasa, na którym się znajdują.</w:t>
      </w:r>
    </w:p>
    <w:p w14:paraId="74BA92F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1.4.4. Znaki poprzeczne</w:t>
      </w:r>
      <w:r w:rsidRPr="001667DB">
        <w:rPr>
          <w:rFonts w:ascii="Times New Roman" w:hAnsi="Times New Roman" w:cs="Times New Roman"/>
          <w:color w:val="000000" w:themeColor="text1"/>
        </w:rPr>
        <w:t xml:space="preserve"> - znaki służące do oznaczenia miejsc przeznaczonych do ruchu pieszych i rowerzystów w poprzek drogi, miejsc wymagających zatrzymania pojazdów oraz miejsc lokalizacji progów zwalniających.</w:t>
      </w:r>
    </w:p>
    <w:p w14:paraId="34A4933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1.4.5. Znaki uzupełniające</w:t>
      </w:r>
      <w:r w:rsidRPr="001667DB">
        <w:rPr>
          <w:rFonts w:ascii="Times New Roman" w:hAnsi="Times New Roman" w:cs="Times New Roman"/>
          <w:color w:val="000000" w:themeColor="text1"/>
        </w:rPr>
        <w:t xml:space="preserve"> - znaki o różnych kształtach, wymiarach i przeznaczeniu, występujące w postaci symboli, napisów, linii przystankowych, stanowisk i pasów postojowych, powierzchni wyłączonych z ruchu oraz symboli znaków pionowych w oznakowaniu poziomym.</w:t>
      </w:r>
    </w:p>
    <w:p w14:paraId="28AFEF69"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1.4.6. Materiały do poziomego znakowania dróg</w:t>
      </w:r>
      <w:r w:rsidRPr="001667DB">
        <w:rPr>
          <w:rFonts w:ascii="Times New Roman" w:hAnsi="Times New Roman" w:cs="Times New Roman"/>
          <w:color w:val="000000" w:themeColor="text1"/>
        </w:rPr>
        <w:t xml:space="preserve"> - materiały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posiadać właściwości odblaskowe.</w:t>
      </w:r>
    </w:p>
    <w:p w14:paraId="0080477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1.4.7. Materiały do znakowania cienkowarstwowego</w:t>
      </w:r>
      <w:r w:rsidRPr="001667DB">
        <w:rPr>
          <w:rFonts w:ascii="Times New Roman" w:hAnsi="Times New Roman" w:cs="Times New Roman"/>
          <w:color w:val="000000" w:themeColor="text1"/>
        </w:rPr>
        <w:t xml:space="preserve"> - farby rozpuszczalnikowe, wodorozcieńczalne i chemoutwardzalne nakładane warstwą grubości od </w:t>
      </w:r>
      <w:smartTag w:uri="urn:schemas-microsoft-com:office:smarttags" w:element="metricconverter">
        <w:smartTagPr>
          <w:attr w:name="ProductID" w:val="0,4 mm"/>
        </w:smartTagPr>
        <w:r w:rsidRPr="001667DB">
          <w:rPr>
            <w:rFonts w:ascii="Times New Roman" w:hAnsi="Times New Roman" w:cs="Times New Roman"/>
            <w:color w:val="000000" w:themeColor="text1"/>
          </w:rPr>
          <w:t>0,4 mm</w:t>
        </w:r>
      </w:smartTag>
      <w:r w:rsidRPr="001667DB">
        <w:rPr>
          <w:rFonts w:ascii="Times New Roman" w:hAnsi="Times New Roman" w:cs="Times New Roman"/>
          <w:color w:val="000000" w:themeColor="text1"/>
        </w:rPr>
        <w:t xml:space="preserve"> do </w:t>
      </w:r>
      <w:smartTag w:uri="urn:schemas-microsoft-com:office:smarttags" w:element="metricconverter">
        <w:smartTagPr>
          <w:attr w:name="ProductID" w:val="0,8 mm"/>
        </w:smartTagPr>
        <w:r w:rsidRPr="001667DB">
          <w:rPr>
            <w:rFonts w:ascii="Times New Roman" w:hAnsi="Times New Roman" w:cs="Times New Roman"/>
            <w:color w:val="000000" w:themeColor="text1"/>
          </w:rPr>
          <w:t>0,8 mm</w:t>
        </w:r>
      </w:smartTag>
      <w:r w:rsidRPr="001667DB">
        <w:rPr>
          <w:rFonts w:ascii="Times New Roman" w:hAnsi="Times New Roman" w:cs="Times New Roman"/>
          <w:color w:val="000000" w:themeColor="text1"/>
        </w:rPr>
        <w:t>, mierzoną na mokro.</w:t>
      </w:r>
    </w:p>
    <w:p w14:paraId="54437707"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1.4.8. Materiały do znakowania grubowarstwowego</w:t>
      </w:r>
      <w:r w:rsidRPr="001667DB">
        <w:rPr>
          <w:rFonts w:ascii="Times New Roman" w:hAnsi="Times New Roman" w:cs="Times New Roman"/>
          <w:color w:val="000000" w:themeColor="text1"/>
        </w:rPr>
        <w:t xml:space="preserve"> - materiały nakładane warstwą grubości od </w:t>
      </w:r>
      <w:smartTag w:uri="urn:schemas-microsoft-com:office:smarttags" w:element="metricconverter">
        <w:smartTagPr>
          <w:attr w:name="ProductID" w:val="0,9 mm"/>
        </w:smartTagPr>
        <w:r w:rsidRPr="001667DB">
          <w:rPr>
            <w:rFonts w:ascii="Times New Roman" w:hAnsi="Times New Roman" w:cs="Times New Roman"/>
            <w:color w:val="000000" w:themeColor="text1"/>
          </w:rPr>
          <w:t>0,9 mm</w:t>
        </w:r>
      </w:smartTag>
      <w:r w:rsidRPr="001667DB">
        <w:rPr>
          <w:rFonts w:ascii="Times New Roman" w:hAnsi="Times New Roman" w:cs="Times New Roman"/>
          <w:color w:val="000000" w:themeColor="text1"/>
        </w:rPr>
        <w:t xml:space="preserve"> do </w:t>
      </w:r>
      <w:smartTag w:uri="urn:schemas-microsoft-com:office:smarttags" w:element="metricconverter">
        <w:smartTagPr>
          <w:attr w:name="ProductID" w:val="3,5 mm"/>
        </w:smartTagPr>
        <w:r w:rsidRPr="001667DB">
          <w:rPr>
            <w:rFonts w:ascii="Times New Roman" w:hAnsi="Times New Roman" w:cs="Times New Roman"/>
            <w:color w:val="000000" w:themeColor="text1"/>
          </w:rPr>
          <w:t>3,5 mm</w:t>
        </w:r>
      </w:smartTag>
      <w:r w:rsidRPr="001667DB">
        <w:rPr>
          <w:rFonts w:ascii="Times New Roman" w:hAnsi="Times New Roman" w:cs="Times New Roman"/>
          <w:color w:val="000000" w:themeColor="text1"/>
        </w:rPr>
        <w:t xml:space="preserve">. Należą do nich masy termoplastyczne i masy chemoutwardzalne stosowane na zimno. Dla linii strukturalnych i profilowanych grubość linii może wynosić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w:t>
      </w:r>
    </w:p>
    <w:p w14:paraId="3B3A219C"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1.4.9. Materiały prefabrykowane</w:t>
      </w:r>
      <w:r w:rsidRPr="001667DB">
        <w:rPr>
          <w:rFonts w:ascii="Times New Roman" w:hAnsi="Times New Roman" w:cs="Times New Roman"/>
          <w:color w:val="000000" w:themeColor="text1"/>
        </w:rPr>
        <w:t xml:space="preserve"> - materiały, które łączy się z powierzchnią drogi przez klejenie, wtapianie, wbudowanie lub w inny sposób. Zalicza się do nich masy termoplastyczne w arkuszach do wtapiania oraz taśmy do oznakowań tymczasowych (żółte) i trwałych (białe).</w:t>
      </w:r>
    </w:p>
    <w:p w14:paraId="4028295A"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1.4.10. Punktowe elementy odblaskowe</w:t>
      </w:r>
      <w:r w:rsidRPr="001667DB">
        <w:rPr>
          <w:rFonts w:ascii="Times New Roman" w:hAnsi="Times New Roman" w:cs="Times New Roman"/>
          <w:color w:val="000000" w:themeColor="text1"/>
        </w:rPr>
        <w:t xml:space="preserve"> - urządzenia prowadzenia poziomego, o różnym kształcie, wielkości i wysokość oraz rodzaju i liczbie zastosowanych odbłyśników, które odbijają padające z boku oświetlenie w celu ostrzegania, prowadzenia i informowania użytkowników drogi. Punktowy element odblaskowy może składać się z jednej lub kilku integralnie związanych ze sobą części, może być przyklejony, zakotwiczony lub wbudowany w nawierzchnię drogi. Część odblaskowa może być jedno lub dwukierunkowa, może się zginać lub nie. Element ten może być typu stałego (P) lub tymczasowego (T).</w:t>
      </w:r>
    </w:p>
    <w:p w14:paraId="5FC726B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1.4.11. Kulki szklane</w:t>
      </w:r>
      <w:r w:rsidRPr="001667DB">
        <w:rPr>
          <w:rFonts w:ascii="Times New Roman" w:hAnsi="Times New Roman" w:cs="Times New Roman"/>
          <w:color w:val="000000" w:themeColor="text1"/>
        </w:rPr>
        <w:t xml:space="preserve"> – materiał w postaci przezroczystych, kulistych cząstek szklanych do posypywania lub narzucania pod ciśnieniem na oznakowanie wykonane materiałami w stanie ciekłym, w celu uzyskania widzialności oznakowania w nocy przez odbicie powrotne padającej wiązki światła pojazdu w kierunku kierowcy. Kulki szklane są także składnikami materiałów grubowarstwowych.</w:t>
      </w:r>
    </w:p>
    <w:p w14:paraId="7624AC6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1.4.12. Kruszywo przeciwpoślizgowe</w:t>
      </w:r>
      <w:r w:rsidRPr="001667DB">
        <w:rPr>
          <w:rFonts w:ascii="Times New Roman" w:hAnsi="Times New Roman" w:cs="Times New Roman"/>
          <w:color w:val="000000" w:themeColor="text1"/>
        </w:rPr>
        <w:t xml:space="preserve"> – twarde ziarna pochodzenia naturalnego lub sztucznego stosowane do zapewnienia własności przeciwpoślizgowych poziomym oznakowaniom dróg, stosowane samo lub w mieszaninie z kulkami szklanymi.</w:t>
      </w:r>
    </w:p>
    <w:p w14:paraId="77F672D5"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1.4.13. Oznakowanie nowe</w:t>
      </w:r>
      <w:r w:rsidRPr="001667DB">
        <w:rPr>
          <w:rFonts w:ascii="Times New Roman" w:hAnsi="Times New Roman" w:cs="Times New Roman"/>
          <w:color w:val="000000" w:themeColor="text1"/>
        </w:rPr>
        <w:t xml:space="preserve"> – oznakowanie, w którym zakończył się czas schnięcia i nie upłynęło 30 dni od wykonania oznakowania. Pomiary właściwości oznakowania należy wykonywać od 14 do 30 dnia po wykonaniu oznakowania.</w:t>
      </w:r>
    </w:p>
    <w:p w14:paraId="44A054FB"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1.4.14. Tymczasowe oznakowanie drogowe</w:t>
      </w:r>
      <w:r w:rsidRPr="001667DB">
        <w:rPr>
          <w:rFonts w:ascii="Times New Roman" w:hAnsi="Times New Roman" w:cs="Times New Roman"/>
          <w:color w:val="000000" w:themeColor="text1"/>
        </w:rPr>
        <w:t xml:space="preserve"> - oznakowanie z materiału o barwie żółtej, którego czas użytkowania wynosi do 3 miesięcy lub do czasu zakończenia robót.</w:t>
      </w:r>
    </w:p>
    <w:p w14:paraId="55E907E9"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1.4.15. </w:t>
      </w:r>
      <w:r w:rsidRPr="001667DB">
        <w:rPr>
          <w:rFonts w:ascii="Times New Roman" w:hAnsi="Times New Roman" w:cs="Times New Roman"/>
          <w:color w:val="000000" w:themeColor="text1"/>
        </w:rPr>
        <w:t xml:space="preserve">Powyższe i pozostałe określenia są zgodne z odpowiednimi polskimi normami i z definicjami podanymi w ST D-00.00.00 „Wymagania ogólne” pkt 1.4. </w:t>
      </w:r>
    </w:p>
    <w:p w14:paraId="67E1509B" w14:textId="77777777" w:rsidR="0093341C" w:rsidRPr="001667DB" w:rsidRDefault="0093341C" w:rsidP="00AA7AC8">
      <w:pPr>
        <w:spacing w:line="276" w:lineRule="auto"/>
        <w:jc w:val="both"/>
        <w:rPr>
          <w:rFonts w:ascii="Times New Roman" w:hAnsi="Times New Roman" w:cs="Times New Roman"/>
          <w:color w:val="000000" w:themeColor="text1"/>
        </w:rPr>
      </w:pPr>
    </w:p>
    <w:p w14:paraId="49DE37C7"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wymagania dotyczące robót</w:t>
      </w:r>
    </w:p>
    <w:p w14:paraId="6D0EB597"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robót podano w ST D-00.00.00 „Wymagania ogólne” pkt 1.5. </w:t>
      </w:r>
    </w:p>
    <w:p w14:paraId="68595C10"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28" w:name="_Toc131919911"/>
      <w:r w:rsidRPr="001667DB">
        <w:rPr>
          <w:color w:val="000000" w:themeColor="text1"/>
          <w:sz w:val="22"/>
          <w:szCs w:val="22"/>
        </w:rPr>
        <w:t>materiały</w:t>
      </w:r>
      <w:bookmarkEnd w:id="828"/>
    </w:p>
    <w:p w14:paraId="472DB58B"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wymagania dotyczące materiałów</w:t>
      </w:r>
    </w:p>
    <w:p w14:paraId="3F9A6645"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21523791"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Dokument dopuszczający do stosowania materiałów</w:t>
      </w:r>
    </w:p>
    <w:p w14:paraId="6A2A68A0"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Materiały stosowane przez Wykonawcę do poziomego oznakowania dróg powinny spełniać warunki postawione w rozporządzeniu Ministra Infrastruktury [7]. </w:t>
      </w:r>
    </w:p>
    <w:p w14:paraId="77FCAFBE"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Producenci powinni oznakować wyroby znakiem budowlanym B, zgodnie z rozporządzeniem Ministra Infrastruktury [8], co oznacza wystawienie deklaracji zgodności z aprobatą techniczną (np. dla farb oraz mas chemoutwardzalnych i termoplastycznych) lub  znakiem CE, zgodnie z rozporządzeniem Ministra Infrastruktury [12], co oznacza wystawienie deklaracji zgodności z normą zharmonizowaną (np. dla kulek szklanych [3, 3a] i punktowych elementów odblaskowych [5, 5a].</w:t>
      </w:r>
    </w:p>
    <w:p w14:paraId="33EF0243" w14:textId="77777777" w:rsidR="0093341C" w:rsidRPr="001667DB" w:rsidRDefault="0093341C" w:rsidP="00AA7AC8">
      <w:pPr>
        <w:pStyle w:val="Tekstpodstawowy2"/>
        <w:spacing w:after="0" w:line="276" w:lineRule="auto"/>
        <w:ind w:firstLine="709"/>
        <w:rPr>
          <w:color w:val="000000" w:themeColor="text1"/>
          <w:sz w:val="22"/>
          <w:szCs w:val="22"/>
        </w:rPr>
      </w:pPr>
      <w:r w:rsidRPr="001667DB">
        <w:rPr>
          <w:color w:val="000000" w:themeColor="text1"/>
          <w:sz w:val="22"/>
          <w:szCs w:val="22"/>
        </w:rPr>
        <w:lastRenderedPageBreak/>
        <w:t>Aprobaty techniczne wystawione przed czasem wejścia w życie rozporządzenia [15] nie mogą być zmieniane lecz zachowują ważność przez okres, na jaki zostały wydane. W tym przypadku do oznakowania wyrobu znakiem budowlanym B wystarcza deklaracja zgodności z aprobatą techniczną.</w:t>
      </w:r>
    </w:p>
    <w:p w14:paraId="73369017" w14:textId="77777777" w:rsidR="0093341C" w:rsidRPr="001667DB" w:rsidRDefault="0093341C" w:rsidP="00AA7AC8">
      <w:pPr>
        <w:pStyle w:val="Tekstprzypisudolnego"/>
        <w:spacing w:line="276" w:lineRule="auto"/>
        <w:rPr>
          <w:color w:val="000000" w:themeColor="text1"/>
          <w:sz w:val="22"/>
          <w:szCs w:val="22"/>
        </w:rPr>
      </w:pPr>
      <w:r w:rsidRPr="001667DB">
        <w:rPr>
          <w:color w:val="000000" w:themeColor="text1"/>
          <w:sz w:val="22"/>
          <w:szCs w:val="22"/>
        </w:rPr>
        <w:tab/>
        <w:t>Powyższe zasady należy stosować także do oznakowań tymczasowych wykonywanych materiałami o barwie żółtej.</w:t>
      </w:r>
    </w:p>
    <w:p w14:paraId="0F42B4B3" w14:textId="77777777" w:rsidR="0093341C" w:rsidRPr="001667DB" w:rsidRDefault="0093341C" w:rsidP="00AA7AC8">
      <w:pPr>
        <w:pStyle w:val="Tekstprzypisudolnego"/>
        <w:spacing w:line="276" w:lineRule="auto"/>
        <w:rPr>
          <w:color w:val="000000" w:themeColor="text1"/>
          <w:sz w:val="22"/>
          <w:szCs w:val="22"/>
        </w:rPr>
      </w:pPr>
    </w:p>
    <w:p w14:paraId="0D1AF1B3"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Badanie materiałów, których jakość budzi wątpliwość</w:t>
      </w:r>
    </w:p>
    <w:p w14:paraId="5DB71C1E"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przeprowadzić dodatkowe badania tych materiałów, które budzą wątpliwości jego lub Inżyniera, co do jakości, w celu stwierdzenia czy odpowiadają one wymaganiom określonym w aprobacie technicznej. Badania te Wykonawca zleci IBDiM lub akredytowanemu laboratorium drogowemu. Badania powinny być wykonane zgodnie z PN-EN 1871:2003 [6] lub Warunkami Technicznymi POD-97 [9] lub POD-2006 po ich wydaniu [10].</w:t>
      </w:r>
    </w:p>
    <w:p w14:paraId="54BE9EA9"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Oznakowanie opakowań</w:t>
      </w:r>
    </w:p>
    <w:p w14:paraId="2FD9AB96"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żądać od producenta, aby oznakowanie opakowań materiałów do poziomego znakowania dróg było wykonane zgodnie z PN-O-79252 [2], a ponadto aby na każdym opakowaniu był umieszczony trwały napis zawierający:</w:t>
      </w:r>
    </w:p>
    <w:p w14:paraId="4C986C70"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nazwę i adres producenta,</w:t>
      </w:r>
    </w:p>
    <w:p w14:paraId="0E84E174"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datę produkcji i termin przydatności do użycia,</w:t>
      </w:r>
    </w:p>
    <w:p w14:paraId="1AC9CDAC"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masę netto,</w:t>
      </w:r>
    </w:p>
    <w:p w14:paraId="4AE4119B"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numer partii i datę produkcji,</w:t>
      </w:r>
    </w:p>
    <w:p w14:paraId="2A844425"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informację, że wyrób posiada aprobatę techniczną IBDiM i jej numer,</w:t>
      </w:r>
    </w:p>
    <w:p w14:paraId="2F371B4E"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nazwę jednostki certyfikującej i numer certyfikatu, jeśli dotyczy [8], </w:t>
      </w:r>
    </w:p>
    <w:p w14:paraId="701F4D55"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 budowlany „B” wg rozporządzenia Ministra Infrastruktury [8] i/lub znak „CE” wg rozporządzenia Ministra Infrastruktury [12],</w:t>
      </w:r>
    </w:p>
    <w:p w14:paraId="7BE6B973"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informację o szkodliwości i klasie zagrożenia pożarowego,</w:t>
      </w:r>
    </w:p>
    <w:p w14:paraId="5D656F7B"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ewentualne wskazówki dla użytkowników.</w:t>
      </w:r>
    </w:p>
    <w:p w14:paraId="1772A185"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farb rozpuszczalnikowych i wyrobów chemoutwardzalnych oznakowanie opakowania powinno być zgodne z rozporządzeniem Ministra Zdrowia [13].</w:t>
      </w:r>
    </w:p>
    <w:p w14:paraId="23AB2B02"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Przepisy określające wymagania dla materiałów</w:t>
      </w:r>
    </w:p>
    <w:p w14:paraId="789DAE5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Podstawowe wymagania dotyczące materiałów podano w punkcie 2.6, a szczegółowe wymagania określone są w Warunkach technicznych POD-97 [9] lub POD-2006 po ich wydaniu [10].</w:t>
      </w:r>
    </w:p>
    <w:p w14:paraId="54360570"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Wymagania wobec materiałów do poziomego oznakowania dróg</w:t>
      </w:r>
    </w:p>
    <w:p w14:paraId="377B7E9E" w14:textId="77777777" w:rsidR="0093341C" w:rsidRPr="001667DB" w:rsidRDefault="0093341C" w:rsidP="00AA7AC8">
      <w:pPr>
        <w:spacing w:line="276" w:lineRule="auto"/>
        <w:jc w:val="both"/>
        <w:rPr>
          <w:rFonts w:ascii="Times New Roman" w:hAnsi="Times New Roman" w:cs="Times New Roman"/>
          <w:color w:val="000000" w:themeColor="text1"/>
        </w:rPr>
      </w:pPr>
    </w:p>
    <w:p w14:paraId="17B54094"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2.6.1. </w:t>
      </w:r>
      <w:r w:rsidRPr="001667DB">
        <w:rPr>
          <w:rFonts w:ascii="Times New Roman" w:hAnsi="Times New Roman" w:cs="Times New Roman"/>
          <w:color w:val="000000" w:themeColor="text1"/>
        </w:rPr>
        <w:t>Materiały do oznakowań grubowarstwowych</w:t>
      </w:r>
    </w:p>
    <w:p w14:paraId="1F7B24B1"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Materiałami do wykonywania oznakowania grubowarstwowego powinny być materiały umożliwiające nakładanie ich warstwą grubości od </w:t>
      </w:r>
      <w:smartTag w:uri="urn:schemas-microsoft-com:office:smarttags" w:element="metricconverter">
        <w:smartTagPr>
          <w:attr w:name="ProductID" w:val="0,9 mm"/>
        </w:smartTagPr>
        <w:r w:rsidRPr="001667DB">
          <w:rPr>
            <w:rFonts w:ascii="Times New Roman" w:hAnsi="Times New Roman" w:cs="Times New Roman"/>
            <w:color w:val="000000" w:themeColor="text1"/>
          </w:rPr>
          <w:t>0,9 mm</w:t>
        </w:r>
      </w:smartTag>
      <w:r w:rsidRPr="001667DB">
        <w:rPr>
          <w:rFonts w:ascii="Times New Roman" w:hAnsi="Times New Roman" w:cs="Times New Roman"/>
          <w:color w:val="000000" w:themeColor="text1"/>
        </w:rPr>
        <w:t xml:space="preserve"> do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 xml:space="preserve"> takie, jak masy chemoutwardzalne stosowane na zimno oraz masy termoplastyczne.</w:t>
      </w:r>
    </w:p>
    <w:p w14:paraId="523B533F"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Masy chemoutwardzalne powinny być substancjami jedno-, dwu- lub trójskładnikowymi, mieszanymi ze sobą w proporcjach ustalonych przez producenta i nakładanymi na nawierzchnię z użyciem odpowiedniego sprzętu. Masy te powinny tworzyć powłokę, której spójność zapewnia jedynie reakcja chemiczna.</w:t>
      </w:r>
    </w:p>
    <w:p w14:paraId="48F5738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Masy termoplastyczne powinny być substancjami nie zawierającymi rozpuszczalników, dostarczanymi w postaci bloków, granulek lub proszku. Przy stosowaniu powinny dać się podgrzewać </w:t>
      </w:r>
      <w:r w:rsidRPr="001667DB">
        <w:rPr>
          <w:rFonts w:ascii="Times New Roman" w:hAnsi="Times New Roman" w:cs="Times New Roman"/>
          <w:color w:val="000000" w:themeColor="text1"/>
        </w:rPr>
        <w:lastRenderedPageBreak/>
        <w:t>do stopienia i aplikować ręcznie lub maszynowo. Masy te powinny tworzyć spójną warstwę przez ochłodzenie.</w:t>
      </w:r>
    </w:p>
    <w:p w14:paraId="0B5DBB24"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Właściwości fizyczne materiałów do oznakowania grubowarstwowego i wykonanych z nich elementów prefabrykowanych określają aprobaty techniczne.</w:t>
      </w:r>
    </w:p>
    <w:p w14:paraId="25E1174A"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2.6.2. </w:t>
      </w:r>
      <w:r w:rsidRPr="001667DB">
        <w:rPr>
          <w:rFonts w:ascii="Times New Roman" w:hAnsi="Times New Roman" w:cs="Times New Roman"/>
          <w:color w:val="000000" w:themeColor="text1"/>
        </w:rPr>
        <w:t>Materiał uszorstniający oznakowanie</w:t>
      </w:r>
    </w:p>
    <w:p w14:paraId="47474919"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 uszorstniający oznakowanie powinien składać się z naturalnego lub sztucznego twardego kruszywa (np. krystobalitu), stosowanego w celu zapewnienia oznakowaniu odpowiedniej szorstkości (właściwości antypoślizgowych). Materiał uszorstniający nie może zawierać więcej niż 1% cząstek mniejszych niż 90 </w:t>
      </w:r>
      <w:r w:rsidRPr="001667DB">
        <w:rPr>
          <w:rFonts w:ascii="Times New Roman" w:hAnsi="Times New Roman" w:cs="Times New Roman"/>
          <w:color w:val="000000" w:themeColor="text1"/>
        </w:rPr>
        <w:sym w:font="Symbol" w:char="006D"/>
      </w:r>
      <w:r w:rsidRPr="001667DB">
        <w:rPr>
          <w:rFonts w:ascii="Times New Roman" w:hAnsi="Times New Roman" w:cs="Times New Roman"/>
          <w:color w:val="000000" w:themeColor="text1"/>
        </w:rPr>
        <w:t xml:space="preserve">m. Potrzeba stosowania materiału uszorstniającego powinna być określona w ST. Konieczność jego użycia zachodzi w przypadku potrzeby uzyskania wskaźnika szorstkości oznakowania SRT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50.</w:t>
      </w:r>
    </w:p>
    <w:p w14:paraId="14CC2E69"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 uszorstniający (kruszywo przeciwpoślizgowe) oraz mieszanina kulek szklanych z materiałem uszorstniającym powinny odpowiadać wymaganiom określonym w aprobacie technicznej. </w:t>
      </w:r>
    </w:p>
    <w:p w14:paraId="781D1BF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2.6.7. </w:t>
      </w:r>
      <w:r w:rsidRPr="001667DB">
        <w:rPr>
          <w:rFonts w:ascii="Times New Roman" w:hAnsi="Times New Roman" w:cs="Times New Roman"/>
          <w:color w:val="000000" w:themeColor="text1"/>
        </w:rPr>
        <w:t>Wymagania wobec materiałów ze względu na ochronę warunków pracy i środowiska</w:t>
      </w:r>
    </w:p>
    <w:p w14:paraId="0FC6471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stosowane do znakowania nawierzchni nie powinny zawierać substancji zagrażających zdrowiu ludzi i powodujących skażenie środowiska.</w:t>
      </w:r>
    </w:p>
    <w:p w14:paraId="44A31DE5" w14:textId="77777777" w:rsidR="0093341C" w:rsidRPr="001667DB" w:rsidRDefault="0093341C" w:rsidP="00AA7AC8">
      <w:pPr>
        <w:spacing w:line="276" w:lineRule="auto"/>
        <w:jc w:val="both"/>
        <w:rPr>
          <w:rFonts w:ascii="Times New Roman" w:hAnsi="Times New Roman" w:cs="Times New Roman"/>
          <w:color w:val="000000" w:themeColor="text1"/>
        </w:rPr>
      </w:pPr>
    </w:p>
    <w:p w14:paraId="40BEA56B"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Przechowywanie i składowanie materiałów</w:t>
      </w:r>
    </w:p>
    <w:p w14:paraId="6CDCE1CB"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oznakowania grubowarstwowego nawierzchni powinny zachować stałość swoich właściwości chemicznych i fizykochemicznych przez okres co najmniej 6 miesięcy składowania w warunkach określonych przez producenta.</w:t>
      </w:r>
    </w:p>
    <w:p w14:paraId="70CF2679"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poziomego oznakowania dróg należy przechowywać w magazynach odpowiadających zaleceniom producenta, zwłaszcza zabezpieczających je od napromieniowania słonecznego, opadów i w temperaturze, dla:</w:t>
      </w:r>
    </w:p>
    <w:p w14:paraId="5603E85E" w14:textId="77777777" w:rsidR="0093341C" w:rsidRPr="001667DB" w:rsidRDefault="0093341C" w:rsidP="00904E6C">
      <w:pPr>
        <w:numPr>
          <w:ilvl w:val="0"/>
          <w:numId w:val="246"/>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farb wodorozcieńczalnych od 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 do 40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w:t>
      </w:r>
    </w:p>
    <w:p w14:paraId="6EF63417" w14:textId="77777777" w:rsidR="0093341C" w:rsidRPr="001667DB" w:rsidRDefault="0093341C" w:rsidP="00904E6C">
      <w:pPr>
        <w:numPr>
          <w:ilvl w:val="0"/>
          <w:numId w:val="246"/>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farb rozpuszczalnikowych od -5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 do 25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w:t>
      </w:r>
    </w:p>
    <w:p w14:paraId="76393D4E" w14:textId="77777777" w:rsidR="0093341C" w:rsidRPr="001667DB" w:rsidRDefault="0093341C" w:rsidP="00904E6C">
      <w:pPr>
        <w:numPr>
          <w:ilvl w:val="0"/>
          <w:numId w:val="246"/>
        </w:numPr>
        <w:overflowPunct w:val="0"/>
        <w:autoSpaceDE w:val="0"/>
        <w:autoSpaceDN w:val="0"/>
        <w:adjustRightInd w:val="0"/>
        <w:spacing w:after="0" w:line="276"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pozostałych materiałów - poniżej 40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w:t>
      </w:r>
    </w:p>
    <w:p w14:paraId="0CF1C95B" w14:textId="77777777" w:rsidR="0093341C" w:rsidRPr="001667DB" w:rsidRDefault="0093341C" w:rsidP="00AA7AC8">
      <w:pPr>
        <w:overflowPunct w:val="0"/>
        <w:autoSpaceDE w:val="0"/>
        <w:autoSpaceDN w:val="0"/>
        <w:adjustRightInd w:val="0"/>
        <w:spacing w:line="276" w:lineRule="auto"/>
        <w:ind w:left="284"/>
        <w:jc w:val="both"/>
        <w:rPr>
          <w:rFonts w:ascii="Times New Roman" w:hAnsi="Times New Roman" w:cs="Times New Roman"/>
          <w:color w:val="000000" w:themeColor="text1"/>
        </w:rPr>
      </w:pPr>
    </w:p>
    <w:p w14:paraId="32C670D1"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29" w:name="_Toc131919912"/>
      <w:r w:rsidRPr="001667DB">
        <w:rPr>
          <w:color w:val="000000" w:themeColor="text1"/>
          <w:sz w:val="22"/>
          <w:szCs w:val="22"/>
        </w:rPr>
        <w:t>sprzęt</w:t>
      </w:r>
      <w:bookmarkEnd w:id="829"/>
    </w:p>
    <w:p w14:paraId="01E2C3B8"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wymagania dotyczące sprzętu</w:t>
      </w:r>
    </w:p>
    <w:p w14:paraId="737B0963"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522406DD"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Sprzęt do wykonania oznakowania poziomego</w:t>
      </w:r>
    </w:p>
    <w:p w14:paraId="4B282C6B" w14:textId="77777777" w:rsidR="0093341C" w:rsidRPr="001667DB" w:rsidRDefault="0093341C" w:rsidP="00AA7AC8">
      <w:pPr>
        <w:spacing w:line="276" w:lineRule="auto"/>
        <w:jc w:val="both"/>
        <w:rPr>
          <w:rFonts w:ascii="Times New Roman" w:hAnsi="Times New Roman" w:cs="Times New Roman"/>
          <w:color w:val="000000" w:themeColor="text1"/>
        </w:rPr>
      </w:pPr>
    </w:p>
    <w:p w14:paraId="5F3CE06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przystępujący do wykonania oznakowania poziomego, w zależności od zakresu robót, powinien wykazać się możliwością korzystania z następującego sprzętu, zaakceptowanego przez Inżyniera:</w:t>
      </w:r>
    </w:p>
    <w:p w14:paraId="3D7ADAD1"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szczotek mechanicznych (zaleca się stosowanie szczotek wyposażonych w urządzenia odpylające) oraz szczotek ręcznych,</w:t>
      </w:r>
    </w:p>
    <w:p w14:paraId="2D294B42"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frezarek,</w:t>
      </w:r>
    </w:p>
    <w:p w14:paraId="2438F9D2"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sprężarek,</w:t>
      </w:r>
    </w:p>
    <w:p w14:paraId="38D4B4C5"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malowarek,</w:t>
      </w:r>
    </w:p>
    <w:p w14:paraId="5327CE58"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układarek mas termoplastycznych i chemoutwardzalnych,</w:t>
      </w:r>
    </w:p>
    <w:p w14:paraId="3923EB92"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wyklejarek do taśm,</w:t>
      </w:r>
    </w:p>
    <w:p w14:paraId="32112591" w14:textId="77777777" w:rsidR="0093341C" w:rsidRPr="001667DB" w:rsidRDefault="0093341C" w:rsidP="00AA7AC8">
      <w:pPr>
        <w:numPr>
          <w:ilvl w:val="0"/>
          <w:numId w:val="23"/>
        </w:numPr>
        <w:overflowPunct w:val="0"/>
        <w:autoSpaceDE w:val="0"/>
        <w:autoSpaceDN w:val="0"/>
        <w:adjustRightInd w:val="0"/>
        <w:spacing w:after="0" w:line="276"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sprzętu do badań, określonego w ST.</w:t>
      </w:r>
    </w:p>
    <w:p w14:paraId="56DB0A3C"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zapewnić odpowiednią jakość, ilość i wydajność malowarek lub układarek proporcjonalną do wielkości i czasu wykonania całego zakresu robót.</w:t>
      </w:r>
    </w:p>
    <w:p w14:paraId="2C24827B" w14:textId="77777777" w:rsidR="0093341C" w:rsidRPr="001667DB" w:rsidRDefault="0093341C" w:rsidP="00AA7AC8">
      <w:pPr>
        <w:spacing w:line="276" w:lineRule="auto"/>
        <w:jc w:val="both"/>
        <w:rPr>
          <w:rFonts w:ascii="Times New Roman" w:hAnsi="Times New Roman" w:cs="Times New Roman"/>
          <w:color w:val="000000" w:themeColor="text1"/>
        </w:rPr>
      </w:pPr>
    </w:p>
    <w:p w14:paraId="0FAE64A1"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0" w:name="_Toc131919913"/>
      <w:r w:rsidRPr="001667DB">
        <w:rPr>
          <w:color w:val="000000" w:themeColor="text1"/>
          <w:sz w:val="22"/>
          <w:szCs w:val="22"/>
        </w:rPr>
        <w:t>transport</w:t>
      </w:r>
      <w:bookmarkEnd w:id="830"/>
    </w:p>
    <w:p w14:paraId="305733F4"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wymagania dotyczące transportu</w:t>
      </w:r>
    </w:p>
    <w:p w14:paraId="1C70EBB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pkt 4.</w:t>
      </w:r>
    </w:p>
    <w:p w14:paraId="330F7751"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Przewóz materiałów do poziomego znakowania dróg</w:t>
      </w:r>
    </w:p>
    <w:p w14:paraId="73611BDD"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poziomego znakowania dróg należy przewozić w opakowaniach zapewniających szczelność, bezpieczny transport i zachowanie wymaganych właściwości materiałów. Pojemniki powinny być oznakowane zgodnie z normą PN-O-79252 [2]. W przypadku  materiałów niebezpiecznych opakowania powinny być oznakowane zgodnie z rozporządzeniem Ministra Zdrowia [13].</w:t>
      </w:r>
    </w:p>
    <w:p w14:paraId="6F76EB63"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Farby rozpuszczalnikowe, rozpuszczalniki palne oraz farby i masy chemoutwardzalne należy transportować zgodnie z postanowieniami umowy międzynarodowej [14] dla transportu drogowego materiałów palnych, klasy 3, oraz szczegółowymi zaleceniami zawartymi w karcie charakterystyki wyrobu sporządzonej przez producenta. Wyroby, wyżej wymienione, nie posiadające karty charakterystyki nie powinny być dopuszczone do transportu.</w:t>
      </w:r>
    </w:p>
    <w:p w14:paraId="403129C7"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Pozostałe materiały do znakowania poziomego należy przewozić krytymi środkami transportowymi, chroniąc opakowania przed uszkodzeniem mechanicznym, zgodnie z PN-C-81400 [1] oraz zgodnie z prawem przewozowym.</w:t>
      </w:r>
    </w:p>
    <w:p w14:paraId="391C9807"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1" w:name="_Toc131919914"/>
      <w:r w:rsidRPr="001667DB">
        <w:rPr>
          <w:color w:val="000000" w:themeColor="text1"/>
          <w:sz w:val="22"/>
          <w:szCs w:val="22"/>
        </w:rPr>
        <w:t>wykonanie robót</w:t>
      </w:r>
      <w:bookmarkEnd w:id="831"/>
    </w:p>
    <w:p w14:paraId="19010B21"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zasady wykonania robót</w:t>
      </w:r>
    </w:p>
    <w:p w14:paraId="5814A882"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zasady wykonania robót podano w ST D-00.00.00 „Wymagania ogólne” pkt 5. Nowe i odnowione nawierzchnie dróg przed otwarciem do ruchu muszą być oznakowane zgodnie z dokumentacją projektową. </w:t>
      </w:r>
    </w:p>
    <w:p w14:paraId="2B9173EC"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Warunki atmosferyczne</w:t>
      </w:r>
    </w:p>
    <w:p w14:paraId="0618DF68" w14:textId="77777777" w:rsidR="0093341C" w:rsidRPr="001667DB" w:rsidRDefault="0093341C" w:rsidP="00AA7AC8">
      <w:pPr>
        <w:spacing w:line="276" w:lineRule="auto"/>
        <w:jc w:val="both"/>
        <w:rPr>
          <w:rFonts w:ascii="Times New Roman" w:hAnsi="Times New Roman" w:cs="Times New Roman"/>
          <w:color w:val="000000" w:themeColor="text1"/>
        </w:rPr>
      </w:pPr>
    </w:p>
    <w:p w14:paraId="033F54E1"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czasie wykonywania oznakowania temperatura nawierzchni i powietrza powinna wynosić co najmniej 5</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C, a wilgotność względna powietrza powinna być zgodna z zaleceniami producenta lub wynosić co najwyżej 85%.</w:t>
      </w:r>
    </w:p>
    <w:p w14:paraId="2FA7E2C7"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Jednorodność nawierzchni znakowanej</w:t>
      </w:r>
    </w:p>
    <w:p w14:paraId="56B3B81F"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Poprawność wykonania znakowania wymaga jednorodności nawierzchni znakowanej. Nierówności i/lub miejsca napraw cząstkowych nawierzchni, które nie wyróżniają się od starej nawierzchni i nie mają większego rozmiaru niż 15% powierzchni znakowanej, uznaje się za powierzchnie jednorodne. Dla powierzchni niejednorodnych należy w ST ustalić: rozmiary powierzchni niejednorodnej zgodnie z Systemem Oceny Stanu Nawierzchni (SOSN), odkształcenia nawierzchni (otwarte złącza podłużne, koleiny, spękania, przełomy, garby), wymagania wobec materiału do oznakowania nawierzchni i wymagania wobec Wykonawcy.</w:t>
      </w:r>
    </w:p>
    <w:p w14:paraId="47AB6736"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lastRenderedPageBreak/>
        <w:t>Przygotowanie podłoża do wykonania znakowania</w:t>
      </w:r>
    </w:p>
    <w:p w14:paraId="15A35651"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wykonaniem znakowania poziomego należy oczyścić powierzchnię nawierzchni malowanej z pyłu, kurzu, piasku, smarów, olejów i innych zanieczyszczeń, przy użyciu sprzętu wymienionego w ST i zaakceptowanego przez Inżyniera.</w:t>
      </w:r>
    </w:p>
    <w:p w14:paraId="363310C8"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Powierzchnia nawierzchni przygotowana do wykonania oznakowania poziomego musi być czysta i sucha.</w:t>
      </w:r>
    </w:p>
    <w:p w14:paraId="60179AB3"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Przedznakowanie</w:t>
      </w:r>
    </w:p>
    <w:p w14:paraId="0496C143"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celu dokładnego wykonania poziomego oznakowania drogi, można wykonać przedznakowanie, stosując się do ustaleń zawartych w dokumentacji projektowej, w załączniku nr 2 do rozporządzenia Ministra Infrastruktury [7], ST i wskazaniach Inżyniera.</w:t>
      </w:r>
    </w:p>
    <w:p w14:paraId="2680E0F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wykonania przedznakowania można stosować nietrwałą farbę, np. farbę silnie rozcieńczoną rozpuszczalnikiem. Zaleca się wykonywanie przedznakowania w postaci cienkich linii lub kropek. Początek i koniec znakowania należy zaznaczyć małą kreską poprzeczną.</w:t>
      </w:r>
    </w:p>
    <w:p w14:paraId="39430AF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odnawiania oznakowania drogi, gdy stare oznakowanie jest wystarczająco czytelne i zgodne z dokumentacją projektową, można przedznakowania nie wykonywać.</w:t>
      </w:r>
    </w:p>
    <w:p w14:paraId="5C099301"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Wykonanie oznakowania drogi</w:t>
      </w:r>
    </w:p>
    <w:p w14:paraId="76597A4E" w14:textId="77777777" w:rsidR="0093341C" w:rsidRPr="001667DB" w:rsidRDefault="0093341C" w:rsidP="00AA7AC8">
      <w:pPr>
        <w:pStyle w:val="Nagwek2"/>
        <w:numPr>
          <w:ilvl w:val="12"/>
          <w:numId w:val="0"/>
        </w:numPr>
        <w:spacing w:line="276" w:lineRule="auto"/>
        <w:jc w:val="both"/>
        <w:rPr>
          <w:color w:val="000000" w:themeColor="text1"/>
          <w:sz w:val="22"/>
          <w:szCs w:val="22"/>
        </w:rPr>
      </w:pPr>
      <w:r w:rsidRPr="001667DB">
        <w:rPr>
          <w:color w:val="000000" w:themeColor="text1"/>
          <w:sz w:val="22"/>
          <w:szCs w:val="22"/>
        </w:rPr>
        <w:t>5.6.1.</w:t>
      </w:r>
      <w:r w:rsidRPr="001667DB">
        <w:rPr>
          <w:b w:val="0"/>
          <w:color w:val="000000" w:themeColor="text1"/>
          <w:sz w:val="22"/>
          <w:szCs w:val="22"/>
        </w:rPr>
        <w:t xml:space="preserve"> </w:t>
      </w:r>
      <w:r w:rsidRPr="001667DB">
        <w:rPr>
          <w:color w:val="000000" w:themeColor="text1"/>
          <w:sz w:val="22"/>
          <w:szCs w:val="22"/>
        </w:rPr>
        <w:t xml:space="preserve"> </w:t>
      </w:r>
      <w:r w:rsidRPr="001667DB">
        <w:rPr>
          <w:b w:val="0"/>
          <w:color w:val="000000" w:themeColor="text1"/>
          <w:sz w:val="22"/>
          <w:szCs w:val="22"/>
        </w:rPr>
        <w:t>Dostarczenie materiałów i spełnienie zaleceń producenta materiałów</w:t>
      </w:r>
    </w:p>
    <w:p w14:paraId="61B60695"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do znakowania drogi, spełniające wymagania podane w punkcie 2, powinny być dostarczone w oryginalnych opakowaniach handlowych i stosowane zgodnie z zaleceniami ST, producenta oraz wymaganiami znajdującymi się w aprobacie technicznej.</w:t>
      </w:r>
    </w:p>
    <w:p w14:paraId="1F2772E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5.6.2. </w:t>
      </w:r>
      <w:r w:rsidRPr="001667DB">
        <w:rPr>
          <w:rFonts w:ascii="Times New Roman" w:hAnsi="Times New Roman" w:cs="Times New Roman"/>
          <w:color w:val="000000" w:themeColor="text1"/>
        </w:rPr>
        <w:t>Wykonanie oznakowania drogi materiałami grubowarstwowymi</w:t>
      </w:r>
    </w:p>
    <w:p w14:paraId="476FA331"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Wykonanie oznakowania powinno być zgodne z zaleceniami producenta materiałów, a w przypadku ich braku lub niepełnych danych - zgodne z poniższymi wskazaniami.</w:t>
      </w:r>
    </w:p>
    <w:p w14:paraId="20D46D23"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 znakujący należy nakładać równomierną warstwą o grubości (lub w ilości) ustalonej w ST, zachowując wymiary i ostrość krawędzi. Grubość nanoszonej warstwy zaleca się kontrolować przy pomocy grzebienia pomiarowego na płytce metalowej, podkładanej na drodze malowarki. Ilość materiału zużyta w czasie prac, określona przez średnie zużycie na metr kwadratowy, nie może się różnić od ilości ustalonej, więcej niż o 20%.</w:t>
      </w:r>
    </w:p>
    <w:p w14:paraId="106BA57E" w14:textId="77777777" w:rsidR="0093341C" w:rsidRPr="001667DB" w:rsidRDefault="0093341C" w:rsidP="00AA7AC8">
      <w:pPr>
        <w:numPr>
          <w:ilvl w:val="12"/>
          <w:numId w:val="0"/>
        </w:numPr>
        <w:spacing w:line="276" w:lineRule="auto"/>
        <w:jc w:val="both"/>
        <w:rPr>
          <w:rFonts w:ascii="Times New Roman" w:hAnsi="Times New Roman" w:cs="Times New Roman"/>
          <w:strike/>
          <w:color w:val="000000" w:themeColor="text1"/>
        </w:rPr>
      </w:pPr>
      <w:r w:rsidRPr="001667DB">
        <w:rPr>
          <w:rFonts w:ascii="Times New Roman" w:hAnsi="Times New Roman" w:cs="Times New Roman"/>
          <w:color w:val="000000" w:themeColor="text1"/>
        </w:rPr>
        <w:tab/>
        <w:t>W przypadku mas chemoutwardzalnych i termoplastycznych wszystkie większe prace (linie krawędziowe, segregacyjne na długich odcinkach dróg) powinny być wykonywane przy użyciu urządzeń samojezdnych z automatycznym podziałem linii i posypywaniem kulkami szklanymi z ew. materiałem uszorstniającym. W przypadku mniejszych prac, wielkość, wydajność i jakość sprzętu należy dostosować do ich zakresu i rozmiaru. Decyzję dotyczącą rodzaju sprzętu i sposobu wykonania znakowania podejmuje Inżynier na wniosek Wykonawcy. W przypadku znakowania nawierzchni betonowej należy przed aplikacją usunąć warstwę powierzchniową betonu metodą frezowania, śrutowania lub waterblasting, aby zlikwidować pozostałości mleczka cementowego i uszorstnić powierzchnię. Po usunięciu warstwy powierzchniowej betonu, należy powierzchnię znakowaną umyć wodą pod ciśnieniem oraz zagruntować środkiem wskazanym przez producenta masy (podkład, grunt, primer) w ilości przez niego podanej.</w:t>
      </w:r>
    </w:p>
    <w:p w14:paraId="0CB89B15"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b/>
          <w:bCs/>
          <w:color w:val="000000" w:themeColor="text1"/>
        </w:rPr>
        <w:t>5.6.5.</w:t>
      </w:r>
      <w:r w:rsidRPr="001667DB">
        <w:rPr>
          <w:rFonts w:ascii="Times New Roman" w:hAnsi="Times New Roman" w:cs="Times New Roman"/>
          <w:color w:val="000000" w:themeColor="text1"/>
        </w:rPr>
        <w:t xml:space="preserve"> Wykonanie oznakowania tymczasowego</w:t>
      </w:r>
    </w:p>
    <w:p w14:paraId="212232F9" w14:textId="77777777" w:rsidR="0093341C" w:rsidRPr="001667DB" w:rsidRDefault="0093341C" w:rsidP="00AA7AC8">
      <w:pPr>
        <w:pStyle w:val="Tekstpodstawowywcity"/>
        <w:spacing w:line="276" w:lineRule="auto"/>
        <w:ind w:left="0" w:firstLine="709"/>
        <w:rPr>
          <w:b/>
          <w:color w:val="000000" w:themeColor="text1"/>
          <w:sz w:val="22"/>
          <w:szCs w:val="22"/>
        </w:rPr>
      </w:pPr>
      <w:r w:rsidRPr="001667DB">
        <w:rPr>
          <w:b/>
          <w:color w:val="000000" w:themeColor="text1"/>
          <w:sz w:val="22"/>
          <w:szCs w:val="22"/>
        </w:rPr>
        <w:lastRenderedPageBreak/>
        <w:t xml:space="preserve">Do wykonywania oznakowania tymczasowego barwy żółtej należy stosować materiały łatwe do usunięcia po zakończeniu okresu tymczasowości. Linie wyznaczające pasy ruchu zaleca się uzupełnić punktowymi elementami odblaskowymi z odbłyśnikami także barwy żółtej. </w:t>
      </w:r>
    </w:p>
    <w:p w14:paraId="380A32BB"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Czasowe oznakowanie poziome powinno być wykonane z materiałów odblaskowych. Do jego wykonania należy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w:t>
      </w:r>
    </w:p>
    <w:p w14:paraId="7A48F337"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stosowane do wykonywania oznakowania tymczasowego powinny także posiadać aprobaty techniczne, a producent powinien wystawiać deklarację zgodności.</w:t>
      </w:r>
    </w:p>
    <w:p w14:paraId="5BA78987"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Usuwanie oznakowania poziomego</w:t>
      </w:r>
    </w:p>
    <w:p w14:paraId="4553E652"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konieczności usunięcia istniejącego oznakowania poziomego, czynność tę należy wykonać jak najmniej uszkadzając nawierzchnię.</w:t>
      </w:r>
    </w:p>
    <w:p w14:paraId="3EB7AF4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Zaleca się wykonywać usuwanie oznakowania:</w:t>
      </w:r>
    </w:p>
    <w:p w14:paraId="27CD232C"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cienkowarstwowego, metodą: frezowania mechanicznego lub wodą pod wysokim ciśnieniem (waterblasting), piaskowania, śrutowania, trawienia, wypalania lub zamalowania,</w:t>
      </w:r>
    </w:p>
    <w:p w14:paraId="03CB0EAD"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grubowarstwowego, metodą piaskowania, kulkowania, frezowania,</w:t>
      </w:r>
    </w:p>
    <w:p w14:paraId="1FFEC576"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punktowego, prostymi narzędziami mechanicznymi.</w:t>
      </w:r>
    </w:p>
    <w:p w14:paraId="0BEA05B4"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Środki zastosowane do usunięcia oznakowania nie mogą wpływać ujemnie na przyczepność nowego oznakowania do podłoża, na jego szorstkość, trwałość oraz na właściwości podłoża.</w:t>
      </w:r>
    </w:p>
    <w:p w14:paraId="2BE988F5"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Usuwanie oznakowania na czas robót drogowych może być wykonane przez zamalowanie nietrwałą farbą barwy czarnej.</w:t>
      </w:r>
    </w:p>
    <w:p w14:paraId="3937EC2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Materiały pozostałe po usunięciu oznakowania należy usunąć z drogi tak, aby nie zanieczyszczały środowiska, w miejsce zaakceptowane przez Inżyniera.</w:t>
      </w:r>
    </w:p>
    <w:p w14:paraId="316C7DFF"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Odnowa oznakowania poziomego</w:t>
      </w:r>
    </w:p>
    <w:p w14:paraId="2A2A7EF2"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Odnawianie oznakowania poziomego, wykonywanego w przypadku utraty wymagań jednej z właściwości, należy wykonać materiałem o sprawdzonej dobrej przyczepności do starej warstwy.</w:t>
      </w:r>
    </w:p>
    <w:p w14:paraId="3B54E58D"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Jako zasadę można przyjąć, że oznakowanie wykonane farbami akrylowymi, należy odnawiać także farbami akrylowymi, oznakowania grubowarstwowe wykonane masami termoplastycznymi – natryskiwanym cienką warstwą masy termoplastycznej lub farbą wodorozcieńczalną zalecaną przez producenta masy, oznakowania wykonane masami chemoutwardzalnymi – farbami chemoutwardzalnymi, natryskiwanymi masami chemoutwardzalnymi (sprayplast) lub odpowiednimi akrylowymi farbami rozpuszczalnikowymi.</w:t>
      </w:r>
    </w:p>
    <w:p w14:paraId="42F731A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Ilość stosowanego do odnowienia materiału, należy dobrać w zależności od rodzaju i stanu oznakowania odnawianego, kierując się wskazówkami producenta materiału i zaleceniami Inżyniera.</w:t>
      </w:r>
    </w:p>
    <w:p w14:paraId="2039C9CA"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2" w:name="_Toc131919915"/>
      <w:r w:rsidRPr="001667DB">
        <w:rPr>
          <w:color w:val="000000" w:themeColor="text1"/>
          <w:sz w:val="22"/>
          <w:szCs w:val="22"/>
        </w:rPr>
        <w:t>kontrola jakości robót</w:t>
      </w:r>
      <w:bookmarkEnd w:id="832"/>
    </w:p>
    <w:p w14:paraId="63FEFB3C"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zasady kontroli jakości robót</w:t>
      </w:r>
    </w:p>
    <w:p w14:paraId="47F9171F"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w:t>
      </w:r>
    </w:p>
    <w:p w14:paraId="39F8D070"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Badanie przygotowania podłoża i przedznakowania</w:t>
      </w:r>
    </w:p>
    <w:p w14:paraId="196119C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Powierzchnia jezdni przed wykonaniem znakowania poziomego musi być całkowicie czysta i sucha.</w:t>
      </w:r>
    </w:p>
    <w:p w14:paraId="3D27A165"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Przedznakowanie powinno być wykonane zgodnie z wymaganiami punktu 5.5.</w:t>
      </w:r>
    </w:p>
    <w:p w14:paraId="346763F4"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Badania wykonania oznakowania poziomego</w:t>
      </w:r>
    </w:p>
    <w:p w14:paraId="7D724D52" w14:textId="77777777" w:rsidR="0093341C" w:rsidRPr="001667DB" w:rsidRDefault="0093341C" w:rsidP="00904E6C">
      <w:pPr>
        <w:pStyle w:val="Nagwek3"/>
        <w:numPr>
          <w:ilvl w:val="2"/>
          <w:numId w:val="329"/>
        </w:numPr>
      </w:pPr>
      <w:r w:rsidRPr="001667DB">
        <w:t>Wymagania wobec oznakowania poziomego</w:t>
      </w:r>
    </w:p>
    <w:p w14:paraId="250D4025" w14:textId="77777777" w:rsidR="0093341C" w:rsidRPr="001667DB" w:rsidRDefault="0093341C" w:rsidP="00AA7AC8">
      <w:pPr>
        <w:pStyle w:val="Stopka"/>
        <w:numPr>
          <w:ilvl w:val="12"/>
          <w:numId w:val="0"/>
        </w:numPr>
        <w:tabs>
          <w:tab w:val="left" w:pos="709"/>
        </w:tabs>
        <w:spacing w:line="276" w:lineRule="auto"/>
        <w:rPr>
          <w:b/>
          <w:color w:val="000000" w:themeColor="text1"/>
          <w:sz w:val="22"/>
        </w:rPr>
      </w:pPr>
      <w:r w:rsidRPr="001667DB">
        <w:rPr>
          <w:color w:val="000000" w:themeColor="text1"/>
          <w:sz w:val="22"/>
        </w:rPr>
        <w:t>6.3.1.1. Zasady</w:t>
      </w:r>
    </w:p>
    <w:p w14:paraId="0862A0F0"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Wymagania sprecyzowano przede wszystkim w celu określenia właściwości oznakowania dróg w czasie ich użytkowania. Wymagania określa się kilkoma parametrami reprezentującymi różne aspekty właściwości oznakowania dróg według PN-EN 1436 [4].</w:t>
      </w:r>
    </w:p>
    <w:p w14:paraId="4AC4D454"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 xml:space="preserve">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latach dla materiałów o trwałości dłuższej niż 1 rok. </w:t>
      </w:r>
    </w:p>
    <w:p w14:paraId="7C127CBE"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Barwa żółta dotyczy tylko oznakowań tymczasowych, które także powinny być kontrolowane. Inne barwy oznakowań niż biała i żółta należy stosować zgodnie z zaleceniami zawartymi w załączniku nr 2 do rozporządzenia [7].</w:t>
      </w:r>
    </w:p>
    <w:p w14:paraId="6C488A3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6.3.1.2. Widzialność w dzień</w:t>
      </w:r>
    </w:p>
    <w:p w14:paraId="35EC6B3A"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Widzialność oznakowania w dzień jest określona współczynnikiem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i barwą oznakowania wyrażoną współrzędnymi chromatyczności.</w:t>
      </w:r>
    </w:p>
    <w:p w14:paraId="49DA6FE7"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Wartość współczynnika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powinna wynosić dla oznakowania nowego </w:t>
      </w:r>
      <w:r w:rsidRPr="001667DB">
        <w:rPr>
          <w:rFonts w:ascii="Times New Roman" w:hAnsi="Times New Roman" w:cs="Times New Roman"/>
          <w:color w:val="000000" w:themeColor="text1"/>
          <w:spacing w:val="-3"/>
        </w:rPr>
        <w:t>w terminie od 14 do 30 dnia po wykonaniu</w:t>
      </w:r>
      <w:r w:rsidRPr="001667DB">
        <w:rPr>
          <w:rFonts w:ascii="Times New Roman" w:hAnsi="Times New Roman" w:cs="Times New Roman"/>
          <w:color w:val="000000" w:themeColor="text1"/>
        </w:rPr>
        <w:t>, barwy:</w:t>
      </w:r>
    </w:p>
    <w:p w14:paraId="5C03D6F8"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 , co najmniej 0,40, klasa B3,</w:t>
      </w:r>
    </w:p>
    <w:p w14:paraId="1A5AD112"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 co najmniej 0,50, klasa B4,</w:t>
      </w:r>
    </w:p>
    <w:p w14:paraId="29136560"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co najmniej 0,30, klasa B2.</w:t>
      </w:r>
    </w:p>
    <w:p w14:paraId="6824D270"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Wartość współczynnika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powinna wynosić po 30 dniu od wykonania dla całego okresu użytkowania oznakowania, barwy:</w:t>
      </w:r>
    </w:p>
    <w:p w14:paraId="67AA063A"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 , co najmniej 0,30, klasa B2,</w:t>
      </w:r>
    </w:p>
    <w:p w14:paraId="00BDBC5C"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 co najmniej 0,40, klasa B3,</w:t>
      </w:r>
    </w:p>
    <w:p w14:paraId="09EFCE5F"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żółtej, co najmniej 0,20 klasa B1. </w:t>
      </w:r>
    </w:p>
    <w:p w14:paraId="4FCCC7C9"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Barwa oznakowania powinna być określona wg PN-EN 1436 [4] przez współrzędne chromatyczności x i y, które dla suchego oznakowania powinny leżeć w obszarze zdefiniowanym przez cztery punkty narożne podane w tablicy 1 i na wykresach (rys. 1, 2 i 3).</w:t>
      </w:r>
    </w:p>
    <w:p w14:paraId="7E1954FA"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1. Punkty narożne obszarów chromatyczności oznakowań dróg</w:t>
      </w:r>
    </w:p>
    <w:tbl>
      <w:tblPr>
        <w:tblW w:w="7468" w:type="dxa"/>
        <w:tblCellMar>
          <w:left w:w="157" w:type="dxa"/>
          <w:right w:w="157" w:type="dxa"/>
        </w:tblCellMar>
        <w:tblLook w:val="04A0" w:firstRow="1" w:lastRow="0" w:firstColumn="1" w:lastColumn="0" w:noHBand="0" w:noVBand="1"/>
      </w:tblPr>
      <w:tblGrid>
        <w:gridCol w:w="2601"/>
        <w:gridCol w:w="425"/>
        <w:gridCol w:w="1110"/>
        <w:gridCol w:w="1111"/>
        <w:gridCol w:w="1110"/>
        <w:gridCol w:w="1111"/>
      </w:tblGrid>
      <w:tr w:rsidR="0093341C" w:rsidRPr="001667DB" w14:paraId="4C8BCA92" w14:textId="77777777" w:rsidTr="0093341C">
        <w:trPr>
          <w:trHeight w:val="398"/>
        </w:trPr>
        <w:tc>
          <w:tcPr>
            <w:tcW w:w="3026" w:type="dxa"/>
            <w:gridSpan w:val="2"/>
            <w:tcBorders>
              <w:top w:val="single" w:sz="6" w:space="0" w:color="auto"/>
              <w:left w:val="single" w:sz="6" w:space="0" w:color="auto"/>
              <w:bottom w:val="double" w:sz="4" w:space="0" w:color="auto"/>
              <w:right w:val="nil"/>
            </w:tcBorders>
            <w:noWrap/>
            <w:hideMark/>
          </w:tcPr>
          <w:p w14:paraId="2CDDF302"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bCs/>
                <w:color w:val="000000" w:themeColor="text1"/>
                <w:spacing w:val="-3"/>
              </w:rPr>
            </w:pPr>
            <w:r w:rsidRPr="001667DB">
              <w:rPr>
                <w:rFonts w:ascii="Times New Roman" w:hAnsi="Times New Roman" w:cs="Times New Roman"/>
                <w:bCs/>
                <w:color w:val="000000" w:themeColor="text1"/>
                <w:spacing w:val="-3"/>
              </w:rPr>
              <w:t>Punkt narożny nr</w:t>
            </w:r>
          </w:p>
        </w:tc>
        <w:tc>
          <w:tcPr>
            <w:tcW w:w="1110" w:type="dxa"/>
            <w:tcBorders>
              <w:top w:val="single" w:sz="6" w:space="0" w:color="auto"/>
              <w:left w:val="single" w:sz="6" w:space="0" w:color="auto"/>
              <w:bottom w:val="double" w:sz="4" w:space="0" w:color="auto"/>
              <w:right w:val="nil"/>
            </w:tcBorders>
            <w:noWrap/>
            <w:hideMark/>
          </w:tcPr>
          <w:p w14:paraId="59C054B0"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bCs/>
                <w:color w:val="000000" w:themeColor="text1"/>
                <w:spacing w:val="-3"/>
              </w:rPr>
            </w:pPr>
            <w:r w:rsidRPr="001667DB">
              <w:rPr>
                <w:rFonts w:ascii="Times New Roman" w:hAnsi="Times New Roman" w:cs="Times New Roman"/>
                <w:bCs/>
                <w:color w:val="000000" w:themeColor="text1"/>
                <w:spacing w:val="-3"/>
              </w:rPr>
              <w:t>1</w:t>
            </w:r>
          </w:p>
        </w:tc>
        <w:tc>
          <w:tcPr>
            <w:tcW w:w="1111" w:type="dxa"/>
            <w:tcBorders>
              <w:top w:val="single" w:sz="6" w:space="0" w:color="auto"/>
              <w:left w:val="single" w:sz="6" w:space="0" w:color="auto"/>
              <w:bottom w:val="double" w:sz="4" w:space="0" w:color="auto"/>
              <w:right w:val="nil"/>
            </w:tcBorders>
            <w:noWrap/>
            <w:hideMark/>
          </w:tcPr>
          <w:p w14:paraId="427DD049"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bCs/>
                <w:color w:val="000000" w:themeColor="text1"/>
                <w:spacing w:val="-3"/>
              </w:rPr>
            </w:pPr>
            <w:r w:rsidRPr="001667DB">
              <w:rPr>
                <w:rFonts w:ascii="Times New Roman" w:hAnsi="Times New Roman" w:cs="Times New Roman"/>
                <w:bCs/>
                <w:color w:val="000000" w:themeColor="text1"/>
                <w:spacing w:val="-3"/>
              </w:rPr>
              <w:t>2</w:t>
            </w:r>
          </w:p>
        </w:tc>
        <w:tc>
          <w:tcPr>
            <w:tcW w:w="1110" w:type="dxa"/>
            <w:tcBorders>
              <w:top w:val="single" w:sz="6" w:space="0" w:color="auto"/>
              <w:left w:val="single" w:sz="6" w:space="0" w:color="auto"/>
              <w:bottom w:val="double" w:sz="4" w:space="0" w:color="auto"/>
              <w:right w:val="nil"/>
            </w:tcBorders>
            <w:noWrap/>
            <w:hideMark/>
          </w:tcPr>
          <w:p w14:paraId="6FAC4D0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bCs/>
                <w:color w:val="000000" w:themeColor="text1"/>
                <w:spacing w:val="-3"/>
              </w:rPr>
            </w:pPr>
            <w:r w:rsidRPr="001667DB">
              <w:rPr>
                <w:rFonts w:ascii="Times New Roman" w:hAnsi="Times New Roman" w:cs="Times New Roman"/>
                <w:bCs/>
                <w:color w:val="000000" w:themeColor="text1"/>
                <w:spacing w:val="-3"/>
              </w:rPr>
              <w:t>3</w:t>
            </w:r>
          </w:p>
        </w:tc>
        <w:tc>
          <w:tcPr>
            <w:tcW w:w="1111" w:type="dxa"/>
            <w:tcBorders>
              <w:top w:val="single" w:sz="6" w:space="0" w:color="auto"/>
              <w:left w:val="single" w:sz="6" w:space="0" w:color="auto"/>
              <w:bottom w:val="single" w:sz="6" w:space="0" w:color="auto"/>
              <w:right w:val="single" w:sz="6" w:space="0" w:color="auto"/>
            </w:tcBorders>
            <w:noWrap/>
            <w:hideMark/>
          </w:tcPr>
          <w:p w14:paraId="4013A41D"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bCs/>
                <w:color w:val="000000" w:themeColor="text1"/>
                <w:spacing w:val="-3"/>
              </w:rPr>
            </w:pPr>
            <w:r w:rsidRPr="001667DB">
              <w:rPr>
                <w:rFonts w:ascii="Times New Roman" w:hAnsi="Times New Roman" w:cs="Times New Roman"/>
                <w:bCs/>
                <w:color w:val="000000" w:themeColor="text1"/>
                <w:spacing w:val="-3"/>
              </w:rPr>
              <w:t>4</w:t>
            </w:r>
          </w:p>
        </w:tc>
      </w:tr>
      <w:tr w:rsidR="0093341C" w:rsidRPr="001667DB" w14:paraId="3F0CE70D" w14:textId="77777777" w:rsidTr="0093341C">
        <w:tc>
          <w:tcPr>
            <w:tcW w:w="2601" w:type="dxa"/>
            <w:tcBorders>
              <w:top w:val="double" w:sz="4" w:space="0" w:color="auto"/>
              <w:left w:val="single" w:sz="6" w:space="0" w:color="auto"/>
              <w:bottom w:val="nil"/>
              <w:right w:val="nil"/>
            </w:tcBorders>
            <w:noWrap/>
            <w:hideMark/>
          </w:tcPr>
          <w:p w14:paraId="29E71B4E" w14:textId="77777777" w:rsidR="0093341C" w:rsidRPr="001667DB" w:rsidRDefault="0093341C" w:rsidP="0093341C">
            <w:pPr>
              <w:pStyle w:val="Stopka"/>
              <w:tabs>
                <w:tab w:val="left" w:pos="-720"/>
              </w:tabs>
              <w:suppressAutoHyphens/>
              <w:spacing w:line="276" w:lineRule="auto"/>
              <w:rPr>
                <w:color w:val="000000" w:themeColor="text1"/>
                <w:spacing w:val="-3"/>
                <w:sz w:val="22"/>
              </w:rPr>
            </w:pPr>
            <w:r w:rsidRPr="001667DB">
              <w:rPr>
                <w:color w:val="000000" w:themeColor="text1"/>
                <w:spacing w:val="-3"/>
                <w:sz w:val="22"/>
              </w:rPr>
              <w:t>Oznakowanie białe</w:t>
            </w:r>
          </w:p>
        </w:tc>
        <w:tc>
          <w:tcPr>
            <w:tcW w:w="425" w:type="dxa"/>
            <w:tcBorders>
              <w:top w:val="double" w:sz="4" w:space="0" w:color="auto"/>
              <w:left w:val="single" w:sz="6" w:space="0" w:color="auto"/>
              <w:bottom w:val="nil"/>
              <w:right w:val="nil"/>
            </w:tcBorders>
            <w:noWrap/>
            <w:hideMark/>
          </w:tcPr>
          <w:p w14:paraId="220F5821"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x</w:t>
            </w:r>
          </w:p>
        </w:tc>
        <w:tc>
          <w:tcPr>
            <w:tcW w:w="1110" w:type="dxa"/>
            <w:tcBorders>
              <w:top w:val="double" w:sz="4" w:space="0" w:color="auto"/>
              <w:left w:val="single" w:sz="6" w:space="0" w:color="auto"/>
              <w:bottom w:val="nil"/>
              <w:right w:val="nil"/>
            </w:tcBorders>
            <w:noWrap/>
            <w:hideMark/>
          </w:tcPr>
          <w:p w14:paraId="41B4A6D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0,355</w:t>
            </w:r>
          </w:p>
        </w:tc>
        <w:tc>
          <w:tcPr>
            <w:tcW w:w="1111" w:type="dxa"/>
            <w:tcBorders>
              <w:top w:val="double" w:sz="4" w:space="0" w:color="auto"/>
              <w:left w:val="single" w:sz="6" w:space="0" w:color="auto"/>
              <w:bottom w:val="nil"/>
              <w:right w:val="nil"/>
            </w:tcBorders>
            <w:noWrap/>
            <w:hideMark/>
          </w:tcPr>
          <w:p w14:paraId="4A70FFBC"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0,305</w:t>
            </w:r>
          </w:p>
        </w:tc>
        <w:tc>
          <w:tcPr>
            <w:tcW w:w="1110" w:type="dxa"/>
            <w:tcBorders>
              <w:top w:val="double" w:sz="4" w:space="0" w:color="auto"/>
              <w:left w:val="single" w:sz="6" w:space="0" w:color="auto"/>
              <w:bottom w:val="nil"/>
              <w:right w:val="nil"/>
            </w:tcBorders>
            <w:noWrap/>
            <w:hideMark/>
          </w:tcPr>
          <w:p w14:paraId="6C0FBEA3"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0,285</w:t>
            </w:r>
          </w:p>
        </w:tc>
        <w:tc>
          <w:tcPr>
            <w:tcW w:w="1111" w:type="dxa"/>
            <w:tcBorders>
              <w:top w:val="double" w:sz="4" w:space="0" w:color="auto"/>
              <w:left w:val="single" w:sz="6" w:space="0" w:color="auto"/>
              <w:bottom w:val="nil"/>
              <w:right w:val="single" w:sz="6" w:space="0" w:color="auto"/>
            </w:tcBorders>
            <w:noWrap/>
            <w:hideMark/>
          </w:tcPr>
          <w:p w14:paraId="3311704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0,335</w:t>
            </w:r>
          </w:p>
        </w:tc>
      </w:tr>
      <w:tr w:rsidR="0093341C" w:rsidRPr="001667DB" w14:paraId="036826AB" w14:textId="77777777" w:rsidTr="0093341C">
        <w:tc>
          <w:tcPr>
            <w:tcW w:w="2601" w:type="dxa"/>
            <w:tcBorders>
              <w:top w:val="nil"/>
              <w:left w:val="single" w:sz="6" w:space="0" w:color="auto"/>
              <w:bottom w:val="nil"/>
              <w:right w:val="nil"/>
            </w:tcBorders>
            <w:noWrap/>
          </w:tcPr>
          <w:p w14:paraId="6D08AB59"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p>
        </w:tc>
        <w:tc>
          <w:tcPr>
            <w:tcW w:w="425" w:type="dxa"/>
            <w:tcBorders>
              <w:top w:val="single" w:sz="6" w:space="0" w:color="auto"/>
              <w:left w:val="single" w:sz="6" w:space="0" w:color="auto"/>
              <w:bottom w:val="nil"/>
              <w:right w:val="nil"/>
            </w:tcBorders>
            <w:noWrap/>
            <w:hideMark/>
          </w:tcPr>
          <w:p w14:paraId="00A25612"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y</w:t>
            </w:r>
          </w:p>
        </w:tc>
        <w:tc>
          <w:tcPr>
            <w:tcW w:w="1110" w:type="dxa"/>
            <w:tcBorders>
              <w:top w:val="single" w:sz="6" w:space="0" w:color="auto"/>
              <w:left w:val="single" w:sz="6" w:space="0" w:color="auto"/>
              <w:bottom w:val="nil"/>
              <w:right w:val="nil"/>
            </w:tcBorders>
            <w:noWrap/>
            <w:hideMark/>
          </w:tcPr>
          <w:p w14:paraId="6ECC90D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0,355</w:t>
            </w:r>
          </w:p>
        </w:tc>
        <w:tc>
          <w:tcPr>
            <w:tcW w:w="1111" w:type="dxa"/>
            <w:tcBorders>
              <w:top w:val="single" w:sz="6" w:space="0" w:color="auto"/>
              <w:left w:val="single" w:sz="6" w:space="0" w:color="auto"/>
              <w:bottom w:val="nil"/>
              <w:right w:val="nil"/>
            </w:tcBorders>
            <w:noWrap/>
            <w:hideMark/>
          </w:tcPr>
          <w:p w14:paraId="38DD203C"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0,305</w:t>
            </w:r>
          </w:p>
        </w:tc>
        <w:tc>
          <w:tcPr>
            <w:tcW w:w="1110" w:type="dxa"/>
            <w:tcBorders>
              <w:top w:val="single" w:sz="6" w:space="0" w:color="auto"/>
              <w:left w:val="single" w:sz="6" w:space="0" w:color="auto"/>
              <w:bottom w:val="nil"/>
              <w:right w:val="nil"/>
            </w:tcBorders>
            <w:noWrap/>
            <w:hideMark/>
          </w:tcPr>
          <w:p w14:paraId="162A6F8C"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0,325</w:t>
            </w:r>
          </w:p>
        </w:tc>
        <w:tc>
          <w:tcPr>
            <w:tcW w:w="1111" w:type="dxa"/>
            <w:tcBorders>
              <w:top w:val="single" w:sz="6" w:space="0" w:color="auto"/>
              <w:left w:val="single" w:sz="6" w:space="0" w:color="auto"/>
              <w:bottom w:val="nil"/>
              <w:right w:val="single" w:sz="6" w:space="0" w:color="auto"/>
            </w:tcBorders>
            <w:noWrap/>
            <w:hideMark/>
          </w:tcPr>
          <w:p w14:paraId="750607DA"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0,375</w:t>
            </w:r>
          </w:p>
        </w:tc>
      </w:tr>
      <w:tr w:rsidR="0093341C" w:rsidRPr="001667DB" w14:paraId="3B81E3F2" w14:textId="77777777" w:rsidTr="0093341C">
        <w:tc>
          <w:tcPr>
            <w:tcW w:w="2601" w:type="dxa"/>
            <w:tcBorders>
              <w:top w:val="single" w:sz="6" w:space="0" w:color="auto"/>
              <w:left w:val="single" w:sz="6" w:space="0" w:color="auto"/>
              <w:bottom w:val="nil"/>
              <w:right w:val="nil"/>
            </w:tcBorders>
            <w:noWrap/>
            <w:hideMark/>
          </w:tcPr>
          <w:p w14:paraId="4DA013F6"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Oznakowanie żółte klasa Y1</w:t>
            </w:r>
          </w:p>
        </w:tc>
        <w:tc>
          <w:tcPr>
            <w:tcW w:w="425" w:type="dxa"/>
            <w:tcBorders>
              <w:top w:val="single" w:sz="6" w:space="0" w:color="auto"/>
              <w:left w:val="single" w:sz="6" w:space="0" w:color="auto"/>
              <w:bottom w:val="nil"/>
              <w:right w:val="nil"/>
            </w:tcBorders>
            <w:noWrap/>
            <w:hideMark/>
          </w:tcPr>
          <w:p w14:paraId="112A93CB"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x</w:t>
            </w:r>
          </w:p>
        </w:tc>
        <w:tc>
          <w:tcPr>
            <w:tcW w:w="1110" w:type="dxa"/>
            <w:tcBorders>
              <w:top w:val="single" w:sz="6" w:space="0" w:color="auto"/>
              <w:left w:val="single" w:sz="6" w:space="0" w:color="auto"/>
              <w:bottom w:val="nil"/>
              <w:right w:val="nil"/>
            </w:tcBorders>
            <w:noWrap/>
            <w:hideMark/>
          </w:tcPr>
          <w:p w14:paraId="29749AE7"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0,443</w:t>
            </w:r>
          </w:p>
        </w:tc>
        <w:tc>
          <w:tcPr>
            <w:tcW w:w="1111" w:type="dxa"/>
            <w:tcBorders>
              <w:top w:val="single" w:sz="6" w:space="0" w:color="auto"/>
              <w:left w:val="single" w:sz="6" w:space="0" w:color="auto"/>
              <w:bottom w:val="nil"/>
              <w:right w:val="nil"/>
            </w:tcBorders>
            <w:noWrap/>
            <w:hideMark/>
          </w:tcPr>
          <w:p w14:paraId="796766AF"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0,545</w:t>
            </w:r>
          </w:p>
        </w:tc>
        <w:tc>
          <w:tcPr>
            <w:tcW w:w="1110" w:type="dxa"/>
            <w:tcBorders>
              <w:top w:val="single" w:sz="6" w:space="0" w:color="auto"/>
              <w:left w:val="single" w:sz="6" w:space="0" w:color="auto"/>
              <w:bottom w:val="nil"/>
              <w:right w:val="nil"/>
            </w:tcBorders>
            <w:noWrap/>
            <w:hideMark/>
          </w:tcPr>
          <w:p w14:paraId="0EDB2E74"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0,465</w:t>
            </w:r>
          </w:p>
        </w:tc>
        <w:tc>
          <w:tcPr>
            <w:tcW w:w="1111" w:type="dxa"/>
            <w:tcBorders>
              <w:top w:val="single" w:sz="6" w:space="0" w:color="auto"/>
              <w:left w:val="single" w:sz="6" w:space="0" w:color="auto"/>
              <w:bottom w:val="nil"/>
              <w:right w:val="single" w:sz="6" w:space="0" w:color="auto"/>
            </w:tcBorders>
            <w:noWrap/>
            <w:hideMark/>
          </w:tcPr>
          <w:p w14:paraId="0991DAC1"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0,389</w:t>
            </w:r>
          </w:p>
        </w:tc>
      </w:tr>
      <w:tr w:rsidR="0093341C" w:rsidRPr="001667DB" w14:paraId="146064FB" w14:textId="77777777" w:rsidTr="0093341C">
        <w:tc>
          <w:tcPr>
            <w:tcW w:w="2601" w:type="dxa"/>
            <w:tcBorders>
              <w:top w:val="nil"/>
              <w:left w:val="single" w:sz="6" w:space="0" w:color="auto"/>
              <w:bottom w:val="single" w:sz="6" w:space="0" w:color="auto"/>
              <w:right w:val="nil"/>
            </w:tcBorders>
            <w:noWrap/>
          </w:tcPr>
          <w:p w14:paraId="01129FD9"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p>
        </w:tc>
        <w:tc>
          <w:tcPr>
            <w:tcW w:w="425" w:type="dxa"/>
            <w:tcBorders>
              <w:top w:val="single" w:sz="6" w:space="0" w:color="auto"/>
              <w:left w:val="single" w:sz="6" w:space="0" w:color="auto"/>
              <w:bottom w:val="single" w:sz="6" w:space="0" w:color="auto"/>
              <w:right w:val="nil"/>
            </w:tcBorders>
            <w:noWrap/>
            <w:hideMark/>
          </w:tcPr>
          <w:p w14:paraId="428AEEA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y</w:t>
            </w:r>
          </w:p>
        </w:tc>
        <w:tc>
          <w:tcPr>
            <w:tcW w:w="1110" w:type="dxa"/>
            <w:tcBorders>
              <w:top w:val="single" w:sz="6" w:space="0" w:color="auto"/>
              <w:left w:val="single" w:sz="6" w:space="0" w:color="auto"/>
              <w:bottom w:val="single" w:sz="6" w:space="0" w:color="auto"/>
              <w:right w:val="nil"/>
            </w:tcBorders>
            <w:noWrap/>
            <w:hideMark/>
          </w:tcPr>
          <w:p w14:paraId="66F20D3A"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0,399</w:t>
            </w:r>
          </w:p>
        </w:tc>
        <w:tc>
          <w:tcPr>
            <w:tcW w:w="1111" w:type="dxa"/>
            <w:tcBorders>
              <w:top w:val="single" w:sz="6" w:space="0" w:color="auto"/>
              <w:left w:val="single" w:sz="6" w:space="0" w:color="auto"/>
              <w:bottom w:val="single" w:sz="6" w:space="0" w:color="auto"/>
              <w:right w:val="nil"/>
            </w:tcBorders>
            <w:noWrap/>
            <w:hideMark/>
          </w:tcPr>
          <w:p w14:paraId="6EF254D7"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0,455</w:t>
            </w:r>
          </w:p>
        </w:tc>
        <w:tc>
          <w:tcPr>
            <w:tcW w:w="1110" w:type="dxa"/>
            <w:tcBorders>
              <w:top w:val="single" w:sz="6" w:space="0" w:color="auto"/>
              <w:left w:val="single" w:sz="6" w:space="0" w:color="auto"/>
              <w:bottom w:val="single" w:sz="6" w:space="0" w:color="auto"/>
              <w:right w:val="nil"/>
            </w:tcBorders>
            <w:noWrap/>
            <w:hideMark/>
          </w:tcPr>
          <w:p w14:paraId="61ADB616"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0,535</w:t>
            </w:r>
          </w:p>
        </w:tc>
        <w:tc>
          <w:tcPr>
            <w:tcW w:w="1111" w:type="dxa"/>
            <w:tcBorders>
              <w:top w:val="single" w:sz="6" w:space="0" w:color="auto"/>
              <w:left w:val="single" w:sz="6" w:space="0" w:color="auto"/>
              <w:bottom w:val="single" w:sz="6" w:space="0" w:color="auto"/>
              <w:right w:val="single" w:sz="6" w:space="0" w:color="auto"/>
            </w:tcBorders>
            <w:noWrap/>
            <w:hideMark/>
          </w:tcPr>
          <w:p w14:paraId="602F5F1A"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0,431</w:t>
            </w:r>
          </w:p>
        </w:tc>
      </w:tr>
      <w:tr w:rsidR="0093341C" w:rsidRPr="001667DB" w14:paraId="2DB0B7B9" w14:textId="77777777" w:rsidTr="0093341C">
        <w:tc>
          <w:tcPr>
            <w:tcW w:w="2601" w:type="dxa"/>
            <w:tcBorders>
              <w:top w:val="single" w:sz="6" w:space="0" w:color="auto"/>
              <w:left w:val="single" w:sz="6" w:space="0" w:color="auto"/>
              <w:bottom w:val="nil"/>
              <w:right w:val="nil"/>
            </w:tcBorders>
            <w:noWrap/>
            <w:hideMark/>
          </w:tcPr>
          <w:p w14:paraId="510EA050"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lastRenderedPageBreak/>
              <w:t>Oznakowanie żółte klasa Y2</w:t>
            </w:r>
          </w:p>
        </w:tc>
        <w:tc>
          <w:tcPr>
            <w:tcW w:w="425" w:type="dxa"/>
            <w:tcBorders>
              <w:top w:val="single" w:sz="6" w:space="0" w:color="auto"/>
              <w:left w:val="single" w:sz="6" w:space="0" w:color="auto"/>
              <w:bottom w:val="single" w:sz="4" w:space="0" w:color="auto"/>
              <w:right w:val="nil"/>
            </w:tcBorders>
            <w:noWrap/>
            <w:hideMark/>
          </w:tcPr>
          <w:p w14:paraId="39290091"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x</w:t>
            </w:r>
          </w:p>
        </w:tc>
        <w:tc>
          <w:tcPr>
            <w:tcW w:w="1110" w:type="dxa"/>
            <w:tcBorders>
              <w:top w:val="single" w:sz="6" w:space="0" w:color="auto"/>
              <w:left w:val="single" w:sz="6" w:space="0" w:color="auto"/>
              <w:bottom w:val="single" w:sz="4" w:space="0" w:color="auto"/>
              <w:right w:val="nil"/>
            </w:tcBorders>
            <w:noWrap/>
            <w:hideMark/>
          </w:tcPr>
          <w:p w14:paraId="75079CE7"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0,494</w:t>
            </w:r>
          </w:p>
        </w:tc>
        <w:tc>
          <w:tcPr>
            <w:tcW w:w="1111" w:type="dxa"/>
            <w:tcBorders>
              <w:top w:val="single" w:sz="6" w:space="0" w:color="auto"/>
              <w:left w:val="single" w:sz="6" w:space="0" w:color="auto"/>
              <w:bottom w:val="single" w:sz="4" w:space="0" w:color="auto"/>
              <w:right w:val="nil"/>
            </w:tcBorders>
            <w:noWrap/>
            <w:hideMark/>
          </w:tcPr>
          <w:p w14:paraId="401B4F24"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0,545</w:t>
            </w:r>
          </w:p>
        </w:tc>
        <w:tc>
          <w:tcPr>
            <w:tcW w:w="1110" w:type="dxa"/>
            <w:tcBorders>
              <w:top w:val="single" w:sz="6" w:space="0" w:color="auto"/>
              <w:left w:val="single" w:sz="6" w:space="0" w:color="auto"/>
              <w:bottom w:val="single" w:sz="4" w:space="0" w:color="auto"/>
              <w:right w:val="nil"/>
            </w:tcBorders>
            <w:noWrap/>
            <w:hideMark/>
          </w:tcPr>
          <w:p w14:paraId="72B7F06A"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0,465</w:t>
            </w:r>
          </w:p>
        </w:tc>
        <w:tc>
          <w:tcPr>
            <w:tcW w:w="1111" w:type="dxa"/>
            <w:tcBorders>
              <w:top w:val="single" w:sz="6" w:space="0" w:color="auto"/>
              <w:left w:val="single" w:sz="6" w:space="0" w:color="auto"/>
              <w:bottom w:val="single" w:sz="6" w:space="0" w:color="auto"/>
              <w:right w:val="single" w:sz="6" w:space="0" w:color="auto"/>
            </w:tcBorders>
            <w:noWrap/>
            <w:hideMark/>
          </w:tcPr>
          <w:p w14:paraId="158F18A2"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0,427</w:t>
            </w:r>
          </w:p>
        </w:tc>
      </w:tr>
      <w:tr w:rsidR="0093341C" w:rsidRPr="001667DB" w14:paraId="61803421" w14:textId="77777777" w:rsidTr="0093341C">
        <w:tc>
          <w:tcPr>
            <w:tcW w:w="2601" w:type="dxa"/>
            <w:tcBorders>
              <w:top w:val="nil"/>
              <w:left w:val="single" w:sz="6" w:space="0" w:color="auto"/>
              <w:bottom w:val="single" w:sz="6" w:space="0" w:color="auto"/>
              <w:right w:val="nil"/>
            </w:tcBorders>
            <w:noWrap/>
          </w:tcPr>
          <w:p w14:paraId="6F8508E0"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p>
        </w:tc>
        <w:tc>
          <w:tcPr>
            <w:tcW w:w="425" w:type="dxa"/>
            <w:tcBorders>
              <w:top w:val="single" w:sz="4" w:space="0" w:color="auto"/>
              <w:left w:val="single" w:sz="6" w:space="0" w:color="auto"/>
              <w:bottom w:val="single" w:sz="6" w:space="0" w:color="auto"/>
              <w:right w:val="nil"/>
            </w:tcBorders>
            <w:noWrap/>
            <w:hideMark/>
          </w:tcPr>
          <w:p w14:paraId="5DB25CF4"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y</w:t>
            </w:r>
          </w:p>
        </w:tc>
        <w:tc>
          <w:tcPr>
            <w:tcW w:w="1110" w:type="dxa"/>
            <w:tcBorders>
              <w:top w:val="single" w:sz="4" w:space="0" w:color="auto"/>
              <w:left w:val="single" w:sz="6" w:space="0" w:color="auto"/>
              <w:bottom w:val="single" w:sz="6" w:space="0" w:color="auto"/>
              <w:right w:val="nil"/>
            </w:tcBorders>
            <w:noWrap/>
            <w:hideMark/>
          </w:tcPr>
          <w:p w14:paraId="1EA4E5EB"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0,427</w:t>
            </w:r>
          </w:p>
        </w:tc>
        <w:tc>
          <w:tcPr>
            <w:tcW w:w="1111" w:type="dxa"/>
            <w:tcBorders>
              <w:top w:val="single" w:sz="4" w:space="0" w:color="auto"/>
              <w:left w:val="single" w:sz="6" w:space="0" w:color="auto"/>
              <w:bottom w:val="single" w:sz="6" w:space="0" w:color="auto"/>
              <w:right w:val="nil"/>
            </w:tcBorders>
            <w:noWrap/>
            <w:hideMark/>
          </w:tcPr>
          <w:p w14:paraId="371523B7"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0,455</w:t>
            </w:r>
          </w:p>
        </w:tc>
        <w:tc>
          <w:tcPr>
            <w:tcW w:w="1110" w:type="dxa"/>
            <w:tcBorders>
              <w:top w:val="single" w:sz="4" w:space="0" w:color="auto"/>
              <w:left w:val="single" w:sz="6" w:space="0" w:color="auto"/>
              <w:bottom w:val="single" w:sz="6" w:space="0" w:color="auto"/>
              <w:right w:val="nil"/>
            </w:tcBorders>
            <w:noWrap/>
            <w:hideMark/>
          </w:tcPr>
          <w:p w14:paraId="4107F7ED"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0,535</w:t>
            </w:r>
          </w:p>
        </w:tc>
        <w:tc>
          <w:tcPr>
            <w:tcW w:w="1111" w:type="dxa"/>
            <w:tcBorders>
              <w:top w:val="single" w:sz="6" w:space="0" w:color="auto"/>
              <w:left w:val="single" w:sz="6" w:space="0" w:color="auto"/>
              <w:bottom w:val="single" w:sz="6" w:space="0" w:color="auto"/>
              <w:right w:val="single" w:sz="6" w:space="0" w:color="auto"/>
            </w:tcBorders>
            <w:noWrap/>
            <w:hideMark/>
          </w:tcPr>
          <w:p w14:paraId="69BF0DC5"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lang w:val="en-US"/>
              </w:rPr>
              <w:t>0,483</w:t>
            </w:r>
          </w:p>
        </w:tc>
      </w:tr>
      <w:tr w:rsidR="0093341C" w:rsidRPr="001667DB" w14:paraId="39A2337C" w14:textId="77777777" w:rsidTr="0093341C">
        <w:tc>
          <w:tcPr>
            <w:tcW w:w="2601" w:type="dxa"/>
            <w:tcBorders>
              <w:top w:val="single" w:sz="6" w:space="0" w:color="auto"/>
              <w:left w:val="single" w:sz="6" w:space="0" w:color="auto"/>
              <w:bottom w:val="nil"/>
              <w:right w:val="nil"/>
            </w:tcBorders>
            <w:noWrap/>
            <w:hideMark/>
          </w:tcPr>
          <w:p w14:paraId="0E5CAF9B"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Oznakowanie czerwone</w:t>
            </w:r>
          </w:p>
        </w:tc>
        <w:tc>
          <w:tcPr>
            <w:tcW w:w="425" w:type="dxa"/>
            <w:tcBorders>
              <w:top w:val="single" w:sz="6" w:space="0" w:color="auto"/>
              <w:left w:val="single" w:sz="6" w:space="0" w:color="auto"/>
              <w:bottom w:val="nil"/>
              <w:right w:val="nil"/>
            </w:tcBorders>
            <w:noWrap/>
            <w:hideMark/>
          </w:tcPr>
          <w:p w14:paraId="14C98A14"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x</w:t>
            </w:r>
          </w:p>
        </w:tc>
        <w:tc>
          <w:tcPr>
            <w:tcW w:w="1110" w:type="dxa"/>
            <w:tcBorders>
              <w:top w:val="single" w:sz="6" w:space="0" w:color="auto"/>
              <w:left w:val="single" w:sz="6" w:space="0" w:color="auto"/>
              <w:bottom w:val="nil"/>
              <w:right w:val="nil"/>
            </w:tcBorders>
            <w:noWrap/>
            <w:hideMark/>
          </w:tcPr>
          <w:p w14:paraId="12C2E0A8"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0,690</w:t>
            </w:r>
          </w:p>
        </w:tc>
        <w:tc>
          <w:tcPr>
            <w:tcW w:w="1111" w:type="dxa"/>
            <w:tcBorders>
              <w:top w:val="single" w:sz="6" w:space="0" w:color="auto"/>
              <w:left w:val="single" w:sz="6" w:space="0" w:color="auto"/>
              <w:bottom w:val="nil"/>
              <w:right w:val="nil"/>
            </w:tcBorders>
            <w:noWrap/>
            <w:hideMark/>
          </w:tcPr>
          <w:p w14:paraId="59315A22"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0,530</w:t>
            </w:r>
          </w:p>
        </w:tc>
        <w:tc>
          <w:tcPr>
            <w:tcW w:w="1110" w:type="dxa"/>
            <w:tcBorders>
              <w:top w:val="single" w:sz="6" w:space="0" w:color="auto"/>
              <w:left w:val="single" w:sz="6" w:space="0" w:color="auto"/>
              <w:bottom w:val="nil"/>
              <w:right w:val="nil"/>
            </w:tcBorders>
            <w:noWrap/>
            <w:hideMark/>
          </w:tcPr>
          <w:p w14:paraId="555BA0AB"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0,495</w:t>
            </w:r>
          </w:p>
        </w:tc>
        <w:tc>
          <w:tcPr>
            <w:tcW w:w="1111" w:type="dxa"/>
            <w:tcBorders>
              <w:top w:val="single" w:sz="6" w:space="0" w:color="auto"/>
              <w:left w:val="single" w:sz="6" w:space="0" w:color="auto"/>
              <w:bottom w:val="nil"/>
              <w:right w:val="single" w:sz="6" w:space="0" w:color="auto"/>
            </w:tcBorders>
            <w:noWrap/>
            <w:hideMark/>
          </w:tcPr>
          <w:p w14:paraId="372FA38D"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0,655</w:t>
            </w:r>
          </w:p>
        </w:tc>
      </w:tr>
      <w:tr w:rsidR="0093341C" w:rsidRPr="001667DB" w14:paraId="2867E20A" w14:textId="77777777" w:rsidTr="0093341C">
        <w:tc>
          <w:tcPr>
            <w:tcW w:w="2601" w:type="dxa"/>
            <w:tcBorders>
              <w:top w:val="nil"/>
              <w:left w:val="single" w:sz="6" w:space="0" w:color="auto"/>
              <w:bottom w:val="single" w:sz="4" w:space="0" w:color="auto"/>
              <w:right w:val="nil"/>
            </w:tcBorders>
            <w:noWrap/>
          </w:tcPr>
          <w:p w14:paraId="1E9DFF08"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p>
        </w:tc>
        <w:tc>
          <w:tcPr>
            <w:tcW w:w="425" w:type="dxa"/>
            <w:tcBorders>
              <w:top w:val="single" w:sz="6" w:space="0" w:color="auto"/>
              <w:left w:val="single" w:sz="6" w:space="0" w:color="auto"/>
              <w:bottom w:val="single" w:sz="6" w:space="0" w:color="auto"/>
              <w:right w:val="nil"/>
            </w:tcBorders>
            <w:noWrap/>
            <w:hideMark/>
          </w:tcPr>
          <w:p w14:paraId="2E4D875C"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y</w:t>
            </w:r>
          </w:p>
        </w:tc>
        <w:tc>
          <w:tcPr>
            <w:tcW w:w="1110" w:type="dxa"/>
            <w:tcBorders>
              <w:top w:val="single" w:sz="6" w:space="0" w:color="auto"/>
              <w:left w:val="single" w:sz="6" w:space="0" w:color="auto"/>
              <w:bottom w:val="single" w:sz="6" w:space="0" w:color="auto"/>
              <w:right w:val="nil"/>
            </w:tcBorders>
            <w:noWrap/>
            <w:hideMark/>
          </w:tcPr>
          <w:p w14:paraId="6F4EA9C3"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0,310</w:t>
            </w:r>
          </w:p>
        </w:tc>
        <w:tc>
          <w:tcPr>
            <w:tcW w:w="1111" w:type="dxa"/>
            <w:tcBorders>
              <w:top w:val="single" w:sz="6" w:space="0" w:color="auto"/>
              <w:left w:val="single" w:sz="6" w:space="0" w:color="auto"/>
              <w:bottom w:val="single" w:sz="6" w:space="0" w:color="auto"/>
              <w:right w:val="nil"/>
            </w:tcBorders>
            <w:noWrap/>
            <w:hideMark/>
          </w:tcPr>
          <w:p w14:paraId="37D399C6"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0,300</w:t>
            </w:r>
          </w:p>
        </w:tc>
        <w:tc>
          <w:tcPr>
            <w:tcW w:w="1110" w:type="dxa"/>
            <w:tcBorders>
              <w:top w:val="single" w:sz="6" w:space="0" w:color="auto"/>
              <w:left w:val="single" w:sz="6" w:space="0" w:color="auto"/>
              <w:bottom w:val="single" w:sz="6" w:space="0" w:color="auto"/>
              <w:right w:val="nil"/>
            </w:tcBorders>
            <w:noWrap/>
            <w:hideMark/>
          </w:tcPr>
          <w:p w14:paraId="4BBF0530"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0,335</w:t>
            </w:r>
          </w:p>
        </w:tc>
        <w:tc>
          <w:tcPr>
            <w:tcW w:w="1111" w:type="dxa"/>
            <w:tcBorders>
              <w:top w:val="single" w:sz="6" w:space="0" w:color="auto"/>
              <w:left w:val="single" w:sz="6" w:space="0" w:color="auto"/>
              <w:bottom w:val="single" w:sz="6" w:space="0" w:color="auto"/>
              <w:right w:val="single" w:sz="6" w:space="0" w:color="auto"/>
            </w:tcBorders>
            <w:noWrap/>
            <w:hideMark/>
          </w:tcPr>
          <w:p w14:paraId="7A36EE7B"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0,345</w:t>
            </w:r>
          </w:p>
        </w:tc>
      </w:tr>
      <w:tr w:rsidR="0093341C" w:rsidRPr="001667DB" w14:paraId="5D59161A" w14:textId="77777777" w:rsidTr="0093341C">
        <w:tc>
          <w:tcPr>
            <w:tcW w:w="2601" w:type="dxa"/>
            <w:tcBorders>
              <w:top w:val="nil"/>
              <w:left w:val="single" w:sz="6" w:space="0" w:color="auto"/>
              <w:bottom w:val="nil"/>
              <w:right w:val="nil"/>
            </w:tcBorders>
            <w:noWrap/>
            <w:hideMark/>
          </w:tcPr>
          <w:p w14:paraId="34576F21" w14:textId="77777777" w:rsidR="0093341C" w:rsidRPr="001667DB" w:rsidRDefault="0093341C" w:rsidP="0093341C">
            <w:pPr>
              <w:pStyle w:val="Stopka"/>
              <w:tabs>
                <w:tab w:val="left" w:pos="-720"/>
              </w:tabs>
              <w:suppressAutoHyphens/>
              <w:spacing w:line="276" w:lineRule="auto"/>
              <w:rPr>
                <w:color w:val="000000" w:themeColor="text1"/>
                <w:spacing w:val="-3"/>
                <w:sz w:val="22"/>
              </w:rPr>
            </w:pPr>
            <w:r w:rsidRPr="001667DB">
              <w:rPr>
                <w:color w:val="000000" w:themeColor="text1"/>
                <w:spacing w:val="-3"/>
                <w:sz w:val="22"/>
              </w:rPr>
              <w:t>Oznakowanie niebieskie</w:t>
            </w:r>
          </w:p>
        </w:tc>
        <w:tc>
          <w:tcPr>
            <w:tcW w:w="425" w:type="dxa"/>
            <w:tcBorders>
              <w:top w:val="single" w:sz="6" w:space="0" w:color="auto"/>
              <w:left w:val="single" w:sz="6" w:space="0" w:color="auto"/>
              <w:bottom w:val="single" w:sz="6" w:space="0" w:color="auto"/>
              <w:right w:val="nil"/>
            </w:tcBorders>
            <w:noWrap/>
            <w:hideMark/>
          </w:tcPr>
          <w:p w14:paraId="194F0222"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x</w:t>
            </w:r>
          </w:p>
        </w:tc>
        <w:tc>
          <w:tcPr>
            <w:tcW w:w="1110" w:type="dxa"/>
            <w:tcBorders>
              <w:top w:val="single" w:sz="6" w:space="0" w:color="auto"/>
              <w:left w:val="single" w:sz="6" w:space="0" w:color="auto"/>
              <w:bottom w:val="single" w:sz="6" w:space="0" w:color="auto"/>
              <w:right w:val="nil"/>
            </w:tcBorders>
            <w:noWrap/>
            <w:hideMark/>
          </w:tcPr>
          <w:p w14:paraId="07118E39"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0,078</w:t>
            </w:r>
          </w:p>
        </w:tc>
        <w:tc>
          <w:tcPr>
            <w:tcW w:w="1111" w:type="dxa"/>
            <w:tcBorders>
              <w:top w:val="single" w:sz="6" w:space="0" w:color="auto"/>
              <w:left w:val="single" w:sz="6" w:space="0" w:color="auto"/>
              <w:bottom w:val="single" w:sz="6" w:space="0" w:color="auto"/>
              <w:right w:val="nil"/>
            </w:tcBorders>
            <w:noWrap/>
            <w:hideMark/>
          </w:tcPr>
          <w:p w14:paraId="4789D934"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0,200</w:t>
            </w:r>
          </w:p>
        </w:tc>
        <w:tc>
          <w:tcPr>
            <w:tcW w:w="1110" w:type="dxa"/>
            <w:tcBorders>
              <w:top w:val="single" w:sz="6" w:space="0" w:color="auto"/>
              <w:left w:val="single" w:sz="6" w:space="0" w:color="auto"/>
              <w:bottom w:val="single" w:sz="6" w:space="0" w:color="auto"/>
              <w:right w:val="nil"/>
            </w:tcBorders>
            <w:noWrap/>
            <w:hideMark/>
          </w:tcPr>
          <w:p w14:paraId="0E5E7816"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0,240</w:t>
            </w:r>
          </w:p>
        </w:tc>
        <w:tc>
          <w:tcPr>
            <w:tcW w:w="1111" w:type="dxa"/>
            <w:tcBorders>
              <w:top w:val="single" w:sz="6" w:space="0" w:color="auto"/>
              <w:left w:val="single" w:sz="6" w:space="0" w:color="auto"/>
              <w:bottom w:val="single" w:sz="6" w:space="0" w:color="auto"/>
              <w:right w:val="single" w:sz="6" w:space="0" w:color="auto"/>
            </w:tcBorders>
            <w:noWrap/>
            <w:hideMark/>
          </w:tcPr>
          <w:p w14:paraId="59318F73"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0,137</w:t>
            </w:r>
          </w:p>
        </w:tc>
      </w:tr>
      <w:tr w:rsidR="0093341C" w:rsidRPr="001667DB" w14:paraId="5FEC3A86" w14:textId="77777777" w:rsidTr="0093341C">
        <w:tc>
          <w:tcPr>
            <w:tcW w:w="2601" w:type="dxa"/>
            <w:tcBorders>
              <w:top w:val="nil"/>
              <w:left w:val="single" w:sz="6" w:space="0" w:color="auto"/>
              <w:bottom w:val="single" w:sz="4" w:space="0" w:color="auto"/>
              <w:right w:val="nil"/>
            </w:tcBorders>
            <w:noWrap/>
          </w:tcPr>
          <w:p w14:paraId="3DB1CFCB" w14:textId="77777777" w:rsidR="0093341C" w:rsidRPr="001667DB" w:rsidRDefault="0093341C" w:rsidP="0093341C">
            <w:pPr>
              <w:tabs>
                <w:tab w:val="left" w:pos="-720"/>
              </w:tabs>
              <w:suppressAutoHyphens/>
              <w:overflowPunct w:val="0"/>
              <w:autoSpaceDE w:val="0"/>
              <w:autoSpaceDN w:val="0"/>
              <w:adjustRightInd w:val="0"/>
              <w:spacing w:line="276" w:lineRule="auto"/>
              <w:rPr>
                <w:rFonts w:ascii="Times New Roman" w:hAnsi="Times New Roman" w:cs="Times New Roman"/>
                <w:color w:val="000000" w:themeColor="text1"/>
                <w:spacing w:val="-3"/>
              </w:rPr>
            </w:pPr>
          </w:p>
        </w:tc>
        <w:tc>
          <w:tcPr>
            <w:tcW w:w="425" w:type="dxa"/>
            <w:tcBorders>
              <w:top w:val="single" w:sz="6" w:space="0" w:color="auto"/>
              <w:left w:val="single" w:sz="6" w:space="0" w:color="auto"/>
              <w:bottom w:val="single" w:sz="6" w:space="0" w:color="auto"/>
              <w:right w:val="nil"/>
            </w:tcBorders>
            <w:noWrap/>
            <w:hideMark/>
          </w:tcPr>
          <w:p w14:paraId="697D6B3F"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y</w:t>
            </w:r>
          </w:p>
        </w:tc>
        <w:tc>
          <w:tcPr>
            <w:tcW w:w="1110" w:type="dxa"/>
            <w:tcBorders>
              <w:top w:val="single" w:sz="6" w:space="0" w:color="auto"/>
              <w:left w:val="single" w:sz="6" w:space="0" w:color="auto"/>
              <w:bottom w:val="single" w:sz="6" w:space="0" w:color="auto"/>
              <w:right w:val="nil"/>
            </w:tcBorders>
            <w:noWrap/>
            <w:hideMark/>
          </w:tcPr>
          <w:p w14:paraId="0B883B30"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0,171</w:t>
            </w:r>
          </w:p>
        </w:tc>
        <w:tc>
          <w:tcPr>
            <w:tcW w:w="1111" w:type="dxa"/>
            <w:tcBorders>
              <w:top w:val="single" w:sz="6" w:space="0" w:color="auto"/>
              <w:left w:val="single" w:sz="6" w:space="0" w:color="auto"/>
              <w:bottom w:val="single" w:sz="6" w:space="0" w:color="auto"/>
              <w:right w:val="nil"/>
            </w:tcBorders>
            <w:noWrap/>
            <w:hideMark/>
          </w:tcPr>
          <w:p w14:paraId="0453581D"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0,255</w:t>
            </w:r>
          </w:p>
        </w:tc>
        <w:tc>
          <w:tcPr>
            <w:tcW w:w="1110" w:type="dxa"/>
            <w:tcBorders>
              <w:top w:val="single" w:sz="6" w:space="0" w:color="auto"/>
              <w:left w:val="single" w:sz="6" w:space="0" w:color="auto"/>
              <w:bottom w:val="single" w:sz="6" w:space="0" w:color="auto"/>
              <w:right w:val="nil"/>
            </w:tcBorders>
            <w:noWrap/>
            <w:hideMark/>
          </w:tcPr>
          <w:p w14:paraId="0C680271"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0,210</w:t>
            </w:r>
          </w:p>
        </w:tc>
        <w:tc>
          <w:tcPr>
            <w:tcW w:w="1111" w:type="dxa"/>
            <w:tcBorders>
              <w:top w:val="single" w:sz="6" w:space="0" w:color="auto"/>
              <w:left w:val="single" w:sz="6" w:space="0" w:color="auto"/>
              <w:bottom w:val="single" w:sz="6" w:space="0" w:color="auto"/>
              <w:right w:val="single" w:sz="6" w:space="0" w:color="auto"/>
            </w:tcBorders>
            <w:noWrap/>
            <w:hideMark/>
          </w:tcPr>
          <w:p w14:paraId="0D325B7B" w14:textId="77777777" w:rsidR="0093341C" w:rsidRPr="001667DB" w:rsidRDefault="0093341C" w:rsidP="0093341C">
            <w:pPr>
              <w:tabs>
                <w:tab w:val="left" w:pos="-720"/>
              </w:tabs>
              <w:suppressAutoHyphens/>
              <w:overflowPunct w:val="0"/>
              <w:autoSpaceDE w:val="0"/>
              <w:autoSpaceDN w:val="0"/>
              <w:adjustRightInd w:val="0"/>
              <w:spacing w:line="276" w:lineRule="auto"/>
              <w:jc w:val="center"/>
              <w:rPr>
                <w:rFonts w:ascii="Times New Roman" w:hAnsi="Times New Roman" w:cs="Times New Roman"/>
                <w:color w:val="000000" w:themeColor="text1"/>
                <w:spacing w:val="-3"/>
              </w:rPr>
            </w:pPr>
            <w:r w:rsidRPr="001667DB">
              <w:rPr>
                <w:rFonts w:ascii="Times New Roman" w:hAnsi="Times New Roman" w:cs="Times New Roman"/>
                <w:color w:val="000000" w:themeColor="text1"/>
                <w:spacing w:val="-3"/>
              </w:rPr>
              <w:t>0,038</w:t>
            </w:r>
          </w:p>
        </w:tc>
      </w:tr>
    </w:tbl>
    <w:p w14:paraId="048E1368" w14:textId="77777777" w:rsidR="0093341C" w:rsidRPr="001667DB" w:rsidRDefault="0093341C" w:rsidP="0093341C">
      <w:pPr>
        <w:pStyle w:val="Stopka"/>
        <w:numPr>
          <w:ilvl w:val="12"/>
          <w:numId w:val="0"/>
        </w:numPr>
        <w:tabs>
          <w:tab w:val="left" w:pos="709"/>
        </w:tabs>
        <w:spacing w:line="276" w:lineRule="auto"/>
        <w:rPr>
          <w:noProof/>
          <w:color w:val="000000" w:themeColor="text1"/>
          <w:sz w:val="22"/>
        </w:rPr>
      </w:pPr>
    </w:p>
    <w:p w14:paraId="598B1F66" w14:textId="77777777" w:rsidR="0093341C" w:rsidRPr="001667DB" w:rsidRDefault="00AB678D" w:rsidP="0093341C">
      <w:pPr>
        <w:numPr>
          <w:ilvl w:val="12"/>
          <w:numId w:val="0"/>
        </w:numPr>
        <w:spacing w:line="276" w:lineRule="auto"/>
        <w:jc w:val="center"/>
        <w:rPr>
          <w:rFonts w:ascii="Times New Roman" w:hAnsi="Times New Roman" w:cs="Times New Roman"/>
          <w:color w:val="000000" w:themeColor="text1"/>
        </w:rPr>
      </w:pPr>
      <w:r>
        <w:rPr>
          <w:rFonts w:ascii="Times New Roman" w:hAnsi="Times New Roman" w:cs="Times New Roman"/>
          <w:color w:val="000000" w:themeColor="text1"/>
        </w:rPr>
        <w:pict w14:anchorId="4769BA9C">
          <v:shape id="_x0000_i1034" type="#_x0000_t75" style="width:238.5pt;height:201.75pt">
            <v:imagedata r:id="rId43" o:title="rys1"/>
          </v:shape>
        </w:pict>
      </w:r>
    </w:p>
    <w:p w14:paraId="494062BF"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Rys. 1. Współrzędne chromatyczności x,y dla barwy białej oznakowania</w:t>
      </w:r>
    </w:p>
    <w:p w14:paraId="4619194B"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p>
    <w:p w14:paraId="4BEC3F44" w14:textId="77777777" w:rsidR="0093341C" w:rsidRPr="001667DB" w:rsidRDefault="00AB678D" w:rsidP="0093341C">
      <w:pPr>
        <w:numPr>
          <w:ilvl w:val="12"/>
          <w:numId w:val="0"/>
        </w:numPr>
        <w:spacing w:line="276" w:lineRule="auto"/>
        <w:jc w:val="center"/>
        <w:rPr>
          <w:rFonts w:ascii="Times New Roman" w:hAnsi="Times New Roman" w:cs="Times New Roman"/>
          <w:color w:val="000000" w:themeColor="text1"/>
        </w:rPr>
      </w:pPr>
      <w:r>
        <w:rPr>
          <w:rFonts w:ascii="Times New Roman" w:hAnsi="Times New Roman" w:cs="Times New Roman"/>
          <w:color w:val="000000" w:themeColor="text1"/>
        </w:rPr>
        <w:pict w14:anchorId="3E28D7C0">
          <v:shape id="_x0000_i1035" type="#_x0000_t75" style="width:244.5pt;height:208.5pt">
            <v:imagedata r:id="rId44" o:title="rys2"/>
          </v:shape>
        </w:pict>
      </w:r>
    </w:p>
    <w:p w14:paraId="4143F88F"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Rys.2. Współrzędne chromatyczności x,y dla barwy żółtej oznakowania</w:t>
      </w:r>
    </w:p>
    <w:p w14:paraId="67A34C28" w14:textId="77777777" w:rsidR="0093341C" w:rsidRPr="001667DB" w:rsidRDefault="00AB678D" w:rsidP="0093341C">
      <w:pPr>
        <w:numPr>
          <w:ilvl w:val="12"/>
          <w:numId w:val="0"/>
        </w:numPr>
        <w:spacing w:line="276" w:lineRule="auto"/>
        <w:rPr>
          <w:rFonts w:ascii="Times New Roman" w:hAnsi="Times New Roman" w:cs="Times New Roman"/>
          <w:color w:val="000000" w:themeColor="text1"/>
        </w:rPr>
      </w:pPr>
      <w:r>
        <w:rPr>
          <w:rFonts w:ascii="Times New Roman" w:hAnsi="Times New Roman" w:cs="Times New Roman"/>
          <w:color w:val="000000" w:themeColor="text1"/>
        </w:rPr>
        <w:lastRenderedPageBreak/>
        <w:pict w14:anchorId="3FE9BBDD">
          <v:shape id="_x0000_s1127" type="#_x0000_t75" style="position:absolute;margin-left:23.25pt;margin-top:11.5pt;width:329pt;height:353.05pt;z-index:251691008" fillcolor="window">
            <v:imagedata r:id="rId45" o:title=""/>
            <w10:wrap type="topAndBottom"/>
          </v:shape>
        </w:pict>
      </w:r>
    </w:p>
    <w:p w14:paraId="7EAD7BEF" w14:textId="77777777" w:rsidR="0093341C" w:rsidRPr="001667DB" w:rsidRDefault="0093341C" w:rsidP="00AA7AC8">
      <w:pPr>
        <w:pStyle w:val="Tekstkomentarza"/>
        <w:suppressAutoHyphens/>
        <w:spacing w:before="0" w:line="276" w:lineRule="auto"/>
        <w:rPr>
          <w:color w:val="000000" w:themeColor="text1"/>
          <w:sz w:val="22"/>
          <w:szCs w:val="22"/>
        </w:rPr>
      </w:pPr>
      <w:r w:rsidRPr="001667DB">
        <w:rPr>
          <w:color w:val="000000" w:themeColor="text1"/>
          <w:sz w:val="22"/>
          <w:szCs w:val="22"/>
        </w:rPr>
        <w:t>Rys. 3. Granice barw białej, żółtej, czerwonej, niebieskiej i zielonej oznakowania</w:t>
      </w:r>
    </w:p>
    <w:p w14:paraId="6078851F"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Pomiar współczynnika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może być zastąpiony pomiarem współczynnika luminancji w świetle rozproszonym Qd, wg PN-EN 1436 [4] lub wg POD-97 [9] i POD-2006 (po wydaniu) [10].</w:t>
      </w:r>
    </w:p>
    <w:p w14:paraId="0A97D580"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 określenia odbicia światła dziennego lub odbicia oświetlenia drogi od oznakowania stosuje się współczynnik luminancji w świetle rozproszonym Qd. </w:t>
      </w:r>
    </w:p>
    <w:p w14:paraId="7DE63DCD"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Wartość współczynnika Qd dla oznakowania nowego w ciągu 14 - 30 dni po wykonaniu powinna wynosić dla oznakowania świeżego, barwy:</w:t>
      </w:r>
    </w:p>
    <w:p w14:paraId="04DDEB6B"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co najmniej 130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(nawierzchnie asfaltowe), klasa Q3,</w:t>
      </w:r>
    </w:p>
    <w:p w14:paraId="509D2AC8"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co najmniej 160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(nawierzchnie betonowe), klasa Q4,</w:t>
      </w:r>
    </w:p>
    <w:p w14:paraId="387F1C5D"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co najmniej 100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Q2,</w:t>
      </w:r>
    </w:p>
    <w:p w14:paraId="7F6FF03A"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Wartość współczynnika Qd powinna wynosić dla oznakowania eksploatowanego po 30 dniu od wykonania, w ciągu całego okresu użytkowania,  barwy:</w:t>
      </w:r>
    </w:p>
    <w:p w14:paraId="045FD61D"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co najmniej 100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(nawierzchnie asfaltowe), klasa Q2,</w:t>
      </w:r>
    </w:p>
    <w:p w14:paraId="6BA5BF85"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co najmniej 130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(nawierzchnie betonowe), klasa Q3,</w:t>
      </w:r>
    </w:p>
    <w:p w14:paraId="50B138DE"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co najmniej 80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Q1.</w:t>
      </w:r>
    </w:p>
    <w:p w14:paraId="39DF77B0"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6.3.1.3. Widzialność w nocy</w:t>
      </w:r>
    </w:p>
    <w:p w14:paraId="4CFF6903"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 miarę widzialności w nocy przyjęto powierzchniowy 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określany według PN-EN 1436 [4] z uwzględnieniem podziału na klasy.</w:t>
      </w:r>
    </w:p>
    <w:p w14:paraId="7D6C7C44"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Wartość współczynnika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powinna wynosić dla oznakowania nowego (w stanie suchym) w ciągu 14 - 30 dni po wykonaniu, barwy:</w:t>
      </w:r>
    </w:p>
    <w:p w14:paraId="45E83749"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białej, na autostradach, drogach ekspresowych oraz na drogach o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lub o natężeniu ruchu &gt; 2 500 pojazdów rzeczywistych na dobę na pas, co najmniej 250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R4/5,</w:t>
      </w:r>
    </w:p>
    <w:p w14:paraId="789DCBA6"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pozostałych drogach, co najmniej 200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R4,</w:t>
      </w:r>
    </w:p>
    <w:p w14:paraId="589AA13B"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tymczasowej, co najmniej 150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R3,</w:t>
      </w:r>
    </w:p>
    <w:p w14:paraId="3F282D13"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Wartość współczynnika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powinna wynosić dla oznakowania eksploatowanego w ciągu od 2 do 6 miesięcy po wykonaniu,  barwy:</w:t>
      </w:r>
    </w:p>
    <w:p w14:paraId="0356072D"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białej, na autostradach, drogach ekspresowych oraz na drogach o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lub o natężeniu ruchu &gt; 2 500 pojazdów rzeczywistych na dobę na pas, co najmniej 200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R4,</w:t>
      </w:r>
    </w:p>
    <w:p w14:paraId="165DF196"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pozostałych drogach, co najmniej 150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klasa R3</w:t>
      </w:r>
    </w:p>
    <w:p w14:paraId="2D09CFB9"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tymczasowej, co najmniej 100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 klasa R2.</w:t>
      </w:r>
    </w:p>
    <w:p w14:paraId="6C72C9F1"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Wartość współczynnika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powinna wynosić dla oznakowania eksploatowanego od 7 miesiąca po wykonaniu,  barwy:</w:t>
      </w:r>
    </w:p>
    <w:p w14:paraId="0ABA054F"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białej, na autostradach, drogach ekspresowych oraz na drogach o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lub o natężeniu ruchu &gt; 2 500 pojazdów rzeczywistych na dobę na pas, co najmniej 150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 klasa R3,</w:t>
      </w:r>
    </w:p>
    <w:p w14:paraId="1D6A6AC3"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na pozostałych drogach, co najmniej 100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 klasa R2,</w:t>
      </w:r>
    </w:p>
    <w:p w14:paraId="168E841F"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żółtej tymczasowej, co najmniej 100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 klasa R2.</w:t>
      </w:r>
    </w:p>
    <w:p w14:paraId="746F6576"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 nawierzchniach o grubej makroteksturze, takich jak: powierzchniowe utrwalanie oraz na nawierzchniach niejednorodnych można wyjątkowo, tylko na drogach określonych w tablicy 5, dopuścić wartość współczynnika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 70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 klasa R1 dla oznakowania cienkowarstwowego eksploatowanego od 6 miesiąca po wykonaniu.</w:t>
      </w:r>
    </w:p>
    <w:p w14:paraId="709455A7"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Na nawierzchniach nowych lub odnowionych z warstwą ścieralną z SMA zaleca się stosować materiały grubowarstwowe.</w:t>
      </w:r>
    </w:p>
    <w:p w14:paraId="05A6D631"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szczególnie uzasadnionych przypadkach możliwe jest ustalenie w ST wyższych klas wymagań wg PN-EN 1436 [4].</w:t>
      </w:r>
    </w:p>
    <w:p w14:paraId="6C73C647"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Wartość współczynnika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powinna wynosić dla oznakowania profilowanego, nowego (w stanie wilgotnym) i eksploatowanego w okresie gwarancji wg PN-EN 1436 [4] zmierzona od 14 do 30 dni po wykonaniu, barwy:</w:t>
      </w:r>
    </w:p>
    <w:p w14:paraId="308A7FA4"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białej, co najmniej 50 mcd m</w:t>
      </w:r>
      <w:r w:rsidRPr="001667DB">
        <w:rPr>
          <w:rFonts w:ascii="Times New Roman" w:hAnsi="Times New Roman" w:cs="Times New Roman"/>
          <w:color w:val="000000" w:themeColor="text1"/>
          <w:vertAlign w:val="superscript"/>
        </w:rPr>
        <w:t>-2 </w:t>
      </w:r>
      <w:r w:rsidRPr="001667DB">
        <w:rPr>
          <w:rFonts w:ascii="Times New Roman" w:hAnsi="Times New Roman" w:cs="Times New Roman"/>
          <w:color w:val="000000" w:themeColor="text1"/>
        </w:rPr>
        <w:t>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klasa </w:t>
      </w:r>
      <w:r w:rsidRPr="001667DB">
        <w:rPr>
          <w:rFonts w:ascii="Times New Roman" w:hAnsi="Times New Roman" w:cs="Times New Roman"/>
          <w:color w:val="000000" w:themeColor="text1"/>
          <w:spacing w:val="-3"/>
        </w:rPr>
        <w:t>RW3</w:t>
      </w:r>
      <w:r w:rsidRPr="001667DB">
        <w:rPr>
          <w:rFonts w:ascii="Times New Roman" w:hAnsi="Times New Roman" w:cs="Times New Roman"/>
          <w:color w:val="000000" w:themeColor="text1"/>
        </w:rPr>
        <w:t>,</w:t>
      </w:r>
    </w:p>
    <w:p w14:paraId="4C4F7525"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 okresie eksploatacji co najmniej 35 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 xml:space="preserve">, klasa </w:t>
      </w:r>
      <w:r w:rsidRPr="001667DB">
        <w:rPr>
          <w:rFonts w:ascii="Times New Roman" w:hAnsi="Times New Roman" w:cs="Times New Roman"/>
          <w:color w:val="000000" w:themeColor="text1"/>
          <w:spacing w:val="-3"/>
        </w:rPr>
        <w:t>RW2.</w:t>
      </w:r>
    </w:p>
    <w:p w14:paraId="1F4DD99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Powyższe wymaganie dotyczy jedynie oznakowań profilowanych, takich jak oznakowanie strukturalne wykonywane masami termoplastycznymi, masami chemoutwardzalnymi i taśmami w postaci np. poprzecznych wygarbień (baretek), drop-on-line, itp.</w:t>
      </w:r>
    </w:p>
    <w:p w14:paraId="08A25FB0"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Wykonywanie pomiarów na oznakowaniu ciągłym z naniesionymi wygarbieniami może być wykonywane tylko metoda dynamiczną. Pomiar aparatami ręcznymi jest albo niemożliwy albo obciążony dużym błędem.</w:t>
      </w:r>
    </w:p>
    <w:p w14:paraId="583D9BE2"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Wykonywanie pomiarów odblaskowości na pozostałych typach oznakowania strukturalnego, z uwagi na jego niecałkowite i niejednorodne pokrycie powierzchni oznakowania, jest obarczone </w:t>
      </w:r>
      <w:r w:rsidRPr="001667DB">
        <w:rPr>
          <w:rFonts w:ascii="Times New Roman" w:hAnsi="Times New Roman" w:cs="Times New Roman"/>
          <w:color w:val="000000" w:themeColor="text1"/>
        </w:rPr>
        <w:lastRenderedPageBreak/>
        <w:t>większym błędem niż na oznakowaniach pełnych. Dlatego podczas odbioru czy kontroli, należy przyjąć jako dopuszczalne wartości współczynnika odblasku o 20 % niższe od przyjętych w ST.</w:t>
      </w:r>
    </w:p>
    <w:p w14:paraId="4E9208BD" w14:textId="77777777" w:rsidR="0093341C" w:rsidRPr="001667DB" w:rsidRDefault="0093341C" w:rsidP="00AA7AC8">
      <w:pPr>
        <w:pStyle w:val="Stopka"/>
        <w:numPr>
          <w:ilvl w:val="12"/>
          <w:numId w:val="0"/>
        </w:numPr>
        <w:tabs>
          <w:tab w:val="left" w:pos="709"/>
        </w:tabs>
        <w:spacing w:line="276" w:lineRule="auto"/>
        <w:rPr>
          <w:color w:val="000000" w:themeColor="text1"/>
          <w:sz w:val="22"/>
        </w:rPr>
      </w:pPr>
      <w:r w:rsidRPr="001667DB">
        <w:rPr>
          <w:color w:val="000000" w:themeColor="text1"/>
          <w:sz w:val="22"/>
        </w:rPr>
        <w:t>6.3.1.4. Szorstkość oznakowania</w:t>
      </w:r>
    </w:p>
    <w:p w14:paraId="53661A1E"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Miarą szorstkości oznakowania jest wartość wskaźnika szorstkości SRT (Skid Resistance Tester) mierzona wahadłem angielskim, wg PN-EN 1436 [4] lub POD-97 [9] i POD-2006 (po wydaniu) [10]. Wartość SRT symuluje warunki, w których pojazd wyposażony w typowe opony hamuje z blokadą kół przy prędkości </w:t>
      </w:r>
      <w:smartTag w:uri="urn:schemas-microsoft-com:office:smarttags" w:element="metricconverter">
        <w:smartTagPr>
          <w:attr w:name="ProductID" w:val="50 km/h"/>
        </w:smartTagPr>
        <w:r w:rsidRPr="001667DB">
          <w:rPr>
            <w:rFonts w:ascii="Times New Roman" w:hAnsi="Times New Roman" w:cs="Times New Roman"/>
            <w:color w:val="000000" w:themeColor="text1"/>
          </w:rPr>
          <w:t>50 km/h</w:t>
        </w:r>
      </w:smartTag>
      <w:r w:rsidRPr="001667DB">
        <w:rPr>
          <w:rFonts w:ascii="Times New Roman" w:hAnsi="Times New Roman" w:cs="Times New Roman"/>
          <w:color w:val="000000" w:themeColor="text1"/>
        </w:rPr>
        <w:t xml:space="preserve"> na mokrej nawierzchni.</w:t>
      </w:r>
    </w:p>
    <w:p w14:paraId="0F04DA7A"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 się, aby wartość wskaźnika szorstkości SRT wynosiła na oznakowaniu:</w:t>
      </w:r>
    </w:p>
    <w:p w14:paraId="483E2B2C"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 ciągu całego okresu użytkowania, co najmniej 45 jednostek SRT (klasa S1).</w:t>
      </w:r>
    </w:p>
    <w:p w14:paraId="140B2150"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Dopuszcza się podwyższenie w ST wymagania szorstkości do 50 – 60 jednostek SRT (klasy S2 – S3), w uzasadnionych przypadkach. Uzyskanie większej szorstkości oznakowania, wiąże się z zastosowaniem kruszywa przeciwpoślizgowego samego lub w mieszaninie z kulkami szklanymi wg PN-EN 1423:2001 [3]. Należy przy tym wziąć pod uwagę jednoczesne obniżenie wartości współczynnika luminancji i współczynnika odblasku.</w:t>
      </w:r>
    </w:p>
    <w:p w14:paraId="0A09A3E0"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Szorstkość oznakowania, na którym nie zastosowano kruszywa przeciwpoślizgowego, zazwyczaj wzrasta w okresie eksploatacji oznakowania, dlatego nie należy wymagać wyższej jego wartości na starcie, a niższej w okresie gwarancji.</w:t>
      </w:r>
    </w:p>
    <w:p w14:paraId="2EE0897D"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Wykonywanie pomiarów wskaźnika szorstkości SRT dotyczy oznakowań jednolitych, płaskich, wykonanych farbami, masami termoplastycznymi, masami chemoutwardzalnymi i taśmami. Pomiar na oznakowaniu strukturalnym jest, jeśli możliwy, to nie miarodajny. W przypadku oznakowania z wygarbieniami i punktowymi elementami odblaskowymi pomiar nie jest możliwy.</w:t>
      </w:r>
    </w:p>
    <w:p w14:paraId="77075454"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u w:val="single"/>
        </w:rPr>
      </w:pPr>
      <w:r w:rsidRPr="001667DB">
        <w:rPr>
          <w:rFonts w:ascii="Times New Roman" w:hAnsi="Times New Roman" w:cs="Times New Roman"/>
          <w:color w:val="000000" w:themeColor="text1"/>
          <w:u w:val="single"/>
        </w:rPr>
        <w:t>UWAGA: Wskaźnik szorstkości SRT w normach powierzchniowych został nazwany PTV (Polishing Test Value) za PN-EN 13 036-4:2004(U)[6a]. Metoda pomiaru i sprzęt do jego wykonania są identyczne z przyjętymi w PN-EN 1436 [4] dla oznakowań poziomych.</w:t>
      </w:r>
    </w:p>
    <w:p w14:paraId="6F3B0523"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6.3.1.5. Trwałość oznakowania</w:t>
      </w:r>
    </w:p>
    <w:p w14:paraId="4640FBD6"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Trwałość oznakowania cienkowarstwowego oceniana jako stopień zużycia w 10-stopniowej skali LCPC określonej w POD-97 [9] lub POD-2006 (po wydaniu) [10] powinna wynosić po 12-miesięcznym okresie eksploatacji oznakowania: co najmniej 6.</w:t>
      </w:r>
    </w:p>
    <w:p w14:paraId="460A1EC7"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Taka metoda oceny znajduje szczególnie zastosowanie do oceny przydatności materiałów do poziomego oznakowania dróg.</w:t>
      </w:r>
    </w:p>
    <w:p w14:paraId="0D4B9090"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stosunku do materiałów grubowarstwowych i taśm ocena ta jest stosowana dopiero po 2, 3, 4, 5 i 6 latach, gdy w oznakowaniu pojawiają się przetarcia do nawierzchni. Do oceny materiałów strukturalnych, o nieciągłym pokryciu nawierzchni metody tej nie stosuje się.</w:t>
      </w:r>
    </w:p>
    <w:p w14:paraId="26F596BE"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celach kontrolnych trwałość jest oceniana pośrednio przez sprawdzenie spełniania wymagań widoczności w dzień, w nocy i szorstkości.</w:t>
      </w:r>
    </w:p>
    <w:p w14:paraId="36A4B3DE"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6.3.1.6. Czas schnięcia oznakowania (względnie czas do przejezdności oznakowania)</w:t>
      </w:r>
    </w:p>
    <w:p w14:paraId="67951201"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 czas schnięcia oznakowania przyjmuje się czas upływający między wykonaniem oznakowania a jego oddaniem do ruchu.</w:t>
      </w:r>
    </w:p>
    <w:p w14:paraId="5CE09FB5"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Czas schnięcia oznakowania nie powinien przekraczać czasu gwarantowanego przez producenta, z tym że nie może przekraczać 2 godzin w przypadku wymalowań nocnych i 1 godziny w </w:t>
      </w:r>
      <w:r w:rsidRPr="001667DB">
        <w:rPr>
          <w:rFonts w:ascii="Times New Roman" w:hAnsi="Times New Roman" w:cs="Times New Roman"/>
          <w:color w:val="000000" w:themeColor="text1"/>
        </w:rPr>
        <w:lastRenderedPageBreak/>
        <w:t>przypadku wymalowań dziennych. Metoda oznaczenia czasu schnięcia znajduje się w POD-97 [9] lub POD-2006 (po wydaniu) [10].</w:t>
      </w:r>
    </w:p>
    <w:p w14:paraId="305BB972"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6.3.1.7. Grubość oznakowania</w:t>
      </w:r>
    </w:p>
    <w:p w14:paraId="49E62A52"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Grubość oznakowania, tj. podwyższenie ponad górną powierzchnię nawierzchni, powinna wynosić dla:</w:t>
      </w:r>
    </w:p>
    <w:p w14:paraId="1DF278D0" w14:textId="77777777" w:rsidR="0093341C" w:rsidRPr="001667DB" w:rsidRDefault="0093341C" w:rsidP="00904E6C">
      <w:pPr>
        <w:numPr>
          <w:ilvl w:val="0"/>
          <w:numId w:val="247"/>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oznakowania grubowarstwowego, co najmniej </w:t>
      </w:r>
      <w:smartTag w:uri="urn:schemas-microsoft-com:office:smarttags" w:element="metricconverter">
        <w:smartTagPr>
          <w:attr w:name="ProductID" w:val="0,90 mm"/>
        </w:smartTagPr>
        <w:r w:rsidRPr="001667DB">
          <w:rPr>
            <w:rFonts w:ascii="Times New Roman" w:hAnsi="Times New Roman" w:cs="Times New Roman"/>
            <w:color w:val="000000" w:themeColor="text1"/>
          </w:rPr>
          <w:t>0,90 mm</w:t>
        </w:r>
      </w:smartTag>
      <w:r w:rsidRPr="001667DB">
        <w:rPr>
          <w:rFonts w:ascii="Times New Roman" w:hAnsi="Times New Roman" w:cs="Times New Roman"/>
          <w:color w:val="000000" w:themeColor="text1"/>
        </w:rPr>
        <w:t xml:space="preserve"> i co najwyżej 3,5 mm,</w:t>
      </w:r>
    </w:p>
    <w:p w14:paraId="7A11820D" w14:textId="77777777" w:rsidR="0093341C" w:rsidRPr="001667DB" w:rsidRDefault="0093341C" w:rsidP="00AA7AC8">
      <w:pPr>
        <w:tabs>
          <w:tab w:val="left" w:pos="709"/>
        </w:tabs>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Wymagania te nie obowiązują, jeśli nawierzchnia pod znakowaniem jest wyfrezowana.</w:t>
      </w:r>
    </w:p>
    <w:p w14:paraId="0CB7194C"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Kontrola grubości oznakowania jest istotna w przypadku, gdy Wykonawca nie udziela gwarancji lub gdy nie są wykonywane pomiary kontrolne za pomocą aparatury lub poprzez ocenę wizualną.</w:t>
      </w:r>
    </w:p>
    <w:p w14:paraId="675233BA" w14:textId="77777777" w:rsidR="0093341C" w:rsidRPr="001667DB" w:rsidRDefault="0093341C" w:rsidP="00AA7AC8">
      <w:pPr>
        <w:tabs>
          <w:tab w:val="left" w:pos="567"/>
        </w:tabs>
        <w:spacing w:line="276" w:lineRule="auto"/>
        <w:ind w:left="567" w:hanging="567"/>
        <w:jc w:val="both"/>
        <w:rPr>
          <w:rFonts w:ascii="Times New Roman" w:hAnsi="Times New Roman" w:cs="Times New Roman"/>
          <w:color w:val="000000" w:themeColor="text1"/>
        </w:rPr>
      </w:pPr>
      <w:r w:rsidRPr="001667DB">
        <w:rPr>
          <w:rFonts w:ascii="Times New Roman" w:hAnsi="Times New Roman" w:cs="Times New Roman"/>
          <w:b/>
          <w:color w:val="000000" w:themeColor="text1"/>
        </w:rPr>
        <w:t>6.3.2.</w:t>
      </w: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Badania wykonania znakowania poziomego z materiału grubowarstwowego</w:t>
      </w:r>
    </w:p>
    <w:p w14:paraId="57974C79"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wykonując znakowanie poziome z materiału grubowarstwowego przeprowadza przed rozpoczęciem każdej pracy oraz w czasie jej wykonywania, co najmniej raz dziennie, lub zgodnie z ustaleniem ST, następujące badania:</w:t>
      </w:r>
    </w:p>
    <w:p w14:paraId="625D98FE"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 przed rozpoczęciem pracy:</w:t>
      </w:r>
    </w:p>
    <w:p w14:paraId="3BC33CB6"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sprawdzenie oznakowania opakowań,</w:t>
      </w:r>
    </w:p>
    <w:p w14:paraId="4BFCF64C"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wizualną ocenę stanu  materiału, w zakresie jego jednorodności i widocznych wad,</w:t>
      </w:r>
    </w:p>
    <w:p w14:paraId="428195D4"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wilgotności względnej powietrza,</w:t>
      </w:r>
    </w:p>
    <w:p w14:paraId="005DC627"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temperatury powietrza i nawierzchni,</w:t>
      </w:r>
    </w:p>
    <w:p w14:paraId="28877B5E"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badanie lepkości farby, wg POD-97 [9] lub POD-2006 (po wydaniu) [10],</w:t>
      </w:r>
    </w:p>
    <w:p w14:paraId="70949DA3"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 w czasie wykonywania pracy:</w:t>
      </w:r>
    </w:p>
    <w:p w14:paraId="1070724D"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grubości warstwy oznakowania,</w:t>
      </w:r>
    </w:p>
    <w:p w14:paraId="44DD9FA8"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czasu schnięcia, wg POD-97 [9] lub POD-2006 (po wydaniu) [10],</w:t>
      </w:r>
    </w:p>
    <w:p w14:paraId="0542C5E7"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wizualną ocenę równomierności rozłożenia kulek szklanych podczas objazdu w nocy,</w:t>
      </w:r>
    </w:p>
    <w:p w14:paraId="6DAEE889"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pomiar poziomych wymiarów oznakowania, na zgodność z dokumentacją projektową i załącznikiem nr 2 do rozporządzenia Ministra Infrastruktury [7],</w:t>
      </w:r>
    </w:p>
    <w:p w14:paraId="6A1BC3C2"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wizualną ocenę równomierności skropienia (rozłożenia materiału) na całej szerokości linii,</w:t>
      </w:r>
    </w:p>
    <w:p w14:paraId="4631CA35" w14:textId="77777777" w:rsidR="0093341C" w:rsidRPr="001667DB" w:rsidRDefault="0093341C" w:rsidP="00AA7AC8">
      <w:pPr>
        <w:numPr>
          <w:ilvl w:val="0"/>
          <w:numId w:val="23"/>
        </w:numPr>
        <w:overflowPunct w:val="0"/>
        <w:autoSpaceDE w:val="0"/>
        <w:autoSpaceDN w:val="0"/>
        <w:adjustRightInd w:val="0"/>
        <w:spacing w:after="0" w:line="276" w:lineRule="auto"/>
        <w:ind w:left="567"/>
        <w:jc w:val="both"/>
        <w:rPr>
          <w:rFonts w:ascii="Times New Roman" w:hAnsi="Times New Roman" w:cs="Times New Roman"/>
          <w:color w:val="000000" w:themeColor="text1"/>
        </w:rPr>
      </w:pPr>
      <w:r w:rsidRPr="001667DB">
        <w:rPr>
          <w:rFonts w:ascii="Times New Roman" w:hAnsi="Times New Roman" w:cs="Times New Roman"/>
          <w:color w:val="000000" w:themeColor="text1"/>
        </w:rPr>
        <w:t>oznaczenia czasu przejezdności, wg POD-97 [9] lub POD-2006 (po wydaniu) [10].</w:t>
      </w:r>
    </w:p>
    <w:p w14:paraId="7F274032"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Protokół z przeprowadzonych badań wraz z jedną próbką, jednoznacznie oznakowaną, na blasze (300 x 250 x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 Wykonawca powinien przechować do czasu upływu okresu gwarancji.</w:t>
      </w:r>
    </w:p>
    <w:p w14:paraId="1FD6C26A"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 odbioru i w przypadku wątpliwości dotyczących wykonania oznakowania poziomego, Inżynier może zlecić wykonanie badań:</w:t>
      </w:r>
    </w:p>
    <w:p w14:paraId="0CED26EA"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widzialności w nocy,</w:t>
      </w:r>
    </w:p>
    <w:p w14:paraId="00FAA0A6"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widzialności w dzień,</w:t>
      </w:r>
    </w:p>
    <w:p w14:paraId="29F1B847"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szorstkości,</w:t>
      </w:r>
    </w:p>
    <w:p w14:paraId="39374992"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odpowiadających wymaganiom podanym w punkcie 6.3.1 i wykonanych według metod określonych w Warunkach technicznych POD-97 [9] lub POD-2006 (po wydaniu) [10]. Jeżeli wyniki tych badań wykażą wadliwość wykonanego oznakowania to koszt badań ponosi Wykonawca, w przypadku przeciwnym - Zamawiający. Badania powinien zlecać Zamawiający do niezależnego laboratorium badawczego, co gwarantuje większa wiarygodność wyników.</w:t>
      </w:r>
    </w:p>
    <w:p w14:paraId="190E39D9"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 xml:space="preserve">W przypadku konieczności wykonywania pomiarów na otwartych do ruchu odcinkach dróg o dopuszczalnej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należy ograniczyć je do linii krawędziowych zewnętrznych w przypadku wykonywania pomiarów aparatami ręcznymi, ze względu na bezpieczeństwo wykonujących pomiary.</w:t>
      </w:r>
    </w:p>
    <w:p w14:paraId="51CE06DC"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Pomiary współczynnika odblasku na liniach segregacyjnych i krawędziowych wewnętrznych, na otwartych do ruchu odcinkach dróg o dopuszczalnej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 a także na liniach podłużnych oznakowań z wygarbieniami, należy wykonywać przy użyciu mobilnego reflektometru zainstalowanego na samochodzie i wykonującego pomiary w ruchu.</w:t>
      </w:r>
    </w:p>
    <w:p w14:paraId="67E9F545"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przypadku wykonywania pomiarów współczynnika odblaskowości i współczynników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w:t>
      </w:r>
      <w:smartTag w:uri="urn:schemas-microsoft-com:office:smarttags" w:element="metricconverter">
        <w:smartTagPr>
          <w:attr w:name="ProductID" w:val="1 m"/>
        </w:smartTagPr>
        <w:r w:rsidRPr="001667DB">
          <w:rPr>
            <w:rFonts w:ascii="Times New Roman" w:hAnsi="Times New Roman" w:cs="Times New Roman"/>
            <w:color w:val="000000" w:themeColor="text1"/>
          </w:rPr>
          <w:t>1 m</w:t>
        </w:r>
      </w:smartTag>
      <w:r w:rsidRPr="001667DB">
        <w:rPr>
          <w:rFonts w:ascii="Times New Roman" w:hAnsi="Times New Roman" w:cs="Times New Roman"/>
          <w:color w:val="000000" w:themeColor="text1"/>
        </w:rPr>
        <w:t>.</w:t>
      </w:r>
    </w:p>
    <w:p w14:paraId="15733F9F" w14:textId="77777777" w:rsidR="0093341C" w:rsidRPr="001667DB" w:rsidRDefault="0093341C" w:rsidP="0093341C">
      <w:pPr>
        <w:pStyle w:val="Tekstpodstawowywcity2"/>
        <w:spacing w:after="0" w:line="276" w:lineRule="auto"/>
        <w:rPr>
          <w:b/>
          <w:color w:val="000000" w:themeColor="text1"/>
          <w:sz w:val="22"/>
          <w:szCs w:val="22"/>
        </w:rPr>
      </w:pPr>
      <w:r w:rsidRPr="001667DB">
        <w:rPr>
          <w:b/>
          <w:color w:val="000000" w:themeColor="text1"/>
          <w:sz w:val="22"/>
          <w:szCs w:val="22"/>
        </w:rPr>
        <w:t>Tablica 2. Częstotliwość pomiarów współczynników odblaskowości i luminancji aparatami ręcznymi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
        <w:gridCol w:w="1995"/>
        <w:gridCol w:w="2126"/>
        <w:gridCol w:w="1559"/>
      </w:tblGrid>
      <w:tr w:rsidR="0093341C" w:rsidRPr="001667DB" w14:paraId="682928E0"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015C6B4A"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Lp.</w:t>
            </w:r>
          </w:p>
        </w:tc>
        <w:tc>
          <w:tcPr>
            <w:tcW w:w="1995" w:type="dxa"/>
            <w:tcBorders>
              <w:top w:val="single" w:sz="4" w:space="0" w:color="auto"/>
              <w:left w:val="single" w:sz="4" w:space="0" w:color="auto"/>
              <w:bottom w:val="single" w:sz="4" w:space="0" w:color="auto"/>
              <w:right w:val="single" w:sz="4" w:space="0" w:color="auto"/>
            </w:tcBorders>
            <w:noWrap/>
            <w:vAlign w:val="center"/>
            <w:hideMark/>
          </w:tcPr>
          <w:p w14:paraId="518CB605"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Długość odcinka, km</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1E2FCA3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Częstotliwość pomiarów, co najmniej</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A6E651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Minimalna ilość pomiarów</w:t>
            </w:r>
          </w:p>
        </w:tc>
      </w:tr>
      <w:tr w:rsidR="0093341C" w:rsidRPr="001667DB" w14:paraId="101D72E7"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hideMark/>
          </w:tcPr>
          <w:p w14:paraId="0E120D71" w14:textId="77777777" w:rsidR="0093341C" w:rsidRPr="001667DB" w:rsidRDefault="0093341C" w:rsidP="0093341C">
            <w:pPr>
              <w:overflowPunct w:val="0"/>
              <w:autoSpaceDE w:val="0"/>
              <w:autoSpaceDN w:val="0"/>
              <w:adjustRightInd w:val="0"/>
              <w:spacing w:line="276" w:lineRule="auto"/>
              <w:ind w:left="57"/>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995" w:type="dxa"/>
            <w:tcBorders>
              <w:top w:val="single" w:sz="4" w:space="0" w:color="auto"/>
              <w:left w:val="single" w:sz="4" w:space="0" w:color="auto"/>
              <w:bottom w:val="single" w:sz="4" w:space="0" w:color="auto"/>
              <w:right w:val="single" w:sz="4" w:space="0" w:color="auto"/>
            </w:tcBorders>
            <w:noWrap/>
            <w:hideMark/>
          </w:tcPr>
          <w:p w14:paraId="659A6963" w14:textId="77777777" w:rsidR="0093341C" w:rsidRPr="001667DB" w:rsidRDefault="0093341C" w:rsidP="0093341C">
            <w:pPr>
              <w:numPr>
                <w:ilvl w:val="12"/>
                <w:numId w:val="0"/>
              </w:num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od 0 do 3</w:t>
            </w:r>
          </w:p>
        </w:tc>
        <w:tc>
          <w:tcPr>
            <w:tcW w:w="2126" w:type="dxa"/>
            <w:tcBorders>
              <w:top w:val="single" w:sz="4" w:space="0" w:color="auto"/>
              <w:left w:val="single" w:sz="4" w:space="0" w:color="auto"/>
              <w:bottom w:val="single" w:sz="4" w:space="0" w:color="auto"/>
              <w:right w:val="single" w:sz="4" w:space="0" w:color="auto"/>
            </w:tcBorders>
            <w:noWrap/>
            <w:hideMark/>
          </w:tcPr>
          <w:p w14:paraId="6FC9E3C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0,1 do </w:t>
            </w:r>
            <w:smartTag w:uri="urn:schemas-microsoft-com:office:smarttags" w:element="metricconverter">
              <w:smartTagPr>
                <w:attr w:name="ProductID" w:val="0,5 km"/>
              </w:smartTagPr>
              <w:r w:rsidRPr="001667DB">
                <w:rPr>
                  <w:rFonts w:ascii="Times New Roman" w:hAnsi="Times New Roman" w:cs="Times New Roman"/>
                  <w:color w:val="000000" w:themeColor="text1"/>
                </w:rPr>
                <w:t>0,5 km</w:t>
              </w:r>
            </w:smartTag>
          </w:p>
        </w:tc>
        <w:tc>
          <w:tcPr>
            <w:tcW w:w="1559" w:type="dxa"/>
            <w:tcBorders>
              <w:top w:val="single" w:sz="4" w:space="0" w:color="auto"/>
              <w:left w:val="single" w:sz="4" w:space="0" w:color="auto"/>
              <w:bottom w:val="single" w:sz="4" w:space="0" w:color="auto"/>
              <w:right w:val="single" w:sz="4" w:space="0" w:color="auto"/>
            </w:tcBorders>
            <w:noWrap/>
            <w:hideMark/>
          </w:tcPr>
          <w:p w14:paraId="2F349AA5"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3-6</w:t>
            </w:r>
          </w:p>
        </w:tc>
      </w:tr>
      <w:tr w:rsidR="0093341C" w:rsidRPr="001667DB" w14:paraId="6835D2BC"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hideMark/>
          </w:tcPr>
          <w:p w14:paraId="54CDBBEB" w14:textId="77777777" w:rsidR="0093341C" w:rsidRPr="001667DB" w:rsidRDefault="0093341C" w:rsidP="0093341C">
            <w:pPr>
              <w:overflowPunct w:val="0"/>
              <w:autoSpaceDE w:val="0"/>
              <w:autoSpaceDN w:val="0"/>
              <w:adjustRightInd w:val="0"/>
              <w:spacing w:line="276" w:lineRule="auto"/>
              <w:ind w:left="57"/>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995" w:type="dxa"/>
            <w:tcBorders>
              <w:top w:val="single" w:sz="4" w:space="0" w:color="auto"/>
              <w:left w:val="single" w:sz="4" w:space="0" w:color="auto"/>
              <w:bottom w:val="single" w:sz="4" w:space="0" w:color="auto"/>
              <w:right w:val="single" w:sz="4" w:space="0" w:color="auto"/>
            </w:tcBorders>
            <w:noWrap/>
            <w:hideMark/>
          </w:tcPr>
          <w:p w14:paraId="73AF0275" w14:textId="77777777" w:rsidR="0093341C" w:rsidRPr="001667DB" w:rsidRDefault="0093341C" w:rsidP="0093341C">
            <w:pPr>
              <w:numPr>
                <w:ilvl w:val="12"/>
                <w:numId w:val="0"/>
              </w:num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od 3 – do 10</w:t>
            </w:r>
          </w:p>
        </w:tc>
        <w:tc>
          <w:tcPr>
            <w:tcW w:w="2126" w:type="dxa"/>
            <w:tcBorders>
              <w:top w:val="single" w:sz="4" w:space="0" w:color="auto"/>
              <w:left w:val="single" w:sz="4" w:space="0" w:color="auto"/>
              <w:bottom w:val="single" w:sz="4" w:space="0" w:color="auto"/>
              <w:right w:val="single" w:sz="4" w:space="0" w:color="auto"/>
            </w:tcBorders>
            <w:noWrap/>
            <w:hideMark/>
          </w:tcPr>
          <w:p w14:paraId="1BFE256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co </w:t>
            </w:r>
            <w:smartTag w:uri="urn:schemas-microsoft-com:office:smarttags" w:element="metricconverter">
              <w:smartTagPr>
                <w:attr w:name="ProductID" w:val="1 km"/>
              </w:smartTagPr>
              <w:r w:rsidRPr="001667DB">
                <w:rPr>
                  <w:rFonts w:ascii="Times New Roman" w:hAnsi="Times New Roman" w:cs="Times New Roman"/>
                  <w:color w:val="000000" w:themeColor="text1"/>
                </w:rPr>
                <w:t>1 km</w:t>
              </w:r>
            </w:smartTag>
          </w:p>
        </w:tc>
        <w:tc>
          <w:tcPr>
            <w:tcW w:w="1559" w:type="dxa"/>
            <w:tcBorders>
              <w:top w:val="single" w:sz="4" w:space="0" w:color="auto"/>
              <w:left w:val="single" w:sz="4" w:space="0" w:color="auto"/>
              <w:bottom w:val="single" w:sz="4" w:space="0" w:color="auto"/>
              <w:right w:val="single" w:sz="4" w:space="0" w:color="auto"/>
            </w:tcBorders>
            <w:noWrap/>
            <w:hideMark/>
          </w:tcPr>
          <w:p w14:paraId="7FEDFDFD"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r>
      <w:tr w:rsidR="0093341C" w:rsidRPr="001667DB" w14:paraId="38BEE6D7"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hideMark/>
          </w:tcPr>
          <w:p w14:paraId="73E27200" w14:textId="77777777" w:rsidR="0093341C" w:rsidRPr="001667DB" w:rsidRDefault="0093341C" w:rsidP="0093341C">
            <w:pPr>
              <w:overflowPunct w:val="0"/>
              <w:autoSpaceDE w:val="0"/>
              <w:autoSpaceDN w:val="0"/>
              <w:adjustRightInd w:val="0"/>
              <w:spacing w:line="276" w:lineRule="auto"/>
              <w:ind w:left="57"/>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995" w:type="dxa"/>
            <w:tcBorders>
              <w:top w:val="single" w:sz="4" w:space="0" w:color="auto"/>
              <w:left w:val="single" w:sz="4" w:space="0" w:color="auto"/>
              <w:bottom w:val="single" w:sz="4" w:space="0" w:color="auto"/>
              <w:right w:val="single" w:sz="4" w:space="0" w:color="auto"/>
            </w:tcBorders>
            <w:noWrap/>
            <w:hideMark/>
          </w:tcPr>
          <w:p w14:paraId="513C65EE" w14:textId="77777777" w:rsidR="0093341C" w:rsidRPr="001667DB" w:rsidRDefault="0093341C" w:rsidP="0093341C">
            <w:pPr>
              <w:numPr>
                <w:ilvl w:val="12"/>
                <w:numId w:val="0"/>
              </w:num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10 do 20 </w:t>
            </w:r>
          </w:p>
        </w:tc>
        <w:tc>
          <w:tcPr>
            <w:tcW w:w="2126" w:type="dxa"/>
            <w:tcBorders>
              <w:top w:val="single" w:sz="4" w:space="0" w:color="auto"/>
              <w:left w:val="single" w:sz="4" w:space="0" w:color="auto"/>
              <w:bottom w:val="single" w:sz="4" w:space="0" w:color="auto"/>
              <w:right w:val="single" w:sz="4" w:space="0" w:color="auto"/>
            </w:tcBorders>
            <w:noWrap/>
            <w:hideMark/>
          </w:tcPr>
          <w:p w14:paraId="151F4616"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co </w:t>
            </w:r>
            <w:smartTag w:uri="urn:schemas-microsoft-com:office:smarttags" w:element="metricconverter">
              <w:smartTagPr>
                <w:attr w:name="ProductID" w:val="2 km"/>
              </w:smartTagPr>
              <w:r w:rsidRPr="001667DB">
                <w:rPr>
                  <w:rFonts w:ascii="Times New Roman" w:hAnsi="Times New Roman" w:cs="Times New Roman"/>
                  <w:color w:val="000000" w:themeColor="text1"/>
                </w:rPr>
                <w:t>2 km</w:t>
              </w:r>
            </w:smartTag>
          </w:p>
        </w:tc>
        <w:tc>
          <w:tcPr>
            <w:tcW w:w="1559" w:type="dxa"/>
            <w:tcBorders>
              <w:top w:val="single" w:sz="4" w:space="0" w:color="auto"/>
              <w:left w:val="single" w:sz="4" w:space="0" w:color="auto"/>
              <w:bottom w:val="single" w:sz="4" w:space="0" w:color="auto"/>
              <w:right w:val="single" w:sz="4" w:space="0" w:color="auto"/>
            </w:tcBorders>
            <w:noWrap/>
            <w:hideMark/>
          </w:tcPr>
          <w:p w14:paraId="6BD07FA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r>
      <w:tr w:rsidR="0093341C" w:rsidRPr="001667DB" w14:paraId="66CA75DD"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hideMark/>
          </w:tcPr>
          <w:p w14:paraId="0EAA9B9A" w14:textId="77777777" w:rsidR="0093341C" w:rsidRPr="001667DB" w:rsidRDefault="0093341C" w:rsidP="0093341C">
            <w:pPr>
              <w:overflowPunct w:val="0"/>
              <w:autoSpaceDE w:val="0"/>
              <w:autoSpaceDN w:val="0"/>
              <w:adjustRightInd w:val="0"/>
              <w:spacing w:line="276" w:lineRule="auto"/>
              <w:ind w:left="57"/>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995" w:type="dxa"/>
            <w:tcBorders>
              <w:top w:val="single" w:sz="4" w:space="0" w:color="auto"/>
              <w:left w:val="single" w:sz="4" w:space="0" w:color="auto"/>
              <w:bottom w:val="single" w:sz="4" w:space="0" w:color="auto"/>
              <w:right w:val="single" w:sz="4" w:space="0" w:color="auto"/>
            </w:tcBorders>
            <w:noWrap/>
            <w:hideMark/>
          </w:tcPr>
          <w:p w14:paraId="42202016" w14:textId="77777777" w:rsidR="0093341C" w:rsidRPr="001667DB" w:rsidRDefault="0093341C" w:rsidP="0093341C">
            <w:pPr>
              <w:numPr>
                <w:ilvl w:val="12"/>
                <w:numId w:val="0"/>
              </w:num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 20 do 30    </w:t>
            </w:r>
          </w:p>
        </w:tc>
        <w:tc>
          <w:tcPr>
            <w:tcW w:w="2126" w:type="dxa"/>
            <w:tcBorders>
              <w:top w:val="single" w:sz="4" w:space="0" w:color="auto"/>
              <w:left w:val="single" w:sz="4" w:space="0" w:color="auto"/>
              <w:bottom w:val="single" w:sz="4" w:space="0" w:color="auto"/>
              <w:right w:val="single" w:sz="4" w:space="0" w:color="auto"/>
            </w:tcBorders>
            <w:noWrap/>
            <w:hideMark/>
          </w:tcPr>
          <w:p w14:paraId="657BCE3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co </w:t>
            </w:r>
            <w:smartTag w:uri="urn:schemas-microsoft-com:office:smarttags" w:element="metricconverter">
              <w:smartTagPr>
                <w:attr w:name="ProductID" w:val="3 km"/>
              </w:smartTagPr>
              <w:r w:rsidRPr="001667DB">
                <w:rPr>
                  <w:rFonts w:ascii="Times New Roman" w:hAnsi="Times New Roman" w:cs="Times New Roman"/>
                  <w:color w:val="000000" w:themeColor="text1"/>
                </w:rPr>
                <w:t>3 km</w:t>
              </w:r>
            </w:smartTag>
          </w:p>
        </w:tc>
        <w:tc>
          <w:tcPr>
            <w:tcW w:w="1559" w:type="dxa"/>
            <w:tcBorders>
              <w:top w:val="single" w:sz="4" w:space="0" w:color="auto"/>
              <w:left w:val="single" w:sz="4" w:space="0" w:color="auto"/>
              <w:bottom w:val="single" w:sz="4" w:space="0" w:color="auto"/>
              <w:right w:val="single" w:sz="4" w:space="0" w:color="auto"/>
            </w:tcBorders>
            <w:noWrap/>
            <w:hideMark/>
          </w:tcPr>
          <w:p w14:paraId="59A33F91"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r>
      <w:tr w:rsidR="0093341C" w:rsidRPr="001667DB" w14:paraId="3F8AF2CE" w14:textId="77777777" w:rsidTr="0093341C">
        <w:trPr>
          <w:jc w:val="center"/>
        </w:trPr>
        <w:tc>
          <w:tcPr>
            <w:tcW w:w="567" w:type="dxa"/>
            <w:tcBorders>
              <w:top w:val="single" w:sz="4" w:space="0" w:color="auto"/>
              <w:left w:val="single" w:sz="4" w:space="0" w:color="auto"/>
              <w:bottom w:val="single" w:sz="4" w:space="0" w:color="auto"/>
              <w:right w:val="single" w:sz="4" w:space="0" w:color="auto"/>
            </w:tcBorders>
            <w:noWrap/>
            <w:hideMark/>
          </w:tcPr>
          <w:p w14:paraId="00189779" w14:textId="77777777" w:rsidR="0093341C" w:rsidRPr="001667DB" w:rsidRDefault="0093341C" w:rsidP="0093341C">
            <w:pPr>
              <w:overflowPunct w:val="0"/>
              <w:autoSpaceDE w:val="0"/>
              <w:autoSpaceDN w:val="0"/>
              <w:adjustRightInd w:val="0"/>
              <w:spacing w:line="276" w:lineRule="auto"/>
              <w:ind w:left="57"/>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995" w:type="dxa"/>
            <w:tcBorders>
              <w:top w:val="single" w:sz="4" w:space="0" w:color="auto"/>
              <w:left w:val="single" w:sz="4" w:space="0" w:color="auto"/>
              <w:bottom w:val="single" w:sz="4" w:space="0" w:color="auto"/>
              <w:right w:val="single" w:sz="4" w:space="0" w:color="auto"/>
            </w:tcBorders>
            <w:noWrap/>
            <w:hideMark/>
          </w:tcPr>
          <w:p w14:paraId="4A77BDEB" w14:textId="77777777" w:rsidR="0093341C" w:rsidRPr="001667DB" w:rsidRDefault="0093341C" w:rsidP="0093341C">
            <w:pPr>
              <w:numPr>
                <w:ilvl w:val="12"/>
                <w:numId w:val="0"/>
              </w:num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powyżej 30</w:t>
            </w:r>
          </w:p>
        </w:tc>
        <w:tc>
          <w:tcPr>
            <w:tcW w:w="2126" w:type="dxa"/>
            <w:tcBorders>
              <w:top w:val="single" w:sz="4" w:space="0" w:color="auto"/>
              <w:left w:val="single" w:sz="4" w:space="0" w:color="auto"/>
              <w:bottom w:val="single" w:sz="4" w:space="0" w:color="auto"/>
              <w:right w:val="single" w:sz="4" w:space="0" w:color="auto"/>
            </w:tcBorders>
            <w:noWrap/>
            <w:hideMark/>
          </w:tcPr>
          <w:p w14:paraId="6EBDCCB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co </w:t>
            </w:r>
            <w:smartTag w:uri="urn:schemas-microsoft-com:office:smarttags" w:element="metricconverter">
              <w:smartTagPr>
                <w:attr w:name="ProductID" w:val="4 km"/>
              </w:smartTagPr>
              <w:r w:rsidRPr="001667DB">
                <w:rPr>
                  <w:rFonts w:ascii="Times New Roman" w:hAnsi="Times New Roman" w:cs="Times New Roman"/>
                  <w:color w:val="000000" w:themeColor="text1"/>
                </w:rPr>
                <w:t>4 km</w:t>
              </w:r>
            </w:smartTag>
          </w:p>
        </w:tc>
        <w:tc>
          <w:tcPr>
            <w:tcW w:w="1559" w:type="dxa"/>
            <w:tcBorders>
              <w:top w:val="single" w:sz="4" w:space="0" w:color="auto"/>
              <w:left w:val="single" w:sz="4" w:space="0" w:color="auto"/>
              <w:bottom w:val="single" w:sz="4" w:space="0" w:color="auto"/>
              <w:right w:val="single" w:sz="4" w:space="0" w:color="auto"/>
            </w:tcBorders>
            <w:noWrap/>
            <w:hideMark/>
          </w:tcPr>
          <w:p w14:paraId="026388FD"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&gt; 11</w:t>
            </w:r>
          </w:p>
        </w:tc>
      </w:tr>
    </w:tbl>
    <w:p w14:paraId="509198B6" w14:textId="77777777" w:rsidR="0093341C" w:rsidRPr="001667DB" w:rsidRDefault="0093341C" w:rsidP="00AA7AC8">
      <w:pPr>
        <w:numPr>
          <w:ilvl w:val="12"/>
          <w:numId w:val="0"/>
        </w:num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Wartość wskaźnika szorstkości zaleca się oznaczyć w 2 – 4 punktach oznakowania odcinka.</w:t>
      </w:r>
    </w:p>
    <w:p w14:paraId="7C9C60B8" w14:textId="77777777" w:rsidR="0093341C" w:rsidRPr="001667DB" w:rsidRDefault="0093341C" w:rsidP="00AA7AC8">
      <w:pPr>
        <w:numPr>
          <w:ilvl w:val="12"/>
          <w:numId w:val="0"/>
        </w:numPr>
        <w:spacing w:line="276" w:lineRule="auto"/>
        <w:ind w:left="709" w:hanging="709"/>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6.3.3. </w:t>
      </w:r>
      <w:r w:rsidRPr="001667DB">
        <w:rPr>
          <w:rFonts w:ascii="Times New Roman" w:hAnsi="Times New Roman" w:cs="Times New Roman"/>
          <w:color w:val="000000" w:themeColor="text1"/>
        </w:rPr>
        <w:t>Badania wykonania oznakowania poziomego z zastosowaniem punktowych elementów odblaskowych</w:t>
      </w:r>
    </w:p>
    <w:p w14:paraId="1637748C"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wykonując oznakowanie z prefabrykowanych elementów odblaskowych przeprowadza, co najmniej raz dziennie lub zgodnie z ustaleniem ST, następujące badania:</w:t>
      </w:r>
    </w:p>
    <w:p w14:paraId="687EE284"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sprawdzenie oznakowania opakowań,</w:t>
      </w:r>
    </w:p>
    <w:p w14:paraId="66C4E2FA"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sprawdzenie rodzaju stosowanego kleju lub innych elementów mocujących, zgodnie z zaleceniami ST,</w:t>
      </w:r>
    </w:p>
    <w:p w14:paraId="2A4488C8"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wizualną ocenę stanu elementów, w zakresie ich kompletności i braku wad,</w:t>
      </w:r>
    </w:p>
    <w:p w14:paraId="22403314"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temperatury powietrza i nawierzchni,</w:t>
      </w:r>
    </w:p>
    <w:p w14:paraId="13F4589D"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pomiaru czasu oddania do ruchu,</w:t>
      </w:r>
    </w:p>
    <w:p w14:paraId="1FF84A6A"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wizualną ocenę liniowości i kierunkowości przyklejenia elementów,</w:t>
      </w:r>
    </w:p>
    <w:p w14:paraId="134B9403"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równomierności przyklejenia elementów na całej długości linii,</w:t>
      </w:r>
    </w:p>
    <w:p w14:paraId="5579DFDA" w14:textId="77777777" w:rsidR="0093341C" w:rsidRPr="001667DB" w:rsidRDefault="0093341C" w:rsidP="00AA7AC8">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zgodności wykonania oznakowania z dokumentacja projektową i załącznikiem nr 2 do rozporządzenia Ministra Infrastruktury z 3 lipca 2003 r. [7].</w:t>
      </w:r>
    </w:p>
    <w:p w14:paraId="3F8D80D7" w14:textId="77777777" w:rsidR="0093341C" w:rsidRPr="001667DB" w:rsidRDefault="0093341C" w:rsidP="00AA7AC8">
      <w:pPr>
        <w:spacing w:line="276" w:lineRule="auto"/>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Protokół z przeprowadzonych badań wraz z próbkami przyklejonych elementów, w liczbie określonej w ST, Wykonawca przechowuje do czasu upływu okresu gwarancji.</w:t>
      </w:r>
    </w:p>
    <w:p w14:paraId="32949F5C" w14:textId="77777777" w:rsidR="0093341C" w:rsidRPr="001667DB" w:rsidRDefault="0093341C" w:rsidP="00AA7AC8">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 przypadku wątpliwości dotyczących wykonania oznakowania poziomego Inżynier może zlecić wykonanie badań widzialności w nocy, na próbkach zdjętych z nawierzchni i dostarczonych do laboratorium, na zgodność z wymaganiami podanymi w ST lub aprobacie technicznej, wykonanych według metod określonych w PN-EN 1463-1[5] lub w Warunkach technicznych POD-97 [9] lub POD-2006 (po wydaniu) [10]. Jeśli wyniki tych badań wykażą wadliwość wykonanego oznakowania to koszt badań ponosi Wykonawca, w przypadku przeciwnym - Zamawiający.</w:t>
      </w:r>
    </w:p>
    <w:p w14:paraId="0AB24B71"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6.3.4. </w:t>
      </w:r>
      <w:r w:rsidRPr="001667DB">
        <w:rPr>
          <w:rFonts w:ascii="Times New Roman" w:hAnsi="Times New Roman" w:cs="Times New Roman"/>
          <w:color w:val="000000" w:themeColor="text1"/>
        </w:rPr>
        <w:t>Zbiorcze zestawienie wymagań dla materiałów i oznakowań</w:t>
      </w:r>
    </w:p>
    <w:p w14:paraId="7504D84F" w14:textId="77777777" w:rsidR="0093341C" w:rsidRPr="001667DB" w:rsidRDefault="0093341C" w:rsidP="00AA7AC8">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tablicy 3 podano zbiorcze zestawienie dla materiałów. W tablicy 4 podano zbiorcze zestawienie dla oznakowań na autostradach, drogach ekspresowych oraz na drogach o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lub o natężeniu ruchu &gt; 2 500 pojazdów rzeczywistych na dobę na pas. W tablicy 5 podano zbiorcze zestawienie dla oznakowań na pozostałych drogach.</w:t>
      </w:r>
    </w:p>
    <w:p w14:paraId="55EB399F" w14:textId="77777777" w:rsidR="0093341C" w:rsidRPr="001667DB" w:rsidRDefault="0093341C" w:rsidP="00904E6C">
      <w:pPr>
        <w:pStyle w:val="Nagwek4"/>
        <w:keepLines w:val="0"/>
        <w:numPr>
          <w:ilvl w:val="3"/>
          <w:numId w:val="329"/>
        </w:numPr>
        <w:tabs>
          <w:tab w:val="left" w:pos="1134"/>
          <w:tab w:val="left" w:pos="1701"/>
        </w:tabs>
        <w:spacing w:before="0" w:line="276" w:lineRule="auto"/>
        <w:rPr>
          <w:rFonts w:ascii="Times New Roman" w:hAnsi="Times New Roman" w:cs="Times New Roman"/>
          <w:b/>
          <w:color w:val="000000" w:themeColor="text1"/>
          <w:sz w:val="22"/>
        </w:rPr>
      </w:pPr>
      <w:r w:rsidRPr="001667DB">
        <w:rPr>
          <w:rFonts w:ascii="Times New Roman" w:hAnsi="Times New Roman" w:cs="Times New Roman"/>
          <w:b/>
          <w:color w:val="000000" w:themeColor="text1"/>
          <w:sz w:val="22"/>
        </w:rPr>
        <w:t>Tablica 3.   Zbiorcze zestawienie wymagań dla materiałów</w:t>
      </w:r>
    </w:p>
    <w:tbl>
      <w:tblPr>
        <w:tblW w:w="7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6"/>
        <w:gridCol w:w="3685"/>
        <w:gridCol w:w="1134"/>
        <w:gridCol w:w="2196"/>
      </w:tblGrid>
      <w:tr w:rsidR="0093341C" w:rsidRPr="001667DB" w14:paraId="335642CD" w14:textId="77777777" w:rsidTr="0093341C">
        <w:trPr>
          <w:tblHeader/>
          <w:jc w:val="center"/>
        </w:trPr>
        <w:tc>
          <w:tcPr>
            <w:tcW w:w="496" w:type="dxa"/>
            <w:tcBorders>
              <w:top w:val="single" w:sz="4" w:space="0" w:color="auto"/>
              <w:left w:val="single" w:sz="4" w:space="0" w:color="auto"/>
              <w:bottom w:val="single" w:sz="4" w:space="0" w:color="auto"/>
              <w:right w:val="single" w:sz="4" w:space="0" w:color="auto"/>
            </w:tcBorders>
            <w:noWrap/>
            <w:hideMark/>
          </w:tcPr>
          <w:p w14:paraId="3C0E6A65"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Lp.</w:t>
            </w:r>
          </w:p>
        </w:tc>
        <w:tc>
          <w:tcPr>
            <w:tcW w:w="3685" w:type="dxa"/>
            <w:tcBorders>
              <w:top w:val="single" w:sz="4" w:space="0" w:color="auto"/>
              <w:left w:val="single" w:sz="4" w:space="0" w:color="auto"/>
              <w:bottom w:val="single" w:sz="4" w:space="0" w:color="auto"/>
              <w:right w:val="single" w:sz="4" w:space="0" w:color="auto"/>
            </w:tcBorders>
            <w:noWrap/>
            <w:hideMark/>
          </w:tcPr>
          <w:p w14:paraId="1014722C"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Właściwość</w:t>
            </w:r>
          </w:p>
        </w:tc>
        <w:tc>
          <w:tcPr>
            <w:tcW w:w="1134" w:type="dxa"/>
            <w:tcBorders>
              <w:top w:val="single" w:sz="4" w:space="0" w:color="auto"/>
              <w:left w:val="single" w:sz="4" w:space="0" w:color="auto"/>
              <w:bottom w:val="single" w:sz="4" w:space="0" w:color="auto"/>
              <w:right w:val="single" w:sz="4" w:space="0" w:color="auto"/>
            </w:tcBorders>
            <w:noWrap/>
            <w:hideMark/>
          </w:tcPr>
          <w:p w14:paraId="7B6CAE6A"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bCs/>
                <w:color w:val="000000" w:themeColor="text1"/>
              </w:rPr>
            </w:pPr>
            <w:r w:rsidRPr="001667DB">
              <w:rPr>
                <w:rFonts w:ascii="Times New Roman" w:hAnsi="Times New Roman" w:cs="Times New Roman"/>
                <w:bCs/>
                <w:color w:val="000000" w:themeColor="text1"/>
              </w:rPr>
              <w:t>Jednostka</w:t>
            </w:r>
          </w:p>
        </w:tc>
        <w:tc>
          <w:tcPr>
            <w:tcW w:w="2196" w:type="dxa"/>
            <w:tcBorders>
              <w:top w:val="single" w:sz="4" w:space="0" w:color="auto"/>
              <w:left w:val="single" w:sz="4" w:space="0" w:color="auto"/>
              <w:bottom w:val="single" w:sz="4" w:space="0" w:color="auto"/>
              <w:right w:val="single" w:sz="4" w:space="0" w:color="auto"/>
            </w:tcBorders>
            <w:noWrap/>
            <w:hideMark/>
          </w:tcPr>
          <w:p w14:paraId="136C0DB3"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Wymagania</w:t>
            </w:r>
          </w:p>
        </w:tc>
      </w:tr>
      <w:tr w:rsidR="0093341C" w:rsidRPr="001667DB" w14:paraId="180ADDBA" w14:textId="77777777" w:rsidTr="0093341C">
        <w:trPr>
          <w:jc w:val="center"/>
        </w:trPr>
        <w:tc>
          <w:tcPr>
            <w:tcW w:w="496" w:type="dxa"/>
            <w:tcBorders>
              <w:top w:val="single" w:sz="4" w:space="0" w:color="auto"/>
              <w:left w:val="single" w:sz="4" w:space="0" w:color="auto"/>
              <w:bottom w:val="single" w:sz="4" w:space="0" w:color="auto"/>
              <w:right w:val="single" w:sz="4" w:space="0" w:color="auto"/>
            </w:tcBorders>
            <w:noWrap/>
          </w:tcPr>
          <w:p w14:paraId="0F4D83D9" w14:textId="77777777" w:rsidR="0093341C" w:rsidRPr="001667DB" w:rsidRDefault="0093341C" w:rsidP="00904E6C">
            <w:pPr>
              <w:numPr>
                <w:ilvl w:val="0"/>
                <w:numId w:val="248"/>
              </w:numPr>
              <w:tabs>
                <w:tab w:val="left" w:pos="417"/>
              </w:tabs>
              <w:overflowPunct w:val="0"/>
              <w:autoSpaceDE w:val="0"/>
              <w:autoSpaceDN w:val="0"/>
              <w:adjustRightInd w:val="0"/>
              <w:spacing w:after="0" w:line="276" w:lineRule="auto"/>
              <w:ind w:left="57"/>
              <w:jc w:val="center"/>
              <w:rPr>
                <w:rFonts w:ascii="Times New Roman" w:hAnsi="Times New Roman" w:cs="Times New Roman"/>
                <w:color w:val="000000" w:themeColor="text1"/>
              </w:rPr>
            </w:pPr>
          </w:p>
        </w:tc>
        <w:tc>
          <w:tcPr>
            <w:tcW w:w="3685" w:type="dxa"/>
            <w:tcBorders>
              <w:top w:val="single" w:sz="4" w:space="0" w:color="auto"/>
              <w:left w:val="single" w:sz="4" w:space="0" w:color="auto"/>
              <w:bottom w:val="single" w:sz="4" w:space="0" w:color="auto"/>
              <w:right w:val="single" w:sz="4" w:space="0" w:color="auto"/>
            </w:tcBorders>
            <w:noWrap/>
          </w:tcPr>
          <w:p w14:paraId="2BC7D95A"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Zawartość składników lotnych w materiałach do znakowania</w:t>
            </w:r>
          </w:p>
          <w:p w14:paraId="2CEA0A0B" w14:textId="77777777" w:rsidR="0093341C" w:rsidRPr="001667DB" w:rsidRDefault="0093341C" w:rsidP="00904E6C">
            <w:pPr>
              <w:numPr>
                <w:ilvl w:val="0"/>
                <w:numId w:val="318"/>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rozpuszczalników organicznych</w:t>
            </w:r>
          </w:p>
          <w:p w14:paraId="29901240" w14:textId="77777777" w:rsidR="0093341C" w:rsidRPr="001667DB" w:rsidRDefault="0093341C" w:rsidP="00904E6C">
            <w:pPr>
              <w:numPr>
                <w:ilvl w:val="0"/>
                <w:numId w:val="318"/>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rozpuszczalników aromatycznych</w:t>
            </w:r>
          </w:p>
          <w:p w14:paraId="1718FB51" w14:textId="77777777" w:rsidR="0093341C" w:rsidRPr="001667DB" w:rsidRDefault="0093341C" w:rsidP="0093341C">
            <w:pPr>
              <w:spacing w:line="276" w:lineRule="auto"/>
              <w:rPr>
                <w:rFonts w:ascii="Times New Roman" w:hAnsi="Times New Roman" w:cs="Times New Roman"/>
                <w:color w:val="000000" w:themeColor="text1"/>
              </w:rPr>
            </w:pPr>
          </w:p>
          <w:p w14:paraId="346E12A4" w14:textId="77777777" w:rsidR="0093341C" w:rsidRPr="001667DB" w:rsidRDefault="0093341C" w:rsidP="00904E6C">
            <w:pPr>
              <w:numPr>
                <w:ilvl w:val="0"/>
                <w:numId w:val="318"/>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benzenu i rozpuszczalników chlorowanych</w:t>
            </w:r>
          </w:p>
        </w:tc>
        <w:tc>
          <w:tcPr>
            <w:tcW w:w="1134" w:type="dxa"/>
            <w:tcBorders>
              <w:top w:val="single" w:sz="4" w:space="0" w:color="auto"/>
              <w:left w:val="single" w:sz="4" w:space="0" w:color="auto"/>
              <w:bottom w:val="single" w:sz="4" w:space="0" w:color="auto"/>
              <w:right w:val="single" w:sz="4" w:space="0" w:color="auto"/>
            </w:tcBorders>
            <w:noWrap/>
          </w:tcPr>
          <w:p w14:paraId="7DCDEA9A" w14:textId="77777777" w:rsidR="0093341C" w:rsidRPr="001667DB" w:rsidRDefault="0093341C" w:rsidP="0093341C">
            <w:pPr>
              <w:spacing w:line="276" w:lineRule="auto"/>
              <w:jc w:val="center"/>
              <w:rPr>
                <w:rFonts w:ascii="Times New Roman" w:hAnsi="Times New Roman" w:cs="Times New Roman"/>
                <w:color w:val="000000" w:themeColor="text1"/>
              </w:rPr>
            </w:pPr>
          </w:p>
          <w:p w14:paraId="5FAE0BA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30213A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p w14:paraId="71B8F5E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p w14:paraId="5FBDE7D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3743658"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(m/m)</w:t>
            </w:r>
          </w:p>
        </w:tc>
        <w:tc>
          <w:tcPr>
            <w:tcW w:w="2196" w:type="dxa"/>
            <w:tcBorders>
              <w:top w:val="single" w:sz="4" w:space="0" w:color="auto"/>
              <w:left w:val="single" w:sz="4" w:space="0" w:color="auto"/>
              <w:bottom w:val="single" w:sz="4" w:space="0" w:color="auto"/>
              <w:right w:val="single" w:sz="4" w:space="0" w:color="auto"/>
            </w:tcBorders>
            <w:noWrap/>
          </w:tcPr>
          <w:p w14:paraId="6C557E8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6E3A92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6DC37B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25</w:t>
            </w:r>
          </w:p>
          <w:p w14:paraId="49527AC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8</w:t>
            </w:r>
          </w:p>
          <w:p w14:paraId="7C3D754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CC8A265"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0</w:t>
            </w:r>
          </w:p>
        </w:tc>
      </w:tr>
      <w:tr w:rsidR="0093341C" w:rsidRPr="001667DB" w14:paraId="1C7D426C" w14:textId="77777777" w:rsidTr="0093341C">
        <w:trPr>
          <w:jc w:val="center"/>
        </w:trPr>
        <w:tc>
          <w:tcPr>
            <w:tcW w:w="496" w:type="dxa"/>
            <w:tcBorders>
              <w:top w:val="single" w:sz="4" w:space="0" w:color="auto"/>
              <w:left w:val="single" w:sz="4" w:space="0" w:color="auto"/>
              <w:bottom w:val="single" w:sz="4" w:space="0" w:color="auto"/>
              <w:right w:val="single" w:sz="4" w:space="0" w:color="auto"/>
            </w:tcBorders>
            <w:noWrap/>
          </w:tcPr>
          <w:p w14:paraId="73E8E4A9" w14:textId="77777777" w:rsidR="0093341C" w:rsidRPr="001667DB" w:rsidRDefault="0093341C" w:rsidP="00904E6C">
            <w:pPr>
              <w:numPr>
                <w:ilvl w:val="0"/>
                <w:numId w:val="248"/>
              </w:numPr>
              <w:overflowPunct w:val="0"/>
              <w:autoSpaceDE w:val="0"/>
              <w:autoSpaceDN w:val="0"/>
              <w:adjustRightInd w:val="0"/>
              <w:spacing w:after="0" w:line="276" w:lineRule="auto"/>
              <w:jc w:val="center"/>
              <w:rPr>
                <w:rFonts w:ascii="Times New Roman" w:hAnsi="Times New Roman" w:cs="Times New Roman"/>
                <w:color w:val="000000" w:themeColor="text1"/>
              </w:rPr>
            </w:pPr>
          </w:p>
        </w:tc>
        <w:tc>
          <w:tcPr>
            <w:tcW w:w="3685" w:type="dxa"/>
            <w:tcBorders>
              <w:top w:val="single" w:sz="4" w:space="0" w:color="auto"/>
              <w:left w:val="single" w:sz="4" w:space="0" w:color="auto"/>
              <w:bottom w:val="single" w:sz="4" w:space="0" w:color="auto"/>
              <w:right w:val="single" w:sz="4" w:space="0" w:color="auto"/>
            </w:tcBorders>
            <w:noWrap/>
            <w:hideMark/>
          </w:tcPr>
          <w:p w14:paraId="48991B29"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Właściwości kulek szklanych </w:t>
            </w:r>
          </w:p>
          <w:p w14:paraId="34B3BFCC" w14:textId="77777777" w:rsidR="0093341C" w:rsidRPr="001667DB" w:rsidRDefault="0093341C" w:rsidP="00904E6C">
            <w:pPr>
              <w:pStyle w:val="Tekstprzypisudolnego"/>
              <w:numPr>
                <w:ilvl w:val="0"/>
                <w:numId w:val="319"/>
              </w:numPr>
              <w:spacing w:line="276" w:lineRule="auto"/>
              <w:rPr>
                <w:color w:val="000000" w:themeColor="text1"/>
                <w:sz w:val="22"/>
                <w:szCs w:val="22"/>
              </w:rPr>
            </w:pPr>
            <w:r w:rsidRPr="001667DB">
              <w:rPr>
                <w:color w:val="000000" w:themeColor="text1"/>
                <w:sz w:val="22"/>
                <w:szCs w:val="22"/>
              </w:rPr>
              <w:t>współczynnik załamania światła</w:t>
            </w:r>
          </w:p>
          <w:p w14:paraId="6ED1CF05" w14:textId="77777777" w:rsidR="0093341C" w:rsidRPr="001667DB" w:rsidRDefault="0093341C" w:rsidP="00904E6C">
            <w:pPr>
              <w:numPr>
                <w:ilvl w:val="0"/>
                <w:numId w:val="319"/>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zawartość kulek z defektami</w:t>
            </w:r>
          </w:p>
        </w:tc>
        <w:tc>
          <w:tcPr>
            <w:tcW w:w="1134" w:type="dxa"/>
            <w:tcBorders>
              <w:top w:val="single" w:sz="4" w:space="0" w:color="auto"/>
              <w:left w:val="single" w:sz="4" w:space="0" w:color="auto"/>
              <w:bottom w:val="single" w:sz="4" w:space="0" w:color="auto"/>
              <w:right w:val="single" w:sz="4" w:space="0" w:color="auto"/>
            </w:tcBorders>
            <w:noWrap/>
          </w:tcPr>
          <w:p w14:paraId="01FFF1D3" w14:textId="77777777" w:rsidR="0093341C" w:rsidRPr="001667DB" w:rsidRDefault="0093341C" w:rsidP="0093341C">
            <w:pPr>
              <w:spacing w:line="276" w:lineRule="auto"/>
              <w:jc w:val="center"/>
              <w:rPr>
                <w:rFonts w:ascii="Times New Roman" w:hAnsi="Times New Roman" w:cs="Times New Roman"/>
                <w:color w:val="000000" w:themeColor="text1"/>
              </w:rPr>
            </w:pPr>
          </w:p>
          <w:p w14:paraId="52ECDAA2"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638C4E6C"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196" w:type="dxa"/>
            <w:tcBorders>
              <w:top w:val="single" w:sz="4" w:space="0" w:color="auto"/>
              <w:left w:val="single" w:sz="4" w:space="0" w:color="auto"/>
              <w:bottom w:val="single" w:sz="4" w:space="0" w:color="auto"/>
              <w:right w:val="single" w:sz="4" w:space="0" w:color="auto"/>
            </w:tcBorders>
            <w:noWrap/>
          </w:tcPr>
          <w:p w14:paraId="18A9605A" w14:textId="77777777" w:rsidR="0093341C" w:rsidRPr="001667DB" w:rsidRDefault="0093341C" w:rsidP="0093341C">
            <w:pPr>
              <w:spacing w:line="276" w:lineRule="auto"/>
              <w:jc w:val="center"/>
              <w:rPr>
                <w:rFonts w:ascii="Times New Roman" w:hAnsi="Times New Roman" w:cs="Times New Roman"/>
                <w:color w:val="000000" w:themeColor="text1"/>
              </w:rPr>
            </w:pPr>
          </w:p>
          <w:p w14:paraId="34E20B60"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1,5</w:t>
            </w:r>
          </w:p>
          <w:p w14:paraId="5EDB41EE"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r>
      <w:tr w:rsidR="0093341C" w:rsidRPr="001667DB" w14:paraId="518DD9F0" w14:textId="77777777" w:rsidTr="0093341C">
        <w:trPr>
          <w:jc w:val="center"/>
        </w:trPr>
        <w:tc>
          <w:tcPr>
            <w:tcW w:w="496" w:type="dxa"/>
            <w:tcBorders>
              <w:top w:val="single" w:sz="4" w:space="0" w:color="auto"/>
              <w:left w:val="single" w:sz="4" w:space="0" w:color="auto"/>
              <w:bottom w:val="single" w:sz="4" w:space="0" w:color="auto"/>
              <w:right w:val="single" w:sz="4" w:space="0" w:color="auto"/>
            </w:tcBorders>
            <w:noWrap/>
          </w:tcPr>
          <w:p w14:paraId="0C69DF7C" w14:textId="77777777" w:rsidR="0093341C" w:rsidRPr="001667DB" w:rsidRDefault="0093341C" w:rsidP="00904E6C">
            <w:pPr>
              <w:pStyle w:val="Stopka"/>
              <w:numPr>
                <w:ilvl w:val="0"/>
                <w:numId w:val="248"/>
              </w:numPr>
              <w:tabs>
                <w:tab w:val="left" w:pos="709"/>
              </w:tabs>
              <w:overflowPunct w:val="0"/>
              <w:autoSpaceDE w:val="0"/>
              <w:autoSpaceDN w:val="0"/>
              <w:adjustRightInd w:val="0"/>
              <w:spacing w:line="276" w:lineRule="auto"/>
              <w:jc w:val="center"/>
              <w:rPr>
                <w:color w:val="000000" w:themeColor="text1"/>
                <w:sz w:val="22"/>
              </w:rPr>
            </w:pPr>
          </w:p>
        </w:tc>
        <w:tc>
          <w:tcPr>
            <w:tcW w:w="3685" w:type="dxa"/>
            <w:tcBorders>
              <w:top w:val="single" w:sz="4" w:space="0" w:color="auto"/>
              <w:left w:val="single" w:sz="4" w:space="0" w:color="auto"/>
              <w:bottom w:val="single" w:sz="4" w:space="0" w:color="auto"/>
              <w:right w:val="single" w:sz="4" w:space="0" w:color="auto"/>
            </w:tcBorders>
            <w:noWrap/>
            <w:hideMark/>
          </w:tcPr>
          <w:p w14:paraId="54AF5F01"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Okres stałości właściwości materiałów do znakowania przy składowaniu</w:t>
            </w:r>
          </w:p>
        </w:tc>
        <w:tc>
          <w:tcPr>
            <w:tcW w:w="1134" w:type="dxa"/>
            <w:tcBorders>
              <w:top w:val="single" w:sz="4" w:space="0" w:color="auto"/>
              <w:left w:val="single" w:sz="4" w:space="0" w:color="auto"/>
              <w:bottom w:val="single" w:sz="4" w:space="0" w:color="auto"/>
              <w:right w:val="single" w:sz="4" w:space="0" w:color="auto"/>
            </w:tcBorders>
            <w:noWrap/>
            <w:hideMark/>
          </w:tcPr>
          <w:p w14:paraId="66DC83BA"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miesiące</w:t>
            </w:r>
          </w:p>
        </w:tc>
        <w:tc>
          <w:tcPr>
            <w:tcW w:w="2196" w:type="dxa"/>
            <w:tcBorders>
              <w:top w:val="single" w:sz="4" w:space="0" w:color="auto"/>
              <w:left w:val="single" w:sz="4" w:space="0" w:color="auto"/>
              <w:bottom w:val="single" w:sz="4" w:space="0" w:color="auto"/>
              <w:right w:val="single" w:sz="4" w:space="0" w:color="auto"/>
            </w:tcBorders>
            <w:noWrap/>
            <w:hideMark/>
          </w:tcPr>
          <w:p w14:paraId="34B652A8"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6</w:t>
            </w:r>
          </w:p>
        </w:tc>
      </w:tr>
    </w:tbl>
    <w:p w14:paraId="49EE9D09" w14:textId="77777777" w:rsidR="0093341C" w:rsidRPr="001667DB" w:rsidRDefault="0093341C" w:rsidP="0093341C">
      <w:pPr>
        <w:spacing w:line="276" w:lineRule="auto"/>
        <w:ind w:left="993" w:hanging="993"/>
        <w:rPr>
          <w:rFonts w:ascii="Times New Roman" w:hAnsi="Times New Roman" w:cs="Times New Roman"/>
          <w:color w:val="000000" w:themeColor="text1"/>
        </w:rPr>
      </w:pPr>
    </w:p>
    <w:p w14:paraId="620B3BBB" w14:textId="77777777" w:rsidR="0093341C" w:rsidRPr="001667DB" w:rsidRDefault="0093341C" w:rsidP="0093341C">
      <w:pPr>
        <w:spacing w:line="276" w:lineRule="auto"/>
        <w:ind w:left="993" w:hanging="993"/>
        <w:rPr>
          <w:rFonts w:ascii="Times New Roman" w:hAnsi="Times New Roman" w:cs="Times New Roman"/>
          <w:color w:val="000000" w:themeColor="text1"/>
        </w:rPr>
      </w:pPr>
      <w:r w:rsidRPr="001667DB">
        <w:rPr>
          <w:rFonts w:ascii="Times New Roman" w:hAnsi="Times New Roman" w:cs="Times New Roman"/>
          <w:color w:val="000000" w:themeColor="text1"/>
        </w:rPr>
        <w:t xml:space="preserve">Tablica 4. </w:t>
      </w:r>
      <w:r w:rsidRPr="001667DB">
        <w:rPr>
          <w:rFonts w:ascii="Times New Roman" w:hAnsi="Times New Roman" w:cs="Times New Roman"/>
          <w:color w:val="000000" w:themeColor="text1"/>
        </w:rPr>
        <w:tab/>
        <w:t xml:space="preserve">Zbiorcze zestawienie wymagań dla oznakowań na autostradach, drogach ekspresowych oraz na drogach o prędkości </w:t>
      </w: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0 km/h"/>
        </w:smartTagPr>
        <w:r w:rsidRPr="001667DB">
          <w:rPr>
            <w:rFonts w:ascii="Times New Roman" w:hAnsi="Times New Roman" w:cs="Times New Roman"/>
            <w:color w:val="000000" w:themeColor="text1"/>
          </w:rPr>
          <w:t>100 km/h</w:t>
        </w:r>
      </w:smartTag>
      <w:r w:rsidRPr="001667DB">
        <w:rPr>
          <w:rFonts w:ascii="Times New Roman" w:hAnsi="Times New Roman" w:cs="Times New Roman"/>
          <w:color w:val="000000" w:themeColor="text1"/>
        </w:rPr>
        <w:t xml:space="preserve"> lub o natężeniu ruchu &gt; 2 500 pojazdów rzeczywistych na dobę na pas</w:t>
      </w:r>
    </w:p>
    <w:tbl>
      <w:tblPr>
        <w:tblW w:w="75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685"/>
        <w:gridCol w:w="1134"/>
        <w:gridCol w:w="1276"/>
        <w:gridCol w:w="924"/>
      </w:tblGrid>
      <w:tr w:rsidR="0093341C" w:rsidRPr="001667DB" w14:paraId="02E6E636" w14:textId="77777777" w:rsidTr="0093341C">
        <w:trPr>
          <w:cantSplit/>
          <w:tblHeader/>
          <w:jc w:val="center"/>
        </w:trPr>
        <w:tc>
          <w:tcPr>
            <w:tcW w:w="496" w:type="dxa"/>
            <w:tcBorders>
              <w:top w:val="single" w:sz="4" w:space="0" w:color="auto"/>
              <w:left w:val="single" w:sz="6" w:space="0" w:color="auto"/>
              <w:bottom w:val="double" w:sz="4" w:space="0" w:color="auto"/>
              <w:right w:val="single" w:sz="6" w:space="0" w:color="auto"/>
            </w:tcBorders>
            <w:noWrap/>
            <w:hideMark/>
          </w:tcPr>
          <w:p w14:paraId="63FF707D"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lastRenderedPageBreak/>
              <w:t>Lp.</w:t>
            </w:r>
          </w:p>
        </w:tc>
        <w:tc>
          <w:tcPr>
            <w:tcW w:w="3685" w:type="dxa"/>
            <w:tcBorders>
              <w:top w:val="single" w:sz="4" w:space="0" w:color="auto"/>
              <w:left w:val="single" w:sz="6" w:space="0" w:color="auto"/>
              <w:bottom w:val="double" w:sz="4" w:space="0" w:color="auto"/>
              <w:right w:val="single" w:sz="6" w:space="0" w:color="auto"/>
            </w:tcBorders>
            <w:noWrap/>
            <w:hideMark/>
          </w:tcPr>
          <w:p w14:paraId="598B596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Właściwość</w:t>
            </w:r>
          </w:p>
        </w:tc>
        <w:tc>
          <w:tcPr>
            <w:tcW w:w="1134" w:type="dxa"/>
            <w:tcBorders>
              <w:top w:val="single" w:sz="4" w:space="0" w:color="auto"/>
              <w:left w:val="single" w:sz="6" w:space="0" w:color="auto"/>
              <w:bottom w:val="double" w:sz="4" w:space="0" w:color="auto"/>
              <w:right w:val="single" w:sz="6" w:space="0" w:color="auto"/>
            </w:tcBorders>
            <w:noWrap/>
            <w:hideMark/>
          </w:tcPr>
          <w:p w14:paraId="51F1B722"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Jednostka </w:t>
            </w:r>
          </w:p>
        </w:tc>
        <w:tc>
          <w:tcPr>
            <w:tcW w:w="1276" w:type="dxa"/>
            <w:tcBorders>
              <w:top w:val="single" w:sz="4" w:space="0" w:color="auto"/>
              <w:left w:val="single" w:sz="6" w:space="0" w:color="auto"/>
              <w:bottom w:val="double" w:sz="4" w:space="0" w:color="auto"/>
              <w:right w:val="single" w:sz="6" w:space="0" w:color="auto"/>
            </w:tcBorders>
            <w:noWrap/>
            <w:hideMark/>
          </w:tcPr>
          <w:p w14:paraId="410B70B6"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Wymagania</w:t>
            </w:r>
          </w:p>
        </w:tc>
        <w:tc>
          <w:tcPr>
            <w:tcW w:w="924" w:type="dxa"/>
            <w:tcBorders>
              <w:top w:val="single" w:sz="4" w:space="0" w:color="auto"/>
              <w:left w:val="single" w:sz="6" w:space="0" w:color="auto"/>
              <w:bottom w:val="double" w:sz="4" w:space="0" w:color="auto"/>
              <w:right w:val="single" w:sz="6" w:space="0" w:color="auto"/>
            </w:tcBorders>
            <w:noWrap/>
            <w:hideMark/>
          </w:tcPr>
          <w:p w14:paraId="6EEFDC64"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Klasa</w:t>
            </w:r>
          </w:p>
        </w:tc>
      </w:tr>
      <w:tr w:rsidR="0093341C" w:rsidRPr="001667DB" w14:paraId="3ED8E94B"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6F1A5F16"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685" w:type="dxa"/>
            <w:tcBorders>
              <w:top w:val="single" w:sz="6" w:space="0" w:color="auto"/>
              <w:left w:val="single" w:sz="6" w:space="0" w:color="auto"/>
              <w:bottom w:val="single" w:sz="6" w:space="0" w:color="auto"/>
              <w:right w:val="single" w:sz="6" w:space="0" w:color="auto"/>
            </w:tcBorders>
            <w:noWrap/>
            <w:hideMark/>
          </w:tcPr>
          <w:p w14:paraId="61BEB50C"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nowego (w ciągu 14 - 30 dni po wykonaniu) w stanie suchym barwy:    </w:t>
            </w:r>
          </w:p>
          <w:p w14:paraId="6C34670C" w14:textId="77777777" w:rsidR="0093341C" w:rsidRPr="001667DB" w:rsidRDefault="0093341C" w:rsidP="00904E6C">
            <w:pPr>
              <w:numPr>
                <w:ilvl w:val="1"/>
                <w:numId w:val="320"/>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białej</w:t>
            </w:r>
          </w:p>
          <w:p w14:paraId="31622176" w14:textId="77777777" w:rsidR="0093341C" w:rsidRPr="001667DB" w:rsidRDefault="0093341C" w:rsidP="00904E6C">
            <w:pPr>
              <w:numPr>
                <w:ilvl w:val="1"/>
                <w:numId w:val="320"/>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żółtej tymczasowej</w:t>
            </w:r>
          </w:p>
        </w:tc>
        <w:tc>
          <w:tcPr>
            <w:tcW w:w="1134" w:type="dxa"/>
            <w:tcBorders>
              <w:top w:val="single" w:sz="6" w:space="0" w:color="auto"/>
              <w:left w:val="single" w:sz="6" w:space="0" w:color="auto"/>
              <w:bottom w:val="single" w:sz="6" w:space="0" w:color="auto"/>
              <w:right w:val="single" w:sz="6" w:space="0" w:color="auto"/>
            </w:tcBorders>
            <w:noWrap/>
          </w:tcPr>
          <w:p w14:paraId="1CAA6723" w14:textId="77777777" w:rsidR="0093341C" w:rsidRPr="001667DB" w:rsidRDefault="0093341C" w:rsidP="0093341C">
            <w:pPr>
              <w:spacing w:line="276" w:lineRule="auto"/>
              <w:jc w:val="center"/>
              <w:rPr>
                <w:rFonts w:ascii="Times New Roman" w:hAnsi="Times New Roman" w:cs="Times New Roman"/>
                <w:color w:val="000000" w:themeColor="text1"/>
              </w:rPr>
            </w:pPr>
          </w:p>
          <w:p w14:paraId="5043773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740659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C866D6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1C200BE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147607B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F13E7E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9B467A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8F855B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250</w:t>
            </w:r>
          </w:p>
          <w:p w14:paraId="19FE341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150</w:t>
            </w:r>
          </w:p>
        </w:tc>
        <w:tc>
          <w:tcPr>
            <w:tcW w:w="924" w:type="dxa"/>
            <w:tcBorders>
              <w:top w:val="single" w:sz="6" w:space="0" w:color="auto"/>
              <w:left w:val="single" w:sz="6" w:space="0" w:color="auto"/>
              <w:bottom w:val="single" w:sz="6" w:space="0" w:color="auto"/>
              <w:right w:val="single" w:sz="6" w:space="0" w:color="auto"/>
            </w:tcBorders>
            <w:noWrap/>
          </w:tcPr>
          <w:p w14:paraId="4821169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86BAC1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5B4D78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5BD173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R4/5</w:t>
            </w:r>
          </w:p>
          <w:p w14:paraId="52310D52"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R3</w:t>
            </w:r>
          </w:p>
        </w:tc>
      </w:tr>
      <w:tr w:rsidR="0093341C" w:rsidRPr="001667DB" w14:paraId="2D8D8F23"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227AA84E"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685" w:type="dxa"/>
            <w:tcBorders>
              <w:top w:val="single" w:sz="6" w:space="0" w:color="auto"/>
              <w:left w:val="single" w:sz="6" w:space="0" w:color="auto"/>
              <w:bottom w:val="single" w:sz="6" w:space="0" w:color="auto"/>
              <w:right w:val="single" w:sz="6" w:space="0" w:color="auto"/>
            </w:tcBorders>
            <w:noWrap/>
            <w:hideMark/>
          </w:tcPr>
          <w:p w14:paraId="56978BCE"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suchego w okresie od 1 do 6 miesięcy po wykonaniu, barwy: </w:t>
            </w:r>
          </w:p>
          <w:p w14:paraId="0EDB4504" w14:textId="77777777" w:rsidR="0093341C" w:rsidRPr="001667DB" w:rsidRDefault="0093341C" w:rsidP="00904E6C">
            <w:pPr>
              <w:numPr>
                <w:ilvl w:val="0"/>
                <w:numId w:val="321"/>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białej</w:t>
            </w:r>
          </w:p>
          <w:p w14:paraId="0CF36281" w14:textId="77777777" w:rsidR="0093341C" w:rsidRPr="001667DB" w:rsidRDefault="0093341C" w:rsidP="00904E6C">
            <w:pPr>
              <w:numPr>
                <w:ilvl w:val="0"/>
                <w:numId w:val="321"/>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70169D3E" w14:textId="77777777" w:rsidR="0093341C" w:rsidRPr="001667DB" w:rsidRDefault="0093341C" w:rsidP="0093341C">
            <w:pPr>
              <w:spacing w:line="276" w:lineRule="auto"/>
              <w:jc w:val="center"/>
              <w:rPr>
                <w:rFonts w:ascii="Times New Roman" w:hAnsi="Times New Roman" w:cs="Times New Roman"/>
                <w:color w:val="000000" w:themeColor="text1"/>
              </w:rPr>
            </w:pPr>
          </w:p>
          <w:p w14:paraId="2E9B3E13" w14:textId="77777777" w:rsidR="0093341C" w:rsidRPr="001667DB" w:rsidRDefault="0093341C" w:rsidP="0093341C">
            <w:pPr>
              <w:spacing w:line="276" w:lineRule="auto"/>
              <w:jc w:val="center"/>
              <w:rPr>
                <w:rFonts w:ascii="Times New Roman" w:hAnsi="Times New Roman" w:cs="Times New Roman"/>
                <w:color w:val="000000" w:themeColor="text1"/>
              </w:rPr>
            </w:pPr>
          </w:p>
          <w:p w14:paraId="14A91DC5" w14:textId="77777777" w:rsidR="0093341C" w:rsidRPr="001667DB" w:rsidRDefault="0093341C" w:rsidP="0093341C">
            <w:pPr>
              <w:spacing w:line="276" w:lineRule="auto"/>
              <w:jc w:val="center"/>
              <w:rPr>
                <w:rFonts w:ascii="Times New Roman" w:hAnsi="Times New Roman" w:cs="Times New Roman"/>
                <w:color w:val="000000" w:themeColor="text1"/>
              </w:rPr>
            </w:pPr>
          </w:p>
          <w:p w14:paraId="36E7D141" w14:textId="77777777" w:rsidR="0093341C" w:rsidRPr="001667DB" w:rsidRDefault="0093341C" w:rsidP="0093341C">
            <w:p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76537769"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7B18FE50" w14:textId="77777777" w:rsidR="0093341C" w:rsidRPr="001667DB" w:rsidRDefault="0093341C" w:rsidP="0093341C">
            <w:pPr>
              <w:spacing w:line="276" w:lineRule="auto"/>
              <w:jc w:val="center"/>
              <w:rPr>
                <w:rFonts w:ascii="Times New Roman" w:hAnsi="Times New Roman" w:cs="Times New Roman"/>
                <w:color w:val="000000" w:themeColor="text1"/>
              </w:rPr>
            </w:pPr>
          </w:p>
          <w:p w14:paraId="08E136FB" w14:textId="77777777" w:rsidR="0093341C" w:rsidRPr="001667DB" w:rsidRDefault="0093341C" w:rsidP="0093341C">
            <w:pPr>
              <w:spacing w:line="276" w:lineRule="auto"/>
              <w:jc w:val="center"/>
              <w:rPr>
                <w:rFonts w:ascii="Times New Roman" w:hAnsi="Times New Roman" w:cs="Times New Roman"/>
                <w:color w:val="000000" w:themeColor="text1"/>
              </w:rPr>
            </w:pPr>
          </w:p>
          <w:p w14:paraId="4306EEA9" w14:textId="77777777" w:rsidR="0093341C" w:rsidRPr="001667DB" w:rsidRDefault="0093341C" w:rsidP="0093341C">
            <w:pPr>
              <w:spacing w:line="276" w:lineRule="auto"/>
              <w:jc w:val="center"/>
              <w:rPr>
                <w:rFonts w:ascii="Times New Roman" w:hAnsi="Times New Roman" w:cs="Times New Roman"/>
                <w:color w:val="000000" w:themeColor="text1"/>
              </w:rPr>
            </w:pPr>
          </w:p>
          <w:p w14:paraId="7BFE9B10"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200</w:t>
            </w:r>
          </w:p>
          <w:p w14:paraId="718FB490"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100</w:t>
            </w:r>
          </w:p>
        </w:tc>
        <w:tc>
          <w:tcPr>
            <w:tcW w:w="924" w:type="dxa"/>
            <w:tcBorders>
              <w:top w:val="single" w:sz="6" w:space="0" w:color="auto"/>
              <w:left w:val="single" w:sz="6" w:space="0" w:color="auto"/>
              <w:bottom w:val="single" w:sz="6" w:space="0" w:color="auto"/>
              <w:right w:val="single" w:sz="6" w:space="0" w:color="auto"/>
            </w:tcBorders>
            <w:noWrap/>
          </w:tcPr>
          <w:p w14:paraId="310EECFA" w14:textId="77777777" w:rsidR="0093341C" w:rsidRPr="001667DB" w:rsidRDefault="0093341C" w:rsidP="0093341C">
            <w:pPr>
              <w:spacing w:line="276" w:lineRule="auto"/>
              <w:jc w:val="center"/>
              <w:rPr>
                <w:rFonts w:ascii="Times New Roman" w:hAnsi="Times New Roman" w:cs="Times New Roman"/>
                <w:color w:val="000000" w:themeColor="text1"/>
              </w:rPr>
            </w:pPr>
          </w:p>
          <w:p w14:paraId="24A6059E" w14:textId="77777777" w:rsidR="0093341C" w:rsidRPr="001667DB" w:rsidRDefault="0093341C" w:rsidP="0093341C">
            <w:pPr>
              <w:spacing w:line="276" w:lineRule="auto"/>
              <w:jc w:val="center"/>
              <w:rPr>
                <w:rFonts w:ascii="Times New Roman" w:hAnsi="Times New Roman" w:cs="Times New Roman"/>
                <w:color w:val="000000" w:themeColor="text1"/>
              </w:rPr>
            </w:pPr>
          </w:p>
          <w:p w14:paraId="10324D3A" w14:textId="77777777" w:rsidR="0093341C" w:rsidRPr="001667DB" w:rsidRDefault="0093341C" w:rsidP="0093341C">
            <w:pPr>
              <w:spacing w:line="276" w:lineRule="auto"/>
              <w:jc w:val="center"/>
              <w:rPr>
                <w:rFonts w:ascii="Times New Roman" w:hAnsi="Times New Roman" w:cs="Times New Roman"/>
                <w:color w:val="000000" w:themeColor="text1"/>
              </w:rPr>
            </w:pPr>
          </w:p>
          <w:p w14:paraId="74C960D7"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R4</w:t>
            </w:r>
          </w:p>
          <w:p w14:paraId="6C950FD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R2</w:t>
            </w:r>
          </w:p>
        </w:tc>
      </w:tr>
      <w:tr w:rsidR="0093341C" w:rsidRPr="001667DB" w14:paraId="2FCFFBCB"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2AB8F813"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685" w:type="dxa"/>
            <w:tcBorders>
              <w:top w:val="single" w:sz="6" w:space="0" w:color="auto"/>
              <w:left w:val="single" w:sz="6" w:space="0" w:color="auto"/>
              <w:bottom w:val="single" w:sz="6" w:space="0" w:color="auto"/>
              <w:right w:val="single" w:sz="6" w:space="0" w:color="auto"/>
            </w:tcBorders>
            <w:noWrap/>
            <w:hideMark/>
          </w:tcPr>
          <w:p w14:paraId="1511B9E3"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suchego od 7 miesiąca po wykonaniu barwy białej</w:t>
            </w:r>
          </w:p>
        </w:tc>
        <w:tc>
          <w:tcPr>
            <w:tcW w:w="1134" w:type="dxa"/>
            <w:tcBorders>
              <w:top w:val="single" w:sz="6" w:space="0" w:color="auto"/>
              <w:left w:val="single" w:sz="6" w:space="0" w:color="auto"/>
              <w:bottom w:val="single" w:sz="6" w:space="0" w:color="auto"/>
              <w:right w:val="single" w:sz="6" w:space="0" w:color="auto"/>
            </w:tcBorders>
            <w:noWrap/>
            <w:vAlign w:val="center"/>
            <w:hideMark/>
          </w:tcPr>
          <w:p w14:paraId="6414E9C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vAlign w:val="center"/>
            <w:hideMark/>
          </w:tcPr>
          <w:p w14:paraId="1159F0A8"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150</w:t>
            </w:r>
          </w:p>
        </w:tc>
        <w:tc>
          <w:tcPr>
            <w:tcW w:w="924" w:type="dxa"/>
            <w:tcBorders>
              <w:top w:val="single" w:sz="6" w:space="0" w:color="auto"/>
              <w:left w:val="single" w:sz="6" w:space="0" w:color="auto"/>
              <w:bottom w:val="single" w:sz="6" w:space="0" w:color="auto"/>
              <w:right w:val="single" w:sz="6" w:space="0" w:color="auto"/>
            </w:tcBorders>
            <w:noWrap/>
            <w:vAlign w:val="center"/>
            <w:hideMark/>
          </w:tcPr>
          <w:p w14:paraId="427223B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R3</w:t>
            </w:r>
          </w:p>
        </w:tc>
      </w:tr>
      <w:tr w:rsidR="0093341C" w:rsidRPr="001667DB" w14:paraId="23109263"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58FB60F4"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685" w:type="dxa"/>
            <w:tcBorders>
              <w:top w:val="single" w:sz="6" w:space="0" w:color="auto"/>
              <w:left w:val="single" w:sz="6" w:space="0" w:color="auto"/>
              <w:bottom w:val="single" w:sz="6" w:space="0" w:color="auto"/>
              <w:right w:val="single" w:sz="6" w:space="0" w:color="auto"/>
            </w:tcBorders>
            <w:noWrap/>
            <w:hideMark/>
          </w:tcPr>
          <w:p w14:paraId="3EC3520C"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grubowarstwowego strukturalnego oznakowania wilgotnego od 14 do 30 dnia po wykonaniu, barwy białej</w:t>
            </w:r>
          </w:p>
        </w:tc>
        <w:tc>
          <w:tcPr>
            <w:tcW w:w="1134" w:type="dxa"/>
            <w:tcBorders>
              <w:top w:val="single" w:sz="6" w:space="0" w:color="auto"/>
              <w:left w:val="single" w:sz="6" w:space="0" w:color="auto"/>
              <w:bottom w:val="single" w:sz="6" w:space="0" w:color="auto"/>
              <w:right w:val="single" w:sz="6" w:space="0" w:color="auto"/>
            </w:tcBorders>
            <w:noWrap/>
            <w:vAlign w:val="center"/>
            <w:hideMark/>
          </w:tcPr>
          <w:p w14:paraId="662F754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vAlign w:val="center"/>
            <w:hideMark/>
          </w:tcPr>
          <w:p w14:paraId="45B39D68"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50</w:t>
            </w:r>
          </w:p>
        </w:tc>
        <w:tc>
          <w:tcPr>
            <w:tcW w:w="924" w:type="dxa"/>
            <w:tcBorders>
              <w:top w:val="single" w:sz="6" w:space="0" w:color="auto"/>
              <w:left w:val="single" w:sz="6" w:space="0" w:color="auto"/>
              <w:bottom w:val="single" w:sz="6" w:space="0" w:color="auto"/>
              <w:right w:val="single" w:sz="6" w:space="0" w:color="auto"/>
            </w:tcBorders>
            <w:noWrap/>
            <w:vAlign w:val="center"/>
            <w:hideMark/>
          </w:tcPr>
          <w:p w14:paraId="16AA6C7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RW3</w:t>
            </w:r>
          </w:p>
        </w:tc>
      </w:tr>
      <w:tr w:rsidR="0093341C" w:rsidRPr="001667DB" w14:paraId="71F75E0E"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4DCCA26D"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685" w:type="dxa"/>
            <w:tcBorders>
              <w:top w:val="single" w:sz="6" w:space="0" w:color="auto"/>
              <w:left w:val="single" w:sz="6" w:space="0" w:color="auto"/>
              <w:bottom w:val="single" w:sz="6" w:space="0" w:color="auto"/>
              <w:right w:val="single" w:sz="6" w:space="0" w:color="auto"/>
            </w:tcBorders>
            <w:noWrap/>
            <w:hideMark/>
          </w:tcPr>
          <w:p w14:paraId="3E800DDC"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grubowarstwowego strukturalnego oznako-wania wilgotnego po 30 dniu od wykonania, barwy białej</w:t>
            </w:r>
          </w:p>
        </w:tc>
        <w:tc>
          <w:tcPr>
            <w:tcW w:w="1134" w:type="dxa"/>
            <w:tcBorders>
              <w:top w:val="single" w:sz="6" w:space="0" w:color="auto"/>
              <w:left w:val="single" w:sz="6" w:space="0" w:color="auto"/>
              <w:bottom w:val="single" w:sz="6" w:space="0" w:color="auto"/>
              <w:right w:val="single" w:sz="6" w:space="0" w:color="auto"/>
            </w:tcBorders>
            <w:noWrap/>
          </w:tcPr>
          <w:p w14:paraId="51A077B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41E0D5D"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5FF366C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7B9B5E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35</w:t>
            </w:r>
          </w:p>
        </w:tc>
        <w:tc>
          <w:tcPr>
            <w:tcW w:w="924" w:type="dxa"/>
            <w:tcBorders>
              <w:top w:val="single" w:sz="6" w:space="0" w:color="auto"/>
              <w:left w:val="single" w:sz="6" w:space="0" w:color="auto"/>
              <w:bottom w:val="single" w:sz="6" w:space="0" w:color="auto"/>
              <w:right w:val="single" w:sz="6" w:space="0" w:color="auto"/>
            </w:tcBorders>
            <w:noWrap/>
          </w:tcPr>
          <w:p w14:paraId="4A845D2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2F73D4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RW2</w:t>
            </w:r>
          </w:p>
        </w:tc>
      </w:tr>
      <w:tr w:rsidR="0093341C" w:rsidRPr="001667DB" w14:paraId="5BE54636"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39E029EF"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3685" w:type="dxa"/>
            <w:tcBorders>
              <w:top w:val="single" w:sz="6" w:space="0" w:color="auto"/>
              <w:left w:val="single" w:sz="6" w:space="0" w:color="auto"/>
              <w:bottom w:val="single" w:sz="6" w:space="0" w:color="auto"/>
              <w:right w:val="single" w:sz="6" w:space="0" w:color="auto"/>
            </w:tcBorders>
            <w:noWrap/>
            <w:hideMark/>
          </w:tcPr>
          <w:p w14:paraId="67B5908F"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dla oznakowa-nia nowego (od 14 do 30 dnia po wykonaniu)  barwy:</w:t>
            </w:r>
          </w:p>
          <w:p w14:paraId="3B77BCE1" w14:textId="77777777" w:rsidR="0093341C" w:rsidRPr="001667DB" w:rsidRDefault="0093341C" w:rsidP="00904E6C">
            <w:pPr>
              <w:numPr>
                <w:ilvl w:val="0"/>
                <w:numId w:val="322"/>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7B95D209" w14:textId="77777777" w:rsidR="0093341C" w:rsidRPr="001667DB" w:rsidRDefault="0093341C" w:rsidP="00904E6C">
            <w:pPr>
              <w:numPr>
                <w:ilvl w:val="0"/>
                <w:numId w:val="322"/>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3DA79C5B" w14:textId="77777777" w:rsidR="0093341C" w:rsidRPr="001667DB" w:rsidRDefault="0093341C" w:rsidP="00904E6C">
            <w:pPr>
              <w:numPr>
                <w:ilvl w:val="0"/>
                <w:numId w:val="322"/>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żółtej </w:t>
            </w:r>
          </w:p>
        </w:tc>
        <w:tc>
          <w:tcPr>
            <w:tcW w:w="1134" w:type="dxa"/>
            <w:tcBorders>
              <w:top w:val="single" w:sz="6" w:space="0" w:color="auto"/>
              <w:left w:val="single" w:sz="6" w:space="0" w:color="auto"/>
              <w:bottom w:val="single" w:sz="6" w:space="0" w:color="auto"/>
              <w:right w:val="single" w:sz="6" w:space="0" w:color="auto"/>
            </w:tcBorders>
            <w:noWrap/>
          </w:tcPr>
          <w:p w14:paraId="622616EA" w14:textId="77777777" w:rsidR="0093341C" w:rsidRPr="001667DB" w:rsidRDefault="0093341C" w:rsidP="0093341C">
            <w:pPr>
              <w:spacing w:line="276" w:lineRule="auto"/>
              <w:jc w:val="center"/>
              <w:rPr>
                <w:rFonts w:ascii="Times New Roman" w:hAnsi="Times New Roman" w:cs="Times New Roman"/>
                <w:color w:val="000000" w:themeColor="text1"/>
              </w:rPr>
            </w:pPr>
          </w:p>
          <w:p w14:paraId="6A49F04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19331B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6E6876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04E653E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132E007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tcBorders>
              <w:top w:val="single" w:sz="6" w:space="0" w:color="auto"/>
              <w:left w:val="single" w:sz="6" w:space="0" w:color="auto"/>
              <w:bottom w:val="single" w:sz="6" w:space="0" w:color="auto"/>
              <w:right w:val="single" w:sz="6" w:space="0" w:color="auto"/>
            </w:tcBorders>
            <w:noWrap/>
          </w:tcPr>
          <w:p w14:paraId="66D4A18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644CE9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8B76DC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FFC024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0,40</w:t>
            </w:r>
          </w:p>
          <w:p w14:paraId="11EF349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0,50</w:t>
            </w:r>
          </w:p>
          <w:p w14:paraId="20C1F29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0,30</w:t>
            </w:r>
          </w:p>
        </w:tc>
        <w:tc>
          <w:tcPr>
            <w:tcW w:w="924" w:type="dxa"/>
            <w:tcBorders>
              <w:top w:val="single" w:sz="6" w:space="0" w:color="auto"/>
              <w:left w:val="single" w:sz="6" w:space="0" w:color="auto"/>
              <w:bottom w:val="single" w:sz="6" w:space="0" w:color="auto"/>
              <w:right w:val="single" w:sz="6" w:space="0" w:color="auto"/>
            </w:tcBorders>
            <w:noWrap/>
          </w:tcPr>
          <w:p w14:paraId="4B84E50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453D4C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F17955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6C8EE6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B3</w:t>
            </w:r>
          </w:p>
          <w:p w14:paraId="056F411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B4</w:t>
            </w:r>
          </w:p>
          <w:p w14:paraId="18219888"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B2</w:t>
            </w:r>
          </w:p>
        </w:tc>
      </w:tr>
      <w:tr w:rsidR="0093341C" w:rsidRPr="001667DB" w14:paraId="2335292B"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05C3774A"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7</w:t>
            </w:r>
          </w:p>
        </w:tc>
        <w:tc>
          <w:tcPr>
            <w:tcW w:w="3685" w:type="dxa"/>
            <w:tcBorders>
              <w:top w:val="single" w:sz="6" w:space="0" w:color="auto"/>
              <w:left w:val="single" w:sz="6" w:space="0" w:color="auto"/>
              <w:bottom w:val="single" w:sz="6" w:space="0" w:color="auto"/>
              <w:right w:val="single" w:sz="6" w:space="0" w:color="auto"/>
            </w:tcBorders>
            <w:noWrap/>
            <w:hideMark/>
          </w:tcPr>
          <w:p w14:paraId="36C3F40D"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dla oznakowa-nia eksploatowanego (po 30 dniu od wykonania) barwy:</w:t>
            </w:r>
          </w:p>
          <w:p w14:paraId="167669F9"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białej na nawierzchni asfaltowej</w:t>
            </w:r>
          </w:p>
          <w:p w14:paraId="57CC215D"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białej na nawierzchni betonowej</w:t>
            </w:r>
          </w:p>
          <w:p w14:paraId="4D28D78F" w14:textId="77777777" w:rsidR="0093341C" w:rsidRPr="001667DB" w:rsidRDefault="0093341C" w:rsidP="0093341C">
            <w:pPr>
              <w:pStyle w:val="Stopka"/>
              <w:numPr>
                <w:ilvl w:val="12"/>
                <w:numId w:val="0"/>
              </w:numPr>
              <w:tabs>
                <w:tab w:val="left" w:pos="709"/>
              </w:tabs>
              <w:spacing w:line="276" w:lineRule="auto"/>
              <w:rPr>
                <w:color w:val="000000" w:themeColor="text1"/>
                <w:sz w:val="22"/>
              </w:rPr>
            </w:pPr>
            <w:r w:rsidRPr="001667DB">
              <w:rPr>
                <w:color w:val="000000" w:themeColor="text1"/>
                <w:sz w:val="22"/>
              </w:rPr>
              <w:t xml:space="preserve">- żółtej </w:t>
            </w:r>
          </w:p>
        </w:tc>
        <w:tc>
          <w:tcPr>
            <w:tcW w:w="1134" w:type="dxa"/>
            <w:tcBorders>
              <w:top w:val="single" w:sz="6" w:space="0" w:color="auto"/>
              <w:left w:val="single" w:sz="6" w:space="0" w:color="auto"/>
              <w:bottom w:val="single" w:sz="6" w:space="0" w:color="auto"/>
              <w:right w:val="single" w:sz="6" w:space="0" w:color="auto"/>
            </w:tcBorders>
            <w:noWrap/>
          </w:tcPr>
          <w:p w14:paraId="32E25C9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1061BC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264EA8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486F8B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490067F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2FA210C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tcBorders>
              <w:top w:val="single" w:sz="6" w:space="0" w:color="auto"/>
              <w:left w:val="single" w:sz="6" w:space="0" w:color="auto"/>
              <w:bottom w:val="single" w:sz="6" w:space="0" w:color="auto"/>
              <w:right w:val="single" w:sz="6" w:space="0" w:color="auto"/>
            </w:tcBorders>
            <w:noWrap/>
          </w:tcPr>
          <w:p w14:paraId="776A812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BE98D5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9E0D451"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p>
          <w:p w14:paraId="213E15B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0,30</w:t>
            </w:r>
          </w:p>
          <w:p w14:paraId="65D41C1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0,40</w:t>
            </w:r>
          </w:p>
          <w:p w14:paraId="1545AB6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0,20</w:t>
            </w:r>
          </w:p>
        </w:tc>
        <w:tc>
          <w:tcPr>
            <w:tcW w:w="924" w:type="dxa"/>
            <w:tcBorders>
              <w:top w:val="single" w:sz="6" w:space="0" w:color="auto"/>
              <w:left w:val="single" w:sz="6" w:space="0" w:color="auto"/>
              <w:bottom w:val="single" w:sz="6" w:space="0" w:color="auto"/>
              <w:right w:val="single" w:sz="6" w:space="0" w:color="auto"/>
            </w:tcBorders>
            <w:noWrap/>
          </w:tcPr>
          <w:p w14:paraId="2CCDE94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27B5EF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1F66A6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55D522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B2</w:t>
            </w:r>
          </w:p>
          <w:p w14:paraId="48248BD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B3</w:t>
            </w:r>
          </w:p>
          <w:p w14:paraId="3D167FE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B1</w:t>
            </w:r>
          </w:p>
        </w:tc>
      </w:tr>
      <w:tr w:rsidR="0093341C" w:rsidRPr="001667DB" w14:paraId="42F1413E"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49791A35"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685" w:type="dxa"/>
            <w:tcBorders>
              <w:top w:val="single" w:sz="6" w:space="0" w:color="auto"/>
              <w:left w:val="single" w:sz="6" w:space="0" w:color="auto"/>
              <w:bottom w:val="single" w:sz="6" w:space="0" w:color="auto"/>
              <w:right w:val="single" w:sz="6" w:space="0" w:color="auto"/>
            </w:tcBorders>
            <w:noWrap/>
            <w:hideMark/>
          </w:tcPr>
          <w:p w14:paraId="45EF36F3"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 świetle rozproszonym Qd (alternatywnie do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dla oznakowania nowego w ciągu od 14 do 30  dnia po wykonaniu, barwy:</w:t>
            </w:r>
          </w:p>
          <w:p w14:paraId="051BDE00"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192051B0"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07EA7C72"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49B4DB09" w14:textId="77777777" w:rsidR="0093341C" w:rsidRPr="001667DB" w:rsidRDefault="0093341C" w:rsidP="0093341C">
            <w:pPr>
              <w:spacing w:line="276" w:lineRule="auto"/>
              <w:jc w:val="center"/>
              <w:rPr>
                <w:rFonts w:ascii="Times New Roman" w:hAnsi="Times New Roman" w:cs="Times New Roman"/>
                <w:color w:val="000000" w:themeColor="text1"/>
              </w:rPr>
            </w:pPr>
          </w:p>
          <w:p w14:paraId="3A43B5E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2A5F2E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36534A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CA2D51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2DD5EA6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028E9F2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347D63C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96AA33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B053DF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328032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10DCCC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130</w:t>
            </w:r>
          </w:p>
          <w:p w14:paraId="2974DCE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160</w:t>
            </w:r>
          </w:p>
          <w:p w14:paraId="034C87F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100</w:t>
            </w:r>
          </w:p>
        </w:tc>
        <w:tc>
          <w:tcPr>
            <w:tcW w:w="924" w:type="dxa"/>
            <w:tcBorders>
              <w:top w:val="single" w:sz="6" w:space="0" w:color="auto"/>
              <w:left w:val="single" w:sz="6" w:space="0" w:color="auto"/>
              <w:bottom w:val="single" w:sz="6" w:space="0" w:color="auto"/>
              <w:right w:val="single" w:sz="6" w:space="0" w:color="auto"/>
            </w:tcBorders>
            <w:noWrap/>
          </w:tcPr>
          <w:p w14:paraId="2A0962C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451F47C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5C11AC2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2D07497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0B9A0B2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Q3</w:t>
            </w:r>
          </w:p>
          <w:p w14:paraId="2FAAEED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Q4</w:t>
            </w:r>
          </w:p>
          <w:p w14:paraId="4B98E0B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Q2</w:t>
            </w:r>
          </w:p>
        </w:tc>
      </w:tr>
      <w:tr w:rsidR="0093341C" w:rsidRPr="001667DB" w14:paraId="67520439"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3C60B7EC"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3685" w:type="dxa"/>
            <w:tcBorders>
              <w:top w:val="single" w:sz="6" w:space="0" w:color="auto"/>
              <w:left w:val="single" w:sz="6" w:space="0" w:color="auto"/>
              <w:bottom w:val="single" w:sz="6" w:space="0" w:color="auto"/>
              <w:right w:val="single" w:sz="6" w:space="0" w:color="auto"/>
            </w:tcBorders>
            <w:noWrap/>
            <w:hideMark/>
          </w:tcPr>
          <w:p w14:paraId="657CAEC0"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 świetle rozproszonym Qd (alternatywnie do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dla oznakowania eksploatowanego w ciągu całego okresu eksploatacji po 30 dniu od wykonania,  barwy:</w:t>
            </w:r>
          </w:p>
          <w:p w14:paraId="7B48E9AB"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373930DE"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28149648"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38D615A2" w14:textId="77777777" w:rsidR="0093341C" w:rsidRPr="001667DB" w:rsidRDefault="0093341C" w:rsidP="0093341C">
            <w:pPr>
              <w:spacing w:line="276" w:lineRule="auto"/>
              <w:jc w:val="center"/>
              <w:rPr>
                <w:rFonts w:ascii="Times New Roman" w:hAnsi="Times New Roman" w:cs="Times New Roman"/>
                <w:color w:val="000000" w:themeColor="text1"/>
              </w:rPr>
            </w:pPr>
          </w:p>
          <w:p w14:paraId="0808BAA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1ED412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5E86C2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088D90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CF9928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3D76B0A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0D64340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582C312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2668BB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30BEB6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B5310D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CBA891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B2AD20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100</w:t>
            </w:r>
          </w:p>
          <w:p w14:paraId="34C96FF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130</w:t>
            </w:r>
          </w:p>
          <w:p w14:paraId="2ED8A9B3"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lang w:val="en-US"/>
              </w:rPr>
              <w:t xml:space="preserve"> 80</w:t>
            </w:r>
          </w:p>
        </w:tc>
        <w:tc>
          <w:tcPr>
            <w:tcW w:w="924" w:type="dxa"/>
            <w:tcBorders>
              <w:top w:val="single" w:sz="6" w:space="0" w:color="auto"/>
              <w:left w:val="single" w:sz="6" w:space="0" w:color="auto"/>
              <w:bottom w:val="single" w:sz="6" w:space="0" w:color="auto"/>
              <w:right w:val="single" w:sz="6" w:space="0" w:color="auto"/>
            </w:tcBorders>
            <w:noWrap/>
          </w:tcPr>
          <w:p w14:paraId="48F30B7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2F0CEE5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1E1F517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328563B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424EB49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6072507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Q2</w:t>
            </w:r>
          </w:p>
          <w:p w14:paraId="1C8659C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Q3</w:t>
            </w:r>
          </w:p>
          <w:p w14:paraId="692FBC2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Q1</w:t>
            </w:r>
          </w:p>
        </w:tc>
      </w:tr>
      <w:tr w:rsidR="0093341C" w:rsidRPr="001667DB" w14:paraId="5B1385D9"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5078F9AA"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685" w:type="dxa"/>
            <w:tcBorders>
              <w:top w:val="single" w:sz="6" w:space="0" w:color="auto"/>
              <w:left w:val="single" w:sz="6" w:space="0" w:color="auto"/>
              <w:bottom w:val="single" w:sz="6" w:space="0" w:color="auto"/>
              <w:right w:val="single" w:sz="6" w:space="0" w:color="auto"/>
            </w:tcBorders>
            <w:noWrap/>
            <w:hideMark/>
          </w:tcPr>
          <w:p w14:paraId="4C0ECB5E"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Szorstkość oznakowania eksploatowanego</w:t>
            </w:r>
          </w:p>
        </w:tc>
        <w:tc>
          <w:tcPr>
            <w:tcW w:w="1134" w:type="dxa"/>
            <w:tcBorders>
              <w:top w:val="single" w:sz="6" w:space="0" w:color="auto"/>
              <w:left w:val="single" w:sz="6" w:space="0" w:color="auto"/>
              <w:bottom w:val="single" w:sz="6" w:space="0" w:color="auto"/>
              <w:right w:val="single" w:sz="6" w:space="0" w:color="auto"/>
            </w:tcBorders>
            <w:noWrap/>
            <w:hideMark/>
          </w:tcPr>
          <w:p w14:paraId="6E9CC277"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wskaźnik</w:t>
            </w:r>
          </w:p>
          <w:p w14:paraId="0EDD4FF6"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SRT</w:t>
            </w:r>
          </w:p>
        </w:tc>
        <w:tc>
          <w:tcPr>
            <w:tcW w:w="1276" w:type="dxa"/>
            <w:tcBorders>
              <w:top w:val="single" w:sz="6" w:space="0" w:color="auto"/>
              <w:left w:val="single" w:sz="6" w:space="0" w:color="auto"/>
              <w:bottom w:val="single" w:sz="6" w:space="0" w:color="auto"/>
              <w:right w:val="single" w:sz="6" w:space="0" w:color="auto"/>
            </w:tcBorders>
            <w:noWrap/>
          </w:tcPr>
          <w:p w14:paraId="5B51463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800830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45</w:t>
            </w:r>
          </w:p>
        </w:tc>
        <w:tc>
          <w:tcPr>
            <w:tcW w:w="924" w:type="dxa"/>
            <w:tcBorders>
              <w:top w:val="single" w:sz="6" w:space="0" w:color="auto"/>
              <w:left w:val="single" w:sz="6" w:space="0" w:color="auto"/>
              <w:bottom w:val="single" w:sz="6" w:space="0" w:color="auto"/>
              <w:right w:val="single" w:sz="6" w:space="0" w:color="auto"/>
            </w:tcBorders>
            <w:noWrap/>
          </w:tcPr>
          <w:p w14:paraId="26AE85F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056555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S1</w:t>
            </w:r>
          </w:p>
        </w:tc>
      </w:tr>
      <w:tr w:rsidR="0093341C" w:rsidRPr="001667DB" w14:paraId="0D93BAF9"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1702C0FB"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685" w:type="dxa"/>
            <w:tcBorders>
              <w:top w:val="single" w:sz="6" w:space="0" w:color="auto"/>
              <w:left w:val="single" w:sz="6" w:space="0" w:color="auto"/>
              <w:bottom w:val="single" w:sz="6" w:space="0" w:color="auto"/>
              <w:right w:val="single" w:sz="6" w:space="0" w:color="auto"/>
            </w:tcBorders>
            <w:noWrap/>
            <w:hideMark/>
          </w:tcPr>
          <w:p w14:paraId="5FB22D48"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Trwałość oznakowania cienkowarstwo-wego po 12 miesiącach:</w:t>
            </w:r>
          </w:p>
        </w:tc>
        <w:tc>
          <w:tcPr>
            <w:tcW w:w="1134" w:type="dxa"/>
            <w:tcBorders>
              <w:top w:val="single" w:sz="6" w:space="0" w:color="auto"/>
              <w:left w:val="single" w:sz="6" w:space="0" w:color="auto"/>
              <w:bottom w:val="single" w:sz="6" w:space="0" w:color="auto"/>
              <w:right w:val="single" w:sz="6" w:space="0" w:color="auto"/>
            </w:tcBorders>
            <w:noWrap/>
          </w:tcPr>
          <w:p w14:paraId="518003A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71968CD"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skala LCPC</w:t>
            </w:r>
          </w:p>
        </w:tc>
        <w:tc>
          <w:tcPr>
            <w:tcW w:w="1276" w:type="dxa"/>
            <w:tcBorders>
              <w:top w:val="single" w:sz="6" w:space="0" w:color="auto"/>
              <w:left w:val="single" w:sz="6" w:space="0" w:color="auto"/>
              <w:bottom w:val="single" w:sz="6" w:space="0" w:color="auto"/>
              <w:right w:val="single" w:sz="6" w:space="0" w:color="auto"/>
            </w:tcBorders>
            <w:noWrap/>
          </w:tcPr>
          <w:p w14:paraId="64D6445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B0946A1"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6</w:t>
            </w:r>
          </w:p>
        </w:tc>
        <w:tc>
          <w:tcPr>
            <w:tcW w:w="924" w:type="dxa"/>
            <w:tcBorders>
              <w:top w:val="single" w:sz="6" w:space="0" w:color="auto"/>
              <w:left w:val="single" w:sz="6" w:space="0" w:color="auto"/>
              <w:bottom w:val="single" w:sz="6" w:space="0" w:color="auto"/>
              <w:right w:val="single" w:sz="6" w:space="0" w:color="auto"/>
            </w:tcBorders>
            <w:noWrap/>
          </w:tcPr>
          <w:p w14:paraId="7DE753B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E83B3C1"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3341C" w:rsidRPr="001667DB" w14:paraId="57F15018"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77789D59"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12</w:t>
            </w:r>
          </w:p>
        </w:tc>
        <w:tc>
          <w:tcPr>
            <w:tcW w:w="3685" w:type="dxa"/>
            <w:tcBorders>
              <w:top w:val="single" w:sz="6" w:space="0" w:color="auto"/>
              <w:left w:val="single" w:sz="6" w:space="0" w:color="auto"/>
              <w:bottom w:val="single" w:sz="6" w:space="0" w:color="auto"/>
              <w:right w:val="single" w:sz="6" w:space="0" w:color="auto"/>
            </w:tcBorders>
            <w:noWrap/>
            <w:hideMark/>
          </w:tcPr>
          <w:p w14:paraId="693956B1"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Czas schnięcia materiału na nawierzchni</w:t>
            </w:r>
          </w:p>
          <w:p w14:paraId="57BFABC7" w14:textId="77777777" w:rsidR="0093341C" w:rsidRPr="001667DB" w:rsidRDefault="0093341C" w:rsidP="00904E6C">
            <w:pPr>
              <w:numPr>
                <w:ilvl w:val="0"/>
                <w:numId w:val="325"/>
              </w:numPr>
              <w:tabs>
                <w:tab w:val="left" w:pos="-3190"/>
              </w:tabs>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w dzień</w:t>
            </w:r>
          </w:p>
          <w:p w14:paraId="6F2DC536" w14:textId="77777777" w:rsidR="0093341C" w:rsidRPr="001667DB" w:rsidRDefault="0093341C" w:rsidP="00904E6C">
            <w:pPr>
              <w:numPr>
                <w:ilvl w:val="0"/>
                <w:numId w:val="325"/>
              </w:numPr>
              <w:tabs>
                <w:tab w:val="left" w:pos="-3190"/>
              </w:tabs>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w nocy</w:t>
            </w:r>
          </w:p>
        </w:tc>
        <w:tc>
          <w:tcPr>
            <w:tcW w:w="1134" w:type="dxa"/>
            <w:tcBorders>
              <w:top w:val="single" w:sz="6" w:space="0" w:color="auto"/>
              <w:left w:val="single" w:sz="6" w:space="0" w:color="auto"/>
              <w:bottom w:val="single" w:sz="6" w:space="0" w:color="auto"/>
              <w:right w:val="single" w:sz="6" w:space="0" w:color="auto"/>
            </w:tcBorders>
            <w:noWrap/>
          </w:tcPr>
          <w:p w14:paraId="49F3933D" w14:textId="77777777" w:rsidR="0093341C" w:rsidRPr="001667DB" w:rsidRDefault="0093341C" w:rsidP="0093341C">
            <w:pPr>
              <w:spacing w:line="276" w:lineRule="auto"/>
              <w:jc w:val="center"/>
              <w:rPr>
                <w:rFonts w:ascii="Times New Roman" w:hAnsi="Times New Roman" w:cs="Times New Roman"/>
                <w:color w:val="000000" w:themeColor="text1"/>
              </w:rPr>
            </w:pPr>
          </w:p>
          <w:p w14:paraId="20647749"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p w14:paraId="4940E31E"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tc>
        <w:tc>
          <w:tcPr>
            <w:tcW w:w="1276" w:type="dxa"/>
            <w:tcBorders>
              <w:top w:val="single" w:sz="6" w:space="0" w:color="auto"/>
              <w:left w:val="single" w:sz="6" w:space="0" w:color="auto"/>
              <w:bottom w:val="single" w:sz="6" w:space="0" w:color="auto"/>
              <w:right w:val="single" w:sz="6" w:space="0" w:color="auto"/>
            </w:tcBorders>
            <w:noWrap/>
          </w:tcPr>
          <w:p w14:paraId="5955C732" w14:textId="77777777" w:rsidR="0093341C" w:rsidRPr="001667DB" w:rsidRDefault="0093341C" w:rsidP="0093341C">
            <w:pPr>
              <w:spacing w:line="276" w:lineRule="auto"/>
              <w:jc w:val="center"/>
              <w:rPr>
                <w:rFonts w:ascii="Times New Roman" w:hAnsi="Times New Roman" w:cs="Times New Roman"/>
                <w:color w:val="000000" w:themeColor="text1"/>
              </w:rPr>
            </w:pPr>
          </w:p>
          <w:p w14:paraId="4AC7A613"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1</w:t>
            </w:r>
          </w:p>
          <w:p w14:paraId="683B09BB"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2</w:t>
            </w:r>
          </w:p>
        </w:tc>
        <w:tc>
          <w:tcPr>
            <w:tcW w:w="924" w:type="dxa"/>
            <w:tcBorders>
              <w:top w:val="single" w:sz="6" w:space="0" w:color="auto"/>
              <w:left w:val="single" w:sz="6" w:space="0" w:color="auto"/>
              <w:bottom w:val="single" w:sz="6" w:space="0" w:color="auto"/>
              <w:right w:val="single" w:sz="6" w:space="0" w:color="auto"/>
            </w:tcBorders>
            <w:noWrap/>
          </w:tcPr>
          <w:p w14:paraId="3BF13B2D" w14:textId="77777777" w:rsidR="0093341C" w:rsidRPr="001667DB" w:rsidRDefault="0093341C" w:rsidP="0093341C">
            <w:pPr>
              <w:spacing w:line="276" w:lineRule="auto"/>
              <w:jc w:val="center"/>
              <w:rPr>
                <w:rFonts w:ascii="Times New Roman" w:hAnsi="Times New Roman" w:cs="Times New Roman"/>
                <w:color w:val="000000" w:themeColor="text1"/>
              </w:rPr>
            </w:pPr>
          </w:p>
          <w:p w14:paraId="30780AEF"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084847A6"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bl>
    <w:p w14:paraId="5F9A89AD" w14:textId="77777777" w:rsidR="0093341C" w:rsidRPr="001667DB" w:rsidRDefault="0093341C" w:rsidP="0093341C">
      <w:pPr>
        <w:spacing w:line="276" w:lineRule="auto"/>
        <w:rPr>
          <w:rFonts w:ascii="Times New Roman" w:hAnsi="Times New Roman" w:cs="Times New Roman"/>
          <w:color w:val="000000" w:themeColor="text1"/>
        </w:rPr>
      </w:pPr>
    </w:p>
    <w:p w14:paraId="46A08D56" w14:textId="77777777" w:rsidR="0093341C" w:rsidRPr="001667DB" w:rsidRDefault="0093341C" w:rsidP="0093341C">
      <w:pPr>
        <w:spacing w:line="276" w:lineRule="auto"/>
        <w:rPr>
          <w:rFonts w:ascii="Times New Roman" w:hAnsi="Times New Roman" w:cs="Times New Roman"/>
          <w:color w:val="000000" w:themeColor="text1"/>
        </w:rPr>
      </w:pPr>
    </w:p>
    <w:p w14:paraId="185AEDC4"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Tablica 5.  Zbiorcze zestawienie wymagań dla oznakowań na pozostałych drogach nie wymienionych w tablicy 4</w:t>
      </w:r>
    </w:p>
    <w:tbl>
      <w:tblPr>
        <w:tblW w:w="75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685"/>
        <w:gridCol w:w="1134"/>
        <w:gridCol w:w="1276"/>
        <w:gridCol w:w="924"/>
      </w:tblGrid>
      <w:tr w:rsidR="0093341C" w:rsidRPr="001667DB" w14:paraId="32286F8F" w14:textId="77777777" w:rsidTr="0093341C">
        <w:trPr>
          <w:cantSplit/>
          <w:tblHeader/>
          <w:jc w:val="center"/>
        </w:trPr>
        <w:tc>
          <w:tcPr>
            <w:tcW w:w="496" w:type="dxa"/>
            <w:tcBorders>
              <w:top w:val="single" w:sz="4" w:space="0" w:color="auto"/>
              <w:left w:val="single" w:sz="6" w:space="0" w:color="auto"/>
              <w:bottom w:val="double" w:sz="4" w:space="0" w:color="auto"/>
              <w:right w:val="single" w:sz="6" w:space="0" w:color="auto"/>
            </w:tcBorders>
            <w:noWrap/>
            <w:hideMark/>
          </w:tcPr>
          <w:p w14:paraId="736043A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Lp.</w:t>
            </w:r>
          </w:p>
        </w:tc>
        <w:tc>
          <w:tcPr>
            <w:tcW w:w="3685" w:type="dxa"/>
            <w:tcBorders>
              <w:top w:val="single" w:sz="4" w:space="0" w:color="auto"/>
              <w:left w:val="single" w:sz="6" w:space="0" w:color="auto"/>
              <w:bottom w:val="double" w:sz="4" w:space="0" w:color="auto"/>
              <w:right w:val="single" w:sz="6" w:space="0" w:color="auto"/>
            </w:tcBorders>
            <w:noWrap/>
            <w:hideMark/>
          </w:tcPr>
          <w:p w14:paraId="4F105A7F"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Właściwość</w:t>
            </w:r>
          </w:p>
        </w:tc>
        <w:tc>
          <w:tcPr>
            <w:tcW w:w="1134" w:type="dxa"/>
            <w:tcBorders>
              <w:top w:val="single" w:sz="4" w:space="0" w:color="auto"/>
              <w:left w:val="single" w:sz="6" w:space="0" w:color="auto"/>
              <w:bottom w:val="double" w:sz="4" w:space="0" w:color="auto"/>
              <w:right w:val="single" w:sz="6" w:space="0" w:color="auto"/>
            </w:tcBorders>
            <w:noWrap/>
            <w:hideMark/>
          </w:tcPr>
          <w:p w14:paraId="416CABA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Jednostka </w:t>
            </w:r>
          </w:p>
        </w:tc>
        <w:tc>
          <w:tcPr>
            <w:tcW w:w="1276" w:type="dxa"/>
            <w:tcBorders>
              <w:top w:val="single" w:sz="4" w:space="0" w:color="auto"/>
              <w:left w:val="single" w:sz="6" w:space="0" w:color="auto"/>
              <w:bottom w:val="double" w:sz="4" w:space="0" w:color="auto"/>
              <w:right w:val="single" w:sz="6" w:space="0" w:color="auto"/>
            </w:tcBorders>
            <w:noWrap/>
            <w:hideMark/>
          </w:tcPr>
          <w:p w14:paraId="010206A1"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Wymagania</w:t>
            </w:r>
          </w:p>
        </w:tc>
        <w:tc>
          <w:tcPr>
            <w:tcW w:w="924" w:type="dxa"/>
            <w:tcBorders>
              <w:top w:val="single" w:sz="4" w:space="0" w:color="auto"/>
              <w:left w:val="single" w:sz="6" w:space="0" w:color="auto"/>
              <w:bottom w:val="double" w:sz="4" w:space="0" w:color="auto"/>
              <w:right w:val="single" w:sz="6" w:space="0" w:color="auto"/>
            </w:tcBorders>
            <w:noWrap/>
            <w:hideMark/>
          </w:tcPr>
          <w:p w14:paraId="45C5039D"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Klasa</w:t>
            </w:r>
          </w:p>
        </w:tc>
      </w:tr>
      <w:tr w:rsidR="0093341C" w:rsidRPr="001667DB" w14:paraId="06F236E2"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544C97DD"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3685" w:type="dxa"/>
            <w:tcBorders>
              <w:top w:val="single" w:sz="6" w:space="0" w:color="auto"/>
              <w:left w:val="single" w:sz="6" w:space="0" w:color="auto"/>
              <w:bottom w:val="single" w:sz="6" w:space="0" w:color="auto"/>
              <w:right w:val="single" w:sz="6" w:space="0" w:color="auto"/>
            </w:tcBorders>
            <w:noWrap/>
            <w:hideMark/>
          </w:tcPr>
          <w:p w14:paraId="196AEE1A"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nowego (w ciągu 14 - 30 dni po wykonaniu) w stanie suchym barwy:    </w:t>
            </w:r>
          </w:p>
          <w:p w14:paraId="363D15BE" w14:textId="77777777" w:rsidR="0093341C" w:rsidRPr="001667DB" w:rsidRDefault="0093341C" w:rsidP="00904E6C">
            <w:pPr>
              <w:numPr>
                <w:ilvl w:val="1"/>
                <w:numId w:val="326"/>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białej,</w:t>
            </w:r>
          </w:p>
          <w:p w14:paraId="6077D9A3" w14:textId="77777777" w:rsidR="0093341C" w:rsidRPr="001667DB" w:rsidRDefault="0093341C" w:rsidP="00904E6C">
            <w:pPr>
              <w:numPr>
                <w:ilvl w:val="1"/>
                <w:numId w:val="326"/>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żółtej tymczasowej</w:t>
            </w:r>
          </w:p>
        </w:tc>
        <w:tc>
          <w:tcPr>
            <w:tcW w:w="1134" w:type="dxa"/>
            <w:tcBorders>
              <w:top w:val="single" w:sz="6" w:space="0" w:color="auto"/>
              <w:left w:val="single" w:sz="6" w:space="0" w:color="auto"/>
              <w:bottom w:val="single" w:sz="6" w:space="0" w:color="auto"/>
              <w:right w:val="single" w:sz="6" w:space="0" w:color="auto"/>
            </w:tcBorders>
            <w:noWrap/>
          </w:tcPr>
          <w:p w14:paraId="70E52438" w14:textId="77777777" w:rsidR="0093341C" w:rsidRPr="001667DB" w:rsidRDefault="0093341C" w:rsidP="0093341C">
            <w:pPr>
              <w:spacing w:line="276" w:lineRule="auto"/>
              <w:jc w:val="center"/>
              <w:rPr>
                <w:rFonts w:ascii="Times New Roman" w:hAnsi="Times New Roman" w:cs="Times New Roman"/>
                <w:color w:val="000000" w:themeColor="text1"/>
              </w:rPr>
            </w:pPr>
          </w:p>
          <w:p w14:paraId="21AB68A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7DB000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79CBDD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132BF53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186C02F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2BACDD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376B01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B4DD15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200</w:t>
            </w:r>
          </w:p>
          <w:p w14:paraId="43652B42"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150</w:t>
            </w:r>
          </w:p>
        </w:tc>
        <w:tc>
          <w:tcPr>
            <w:tcW w:w="924" w:type="dxa"/>
            <w:tcBorders>
              <w:top w:val="single" w:sz="6" w:space="0" w:color="auto"/>
              <w:left w:val="single" w:sz="6" w:space="0" w:color="auto"/>
              <w:bottom w:val="single" w:sz="6" w:space="0" w:color="auto"/>
              <w:right w:val="single" w:sz="6" w:space="0" w:color="auto"/>
            </w:tcBorders>
            <w:noWrap/>
          </w:tcPr>
          <w:p w14:paraId="1B395A5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24BB3D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D40139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E3BFCF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R4</w:t>
            </w:r>
          </w:p>
          <w:p w14:paraId="2E658027"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R3</w:t>
            </w:r>
          </w:p>
        </w:tc>
      </w:tr>
      <w:tr w:rsidR="0093341C" w:rsidRPr="001667DB" w14:paraId="7D2B9E5B"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15301FFF"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3685" w:type="dxa"/>
            <w:tcBorders>
              <w:top w:val="single" w:sz="6" w:space="0" w:color="auto"/>
              <w:left w:val="single" w:sz="6" w:space="0" w:color="auto"/>
              <w:bottom w:val="single" w:sz="6" w:space="0" w:color="auto"/>
              <w:right w:val="single" w:sz="6" w:space="0" w:color="auto"/>
            </w:tcBorders>
            <w:noWrap/>
            <w:hideMark/>
          </w:tcPr>
          <w:p w14:paraId="72482D56"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eksploatowanego od 2 do 6 miesięcy po wykonaniu, barwy: </w:t>
            </w:r>
          </w:p>
          <w:p w14:paraId="560022D1" w14:textId="77777777" w:rsidR="0093341C" w:rsidRPr="001667DB" w:rsidRDefault="0093341C" w:rsidP="00904E6C">
            <w:pPr>
              <w:numPr>
                <w:ilvl w:val="0"/>
                <w:numId w:val="327"/>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białej,</w:t>
            </w:r>
          </w:p>
          <w:p w14:paraId="5E449F64" w14:textId="77777777" w:rsidR="0093341C" w:rsidRPr="001667DB" w:rsidRDefault="0093341C" w:rsidP="00904E6C">
            <w:pPr>
              <w:numPr>
                <w:ilvl w:val="0"/>
                <w:numId w:val="327"/>
              </w:numPr>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09A395A6" w14:textId="77777777" w:rsidR="0093341C" w:rsidRPr="001667DB" w:rsidRDefault="0093341C" w:rsidP="0093341C">
            <w:pPr>
              <w:spacing w:line="276" w:lineRule="auto"/>
              <w:jc w:val="center"/>
              <w:rPr>
                <w:rFonts w:ascii="Times New Roman" w:hAnsi="Times New Roman" w:cs="Times New Roman"/>
                <w:color w:val="000000" w:themeColor="text1"/>
              </w:rPr>
            </w:pPr>
          </w:p>
          <w:p w14:paraId="63B0BE5F" w14:textId="77777777" w:rsidR="0093341C" w:rsidRPr="001667DB" w:rsidRDefault="0093341C" w:rsidP="0093341C">
            <w:pPr>
              <w:spacing w:line="276" w:lineRule="auto"/>
              <w:jc w:val="center"/>
              <w:rPr>
                <w:rFonts w:ascii="Times New Roman" w:hAnsi="Times New Roman" w:cs="Times New Roman"/>
                <w:color w:val="000000" w:themeColor="text1"/>
              </w:rPr>
            </w:pPr>
          </w:p>
          <w:p w14:paraId="0E841DC7" w14:textId="77777777" w:rsidR="0093341C" w:rsidRPr="001667DB" w:rsidRDefault="0093341C" w:rsidP="0093341C">
            <w:pPr>
              <w:spacing w:line="276" w:lineRule="auto"/>
              <w:jc w:val="center"/>
              <w:rPr>
                <w:rFonts w:ascii="Times New Roman" w:hAnsi="Times New Roman" w:cs="Times New Roman"/>
                <w:color w:val="000000" w:themeColor="text1"/>
              </w:rPr>
            </w:pPr>
          </w:p>
          <w:p w14:paraId="7D7717E8" w14:textId="77777777" w:rsidR="0093341C" w:rsidRPr="001667DB" w:rsidRDefault="0093341C" w:rsidP="0093341C">
            <w:p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5CDD1D76"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29C00D36" w14:textId="77777777" w:rsidR="0093341C" w:rsidRPr="001667DB" w:rsidRDefault="0093341C" w:rsidP="0093341C">
            <w:pPr>
              <w:spacing w:line="276" w:lineRule="auto"/>
              <w:jc w:val="center"/>
              <w:rPr>
                <w:rFonts w:ascii="Times New Roman" w:hAnsi="Times New Roman" w:cs="Times New Roman"/>
                <w:color w:val="000000" w:themeColor="text1"/>
              </w:rPr>
            </w:pPr>
          </w:p>
          <w:p w14:paraId="47C7A62F" w14:textId="77777777" w:rsidR="0093341C" w:rsidRPr="001667DB" w:rsidRDefault="0093341C" w:rsidP="0093341C">
            <w:pPr>
              <w:spacing w:line="276" w:lineRule="auto"/>
              <w:jc w:val="center"/>
              <w:rPr>
                <w:rFonts w:ascii="Times New Roman" w:hAnsi="Times New Roman" w:cs="Times New Roman"/>
                <w:color w:val="000000" w:themeColor="text1"/>
              </w:rPr>
            </w:pPr>
          </w:p>
          <w:p w14:paraId="513F438C" w14:textId="77777777" w:rsidR="0093341C" w:rsidRPr="001667DB" w:rsidRDefault="0093341C" w:rsidP="0093341C">
            <w:pPr>
              <w:spacing w:line="276" w:lineRule="auto"/>
              <w:jc w:val="center"/>
              <w:rPr>
                <w:rFonts w:ascii="Times New Roman" w:hAnsi="Times New Roman" w:cs="Times New Roman"/>
                <w:color w:val="000000" w:themeColor="text1"/>
              </w:rPr>
            </w:pPr>
          </w:p>
          <w:p w14:paraId="030F2FF9"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150</w:t>
            </w:r>
          </w:p>
          <w:p w14:paraId="78B01C53"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100</w:t>
            </w:r>
          </w:p>
        </w:tc>
        <w:tc>
          <w:tcPr>
            <w:tcW w:w="924" w:type="dxa"/>
            <w:tcBorders>
              <w:top w:val="single" w:sz="6" w:space="0" w:color="auto"/>
              <w:left w:val="single" w:sz="6" w:space="0" w:color="auto"/>
              <w:bottom w:val="single" w:sz="6" w:space="0" w:color="auto"/>
              <w:right w:val="single" w:sz="6" w:space="0" w:color="auto"/>
            </w:tcBorders>
            <w:noWrap/>
          </w:tcPr>
          <w:p w14:paraId="173B9731" w14:textId="77777777" w:rsidR="0093341C" w:rsidRPr="001667DB" w:rsidRDefault="0093341C" w:rsidP="0093341C">
            <w:pPr>
              <w:spacing w:line="276" w:lineRule="auto"/>
              <w:jc w:val="center"/>
              <w:rPr>
                <w:rFonts w:ascii="Times New Roman" w:hAnsi="Times New Roman" w:cs="Times New Roman"/>
                <w:color w:val="000000" w:themeColor="text1"/>
              </w:rPr>
            </w:pPr>
          </w:p>
          <w:p w14:paraId="6423E0BB" w14:textId="77777777" w:rsidR="0093341C" w:rsidRPr="001667DB" w:rsidRDefault="0093341C" w:rsidP="0093341C">
            <w:pPr>
              <w:spacing w:line="276" w:lineRule="auto"/>
              <w:jc w:val="center"/>
              <w:rPr>
                <w:rFonts w:ascii="Times New Roman" w:hAnsi="Times New Roman" w:cs="Times New Roman"/>
                <w:color w:val="000000" w:themeColor="text1"/>
              </w:rPr>
            </w:pPr>
          </w:p>
          <w:p w14:paraId="4F714D09" w14:textId="77777777" w:rsidR="0093341C" w:rsidRPr="001667DB" w:rsidRDefault="0093341C" w:rsidP="0093341C">
            <w:pPr>
              <w:spacing w:line="276" w:lineRule="auto"/>
              <w:jc w:val="center"/>
              <w:rPr>
                <w:rFonts w:ascii="Times New Roman" w:hAnsi="Times New Roman" w:cs="Times New Roman"/>
                <w:color w:val="000000" w:themeColor="text1"/>
              </w:rPr>
            </w:pPr>
          </w:p>
          <w:p w14:paraId="48A529B6"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R3</w:t>
            </w:r>
          </w:p>
          <w:p w14:paraId="033E03FC"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R2</w:t>
            </w:r>
          </w:p>
        </w:tc>
      </w:tr>
      <w:tr w:rsidR="0093341C" w:rsidRPr="001667DB" w14:paraId="22C8661A"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0D66F1AA"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3685" w:type="dxa"/>
            <w:tcBorders>
              <w:top w:val="single" w:sz="6" w:space="0" w:color="auto"/>
              <w:left w:val="single" w:sz="6" w:space="0" w:color="auto"/>
              <w:bottom w:val="single" w:sz="6" w:space="0" w:color="auto"/>
              <w:right w:val="single" w:sz="6" w:space="0" w:color="auto"/>
            </w:tcBorders>
            <w:noWrap/>
            <w:hideMark/>
          </w:tcPr>
          <w:p w14:paraId="4151C0D4"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oznako-wania suchego od 7 miesiąca po wykonaniu barwy białej</w:t>
            </w:r>
          </w:p>
        </w:tc>
        <w:tc>
          <w:tcPr>
            <w:tcW w:w="1134" w:type="dxa"/>
            <w:tcBorders>
              <w:top w:val="single" w:sz="6" w:space="0" w:color="auto"/>
              <w:left w:val="single" w:sz="6" w:space="0" w:color="auto"/>
              <w:bottom w:val="single" w:sz="6" w:space="0" w:color="auto"/>
              <w:right w:val="single" w:sz="6" w:space="0" w:color="auto"/>
            </w:tcBorders>
            <w:noWrap/>
            <w:vAlign w:val="center"/>
            <w:hideMark/>
          </w:tcPr>
          <w:p w14:paraId="785F5616"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vAlign w:val="center"/>
            <w:hideMark/>
          </w:tcPr>
          <w:p w14:paraId="7C76785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100</w:t>
            </w:r>
          </w:p>
        </w:tc>
        <w:tc>
          <w:tcPr>
            <w:tcW w:w="924" w:type="dxa"/>
            <w:tcBorders>
              <w:top w:val="single" w:sz="6" w:space="0" w:color="auto"/>
              <w:left w:val="single" w:sz="6" w:space="0" w:color="auto"/>
              <w:bottom w:val="single" w:sz="6" w:space="0" w:color="auto"/>
              <w:right w:val="single" w:sz="6" w:space="0" w:color="auto"/>
            </w:tcBorders>
            <w:noWrap/>
            <w:vAlign w:val="center"/>
            <w:hideMark/>
          </w:tcPr>
          <w:p w14:paraId="67F450B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R2</w:t>
            </w:r>
          </w:p>
        </w:tc>
      </w:tr>
      <w:tr w:rsidR="0093341C" w:rsidRPr="001667DB" w14:paraId="75ACB701"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7D01B814"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3685" w:type="dxa"/>
            <w:tcBorders>
              <w:top w:val="single" w:sz="6" w:space="0" w:color="auto"/>
              <w:left w:val="single" w:sz="6" w:space="0" w:color="auto"/>
              <w:bottom w:val="single" w:sz="6" w:space="0" w:color="auto"/>
              <w:right w:val="single" w:sz="6" w:space="0" w:color="auto"/>
            </w:tcBorders>
            <w:noWrap/>
            <w:hideMark/>
          </w:tcPr>
          <w:p w14:paraId="45FFBFCA"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grubowarstwowego strukturalnego oznako-wania wilgotnego od 14 do 30 dnia po wykonaniu, barwy białej</w:t>
            </w:r>
          </w:p>
        </w:tc>
        <w:tc>
          <w:tcPr>
            <w:tcW w:w="1134" w:type="dxa"/>
            <w:tcBorders>
              <w:top w:val="single" w:sz="6" w:space="0" w:color="auto"/>
              <w:left w:val="single" w:sz="6" w:space="0" w:color="auto"/>
              <w:bottom w:val="single" w:sz="6" w:space="0" w:color="auto"/>
              <w:right w:val="single" w:sz="6" w:space="0" w:color="auto"/>
            </w:tcBorders>
            <w:noWrap/>
            <w:vAlign w:val="center"/>
            <w:hideMark/>
          </w:tcPr>
          <w:p w14:paraId="7F6D913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vAlign w:val="center"/>
            <w:hideMark/>
          </w:tcPr>
          <w:p w14:paraId="29687C8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50</w:t>
            </w:r>
          </w:p>
        </w:tc>
        <w:tc>
          <w:tcPr>
            <w:tcW w:w="924" w:type="dxa"/>
            <w:tcBorders>
              <w:top w:val="single" w:sz="6" w:space="0" w:color="auto"/>
              <w:left w:val="single" w:sz="6" w:space="0" w:color="auto"/>
              <w:bottom w:val="single" w:sz="6" w:space="0" w:color="auto"/>
              <w:right w:val="single" w:sz="6" w:space="0" w:color="auto"/>
            </w:tcBorders>
            <w:noWrap/>
            <w:vAlign w:val="center"/>
            <w:hideMark/>
          </w:tcPr>
          <w:p w14:paraId="287D9AE9"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RW3</w:t>
            </w:r>
          </w:p>
        </w:tc>
      </w:tr>
      <w:tr w:rsidR="0093341C" w:rsidRPr="001667DB" w14:paraId="03E00316"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7DF5A3CF"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3685" w:type="dxa"/>
            <w:tcBorders>
              <w:top w:val="single" w:sz="6" w:space="0" w:color="auto"/>
              <w:left w:val="single" w:sz="6" w:space="0" w:color="auto"/>
              <w:bottom w:val="single" w:sz="6" w:space="0" w:color="auto"/>
              <w:right w:val="single" w:sz="6" w:space="0" w:color="auto"/>
            </w:tcBorders>
            <w:noWrap/>
            <w:hideMark/>
          </w:tcPr>
          <w:p w14:paraId="539A458B"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Współczynnik odblasku R</w:t>
            </w:r>
            <w:r w:rsidRPr="001667DB">
              <w:rPr>
                <w:rFonts w:ascii="Times New Roman" w:hAnsi="Times New Roman" w:cs="Times New Roman"/>
                <w:color w:val="000000" w:themeColor="text1"/>
                <w:vertAlign w:val="subscript"/>
              </w:rPr>
              <w:t>L</w:t>
            </w:r>
            <w:r w:rsidRPr="001667DB">
              <w:rPr>
                <w:rFonts w:ascii="Times New Roman" w:hAnsi="Times New Roman" w:cs="Times New Roman"/>
                <w:color w:val="000000" w:themeColor="text1"/>
              </w:rPr>
              <w:t xml:space="preserve"> dla grubowarstwowego strukturalnego oznako-wania wilgotnego po 30 dniu od wykonania, barwy białej</w:t>
            </w:r>
          </w:p>
        </w:tc>
        <w:tc>
          <w:tcPr>
            <w:tcW w:w="1134" w:type="dxa"/>
            <w:tcBorders>
              <w:top w:val="single" w:sz="6" w:space="0" w:color="auto"/>
              <w:left w:val="single" w:sz="6" w:space="0" w:color="auto"/>
              <w:bottom w:val="single" w:sz="6" w:space="0" w:color="auto"/>
              <w:right w:val="single" w:sz="6" w:space="0" w:color="auto"/>
            </w:tcBorders>
            <w:noWrap/>
            <w:vAlign w:val="center"/>
            <w:hideMark/>
          </w:tcPr>
          <w:p w14:paraId="606ABD63"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vAlign w:val="center"/>
            <w:hideMark/>
          </w:tcPr>
          <w:p w14:paraId="79F05B46"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35</w:t>
            </w:r>
          </w:p>
        </w:tc>
        <w:tc>
          <w:tcPr>
            <w:tcW w:w="924" w:type="dxa"/>
            <w:tcBorders>
              <w:top w:val="single" w:sz="6" w:space="0" w:color="auto"/>
              <w:left w:val="single" w:sz="6" w:space="0" w:color="auto"/>
              <w:bottom w:val="single" w:sz="6" w:space="0" w:color="auto"/>
              <w:right w:val="single" w:sz="6" w:space="0" w:color="auto"/>
            </w:tcBorders>
            <w:noWrap/>
            <w:vAlign w:val="center"/>
            <w:hideMark/>
          </w:tcPr>
          <w:p w14:paraId="14EA843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RW2</w:t>
            </w:r>
          </w:p>
        </w:tc>
      </w:tr>
      <w:tr w:rsidR="0093341C" w:rsidRPr="001667DB" w14:paraId="2341F65C"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43E31E30"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w:t>
            </w:r>
          </w:p>
        </w:tc>
        <w:tc>
          <w:tcPr>
            <w:tcW w:w="3685" w:type="dxa"/>
            <w:tcBorders>
              <w:top w:val="single" w:sz="6" w:space="0" w:color="auto"/>
              <w:left w:val="single" w:sz="6" w:space="0" w:color="auto"/>
              <w:bottom w:val="single" w:sz="6" w:space="0" w:color="auto"/>
              <w:right w:val="single" w:sz="6" w:space="0" w:color="auto"/>
            </w:tcBorders>
            <w:noWrap/>
            <w:hideMark/>
          </w:tcPr>
          <w:p w14:paraId="7B09DDF1"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dla oznakowa-nia nowego (od 14 do 30 dnia po wykonaniu)  barwy:</w:t>
            </w:r>
          </w:p>
          <w:p w14:paraId="449463D5" w14:textId="77777777" w:rsidR="0093341C" w:rsidRPr="001667DB" w:rsidRDefault="0093341C" w:rsidP="00904E6C">
            <w:pPr>
              <w:numPr>
                <w:ilvl w:val="0"/>
                <w:numId w:val="328"/>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0BC6B0D5" w14:textId="77777777" w:rsidR="0093341C" w:rsidRPr="001667DB" w:rsidRDefault="0093341C" w:rsidP="00904E6C">
            <w:pPr>
              <w:numPr>
                <w:ilvl w:val="0"/>
                <w:numId w:val="328"/>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607A95AC" w14:textId="77777777" w:rsidR="0093341C" w:rsidRPr="001667DB" w:rsidRDefault="0093341C" w:rsidP="00904E6C">
            <w:pPr>
              <w:numPr>
                <w:ilvl w:val="0"/>
                <w:numId w:val="328"/>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59CCCD76" w14:textId="77777777" w:rsidR="0093341C" w:rsidRPr="001667DB" w:rsidRDefault="0093341C" w:rsidP="0093341C">
            <w:pPr>
              <w:spacing w:line="276" w:lineRule="auto"/>
              <w:jc w:val="center"/>
              <w:rPr>
                <w:rFonts w:ascii="Times New Roman" w:hAnsi="Times New Roman" w:cs="Times New Roman"/>
                <w:color w:val="000000" w:themeColor="text1"/>
              </w:rPr>
            </w:pPr>
          </w:p>
          <w:p w14:paraId="20F309E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6CEA05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FE99B1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1FEED23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280439B1"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tcBorders>
              <w:top w:val="single" w:sz="6" w:space="0" w:color="auto"/>
              <w:left w:val="single" w:sz="6" w:space="0" w:color="auto"/>
              <w:bottom w:val="single" w:sz="6" w:space="0" w:color="auto"/>
              <w:right w:val="single" w:sz="6" w:space="0" w:color="auto"/>
            </w:tcBorders>
            <w:noWrap/>
          </w:tcPr>
          <w:p w14:paraId="4525F26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BD013C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892CCD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2CA673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0,40</w:t>
            </w:r>
          </w:p>
          <w:p w14:paraId="79E6B1D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0,50</w:t>
            </w:r>
          </w:p>
          <w:p w14:paraId="2242B2BF"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0,30</w:t>
            </w:r>
          </w:p>
        </w:tc>
        <w:tc>
          <w:tcPr>
            <w:tcW w:w="924" w:type="dxa"/>
            <w:tcBorders>
              <w:top w:val="single" w:sz="6" w:space="0" w:color="auto"/>
              <w:left w:val="single" w:sz="6" w:space="0" w:color="auto"/>
              <w:bottom w:val="single" w:sz="6" w:space="0" w:color="auto"/>
              <w:right w:val="single" w:sz="6" w:space="0" w:color="auto"/>
            </w:tcBorders>
            <w:noWrap/>
          </w:tcPr>
          <w:p w14:paraId="73D0113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03258C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684C1C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E0BCAC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B3</w:t>
            </w:r>
          </w:p>
          <w:p w14:paraId="0570526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B4</w:t>
            </w:r>
          </w:p>
          <w:p w14:paraId="4116D04D"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B2</w:t>
            </w:r>
          </w:p>
        </w:tc>
      </w:tr>
      <w:tr w:rsidR="0093341C" w:rsidRPr="001667DB" w14:paraId="0E86B438"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3494FFD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3685" w:type="dxa"/>
            <w:tcBorders>
              <w:top w:val="single" w:sz="6" w:space="0" w:color="auto"/>
              <w:left w:val="single" w:sz="6" w:space="0" w:color="auto"/>
              <w:bottom w:val="single" w:sz="6" w:space="0" w:color="auto"/>
              <w:right w:val="single" w:sz="6" w:space="0" w:color="auto"/>
            </w:tcBorders>
            <w:noWrap/>
            <w:hideMark/>
          </w:tcPr>
          <w:p w14:paraId="53279B78"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xml:space="preserve"> dla oznakowa-nia eksploatowanego (po 30 dniu od wykonania) barwy:</w:t>
            </w:r>
          </w:p>
          <w:p w14:paraId="3184258F"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białej</w:t>
            </w:r>
          </w:p>
          <w:p w14:paraId="35A1A60F" w14:textId="77777777" w:rsidR="0093341C" w:rsidRPr="001667DB" w:rsidRDefault="0093341C" w:rsidP="0093341C">
            <w:pPr>
              <w:pStyle w:val="Stopka"/>
              <w:numPr>
                <w:ilvl w:val="12"/>
                <w:numId w:val="0"/>
              </w:numPr>
              <w:tabs>
                <w:tab w:val="left" w:pos="709"/>
              </w:tabs>
              <w:spacing w:line="276" w:lineRule="auto"/>
              <w:rPr>
                <w:color w:val="000000" w:themeColor="text1"/>
                <w:sz w:val="22"/>
              </w:rPr>
            </w:pPr>
            <w:r w:rsidRPr="001667DB">
              <w:rPr>
                <w:color w:val="000000" w:themeColor="text1"/>
                <w:sz w:val="22"/>
              </w:rPr>
              <w:t>- żółtej</w:t>
            </w:r>
          </w:p>
        </w:tc>
        <w:tc>
          <w:tcPr>
            <w:tcW w:w="1134" w:type="dxa"/>
            <w:tcBorders>
              <w:top w:val="single" w:sz="6" w:space="0" w:color="auto"/>
              <w:left w:val="single" w:sz="6" w:space="0" w:color="auto"/>
              <w:bottom w:val="single" w:sz="6" w:space="0" w:color="auto"/>
              <w:right w:val="single" w:sz="6" w:space="0" w:color="auto"/>
            </w:tcBorders>
            <w:noWrap/>
          </w:tcPr>
          <w:p w14:paraId="156C4F6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72E5CC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8AB54D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FE31F8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773CC924"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276" w:type="dxa"/>
            <w:tcBorders>
              <w:top w:val="single" w:sz="6" w:space="0" w:color="auto"/>
              <w:left w:val="single" w:sz="6" w:space="0" w:color="auto"/>
              <w:bottom w:val="single" w:sz="6" w:space="0" w:color="auto"/>
              <w:right w:val="single" w:sz="6" w:space="0" w:color="auto"/>
            </w:tcBorders>
            <w:noWrap/>
          </w:tcPr>
          <w:p w14:paraId="71FD614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08A2D6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FFD6478" w14:textId="77777777" w:rsidR="0093341C" w:rsidRPr="001667DB" w:rsidRDefault="0093341C" w:rsidP="0093341C">
            <w:pPr>
              <w:numPr>
                <w:ilvl w:val="12"/>
                <w:numId w:val="0"/>
              </w:numPr>
              <w:spacing w:line="276" w:lineRule="auto"/>
              <w:rPr>
                <w:rFonts w:ascii="Times New Roman" w:hAnsi="Times New Roman" w:cs="Times New Roman"/>
                <w:color w:val="000000" w:themeColor="text1"/>
              </w:rPr>
            </w:pPr>
          </w:p>
          <w:p w14:paraId="6704406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0,30</w:t>
            </w:r>
          </w:p>
          <w:p w14:paraId="2928D172"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0,20</w:t>
            </w:r>
          </w:p>
        </w:tc>
        <w:tc>
          <w:tcPr>
            <w:tcW w:w="924" w:type="dxa"/>
            <w:tcBorders>
              <w:top w:val="single" w:sz="6" w:space="0" w:color="auto"/>
              <w:left w:val="single" w:sz="6" w:space="0" w:color="auto"/>
              <w:bottom w:val="single" w:sz="6" w:space="0" w:color="auto"/>
              <w:right w:val="single" w:sz="6" w:space="0" w:color="auto"/>
            </w:tcBorders>
            <w:noWrap/>
          </w:tcPr>
          <w:p w14:paraId="1DF7C43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52EC4C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E40B20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2F9BFC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B2</w:t>
            </w:r>
          </w:p>
          <w:p w14:paraId="423F3951"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B1</w:t>
            </w:r>
          </w:p>
        </w:tc>
      </w:tr>
      <w:tr w:rsidR="0093341C" w:rsidRPr="001667DB" w14:paraId="290ABFF7"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60BC8004"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3685" w:type="dxa"/>
            <w:tcBorders>
              <w:top w:val="single" w:sz="6" w:space="0" w:color="auto"/>
              <w:left w:val="single" w:sz="6" w:space="0" w:color="auto"/>
              <w:bottom w:val="single" w:sz="6" w:space="0" w:color="auto"/>
              <w:right w:val="single" w:sz="6" w:space="0" w:color="auto"/>
            </w:tcBorders>
            <w:noWrap/>
            <w:hideMark/>
          </w:tcPr>
          <w:p w14:paraId="3A87F1B8"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 świetle rozproszonym Qd (alternatywnie do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dla oznakowania nowego w ciągu od 14 do 30  dnia po wykonaniu, barwy:</w:t>
            </w:r>
          </w:p>
          <w:p w14:paraId="0C50F8A3"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195F420F"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7675FFCE" w14:textId="77777777" w:rsidR="0093341C" w:rsidRPr="001667DB" w:rsidRDefault="0093341C" w:rsidP="00904E6C">
            <w:pPr>
              <w:numPr>
                <w:ilvl w:val="0"/>
                <w:numId w:val="323"/>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27E3712E" w14:textId="77777777" w:rsidR="0093341C" w:rsidRPr="001667DB" w:rsidRDefault="0093341C" w:rsidP="0093341C">
            <w:pPr>
              <w:spacing w:line="276" w:lineRule="auto"/>
              <w:jc w:val="center"/>
              <w:rPr>
                <w:rFonts w:ascii="Times New Roman" w:hAnsi="Times New Roman" w:cs="Times New Roman"/>
                <w:color w:val="000000" w:themeColor="text1"/>
              </w:rPr>
            </w:pPr>
          </w:p>
          <w:p w14:paraId="5B79C88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A0FB71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7EEEBF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3DED53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36A7910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55747E48"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711D72D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1CB5E0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1E3D83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CE97D8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480B66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130</w:t>
            </w:r>
          </w:p>
          <w:p w14:paraId="58E3310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160</w:t>
            </w:r>
          </w:p>
          <w:p w14:paraId="1EDD246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100</w:t>
            </w:r>
          </w:p>
        </w:tc>
        <w:tc>
          <w:tcPr>
            <w:tcW w:w="924" w:type="dxa"/>
            <w:tcBorders>
              <w:top w:val="single" w:sz="6" w:space="0" w:color="auto"/>
              <w:left w:val="single" w:sz="6" w:space="0" w:color="auto"/>
              <w:bottom w:val="single" w:sz="6" w:space="0" w:color="auto"/>
              <w:right w:val="single" w:sz="6" w:space="0" w:color="auto"/>
            </w:tcBorders>
            <w:noWrap/>
          </w:tcPr>
          <w:p w14:paraId="24C9454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87281F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BEFBE49"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763D826"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4C681DA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Q3</w:t>
            </w:r>
          </w:p>
          <w:p w14:paraId="514615E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Q4</w:t>
            </w:r>
          </w:p>
          <w:p w14:paraId="08C2823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Q2</w:t>
            </w:r>
          </w:p>
        </w:tc>
      </w:tr>
      <w:tr w:rsidR="0093341C" w:rsidRPr="001667DB" w14:paraId="0244ECFC"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1C7338DB"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9</w:t>
            </w:r>
          </w:p>
        </w:tc>
        <w:tc>
          <w:tcPr>
            <w:tcW w:w="3685" w:type="dxa"/>
            <w:tcBorders>
              <w:top w:val="single" w:sz="6" w:space="0" w:color="auto"/>
              <w:left w:val="single" w:sz="6" w:space="0" w:color="auto"/>
              <w:bottom w:val="single" w:sz="6" w:space="0" w:color="auto"/>
              <w:right w:val="single" w:sz="6" w:space="0" w:color="auto"/>
            </w:tcBorders>
            <w:noWrap/>
            <w:hideMark/>
          </w:tcPr>
          <w:p w14:paraId="0B58E009"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luminancji w świetle rozproszonym Qd (alternatywnie do </w:t>
            </w:r>
            <w:r w:rsidRPr="001667DB">
              <w:rPr>
                <w:rFonts w:ascii="Times New Roman" w:hAnsi="Times New Roman" w:cs="Times New Roman"/>
                <w:color w:val="000000" w:themeColor="text1"/>
              </w:rPr>
              <w:sym w:font="Symbol" w:char="0062"/>
            </w:r>
            <w:r w:rsidRPr="001667DB">
              <w:rPr>
                <w:rFonts w:ascii="Times New Roman" w:hAnsi="Times New Roman" w:cs="Times New Roman"/>
                <w:color w:val="000000" w:themeColor="text1"/>
              </w:rPr>
              <w:t>) dla oznakowania eksploatowanego w ciągu całego okresu eksploatacji po 30 dniu od wykonania,  barwy:</w:t>
            </w:r>
          </w:p>
          <w:p w14:paraId="6B976EC4"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asfaltowej</w:t>
            </w:r>
          </w:p>
          <w:p w14:paraId="2B814991"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białej na nawierzchni betonowej</w:t>
            </w:r>
          </w:p>
          <w:p w14:paraId="19F01CF7" w14:textId="77777777" w:rsidR="0093341C" w:rsidRPr="001667DB" w:rsidRDefault="0093341C" w:rsidP="00904E6C">
            <w:pPr>
              <w:numPr>
                <w:ilvl w:val="0"/>
                <w:numId w:val="324"/>
              </w:numPr>
              <w:overflowPunct w:val="0"/>
              <w:autoSpaceDE w:val="0"/>
              <w:autoSpaceDN w:val="0"/>
              <w:adjustRightInd w:val="0"/>
              <w:spacing w:after="0"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żółtej</w:t>
            </w:r>
          </w:p>
        </w:tc>
        <w:tc>
          <w:tcPr>
            <w:tcW w:w="1134" w:type="dxa"/>
            <w:tcBorders>
              <w:top w:val="single" w:sz="6" w:space="0" w:color="auto"/>
              <w:left w:val="single" w:sz="6" w:space="0" w:color="auto"/>
              <w:bottom w:val="single" w:sz="6" w:space="0" w:color="auto"/>
              <w:right w:val="single" w:sz="6" w:space="0" w:color="auto"/>
            </w:tcBorders>
            <w:noWrap/>
          </w:tcPr>
          <w:p w14:paraId="2B93E8AD" w14:textId="77777777" w:rsidR="0093341C" w:rsidRPr="001667DB" w:rsidRDefault="0093341C" w:rsidP="0093341C">
            <w:pPr>
              <w:spacing w:line="276" w:lineRule="auto"/>
              <w:jc w:val="center"/>
              <w:rPr>
                <w:rFonts w:ascii="Times New Roman" w:hAnsi="Times New Roman" w:cs="Times New Roman"/>
                <w:color w:val="000000" w:themeColor="text1"/>
              </w:rPr>
            </w:pPr>
          </w:p>
          <w:p w14:paraId="6452107C"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B4F448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B03F26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17889E8"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84F4D3D"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755313B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p w14:paraId="0F277B25"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mcd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lx</w:t>
            </w:r>
            <w:r w:rsidRPr="001667DB">
              <w:rPr>
                <w:rFonts w:ascii="Times New Roman" w:hAnsi="Times New Roman" w:cs="Times New Roman"/>
                <w:color w:val="000000" w:themeColor="text1"/>
                <w:vertAlign w:val="superscript"/>
              </w:rPr>
              <w:t>-1</w:t>
            </w:r>
          </w:p>
        </w:tc>
        <w:tc>
          <w:tcPr>
            <w:tcW w:w="1276" w:type="dxa"/>
            <w:tcBorders>
              <w:top w:val="single" w:sz="6" w:space="0" w:color="auto"/>
              <w:left w:val="single" w:sz="6" w:space="0" w:color="auto"/>
              <w:bottom w:val="single" w:sz="6" w:space="0" w:color="auto"/>
              <w:right w:val="single" w:sz="6" w:space="0" w:color="auto"/>
            </w:tcBorders>
            <w:noWrap/>
          </w:tcPr>
          <w:p w14:paraId="78ABE81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5F2EC2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35995E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ED9097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074C59A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717D2C1"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100</w:t>
            </w:r>
          </w:p>
          <w:p w14:paraId="07FCF85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130</w:t>
            </w:r>
          </w:p>
          <w:p w14:paraId="0ED05E0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80</w:t>
            </w:r>
          </w:p>
        </w:tc>
        <w:tc>
          <w:tcPr>
            <w:tcW w:w="924" w:type="dxa"/>
            <w:tcBorders>
              <w:top w:val="single" w:sz="6" w:space="0" w:color="auto"/>
              <w:left w:val="single" w:sz="6" w:space="0" w:color="auto"/>
              <w:bottom w:val="single" w:sz="6" w:space="0" w:color="auto"/>
              <w:right w:val="single" w:sz="6" w:space="0" w:color="auto"/>
            </w:tcBorders>
            <w:noWrap/>
          </w:tcPr>
          <w:p w14:paraId="6AB4EBE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9CA7B7F"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27F07FA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05E965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57BB666B"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p>
          <w:p w14:paraId="4B5501A5"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Q2</w:t>
            </w:r>
          </w:p>
          <w:p w14:paraId="172CEA9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Q3</w:t>
            </w:r>
          </w:p>
          <w:p w14:paraId="312F6510"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Q1</w:t>
            </w:r>
          </w:p>
        </w:tc>
      </w:tr>
      <w:tr w:rsidR="0093341C" w:rsidRPr="001667DB" w14:paraId="672EB461"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29442EAE"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3685" w:type="dxa"/>
            <w:tcBorders>
              <w:top w:val="single" w:sz="6" w:space="0" w:color="auto"/>
              <w:left w:val="single" w:sz="6" w:space="0" w:color="auto"/>
              <w:bottom w:val="single" w:sz="6" w:space="0" w:color="auto"/>
              <w:right w:val="single" w:sz="6" w:space="0" w:color="auto"/>
            </w:tcBorders>
            <w:noWrap/>
            <w:hideMark/>
          </w:tcPr>
          <w:p w14:paraId="37BF865B"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Szorstkość oznakowania eksploatowanego</w:t>
            </w:r>
          </w:p>
        </w:tc>
        <w:tc>
          <w:tcPr>
            <w:tcW w:w="1134" w:type="dxa"/>
            <w:tcBorders>
              <w:top w:val="single" w:sz="6" w:space="0" w:color="auto"/>
              <w:left w:val="single" w:sz="6" w:space="0" w:color="auto"/>
              <w:bottom w:val="single" w:sz="6" w:space="0" w:color="auto"/>
              <w:right w:val="single" w:sz="6" w:space="0" w:color="auto"/>
            </w:tcBorders>
            <w:noWrap/>
            <w:hideMark/>
          </w:tcPr>
          <w:p w14:paraId="499223EE"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wskaźnik</w:t>
            </w:r>
          </w:p>
          <w:p w14:paraId="06793742"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SRT</w:t>
            </w:r>
          </w:p>
        </w:tc>
        <w:tc>
          <w:tcPr>
            <w:tcW w:w="1276" w:type="dxa"/>
            <w:tcBorders>
              <w:top w:val="single" w:sz="6" w:space="0" w:color="auto"/>
              <w:left w:val="single" w:sz="6" w:space="0" w:color="auto"/>
              <w:bottom w:val="single" w:sz="6" w:space="0" w:color="auto"/>
              <w:right w:val="single" w:sz="6" w:space="0" w:color="auto"/>
            </w:tcBorders>
            <w:noWrap/>
          </w:tcPr>
          <w:p w14:paraId="734991A0"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68649F3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45</w:t>
            </w:r>
          </w:p>
        </w:tc>
        <w:tc>
          <w:tcPr>
            <w:tcW w:w="924" w:type="dxa"/>
            <w:tcBorders>
              <w:top w:val="single" w:sz="6" w:space="0" w:color="auto"/>
              <w:left w:val="single" w:sz="6" w:space="0" w:color="auto"/>
              <w:bottom w:val="single" w:sz="6" w:space="0" w:color="auto"/>
              <w:right w:val="single" w:sz="6" w:space="0" w:color="auto"/>
            </w:tcBorders>
            <w:noWrap/>
          </w:tcPr>
          <w:p w14:paraId="773DA13A"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25F2582"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S1</w:t>
            </w:r>
          </w:p>
        </w:tc>
      </w:tr>
      <w:tr w:rsidR="0093341C" w:rsidRPr="001667DB" w14:paraId="1448AD14"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05CAEA5F"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3685" w:type="dxa"/>
            <w:tcBorders>
              <w:top w:val="single" w:sz="6" w:space="0" w:color="auto"/>
              <w:left w:val="single" w:sz="6" w:space="0" w:color="auto"/>
              <w:bottom w:val="single" w:sz="6" w:space="0" w:color="auto"/>
              <w:right w:val="single" w:sz="6" w:space="0" w:color="auto"/>
            </w:tcBorders>
            <w:noWrap/>
            <w:hideMark/>
          </w:tcPr>
          <w:p w14:paraId="548DFF06" w14:textId="77777777" w:rsidR="0093341C" w:rsidRPr="001667DB" w:rsidRDefault="0093341C" w:rsidP="0093341C">
            <w:pPr>
              <w:overflowPunct w:val="0"/>
              <w:autoSpaceDE w:val="0"/>
              <w:autoSpaceDN w:val="0"/>
              <w:adjustRightInd w:val="0"/>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Trwałość oznakowania cienkowarstwo-wego po 12 miesiącach:</w:t>
            </w:r>
          </w:p>
        </w:tc>
        <w:tc>
          <w:tcPr>
            <w:tcW w:w="1134" w:type="dxa"/>
            <w:tcBorders>
              <w:top w:val="single" w:sz="6" w:space="0" w:color="auto"/>
              <w:left w:val="single" w:sz="6" w:space="0" w:color="auto"/>
              <w:bottom w:val="single" w:sz="6" w:space="0" w:color="auto"/>
              <w:right w:val="single" w:sz="6" w:space="0" w:color="auto"/>
            </w:tcBorders>
            <w:noWrap/>
          </w:tcPr>
          <w:p w14:paraId="667D7214"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758E4E7E"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skala LCPC</w:t>
            </w:r>
          </w:p>
        </w:tc>
        <w:tc>
          <w:tcPr>
            <w:tcW w:w="1276" w:type="dxa"/>
            <w:tcBorders>
              <w:top w:val="single" w:sz="6" w:space="0" w:color="auto"/>
              <w:left w:val="single" w:sz="6" w:space="0" w:color="auto"/>
              <w:bottom w:val="single" w:sz="6" w:space="0" w:color="auto"/>
              <w:right w:val="single" w:sz="6" w:space="0" w:color="auto"/>
            </w:tcBorders>
            <w:noWrap/>
          </w:tcPr>
          <w:p w14:paraId="6F6620D2"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3C060B9B"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B3"/>
            </w:r>
            <w:r w:rsidRPr="001667DB">
              <w:rPr>
                <w:rFonts w:ascii="Times New Roman" w:hAnsi="Times New Roman" w:cs="Times New Roman"/>
                <w:color w:val="000000" w:themeColor="text1"/>
              </w:rPr>
              <w:t xml:space="preserve"> 6</w:t>
            </w:r>
          </w:p>
        </w:tc>
        <w:tc>
          <w:tcPr>
            <w:tcW w:w="924" w:type="dxa"/>
            <w:tcBorders>
              <w:top w:val="single" w:sz="6" w:space="0" w:color="auto"/>
              <w:left w:val="single" w:sz="6" w:space="0" w:color="auto"/>
              <w:bottom w:val="single" w:sz="6" w:space="0" w:color="auto"/>
              <w:right w:val="single" w:sz="6" w:space="0" w:color="auto"/>
            </w:tcBorders>
            <w:noWrap/>
          </w:tcPr>
          <w:p w14:paraId="4EF801C3" w14:textId="77777777" w:rsidR="0093341C" w:rsidRPr="001667DB" w:rsidRDefault="0093341C" w:rsidP="0093341C">
            <w:pPr>
              <w:numPr>
                <w:ilvl w:val="12"/>
                <w:numId w:val="0"/>
              </w:numPr>
              <w:spacing w:line="276" w:lineRule="auto"/>
              <w:jc w:val="center"/>
              <w:rPr>
                <w:rFonts w:ascii="Times New Roman" w:hAnsi="Times New Roman" w:cs="Times New Roman"/>
                <w:color w:val="000000" w:themeColor="text1"/>
              </w:rPr>
            </w:pPr>
          </w:p>
          <w:p w14:paraId="1B68887C" w14:textId="77777777" w:rsidR="0093341C" w:rsidRPr="001667DB" w:rsidRDefault="0093341C" w:rsidP="0093341C">
            <w:pPr>
              <w:numPr>
                <w:ilvl w:val="12"/>
                <w:numId w:val="0"/>
              </w:num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93341C" w:rsidRPr="001667DB" w14:paraId="0C1CC189" w14:textId="77777777" w:rsidTr="0093341C">
        <w:trPr>
          <w:cantSplit/>
          <w:jc w:val="center"/>
        </w:trPr>
        <w:tc>
          <w:tcPr>
            <w:tcW w:w="496" w:type="dxa"/>
            <w:tcBorders>
              <w:top w:val="single" w:sz="6" w:space="0" w:color="auto"/>
              <w:left w:val="single" w:sz="6" w:space="0" w:color="auto"/>
              <w:bottom w:val="single" w:sz="6" w:space="0" w:color="auto"/>
              <w:right w:val="single" w:sz="6" w:space="0" w:color="auto"/>
            </w:tcBorders>
            <w:noWrap/>
            <w:hideMark/>
          </w:tcPr>
          <w:p w14:paraId="43249C4D"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685" w:type="dxa"/>
            <w:tcBorders>
              <w:top w:val="single" w:sz="6" w:space="0" w:color="auto"/>
              <w:left w:val="single" w:sz="6" w:space="0" w:color="auto"/>
              <w:bottom w:val="single" w:sz="6" w:space="0" w:color="auto"/>
              <w:right w:val="single" w:sz="6" w:space="0" w:color="auto"/>
            </w:tcBorders>
            <w:noWrap/>
            <w:hideMark/>
          </w:tcPr>
          <w:p w14:paraId="6E8D0D1D" w14:textId="77777777" w:rsidR="0093341C" w:rsidRPr="001667DB" w:rsidRDefault="0093341C" w:rsidP="0093341C">
            <w:pPr>
              <w:spacing w:line="276" w:lineRule="auto"/>
              <w:rPr>
                <w:rFonts w:ascii="Times New Roman" w:hAnsi="Times New Roman" w:cs="Times New Roman"/>
                <w:color w:val="000000" w:themeColor="text1"/>
              </w:rPr>
            </w:pPr>
            <w:r w:rsidRPr="001667DB">
              <w:rPr>
                <w:rFonts w:ascii="Times New Roman" w:hAnsi="Times New Roman" w:cs="Times New Roman"/>
                <w:color w:val="000000" w:themeColor="text1"/>
              </w:rPr>
              <w:t>Czas schnięcia materiału na nawierzchni</w:t>
            </w:r>
          </w:p>
          <w:p w14:paraId="343CF4E4" w14:textId="77777777" w:rsidR="0093341C" w:rsidRPr="001667DB" w:rsidRDefault="0093341C" w:rsidP="00904E6C">
            <w:pPr>
              <w:numPr>
                <w:ilvl w:val="0"/>
                <w:numId w:val="325"/>
              </w:numPr>
              <w:tabs>
                <w:tab w:val="left" w:pos="-3190"/>
              </w:tabs>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w dzień</w:t>
            </w:r>
          </w:p>
          <w:p w14:paraId="218BA346" w14:textId="77777777" w:rsidR="0093341C" w:rsidRPr="001667DB" w:rsidRDefault="0093341C" w:rsidP="00904E6C">
            <w:pPr>
              <w:numPr>
                <w:ilvl w:val="0"/>
                <w:numId w:val="325"/>
              </w:numPr>
              <w:tabs>
                <w:tab w:val="left" w:pos="-3190"/>
              </w:tabs>
              <w:overflowPunct w:val="0"/>
              <w:autoSpaceDE w:val="0"/>
              <w:autoSpaceDN w:val="0"/>
              <w:adjustRightInd w:val="0"/>
              <w:spacing w:after="0" w:line="276" w:lineRule="auto"/>
              <w:ind w:left="355"/>
              <w:rPr>
                <w:rFonts w:ascii="Times New Roman" w:hAnsi="Times New Roman" w:cs="Times New Roman"/>
                <w:color w:val="000000" w:themeColor="text1"/>
              </w:rPr>
            </w:pPr>
            <w:r w:rsidRPr="001667DB">
              <w:rPr>
                <w:rFonts w:ascii="Times New Roman" w:hAnsi="Times New Roman" w:cs="Times New Roman"/>
                <w:color w:val="000000" w:themeColor="text1"/>
              </w:rPr>
              <w:t>w nocy</w:t>
            </w:r>
          </w:p>
        </w:tc>
        <w:tc>
          <w:tcPr>
            <w:tcW w:w="1134" w:type="dxa"/>
            <w:tcBorders>
              <w:top w:val="single" w:sz="6" w:space="0" w:color="auto"/>
              <w:left w:val="single" w:sz="6" w:space="0" w:color="auto"/>
              <w:bottom w:val="single" w:sz="6" w:space="0" w:color="auto"/>
              <w:right w:val="single" w:sz="6" w:space="0" w:color="auto"/>
            </w:tcBorders>
            <w:noWrap/>
          </w:tcPr>
          <w:p w14:paraId="0503831C" w14:textId="77777777" w:rsidR="0093341C" w:rsidRPr="001667DB" w:rsidRDefault="0093341C" w:rsidP="0093341C">
            <w:pPr>
              <w:spacing w:line="276" w:lineRule="auto"/>
              <w:jc w:val="center"/>
              <w:rPr>
                <w:rFonts w:ascii="Times New Roman" w:hAnsi="Times New Roman" w:cs="Times New Roman"/>
                <w:color w:val="000000" w:themeColor="text1"/>
              </w:rPr>
            </w:pPr>
          </w:p>
          <w:p w14:paraId="72C97201"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p w14:paraId="35279057"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tc>
        <w:tc>
          <w:tcPr>
            <w:tcW w:w="1276" w:type="dxa"/>
            <w:tcBorders>
              <w:top w:val="single" w:sz="6" w:space="0" w:color="auto"/>
              <w:left w:val="single" w:sz="6" w:space="0" w:color="auto"/>
              <w:bottom w:val="single" w:sz="6" w:space="0" w:color="auto"/>
              <w:right w:val="single" w:sz="6" w:space="0" w:color="auto"/>
            </w:tcBorders>
            <w:noWrap/>
          </w:tcPr>
          <w:p w14:paraId="49D93CBC" w14:textId="77777777" w:rsidR="0093341C" w:rsidRPr="001667DB" w:rsidRDefault="0093341C" w:rsidP="0093341C">
            <w:pPr>
              <w:spacing w:line="276" w:lineRule="auto"/>
              <w:jc w:val="center"/>
              <w:rPr>
                <w:rFonts w:ascii="Times New Roman" w:hAnsi="Times New Roman" w:cs="Times New Roman"/>
                <w:color w:val="000000" w:themeColor="text1"/>
              </w:rPr>
            </w:pPr>
          </w:p>
          <w:p w14:paraId="2DFBDE0D"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1</w:t>
            </w:r>
          </w:p>
          <w:p w14:paraId="328265D3"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00A3"/>
            </w:r>
            <w:r w:rsidRPr="001667DB">
              <w:rPr>
                <w:rFonts w:ascii="Times New Roman" w:hAnsi="Times New Roman" w:cs="Times New Roman"/>
                <w:color w:val="000000" w:themeColor="text1"/>
              </w:rPr>
              <w:t xml:space="preserve"> 2</w:t>
            </w:r>
          </w:p>
        </w:tc>
        <w:tc>
          <w:tcPr>
            <w:tcW w:w="924" w:type="dxa"/>
            <w:tcBorders>
              <w:top w:val="single" w:sz="6" w:space="0" w:color="auto"/>
              <w:left w:val="single" w:sz="6" w:space="0" w:color="auto"/>
              <w:bottom w:val="single" w:sz="6" w:space="0" w:color="auto"/>
              <w:right w:val="single" w:sz="6" w:space="0" w:color="auto"/>
            </w:tcBorders>
            <w:noWrap/>
          </w:tcPr>
          <w:p w14:paraId="4F8925F8" w14:textId="77777777" w:rsidR="0093341C" w:rsidRPr="001667DB" w:rsidRDefault="0093341C" w:rsidP="0093341C">
            <w:pPr>
              <w:spacing w:line="276" w:lineRule="auto"/>
              <w:jc w:val="center"/>
              <w:rPr>
                <w:rFonts w:ascii="Times New Roman" w:hAnsi="Times New Roman" w:cs="Times New Roman"/>
                <w:color w:val="000000" w:themeColor="text1"/>
              </w:rPr>
            </w:pPr>
          </w:p>
          <w:p w14:paraId="5B827E86" w14:textId="77777777" w:rsidR="0093341C" w:rsidRPr="001667DB" w:rsidRDefault="0093341C" w:rsidP="0093341C">
            <w:pPr>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p w14:paraId="383CB5F1" w14:textId="77777777" w:rsidR="0093341C" w:rsidRPr="001667DB" w:rsidRDefault="0093341C" w:rsidP="0093341C">
            <w:pPr>
              <w:overflowPunct w:val="0"/>
              <w:autoSpaceDE w:val="0"/>
              <w:autoSpaceDN w:val="0"/>
              <w:adjustRightInd w:val="0"/>
              <w:spacing w:line="276"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bl>
    <w:p w14:paraId="46395639" w14:textId="77777777" w:rsidR="0093341C" w:rsidRPr="001667DB" w:rsidRDefault="0093341C" w:rsidP="0093341C">
      <w:pPr>
        <w:spacing w:line="276" w:lineRule="auto"/>
        <w:rPr>
          <w:rFonts w:ascii="Times New Roman" w:hAnsi="Times New Roman" w:cs="Times New Roman"/>
          <w:color w:val="000000" w:themeColor="text1"/>
        </w:rPr>
      </w:pPr>
    </w:p>
    <w:p w14:paraId="20AD9E0D"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rPr>
          <w:color w:val="000000" w:themeColor="text1"/>
          <w:sz w:val="22"/>
          <w:szCs w:val="22"/>
        </w:rPr>
      </w:pPr>
      <w:r w:rsidRPr="001667DB">
        <w:rPr>
          <w:color w:val="000000" w:themeColor="text1"/>
          <w:sz w:val="22"/>
          <w:szCs w:val="22"/>
        </w:rPr>
        <w:t>Tolerancje wymiarów oznakowania</w:t>
      </w:r>
    </w:p>
    <w:p w14:paraId="3F952E4B" w14:textId="77777777" w:rsidR="0093341C" w:rsidRPr="001667DB" w:rsidRDefault="0093341C" w:rsidP="0093341C">
      <w:pPr>
        <w:spacing w:line="276" w:lineRule="auto"/>
        <w:rPr>
          <w:rFonts w:ascii="Times New Roman" w:hAnsi="Times New Roman" w:cs="Times New Roman"/>
          <w:color w:val="000000" w:themeColor="text1"/>
        </w:rPr>
      </w:pPr>
    </w:p>
    <w:p w14:paraId="591DB75B" w14:textId="77777777" w:rsidR="0093341C" w:rsidRPr="001667DB" w:rsidRDefault="0093341C"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6.4.1. </w:t>
      </w:r>
      <w:r w:rsidRPr="001667DB">
        <w:rPr>
          <w:rFonts w:ascii="Times New Roman" w:hAnsi="Times New Roman" w:cs="Times New Roman"/>
          <w:color w:val="000000" w:themeColor="text1"/>
        </w:rPr>
        <w:t>Tolerancje nowo wykonanego oznakowania</w:t>
      </w:r>
    </w:p>
    <w:p w14:paraId="640FFC2B" w14:textId="77777777" w:rsidR="0093341C" w:rsidRPr="001667DB" w:rsidRDefault="0093341C"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Tolerancje nowo wykonanego oznakowania poziomego, zgodnego z dokumentacją projektową i załącznikiem nr 2 do rozporządzenia Ministra Infrastruktury z 3.07.2003 r. [7], powinny odpowiadać następującym warunkom:</w:t>
      </w:r>
    </w:p>
    <w:p w14:paraId="5449DCDB"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szerokość linii może różnić się od wymaganej o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w:t>
      </w:r>
    </w:p>
    <w:p w14:paraId="30AA923B"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długość linii może być mniejsza od wymaganej co najwyżej o </w:t>
      </w:r>
      <w:smartTag w:uri="urn:schemas-microsoft-com:office:smarttags" w:element="metricconverter">
        <w:smartTagPr>
          <w:attr w:name="ProductID" w:val="50 mm"/>
        </w:smartTagPr>
        <w:r w:rsidRPr="001667DB">
          <w:rPr>
            <w:rFonts w:ascii="Times New Roman" w:hAnsi="Times New Roman" w:cs="Times New Roman"/>
            <w:color w:val="000000" w:themeColor="text1"/>
          </w:rPr>
          <w:t>50 mm</w:t>
        </w:r>
      </w:smartTag>
      <w:r w:rsidRPr="001667DB">
        <w:rPr>
          <w:rFonts w:ascii="Times New Roman" w:hAnsi="Times New Roman" w:cs="Times New Roman"/>
          <w:color w:val="000000" w:themeColor="text1"/>
        </w:rPr>
        <w:t xml:space="preserve"> lub większa co najwyżej o </w:t>
      </w:r>
      <w:smartTag w:uri="urn:schemas-microsoft-com:office:smarttags" w:element="metricconverter">
        <w:smartTagPr>
          <w:attr w:name="ProductID" w:val="150 mm"/>
        </w:smartTagPr>
        <w:r w:rsidRPr="001667DB">
          <w:rPr>
            <w:rFonts w:ascii="Times New Roman" w:hAnsi="Times New Roman" w:cs="Times New Roman"/>
            <w:color w:val="000000" w:themeColor="text1"/>
          </w:rPr>
          <w:t>150 mm</w:t>
        </w:r>
      </w:smartTag>
      <w:r w:rsidRPr="001667DB">
        <w:rPr>
          <w:rFonts w:ascii="Times New Roman" w:hAnsi="Times New Roman" w:cs="Times New Roman"/>
          <w:color w:val="000000" w:themeColor="text1"/>
        </w:rPr>
        <w:t>,</w:t>
      </w:r>
    </w:p>
    <w:p w14:paraId="1AB89EA7"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linii przerywanych, długość cyklu składającego się z linii i przerwy nie może odbiegać od średniej liczonej z 10 kolejnych cykli o więcej niż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50 mm"/>
        </w:smartTagPr>
        <w:r w:rsidRPr="001667DB">
          <w:rPr>
            <w:rFonts w:ascii="Times New Roman" w:hAnsi="Times New Roman" w:cs="Times New Roman"/>
            <w:color w:val="000000" w:themeColor="text1"/>
          </w:rPr>
          <w:t>50 mm</w:t>
        </w:r>
      </w:smartTag>
      <w:r w:rsidRPr="001667DB">
        <w:rPr>
          <w:rFonts w:ascii="Times New Roman" w:hAnsi="Times New Roman" w:cs="Times New Roman"/>
          <w:color w:val="000000" w:themeColor="text1"/>
        </w:rPr>
        <w:t xml:space="preserve"> długości wymaganej,</w:t>
      </w:r>
    </w:p>
    <w:p w14:paraId="37AB2F81"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strzałek, liter i cyfr rozstaw punktów narożnikowych nie może mieć większej odchyłki od wymaganego wzoru niż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50 mm"/>
        </w:smartTagPr>
        <w:r w:rsidRPr="001667DB">
          <w:rPr>
            <w:rFonts w:ascii="Times New Roman" w:hAnsi="Times New Roman" w:cs="Times New Roman"/>
            <w:color w:val="000000" w:themeColor="text1"/>
          </w:rPr>
          <w:t>50 mm</w:t>
        </w:r>
      </w:smartTag>
      <w:r w:rsidRPr="001667DB">
        <w:rPr>
          <w:rFonts w:ascii="Times New Roman" w:hAnsi="Times New Roman" w:cs="Times New Roman"/>
          <w:color w:val="000000" w:themeColor="text1"/>
        </w:rPr>
        <w:t xml:space="preserve"> dla wymiaru długości i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20 mm"/>
        </w:smartTagPr>
        <w:r w:rsidRPr="001667DB">
          <w:rPr>
            <w:rFonts w:ascii="Times New Roman" w:hAnsi="Times New Roman" w:cs="Times New Roman"/>
            <w:color w:val="000000" w:themeColor="text1"/>
          </w:rPr>
          <w:t>20 mm</w:t>
        </w:r>
      </w:smartTag>
      <w:r w:rsidRPr="001667DB">
        <w:rPr>
          <w:rFonts w:ascii="Times New Roman" w:hAnsi="Times New Roman" w:cs="Times New Roman"/>
          <w:color w:val="000000" w:themeColor="text1"/>
        </w:rPr>
        <w:t xml:space="preserve"> dla wymiaru szerokości.</w:t>
      </w:r>
    </w:p>
    <w:p w14:paraId="3D4A429A" w14:textId="77777777" w:rsidR="0093341C" w:rsidRPr="001667DB" w:rsidRDefault="0093341C"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nowego oznakowania poziomego, spowodowanego zmianami organizacji ruchu, należy dokładnie usunąć zbędne stare oznakowanie.</w:t>
      </w:r>
    </w:p>
    <w:p w14:paraId="64E9E682"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 xml:space="preserve">6.4.2. </w:t>
      </w:r>
      <w:r w:rsidRPr="001667DB">
        <w:rPr>
          <w:rFonts w:ascii="Times New Roman" w:hAnsi="Times New Roman" w:cs="Times New Roman"/>
          <w:color w:val="000000" w:themeColor="text1"/>
        </w:rPr>
        <w:t>Tolerancje przy odnawianiu istniejącego oznakowania</w:t>
      </w:r>
    </w:p>
    <w:p w14:paraId="7C3CFDE3"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odnawianiu istniejącego oznakowania należy dążyć do  pokrycia pełnej powierzchni istniejących znaków, przy zachowaniu dopuszczalnych tolerancji podanych w punkcie 6.4.1.</w:t>
      </w:r>
    </w:p>
    <w:p w14:paraId="4AE4E68C"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3" w:name="_Toc420816686"/>
      <w:bookmarkStart w:id="834" w:name="_Toc131919916"/>
      <w:r w:rsidRPr="001667DB">
        <w:rPr>
          <w:color w:val="000000" w:themeColor="text1"/>
          <w:sz w:val="22"/>
          <w:szCs w:val="22"/>
        </w:rPr>
        <w:t>Obmiar robót</w:t>
      </w:r>
      <w:bookmarkEnd w:id="833"/>
      <w:bookmarkEnd w:id="834"/>
    </w:p>
    <w:p w14:paraId="4A6D7714"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zasady obmiaru robót</w:t>
      </w:r>
    </w:p>
    <w:p w14:paraId="647E1B85"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pkt 7.</w:t>
      </w:r>
    </w:p>
    <w:p w14:paraId="54F2B4AD"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Jednostka obmiarowa</w:t>
      </w:r>
    </w:p>
    <w:p w14:paraId="7E0A383F" w14:textId="77777777" w:rsidR="0093341C" w:rsidRPr="001667DB" w:rsidRDefault="0093341C" w:rsidP="00577746">
      <w:pPr>
        <w:spacing w:line="276" w:lineRule="auto"/>
        <w:jc w:val="both"/>
        <w:rPr>
          <w:rFonts w:ascii="Times New Roman" w:hAnsi="Times New Roman" w:cs="Times New Roman"/>
          <w:color w:val="000000" w:themeColor="text1"/>
        </w:rPr>
      </w:pPr>
    </w:p>
    <w:p w14:paraId="691CBC33"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oznakowania poziomego jest 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(metr kwadratowy) powierzchni naniesionych oznakowań lub liczba umieszczonych punktowych elementów odblaskowych.</w:t>
      </w:r>
    </w:p>
    <w:p w14:paraId="0E6CDF5A"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5" w:name="_Toc420816687"/>
      <w:bookmarkStart w:id="836" w:name="_Toc131919917"/>
      <w:r w:rsidRPr="001667DB">
        <w:rPr>
          <w:color w:val="000000" w:themeColor="text1"/>
          <w:sz w:val="22"/>
          <w:szCs w:val="22"/>
        </w:rPr>
        <w:t>odbiór robót</w:t>
      </w:r>
      <w:bookmarkEnd w:id="835"/>
      <w:bookmarkEnd w:id="836"/>
    </w:p>
    <w:p w14:paraId="01C1259D" w14:textId="77777777" w:rsidR="0093341C" w:rsidRPr="001667DB" w:rsidRDefault="0093341C" w:rsidP="00577746">
      <w:pPr>
        <w:spacing w:line="276" w:lineRule="auto"/>
        <w:jc w:val="both"/>
        <w:rPr>
          <w:rFonts w:ascii="Times New Roman" w:hAnsi="Times New Roman" w:cs="Times New Roman"/>
          <w:color w:val="000000" w:themeColor="text1"/>
        </w:rPr>
      </w:pPr>
    </w:p>
    <w:p w14:paraId="69CCA810"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zasady odbioru robót</w:t>
      </w:r>
    </w:p>
    <w:p w14:paraId="6B585836" w14:textId="77777777" w:rsidR="0093341C" w:rsidRPr="001667DB" w:rsidRDefault="0093341C" w:rsidP="00577746">
      <w:pPr>
        <w:spacing w:line="276" w:lineRule="auto"/>
        <w:jc w:val="both"/>
        <w:rPr>
          <w:rFonts w:ascii="Times New Roman" w:hAnsi="Times New Roman" w:cs="Times New Roman"/>
          <w:color w:val="000000" w:themeColor="text1"/>
        </w:rPr>
      </w:pPr>
    </w:p>
    <w:p w14:paraId="373CFDC3"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pkt 8.</w:t>
      </w:r>
    </w:p>
    <w:p w14:paraId="39DFFC47"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60DE12D9"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4285ED9E"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Odbiór robót zanikających i ulegających zakryciu</w:t>
      </w:r>
    </w:p>
    <w:p w14:paraId="26F9979F"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Odbiór robót zanikających i ulegających zakryciu, w zależności od przyjętego sposobu wykonania robót, może być dokonany po:</w:t>
      </w:r>
    </w:p>
    <w:p w14:paraId="503A84B4"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oczyszczeniu powierzchni nawierzchni,</w:t>
      </w:r>
    </w:p>
    <w:p w14:paraId="7001D457"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przedznakowaniu,</w:t>
      </w:r>
    </w:p>
    <w:p w14:paraId="113BFD7A"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frezowaniu nawierzchni przed wykonaniem znakowania materiałem grubowarstwowym,</w:t>
      </w:r>
    </w:p>
    <w:p w14:paraId="4577EC24"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usunięciu istniejącego oznakowania poziomego,</w:t>
      </w:r>
    </w:p>
    <w:p w14:paraId="24AAEB1C"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wykonaniu podkładu (primera) na nawierzchni betonowej.</w:t>
      </w:r>
    </w:p>
    <w:p w14:paraId="4C0A5655" w14:textId="77777777" w:rsidR="0093341C" w:rsidRPr="001667DB" w:rsidRDefault="0093341C" w:rsidP="00577746">
      <w:pPr>
        <w:overflowPunct w:val="0"/>
        <w:autoSpaceDE w:val="0"/>
        <w:autoSpaceDN w:val="0"/>
        <w:adjustRightInd w:val="0"/>
        <w:spacing w:line="276" w:lineRule="auto"/>
        <w:ind w:left="283"/>
        <w:jc w:val="both"/>
        <w:rPr>
          <w:rFonts w:ascii="Times New Roman" w:hAnsi="Times New Roman" w:cs="Times New Roman"/>
          <w:color w:val="000000" w:themeColor="text1"/>
        </w:rPr>
      </w:pPr>
    </w:p>
    <w:p w14:paraId="439EC775"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Odbiór ostateczny</w:t>
      </w:r>
    </w:p>
    <w:p w14:paraId="3D569F68"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Odbioru ostatecznego należy dokonać po całkowitym zakończeniu robót, na podstawie wyników pomiarów i badań jakościowych określonych w punktach od 2 do 6.</w:t>
      </w:r>
    </w:p>
    <w:p w14:paraId="3F2E32B2"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Odbiór pogwarancyjny</w:t>
      </w:r>
    </w:p>
    <w:p w14:paraId="6A5BAF4D"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Odbioru pogwarancyjnego należy dokonać po upływie okresu gwarancyjnego, ustalonego w ST. Sprawdzeniu podlegają cechy oznakowania określone niniejszym ST na podstawie badań wykonanych przed upływem okresu gwarancyjnego.</w:t>
      </w:r>
    </w:p>
    <w:p w14:paraId="5A61189A"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Minimalny okres gwarancyjny: dla oznakowania grubowarstwowego, oznakowania taśmami i punktowymi elementami odblaskowymi: co najmniej 5 lat.</w:t>
      </w:r>
    </w:p>
    <w:p w14:paraId="59F9C0E8"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p>
    <w:p w14:paraId="5D6A72E0"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7" w:name="_Toc420816688"/>
      <w:bookmarkStart w:id="838" w:name="_Toc131919918"/>
      <w:r w:rsidRPr="001667DB">
        <w:rPr>
          <w:color w:val="000000" w:themeColor="text1"/>
          <w:sz w:val="22"/>
          <w:szCs w:val="22"/>
        </w:rPr>
        <w:lastRenderedPageBreak/>
        <w:t>podstawa płatności</w:t>
      </w:r>
      <w:bookmarkEnd w:id="837"/>
      <w:bookmarkEnd w:id="838"/>
    </w:p>
    <w:p w14:paraId="57C5D91C"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Ogólne ustalenia dotyczące podstawy płatności</w:t>
      </w:r>
    </w:p>
    <w:p w14:paraId="5C26E9ED"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pkt 9. Ponadto Zamawiający powinien tak sformułować umowę, aby Wykonawca musiał doprowadzić oznakowanie do wymagań zawartych w ST w przypadku zauważenia niezgodności.</w:t>
      </w:r>
    </w:p>
    <w:p w14:paraId="5BE9125F"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p>
    <w:p w14:paraId="1772A839" w14:textId="77777777" w:rsidR="0093341C" w:rsidRPr="001667DB" w:rsidRDefault="0093341C" w:rsidP="00904E6C">
      <w:pPr>
        <w:pStyle w:val="Nagwek2"/>
        <w:numPr>
          <w:ilvl w:val="1"/>
          <w:numId w:val="329"/>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r w:rsidRPr="001667DB">
        <w:rPr>
          <w:color w:val="000000" w:themeColor="text1"/>
          <w:sz w:val="22"/>
          <w:szCs w:val="22"/>
        </w:rPr>
        <w:t>Cena jednostki obmiarowej</w:t>
      </w:r>
    </w:p>
    <w:p w14:paraId="24AC40CA" w14:textId="77777777" w:rsidR="0093341C" w:rsidRPr="001667DB" w:rsidRDefault="0093341C" w:rsidP="00577746">
      <w:pPr>
        <w:numPr>
          <w:ilvl w:val="12"/>
          <w:numId w:val="0"/>
        </w:num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Cena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wykonania robót obejmuje:</w:t>
      </w:r>
    </w:p>
    <w:p w14:paraId="7F3E540E"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 roboty przygotowawcze i oznakowanie robót,</w:t>
      </w:r>
    </w:p>
    <w:p w14:paraId="152B92A7"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i dostarczenie materiałów,</w:t>
      </w:r>
    </w:p>
    <w:p w14:paraId="43A5C3FE"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oczyszczenie podłoża (nawierzchni),</w:t>
      </w:r>
    </w:p>
    <w:p w14:paraId="495CD15F"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przedznakowanie,</w:t>
      </w:r>
    </w:p>
    <w:p w14:paraId="08D90B26"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naniesienie powłoki znaków na nawierzchnię drogi o kształtach i wymiarach zgodnych z dokumentacją projektową i załącznikiem nr 2 do rozporządzenia Ministra Infrastruktury [7],</w:t>
      </w:r>
    </w:p>
    <w:p w14:paraId="098D57EC" w14:textId="77777777" w:rsidR="0093341C" w:rsidRPr="001667DB" w:rsidRDefault="0093341C" w:rsidP="00577746">
      <w:pPr>
        <w:numPr>
          <w:ilvl w:val="0"/>
          <w:numId w:val="23"/>
        </w:numPr>
        <w:overflowPunct w:val="0"/>
        <w:autoSpaceDE w:val="0"/>
        <w:autoSpaceDN w:val="0"/>
        <w:adjustRightInd w:val="0"/>
        <w:spacing w:after="0"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ochrona znaków przed zniszczeniem przez pojazdy w czasie prowadzenia robót,</w:t>
      </w:r>
    </w:p>
    <w:p w14:paraId="0E72A52C" w14:textId="77777777" w:rsidR="0093341C" w:rsidRPr="001667DB" w:rsidRDefault="0093341C" w:rsidP="00577746">
      <w:pPr>
        <w:numPr>
          <w:ilvl w:val="0"/>
          <w:numId w:val="23"/>
        </w:numPr>
        <w:overflowPunct w:val="0"/>
        <w:autoSpaceDE w:val="0"/>
        <w:autoSpaceDN w:val="0"/>
        <w:adjustRightInd w:val="0"/>
        <w:spacing w:after="0" w:line="276"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laboratoryjnych wymaganych w specyfikacji technicznej.</w:t>
      </w:r>
    </w:p>
    <w:p w14:paraId="5F373172" w14:textId="77777777" w:rsidR="0093341C" w:rsidRPr="001667DB" w:rsidRDefault="0093341C" w:rsidP="00577746">
      <w:pPr>
        <w:overflowPunct w:val="0"/>
        <w:autoSpaceDE w:val="0"/>
        <w:autoSpaceDN w:val="0"/>
        <w:adjustRightInd w:val="0"/>
        <w:spacing w:line="276" w:lineRule="auto"/>
        <w:ind w:left="284"/>
        <w:jc w:val="both"/>
        <w:rPr>
          <w:rFonts w:ascii="Times New Roman" w:hAnsi="Times New Roman" w:cs="Times New Roman"/>
          <w:color w:val="000000" w:themeColor="text1"/>
        </w:rPr>
      </w:pPr>
    </w:p>
    <w:p w14:paraId="6370BF8C" w14:textId="77777777" w:rsidR="0093341C" w:rsidRPr="001667DB" w:rsidRDefault="0093341C" w:rsidP="00904E6C">
      <w:pPr>
        <w:pStyle w:val="Nagwek1"/>
        <w:numPr>
          <w:ilvl w:val="0"/>
          <w:numId w:val="329"/>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jc w:val="both"/>
        <w:rPr>
          <w:color w:val="000000" w:themeColor="text1"/>
          <w:sz w:val="22"/>
          <w:szCs w:val="22"/>
        </w:rPr>
      </w:pPr>
      <w:bookmarkStart w:id="839" w:name="_Toc420816689"/>
      <w:bookmarkStart w:id="840" w:name="_Toc131919919"/>
      <w:r w:rsidRPr="001667DB">
        <w:rPr>
          <w:color w:val="000000" w:themeColor="text1"/>
          <w:sz w:val="22"/>
          <w:szCs w:val="22"/>
        </w:rPr>
        <w:t>przepisy  związane</w:t>
      </w:r>
      <w:bookmarkEnd w:id="839"/>
      <w:bookmarkEnd w:id="840"/>
    </w:p>
    <w:p w14:paraId="77715597" w14:textId="77777777" w:rsidR="0093341C" w:rsidRPr="001667DB" w:rsidRDefault="0093341C" w:rsidP="00577746">
      <w:pPr>
        <w:spacing w:line="276" w:lineRule="auto"/>
        <w:jc w:val="both"/>
        <w:rPr>
          <w:rFonts w:ascii="Times New Roman" w:hAnsi="Times New Roman" w:cs="Times New Roman"/>
          <w:color w:val="000000" w:themeColor="text1"/>
        </w:rPr>
      </w:pPr>
    </w:p>
    <w:p w14:paraId="51ED8C19" w14:textId="77777777" w:rsidR="0093341C" w:rsidRPr="001667DB" w:rsidRDefault="0093341C" w:rsidP="00577746">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ind w:left="851"/>
        <w:jc w:val="both"/>
        <w:rPr>
          <w:color w:val="000000" w:themeColor="text1"/>
          <w:sz w:val="22"/>
          <w:szCs w:val="22"/>
        </w:rPr>
      </w:pPr>
      <w:r w:rsidRPr="001667DB">
        <w:rPr>
          <w:color w:val="000000" w:themeColor="text1"/>
          <w:sz w:val="22"/>
          <w:szCs w:val="22"/>
        </w:rPr>
        <w:t>Normy</w:t>
      </w:r>
    </w:p>
    <w:p w14:paraId="212479DE" w14:textId="77777777" w:rsidR="0093341C" w:rsidRPr="001667DB" w:rsidRDefault="0093341C" w:rsidP="00577746">
      <w:pPr>
        <w:spacing w:line="276" w:lineRule="auto"/>
        <w:jc w:val="both"/>
        <w:rPr>
          <w:rFonts w:ascii="Times New Roman" w:hAnsi="Times New Roman" w:cs="Times New Roman"/>
          <w:color w:val="000000" w:themeColor="text1"/>
        </w:rPr>
      </w:pPr>
    </w:p>
    <w:tbl>
      <w:tblPr>
        <w:tblW w:w="0" w:type="auto"/>
        <w:tblCellMar>
          <w:left w:w="70" w:type="dxa"/>
          <w:right w:w="70" w:type="dxa"/>
        </w:tblCellMar>
        <w:tblLook w:val="04A0" w:firstRow="1" w:lastRow="0" w:firstColumn="1" w:lastColumn="0" w:noHBand="0" w:noVBand="1"/>
      </w:tblPr>
      <w:tblGrid>
        <w:gridCol w:w="496"/>
        <w:gridCol w:w="1913"/>
        <w:gridCol w:w="6309"/>
      </w:tblGrid>
      <w:tr w:rsidR="0093341C" w:rsidRPr="001667DB" w14:paraId="431A3DB9" w14:textId="77777777" w:rsidTr="0093341C">
        <w:tc>
          <w:tcPr>
            <w:tcW w:w="496" w:type="dxa"/>
            <w:hideMark/>
          </w:tcPr>
          <w:p w14:paraId="0F640AE0"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842" w:type="dxa"/>
            <w:hideMark/>
          </w:tcPr>
          <w:p w14:paraId="0C01E2F5"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PN-89/C-81400</w:t>
            </w:r>
          </w:p>
        </w:tc>
        <w:tc>
          <w:tcPr>
            <w:tcW w:w="6309" w:type="dxa"/>
            <w:hideMark/>
          </w:tcPr>
          <w:p w14:paraId="3F6C9198"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Wyroby lakierowe. Pakowanie, przechowywanie i transport</w:t>
            </w:r>
          </w:p>
        </w:tc>
      </w:tr>
      <w:tr w:rsidR="0093341C" w:rsidRPr="001667DB" w14:paraId="0A9EAB82" w14:textId="77777777" w:rsidTr="0093341C">
        <w:tc>
          <w:tcPr>
            <w:tcW w:w="496" w:type="dxa"/>
            <w:hideMark/>
          </w:tcPr>
          <w:p w14:paraId="60BEC350"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842" w:type="dxa"/>
            <w:hideMark/>
          </w:tcPr>
          <w:p w14:paraId="1157BD7D"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PN-85/O-79252</w:t>
            </w:r>
          </w:p>
        </w:tc>
        <w:tc>
          <w:tcPr>
            <w:tcW w:w="6309" w:type="dxa"/>
            <w:hideMark/>
          </w:tcPr>
          <w:p w14:paraId="6E0D2DB0"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Opakowania transportowe z zawartością. Znaki i znakowanie. Wymagania podstawowe</w:t>
            </w:r>
          </w:p>
        </w:tc>
      </w:tr>
      <w:tr w:rsidR="0093341C" w:rsidRPr="001667DB" w14:paraId="4AA911BB" w14:textId="77777777" w:rsidTr="0093341C">
        <w:tc>
          <w:tcPr>
            <w:tcW w:w="496" w:type="dxa"/>
            <w:hideMark/>
          </w:tcPr>
          <w:p w14:paraId="0426435E"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3.</w:t>
            </w:r>
          </w:p>
        </w:tc>
        <w:tc>
          <w:tcPr>
            <w:tcW w:w="1842" w:type="dxa"/>
          </w:tcPr>
          <w:p w14:paraId="4AF315E9"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1423:2000,</w:t>
            </w:r>
          </w:p>
          <w:p w14:paraId="6A9C5E4A"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p>
        </w:tc>
        <w:tc>
          <w:tcPr>
            <w:tcW w:w="6309" w:type="dxa"/>
            <w:hideMark/>
          </w:tcPr>
          <w:p w14:paraId="0BDA2423"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Materiały do poziomego oznakowania dróg Materiały do posypywania. Kulki szklane, kruszywo przeciwpoślizgowe i ich mieszaniny)</w:t>
            </w:r>
          </w:p>
        </w:tc>
      </w:tr>
      <w:tr w:rsidR="0093341C" w:rsidRPr="001667DB" w14:paraId="0931A288" w14:textId="77777777" w:rsidTr="0093341C">
        <w:tc>
          <w:tcPr>
            <w:tcW w:w="496" w:type="dxa"/>
            <w:hideMark/>
          </w:tcPr>
          <w:p w14:paraId="531A038E"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3a.</w:t>
            </w:r>
          </w:p>
        </w:tc>
        <w:tc>
          <w:tcPr>
            <w:tcW w:w="1842" w:type="dxa"/>
            <w:hideMark/>
          </w:tcPr>
          <w:p w14:paraId="28074983"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1423:2001/A1:2005</w:t>
            </w:r>
          </w:p>
        </w:tc>
        <w:tc>
          <w:tcPr>
            <w:tcW w:w="6309" w:type="dxa"/>
            <w:hideMark/>
          </w:tcPr>
          <w:p w14:paraId="3A9BE1C9"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do poziomego oznakowania dróg Materiały do posypywania. Kulki szklane, kruszywo przeciwpoślizgowe i ich mieszaniny (Zmiana A1)</w:t>
            </w:r>
          </w:p>
        </w:tc>
      </w:tr>
      <w:tr w:rsidR="0093341C" w:rsidRPr="001667DB" w14:paraId="35D2E2E2" w14:textId="77777777" w:rsidTr="0093341C">
        <w:tc>
          <w:tcPr>
            <w:tcW w:w="496" w:type="dxa"/>
            <w:hideMark/>
          </w:tcPr>
          <w:p w14:paraId="5034EBF6"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4.</w:t>
            </w:r>
          </w:p>
        </w:tc>
        <w:tc>
          <w:tcPr>
            <w:tcW w:w="1842" w:type="dxa"/>
          </w:tcPr>
          <w:p w14:paraId="194D0AD2" w14:textId="77777777" w:rsidR="0093341C" w:rsidRPr="001667DB" w:rsidRDefault="0093341C" w:rsidP="00577746">
            <w:pPr>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 xml:space="preserve">PN-EN </w:t>
            </w:r>
          </w:p>
          <w:p w14:paraId="3BA4D495" w14:textId="77777777" w:rsidR="0093341C" w:rsidRPr="001667DB" w:rsidRDefault="0093341C" w:rsidP="00577746">
            <w:pPr>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1436:2018-02,</w:t>
            </w:r>
          </w:p>
          <w:p w14:paraId="3D7C3E1B"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p>
        </w:tc>
        <w:tc>
          <w:tcPr>
            <w:tcW w:w="6309" w:type="dxa"/>
            <w:hideMark/>
          </w:tcPr>
          <w:p w14:paraId="626773D0"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do poziomego oznakowania dróg. Wymagania dotyczące poziomego oznakowania dróg dla użytkowników oraz metody badań</w:t>
            </w:r>
          </w:p>
        </w:tc>
      </w:tr>
      <w:tr w:rsidR="0093341C" w:rsidRPr="001667DB" w14:paraId="5AC0860D" w14:textId="77777777" w:rsidTr="0093341C">
        <w:tc>
          <w:tcPr>
            <w:tcW w:w="496" w:type="dxa"/>
            <w:hideMark/>
          </w:tcPr>
          <w:p w14:paraId="7656B64A"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5.</w:t>
            </w:r>
          </w:p>
        </w:tc>
        <w:tc>
          <w:tcPr>
            <w:tcW w:w="1842" w:type="dxa"/>
          </w:tcPr>
          <w:p w14:paraId="779C2BF1" w14:textId="77777777" w:rsidR="0093341C" w:rsidRPr="001667DB" w:rsidRDefault="0093341C" w:rsidP="00577746">
            <w:pPr>
              <w:pStyle w:val="Nagwek"/>
              <w:tabs>
                <w:tab w:val="left" w:pos="709"/>
              </w:tabs>
              <w:spacing w:line="276" w:lineRule="auto"/>
              <w:rPr>
                <w:i/>
                <w:color w:val="000000" w:themeColor="text1"/>
                <w:sz w:val="22"/>
                <w:lang w:val="de-DE"/>
              </w:rPr>
            </w:pPr>
            <w:r w:rsidRPr="001667DB">
              <w:rPr>
                <w:i/>
                <w:color w:val="000000" w:themeColor="text1"/>
                <w:sz w:val="22"/>
                <w:lang w:val="de-DE"/>
              </w:rPr>
              <w:t>PN-EN 1463-1:2000</w:t>
            </w:r>
          </w:p>
          <w:p w14:paraId="3D4EAE84" w14:textId="77777777" w:rsidR="0093341C" w:rsidRPr="001667DB" w:rsidRDefault="0093341C" w:rsidP="00577746">
            <w:pPr>
              <w:pStyle w:val="Nagwek"/>
              <w:tabs>
                <w:tab w:val="left" w:pos="709"/>
              </w:tabs>
              <w:spacing w:line="276" w:lineRule="auto"/>
              <w:rPr>
                <w:i/>
                <w:color w:val="000000" w:themeColor="text1"/>
                <w:sz w:val="22"/>
                <w:lang w:val="de-DE"/>
              </w:rPr>
            </w:pPr>
          </w:p>
        </w:tc>
        <w:tc>
          <w:tcPr>
            <w:tcW w:w="6309" w:type="dxa"/>
            <w:hideMark/>
          </w:tcPr>
          <w:p w14:paraId="0E89E26F"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Materiały do poziomego oznakowania dróg. Punktowe elementy odblaskowe Część 1: Wymagania dotyczące charakterystyki nowego elementu</w:t>
            </w:r>
          </w:p>
        </w:tc>
      </w:tr>
      <w:tr w:rsidR="0093341C" w:rsidRPr="001667DB" w14:paraId="6D24ECA6" w14:textId="77777777" w:rsidTr="0093341C">
        <w:tc>
          <w:tcPr>
            <w:tcW w:w="496" w:type="dxa"/>
            <w:hideMark/>
          </w:tcPr>
          <w:p w14:paraId="26E396BD"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5a.</w:t>
            </w:r>
          </w:p>
        </w:tc>
        <w:tc>
          <w:tcPr>
            <w:tcW w:w="1842" w:type="dxa"/>
            <w:hideMark/>
          </w:tcPr>
          <w:p w14:paraId="041A875D" w14:textId="77777777" w:rsidR="0093341C" w:rsidRPr="001667DB" w:rsidRDefault="0093341C" w:rsidP="00577746">
            <w:pPr>
              <w:pStyle w:val="Nagwek"/>
              <w:tabs>
                <w:tab w:val="left" w:pos="709"/>
              </w:tabs>
              <w:spacing w:line="276" w:lineRule="auto"/>
              <w:rPr>
                <w:i/>
                <w:color w:val="000000" w:themeColor="text1"/>
                <w:sz w:val="22"/>
                <w:lang w:val="en-US"/>
              </w:rPr>
            </w:pPr>
            <w:r w:rsidRPr="001667DB">
              <w:rPr>
                <w:i/>
                <w:color w:val="000000" w:themeColor="text1"/>
                <w:sz w:val="22"/>
                <w:lang w:val="en-US"/>
              </w:rPr>
              <w:t>PN-EN 1463-1:2000/A1:2005</w:t>
            </w:r>
          </w:p>
        </w:tc>
        <w:tc>
          <w:tcPr>
            <w:tcW w:w="6309" w:type="dxa"/>
            <w:hideMark/>
          </w:tcPr>
          <w:p w14:paraId="08C79ED4"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Materiały do poziomego oznakowania dróg. Punktowe elementy odblaskowe Część 1: Wymagania dotyczące charakterystyki nowego elementu (Zmiana A1)</w:t>
            </w:r>
          </w:p>
        </w:tc>
      </w:tr>
      <w:tr w:rsidR="0093341C" w:rsidRPr="001667DB" w14:paraId="42B81032" w14:textId="77777777" w:rsidTr="0093341C">
        <w:tc>
          <w:tcPr>
            <w:tcW w:w="496" w:type="dxa"/>
            <w:hideMark/>
          </w:tcPr>
          <w:p w14:paraId="3C97A101"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5b.</w:t>
            </w:r>
          </w:p>
        </w:tc>
        <w:tc>
          <w:tcPr>
            <w:tcW w:w="1842" w:type="dxa"/>
            <w:hideMark/>
          </w:tcPr>
          <w:p w14:paraId="20087137" w14:textId="77777777" w:rsidR="0093341C" w:rsidRPr="001667DB" w:rsidRDefault="0093341C" w:rsidP="00577746">
            <w:pPr>
              <w:pStyle w:val="Nagwek"/>
              <w:tabs>
                <w:tab w:val="left" w:pos="709"/>
              </w:tabs>
              <w:spacing w:line="276" w:lineRule="auto"/>
              <w:rPr>
                <w:i/>
                <w:color w:val="000000" w:themeColor="text1"/>
                <w:sz w:val="22"/>
              </w:rPr>
            </w:pPr>
            <w:r w:rsidRPr="001667DB">
              <w:rPr>
                <w:i/>
                <w:color w:val="000000" w:themeColor="text1"/>
                <w:sz w:val="22"/>
              </w:rPr>
              <w:t>PN-EN 1463-2:2000</w:t>
            </w:r>
          </w:p>
        </w:tc>
        <w:tc>
          <w:tcPr>
            <w:tcW w:w="6309" w:type="dxa"/>
            <w:hideMark/>
          </w:tcPr>
          <w:p w14:paraId="7EEC1A40"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Materiały do poziomego oznakowania dróg. Punktowe elementy odblaskowe Część 2: Badania terenowe</w:t>
            </w:r>
          </w:p>
        </w:tc>
      </w:tr>
      <w:tr w:rsidR="0093341C" w:rsidRPr="001667DB" w14:paraId="44B9B9D0" w14:textId="77777777" w:rsidTr="0093341C">
        <w:tc>
          <w:tcPr>
            <w:tcW w:w="496" w:type="dxa"/>
            <w:hideMark/>
          </w:tcPr>
          <w:p w14:paraId="2A522D40"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6.</w:t>
            </w:r>
          </w:p>
        </w:tc>
        <w:tc>
          <w:tcPr>
            <w:tcW w:w="1842" w:type="dxa"/>
            <w:hideMark/>
          </w:tcPr>
          <w:p w14:paraId="2D9EB6FC" w14:textId="77777777" w:rsidR="0093341C" w:rsidRPr="001667DB" w:rsidRDefault="0093341C" w:rsidP="00577746">
            <w:pPr>
              <w:pStyle w:val="Nagwek"/>
              <w:tabs>
                <w:tab w:val="left" w:pos="709"/>
              </w:tabs>
              <w:spacing w:line="276" w:lineRule="auto"/>
              <w:rPr>
                <w:i/>
                <w:color w:val="000000" w:themeColor="text1"/>
                <w:sz w:val="22"/>
              </w:rPr>
            </w:pPr>
            <w:r w:rsidRPr="001667DB">
              <w:rPr>
                <w:i/>
                <w:color w:val="000000" w:themeColor="text1"/>
                <w:sz w:val="22"/>
              </w:rPr>
              <w:t>PN-EN 1871:2003</w:t>
            </w:r>
          </w:p>
        </w:tc>
        <w:tc>
          <w:tcPr>
            <w:tcW w:w="6309" w:type="dxa"/>
            <w:hideMark/>
          </w:tcPr>
          <w:p w14:paraId="3CDEA702"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Materiały do poziomego oznakowania dróg. Właściwości fizyczne</w:t>
            </w:r>
          </w:p>
        </w:tc>
      </w:tr>
      <w:tr w:rsidR="0093341C" w:rsidRPr="001667DB" w14:paraId="0E369AE8" w14:textId="77777777" w:rsidTr="0093341C">
        <w:tc>
          <w:tcPr>
            <w:tcW w:w="496" w:type="dxa"/>
            <w:hideMark/>
          </w:tcPr>
          <w:p w14:paraId="241A4259" w14:textId="77777777" w:rsidR="0093341C" w:rsidRPr="001667DB" w:rsidRDefault="0093341C" w:rsidP="00577746">
            <w:pPr>
              <w:overflowPunct w:val="0"/>
              <w:autoSpaceDE w:val="0"/>
              <w:autoSpaceDN w:val="0"/>
              <w:adjustRightInd w:val="0"/>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6a.</w:t>
            </w:r>
          </w:p>
        </w:tc>
        <w:tc>
          <w:tcPr>
            <w:tcW w:w="1842" w:type="dxa"/>
            <w:hideMark/>
          </w:tcPr>
          <w:p w14:paraId="1E700562" w14:textId="77777777" w:rsidR="0093341C" w:rsidRPr="001667DB" w:rsidRDefault="0093341C" w:rsidP="00577746">
            <w:pPr>
              <w:pStyle w:val="Nagwek"/>
              <w:tabs>
                <w:tab w:val="left" w:pos="709"/>
              </w:tabs>
              <w:spacing w:line="276" w:lineRule="auto"/>
              <w:rPr>
                <w:i/>
                <w:color w:val="000000" w:themeColor="text1"/>
                <w:sz w:val="22"/>
                <w:lang w:val="de-DE"/>
              </w:rPr>
            </w:pPr>
            <w:r w:rsidRPr="001667DB">
              <w:rPr>
                <w:i/>
                <w:color w:val="000000" w:themeColor="text1"/>
                <w:sz w:val="22"/>
                <w:lang w:val="de-DE"/>
              </w:rPr>
              <w:t>PN-EN 13036-4: 2004(U)</w:t>
            </w:r>
          </w:p>
        </w:tc>
        <w:tc>
          <w:tcPr>
            <w:tcW w:w="6309" w:type="dxa"/>
            <w:hideMark/>
          </w:tcPr>
          <w:p w14:paraId="4A8B4B28" w14:textId="77777777" w:rsidR="0093341C" w:rsidRPr="001667DB" w:rsidRDefault="0093341C" w:rsidP="00577746">
            <w:pPr>
              <w:pStyle w:val="Tekstprzypisudolnego"/>
              <w:spacing w:line="276" w:lineRule="auto"/>
              <w:rPr>
                <w:color w:val="000000" w:themeColor="text1"/>
                <w:sz w:val="22"/>
                <w:szCs w:val="22"/>
              </w:rPr>
            </w:pPr>
            <w:r w:rsidRPr="001667DB">
              <w:rPr>
                <w:color w:val="000000" w:themeColor="text1"/>
                <w:sz w:val="22"/>
                <w:szCs w:val="22"/>
              </w:rPr>
              <w:t>Drogi samochodowe i lotniskowe – Metody badań – Część 4: Metoda pomiaru oporów poślizgu/poślizgnięcia na powierzchni: próba wahadła</w:t>
            </w:r>
          </w:p>
          <w:p w14:paraId="5CCF0D1B" w14:textId="77777777" w:rsidR="0093341C" w:rsidRPr="001667DB" w:rsidRDefault="0093341C" w:rsidP="00577746">
            <w:pPr>
              <w:pStyle w:val="Tekstprzypisudolnego"/>
              <w:spacing w:line="276" w:lineRule="auto"/>
              <w:rPr>
                <w:color w:val="000000" w:themeColor="text1"/>
                <w:sz w:val="22"/>
                <w:szCs w:val="22"/>
              </w:rPr>
            </w:pPr>
          </w:p>
        </w:tc>
      </w:tr>
    </w:tbl>
    <w:p w14:paraId="5FE15E71" w14:textId="77777777" w:rsidR="0093341C" w:rsidRPr="001667DB" w:rsidRDefault="0093341C" w:rsidP="00577746">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76" w:lineRule="auto"/>
        <w:ind w:left="851"/>
        <w:jc w:val="both"/>
        <w:rPr>
          <w:color w:val="000000" w:themeColor="text1"/>
          <w:sz w:val="22"/>
          <w:szCs w:val="22"/>
        </w:rPr>
      </w:pPr>
      <w:r w:rsidRPr="001667DB">
        <w:rPr>
          <w:color w:val="000000" w:themeColor="text1"/>
          <w:sz w:val="22"/>
          <w:szCs w:val="22"/>
        </w:rPr>
        <w:t>Przepisy związane i inne dokumenty</w:t>
      </w:r>
    </w:p>
    <w:p w14:paraId="63F0FCAD" w14:textId="77777777" w:rsidR="0093341C" w:rsidRPr="001667DB" w:rsidRDefault="0093341C" w:rsidP="00577746">
      <w:pPr>
        <w:spacing w:line="276" w:lineRule="auto"/>
        <w:jc w:val="both"/>
        <w:rPr>
          <w:rFonts w:ascii="Times New Roman" w:hAnsi="Times New Roman" w:cs="Times New Roman"/>
          <w:color w:val="000000" w:themeColor="text1"/>
        </w:rPr>
      </w:pPr>
    </w:p>
    <w:p w14:paraId="2F1A5AB5"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Załącznik nr 2 do rozporządzenia Ministra Infrastruktury z dnia 3 lipca 2003 r. Szczegółowe warunki techniczne dla znaków drogowych poziomych i warunki ich umieszczania na drogach (Dz. U. nr 220, poz. 2181)</w:t>
      </w:r>
    </w:p>
    <w:p w14:paraId="21168DC6"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Infrastruktury   z  dnia  11 sierpnia 2004 r.  w  sprawie  sposobów deklarowania zgodności wyrobów budowlanych oraz sposobu znakowania ich  znakiem budowlanym (Dz. U. nr 198, poz. 2041)</w:t>
      </w:r>
    </w:p>
    <w:p w14:paraId="7949AB5C"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Warunki Techniczne. Poziome znakowanie dróg. POD-97. Seria „I” - Informacje, Instrukcje. Zeszyt nr 55. IBDiM, Warszawa, 1997</w:t>
      </w:r>
    </w:p>
    <w:p w14:paraId="1A3FDEBC"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Warunki Techniczne. Poziome znakowanie dróg. POD-2006. Seria „I” - Informacje, Instrukcje. IBDiM, Warszawa, w opracowaniu</w:t>
      </w:r>
    </w:p>
    <w:p w14:paraId="1F50A4F2"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Prawo przewozowe (Dz. U. nr 53 z 1984 r., poz. 272 z późniejszymi zmianami)</w:t>
      </w:r>
    </w:p>
    <w:p w14:paraId="73D498CD"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Infrastruktury z dnia 11 sierpnia 2004 r.  w  sprawie  systemów oceny zgodności, wymagań jakie powinny spełniać notyfikowane jednostki uczestniczące w ocenie zgodności oraz sposobu oznaczania wyrobów budowlanych oznakowaniem CE (Dz. U. nr 195, poz. 2011)</w:t>
      </w:r>
    </w:p>
    <w:p w14:paraId="3DF6D5DA"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Zdrowia z dnia 2 września 2003 r. w sprawie oznakowania opakowań substancji niebezpiecznych i preparatów niebezpiecznych (Dz. U. nr 73, poz. 1679)</w:t>
      </w:r>
    </w:p>
    <w:p w14:paraId="4176DCE5"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jc w:val="both"/>
        <w:rPr>
          <w:rFonts w:ascii="Times New Roman" w:hAnsi="Times New Roman" w:cs="Times New Roman"/>
          <w:color w:val="000000" w:themeColor="text1"/>
        </w:rPr>
      </w:pPr>
      <w:r w:rsidRPr="001667DB">
        <w:rPr>
          <w:rFonts w:ascii="Times New Roman" w:hAnsi="Times New Roman" w:cs="Times New Roman"/>
          <w:color w:val="000000" w:themeColor="text1"/>
        </w:rPr>
        <w:t>Umowa europejska dotycząca międzynarodowego przewozu towarów niebezpiecznych (RID/ADR)</w:t>
      </w:r>
    </w:p>
    <w:p w14:paraId="080508B9" w14:textId="77777777" w:rsidR="0093341C" w:rsidRPr="001667DB" w:rsidRDefault="0093341C" w:rsidP="00904E6C">
      <w:pPr>
        <w:numPr>
          <w:ilvl w:val="0"/>
          <w:numId w:val="249"/>
        </w:numPr>
        <w:tabs>
          <w:tab w:val="num" w:pos="851"/>
        </w:tabs>
        <w:overflowPunct w:val="0"/>
        <w:autoSpaceDE w:val="0"/>
        <w:autoSpaceDN w:val="0"/>
        <w:adjustRightInd w:val="0"/>
        <w:spacing w:after="0" w:line="276" w:lineRule="auto"/>
        <w:ind w:left="851"/>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Infrastruktury z dnia 8 listopada 2004 r. w sprawie aprobat technicznych oraz jednostek organizacyjnych uprawnionych do ich wydania (Dz. U. nr 249, poz. 2497)</w:t>
      </w:r>
    </w:p>
    <w:p w14:paraId="442C5848" w14:textId="77777777" w:rsidR="0093341C" w:rsidRPr="001667DB" w:rsidRDefault="0093341C">
      <w:pPr>
        <w:rPr>
          <w:rFonts w:ascii="Times New Roman" w:hAnsi="Times New Roman" w:cs="Times New Roman"/>
          <w:color w:val="000000" w:themeColor="text1"/>
        </w:rPr>
      </w:pPr>
    </w:p>
    <w:p w14:paraId="74438909" w14:textId="77777777" w:rsidR="0093341C" w:rsidRPr="001667DB" w:rsidRDefault="0093341C">
      <w:pPr>
        <w:rPr>
          <w:rFonts w:ascii="Times New Roman" w:hAnsi="Times New Roman" w:cs="Times New Roman"/>
          <w:color w:val="000000" w:themeColor="text1"/>
        </w:rPr>
      </w:pPr>
    </w:p>
    <w:p w14:paraId="5DED1807" w14:textId="77777777" w:rsidR="0093341C" w:rsidRPr="001667DB" w:rsidRDefault="0093341C">
      <w:pPr>
        <w:rPr>
          <w:rFonts w:ascii="Times New Roman" w:hAnsi="Times New Roman" w:cs="Times New Roman"/>
          <w:color w:val="000000" w:themeColor="text1"/>
        </w:rPr>
      </w:pPr>
    </w:p>
    <w:p w14:paraId="6BBFA4D3" w14:textId="77777777" w:rsidR="0093341C" w:rsidRPr="001667DB" w:rsidRDefault="0093341C">
      <w:pPr>
        <w:rPr>
          <w:rFonts w:ascii="Times New Roman" w:hAnsi="Times New Roman" w:cs="Times New Roman"/>
          <w:color w:val="000000" w:themeColor="text1"/>
        </w:rPr>
      </w:pPr>
    </w:p>
    <w:p w14:paraId="32231C27" w14:textId="77777777" w:rsidR="0093341C" w:rsidRPr="001667DB" w:rsidRDefault="0093341C">
      <w:pPr>
        <w:rPr>
          <w:rFonts w:ascii="Times New Roman" w:hAnsi="Times New Roman" w:cs="Times New Roman"/>
          <w:color w:val="000000" w:themeColor="text1"/>
        </w:rPr>
      </w:pPr>
    </w:p>
    <w:p w14:paraId="07FBD46B" w14:textId="77777777" w:rsidR="0093341C" w:rsidRPr="001667DB" w:rsidRDefault="0093341C">
      <w:pPr>
        <w:rPr>
          <w:rFonts w:ascii="Times New Roman" w:hAnsi="Times New Roman" w:cs="Times New Roman"/>
          <w:color w:val="000000" w:themeColor="text1"/>
        </w:rPr>
      </w:pPr>
    </w:p>
    <w:p w14:paraId="6310D4F3" w14:textId="77777777" w:rsidR="0093341C" w:rsidRPr="001667DB" w:rsidRDefault="0093341C">
      <w:pPr>
        <w:rPr>
          <w:rFonts w:ascii="Times New Roman" w:hAnsi="Times New Roman" w:cs="Times New Roman"/>
          <w:color w:val="000000" w:themeColor="text1"/>
        </w:rPr>
      </w:pPr>
    </w:p>
    <w:p w14:paraId="17C66471" w14:textId="77777777" w:rsidR="0093341C" w:rsidRPr="001667DB" w:rsidRDefault="0093341C">
      <w:pPr>
        <w:rPr>
          <w:rFonts w:ascii="Times New Roman" w:hAnsi="Times New Roman" w:cs="Times New Roman"/>
          <w:color w:val="000000" w:themeColor="text1"/>
        </w:rPr>
      </w:pPr>
    </w:p>
    <w:p w14:paraId="310807B0" w14:textId="77777777" w:rsidR="004D6256" w:rsidRPr="001667DB" w:rsidRDefault="004D6256">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1C1BAD1A" w14:textId="77777777" w:rsidR="004D6256" w:rsidRPr="001667DB" w:rsidRDefault="004D6256" w:rsidP="00B73D7B">
      <w:pPr>
        <w:rPr>
          <w:rFonts w:ascii="Times New Roman" w:hAnsi="Times New Roman" w:cs="Times New Roman"/>
          <w:b/>
          <w:color w:val="000000" w:themeColor="text1"/>
        </w:rPr>
      </w:pPr>
      <w:r w:rsidRPr="001667DB">
        <w:rPr>
          <w:rFonts w:ascii="Times New Roman" w:hAnsi="Times New Roman" w:cs="Times New Roman"/>
          <w:b/>
          <w:color w:val="000000" w:themeColor="text1"/>
        </w:rPr>
        <w:lastRenderedPageBreak/>
        <w:t xml:space="preserve">D.07.02.01.  </w:t>
      </w:r>
      <w:r w:rsidRPr="001667DB">
        <w:rPr>
          <w:rFonts w:ascii="Times New Roman" w:hAnsi="Times New Roman" w:cs="Times New Roman"/>
          <w:b/>
          <w:color w:val="000000" w:themeColor="text1"/>
        </w:rPr>
        <w:tab/>
        <w:t>OZNAKOWANIE  PIONOWE</w:t>
      </w:r>
    </w:p>
    <w:p w14:paraId="6CCC80D4" w14:textId="77777777" w:rsidR="004D6256" w:rsidRPr="001667DB" w:rsidRDefault="004D6256" w:rsidP="00904E6C">
      <w:pPr>
        <w:pStyle w:val="Nagwek1"/>
        <w:numPr>
          <w:ilvl w:val="0"/>
          <w:numId w:val="345"/>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rPr>
          <w:color w:val="000000" w:themeColor="text1"/>
          <w:sz w:val="22"/>
          <w:szCs w:val="22"/>
        </w:rPr>
      </w:pPr>
      <w:bookmarkStart w:id="841" w:name="_Toc131916637"/>
      <w:r w:rsidRPr="001667DB">
        <w:rPr>
          <w:color w:val="000000" w:themeColor="text1"/>
          <w:sz w:val="22"/>
          <w:szCs w:val="22"/>
        </w:rPr>
        <w:t>WSTĘP</w:t>
      </w:r>
      <w:bookmarkEnd w:id="841"/>
    </w:p>
    <w:p w14:paraId="7C7742AB" w14:textId="77777777" w:rsidR="00EC6FE2" w:rsidRPr="001667DB" w:rsidRDefault="00EC6FE2" w:rsidP="00EC6FE2">
      <w:pPr>
        <w:rPr>
          <w:rFonts w:ascii="Times New Roman" w:hAnsi="Times New Roman" w:cs="Times New Roman"/>
          <w:color w:val="000000" w:themeColor="text1"/>
          <w:lang w:val="en-GB" w:eastAsia="pl-PL"/>
        </w:rPr>
      </w:pPr>
    </w:p>
    <w:p w14:paraId="06458B7E"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rPr>
          <w:color w:val="000000" w:themeColor="text1"/>
          <w:sz w:val="22"/>
          <w:szCs w:val="22"/>
        </w:rPr>
      </w:pPr>
      <w:r w:rsidRPr="001667DB">
        <w:rPr>
          <w:color w:val="000000" w:themeColor="text1"/>
          <w:sz w:val="22"/>
          <w:szCs w:val="22"/>
        </w:rPr>
        <w:t>Przedmiot ST</w:t>
      </w:r>
    </w:p>
    <w:p w14:paraId="35050D82" w14:textId="77777777" w:rsidR="004D6256" w:rsidRPr="001667DB" w:rsidRDefault="004D6256" w:rsidP="00577746">
      <w:pPr>
        <w:pStyle w:val="standardowytekst"/>
        <w:spacing w:before="0" w:beforeAutospacing="0" w:after="0" w:afterAutospacing="0" w:line="360" w:lineRule="auto"/>
        <w:jc w:val="both"/>
        <w:rPr>
          <w:b/>
          <w:color w:val="000000" w:themeColor="text1"/>
          <w:sz w:val="22"/>
          <w:szCs w:val="22"/>
        </w:rPr>
      </w:pPr>
      <w:r w:rsidRPr="001667DB">
        <w:rPr>
          <w:color w:val="000000" w:themeColor="text1"/>
          <w:sz w:val="22"/>
          <w:szCs w:val="22"/>
        </w:rPr>
        <w:tab/>
        <w:t xml:space="preserve">Przedmiotem niniejszej specyfikacji technicznej (ST) są wymagania dotyczące wykonania i odbioru oznakowania pionowego w związku z </w:t>
      </w:r>
      <w:r w:rsidR="00576B4E" w:rsidRPr="00FD3B41">
        <w:rPr>
          <w:b/>
          <w:color w:val="000000" w:themeColor="text1"/>
          <w:sz w:val="22"/>
          <w:szCs w:val="22"/>
        </w:rPr>
        <w:t>„Rozbudowa drogi wojewódzkiej nr 461 w m. Dąbrówka Łubniańska i Łubniany” – Etap I ( km od 9+741,88 do 10+371,13)</w:t>
      </w:r>
    </w:p>
    <w:p w14:paraId="1DE3F890" w14:textId="77777777" w:rsidR="004D6256" w:rsidRPr="001667DB" w:rsidRDefault="004D6256" w:rsidP="00577746">
      <w:pPr>
        <w:pStyle w:val="Standardowytekst0"/>
        <w:rPr>
          <w:color w:val="000000" w:themeColor="text1"/>
          <w:sz w:val="22"/>
          <w:szCs w:val="22"/>
        </w:rPr>
      </w:pPr>
    </w:p>
    <w:p w14:paraId="4DC378F7"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Zakres stosowania ST</w:t>
      </w:r>
    </w:p>
    <w:p w14:paraId="5F046E99" w14:textId="77777777" w:rsidR="004D6256" w:rsidRPr="001667DB" w:rsidRDefault="004D6256" w:rsidP="00577746">
      <w:pPr>
        <w:pStyle w:val="Standardowytekst0"/>
        <w:rPr>
          <w:color w:val="000000" w:themeColor="text1"/>
          <w:sz w:val="22"/>
          <w:szCs w:val="22"/>
        </w:rPr>
      </w:pPr>
      <w:r w:rsidRPr="001667DB">
        <w:rPr>
          <w:color w:val="000000" w:themeColor="text1"/>
          <w:sz w:val="22"/>
          <w:szCs w:val="22"/>
        </w:rPr>
        <w:t>Specyfikacje Techniczne stanowią część Dokumentów Przetargowych i Kontraktowych i należy je stosowa</w:t>
      </w:r>
      <w:r w:rsidRPr="001667DB">
        <w:rPr>
          <w:color w:val="000000" w:themeColor="text1"/>
          <w:sz w:val="22"/>
          <w:szCs w:val="22"/>
        </w:rPr>
        <w:sym w:font="Times New Roman" w:char="0107"/>
      </w:r>
      <w:r w:rsidRPr="001667DB">
        <w:rPr>
          <w:color w:val="000000" w:themeColor="text1"/>
          <w:sz w:val="22"/>
          <w:szCs w:val="22"/>
        </w:rPr>
        <w:t xml:space="preserve"> w zlecaniu i wykonaniu robót opisanych w podpunkcie 1.1.</w:t>
      </w:r>
    </w:p>
    <w:p w14:paraId="4813DFBD" w14:textId="77777777" w:rsidR="004D6256" w:rsidRPr="001667DB" w:rsidRDefault="004D6256" w:rsidP="00577746">
      <w:pPr>
        <w:pStyle w:val="Standardowytekst0"/>
        <w:rPr>
          <w:color w:val="000000" w:themeColor="text1"/>
          <w:sz w:val="22"/>
          <w:szCs w:val="22"/>
        </w:rPr>
      </w:pPr>
    </w:p>
    <w:p w14:paraId="3D7B2EAD"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Zakres robót objętych ST</w:t>
      </w:r>
    </w:p>
    <w:p w14:paraId="39BA749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Zakres robót obejmuje na wykonaniu i ustawieniu następującego oznakowania pionowego:</w:t>
      </w:r>
    </w:p>
    <w:p w14:paraId="4117CB94" w14:textId="77777777" w:rsidR="004D6256" w:rsidRPr="001667DB" w:rsidRDefault="004D6256" w:rsidP="00904E6C">
      <w:pPr>
        <w:numPr>
          <w:ilvl w:val="0"/>
          <w:numId w:val="344"/>
        </w:numPr>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znaków ostrzegawczych,</w:t>
      </w:r>
    </w:p>
    <w:p w14:paraId="48E9B6DF" w14:textId="77777777" w:rsidR="004D6256" w:rsidRPr="001667DB" w:rsidRDefault="004D6256" w:rsidP="00904E6C">
      <w:pPr>
        <w:numPr>
          <w:ilvl w:val="0"/>
          <w:numId w:val="344"/>
        </w:numPr>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znaków zakazu i nakazu,</w:t>
      </w:r>
    </w:p>
    <w:p w14:paraId="49195523" w14:textId="77777777" w:rsidR="004D6256" w:rsidRPr="001667DB" w:rsidRDefault="004D6256" w:rsidP="00904E6C">
      <w:pPr>
        <w:numPr>
          <w:ilvl w:val="0"/>
          <w:numId w:val="344"/>
        </w:numPr>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znaków informacyjnych oraz kierunku i miejscowości,</w:t>
      </w:r>
    </w:p>
    <w:p w14:paraId="6BE40E88" w14:textId="77777777" w:rsidR="004D6256" w:rsidRDefault="004D6256" w:rsidP="00904E6C">
      <w:pPr>
        <w:numPr>
          <w:ilvl w:val="0"/>
          <w:numId w:val="344"/>
        </w:numPr>
        <w:spacing w:after="0"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znaków uzupełniających </w:t>
      </w:r>
      <w:r w:rsidR="00F90865">
        <w:rPr>
          <w:rFonts w:ascii="Times New Roman" w:hAnsi="Times New Roman" w:cs="Times New Roman"/>
          <w:color w:val="000000" w:themeColor="text1"/>
        </w:rPr>
        <w:t>i tabliczek do znaków drogowych,</w:t>
      </w:r>
    </w:p>
    <w:p w14:paraId="270E6A0C" w14:textId="77777777" w:rsidR="00F90865" w:rsidRPr="001667DB" w:rsidRDefault="00F90865" w:rsidP="00904E6C">
      <w:pPr>
        <w:numPr>
          <w:ilvl w:val="0"/>
          <w:numId w:val="344"/>
        </w:numPr>
        <w:spacing w:after="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tablic pamiątkowych</w:t>
      </w:r>
    </w:p>
    <w:p w14:paraId="6F0724E6" w14:textId="77777777" w:rsidR="004D6256" w:rsidRPr="001667DB" w:rsidRDefault="004D6256" w:rsidP="00577746">
      <w:pPr>
        <w:overflowPunct w:val="0"/>
        <w:autoSpaceDE w:val="0"/>
        <w:autoSpaceDN w:val="0"/>
        <w:adjustRightInd w:val="0"/>
        <w:ind w:left="283"/>
        <w:jc w:val="both"/>
        <w:rPr>
          <w:rFonts w:ascii="Times New Roman" w:hAnsi="Times New Roman" w:cs="Times New Roman"/>
          <w:color w:val="000000" w:themeColor="text1"/>
        </w:rPr>
      </w:pPr>
    </w:p>
    <w:p w14:paraId="001F83E5"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Określenia podstawowe</w:t>
      </w:r>
    </w:p>
    <w:p w14:paraId="541390E0"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b/>
          <w:color w:val="000000" w:themeColor="text1"/>
        </w:rPr>
        <w:t>1.4.1. Stały znak drogowy pionowy</w:t>
      </w:r>
      <w:r w:rsidRPr="001667DB">
        <w:rPr>
          <w:rFonts w:ascii="Times New Roman" w:hAnsi="Times New Roman" w:cs="Times New Roman"/>
          <w:color w:val="000000" w:themeColor="text1"/>
        </w:rPr>
        <w:t xml:space="preserve"> - składa się z lica, tarczy z uchwytem montażowym oraz z konstrukcji wsporczej. </w:t>
      </w:r>
    </w:p>
    <w:p w14:paraId="0DA9D36C" w14:textId="77777777" w:rsidR="004D6256" w:rsidRPr="001667DB" w:rsidRDefault="004D6256" w:rsidP="00577746">
      <w:pPr>
        <w:numPr>
          <w:ilvl w:val="12"/>
          <w:numId w:val="0"/>
        </w:numPr>
        <w:spacing w:before="120"/>
        <w:jc w:val="both"/>
        <w:rPr>
          <w:rFonts w:ascii="Times New Roman" w:hAnsi="Times New Roman" w:cs="Times New Roman"/>
          <w:b/>
          <w:color w:val="000000" w:themeColor="text1"/>
        </w:rPr>
      </w:pPr>
      <w:r w:rsidRPr="001667DB">
        <w:rPr>
          <w:rFonts w:ascii="Times New Roman" w:hAnsi="Times New Roman" w:cs="Times New Roman"/>
          <w:b/>
          <w:color w:val="000000" w:themeColor="text1"/>
        </w:rPr>
        <w:t>1.4.2. Tarcza znaku</w:t>
      </w:r>
      <w:r w:rsidRPr="001667DB">
        <w:rPr>
          <w:rFonts w:ascii="Times New Roman" w:hAnsi="Times New Roman" w:cs="Times New Roman"/>
          <w:color w:val="000000" w:themeColor="text1"/>
        </w:rPr>
        <w:t xml:space="preserve"> -   płaska powierzchnia z usztywnioną krawędzią, na której w sposób trwały umieszczone jest lico znaku. Tarcza może być wykonana z blachy stalowej ocynkowanej ogniowo albo aluminiowej zabezpieczona przed procesami korozji powłokami ochronnymi  zapewniającymi jakość i trwałość wykonanego znaku.</w:t>
      </w:r>
      <w:r w:rsidRPr="001667DB">
        <w:rPr>
          <w:rFonts w:ascii="Times New Roman" w:hAnsi="Times New Roman" w:cs="Times New Roman"/>
          <w:b/>
          <w:color w:val="000000" w:themeColor="text1"/>
        </w:rPr>
        <w:t xml:space="preserve"> </w:t>
      </w:r>
    </w:p>
    <w:p w14:paraId="47208344"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1.4.3. Lico znaku</w:t>
      </w:r>
      <w:r w:rsidRPr="001667DB">
        <w:rPr>
          <w:rFonts w:ascii="Times New Roman" w:hAnsi="Times New Roman" w:cs="Times New Roman"/>
          <w:color w:val="000000" w:themeColor="text1"/>
        </w:rPr>
        <w:t xml:space="preserve"> -   przednia część znaku, wykonana z samoprzylepnej folii odblaskowej wraz z naniesioną treścią, wykonaną techniką druku sitowego, wyklejaną z transparentnych folii ploterowych lub z folii odblaskowych.</w:t>
      </w:r>
    </w:p>
    <w:p w14:paraId="4558A7E9"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1.4.4. Uchwyt montażowy</w:t>
      </w:r>
      <w:r w:rsidRPr="001667DB">
        <w:rPr>
          <w:rFonts w:ascii="Times New Roman" w:hAnsi="Times New Roman" w:cs="Times New Roman"/>
          <w:color w:val="000000" w:themeColor="text1"/>
        </w:rPr>
        <w:t xml:space="preserve"> -   element stalowy lub aluminiowy zabezpieczony przed korozją, służący do zamocowania w sposób rozłączny tarczy znaku do konstrukcji wsporczej.</w:t>
      </w:r>
    </w:p>
    <w:p w14:paraId="752E782C"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1.4.5. Znak drogowy odblaskowy</w:t>
      </w:r>
      <w:r w:rsidRPr="001667DB">
        <w:rPr>
          <w:rFonts w:ascii="Times New Roman" w:hAnsi="Times New Roman" w:cs="Times New Roman"/>
          <w:color w:val="000000" w:themeColor="text1"/>
        </w:rPr>
        <w:t xml:space="preserve"> - znak, którego lico wykazuje właściwości odblaskowe (wykonane jest z materiału o odbiciu powrotnym - współdrożnym).</w:t>
      </w:r>
    </w:p>
    <w:p w14:paraId="12C52AB8"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1.4.6. Konstrukcja wsporcza znaku</w:t>
      </w:r>
      <w:r w:rsidRPr="001667DB">
        <w:rPr>
          <w:rFonts w:ascii="Times New Roman" w:hAnsi="Times New Roman" w:cs="Times New Roman"/>
          <w:color w:val="000000" w:themeColor="text1"/>
        </w:rPr>
        <w:t xml:space="preserve"> -   każdy rodzaj konstrukcji (słupek, słup, słupy, kratownice, wysięgniki, bramy, wsporniki itp.) gwarantujący przenoszenie obciążeń zmiennych i stałych działających na konstrukcję i zamontowane na niej znaki lub tablice.</w:t>
      </w:r>
    </w:p>
    <w:p w14:paraId="31049CB4"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1.4.7 Znak drogowy podświetlany</w:t>
      </w:r>
      <w:r w:rsidRPr="001667DB">
        <w:rPr>
          <w:rFonts w:ascii="Times New Roman" w:hAnsi="Times New Roman" w:cs="Times New Roman"/>
          <w:color w:val="000000" w:themeColor="text1"/>
        </w:rPr>
        <w:t xml:space="preserve"> - znak, w którym wewnętrzne źródło światła jest umieszczone pod przejrzystym licem znaku.</w:t>
      </w:r>
    </w:p>
    <w:p w14:paraId="18FC6049"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1.4.8 Znak drogowy oświetlany</w:t>
      </w:r>
      <w:r w:rsidRPr="001667DB">
        <w:rPr>
          <w:rFonts w:ascii="Times New Roman" w:hAnsi="Times New Roman" w:cs="Times New Roman"/>
          <w:color w:val="000000" w:themeColor="text1"/>
        </w:rPr>
        <w:t xml:space="preserve"> - znak, którego lico jest oświetlane źródłem światła umieszczonym na zewnątrz znaku.</w:t>
      </w:r>
    </w:p>
    <w:p w14:paraId="2506A185"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1.4.9 Znak nowy</w:t>
      </w:r>
      <w:r w:rsidRPr="001667DB">
        <w:rPr>
          <w:rFonts w:ascii="Times New Roman" w:hAnsi="Times New Roman" w:cs="Times New Roman"/>
          <w:color w:val="000000" w:themeColor="text1"/>
        </w:rPr>
        <w:t xml:space="preserve"> - znak użytkowany (ustawiony na drodze) lub magazynowany w okresie do 3 miesięcy od daty produkcji.</w:t>
      </w:r>
    </w:p>
    <w:p w14:paraId="0A6F2C5C"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1.4.10 Znak użytkowany (eksploatowany)</w:t>
      </w:r>
      <w:r w:rsidRPr="001667DB">
        <w:rPr>
          <w:rFonts w:ascii="Times New Roman" w:hAnsi="Times New Roman" w:cs="Times New Roman"/>
          <w:color w:val="000000" w:themeColor="text1"/>
        </w:rPr>
        <w:t xml:space="preserve"> - znak ustawiony na drodze lub magazynowany przez okres dłuższy niż 3 miesiące od daty produkcji.</w:t>
      </w:r>
    </w:p>
    <w:p w14:paraId="66056C02"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1.4.11 </w:t>
      </w:r>
      <w:r w:rsidRPr="001667DB">
        <w:rPr>
          <w:rFonts w:ascii="Times New Roman" w:hAnsi="Times New Roman" w:cs="Times New Roman"/>
          <w:color w:val="000000" w:themeColor="text1"/>
        </w:rPr>
        <w:t xml:space="preserve">Pozostałe określenia podstawowe są zgodne z obowiązującymi, odpowiednimi polskimi normami i z definicjami podanymi w ST D-00.00.00 „Wymagania ogólne” pkt 1.4. </w:t>
      </w:r>
    </w:p>
    <w:p w14:paraId="790D7778"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wymagania dotyczące robót</w:t>
      </w:r>
    </w:p>
    <w:p w14:paraId="14AD2245" w14:textId="77777777" w:rsidR="004D6256" w:rsidRPr="001667DB" w:rsidRDefault="004D6256" w:rsidP="00577746">
      <w:pPr>
        <w:jc w:val="both"/>
        <w:rPr>
          <w:rFonts w:ascii="Times New Roman" w:hAnsi="Times New Roman" w:cs="Times New Roman"/>
          <w:color w:val="000000" w:themeColor="text1"/>
        </w:rPr>
      </w:pPr>
    </w:p>
    <w:p w14:paraId="5108654A"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Ogólne wymagania dotyczące robót podano w ST D-00.00.00 „Wymagania ogólne” pkt 1.5. </w:t>
      </w:r>
    </w:p>
    <w:p w14:paraId="4A22B8E0" w14:textId="77777777" w:rsidR="004D6256" w:rsidRPr="001667DB" w:rsidRDefault="004D6256" w:rsidP="00577746">
      <w:pPr>
        <w:numPr>
          <w:ilvl w:val="12"/>
          <w:numId w:val="0"/>
        </w:numPr>
        <w:jc w:val="both"/>
        <w:rPr>
          <w:rFonts w:ascii="Times New Roman" w:hAnsi="Times New Roman" w:cs="Times New Roman"/>
          <w:color w:val="000000" w:themeColor="text1"/>
        </w:rPr>
      </w:pPr>
    </w:p>
    <w:p w14:paraId="311B3FEB" w14:textId="77777777" w:rsidR="004D6256" w:rsidRPr="001667DB" w:rsidRDefault="004D6256" w:rsidP="00904E6C">
      <w:pPr>
        <w:pStyle w:val="Nagwek1"/>
        <w:numPr>
          <w:ilvl w:val="0"/>
          <w:numId w:val="345"/>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bookmarkStart w:id="842" w:name="_Toc131916638"/>
      <w:bookmarkStart w:id="843" w:name="_Toc420816681"/>
      <w:r w:rsidRPr="001667DB">
        <w:rPr>
          <w:color w:val="000000" w:themeColor="text1"/>
          <w:sz w:val="22"/>
          <w:szCs w:val="22"/>
        </w:rPr>
        <w:t>materiały</w:t>
      </w:r>
      <w:bookmarkEnd w:id="842"/>
      <w:bookmarkEnd w:id="843"/>
    </w:p>
    <w:p w14:paraId="7D6FEC57" w14:textId="77777777" w:rsidR="002967E5" w:rsidRPr="001667DB" w:rsidRDefault="002967E5" w:rsidP="00577746">
      <w:pPr>
        <w:jc w:val="both"/>
        <w:rPr>
          <w:rFonts w:ascii="Times New Roman" w:hAnsi="Times New Roman" w:cs="Times New Roman"/>
          <w:color w:val="000000" w:themeColor="text1"/>
          <w:lang w:val="en-GB" w:eastAsia="pl-PL"/>
        </w:rPr>
      </w:pPr>
    </w:p>
    <w:p w14:paraId="49CABADE"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wymagania dotyczące materiałów</w:t>
      </w:r>
    </w:p>
    <w:p w14:paraId="016FBAD5"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365F2B3C"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Dopuszczenie do stosowania</w:t>
      </w:r>
    </w:p>
    <w:p w14:paraId="7C0A7CED"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Producent znaków drogowych powinien posiadać dla swojego wyrobu aprobatę techniczną, certyfikat zgodności nadany mu przez uprawnioną jednostkę certyfikującą, znak budowlany „B” i wystawioną przez siebie deklarację zgodności, zgodnie z rozporządzeniem Ministra Infrastruktury [26]. Folie odblaskowe stosowane na lica znaków drogowych powinny posiadać aprobatę techniczną wydaną przez uprawnioną jednostkę oraz deklaracje zgodności wystawioną przez producenta. Słupki, blachy i inne elementy konstrukcyjne powinny mieć deklaracje zgodności z odpowiednimi normami. </w:t>
      </w:r>
    </w:p>
    <w:p w14:paraId="39679D7D" w14:textId="77777777" w:rsidR="004D6256" w:rsidRPr="001667DB" w:rsidRDefault="004D6256" w:rsidP="00577746">
      <w:pPr>
        <w:numPr>
          <w:ilvl w:val="12"/>
          <w:numId w:val="0"/>
        </w:num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załączniku nr 1 do rozporządzenia Ministra Infrastruktury z dnia 3 lipca 2003  w sprawie szczegółowych warunków technicznych dla znaków i sygnałów drogowych oraz urządzeń bezpieczeństwa ruchu drogowego i warunków ich umieszczania na drogach [25],  podano szczegółowe informacje odnośnie wymagań dla znaków pionowych.</w:t>
      </w:r>
    </w:p>
    <w:p w14:paraId="571194F5"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Materiały stosowane do fundamentów znaków</w:t>
      </w:r>
    </w:p>
    <w:p w14:paraId="588C5EF5"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Fundamenty dla zamocowania konstrukcji wsporczych znaków mogą być wykonywane jako:</w:t>
      </w:r>
    </w:p>
    <w:p w14:paraId="1C23C2AF" w14:textId="77777777" w:rsidR="004D6256" w:rsidRPr="001667DB" w:rsidRDefault="004D6256" w:rsidP="00904E6C">
      <w:pPr>
        <w:numPr>
          <w:ilvl w:val="0"/>
          <w:numId w:val="330"/>
        </w:numPr>
        <w:tabs>
          <w:tab w:val="left" w:pos="851"/>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prefabrykaty betonowe,</w:t>
      </w:r>
    </w:p>
    <w:p w14:paraId="22F079B6" w14:textId="77777777" w:rsidR="004D6256" w:rsidRPr="001667DB" w:rsidRDefault="004D6256" w:rsidP="00904E6C">
      <w:pPr>
        <w:numPr>
          <w:ilvl w:val="0"/>
          <w:numId w:val="330"/>
        </w:numPr>
        <w:tabs>
          <w:tab w:val="left" w:pos="851"/>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 betonu wykonywanego „na mokro”,</w:t>
      </w:r>
    </w:p>
    <w:p w14:paraId="7E79EF30" w14:textId="77777777" w:rsidR="004D6256" w:rsidRPr="001667DB" w:rsidRDefault="004D6256" w:rsidP="00904E6C">
      <w:pPr>
        <w:numPr>
          <w:ilvl w:val="0"/>
          <w:numId w:val="330"/>
        </w:numPr>
        <w:tabs>
          <w:tab w:val="left" w:pos="851"/>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 betonu zbrojonego,</w:t>
      </w:r>
    </w:p>
    <w:p w14:paraId="26DA0DDC" w14:textId="77777777" w:rsidR="004D6256" w:rsidRPr="001667DB" w:rsidRDefault="004D6256" w:rsidP="00904E6C">
      <w:pPr>
        <w:numPr>
          <w:ilvl w:val="0"/>
          <w:numId w:val="330"/>
        </w:numPr>
        <w:tabs>
          <w:tab w:val="left" w:pos="851"/>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inne rozwiązania zaakceptowane przez Inżyniera.</w:t>
      </w:r>
    </w:p>
    <w:p w14:paraId="1652697F" w14:textId="77777777" w:rsidR="004D6256" w:rsidRPr="001667DB" w:rsidRDefault="004D6256" w:rsidP="00577746">
      <w:pPr>
        <w:pStyle w:val="Wypunktowanie"/>
        <w:ind w:left="0"/>
        <w:jc w:val="both"/>
        <w:rPr>
          <w:color w:val="000000" w:themeColor="text1"/>
          <w:sz w:val="22"/>
          <w:szCs w:val="22"/>
        </w:rPr>
      </w:pPr>
      <w:r w:rsidRPr="001667DB">
        <w:rPr>
          <w:color w:val="000000" w:themeColor="text1"/>
          <w:sz w:val="22"/>
          <w:szCs w:val="22"/>
        </w:rPr>
        <w:tab/>
        <w:t>Dla fundamentów należy opracować dokumentację techniczną zgodną z obowiązującymi przepisami.</w:t>
      </w:r>
    </w:p>
    <w:p w14:paraId="72A5E5EE" w14:textId="77777777" w:rsidR="004D6256" w:rsidRPr="001667DB" w:rsidRDefault="004D6256" w:rsidP="00577746">
      <w:pPr>
        <w:pStyle w:val="Tekstpodstawowy34"/>
        <w:numPr>
          <w:ilvl w:val="12"/>
          <w:numId w:val="0"/>
        </w:numPr>
        <w:ind w:firstLine="709"/>
        <w:rPr>
          <w:color w:val="000000" w:themeColor="text1"/>
          <w:sz w:val="22"/>
          <w:szCs w:val="22"/>
        </w:rPr>
      </w:pPr>
      <w:r w:rsidRPr="001667DB">
        <w:rPr>
          <w:color w:val="000000" w:themeColor="text1"/>
          <w:sz w:val="22"/>
          <w:szCs w:val="22"/>
        </w:rPr>
        <w:t>Fundamenty pod konstrukcje wsporcze oznakowania kierunkowego należy wykonać z betonu lub betonu zbrojonego klasy, co najmniej C16/20 wg PN-EN 206-1:2000 [9]. Zbrojenia stalowe należy wykonać  zgodnie z normą PN-B-03264:1984 [7]. Wykonanie i osadzenie kotew fundamentowych należy wykonać  zgodnie z normą PN-B-03215:1998 [6]. Posadowienie fundamentów należy wykonać na głębokość poniżej przemarzania gruntu.</w:t>
      </w:r>
    </w:p>
    <w:p w14:paraId="6172CF86" w14:textId="77777777" w:rsidR="004D6256" w:rsidRPr="001667DB" w:rsidRDefault="004D6256" w:rsidP="00577746">
      <w:pPr>
        <w:pStyle w:val="Tekstpodstawowy34"/>
        <w:numPr>
          <w:ilvl w:val="12"/>
          <w:numId w:val="0"/>
        </w:numPr>
        <w:ind w:firstLine="709"/>
        <w:rPr>
          <w:color w:val="000000" w:themeColor="text1"/>
          <w:sz w:val="22"/>
          <w:szCs w:val="22"/>
        </w:rPr>
      </w:pPr>
    </w:p>
    <w:p w14:paraId="0C902F75" w14:textId="77777777" w:rsidR="004D6256" w:rsidRPr="001667DB" w:rsidRDefault="004D6256" w:rsidP="00904E6C">
      <w:pPr>
        <w:pStyle w:val="Nagwek2"/>
        <w:numPr>
          <w:ilvl w:val="1"/>
          <w:numId w:val="345"/>
        </w:numPr>
        <w:tabs>
          <w:tab w:val="clear" w:pos="-720"/>
          <w:tab w:val="clear" w:pos="0"/>
          <w:tab w:val="clear" w:pos="284"/>
          <w:tab w:val="clear" w:pos="435"/>
          <w:tab w:val="clear" w:pos="567"/>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Konstrukcje wsporcze</w:t>
      </w:r>
    </w:p>
    <w:p w14:paraId="127964F0"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2.4.1. </w:t>
      </w:r>
      <w:r w:rsidRPr="001667DB">
        <w:rPr>
          <w:rFonts w:ascii="Times New Roman" w:hAnsi="Times New Roman" w:cs="Times New Roman"/>
          <w:color w:val="000000" w:themeColor="text1"/>
        </w:rPr>
        <w:t>Ogólne charakterystyki konstrukcji</w:t>
      </w:r>
    </w:p>
    <w:p w14:paraId="5621FEF6"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Konstrukcje wsporcze znaków pionowych należy wykonać zgodnie z dokumentacją projektową uwzględniającą wymagania postawione w PN-EN 12899-1:2005[16] i ST, a w przypadku braku wystarczających ustaleń, zgodnie z propozycją Wykonawcy zaakceptowaną przez Inżyniera.</w:t>
      </w:r>
    </w:p>
    <w:p w14:paraId="713F10E9"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Konstrukcje wsporcze do znaków i tablic należy zaprojektować i wykonać w sposób</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gwarantujący stabilne</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i</w:t>
      </w:r>
      <w:r w:rsidRPr="001667DB">
        <w:rPr>
          <w:rFonts w:ascii="Times New Roman" w:hAnsi="Times New Roman" w:cs="Times New Roman"/>
          <w:b/>
          <w:color w:val="000000" w:themeColor="text1"/>
        </w:rPr>
        <w:t xml:space="preserve"> </w:t>
      </w:r>
      <w:r w:rsidRPr="001667DB">
        <w:rPr>
          <w:rFonts w:ascii="Times New Roman" w:hAnsi="Times New Roman" w:cs="Times New Roman"/>
          <w:color w:val="000000" w:themeColor="text1"/>
        </w:rPr>
        <w:t xml:space="preserve">prawidłowe ustawienie w pasie drogowym. </w:t>
      </w:r>
    </w:p>
    <w:p w14:paraId="1B78A9EA" w14:textId="77777777" w:rsidR="004D6256" w:rsidRPr="001667DB" w:rsidRDefault="004D6256" w:rsidP="00577746">
      <w:pPr>
        <w:numPr>
          <w:ilvl w:val="12"/>
          <w:numId w:val="0"/>
        </w:num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Zakres dokumentacji powinien obejmować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 miejscach wskazanych przez projektanta inżynierii ruchu,  gdzie występuje  szczególne niebezpieczeństwo bezpośredniej kolizji z konstrukcją wsporczą, usytuowanie i jej dobór wymagają oddzielnych rozwiązań projektowych spełniających warunek bezpieczeństwa dla użytkowników dróg. W takich przypadkach należy stosować konstrukcje zabezpieczające bierne bezpieczeństwo kategorii HE, zgodne z PN-EN 12 767:2003 [15].  </w:t>
      </w:r>
    </w:p>
    <w:p w14:paraId="7F1B45CE"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Wyróżnia się trzy kategorie biernego bezpieczeństwa dla konstrukcji wsporczych:</w:t>
      </w:r>
    </w:p>
    <w:p w14:paraId="5451DAD5" w14:textId="77777777" w:rsidR="004D6256" w:rsidRPr="001667DB" w:rsidRDefault="004D6256" w:rsidP="00904E6C">
      <w:pPr>
        <w:numPr>
          <w:ilvl w:val="0"/>
          <w:numId w:val="33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pochłaniająca energię w wysokim stopniu (HE),</w:t>
      </w:r>
    </w:p>
    <w:p w14:paraId="634505E7" w14:textId="77777777" w:rsidR="004D6256" w:rsidRPr="001667DB" w:rsidRDefault="004D6256" w:rsidP="00904E6C">
      <w:pPr>
        <w:numPr>
          <w:ilvl w:val="0"/>
          <w:numId w:val="33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pochłaniająca energię w niskim stopniu (LE),</w:t>
      </w:r>
    </w:p>
    <w:p w14:paraId="6A0057AA" w14:textId="77777777" w:rsidR="004D6256" w:rsidRPr="001667DB" w:rsidRDefault="004D6256" w:rsidP="00904E6C">
      <w:pPr>
        <w:numPr>
          <w:ilvl w:val="0"/>
          <w:numId w:val="33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nie pochłaniająca energii (NE).</w:t>
      </w:r>
    </w:p>
    <w:p w14:paraId="2A30126A" w14:textId="77777777" w:rsidR="004D6256" w:rsidRPr="001667DB" w:rsidRDefault="004D6256" w:rsidP="00577746">
      <w:pPr>
        <w:overflowPunct w:val="0"/>
        <w:autoSpaceDE w:val="0"/>
        <w:autoSpaceDN w:val="0"/>
        <w:adjustRightInd w:val="0"/>
        <w:ind w:left="360"/>
        <w:jc w:val="both"/>
        <w:rPr>
          <w:rFonts w:ascii="Times New Roman" w:hAnsi="Times New Roman" w:cs="Times New Roman"/>
          <w:color w:val="000000" w:themeColor="text1"/>
        </w:rPr>
      </w:pPr>
    </w:p>
    <w:p w14:paraId="113F377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2.4.2. </w:t>
      </w:r>
      <w:r w:rsidRPr="001667DB">
        <w:rPr>
          <w:rFonts w:ascii="Times New Roman" w:hAnsi="Times New Roman" w:cs="Times New Roman"/>
          <w:color w:val="000000" w:themeColor="text1"/>
        </w:rPr>
        <w:t>Rury</w:t>
      </w:r>
    </w:p>
    <w:p w14:paraId="413E8FBD"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Rury powinny odpowiadać wymaganiom PN-H-74200:1998, [22], PN-84/H-74220 [3] lub innej normy zaakceptowanej przez Inżyniera.</w:t>
      </w:r>
    </w:p>
    <w:p w14:paraId="181D2D83"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3267CAFD"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Końce rur powinny być obcięte równo i prostopadle do osi rury.</w:t>
      </w:r>
    </w:p>
    <w:p w14:paraId="52E321ED"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Pożądane jest, aby rury były dostarczane o długościach:</w:t>
      </w:r>
    </w:p>
    <w:p w14:paraId="6E996F04" w14:textId="77777777" w:rsidR="004D6256" w:rsidRPr="001667DB" w:rsidRDefault="004D6256" w:rsidP="00904E6C">
      <w:pPr>
        <w:numPr>
          <w:ilvl w:val="0"/>
          <w:numId w:val="332"/>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dokładnych, zgodnych z zamówieniem; z dopuszczalną odchyłką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 mm"/>
        </w:smartTagPr>
        <w:r w:rsidRPr="001667DB">
          <w:rPr>
            <w:rFonts w:ascii="Times New Roman" w:hAnsi="Times New Roman" w:cs="Times New Roman"/>
            <w:color w:val="000000" w:themeColor="text1"/>
          </w:rPr>
          <w:t>10 mm</w:t>
        </w:r>
      </w:smartTag>
      <w:r w:rsidRPr="001667DB">
        <w:rPr>
          <w:rFonts w:ascii="Times New Roman" w:hAnsi="Times New Roman" w:cs="Times New Roman"/>
          <w:color w:val="000000" w:themeColor="text1"/>
        </w:rPr>
        <w:t>,</w:t>
      </w:r>
    </w:p>
    <w:p w14:paraId="0F44D834" w14:textId="77777777" w:rsidR="004D6256" w:rsidRPr="001667DB" w:rsidRDefault="004D6256" w:rsidP="00904E6C">
      <w:pPr>
        <w:numPr>
          <w:ilvl w:val="0"/>
          <w:numId w:val="332"/>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wielokrotnych w stosunku do zamówionych długości dokładnych poniżej </w:t>
      </w:r>
      <w:smartTag w:uri="urn:schemas-microsoft-com:office:smarttags" w:element="metricconverter">
        <w:smartTagPr>
          <w:attr w:name="ProductID" w:val="3 m"/>
        </w:smartTagPr>
        <w:r w:rsidRPr="001667DB">
          <w:rPr>
            <w:rFonts w:ascii="Times New Roman" w:hAnsi="Times New Roman" w:cs="Times New Roman"/>
            <w:color w:val="000000" w:themeColor="text1"/>
          </w:rPr>
          <w:t>3 m</w:t>
        </w:r>
      </w:smartTag>
      <w:r w:rsidRPr="001667DB">
        <w:rPr>
          <w:rFonts w:ascii="Times New Roman" w:hAnsi="Times New Roman" w:cs="Times New Roman"/>
          <w:color w:val="000000" w:themeColor="text1"/>
        </w:rPr>
        <w:t xml:space="preserve"> z naddatkiem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 xml:space="preserve"> na każde cięcie i z dopuszczalną odchyłką dla całej długości wielokrotnej, jak dla długości dokładnych.</w:t>
      </w:r>
    </w:p>
    <w:p w14:paraId="5F26FE2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Rury powinny być proste. Dopuszczalna miejscowa krzywizna nie powinna przekraczać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 xml:space="preserve"> na 1 m długości rury.</w:t>
      </w:r>
    </w:p>
    <w:p w14:paraId="75F1385E"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Rury powinny być wykonane ze stali w gatunkach dopuszczonych przez PN-H-84023.07 [5], lub inne normy. </w:t>
      </w:r>
    </w:p>
    <w:p w14:paraId="420C674F"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Rury powinny być dostarczone bez opakowania w wiązkach lub luzem względnie w opakowaniu uzgodnionym z Zamawiającym. Rury powinny być cechowane indywidualnie lub na przywieszkach metalowych.</w:t>
      </w:r>
    </w:p>
    <w:p w14:paraId="70E41099"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2.4.3. </w:t>
      </w:r>
      <w:r w:rsidRPr="001667DB">
        <w:rPr>
          <w:rFonts w:ascii="Times New Roman" w:hAnsi="Times New Roman" w:cs="Times New Roman"/>
          <w:color w:val="000000" w:themeColor="text1"/>
        </w:rPr>
        <w:t>Kształtowniki</w:t>
      </w:r>
    </w:p>
    <w:p w14:paraId="785DA1AF"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Kształtowniki powinny odpowiadać wymaganiom PN-91/H-93010 [23]. Powierzchnia kształtownika powinna być charakterystyczna dla procesu walcowania i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14:paraId="3B10AA30"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Kształtowniki powinny być obcięte prostopadle do osi wzdłużnej kształtownika. Powierzchnia końców kształtownika nie powinna wykazywać rzadzizn, rozwarstwień, pęknięć i śladów jamy skurczowej widocznych nie uzbrojonym okiem.</w:t>
      </w:r>
    </w:p>
    <w:p w14:paraId="095DD7C5"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Kształtowniki powinny być ze stali St3W lub St4W oraz mieć własności mechaniczne według aktualnej normy uzgodnionej pomiędzy Zamawiającym i wytwórcą.</w:t>
      </w:r>
    </w:p>
    <w:p w14:paraId="702B5C5B"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2.4.4. </w:t>
      </w:r>
      <w:r w:rsidRPr="001667DB">
        <w:rPr>
          <w:rFonts w:ascii="Times New Roman" w:hAnsi="Times New Roman" w:cs="Times New Roman"/>
          <w:color w:val="000000" w:themeColor="text1"/>
        </w:rPr>
        <w:t>Powłoki metalizacyjne cynkowe</w:t>
      </w:r>
    </w:p>
    <w:p w14:paraId="4A830D5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przypadku zastosowania powłoki metalizacyjnej cynkowej na konstrukcjach stalowych, powinna ona spełniać wymagania PN EN ISO 1461:2000 [12] i PN-EN 10240:2001 [12a]. Minimalna grubość powłoki cynkowej powinna wynosić 60 </w:t>
      </w:r>
      <w:r w:rsidRPr="001667DB">
        <w:rPr>
          <w:rFonts w:ascii="Times New Roman" w:hAnsi="Times New Roman" w:cs="Times New Roman"/>
          <w:color w:val="000000" w:themeColor="text1"/>
        </w:rPr>
        <w:sym w:font="Symbol" w:char="006D"/>
      </w:r>
      <w:r w:rsidRPr="001667DB">
        <w:rPr>
          <w:rFonts w:ascii="Times New Roman" w:hAnsi="Times New Roman" w:cs="Times New Roman"/>
          <w:color w:val="000000" w:themeColor="text1"/>
        </w:rPr>
        <w:t>m.</w:t>
      </w:r>
    </w:p>
    <w:p w14:paraId="20A29274"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Powierzchnia powłoki powinna być ciągła i jednorodna pod względem ziarnistości. Nie może ona wykazywać widocznych wad jak rysy, pęknięcia, pęcherze lub odstawanie powłoki od podłoża.</w:t>
      </w:r>
    </w:p>
    <w:p w14:paraId="17D91E32"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2.4.5. </w:t>
      </w:r>
      <w:r w:rsidRPr="001667DB">
        <w:rPr>
          <w:rFonts w:ascii="Times New Roman" w:hAnsi="Times New Roman" w:cs="Times New Roman"/>
          <w:color w:val="000000" w:themeColor="text1"/>
        </w:rPr>
        <w:t>Gwarancja producenta lub dostawcy na konstrukcję wsporczą</w:t>
      </w:r>
    </w:p>
    <w:p w14:paraId="7F682486"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594E2A01"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przypadku słupków znaków pionowych ostrzegawczych, zakazu, nakazu i informacyjnych o standardowych wymiarach oraz w przypadku elementów, służących do 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26AE55FC" w14:textId="77777777" w:rsidR="004D6256" w:rsidRPr="001667DB" w:rsidRDefault="004D6256" w:rsidP="00577746">
      <w:pPr>
        <w:pStyle w:val="Nagwek2"/>
        <w:ind w:left="851" w:hanging="851"/>
        <w:jc w:val="both"/>
        <w:rPr>
          <w:color w:val="000000" w:themeColor="text1"/>
          <w:sz w:val="22"/>
          <w:szCs w:val="22"/>
        </w:rPr>
      </w:pPr>
      <w:r w:rsidRPr="001667DB">
        <w:rPr>
          <w:color w:val="000000" w:themeColor="text1"/>
          <w:sz w:val="22"/>
          <w:szCs w:val="22"/>
        </w:rPr>
        <w:t>2.5. Tarcza znaku</w:t>
      </w:r>
    </w:p>
    <w:p w14:paraId="0925746D"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2.5.1. </w:t>
      </w:r>
      <w:r w:rsidRPr="001667DB">
        <w:rPr>
          <w:rFonts w:ascii="Times New Roman" w:hAnsi="Times New Roman" w:cs="Times New Roman"/>
          <w:color w:val="000000" w:themeColor="text1"/>
        </w:rPr>
        <w:t xml:space="preserve"> Trwałość materiałów na wpływy zewnętrzne</w:t>
      </w:r>
    </w:p>
    <w:p w14:paraId="7CF01ED5"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Materiały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(w tym korozję elektrochemiczną) - przez cały czas trwałości znaku, określony przez wytwórcę lub dostawcę. </w:t>
      </w:r>
    </w:p>
    <w:p w14:paraId="22DBDC26"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2.5.2. </w:t>
      </w:r>
      <w:r w:rsidRPr="001667DB">
        <w:rPr>
          <w:rFonts w:ascii="Times New Roman" w:hAnsi="Times New Roman" w:cs="Times New Roman"/>
          <w:color w:val="000000" w:themeColor="text1"/>
        </w:rPr>
        <w:t>Warunki gwarancyjne producenta lub dostawcy znaku</w:t>
      </w:r>
    </w:p>
    <w:p w14:paraId="6799609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Producent lub dostawca znaku obowiązany jest przy dostawie określić, uzgodnioną z odbiorcą, trwałość znaku oraz warunki gwarancyjne dla znaku, a także udostępnić na życzenie odbiorcy:</w:t>
      </w:r>
    </w:p>
    <w:p w14:paraId="021A6E73" w14:textId="77777777" w:rsidR="004D6256" w:rsidRPr="001667DB" w:rsidRDefault="004D6256" w:rsidP="00904E6C">
      <w:pPr>
        <w:numPr>
          <w:ilvl w:val="0"/>
          <w:numId w:val="333"/>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instrukcję montażu znaku,</w:t>
      </w:r>
    </w:p>
    <w:p w14:paraId="4B0BE81A" w14:textId="77777777" w:rsidR="004D6256" w:rsidRPr="001667DB" w:rsidRDefault="004D6256" w:rsidP="00904E6C">
      <w:pPr>
        <w:numPr>
          <w:ilvl w:val="0"/>
          <w:numId w:val="333"/>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dane szczegółowe o ewentualnych ograniczeniach w stosowaniu znaku,</w:t>
      </w:r>
    </w:p>
    <w:p w14:paraId="22D3FB60" w14:textId="77777777" w:rsidR="004D6256" w:rsidRPr="001667DB" w:rsidRDefault="004D6256" w:rsidP="00904E6C">
      <w:pPr>
        <w:numPr>
          <w:ilvl w:val="0"/>
          <w:numId w:val="333"/>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instrukcję utrzymania znaku.</w:t>
      </w:r>
    </w:p>
    <w:p w14:paraId="395F58C2" w14:textId="77777777" w:rsidR="004D6256" w:rsidRPr="001667DB" w:rsidRDefault="004D6256" w:rsidP="00577746">
      <w:pPr>
        <w:pStyle w:val="Tekstprzypisudolnego"/>
        <w:ind w:firstLine="709"/>
        <w:rPr>
          <w:color w:val="000000" w:themeColor="text1"/>
          <w:sz w:val="22"/>
          <w:szCs w:val="22"/>
        </w:rPr>
      </w:pPr>
      <w:r w:rsidRPr="001667DB">
        <w:rPr>
          <w:color w:val="000000" w:themeColor="text1"/>
          <w:sz w:val="22"/>
          <w:szCs w:val="22"/>
        </w:rPr>
        <w:t>Trwałość znaku powinna być co najmniej równa trwałości zastosowanej folii. Minimalne okresy gwarancyjne powinny wynosić  dla znaków z folią typu 1 – 7 lat, z folią typu 2 – 10 lat, z folią pryzmatyczną – 12 lat.</w:t>
      </w:r>
    </w:p>
    <w:p w14:paraId="19DCDDE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2.5.3. </w:t>
      </w:r>
      <w:r w:rsidRPr="001667DB">
        <w:rPr>
          <w:rFonts w:ascii="Times New Roman" w:hAnsi="Times New Roman" w:cs="Times New Roman"/>
          <w:color w:val="000000" w:themeColor="text1"/>
        </w:rPr>
        <w:t>Materiały do wykonania tarczy znaku</w:t>
      </w:r>
    </w:p>
    <w:p w14:paraId="49389438" w14:textId="77777777" w:rsidR="004D6256" w:rsidRPr="001667DB" w:rsidRDefault="004D6256" w:rsidP="00577746">
      <w:pPr>
        <w:widowControl w:val="0"/>
        <w:tabs>
          <w:tab w:val="left" w:pos="0"/>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Tarcza znaku powinna być wykonana z :</w:t>
      </w:r>
    </w:p>
    <w:p w14:paraId="1A9B0AE1" w14:textId="77777777" w:rsidR="004D6256" w:rsidRPr="001667DB" w:rsidRDefault="004D6256" w:rsidP="00904E6C">
      <w:pPr>
        <w:pStyle w:val="Wypunktowanie"/>
        <w:numPr>
          <w:ilvl w:val="0"/>
          <w:numId w:val="334"/>
        </w:numPr>
        <w:tabs>
          <w:tab w:val="left" w:pos="-2835"/>
          <w:tab w:val="left" w:pos="284"/>
        </w:tabs>
        <w:jc w:val="both"/>
        <w:rPr>
          <w:color w:val="000000" w:themeColor="text1"/>
          <w:sz w:val="22"/>
          <w:szCs w:val="22"/>
        </w:rPr>
      </w:pPr>
      <w:r w:rsidRPr="001667DB">
        <w:rPr>
          <w:color w:val="000000" w:themeColor="text1"/>
          <w:sz w:val="22"/>
          <w:szCs w:val="22"/>
        </w:rPr>
        <w:t xml:space="preserve">blachy ocynkowanej ogniowo o grubości min. </w:t>
      </w:r>
      <w:smartTag w:uri="urn:schemas-microsoft-com:office:smarttags" w:element="metricconverter">
        <w:smartTagPr>
          <w:attr w:name="ProductID" w:val="1,25 mm"/>
        </w:smartTagPr>
        <w:r w:rsidRPr="001667DB">
          <w:rPr>
            <w:color w:val="000000" w:themeColor="text1"/>
            <w:sz w:val="22"/>
            <w:szCs w:val="22"/>
          </w:rPr>
          <w:t>1,25 mm</w:t>
        </w:r>
      </w:smartTag>
      <w:r w:rsidRPr="001667DB">
        <w:rPr>
          <w:color w:val="000000" w:themeColor="text1"/>
          <w:sz w:val="22"/>
          <w:szCs w:val="22"/>
        </w:rPr>
        <w:t xml:space="preserve"> wg PN-EN 10327:2005(U) [14] lub PN-EN </w:t>
      </w:r>
      <w:r w:rsidRPr="001667DB">
        <w:rPr>
          <w:color w:val="000000" w:themeColor="text1"/>
          <w:sz w:val="22"/>
          <w:szCs w:val="22"/>
        </w:rPr>
        <w:lastRenderedPageBreak/>
        <w:t xml:space="preserve">10292:2003/A1:2004/A1:2005(U) [13], </w:t>
      </w:r>
    </w:p>
    <w:p w14:paraId="48FD07BE" w14:textId="77777777" w:rsidR="004D6256" w:rsidRPr="001667DB" w:rsidRDefault="004D6256" w:rsidP="00904E6C">
      <w:pPr>
        <w:pStyle w:val="Wypunktowanie"/>
        <w:numPr>
          <w:ilvl w:val="0"/>
          <w:numId w:val="334"/>
        </w:numPr>
        <w:tabs>
          <w:tab w:val="left" w:pos="-2694"/>
        </w:tabs>
        <w:jc w:val="both"/>
        <w:rPr>
          <w:color w:val="000000" w:themeColor="text1"/>
          <w:sz w:val="22"/>
          <w:szCs w:val="22"/>
        </w:rPr>
      </w:pPr>
      <w:r w:rsidRPr="001667DB">
        <w:rPr>
          <w:color w:val="000000" w:themeColor="text1"/>
          <w:sz w:val="22"/>
          <w:szCs w:val="22"/>
        </w:rPr>
        <w:t xml:space="preserve">blachy aluminiowej o grubości min. </w:t>
      </w:r>
      <w:smartTag w:uri="urn:schemas-microsoft-com:office:smarttags" w:element="metricconverter">
        <w:smartTagPr>
          <w:attr w:name="ProductID" w:val="1,5 m"/>
        </w:smartTagPr>
        <w:r w:rsidRPr="001667DB">
          <w:rPr>
            <w:color w:val="000000" w:themeColor="text1"/>
            <w:sz w:val="22"/>
            <w:szCs w:val="22"/>
          </w:rPr>
          <w:t>1,5 m</w:t>
        </w:r>
      </w:smartTag>
      <w:r w:rsidRPr="001667DB">
        <w:rPr>
          <w:color w:val="000000" w:themeColor="text1"/>
          <w:sz w:val="22"/>
          <w:szCs w:val="22"/>
        </w:rPr>
        <w:t xml:space="preserve"> wg PN-EN 485-4:1997 [10],</w:t>
      </w:r>
    </w:p>
    <w:p w14:paraId="2E1EF218" w14:textId="77777777" w:rsidR="004D6256" w:rsidRPr="001667DB" w:rsidRDefault="004D6256" w:rsidP="00904E6C">
      <w:pPr>
        <w:pStyle w:val="Wypunktowanie"/>
        <w:numPr>
          <w:ilvl w:val="0"/>
          <w:numId w:val="334"/>
        </w:numPr>
        <w:tabs>
          <w:tab w:val="left" w:pos="0"/>
          <w:tab w:val="left" w:pos="284"/>
        </w:tabs>
        <w:jc w:val="both"/>
        <w:rPr>
          <w:color w:val="000000" w:themeColor="text1"/>
          <w:sz w:val="22"/>
          <w:szCs w:val="22"/>
        </w:rPr>
      </w:pPr>
      <w:r w:rsidRPr="001667DB">
        <w:rPr>
          <w:color w:val="000000" w:themeColor="text1"/>
          <w:sz w:val="22"/>
          <w:szCs w:val="22"/>
        </w:rPr>
        <w:t>innych materiałów, np. tworzyw syntetycznych, pod warunkiem uzyskania przez producenta aprobaty technicznej.</w:t>
      </w:r>
    </w:p>
    <w:p w14:paraId="743A5609" w14:textId="77777777" w:rsidR="004D6256" w:rsidRPr="001667DB" w:rsidRDefault="004D6256" w:rsidP="00577746">
      <w:pPr>
        <w:widowControl w:val="0"/>
        <w:tabs>
          <w:tab w:val="left" w:pos="0"/>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Tarcza tablicy o powierzchni &gt;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xml:space="preserve">  powinna być wykonana z :</w:t>
      </w:r>
    </w:p>
    <w:p w14:paraId="7D0396DE" w14:textId="77777777" w:rsidR="004D6256" w:rsidRPr="001667DB" w:rsidRDefault="004D6256" w:rsidP="00904E6C">
      <w:pPr>
        <w:pStyle w:val="Wypunktowanie"/>
        <w:numPr>
          <w:ilvl w:val="0"/>
          <w:numId w:val="334"/>
        </w:numPr>
        <w:tabs>
          <w:tab w:val="left" w:pos="284"/>
          <w:tab w:val="left" w:pos="426"/>
        </w:tabs>
        <w:jc w:val="both"/>
        <w:rPr>
          <w:color w:val="000000" w:themeColor="text1"/>
          <w:sz w:val="22"/>
          <w:szCs w:val="22"/>
        </w:rPr>
      </w:pPr>
      <w:r w:rsidRPr="001667DB">
        <w:rPr>
          <w:color w:val="000000" w:themeColor="text1"/>
          <w:sz w:val="22"/>
          <w:szCs w:val="22"/>
        </w:rPr>
        <w:t xml:space="preserve">blachy ocynkowanej ogniowo o grubości min. </w:t>
      </w:r>
      <w:smartTag w:uri="urn:schemas-microsoft-com:office:smarttags" w:element="metricconverter">
        <w:smartTagPr>
          <w:attr w:name="ProductID" w:val="1,5 mm"/>
        </w:smartTagPr>
        <w:r w:rsidRPr="001667DB">
          <w:rPr>
            <w:color w:val="000000" w:themeColor="text1"/>
            <w:sz w:val="22"/>
            <w:szCs w:val="22"/>
          </w:rPr>
          <w:t>1,5 mm</w:t>
        </w:r>
      </w:smartTag>
      <w:r w:rsidRPr="001667DB">
        <w:rPr>
          <w:color w:val="000000" w:themeColor="text1"/>
          <w:sz w:val="22"/>
          <w:szCs w:val="22"/>
        </w:rPr>
        <w:t xml:space="preserve"> wg   PN-EN 10327:2005 (U) [14] lub PN-EN 10292:2003/ A1:2004/A1:2005(U) [13] lub z</w:t>
      </w:r>
    </w:p>
    <w:p w14:paraId="0DBFCFBE" w14:textId="77777777" w:rsidR="004D6256" w:rsidRPr="001667DB" w:rsidRDefault="004D6256" w:rsidP="00904E6C">
      <w:pPr>
        <w:pStyle w:val="Wypunktowanie"/>
        <w:numPr>
          <w:ilvl w:val="0"/>
          <w:numId w:val="334"/>
        </w:numPr>
        <w:tabs>
          <w:tab w:val="left" w:pos="0"/>
          <w:tab w:val="left" w:pos="426"/>
        </w:tabs>
        <w:jc w:val="both"/>
        <w:rPr>
          <w:color w:val="000000" w:themeColor="text1"/>
          <w:sz w:val="22"/>
          <w:szCs w:val="22"/>
        </w:rPr>
      </w:pPr>
      <w:r w:rsidRPr="001667DB">
        <w:rPr>
          <w:color w:val="000000" w:themeColor="text1"/>
          <w:sz w:val="22"/>
          <w:szCs w:val="22"/>
        </w:rPr>
        <w:t xml:space="preserve">blachy aluminiowej o grubości min. </w:t>
      </w:r>
      <w:smartTag w:uri="urn:schemas-microsoft-com:office:smarttags" w:element="metricconverter">
        <w:smartTagPr>
          <w:attr w:name="ProductID" w:val="2 mm"/>
        </w:smartTagPr>
        <w:r w:rsidRPr="001667DB">
          <w:rPr>
            <w:color w:val="000000" w:themeColor="text1"/>
            <w:sz w:val="22"/>
            <w:szCs w:val="22"/>
          </w:rPr>
          <w:t>2 mm</w:t>
        </w:r>
      </w:smartTag>
      <w:r w:rsidRPr="001667DB">
        <w:rPr>
          <w:color w:val="000000" w:themeColor="text1"/>
          <w:sz w:val="22"/>
          <w:szCs w:val="22"/>
        </w:rPr>
        <w:t xml:space="preserve"> wg PN-EN 485-4:1997 [10].</w:t>
      </w:r>
    </w:p>
    <w:p w14:paraId="129160B3" w14:textId="77777777" w:rsidR="004D6256" w:rsidRPr="001667DB" w:rsidRDefault="004D6256" w:rsidP="00577746">
      <w:pPr>
        <w:pStyle w:val="Wypunktowanie"/>
        <w:tabs>
          <w:tab w:val="left" w:pos="0"/>
        </w:tabs>
        <w:ind w:left="0" w:firstLine="709"/>
        <w:jc w:val="both"/>
        <w:rPr>
          <w:color w:val="000000" w:themeColor="text1"/>
          <w:sz w:val="22"/>
          <w:szCs w:val="22"/>
        </w:rPr>
      </w:pPr>
      <w:r w:rsidRPr="001667DB">
        <w:rPr>
          <w:color w:val="000000" w:themeColor="text1"/>
          <w:sz w:val="22"/>
          <w:szCs w:val="22"/>
        </w:rPr>
        <w:t xml:space="preserve">Grubość warstwy powłoki cynkowej na blasze stalowej ocynkowanej ogniowo nie może być mniejsza niż 28 </w:t>
      </w:r>
      <w:r w:rsidRPr="001667DB">
        <w:rPr>
          <w:color w:val="000000" w:themeColor="text1"/>
          <w:sz w:val="22"/>
          <w:szCs w:val="22"/>
        </w:rPr>
        <w:sym w:font="Symbol" w:char="006D"/>
      </w:r>
      <w:r w:rsidRPr="001667DB">
        <w:rPr>
          <w:color w:val="000000" w:themeColor="text1"/>
          <w:sz w:val="22"/>
          <w:szCs w:val="22"/>
        </w:rPr>
        <w:t>m (</w:t>
      </w:r>
      <w:smartTag w:uri="urn:schemas-microsoft-com:office:smarttags" w:element="metricconverter">
        <w:smartTagPr>
          <w:attr w:name="ProductID" w:val="200 g"/>
        </w:smartTagPr>
        <w:r w:rsidRPr="001667DB">
          <w:rPr>
            <w:color w:val="000000" w:themeColor="text1"/>
            <w:sz w:val="22"/>
            <w:szCs w:val="22"/>
          </w:rPr>
          <w:t>200 g</w:t>
        </w:r>
      </w:smartTag>
      <w:r w:rsidRPr="001667DB">
        <w:rPr>
          <w:color w:val="000000" w:themeColor="text1"/>
          <w:sz w:val="22"/>
          <w:szCs w:val="22"/>
        </w:rPr>
        <w:t xml:space="preserve"> Zn/m</w:t>
      </w:r>
      <w:r w:rsidRPr="001667DB">
        <w:rPr>
          <w:color w:val="000000" w:themeColor="text1"/>
          <w:sz w:val="22"/>
          <w:szCs w:val="22"/>
          <w:vertAlign w:val="superscript"/>
        </w:rPr>
        <w:t>2</w:t>
      </w:r>
      <w:r w:rsidRPr="001667DB">
        <w:rPr>
          <w:color w:val="000000" w:themeColor="text1"/>
          <w:sz w:val="22"/>
          <w:szCs w:val="22"/>
        </w:rPr>
        <w:t>).</w:t>
      </w:r>
    </w:p>
    <w:p w14:paraId="6E37811A" w14:textId="77777777" w:rsidR="004D6256" w:rsidRPr="001667DB" w:rsidRDefault="004D6256" w:rsidP="00577746">
      <w:pPr>
        <w:tabs>
          <w:tab w:val="left" w:pos="0"/>
        </w:tabs>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Znaki i tablice powinny spełniać następujące wymagania podane w tablicy 1.</w:t>
      </w:r>
    </w:p>
    <w:p w14:paraId="6260A69F" w14:textId="77777777" w:rsidR="004D6256" w:rsidRPr="001667DB" w:rsidRDefault="004D6256" w:rsidP="00B73D7B">
      <w:pPr>
        <w:spacing w:before="120" w:after="120"/>
        <w:rPr>
          <w:rFonts w:ascii="Times New Roman" w:hAnsi="Times New Roman" w:cs="Times New Roman"/>
          <w:color w:val="000000" w:themeColor="text1"/>
        </w:rPr>
      </w:pPr>
      <w:r w:rsidRPr="001667DB">
        <w:rPr>
          <w:rFonts w:ascii="Times New Roman" w:hAnsi="Times New Roman" w:cs="Times New Roman"/>
          <w:color w:val="000000" w:themeColor="text1"/>
        </w:rPr>
        <w:t>Tablica 1.Wymagania dla znaków i tarcz znaków drogowych</w:t>
      </w:r>
    </w:p>
    <w:tbl>
      <w:tblPr>
        <w:tblW w:w="7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026"/>
        <w:gridCol w:w="1413"/>
        <w:gridCol w:w="2248"/>
        <w:gridCol w:w="1845"/>
      </w:tblGrid>
      <w:tr w:rsidR="004D6256" w:rsidRPr="001667DB" w14:paraId="45C073AC" w14:textId="77777777" w:rsidTr="00B73D7B">
        <w:trPr>
          <w:tblHeader/>
          <w:jc w:val="center"/>
        </w:trPr>
        <w:tc>
          <w:tcPr>
            <w:tcW w:w="2026" w:type="dxa"/>
            <w:tcBorders>
              <w:top w:val="single" w:sz="6" w:space="0" w:color="auto"/>
              <w:left w:val="single" w:sz="6" w:space="0" w:color="auto"/>
              <w:bottom w:val="single" w:sz="6" w:space="0" w:color="auto"/>
              <w:right w:val="single" w:sz="6" w:space="0" w:color="auto"/>
            </w:tcBorders>
            <w:noWrap/>
            <w:vAlign w:val="center"/>
            <w:hideMark/>
          </w:tcPr>
          <w:p w14:paraId="30E51C6C" w14:textId="77777777" w:rsidR="004D6256" w:rsidRPr="001667DB" w:rsidRDefault="004D6256">
            <w:pPr>
              <w:overflowPunct w:val="0"/>
              <w:autoSpaceDE w:val="0"/>
              <w:autoSpaceDN w:val="0"/>
              <w:adjustRightInd w:val="0"/>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Parametr</w:t>
            </w:r>
          </w:p>
        </w:tc>
        <w:tc>
          <w:tcPr>
            <w:tcW w:w="1413" w:type="dxa"/>
            <w:tcBorders>
              <w:top w:val="single" w:sz="6" w:space="0" w:color="auto"/>
              <w:left w:val="single" w:sz="6" w:space="0" w:color="auto"/>
              <w:bottom w:val="single" w:sz="6" w:space="0" w:color="auto"/>
              <w:right w:val="single" w:sz="6" w:space="0" w:color="auto"/>
            </w:tcBorders>
            <w:noWrap/>
            <w:vAlign w:val="center"/>
            <w:hideMark/>
          </w:tcPr>
          <w:p w14:paraId="60801BF9" w14:textId="77777777" w:rsidR="004D6256" w:rsidRPr="001667DB" w:rsidRDefault="004D6256">
            <w:pPr>
              <w:overflowPunct w:val="0"/>
              <w:autoSpaceDE w:val="0"/>
              <w:autoSpaceDN w:val="0"/>
              <w:adjustRightInd w:val="0"/>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Jednostka</w:t>
            </w:r>
          </w:p>
        </w:tc>
        <w:tc>
          <w:tcPr>
            <w:tcW w:w="2248" w:type="dxa"/>
            <w:tcBorders>
              <w:top w:val="single" w:sz="6" w:space="0" w:color="auto"/>
              <w:left w:val="single" w:sz="6" w:space="0" w:color="auto"/>
              <w:bottom w:val="single" w:sz="6" w:space="0" w:color="auto"/>
              <w:right w:val="single" w:sz="6" w:space="0" w:color="auto"/>
            </w:tcBorders>
            <w:noWrap/>
            <w:vAlign w:val="center"/>
            <w:hideMark/>
          </w:tcPr>
          <w:p w14:paraId="2DBDF6E6" w14:textId="77777777" w:rsidR="004D6256" w:rsidRPr="001667DB" w:rsidRDefault="004D6256">
            <w:pPr>
              <w:overflowPunct w:val="0"/>
              <w:autoSpaceDE w:val="0"/>
              <w:autoSpaceDN w:val="0"/>
              <w:adjustRightInd w:val="0"/>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Wymaganie</w:t>
            </w:r>
          </w:p>
        </w:tc>
        <w:tc>
          <w:tcPr>
            <w:tcW w:w="1845" w:type="dxa"/>
            <w:tcBorders>
              <w:top w:val="single" w:sz="6" w:space="0" w:color="auto"/>
              <w:left w:val="single" w:sz="6" w:space="0" w:color="auto"/>
              <w:bottom w:val="single" w:sz="6" w:space="0" w:color="auto"/>
              <w:right w:val="single" w:sz="6" w:space="0" w:color="auto"/>
            </w:tcBorders>
            <w:noWrap/>
            <w:vAlign w:val="center"/>
            <w:hideMark/>
          </w:tcPr>
          <w:p w14:paraId="6BB5AE6B" w14:textId="77777777" w:rsidR="004D6256" w:rsidRPr="001667DB" w:rsidRDefault="004D6256">
            <w:pPr>
              <w:ind w:firstLine="385"/>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Klasa wg</w:t>
            </w:r>
          </w:p>
          <w:p w14:paraId="33F1290C" w14:textId="77777777" w:rsidR="004D6256" w:rsidRPr="001667DB" w:rsidRDefault="004D6256">
            <w:pPr>
              <w:overflowPunct w:val="0"/>
              <w:autoSpaceDE w:val="0"/>
              <w:autoSpaceDN w:val="0"/>
              <w:adjustRightInd w:val="0"/>
              <w:jc w:val="center"/>
              <w:rPr>
                <w:rFonts w:ascii="Times New Roman" w:hAnsi="Times New Roman" w:cs="Times New Roman"/>
                <w:bCs/>
                <w:color w:val="000000" w:themeColor="text1"/>
              </w:rPr>
            </w:pPr>
            <w:r w:rsidRPr="001667DB">
              <w:rPr>
                <w:rFonts w:ascii="Times New Roman" w:hAnsi="Times New Roman" w:cs="Times New Roman"/>
                <w:bCs/>
                <w:color w:val="000000" w:themeColor="text1"/>
              </w:rPr>
              <w:t>PN-EN 12899-1: 2005 [16]</w:t>
            </w:r>
          </w:p>
        </w:tc>
      </w:tr>
      <w:tr w:rsidR="004D6256" w:rsidRPr="001667DB" w14:paraId="1C84AEE6"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03225DD0"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Wytrzymałość na obciążenie siłą naporu wiatru</w:t>
            </w:r>
          </w:p>
        </w:tc>
        <w:tc>
          <w:tcPr>
            <w:tcW w:w="1413" w:type="dxa"/>
            <w:tcBorders>
              <w:top w:val="single" w:sz="6" w:space="0" w:color="auto"/>
              <w:left w:val="single" w:sz="6" w:space="0" w:color="auto"/>
              <w:bottom w:val="single" w:sz="6" w:space="0" w:color="auto"/>
              <w:right w:val="single" w:sz="6" w:space="0" w:color="auto"/>
            </w:tcBorders>
            <w:noWrap/>
            <w:hideMark/>
          </w:tcPr>
          <w:p w14:paraId="58759D3F"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kN m</w:t>
            </w:r>
            <w:r w:rsidRPr="001667DB">
              <w:rPr>
                <w:rFonts w:ascii="Times New Roman" w:hAnsi="Times New Roman" w:cs="Times New Roman"/>
                <w:color w:val="000000" w:themeColor="text1"/>
                <w:vertAlign w:val="superscript"/>
                <w:lang w:val="en-US"/>
              </w:rPr>
              <w:t>-2</w:t>
            </w:r>
          </w:p>
        </w:tc>
        <w:tc>
          <w:tcPr>
            <w:tcW w:w="2248" w:type="dxa"/>
            <w:tcBorders>
              <w:top w:val="single" w:sz="6" w:space="0" w:color="auto"/>
              <w:left w:val="single" w:sz="6" w:space="0" w:color="auto"/>
              <w:bottom w:val="single" w:sz="6" w:space="0" w:color="auto"/>
              <w:right w:val="single" w:sz="6" w:space="0" w:color="auto"/>
            </w:tcBorders>
            <w:noWrap/>
            <w:hideMark/>
          </w:tcPr>
          <w:p w14:paraId="331E6BEE"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lang w:val="en-US"/>
              </w:rPr>
            </w:pPr>
            <w:r w:rsidRPr="001667DB">
              <w:rPr>
                <w:rFonts w:ascii="Times New Roman" w:hAnsi="Times New Roman" w:cs="Times New Roman"/>
                <w:color w:val="000000" w:themeColor="text1"/>
                <w:lang w:val="en-US"/>
              </w:rPr>
              <w:sym w:font="Symbol" w:char="00B3"/>
            </w:r>
            <w:r w:rsidRPr="001667DB">
              <w:rPr>
                <w:rFonts w:ascii="Times New Roman" w:hAnsi="Times New Roman" w:cs="Times New Roman"/>
                <w:color w:val="000000" w:themeColor="text1"/>
                <w:lang w:val="en-US"/>
              </w:rPr>
              <w:t xml:space="preserve"> 0,60</w:t>
            </w:r>
          </w:p>
        </w:tc>
        <w:tc>
          <w:tcPr>
            <w:tcW w:w="1845" w:type="dxa"/>
            <w:tcBorders>
              <w:top w:val="single" w:sz="6" w:space="0" w:color="auto"/>
              <w:left w:val="single" w:sz="6" w:space="0" w:color="auto"/>
              <w:bottom w:val="single" w:sz="6" w:space="0" w:color="auto"/>
              <w:right w:val="single" w:sz="6" w:space="0" w:color="auto"/>
            </w:tcBorders>
            <w:noWrap/>
            <w:hideMark/>
          </w:tcPr>
          <w:p w14:paraId="311F657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WL2</w:t>
            </w:r>
          </w:p>
        </w:tc>
      </w:tr>
      <w:tr w:rsidR="004D6256" w:rsidRPr="001667DB" w14:paraId="5CED0F3E"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29365C29"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Wytrzymałość na obciążenie skupione</w:t>
            </w:r>
          </w:p>
        </w:tc>
        <w:tc>
          <w:tcPr>
            <w:tcW w:w="1413" w:type="dxa"/>
            <w:tcBorders>
              <w:top w:val="single" w:sz="6" w:space="0" w:color="auto"/>
              <w:left w:val="single" w:sz="6" w:space="0" w:color="auto"/>
              <w:bottom w:val="single" w:sz="6" w:space="0" w:color="auto"/>
              <w:right w:val="single" w:sz="6" w:space="0" w:color="auto"/>
            </w:tcBorders>
            <w:noWrap/>
            <w:hideMark/>
          </w:tcPr>
          <w:p w14:paraId="257A69FC"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kN</w:t>
            </w:r>
          </w:p>
        </w:tc>
        <w:tc>
          <w:tcPr>
            <w:tcW w:w="2248" w:type="dxa"/>
            <w:tcBorders>
              <w:top w:val="single" w:sz="6" w:space="0" w:color="auto"/>
              <w:left w:val="single" w:sz="6" w:space="0" w:color="auto"/>
              <w:bottom w:val="single" w:sz="6" w:space="0" w:color="auto"/>
              <w:right w:val="single" w:sz="6" w:space="0" w:color="auto"/>
            </w:tcBorders>
            <w:noWrap/>
            <w:hideMark/>
          </w:tcPr>
          <w:p w14:paraId="6440C14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rPr>
            </w:pPr>
            <w:r w:rsidRPr="001667DB">
              <w:rPr>
                <w:rFonts w:ascii="Times New Roman" w:hAnsi="Times New Roman" w:cs="Times New Roman"/>
                <w:color w:val="000000" w:themeColor="text1"/>
                <w:lang w:val="en-US"/>
              </w:rPr>
              <w:sym w:font="Symbol" w:char="00B3"/>
            </w:r>
            <w:r w:rsidRPr="001667DB">
              <w:rPr>
                <w:rFonts w:ascii="Times New Roman" w:hAnsi="Times New Roman" w:cs="Times New Roman"/>
                <w:color w:val="000000" w:themeColor="text1"/>
              </w:rPr>
              <w:t xml:space="preserve"> 0,50</w:t>
            </w:r>
          </w:p>
        </w:tc>
        <w:tc>
          <w:tcPr>
            <w:tcW w:w="1845" w:type="dxa"/>
            <w:tcBorders>
              <w:top w:val="single" w:sz="6" w:space="0" w:color="auto"/>
              <w:left w:val="single" w:sz="6" w:space="0" w:color="auto"/>
              <w:bottom w:val="single" w:sz="6" w:space="0" w:color="auto"/>
              <w:right w:val="single" w:sz="6" w:space="0" w:color="auto"/>
            </w:tcBorders>
            <w:noWrap/>
            <w:hideMark/>
          </w:tcPr>
          <w:p w14:paraId="23430394"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PL2</w:t>
            </w:r>
          </w:p>
        </w:tc>
      </w:tr>
      <w:tr w:rsidR="004D6256" w:rsidRPr="001667DB" w14:paraId="35D18AAE"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0D6EAC7F"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Chwilowe odkształcenie zginające</w:t>
            </w:r>
          </w:p>
        </w:tc>
        <w:tc>
          <w:tcPr>
            <w:tcW w:w="1413" w:type="dxa"/>
            <w:tcBorders>
              <w:top w:val="single" w:sz="6" w:space="0" w:color="auto"/>
              <w:left w:val="single" w:sz="6" w:space="0" w:color="auto"/>
              <w:bottom w:val="single" w:sz="6" w:space="0" w:color="auto"/>
              <w:right w:val="single" w:sz="6" w:space="0" w:color="auto"/>
            </w:tcBorders>
            <w:noWrap/>
            <w:hideMark/>
          </w:tcPr>
          <w:p w14:paraId="69DC37FC"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lang w:val="en-US"/>
              </w:rPr>
            </w:pPr>
            <w:r w:rsidRPr="001667DB">
              <w:rPr>
                <w:rFonts w:ascii="Times New Roman" w:hAnsi="Times New Roman" w:cs="Times New Roman"/>
                <w:color w:val="000000" w:themeColor="text1"/>
                <w:lang w:val="en-US"/>
              </w:rPr>
              <w:t>mm/m</w:t>
            </w:r>
          </w:p>
        </w:tc>
        <w:tc>
          <w:tcPr>
            <w:tcW w:w="2248" w:type="dxa"/>
            <w:tcBorders>
              <w:top w:val="single" w:sz="6" w:space="0" w:color="auto"/>
              <w:left w:val="single" w:sz="6" w:space="0" w:color="auto"/>
              <w:bottom w:val="single" w:sz="6" w:space="0" w:color="auto"/>
              <w:right w:val="single" w:sz="6" w:space="0" w:color="auto"/>
            </w:tcBorders>
            <w:noWrap/>
            <w:hideMark/>
          </w:tcPr>
          <w:p w14:paraId="405CB310"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lang w:val="en-US"/>
              </w:rPr>
            </w:pPr>
            <w:r w:rsidRPr="001667DB">
              <w:rPr>
                <w:rFonts w:ascii="Times New Roman" w:hAnsi="Times New Roman" w:cs="Times New Roman"/>
                <w:color w:val="000000" w:themeColor="text1"/>
                <w:lang w:val="en-US"/>
              </w:rPr>
              <w:sym w:font="Symbol" w:char="00A3"/>
            </w:r>
            <w:r w:rsidRPr="001667DB">
              <w:rPr>
                <w:rFonts w:ascii="Times New Roman" w:hAnsi="Times New Roman" w:cs="Times New Roman"/>
                <w:color w:val="000000" w:themeColor="text1"/>
                <w:lang w:val="en-US"/>
              </w:rPr>
              <w:t xml:space="preserve"> 25</w:t>
            </w:r>
          </w:p>
        </w:tc>
        <w:tc>
          <w:tcPr>
            <w:tcW w:w="1845" w:type="dxa"/>
            <w:tcBorders>
              <w:top w:val="single" w:sz="6" w:space="0" w:color="auto"/>
              <w:left w:val="single" w:sz="6" w:space="0" w:color="auto"/>
              <w:bottom w:val="single" w:sz="6" w:space="0" w:color="auto"/>
              <w:right w:val="single" w:sz="6" w:space="0" w:color="auto"/>
            </w:tcBorders>
            <w:noWrap/>
            <w:hideMark/>
          </w:tcPr>
          <w:p w14:paraId="3F4E319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lang w:val="en-US"/>
              </w:rPr>
            </w:pPr>
            <w:r w:rsidRPr="001667DB">
              <w:rPr>
                <w:rFonts w:ascii="Times New Roman" w:hAnsi="Times New Roman" w:cs="Times New Roman"/>
                <w:color w:val="000000" w:themeColor="text1"/>
                <w:lang w:val="en-US"/>
              </w:rPr>
              <w:t>TDB4</w:t>
            </w:r>
          </w:p>
        </w:tc>
      </w:tr>
      <w:tr w:rsidR="004D6256" w:rsidRPr="001667DB" w14:paraId="4E16BFCA"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42C215B8"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Chwilowe odkształcenie skrętne</w:t>
            </w:r>
          </w:p>
        </w:tc>
        <w:tc>
          <w:tcPr>
            <w:tcW w:w="1413" w:type="dxa"/>
            <w:tcBorders>
              <w:top w:val="single" w:sz="6" w:space="0" w:color="auto"/>
              <w:left w:val="single" w:sz="6" w:space="0" w:color="auto"/>
              <w:bottom w:val="single" w:sz="6" w:space="0" w:color="auto"/>
              <w:right w:val="single" w:sz="6" w:space="0" w:color="auto"/>
            </w:tcBorders>
            <w:noWrap/>
            <w:hideMark/>
          </w:tcPr>
          <w:p w14:paraId="2AC80BE3" w14:textId="77777777" w:rsidR="004D6256" w:rsidRPr="001667DB" w:rsidRDefault="004D6256">
            <w:pPr>
              <w:pStyle w:val="Numerowanie"/>
              <w:rPr>
                <w:color w:val="000000" w:themeColor="text1"/>
                <w:sz w:val="22"/>
                <w:szCs w:val="22"/>
                <w:vertAlign w:val="superscript"/>
                <w:lang w:val="pl-PL"/>
              </w:rPr>
            </w:pPr>
            <w:r w:rsidRPr="001667DB">
              <w:rPr>
                <w:color w:val="000000" w:themeColor="text1"/>
                <w:sz w:val="22"/>
                <w:szCs w:val="22"/>
                <w:lang w:val="pl-PL"/>
              </w:rPr>
              <w:t xml:space="preserve">stopień </w:t>
            </w:r>
            <w:r w:rsidRPr="001667DB">
              <w:rPr>
                <w:color w:val="000000" w:themeColor="text1"/>
                <w:sz w:val="22"/>
                <w:szCs w:val="22"/>
                <w:lang w:val="pl-PL"/>
              </w:rPr>
              <w:sym w:font="Symbol" w:char="00D7"/>
            </w:r>
            <w:r w:rsidRPr="001667DB">
              <w:rPr>
                <w:color w:val="000000" w:themeColor="text1"/>
                <w:sz w:val="22"/>
                <w:szCs w:val="22"/>
                <w:lang w:val="pl-PL"/>
              </w:rPr>
              <w:t xml:space="preserve"> m</w:t>
            </w:r>
          </w:p>
        </w:tc>
        <w:tc>
          <w:tcPr>
            <w:tcW w:w="2248" w:type="dxa"/>
            <w:tcBorders>
              <w:top w:val="single" w:sz="6" w:space="0" w:color="auto"/>
              <w:left w:val="single" w:sz="6" w:space="0" w:color="auto"/>
              <w:bottom w:val="single" w:sz="6" w:space="0" w:color="auto"/>
              <w:right w:val="single" w:sz="6" w:space="0" w:color="auto"/>
            </w:tcBorders>
            <w:noWrap/>
            <w:hideMark/>
          </w:tcPr>
          <w:p w14:paraId="577CC759"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lang w:val="en-US"/>
              </w:rPr>
              <w:sym w:font="Symbol" w:char="00A3"/>
            </w:r>
            <w:r w:rsidRPr="001667DB">
              <w:rPr>
                <w:rFonts w:ascii="Times New Roman" w:hAnsi="Times New Roman" w:cs="Times New Roman"/>
                <w:color w:val="000000" w:themeColor="text1"/>
              </w:rPr>
              <w:t xml:space="preserve"> 0,02</w:t>
            </w:r>
          </w:p>
          <w:p w14:paraId="68F890E6"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lang w:val="en-US"/>
              </w:rPr>
              <w:sym w:font="Symbol" w:char="00A3"/>
            </w:r>
            <w:r w:rsidRPr="001667DB">
              <w:rPr>
                <w:rFonts w:ascii="Times New Roman" w:hAnsi="Times New Roman" w:cs="Times New Roman"/>
                <w:color w:val="000000" w:themeColor="text1"/>
              </w:rPr>
              <w:t xml:space="preserve"> 0,11</w:t>
            </w:r>
          </w:p>
          <w:p w14:paraId="22DBB327"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lang w:val="en-US"/>
              </w:rPr>
              <w:sym w:font="Symbol" w:char="00A3"/>
            </w:r>
            <w:r w:rsidRPr="001667DB">
              <w:rPr>
                <w:rFonts w:ascii="Times New Roman" w:hAnsi="Times New Roman" w:cs="Times New Roman"/>
                <w:color w:val="000000" w:themeColor="text1"/>
              </w:rPr>
              <w:t xml:space="preserve"> 0,57</w:t>
            </w:r>
          </w:p>
          <w:p w14:paraId="6174B2B6"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rPr>
            </w:pPr>
            <w:r w:rsidRPr="001667DB">
              <w:rPr>
                <w:rFonts w:ascii="Times New Roman" w:hAnsi="Times New Roman" w:cs="Times New Roman"/>
                <w:color w:val="000000" w:themeColor="text1"/>
                <w:lang w:val="en-US"/>
              </w:rPr>
              <w:sym w:font="Symbol" w:char="00A3"/>
            </w:r>
            <w:r w:rsidRPr="001667DB">
              <w:rPr>
                <w:rFonts w:ascii="Times New Roman" w:hAnsi="Times New Roman" w:cs="Times New Roman"/>
                <w:color w:val="000000" w:themeColor="text1"/>
              </w:rPr>
              <w:t xml:space="preserve"> 1,15</w:t>
            </w:r>
          </w:p>
        </w:tc>
        <w:tc>
          <w:tcPr>
            <w:tcW w:w="1845" w:type="dxa"/>
            <w:tcBorders>
              <w:top w:val="single" w:sz="6" w:space="0" w:color="auto"/>
              <w:left w:val="single" w:sz="6" w:space="0" w:color="auto"/>
              <w:bottom w:val="single" w:sz="6" w:space="0" w:color="auto"/>
              <w:right w:val="single" w:sz="6" w:space="0" w:color="auto"/>
            </w:tcBorders>
            <w:noWrap/>
            <w:hideMark/>
          </w:tcPr>
          <w:p w14:paraId="54F8DE43"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TDT1</w:t>
            </w:r>
          </w:p>
          <w:p w14:paraId="6A738AA0"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TDT3</w:t>
            </w:r>
          </w:p>
          <w:p w14:paraId="6D9A179B" w14:textId="77777777" w:rsidR="004D6256" w:rsidRPr="001667DB" w:rsidRDefault="004D6256">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TDT5</w:t>
            </w:r>
          </w:p>
          <w:p w14:paraId="4B887C56"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 xml:space="preserve">  TDT6*</w:t>
            </w:r>
          </w:p>
        </w:tc>
      </w:tr>
      <w:tr w:rsidR="004D6256" w:rsidRPr="001667DB" w14:paraId="53DD210C"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59C88C56" w14:textId="77777777" w:rsidR="004D6256" w:rsidRPr="001667DB" w:rsidRDefault="004D6256">
            <w:pPr>
              <w:overflowPunct w:val="0"/>
              <w:autoSpaceDE w:val="0"/>
              <w:autoSpaceDN w:val="0"/>
              <w:adjustRightInd w:val="0"/>
              <w:rPr>
                <w:rFonts w:ascii="Times New Roman" w:hAnsi="Times New Roman" w:cs="Times New Roman"/>
                <w:color w:val="000000" w:themeColor="text1"/>
              </w:rPr>
            </w:pPr>
            <w:r w:rsidRPr="001667DB">
              <w:rPr>
                <w:rFonts w:ascii="Times New Roman" w:hAnsi="Times New Roman" w:cs="Times New Roman"/>
                <w:color w:val="000000" w:themeColor="text1"/>
              </w:rPr>
              <w:t>Odkształcenie trwałe</w:t>
            </w:r>
          </w:p>
        </w:tc>
        <w:tc>
          <w:tcPr>
            <w:tcW w:w="1413" w:type="dxa"/>
            <w:tcBorders>
              <w:top w:val="single" w:sz="6" w:space="0" w:color="auto"/>
              <w:left w:val="single" w:sz="6" w:space="0" w:color="auto"/>
              <w:bottom w:val="single" w:sz="6" w:space="0" w:color="auto"/>
              <w:right w:val="single" w:sz="6" w:space="0" w:color="auto"/>
            </w:tcBorders>
            <w:noWrap/>
            <w:hideMark/>
          </w:tcPr>
          <w:p w14:paraId="7DBCA4EB"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mm/m  lub stopień </w:t>
            </w:r>
            <w:r w:rsidRPr="001667DB">
              <w:rPr>
                <w:rFonts w:ascii="Times New Roman" w:hAnsi="Times New Roman" w:cs="Times New Roman"/>
                <w:color w:val="000000" w:themeColor="text1"/>
              </w:rPr>
              <w:sym w:font="Symbol" w:char="00D7"/>
            </w:r>
            <w:r w:rsidRPr="001667DB">
              <w:rPr>
                <w:rFonts w:ascii="Times New Roman" w:hAnsi="Times New Roman" w:cs="Times New Roman"/>
                <w:color w:val="000000" w:themeColor="text1"/>
              </w:rPr>
              <w:t xml:space="preserve"> m</w:t>
            </w:r>
          </w:p>
        </w:tc>
        <w:tc>
          <w:tcPr>
            <w:tcW w:w="2248" w:type="dxa"/>
            <w:tcBorders>
              <w:top w:val="single" w:sz="6" w:space="0" w:color="auto"/>
              <w:left w:val="single" w:sz="6" w:space="0" w:color="auto"/>
              <w:bottom w:val="single" w:sz="6" w:space="0" w:color="auto"/>
              <w:right w:val="single" w:sz="6" w:space="0" w:color="auto"/>
            </w:tcBorders>
            <w:noWrap/>
            <w:hideMark/>
          </w:tcPr>
          <w:p w14:paraId="490FB7DE" w14:textId="77777777" w:rsidR="004D6256" w:rsidRPr="001667DB" w:rsidRDefault="004D6256">
            <w:pPr>
              <w:overflowPunct w:val="0"/>
              <w:autoSpaceDE w:val="0"/>
              <w:autoSpaceDN w:val="0"/>
              <w:adjustRightInd w:val="0"/>
              <w:rPr>
                <w:rFonts w:ascii="Times New Roman" w:hAnsi="Times New Roman" w:cs="Times New Roman"/>
                <w:color w:val="000000" w:themeColor="text1"/>
              </w:rPr>
            </w:pPr>
            <w:r w:rsidRPr="001667DB">
              <w:rPr>
                <w:rFonts w:ascii="Times New Roman" w:hAnsi="Times New Roman" w:cs="Times New Roman"/>
                <w:color w:val="000000" w:themeColor="text1"/>
              </w:rPr>
              <w:t>20 % odkształcenia chwilowego</w:t>
            </w:r>
          </w:p>
        </w:tc>
        <w:tc>
          <w:tcPr>
            <w:tcW w:w="1845" w:type="dxa"/>
            <w:tcBorders>
              <w:top w:val="single" w:sz="6" w:space="0" w:color="auto"/>
              <w:left w:val="single" w:sz="6" w:space="0" w:color="auto"/>
              <w:bottom w:val="single" w:sz="6" w:space="0" w:color="auto"/>
              <w:right w:val="single" w:sz="6" w:space="0" w:color="auto"/>
            </w:tcBorders>
            <w:noWrap/>
            <w:hideMark/>
          </w:tcPr>
          <w:p w14:paraId="7B0D9A15"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r>
      <w:tr w:rsidR="004D6256" w:rsidRPr="001667DB" w14:paraId="7CB5456C"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6549A84B" w14:textId="77777777" w:rsidR="004D6256" w:rsidRPr="001667DB" w:rsidRDefault="004D6256">
            <w:pPr>
              <w:overflowPunct w:val="0"/>
              <w:autoSpaceDE w:val="0"/>
              <w:autoSpaceDN w:val="0"/>
              <w:adjustRightInd w:val="0"/>
              <w:rPr>
                <w:rFonts w:ascii="Times New Roman" w:hAnsi="Times New Roman" w:cs="Times New Roman"/>
                <w:color w:val="000000" w:themeColor="text1"/>
              </w:rPr>
            </w:pPr>
            <w:r w:rsidRPr="001667DB">
              <w:rPr>
                <w:rFonts w:ascii="Times New Roman" w:hAnsi="Times New Roman" w:cs="Times New Roman"/>
                <w:color w:val="000000" w:themeColor="text1"/>
              </w:rPr>
              <w:t>Rodzaj krawędzi znaku</w:t>
            </w:r>
          </w:p>
        </w:tc>
        <w:tc>
          <w:tcPr>
            <w:tcW w:w="1413" w:type="dxa"/>
            <w:tcBorders>
              <w:top w:val="single" w:sz="6" w:space="0" w:color="auto"/>
              <w:left w:val="single" w:sz="6" w:space="0" w:color="auto"/>
              <w:bottom w:val="single" w:sz="6" w:space="0" w:color="auto"/>
              <w:right w:val="single" w:sz="6" w:space="0" w:color="auto"/>
            </w:tcBorders>
            <w:noWrap/>
            <w:hideMark/>
          </w:tcPr>
          <w:p w14:paraId="55CA2467"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248" w:type="dxa"/>
            <w:tcBorders>
              <w:top w:val="single" w:sz="6" w:space="0" w:color="auto"/>
              <w:left w:val="single" w:sz="6" w:space="0" w:color="auto"/>
              <w:bottom w:val="single" w:sz="6" w:space="0" w:color="auto"/>
              <w:right w:val="single" w:sz="6" w:space="0" w:color="auto"/>
            </w:tcBorders>
            <w:noWrap/>
            <w:hideMark/>
          </w:tcPr>
          <w:p w14:paraId="46E3777B"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Zabezpieczona, krawędź tłoczona, zaginana, prasowana lub zabezpieczona profilem krawędziowym</w:t>
            </w:r>
          </w:p>
        </w:tc>
        <w:tc>
          <w:tcPr>
            <w:tcW w:w="1845" w:type="dxa"/>
            <w:tcBorders>
              <w:top w:val="single" w:sz="6" w:space="0" w:color="auto"/>
              <w:left w:val="single" w:sz="6" w:space="0" w:color="auto"/>
              <w:bottom w:val="single" w:sz="6" w:space="0" w:color="auto"/>
              <w:right w:val="single" w:sz="6" w:space="0" w:color="auto"/>
            </w:tcBorders>
            <w:noWrap/>
            <w:hideMark/>
          </w:tcPr>
          <w:p w14:paraId="1F6B916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E2</w:t>
            </w:r>
          </w:p>
        </w:tc>
      </w:tr>
      <w:tr w:rsidR="004D6256" w:rsidRPr="001667DB" w14:paraId="2D653D50" w14:textId="77777777" w:rsidTr="00B73D7B">
        <w:trPr>
          <w:jc w:val="center"/>
        </w:trPr>
        <w:tc>
          <w:tcPr>
            <w:tcW w:w="2026" w:type="dxa"/>
            <w:tcBorders>
              <w:top w:val="single" w:sz="6" w:space="0" w:color="auto"/>
              <w:left w:val="single" w:sz="6" w:space="0" w:color="auto"/>
              <w:bottom w:val="single" w:sz="6" w:space="0" w:color="auto"/>
              <w:right w:val="single" w:sz="6" w:space="0" w:color="auto"/>
            </w:tcBorders>
            <w:noWrap/>
            <w:hideMark/>
          </w:tcPr>
          <w:p w14:paraId="513544DB"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Przewiercanie lica znaku</w:t>
            </w:r>
          </w:p>
        </w:tc>
        <w:tc>
          <w:tcPr>
            <w:tcW w:w="1413" w:type="dxa"/>
            <w:tcBorders>
              <w:top w:val="single" w:sz="6" w:space="0" w:color="auto"/>
              <w:left w:val="single" w:sz="6" w:space="0" w:color="auto"/>
              <w:bottom w:val="single" w:sz="6" w:space="0" w:color="auto"/>
              <w:right w:val="single" w:sz="6" w:space="0" w:color="auto"/>
            </w:tcBorders>
            <w:noWrap/>
            <w:hideMark/>
          </w:tcPr>
          <w:p w14:paraId="039F72E2"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248" w:type="dxa"/>
            <w:tcBorders>
              <w:top w:val="single" w:sz="6" w:space="0" w:color="auto"/>
              <w:left w:val="single" w:sz="6" w:space="0" w:color="auto"/>
              <w:bottom w:val="single" w:sz="6" w:space="0" w:color="auto"/>
              <w:right w:val="single" w:sz="6" w:space="0" w:color="auto"/>
            </w:tcBorders>
            <w:noWrap/>
            <w:hideMark/>
          </w:tcPr>
          <w:p w14:paraId="1706FC1B" w14:textId="77777777" w:rsidR="004D6256" w:rsidRPr="001667DB" w:rsidRDefault="004D6256">
            <w:pPr>
              <w:overflowPunct w:val="0"/>
              <w:autoSpaceDE w:val="0"/>
              <w:autoSpaceDN w:val="0"/>
              <w:adjustRightInd w:val="0"/>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Lico znaku nie może być przewiercone z żadnego powodu</w:t>
            </w:r>
          </w:p>
        </w:tc>
        <w:tc>
          <w:tcPr>
            <w:tcW w:w="1845" w:type="dxa"/>
            <w:tcBorders>
              <w:top w:val="single" w:sz="6" w:space="0" w:color="auto"/>
              <w:left w:val="single" w:sz="6" w:space="0" w:color="auto"/>
              <w:bottom w:val="single" w:sz="6" w:space="0" w:color="auto"/>
              <w:right w:val="single" w:sz="6" w:space="0" w:color="auto"/>
            </w:tcBorders>
            <w:noWrap/>
            <w:hideMark/>
          </w:tcPr>
          <w:p w14:paraId="02024D8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highlight w:val="green"/>
              </w:rPr>
            </w:pPr>
            <w:r w:rsidRPr="001667DB">
              <w:rPr>
                <w:rFonts w:ascii="Times New Roman" w:hAnsi="Times New Roman" w:cs="Times New Roman"/>
                <w:color w:val="000000" w:themeColor="text1"/>
              </w:rPr>
              <w:t>P3</w:t>
            </w:r>
          </w:p>
        </w:tc>
      </w:tr>
      <w:tr w:rsidR="004D6256" w:rsidRPr="001667DB" w14:paraId="0726391E" w14:textId="77777777" w:rsidTr="00B73D7B">
        <w:trPr>
          <w:jc w:val="center"/>
        </w:trPr>
        <w:tc>
          <w:tcPr>
            <w:tcW w:w="7532" w:type="dxa"/>
            <w:gridSpan w:val="4"/>
            <w:tcBorders>
              <w:top w:val="single" w:sz="6" w:space="0" w:color="auto"/>
              <w:left w:val="single" w:sz="6" w:space="0" w:color="auto"/>
              <w:bottom w:val="single" w:sz="6" w:space="0" w:color="auto"/>
              <w:right w:val="single" w:sz="6" w:space="0" w:color="auto"/>
            </w:tcBorders>
            <w:noWrap/>
            <w:hideMark/>
          </w:tcPr>
          <w:p w14:paraId="1FEDF6EA" w14:textId="77777777" w:rsidR="004D6256" w:rsidRPr="001667DB" w:rsidRDefault="004D6256">
            <w:pPr>
              <w:overflowPunct w:val="0"/>
              <w:autoSpaceDE w:val="0"/>
              <w:autoSpaceDN w:val="0"/>
              <w:adjustRightInd w:val="0"/>
              <w:rPr>
                <w:rFonts w:ascii="Times New Roman" w:hAnsi="Times New Roman" w:cs="Times New Roman"/>
                <w:color w:val="000000" w:themeColor="text1"/>
              </w:rPr>
            </w:pPr>
            <w:r w:rsidRPr="001667DB">
              <w:rPr>
                <w:rFonts w:ascii="Times New Roman" w:hAnsi="Times New Roman" w:cs="Times New Roman"/>
                <w:color w:val="000000" w:themeColor="text1"/>
              </w:rPr>
              <w:t>* klasę TDT3 stosuje się dla tablic na 2 lub więcej podporach, klasę TDT 5 dla tablic na jednej podporze, klasę TDT1 dla tablic na konstrukcjach bramowych, klasę TDT6 dla tablic na konstrukcjach wysięgnikowych</w:t>
            </w:r>
          </w:p>
        </w:tc>
      </w:tr>
    </w:tbl>
    <w:p w14:paraId="6069D9A9" w14:textId="77777777" w:rsidR="004D6256" w:rsidRPr="001667DB" w:rsidRDefault="004D6256" w:rsidP="00B73D7B">
      <w:pPr>
        <w:rPr>
          <w:rFonts w:ascii="Times New Roman" w:hAnsi="Times New Roman" w:cs="Times New Roman"/>
          <w:color w:val="000000" w:themeColor="text1"/>
        </w:rPr>
      </w:pPr>
    </w:p>
    <w:p w14:paraId="57D01736"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Przyjęto zgodnie z tablicą 1, że przy sile naporu wiatru równej 0,6 kN (klasa WL2), chwilowe odkształcenie zginające, zarówno znak, jak i samą tarczę znaku nie może być większe niż 25 mm/m (klasa TDB4).</w:t>
      </w:r>
    </w:p>
    <w:p w14:paraId="65176541" w14:textId="77777777" w:rsidR="004D6256" w:rsidRPr="001667DB" w:rsidRDefault="004D6256" w:rsidP="00577746">
      <w:pPr>
        <w:ind w:firstLine="709"/>
        <w:jc w:val="both"/>
        <w:rPr>
          <w:rFonts w:ascii="Times New Roman" w:hAnsi="Times New Roman" w:cs="Times New Roman"/>
          <w:color w:val="000000" w:themeColor="text1"/>
        </w:rPr>
      </w:pPr>
    </w:p>
    <w:p w14:paraId="4D946B5E" w14:textId="77777777" w:rsidR="004D6256" w:rsidRPr="001667DB" w:rsidRDefault="004D6256" w:rsidP="00577746">
      <w:pPr>
        <w:spacing w:before="12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2.5.4. </w:t>
      </w:r>
      <w:r w:rsidRPr="001667DB">
        <w:rPr>
          <w:rFonts w:ascii="Times New Roman" w:hAnsi="Times New Roman" w:cs="Times New Roman"/>
          <w:color w:val="000000" w:themeColor="text1"/>
        </w:rPr>
        <w:t>Warunki wykonania tarczy znaku</w:t>
      </w:r>
    </w:p>
    <w:p w14:paraId="51E7DF8C"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Tarcze znaków powinny spełniać także następujące wymagania:</w:t>
      </w:r>
    </w:p>
    <w:p w14:paraId="4777D500"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1667DB">
          <w:rPr>
            <w:rFonts w:ascii="Times New Roman" w:hAnsi="Times New Roman" w:cs="Times New Roman"/>
            <w:color w:val="000000" w:themeColor="text1"/>
          </w:rPr>
          <w:t>10 mm</w:t>
        </w:r>
      </w:smartTag>
      <w:r w:rsidRPr="001667DB">
        <w:rPr>
          <w:rFonts w:ascii="Times New Roman" w:hAnsi="Times New Roman" w:cs="Times New Roman"/>
          <w:color w:val="000000" w:themeColor="text1"/>
        </w:rPr>
        <w:t xml:space="preserve"> włącznie z narożnikami lub przez zamocowanie odpowiedniego profilu na całym obwodzie znaku, </w:t>
      </w:r>
    </w:p>
    <w:p w14:paraId="5B33445B"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czołowa tarczy znaku powinna być równa – bez wgięć, pofałdowań i otworów montażowych. Dopuszczalna nierówność wynosi 1 mm/m,</w:t>
      </w:r>
    </w:p>
    <w:p w14:paraId="58D22B5A"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podwójna gięta krawędź  lub przymocowane do tylnej powierzchni  profile montażowe powinny  usztywnić  tarczę znaku  w taki sposób, aby wymagania podane w tablicy 1 były spełnione a zarazem stanowiły element konstrukcyjny do montażu  do konstrukcji wsporczej. Dopuszcza się maksymalne odkształcenie trwałe do 20 % odkształcenia odpowiedniej klasy na zginanie i skręcanie,</w:t>
      </w:r>
    </w:p>
    <w:p w14:paraId="11D602CD"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tylna powierzchnia tarczy powinna być zabezpieczona przed procesami korozji ochronnymi powłokami chemicznymi oraz powłoką lakierniczą o grubości min. 60 µm z proszkowych farb poliestrowych ciemnoszarych matowych lub półmatowych w kolorze RAL 7037; badania należy wykonywać zgodnie z PN-88/C-81523 [4] oraz PN-76/C-81521 [1] w zakresie odporności na działanie mgły solnej oraz wody.  </w:t>
      </w:r>
    </w:p>
    <w:p w14:paraId="5A36238D"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Tarcze znaków i tablic o powierzchni  &gt; </w:t>
      </w:r>
      <w:smartTag w:uri="urn:schemas-microsoft-com:office:smarttags" w:element="metricconverter">
        <w:smartTagPr>
          <w:attr w:name="ProductID" w:val="1 m2"/>
        </w:smartTagPr>
        <w:r w:rsidRPr="001667DB">
          <w:rPr>
            <w:rFonts w:ascii="Times New Roman" w:hAnsi="Times New Roman" w:cs="Times New Roman"/>
            <w:color w:val="000000" w:themeColor="text1"/>
          </w:rPr>
          <w:t>1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vertAlign w:val="superscript"/>
        </w:rPr>
        <w:t xml:space="preserve"> </w:t>
      </w:r>
      <w:r w:rsidRPr="001667DB">
        <w:rPr>
          <w:rFonts w:ascii="Times New Roman" w:hAnsi="Times New Roman" w:cs="Times New Roman"/>
          <w:color w:val="000000" w:themeColor="text1"/>
        </w:rPr>
        <w:t>powinny spełniać dodatkowo następujące wymagania:</w:t>
      </w:r>
    </w:p>
    <w:p w14:paraId="69FEB116"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narożniki znaku i tablicy powinny być zaokrąglone, o promieniu zgodnym z wymaganiami określonymi w załączniku nr 1 do rozporządzenia Ministra Infrastruktury z dnia 3 lipca 2003 r. [25] nie mniejszym jednak niż </w:t>
      </w:r>
      <w:smartTag w:uri="urn:schemas-microsoft-com:office:smarttags" w:element="metricconverter">
        <w:smartTagPr>
          <w:attr w:name="ProductID" w:val="30 mm"/>
        </w:smartTagPr>
        <w:r w:rsidRPr="001667DB">
          <w:rPr>
            <w:rFonts w:ascii="Times New Roman" w:hAnsi="Times New Roman" w:cs="Times New Roman"/>
            <w:color w:val="000000" w:themeColor="text1"/>
          </w:rPr>
          <w:t>30 mm</w:t>
        </w:r>
      </w:smartTag>
      <w:r w:rsidRPr="001667DB">
        <w:rPr>
          <w:rFonts w:ascii="Times New Roman" w:hAnsi="Times New Roman" w:cs="Times New Roman"/>
          <w:color w:val="000000" w:themeColor="text1"/>
        </w:rPr>
        <w:t>, gdy wielkości tego promienia nie wskazano,</w:t>
      </w:r>
    </w:p>
    <w:p w14:paraId="6ADC832A" w14:textId="77777777" w:rsidR="004D6256" w:rsidRPr="001667DB" w:rsidRDefault="004D6256" w:rsidP="00904E6C">
      <w:pPr>
        <w:numPr>
          <w:ilvl w:val="0"/>
          <w:numId w:val="335"/>
        </w:numPr>
        <w:tabs>
          <w:tab w:val="left" w:pos="0"/>
        </w:tabs>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łączenie poszczególnych segmentów tarczy (dla znaków wielkogabarytowych) wzdłuż poziomej lub pionowej krawędzi  powinno być wykonane w taki sposób, aby nie występowały przesunięcia i prześwity w miejscach ich łączenia. </w:t>
      </w:r>
    </w:p>
    <w:p w14:paraId="28A0CADC" w14:textId="77777777" w:rsidR="004D6256" w:rsidRPr="001667DB" w:rsidRDefault="004D6256" w:rsidP="00577746">
      <w:pPr>
        <w:tabs>
          <w:tab w:val="left" w:pos="0"/>
        </w:tabs>
        <w:overflowPunct w:val="0"/>
        <w:autoSpaceDE w:val="0"/>
        <w:autoSpaceDN w:val="0"/>
        <w:adjustRightInd w:val="0"/>
        <w:ind w:left="284"/>
        <w:jc w:val="both"/>
        <w:rPr>
          <w:rFonts w:ascii="Times New Roman" w:hAnsi="Times New Roman" w:cs="Times New Roman"/>
          <w:color w:val="000000" w:themeColor="text1"/>
        </w:rPr>
      </w:pPr>
    </w:p>
    <w:p w14:paraId="3B932347" w14:textId="77777777" w:rsidR="004D6256" w:rsidRPr="001667DB" w:rsidRDefault="004D6256" w:rsidP="00577746">
      <w:pPr>
        <w:pStyle w:val="Nagwek2"/>
        <w:numPr>
          <w:ilvl w:val="1"/>
          <w:numId w:val="3"/>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Znaki odblaskowe</w:t>
      </w:r>
    </w:p>
    <w:p w14:paraId="16BD2DF7" w14:textId="77777777" w:rsidR="004D6256" w:rsidRPr="001667DB" w:rsidRDefault="004D6256" w:rsidP="00577746">
      <w:pPr>
        <w:jc w:val="both"/>
        <w:rPr>
          <w:rFonts w:ascii="Times New Roman" w:hAnsi="Times New Roman" w:cs="Times New Roman"/>
          <w:color w:val="000000" w:themeColor="text1"/>
        </w:rPr>
      </w:pPr>
    </w:p>
    <w:p w14:paraId="7299280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2.6.1. </w:t>
      </w:r>
      <w:r w:rsidRPr="001667DB">
        <w:rPr>
          <w:rFonts w:ascii="Times New Roman" w:hAnsi="Times New Roman" w:cs="Times New Roman"/>
          <w:color w:val="000000" w:themeColor="text1"/>
        </w:rPr>
        <w:t>Wymagania dotyczące powierzchni odblaskowej</w:t>
      </w:r>
    </w:p>
    <w:p w14:paraId="78A1A9CC"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14:paraId="6CFBF0B7"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Folia odblaskowa (odbijająca powrotnie) powinna spełniać wymagania określone w aprobacie technicznej .</w:t>
      </w:r>
    </w:p>
    <w:p w14:paraId="184E9531" w14:textId="77777777" w:rsidR="004D6256" w:rsidRPr="001667DB" w:rsidRDefault="004D6256" w:rsidP="00577746">
      <w:pPr>
        <w:widowControl w:val="0"/>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Lico znaku powinno być wykonane z:</w:t>
      </w:r>
    </w:p>
    <w:p w14:paraId="19BE4442" w14:textId="77777777" w:rsidR="004D6256" w:rsidRPr="001667DB" w:rsidRDefault="004D6256" w:rsidP="00904E6C">
      <w:pPr>
        <w:widowControl w:val="0"/>
        <w:numPr>
          <w:ilvl w:val="0"/>
          <w:numId w:val="336"/>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samoprzylepnej folii odblaskowej o właściwościach fotometrycznych i kolorymetrycznych typu 1, typu 2 (folia z kulkami szklanymi lub pryzmatyczna) lub typu 3 (folia pryzmatyczna) potwierdzonych uzyskanymi aprobatami technicznymi dla poszczególnych typów folii,</w:t>
      </w:r>
    </w:p>
    <w:p w14:paraId="334D4815" w14:textId="77777777" w:rsidR="004D6256" w:rsidRPr="001667DB" w:rsidRDefault="004D6256" w:rsidP="00904E6C">
      <w:pPr>
        <w:pStyle w:val="Tekstpodstawowywcity33"/>
        <w:numPr>
          <w:ilvl w:val="0"/>
          <w:numId w:val="336"/>
        </w:numPr>
        <w:rPr>
          <w:rFonts w:ascii="Times New Roman" w:hAnsi="Times New Roman"/>
          <w:color w:val="000000" w:themeColor="text1"/>
          <w:sz w:val="22"/>
          <w:szCs w:val="22"/>
        </w:rPr>
      </w:pPr>
      <w:r w:rsidRPr="001667DB">
        <w:rPr>
          <w:rFonts w:ascii="Times New Roman" w:hAnsi="Times New Roman"/>
          <w:color w:val="000000" w:themeColor="text1"/>
          <w:sz w:val="22"/>
          <w:szCs w:val="22"/>
        </w:rPr>
        <w:t>do nanoszenia barw innych niż biała można stosować: farby transparentne do sitodruku, zalecane przez producenta danej folii, transparentne folie ploterowe posiadające aprobaty techniczne oraz w przypadku folii typu 1 wycinane kształty z folii odblaskowych barwnych,</w:t>
      </w:r>
    </w:p>
    <w:p w14:paraId="36D318A2" w14:textId="77777777" w:rsidR="004D6256" w:rsidRPr="001667DB" w:rsidRDefault="004D6256" w:rsidP="00904E6C">
      <w:pPr>
        <w:pStyle w:val="Tekstpodstawowywcity33"/>
        <w:numPr>
          <w:ilvl w:val="0"/>
          <w:numId w:val="336"/>
        </w:numPr>
        <w:rPr>
          <w:rFonts w:ascii="Times New Roman" w:hAnsi="Times New Roman"/>
          <w:color w:val="000000" w:themeColor="text1"/>
          <w:sz w:val="22"/>
          <w:szCs w:val="22"/>
        </w:rPr>
      </w:pPr>
      <w:r w:rsidRPr="001667DB">
        <w:rPr>
          <w:rFonts w:ascii="Times New Roman" w:hAnsi="Times New Roman"/>
          <w:color w:val="000000" w:themeColor="text1"/>
          <w:sz w:val="22"/>
          <w:szCs w:val="22"/>
        </w:rPr>
        <w:lastRenderedPageBreak/>
        <w:t>dopuszcza się wycinanie kształtów z folii 2 i 3 typu pod warunkiem zabezpieczenia ich krawędzi lakierem zalecanym przez producenta folii,</w:t>
      </w:r>
    </w:p>
    <w:p w14:paraId="5B64D1DF" w14:textId="77777777" w:rsidR="004D6256" w:rsidRPr="001667DB" w:rsidRDefault="004D6256" w:rsidP="00904E6C">
      <w:pPr>
        <w:pStyle w:val="Nagwek"/>
        <w:numPr>
          <w:ilvl w:val="0"/>
          <w:numId w:val="336"/>
        </w:numPr>
        <w:tabs>
          <w:tab w:val="left" w:pos="709"/>
        </w:tabs>
        <w:overflowPunct w:val="0"/>
        <w:autoSpaceDE w:val="0"/>
        <w:autoSpaceDN w:val="0"/>
        <w:adjustRightInd w:val="0"/>
        <w:rPr>
          <w:color w:val="000000" w:themeColor="text1"/>
          <w:sz w:val="22"/>
        </w:rPr>
      </w:pPr>
      <w:r w:rsidRPr="001667DB">
        <w:rPr>
          <w:color w:val="000000" w:themeColor="text1"/>
          <w:sz w:val="22"/>
        </w:rPr>
        <w:t>nie dopuszcza się stosowania folii o okresie trwałości poniżej 7 lat do znaków stałych,</w:t>
      </w:r>
    </w:p>
    <w:p w14:paraId="45D43BBE" w14:textId="77777777" w:rsidR="004D6256" w:rsidRPr="001667DB" w:rsidRDefault="004D6256" w:rsidP="00904E6C">
      <w:pPr>
        <w:numPr>
          <w:ilvl w:val="0"/>
          <w:numId w:val="336"/>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folie o 2-letnim i 3-letnim okresie trwałości mogą być wykorzystywane do znaków tymczasowych stosowanych do oznakowania robót drogowych, pod warunkiem posiadania aprobaty technicznej i zachowania zgodności z załącznikiem nr 1 do rozporządzenia Ministra Infrastruktury z dnia 3 lipca 2003 w sprawie szczegółowych warunków technicznych dla znaków i sygnałów drogowych oraz urządzeń bezpieczeństwa ruchu drogowego i warunków ich umieszczania na drogach [25].</w:t>
      </w:r>
    </w:p>
    <w:p w14:paraId="7A04B8CB"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Minimalna początkowa wartość współczynnika odblasku R’(cd·lx</w:t>
      </w:r>
      <w:r w:rsidRPr="001667DB">
        <w:rPr>
          <w:rFonts w:ascii="Times New Roman" w:hAnsi="Times New Roman" w:cs="Times New Roman"/>
          <w:color w:val="000000" w:themeColor="text1"/>
          <w:vertAlign w:val="superscript"/>
        </w:rPr>
        <w:t>-1</w:t>
      </w:r>
      <w:r w:rsidRPr="001667DB">
        <w:rPr>
          <w:rFonts w:ascii="Times New Roman" w:hAnsi="Times New Roman" w:cs="Times New Roman"/>
          <w:color w:val="000000" w:themeColor="text1"/>
        </w:rPr>
        <w:t>m</w:t>
      </w:r>
      <w:r w:rsidRPr="001667DB">
        <w:rPr>
          <w:rFonts w:ascii="Times New Roman" w:hAnsi="Times New Roman" w:cs="Times New Roman"/>
          <w:color w:val="000000" w:themeColor="text1"/>
          <w:vertAlign w:val="superscript"/>
        </w:rPr>
        <w:t xml:space="preserve">-2 </w:t>
      </w:r>
      <w:r w:rsidRPr="001667DB">
        <w:rPr>
          <w:rFonts w:ascii="Times New Roman" w:hAnsi="Times New Roman" w:cs="Times New Roman"/>
          <w:color w:val="000000" w:themeColor="text1"/>
        </w:rPr>
        <w:t>) znaków odblaskowych, zmierzona zgodnie z procedurą zawartą w CIE No.54 [29], używając standardowego iluminanta A, powinna spełniać odpowiednio wymagania podane w tablicy 2.</w:t>
      </w:r>
    </w:p>
    <w:p w14:paraId="22323C9C"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Współczynnik odblasku R’ dla wszystkich kolorów drukowanych, z wyjątkiem białego, nie powinien być mniejszy niż 70 % wartości podanych w tablicy 2 dla znaków z folią typu 1 lub typu 2,  zgodnie  z publikacją CIE No 39.2 [28]. Folie odblaskowe pryzmatyczne (typ 3) powinny spełniać minimalne wymagania dla folii typu 2 lub zwiększone wymagania postawione w aprobacie technicznej dla danej folii. </w:t>
      </w:r>
    </w:p>
    <w:p w14:paraId="7C4BDFB2" w14:textId="77777777" w:rsidR="004D6256" w:rsidRPr="001667DB" w:rsidRDefault="004D6256" w:rsidP="00577746">
      <w:pPr>
        <w:pStyle w:val="Tekstpodstawowy3"/>
        <w:ind w:firstLine="709"/>
        <w:jc w:val="both"/>
        <w:rPr>
          <w:color w:val="000000" w:themeColor="text1"/>
          <w:sz w:val="22"/>
          <w:szCs w:val="22"/>
        </w:rPr>
      </w:pPr>
      <w:r w:rsidRPr="001667DB">
        <w:rPr>
          <w:color w:val="000000" w:themeColor="text1"/>
          <w:sz w:val="22"/>
          <w:szCs w:val="22"/>
        </w:rPr>
        <w:t xml:space="preserve">W przypadku oświetlenia standardowym iluminantem D 65 i pomiaru w geometrii 45/0 współrzędne chromatyczności i współczynnik luminancji </w:t>
      </w:r>
      <w:r w:rsidRPr="001667DB">
        <w:rPr>
          <w:color w:val="000000" w:themeColor="text1"/>
          <w:sz w:val="22"/>
          <w:szCs w:val="22"/>
        </w:rPr>
        <w:sym w:font="Symbol" w:char="0062"/>
      </w:r>
      <w:r w:rsidRPr="001667DB">
        <w:rPr>
          <w:color w:val="000000" w:themeColor="text1"/>
          <w:sz w:val="22"/>
          <w:szCs w:val="22"/>
        </w:rPr>
        <w:t xml:space="preserve"> powinny być zgodne z wymaganiami podanymi w tablicach 2 i 3.</w:t>
      </w:r>
    </w:p>
    <w:p w14:paraId="05D1A442" w14:textId="77777777" w:rsidR="004D6256" w:rsidRPr="001667DB" w:rsidRDefault="004D6256" w:rsidP="00577746">
      <w:pPr>
        <w:pStyle w:val="Tekstpodstawowy3"/>
        <w:ind w:firstLine="709"/>
        <w:jc w:val="both"/>
        <w:rPr>
          <w:color w:val="000000" w:themeColor="text1"/>
          <w:sz w:val="22"/>
          <w:szCs w:val="22"/>
        </w:rPr>
      </w:pPr>
    </w:p>
    <w:p w14:paraId="56971D5D" w14:textId="77777777" w:rsidR="004D6256" w:rsidRPr="001667DB" w:rsidRDefault="004D6256" w:rsidP="00577746">
      <w:pPr>
        <w:pStyle w:val="Tablica"/>
        <w:tabs>
          <w:tab w:val="left" w:pos="993"/>
        </w:tabs>
        <w:spacing w:before="0" w:after="120" w:line="240" w:lineRule="auto"/>
        <w:ind w:left="993" w:hanging="993"/>
        <w:jc w:val="both"/>
        <w:rPr>
          <w:b w:val="0"/>
          <w:bCs/>
          <w:color w:val="000000" w:themeColor="text1"/>
          <w:sz w:val="22"/>
          <w:szCs w:val="22"/>
        </w:rPr>
      </w:pPr>
      <w:r w:rsidRPr="001667DB">
        <w:rPr>
          <w:b w:val="0"/>
          <w:bCs/>
          <w:color w:val="000000" w:themeColor="text1"/>
          <w:sz w:val="22"/>
          <w:szCs w:val="22"/>
        </w:rPr>
        <w:t xml:space="preserve">Tablica 2. </w:t>
      </w:r>
      <w:r w:rsidRPr="001667DB">
        <w:rPr>
          <w:b w:val="0"/>
          <w:bCs/>
          <w:color w:val="000000" w:themeColor="text1"/>
          <w:sz w:val="22"/>
          <w:szCs w:val="22"/>
        </w:rPr>
        <w:tab/>
        <w:t xml:space="preserve">Wymagania dla </w:t>
      </w:r>
      <w:r w:rsidRPr="001667DB">
        <w:rPr>
          <w:b w:val="0"/>
          <w:color w:val="000000" w:themeColor="text1"/>
          <w:sz w:val="22"/>
          <w:szCs w:val="22"/>
        </w:rPr>
        <w:t xml:space="preserve">współczynnika luminancji </w:t>
      </w:r>
      <w:r w:rsidRPr="001667DB">
        <w:rPr>
          <w:b w:val="0"/>
          <w:color w:val="000000" w:themeColor="text1"/>
          <w:sz w:val="22"/>
          <w:szCs w:val="22"/>
        </w:rPr>
        <w:sym w:font="Symbol" w:char="0062"/>
      </w:r>
      <w:r w:rsidRPr="001667DB">
        <w:rPr>
          <w:b w:val="0"/>
          <w:color w:val="000000" w:themeColor="text1"/>
          <w:sz w:val="22"/>
          <w:szCs w:val="22"/>
        </w:rPr>
        <w:t xml:space="preserve"> i współrzędnych chromatyczności x, y oraz współczynnika odblasku R’</w:t>
      </w:r>
    </w:p>
    <w:tbl>
      <w:tblPr>
        <w:tblW w:w="7527" w:type="dxa"/>
        <w:tblCellMar>
          <w:left w:w="70" w:type="dxa"/>
          <w:right w:w="70" w:type="dxa"/>
        </w:tblCellMar>
        <w:tblLook w:val="04A0" w:firstRow="1" w:lastRow="0" w:firstColumn="1" w:lastColumn="0" w:noHBand="0" w:noVBand="1"/>
      </w:tblPr>
      <w:tblGrid>
        <w:gridCol w:w="567"/>
        <w:gridCol w:w="2835"/>
        <w:gridCol w:w="993"/>
        <w:gridCol w:w="1557"/>
        <w:gridCol w:w="1575"/>
      </w:tblGrid>
      <w:tr w:rsidR="004D6256" w:rsidRPr="001667DB" w14:paraId="4B3DA6E0" w14:textId="77777777" w:rsidTr="00B73D7B">
        <w:trPr>
          <w:trHeight w:val="218"/>
          <w:tblHeader/>
        </w:trPr>
        <w:tc>
          <w:tcPr>
            <w:tcW w:w="567" w:type="dxa"/>
            <w:tcBorders>
              <w:top w:val="single" w:sz="6" w:space="0" w:color="auto"/>
              <w:left w:val="single" w:sz="6" w:space="0" w:color="auto"/>
              <w:bottom w:val="single" w:sz="6" w:space="0" w:color="auto"/>
              <w:right w:val="single" w:sz="6" w:space="0" w:color="auto"/>
            </w:tcBorders>
            <w:noWrap/>
            <w:hideMark/>
          </w:tcPr>
          <w:p w14:paraId="7E4E6B1F"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2835" w:type="dxa"/>
            <w:tcBorders>
              <w:top w:val="single" w:sz="6" w:space="0" w:color="auto"/>
              <w:left w:val="single" w:sz="6" w:space="0" w:color="auto"/>
              <w:bottom w:val="single" w:sz="6" w:space="0" w:color="auto"/>
              <w:right w:val="single" w:sz="6" w:space="0" w:color="auto"/>
            </w:tcBorders>
            <w:noWrap/>
            <w:hideMark/>
          </w:tcPr>
          <w:p w14:paraId="21708B82"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Właściwości</w:t>
            </w:r>
          </w:p>
        </w:tc>
        <w:tc>
          <w:tcPr>
            <w:tcW w:w="993" w:type="dxa"/>
            <w:tcBorders>
              <w:top w:val="single" w:sz="6" w:space="0" w:color="auto"/>
              <w:left w:val="single" w:sz="6" w:space="0" w:color="auto"/>
              <w:bottom w:val="single" w:sz="6" w:space="0" w:color="auto"/>
              <w:right w:val="single" w:sz="6" w:space="0" w:color="auto"/>
            </w:tcBorders>
            <w:noWrap/>
            <w:hideMark/>
          </w:tcPr>
          <w:p w14:paraId="75A4CED1"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Jednostki</w:t>
            </w:r>
          </w:p>
        </w:tc>
        <w:tc>
          <w:tcPr>
            <w:tcW w:w="3132" w:type="dxa"/>
            <w:gridSpan w:val="2"/>
            <w:tcBorders>
              <w:top w:val="single" w:sz="6" w:space="0" w:color="auto"/>
              <w:left w:val="single" w:sz="6" w:space="0" w:color="auto"/>
              <w:bottom w:val="single" w:sz="6" w:space="0" w:color="auto"/>
              <w:right w:val="single" w:sz="6" w:space="0" w:color="auto"/>
            </w:tcBorders>
            <w:noWrap/>
            <w:hideMark/>
          </w:tcPr>
          <w:p w14:paraId="4E9F2AE6"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w:t>
            </w:r>
          </w:p>
        </w:tc>
      </w:tr>
      <w:tr w:rsidR="004D6256" w:rsidRPr="001667DB" w14:paraId="37691018" w14:textId="77777777" w:rsidTr="00B73D7B">
        <w:trPr>
          <w:trHeight w:val="2688"/>
        </w:trPr>
        <w:tc>
          <w:tcPr>
            <w:tcW w:w="567" w:type="dxa"/>
            <w:tcBorders>
              <w:top w:val="single" w:sz="6" w:space="0" w:color="auto"/>
              <w:left w:val="single" w:sz="6" w:space="0" w:color="auto"/>
              <w:bottom w:val="single" w:sz="6" w:space="0" w:color="auto"/>
              <w:right w:val="single" w:sz="6" w:space="0" w:color="auto"/>
            </w:tcBorders>
            <w:noWrap/>
          </w:tcPr>
          <w:p w14:paraId="1737B9B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w:t>
            </w:r>
          </w:p>
          <w:p w14:paraId="4FDD63BF" w14:textId="77777777" w:rsidR="004D6256" w:rsidRPr="001667DB" w:rsidRDefault="004D6256">
            <w:pPr>
              <w:rPr>
                <w:rFonts w:ascii="Times New Roman" w:hAnsi="Times New Roman" w:cs="Times New Roman"/>
                <w:color w:val="000000" w:themeColor="text1"/>
                <w:lang w:val="fr-FR"/>
              </w:rPr>
            </w:pPr>
          </w:p>
          <w:p w14:paraId="7B48794A" w14:textId="77777777" w:rsidR="004D6256" w:rsidRPr="001667DB" w:rsidRDefault="004D6256">
            <w:pPr>
              <w:rPr>
                <w:rFonts w:ascii="Times New Roman" w:hAnsi="Times New Roman" w:cs="Times New Roman"/>
                <w:color w:val="000000" w:themeColor="text1"/>
                <w:lang w:val="fr-FR"/>
              </w:rPr>
            </w:pPr>
          </w:p>
          <w:p w14:paraId="26620318" w14:textId="77777777" w:rsidR="004D6256" w:rsidRPr="001667DB" w:rsidRDefault="004D6256">
            <w:pPr>
              <w:rPr>
                <w:rFonts w:ascii="Times New Roman" w:hAnsi="Times New Roman" w:cs="Times New Roman"/>
                <w:color w:val="000000" w:themeColor="text1"/>
                <w:lang w:val="fr-FR"/>
              </w:rPr>
            </w:pPr>
          </w:p>
          <w:p w14:paraId="191D8943" w14:textId="77777777" w:rsidR="004D6256" w:rsidRPr="001667DB" w:rsidRDefault="004D6256">
            <w:pPr>
              <w:overflowPunct w:val="0"/>
              <w:autoSpaceDE w:val="0"/>
              <w:autoSpaceDN w:val="0"/>
              <w:adjustRightInd w:val="0"/>
              <w:rPr>
                <w:rFonts w:ascii="Times New Roman" w:hAnsi="Times New Roman" w:cs="Times New Roman"/>
                <w:color w:val="000000" w:themeColor="text1"/>
                <w:lang w:val="fr-FR"/>
              </w:rPr>
            </w:pPr>
          </w:p>
        </w:tc>
        <w:tc>
          <w:tcPr>
            <w:tcW w:w="2835" w:type="dxa"/>
            <w:tcBorders>
              <w:top w:val="single" w:sz="6" w:space="0" w:color="auto"/>
              <w:left w:val="single" w:sz="6" w:space="0" w:color="auto"/>
              <w:bottom w:val="single" w:sz="6" w:space="0" w:color="auto"/>
              <w:right w:val="single" w:sz="6" w:space="0" w:color="auto"/>
            </w:tcBorders>
            <w:noWrap/>
            <w:hideMark/>
          </w:tcPr>
          <w:p w14:paraId="1D278524"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Współczynnik odblasku R’ (kąt oświetlenia 5</w:t>
            </w:r>
            <w:r w:rsidRPr="001667DB">
              <w:rPr>
                <w:rFonts w:ascii="Times New Roman" w:hAnsi="Times New Roman" w:cs="Times New Roman"/>
                <w:color w:val="000000" w:themeColor="text1"/>
                <w:sz w:val="22"/>
                <w:szCs w:val="22"/>
                <w:vertAlign w:val="superscript"/>
              </w:rPr>
              <w:t>o</w:t>
            </w:r>
            <w:r w:rsidRPr="001667DB">
              <w:rPr>
                <w:rFonts w:ascii="Times New Roman" w:hAnsi="Times New Roman" w:cs="Times New Roman"/>
                <w:color w:val="000000" w:themeColor="text1"/>
                <w:sz w:val="22"/>
                <w:szCs w:val="22"/>
              </w:rPr>
              <w:t>, kąt obserwacji 0,33</w:t>
            </w:r>
            <w:r w:rsidRPr="001667DB">
              <w:rPr>
                <w:rFonts w:ascii="Times New Roman" w:hAnsi="Times New Roman" w:cs="Times New Roman"/>
                <w:color w:val="000000" w:themeColor="text1"/>
                <w:sz w:val="22"/>
                <w:szCs w:val="22"/>
                <w:vertAlign w:val="superscript"/>
              </w:rPr>
              <w:t>o</w:t>
            </w:r>
            <w:r w:rsidRPr="001667DB">
              <w:rPr>
                <w:rFonts w:ascii="Times New Roman" w:hAnsi="Times New Roman" w:cs="Times New Roman"/>
                <w:color w:val="000000" w:themeColor="text1"/>
                <w:sz w:val="22"/>
                <w:szCs w:val="22"/>
              </w:rPr>
              <w:t>) dla folii:</w:t>
            </w:r>
          </w:p>
          <w:p w14:paraId="102B7997"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białej</w:t>
            </w:r>
          </w:p>
          <w:p w14:paraId="6EE46294"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żółtej</w:t>
            </w:r>
          </w:p>
          <w:p w14:paraId="4AA6C7F8"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czerwonej</w:t>
            </w:r>
          </w:p>
          <w:p w14:paraId="7B5246D6"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zielonej </w:t>
            </w:r>
          </w:p>
          <w:p w14:paraId="1E748677" w14:textId="77777777" w:rsidR="004D6256" w:rsidRPr="001667DB" w:rsidRDefault="004D6256">
            <w:pPr>
              <w:pStyle w:val="Wypunktowanie"/>
              <w:ind w:left="0" w:firstLine="0"/>
              <w:rPr>
                <w:bCs/>
                <w:color w:val="000000" w:themeColor="text1"/>
                <w:sz w:val="22"/>
                <w:szCs w:val="22"/>
              </w:rPr>
            </w:pPr>
            <w:r w:rsidRPr="001667DB">
              <w:rPr>
                <w:bCs/>
                <w:color w:val="000000" w:themeColor="text1"/>
                <w:sz w:val="22"/>
                <w:szCs w:val="22"/>
              </w:rPr>
              <w:t>- niebieskiej</w:t>
            </w:r>
          </w:p>
          <w:p w14:paraId="77574D7B" w14:textId="77777777" w:rsidR="004D6256" w:rsidRPr="001667DB" w:rsidRDefault="004D6256">
            <w:pPr>
              <w:pStyle w:val="Wypunktowanie"/>
              <w:ind w:left="0" w:firstLine="0"/>
              <w:rPr>
                <w:bCs/>
                <w:color w:val="000000" w:themeColor="text1"/>
                <w:sz w:val="22"/>
                <w:szCs w:val="22"/>
              </w:rPr>
            </w:pPr>
            <w:r w:rsidRPr="001667DB">
              <w:rPr>
                <w:bCs/>
                <w:color w:val="000000" w:themeColor="text1"/>
                <w:sz w:val="22"/>
                <w:szCs w:val="22"/>
              </w:rPr>
              <w:t>- brązowej</w:t>
            </w:r>
          </w:p>
          <w:p w14:paraId="6B44681C" w14:textId="77777777" w:rsidR="004D6256" w:rsidRPr="001667DB" w:rsidRDefault="004D6256">
            <w:pPr>
              <w:pStyle w:val="Wypunktowanie"/>
              <w:ind w:left="0" w:firstLine="0"/>
              <w:rPr>
                <w:bCs/>
                <w:color w:val="000000" w:themeColor="text1"/>
                <w:sz w:val="22"/>
                <w:szCs w:val="22"/>
              </w:rPr>
            </w:pPr>
            <w:r w:rsidRPr="001667DB">
              <w:rPr>
                <w:bCs/>
                <w:color w:val="000000" w:themeColor="text1"/>
                <w:sz w:val="22"/>
                <w:szCs w:val="22"/>
              </w:rPr>
              <w:t>- pomarańczowej</w:t>
            </w:r>
          </w:p>
          <w:p w14:paraId="3A5AE0E6" w14:textId="77777777" w:rsidR="004D6256" w:rsidRPr="001667DB" w:rsidRDefault="004D6256">
            <w:pPr>
              <w:pStyle w:val="Wypunktowanie"/>
              <w:ind w:left="0" w:firstLine="0"/>
              <w:rPr>
                <w:bCs/>
                <w:color w:val="000000" w:themeColor="text1"/>
                <w:sz w:val="22"/>
                <w:szCs w:val="22"/>
              </w:rPr>
            </w:pPr>
            <w:r w:rsidRPr="001667DB">
              <w:rPr>
                <w:bCs/>
                <w:color w:val="000000" w:themeColor="text1"/>
                <w:sz w:val="22"/>
                <w:szCs w:val="22"/>
              </w:rPr>
              <w:t>- szarej</w:t>
            </w:r>
          </w:p>
        </w:tc>
        <w:tc>
          <w:tcPr>
            <w:tcW w:w="993" w:type="dxa"/>
            <w:tcBorders>
              <w:top w:val="single" w:sz="6" w:space="0" w:color="auto"/>
              <w:left w:val="single" w:sz="6" w:space="0" w:color="auto"/>
              <w:bottom w:val="single" w:sz="6" w:space="0" w:color="auto"/>
              <w:right w:val="single" w:sz="4" w:space="0" w:color="auto"/>
            </w:tcBorders>
            <w:noWrap/>
            <w:hideMark/>
          </w:tcPr>
          <w:p w14:paraId="4B72B29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cd/m</w:t>
            </w:r>
            <w:r w:rsidRPr="001667DB">
              <w:rPr>
                <w:rFonts w:ascii="Times New Roman" w:hAnsi="Times New Roman" w:cs="Times New Roman"/>
                <w:color w:val="000000" w:themeColor="text1"/>
                <w:sz w:val="22"/>
                <w:szCs w:val="22"/>
                <w:vertAlign w:val="superscript"/>
              </w:rPr>
              <w:t>2</w:t>
            </w:r>
            <w:r w:rsidRPr="001667DB">
              <w:rPr>
                <w:rFonts w:ascii="Times New Roman" w:hAnsi="Times New Roman" w:cs="Times New Roman"/>
                <w:color w:val="000000" w:themeColor="text1"/>
                <w:sz w:val="22"/>
                <w:szCs w:val="22"/>
              </w:rPr>
              <w:t>lx</w:t>
            </w:r>
          </w:p>
        </w:tc>
        <w:tc>
          <w:tcPr>
            <w:tcW w:w="1557" w:type="dxa"/>
            <w:tcBorders>
              <w:top w:val="single" w:sz="4" w:space="0" w:color="auto"/>
              <w:left w:val="single" w:sz="4" w:space="0" w:color="auto"/>
              <w:bottom w:val="single" w:sz="4" w:space="0" w:color="auto"/>
              <w:right w:val="single" w:sz="4" w:space="0" w:color="auto"/>
            </w:tcBorders>
            <w:noWrap/>
          </w:tcPr>
          <w:p w14:paraId="0A3A3F4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typ 1</w:t>
            </w:r>
          </w:p>
          <w:p w14:paraId="779B046C" w14:textId="77777777" w:rsidR="004D6256" w:rsidRPr="001667DB" w:rsidRDefault="004D6256">
            <w:pPr>
              <w:pStyle w:val="Teksttablicy"/>
              <w:rPr>
                <w:rFonts w:ascii="Times New Roman" w:hAnsi="Times New Roman" w:cs="Times New Roman"/>
                <w:color w:val="000000" w:themeColor="text1"/>
                <w:sz w:val="22"/>
                <w:szCs w:val="22"/>
              </w:rPr>
            </w:pPr>
          </w:p>
          <w:p w14:paraId="11059DD2" w14:textId="77777777" w:rsidR="004D6256" w:rsidRPr="001667DB" w:rsidRDefault="004D6256">
            <w:pPr>
              <w:pStyle w:val="Tekstpodstawowy"/>
              <w:rPr>
                <w:color w:val="000000" w:themeColor="text1"/>
                <w:sz w:val="22"/>
                <w:szCs w:val="22"/>
                <w:lang w:val="fr-FR"/>
              </w:rPr>
            </w:pPr>
          </w:p>
          <w:p w14:paraId="1F843B1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50</w:t>
            </w:r>
          </w:p>
          <w:p w14:paraId="2EDA8A0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35</w:t>
            </w:r>
          </w:p>
          <w:p w14:paraId="10ED6D9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10</w:t>
            </w:r>
          </w:p>
          <w:p w14:paraId="7F91B47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7</w:t>
            </w:r>
          </w:p>
          <w:p w14:paraId="13C4E9B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2</w:t>
            </w:r>
          </w:p>
          <w:p w14:paraId="0446B2A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0,6</w:t>
            </w:r>
          </w:p>
          <w:p w14:paraId="27415C3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20</w:t>
            </w:r>
          </w:p>
          <w:p w14:paraId="117C24E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30</w:t>
            </w:r>
          </w:p>
        </w:tc>
        <w:tc>
          <w:tcPr>
            <w:tcW w:w="1575" w:type="dxa"/>
            <w:tcBorders>
              <w:top w:val="single" w:sz="4" w:space="0" w:color="auto"/>
              <w:left w:val="single" w:sz="4" w:space="0" w:color="auto"/>
              <w:bottom w:val="single" w:sz="4" w:space="0" w:color="auto"/>
              <w:right w:val="single" w:sz="4" w:space="0" w:color="auto"/>
            </w:tcBorders>
            <w:noWrap/>
          </w:tcPr>
          <w:p w14:paraId="62A10AE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typ 2</w:t>
            </w:r>
          </w:p>
          <w:p w14:paraId="572C67AE" w14:textId="77777777" w:rsidR="004D6256" w:rsidRPr="001667DB" w:rsidRDefault="004D6256">
            <w:pPr>
              <w:pStyle w:val="Teksttablicy"/>
              <w:rPr>
                <w:rFonts w:ascii="Times New Roman" w:hAnsi="Times New Roman" w:cs="Times New Roman"/>
                <w:color w:val="000000" w:themeColor="text1"/>
                <w:sz w:val="22"/>
                <w:szCs w:val="22"/>
              </w:rPr>
            </w:pPr>
          </w:p>
          <w:p w14:paraId="5D9272A6" w14:textId="77777777" w:rsidR="004D6256" w:rsidRPr="001667DB" w:rsidRDefault="004D6256">
            <w:pPr>
              <w:pStyle w:val="Tekstpodstawowy"/>
              <w:rPr>
                <w:color w:val="000000" w:themeColor="text1"/>
                <w:sz w:val="22"/>
                <w:szCs w:val="22"/>
                <w:lang w:val="fr-FR"/>
              </w:rPr>
            </w:pPr>
          </w:p>
          <w:p w14:paraId="56452E7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180</w:t>
            </w:r>
          </w:p>
          <w:p w14:paraId="37151F44"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120</w:t>
            </w:r>
          </w:p>
          <w:p w14:paraId="405D53D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25</w:t>
            </w:r>
          </w:p>
          <w:p w14:paraId="5766144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21</w:t>
            </w:r>
          </w:p>
          <w:p w14:paraId="0225CCD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14</w:t>
            </w:r>
          </w:p>
          <w:p w14:paraId="7F2FA85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8</w:t>
            </w:r>
          </w:p>
          <w:p w14:paraId="625A352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65</w:t>
            </w:r>
          </w:p>
          <w:p w14:paraId="39B6DDD5" w14:textId="77777777" w:rsidR="004D6256" w:rsidRPr="001667DB" w:rsidRDefault="004D6256">
            <w:pPr>
              <w:pStyle w:val="Tekstpodstawowy"/>
              <w:jc w:val="center"/>
              <w:rPr>
                <w:color w:val="000000" w:themeColor="text1"/>
                <w:sz w:val="22"/>
                <w:szCs w:val="22"/>
                <w:highlight w:val="yellow"/>
              </w:rPr>
            </w:pPr>
            <w:r w:rsidRPr="001667DB">
              <w:rPr>
                <w:color w:val="000000" w:themeColor="text1"/>
                <w:sz w:val="22"/>
                <w:szCs w:val="22"/>
              </w:rPr>
              <w:sym w:font="Symbol" w:char="00B3"/>
            </w:r>
            <w:r w:rsidRPr="001667DB">
              <w:rPr>
                <w:color w:val="000000" w:themeColor="text1"/>
                <w:sz w:val="22"/>
                <w:szCs w:val="22"/>
              </w:rPr>
              <w:t xml:space="preserve">  90</w:t>
            </w:r>
          </w:p>
        </w:tc>
      </w:tr>
      <w:tr w:rsidR="004D6256" w:rsidRPr="001667DB" w14:paraId="0C498F20" w14:textId="77777777" w:rsidTr="00B73D7B">
        <w:tc>
          <w:tcPr>
            <w:tcW w:w="567" w:type="dxa"/>
            <w:tcBorders>
              <w:top w:val="single" w:sz="6" w:space="0" w:color="auto"/>
              <w:left w:val="single" w:sz="6" w:space="0" w:color="auto"/>
              <w:bottom w:val="single" w:sz="6" w:space="0" w:color="auto"/>
              <w:right w:val="single" w:sz="6" w:space="0" w:color="auto"/>
            </w:tcBorders>
            <w:noWrap/>
            <w:hideMark/>
          </w:tcPr>
          <w:p w14:paraId="549B28C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2</w:t>
            </w:r>
          </w:p>
        </w:tc>
        <w:tc>
          <w:tcPr>
            <w:tcW w:w="2835" w:type="dxa"/>
            <w:tcBorders>
              <w:top w:val="single" w:sz="6" w:space="0" w:color="auto"/>
              <w:left w:val="single" w:sz="6" w:space="0" w:color="auto"/>
              <w:bottom w:val="single" w:sz="6" w:space="0" w:color="auto"/>
              <w:right w:val="single" w:sz="6" w:space="0" w:color="auto"/>
            </w:tcBorders>
            <w:noWrap/>
            <w:hideMark/>
          </w:tcPr>
          <w:p w14:paraId="5F78661C"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Współczynnik luminancji </w:t>
            </w: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i współrzędne chromatyczności x, y *) dla folii:</w:t>
            </w:r>
          </w:p>
          <w:p w14:paraId="28F217C4"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białej</w:t>
            </w:r>
          </w:p>
          <w:p w14:paraId="6A867AA4"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żółtej</w:t>
            </w:r>
          </w:p>
          <w:p w14:paraId="441BC782"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czerwonej</w:t>
            </w:r>
          </w:p>
          <w:p w14:paraId="78C1AF93"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 zielonej </w:t>
            </w:r>
          </w:p>
          <w:p w14:paraId="39798314" w14:textId="77777777" w:rsidR="004D6256" w:rsidRPr="001667DB" w:rsidRDefault="004D6256">
            <w:pPr>
              <w:pStyle w:val="Teksttablicy"/>
              <w:jc w:val="both"/>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niebieskiej</w:t>
            </w:r>
          </w:p>
          <w:p w14:paraId="05A666AB" w14:textId="77777777" w:rsidR="004D6256" w:rsidRPr="001667DB" w:rsidRDefault="004D6256">
            <w:pPr>
              <w:pStyle w:val="Wypunktowanie"/>
              <w:rPr>
                <w:color w:val="000000" w:themeColor="text1"/>
                <w:sz w:val="22"/>
                <w:szCs w:val="22"/>
              </w:rPr>
            </w:pPr>
            <w:r w:rsidRPr="001667DB">
              <w:rPr>
                <w:color w:val="000000" w:themeColor="text1"/>
                <w:sz w:val="22"/>
                <w:szCs w:val="22"/>
              </w:rPr>
              <w:t>- brązowej</w:t>
            </w:r>
          </w:p>
          <w:p w14:paraId="5BBD5DC6" w14:textId="77777777" w:rsidR="004D6256" w:rsidRPr="001667DB" w:rsidRDefault="004D6256">
            <w:pPr>
              <w:pStyle w:val="Wypunktowanie"/>
              <w:rPr>
                <w:color w:val="000000" w:themeColor="text1"/>
                <w:sz w:val="22"/>
                <w:szCs w:val="22"/>
              </w:rPr>
            </w:pPr>
            <w:r w:rsidRPr="001667DB">
              <w:rPr>
                <w:color w:val="000000" w:themeColor="text1"/>
                <w:sz w:val="22"/>
                <w:szCs w:val="22"/>
              </w:rPr>
              <w:t>- pomarańczowej</w:t>
            </w:r>
          </w:p>
          <w:p w14:paraId="0AC362DA" w14:textId="77777777" w:rsidR="004D6256" w:rsidRPr="001667DB" w:rsidRDefault="004D6256">
            <w:pPr>
              <w:pStyle w:val="Wypunktowanie"/>
              <w:rPr>
                <w:color w:val="000000" w:themeColor="text1"/>
                <w:sz w:val="22"/>
                <w:szCs w:val="22"/>
              </w:rPr>
            </w:pPr>
            <w:r w:rsidRPr="001667DB">
              <w:rPr>
                <w:color w:val="000000" w:themeColor="text1"/>
                <w:sz w:val="22"/>
                <w:szCs w:val="22"/>
              </w:rPr>
              <w:t>- szarej</w:t>
            </w:r>
          </w:p>
        </w:tc>
        <w:tc>
          <w:tcPr>
            <w:tcW w:w="993" w:type="dxa"/>
            <w:tcBorders>
              <w:top w:val="single" w:sz="6" w:space="0" w:color="auto"/>
              <w:left w:val="single" w:sz="6" w:space="0" w:color="auto"/>
              <w:bottom w:val="single" w:sz="6" w:space="0" w:color="auto"/>
              <w:right w:val="single" w:sz="4" w:space="0" w:color="auto"/>
            </w:tcBorders>
            <w:noWrap/>
            <w:hideMark/>
          </w:tcPr>
          <w:p w14:paraId="04B40A9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t>
            </w:r>
          </w:p>
        </w:tc>
        <w:tc>
          <w:tcPr>
            <w:tcW w:w="1557" w:type="dxa"/>
            <w:tcBorders>
              <w:top w:val="single" w:sz="4" w:space="0" w:color="auto"/>
              <w:left w:val="single" w:sz="4" w:space="0" w:color="auto"/>
              <w:bottom w:val="single" w:sz="4" w:space="0" w:color="auto"/>
              <w:right w:val="single" w:sz="4" w:space="0" w:color="auto"/>
            </w:tcBorders>
            <w:noWrap/>
          </w:tcPr>
          <w:p w14:paraId="0A06B14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typ 1</w:t>
            </w:r>
          </w:p>
          <w:p w14:paraId="3DCAA3CA" w14:textId="77777777" w:rsidR="004D6256" w:rsidRPr="001667DB" w:rsidRDefault="004D6256">
            <w:pPr>
              <w:pStyle w:val="Teksttablicy"/>
              <w:rPr>
                <w:rFonts w:ascii="Times New Roman" w:hAnsi="Times New Roman" w:cs="Times New Roman"/>
                <w:color w:val="000000" w:themeColor="text1"/>
                <w:sz w:val="22"/>
                <w:szCs w:val="22"/>
              </w:rPr>
            </w:pPr>
          </w:p>
          <w:p w14:paraId="21FA576C" w14:textId="77777777" w:rsidR="004D6256" w:rsidRPr="001667DB" w:rsidRDefault="004D6256">
            <w:pPr>
              <w:pStyle w:val="Teksttablicy"/>
              <w:rPr>
                <w:rFonts w:ascii="Times New Roman" w:hAnsi="Times New Roman" w:cs="Times New Roman"/>
                <w:color w:val="000000" w:themeColor="text1"/>
                <w:sz w:val="22"/>
                <w:szCs w:val="22"/>
              </w:rPr>
            </w:pPr>
          </w:p>
          <w:p w14:paraId="1BF8985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0,35</w:t>
            </w:r>
          </w:p>
          <w:p w14:paraId="2AF7F2E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0,27</w:t>
            </w:r>
          </w:p>
          <w:p w14:paraId="052D75F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0,05</w:t>
            </w:r>
          </w:p>
          <w:p w14:paraId="3C13182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0,04</w:t>
            </w:r>
          </w:p>
          <w:p w14:paraId="4391D24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0,01</w:t>
            </w:r>
          </w:p>
          <w:p w14:paraId="4C3CC648"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t xml:space="preserve">0,09 </w:t>
            </w:r>
            <w:r w:rsidRPr="001667DB">
              <w:rPr>
                <w:color w:val="000000" w:themeColor="text1"/>
                <w:sz w:val="22"/>
                <w:szCs w:val="22"/>
              </w:rPr>
              <w:sym w:font="Symbol" w:char="00B3"/>
            </w: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0,03</w:t>
            </w:r>
          </w:p>
          <w:p w14:paraId="528FA5DA"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0,17</w:t>
            </w:r>
          </w:p>
          <w:p w14:paraId="6BDA7309"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lastRenderedPageBreak/>
              <w:t xml:space="preserve">0,18 </w:t>
            </w:r>
            <w:r w:rsidRPr="001667DB">
              <w:rPr>
                <w:color w:val="000000" w:themeColor="text1"/>
                <w:sz w:val="22"/>
                <w:szCs w:val="22"/>
              </w:rPr>
              <w:sym w:font="Symbol" w:char="00B3"/>
            </w: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0,12</w:t>
            </w:r>
          </w:p>
        </w:tc>
        <w:tc>
          <w:tcPr>
            <w:tcW w:w="1575" w:type="dxa"/>
            <w:tcBorders>
              <w:top w:val="single" w:sz="4" w:space="0" w:color="auto"/>
              <w:left w:val="single" w:sz="4" w:space="0" w:color="auto"/>
              <w:bottom w:val="single" w:sz="4" w:space="0" w:color="auto"/>
              <w:right w:val="single" w:sz="4" w:space="0" w:color="auto"/>
            </w:tcBorders>
            <w:noWrap/>
          </w:tcPr>
          <w:p w14:paraId="367C0E1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lastRenderedPageBreak/>
              <w:t>typ 2</w:t>
            </w:r>
          </w:p>
          <w:p w14:paraId="50365377" w14:textId="77777777" w:rsidR="004D6256" w:rsidRPr="001667DB" w:rsidRDefault="004D6256">
            <w:pPr>
              <w:pStyle w:val="Tekstpodstawowy"/>
              <w:rPr>
                <w:color w:val="000000" w:themeColor="text1"/>
                <w:sz w:val="22"/>
                <w:szCs w:val="22"/>
              </w:rPr>
            </w:pPr>
          </w:p>
          <w:p w14:paraId="4F2CC968" w14:textId="77777777" w:rsidR="004D6256" w:rsidRPr="001667DB" w:rsidRDefault="004D6256">
            <w:pPr>
              <w:pStyle w:val="Tekstpodstawowy"/>
              <w:rPr>
                <w:color w:val="000000" w:themeColor="text1"/>
                <w:sz w:val="22"/>
                <w:szCs w:val="22"/>
              </w:rPr>
            </w:pPr>
          </w:p>
          <w:p w14:paraId="0437781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0,27</w:t>
            </w:r>
          </w:p>
          <w:p w14:paraId="5F06037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0,16</w:t>
            </w:r>
          </w:p>
          <w:p w14:paraId="04C087B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0,03</w:t>
            </w:r>
          </w:p>
          <w:p w14:paraId="6922240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sym w:font="Symbol" w:char="0062"/>
            </w:r>
            <w:r w:rsidRPr="001667DB">
              <w:rPr>
                <w:rFonts w:ascii="Times New Roman" w:hAnsi="Times New Roman" w:cs="Times New Roman"/>
                <w:color w:val="000000" w:themeColor="text1"/>
                <w:sz w:val="22"/>
                <w:szCs w:val="22"/>
              </w:rPr>
              <w:t xml:space="preserve"> </w:t>
            </w:r>
            <w:r w:rsidRPr="001667DB">
              <w:rPr>
                <w:rFonts w:ascii="Times New Roman" w:hAnsi="Times New Roman" w:cs="Times New Roman"/>
                <w:color w:val="000000" w:themeColor="text1"/>
                <w:sz w:val="22"/>
                <w:szCs w:val="22"/>
              </w:rPr>
              <w:sym w:font="Symbol" w:char="00B3"/>
            </w:r>
            <w:r w:rsidRPr="001667DB">
              <w:rPr>
                <w:rFonts w:ascii="Times New Roman" w:hAnsi="Times New Roman" w:cs="Times New Roman"/>
                <w:color w:val="000000" w:themeColor="text1"/>
                <w:sz w:val="22"/>
                <w:szCs w:val="22"/>
              </w:rPr>
              <w:t xml:space="preserve"> 0,03</w:t>
            </w:r>
          </w:p>
          <w:p w14:paraId="5DCD307B"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0,01</w:t>
            </w:r>
          </w:p>
          <w:p w14:paraId="23C9B5E7"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lastRenderedPageBreak/>
              <w:t xml:space="preserve">0,09 </w:t>
            </w:r>
            <w:r w:rsidRPr="001667DB">
              <w:rPr>
                <w:color w:val="000000" w:themeColor="text1"/>
                <w:sz w:val="22"/>
                <w:szCs w:val="22"/>
              </w:rPr>
              <w:sym w:font="Symbol" w:char="00B3"/>
            </w: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0,03</w:t>
            </w:r>
          </w:p>
          <w:p w14:paraId="0C5422E2"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0,14</w:t>
            </w:r>
          </w:p>
          <w:p w14:paraId="12CAE1EA" w14:textId="77777777" w:rsidR="004D6256" w:rsidRPr="001667DB" w:rsidRDefault="004D6256">
            <w:pPr>
              <w:pStyle w:val="Tekstpodstawowy"/>
              <w:jc w:val="center"/>
              <w:rPr>
                <w:color w:val="000000" w:themeColor="text1"/>
                <w:sz w:val="22"/>
                <w:szCs w:val="22"/>
              </w:rPr>
            </w:pPr>
            <w:r w:rsidRPr="001667DB">
              <w:rPr>
                <w:color w:val="000000" w:themeColor="text1"/>
                <w:sz w:val="22"/>
                <w:szCs w:val="22"/>
              </w:rPr>
              <w:t xml:space="preserve">0,18 </w:t>
            </w:r>
            <w:r w:rsidRPr="001667DB">
              <w:rPr>
                <w:color w:val="000000" w:themeColor="text1"/>
                <w:sz w:val="22"/>
                <w:szCs w:val="22"/>
              </w:rPr>
              <w:sym w:font="Symbol" w:char="00B3"/>
            </w:r>
            <w:r w:rsidRPr="001667DB">
              <w:rPr>
                <w:color w:val="000000" w:themeColor="text1"/>
                <w:sz w:val="22"/>
                <w:szCs w:val="22"/>
              </w:rPr>
              <w:sym w:font="Symbol" w:char="0062"/>
            </w:r>
            <w:r w:rsidRPr="001667DB">
              <w:rPr>
                <w:color w:val="000000" w:themeColor="text1"/>
                <w:sz w:val="22"/>
                <w:szCs w:val="22"/>
              </w:rPr>
              <w:t xml:space="preserve"> </w:t>
            </w:r>
            <w:r w:rsidRPr="001667DB">
              <w:rPr>
                <w:color w:val="000000" w:themeColor="text1"/>
                <w:sz w:val="22"/>
                <w:szCs w:val="22"/>
              </w:rPr>
              <w:sym w:font="Symbol" w:char="00B3"/>
            </w:r>
            <w:r w:rsidRPr="001667DB">
              <w:rPr>
                <w:color w:val="000000" w:themeColor="text1"/>
                <w:sz w:val="22"/>
                <w:szCs w:val="22"/>
              </w:rPr>
              <w:t xml:space="preserve"> 0,12</w:t>
            </w:r>
          </w:p>
        </w:tc>
      </w:tr>
      <w:tr w:rsidR="004D6256" w:rsidRPr="001667DB" w14:paraId="2DB70B56" w14:textId="77777777" w:rsidTr="00B73D7B">
        <w:tc>
          <w:tcPr>
            <w:tcW w:w="7527" w:type="dxa"/>
            <w:gridSpan w:val="5"/>
            <w:tcBorders>
              <w:top w:val="single" w:sz="6" w:space="0" w:color="auto"/>
              <w:left w:val="single" w:sz="6" w:space="0" w:color="auto"/>
              <w:bottom w:val="single" w:sz="6" w:space="0" w:color="auto"/>
              <w:right w:val="single" w:sz="4" w:space="0" w:color="auto"/>
            </w:tcBorders>
            <w:noWrap/>
            <w:hideMark/>
          </w:tcPr>
          <w:p w14:paraId="7D046C2E" w14:textId="77777777" w:rsidR="004D6256" w:rsidRPr="001667DB" w:rsidRDefault="004D6256">
            <w:pPr>
              <w:pStyle w:val="Teksttablicy"/>
              <w:jc w:val="left"/>
              <w:rPr>
                <w:rFonts w:ascii="Times New Roman" w:hAnsi="Times New Roman" w:cs="Times New Roman"/>
                <w:color w:val="000000" w:themeColor="text1"/>
                <w:sz w:val="22"/>
                <w:szCs w:val="22"/>
                <w:lang w:val="pl-PL"/>
              </w:rPr>
            </w:pPr>
            <w:r w:rsidRPr="001667DB">
              <w:rPr>
                <w:rFonts w:ascii="Times New Roman" w:hAnsi="Times New Roman" w:cs="Times New Roman"/>
                <w:bCs w:val="0"/>
                <w:color w:val="000000" w:themeColor="text1"/>
                <w:sz w:val="22"/>
                <w:szCs w:val="22"/>
              </w:rPr>
              <w:lastRenderedPageBreak/>
              <w:t>*) współrzędne chromatyczności x, y w polu barw według tablicy 3</w:t>
            </w:r>
          </w:p>
        </w:tc>
      </w:tr>
    </w:tbl>
    <w:p w14:paraId="623AA800" w14:textId="77777777" w:rsidR="004D6256" w:rsidRPr="001667DB" w:rsidRDefault="004D6256" w:rsidP="00B73D7B">
      <w:pPr>
        <w:pStyle w:val="Tablica"/>
        <w:spacing w:before="240"/>
        <w:jc w:val="both"/>
        <w:rPr>
          <w:b w:val="0"/>
          <w:bCs/>
          <w:color w:val="000000" w:themeColor="text1"/>
          <w:sz w:val="22"/>
          <w:szCs w:val="22"/>
        </w:rPr>
      </w:pPr>
      <w:r w:rsidRPr="001667DB">
        <w:rPr>
          <w:b w:val="0"/>
          <w:bCs/>
          <w:color w:val="000000" w:themeColor="text1"/>
          <w:sz w:val="22"/>
          <w:szCs w:val="22"/>
        </w:rPr>
        <w:t>Tablica 3. Współrzędne punktów narożnych wyznaczających pola barw</w:t>
      </w:r>
    </w:p>
    <w:tbl>
      <w:tblPr>
        <w:tblW w:w="730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913"/>
        <w:gridCol w:w="851"/>
        <w:gridCol w:w="1134"/>
        <w:gridCol w:w="1134"/>
        <w:gridCol w:w="1134"/>
        <w:gridCol w:w="1134"/>
      </w:tblGrid>
      <w:tr w:rsidR="004D6256" w:rsidRPr="001667DB" w14:paraId="3E59DF69" w14:textId="77777777" w:rsidTr="00B73D7B">
        <w:trPr>
          <w:cantSplit/>
          <w:trHeight w:val="528"/>
          <w:tblHeader/>
        </w:trPr>
        <w:tc>
          <w:tcPr>
            <w:tcW w:w="2764" w:type="dxa"/>
            <w:gridSpan w:val="2"/>
            <w:vMerge w:val="restart"/>
            <w:tcBorders>
              <w:top w:val="single" w:sz="4" w:space="0" w:color="auto"/>
              <w:left w:val="single" w:sz="4" w:space="0" w:color="auto"/>
              <w:bottom w:val="single" w:sz="4" w:space="0" w:color="auto"/>
              <w:right w:val="single" w:sz="4" w:space="0" w:color="auto"/>
            </w:tcBorders>
            <w:noWrap/>
          </w:tcPr>
          <w:p w14:paraId="7F4BE5F5" w14:textId="77777777" w:rsidR="004D6256" w:rsidRPr="001667DB" w:rsidRDefault="004D6256">
            <w:pPr>
              <w:pStyle w:val="Teksttablicy"/>
              <w:rPr>
                <w:rFonts w:ascii="Times New Roman" w:hAnsi="Times New Roman" w:cs="Times New Roman"/>
                <w:color w:val="000000" w:themeColor="text1"/>
                <w:sz w:val="22"/>
                <w:szCs w:val="22"/>
              </w:rPr>
            </w:pPr>
          </w:p>
          <w:p w14:paraId="1DC1DFA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Barwa folii</w:t>
            </w:r>
          </w:p>
        </w:tc>
        <w:tc>
          <w:tcPr>
            <w:tcW w:w="4536" w:type="dxa"/>
            <w:gridSpan w:val="4"/>
            <w:tcBorders>
              <w:top w:val="single" w:sz="4" w:space="0" w:color="auto"/>
              <w:left w:val="single" w:sz="4" w:space="0" w:color="auto"/>
              <w:bottom w:val="single" w:sz="4" w:space="0" w:color="auto"/>
              <w:right w:val="single" w:sz="4" w:space="0" w:color="auto"/>
            </w:tcBorders>
            <w:noWrap/>
            <w:hideMark/>
          </w:tcPr>
          <w:p w14:paraId="31AE59BF"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Współrzędne chromatyczności punktów narożnych wyznaczających pole barwy</w:t>
            </w:r>
          </w:p>
          <w:p w14:paraId="08B5B7D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(źródło światła D</w:t>
            </w:r>
            <w:r w:rsidRPr="001667DB">
              <w:rPr>
                <w:rFonts w:ascii="Times New Roman" w:hAnsi="Times New Roman" w:cs="Times New Roman"/>
                <w:color w:val="000000" w:themeColor="text1"/>
                <w:sz w:val="22"/>
                <w:szCs w:val="22"/>
                <w:vertAlign w:val="subscript"/>
              </w:rPr>
              <w:t>65</w:t>
            </w:r>
            <w:r w:rsidRPr="001667DB">
              <w:rPr>
                <w:rFonts w:ascii="Times New Roman" w:hAnsi="Times New Roman" w:cs="Times New Roman"/>
                <w:color w:val="000000" w:themeColor="text1"/>
                <w:sz w:val="22"/>
                <w:szCs w:val="22"/>
              </w:rPr>
              <w:t>, geometria pomiaru 45/0 </w:t>
            </w:r>
            <w:r w:rsidRPr="001667DB">
              <w:rPr>
                <w:rFonts w:ascii="Times New Roman" w:hAnsi="Times New Roman" w:cs="Times New Roman"/>
                <w:color w:val="000000" w:themeColor="text1"/>
                <w:sz w:val="22"/>
                <w:szCs w:val="22"/>
                <w:vertAlign w:val="superscript"/>
              </w:rPr>
              <w:t>o</w:t>
            </w:r>
            <w:r w:rsidRPr="001667DB">
              <w:rPr>
                <w:rFonts w:ascii="Times New Roman" w:hAnsi="Times New Roman" w:cs="Times New Roman"/>
                <w:color w:val="000000" w:themeColor="text1"/>
                <w:sz w:val="22"/>
                <w:szCs w:val="22"/>
              </w:rPr>
              <w:t xml:space="preserve">)  </w:t>
            </w:r>
          </w:p>
        </w:tc>
      </w:tr>
      <w:tr w:rsidR="004D6256" w:rsidRPr="001667DB" w14:paraId="6731E606" w14:textId="77777777" w:rsidTr="00B73D7B">
        <w:trPr>
          <w:cantSplit/>
          <w:trHeight w:val="194"/>
          <w:tblHead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DC9D1B" w14:textId="77777777" w:rsidR="004D6256" w:rsidRPr="001667DB" w:rsidRDefault="004D6256">
            <w:pPr>
              <w:rPr>
                <w:rFonts w:ascii="Times New Roman" w:hAnsi="Times New Roman" w:cs="Times New Roman"/>
                <w:bCs/>
                <w:color w:val="000000" w:themeColor="text1"/>
                <w:lang w:val="fr-FR"/>
              </w:rPr>
            </w:pPr>
          </w:p>
        </w:tc>
        <w:tc>
          <w:tcPr>
            <w:tcW w:w="1134" w:type="dxa"/>
            <w:tcBorders>
              <w:top w:val="single" w:sz="4" w:space="0" w:color="auto"/>
              <w:left w:val="single" w:sz="4" w:space="0" w:color="auto"/>
              <w:bottom w:val="single" w:sz="4" w:space="0" w:color="auto"/>
              <w:right w:val="single" w:sz="4" w:space="0" w:color="auto"/>
            </w:tcBorders>
            <w:noWrap/>
            <w:hideMark/>
          </w:tcPr>
          <w:p w14:paraId="6283E61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1</w:t>
            </w:r>
          </w:p>
        </w:tc>
        <w:tc>
          <w:tcPr>
            <w:tcW w:w="1134" w:type="dxa"/>
            <w:tcBorders>
              <w:top w:val="single" w:sz="4" w:space="0" w:color="auto"/>
              <w:left w:val="single" w:sz="4" w:space="0" w:color="auto"/>
              <w:bottom w:val="single" w:sz="4" w:space="0" w:color="auto"/>
              <w:right w:val="single" w:sz="4" w:space="0" w:color="auto"/>
            </w:tcBorders>
            <w:noWrap/>
            <w:hideMark/>
          </w:tcPr>
          <w:p w14:paraId="791F76B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2</w:t>
            </w:r>
          </w:p>
        </w:tc>
        <w:tc>
          <w:tcPr>
            <w:tcW w:w="1134" w:type="dxa"/>
            <w:tcBorders>
              <w:top w:val="single" w:sz="4" w:space="0" w:color="auto"/>
              <w:left w:val="single" w:sz="4" w:space="0" w:color="auto"/>
              <w:bottom w:val="single" w:sz="4" w:space="0" w:color="auto"/>
              <w:right w:val="single" w:sz="4" w:space="0" w:color="auto"/>
            </w:tcBorders>
            <w:noWrap/>
            <w:hideMark/>
          </w:tcPr>
          <w:p w14:paraId="471A53A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3</w:t>
            </w:r>
          </w:p>
        </w:tc>
        <w:tc>
          <w:tcPr>
            <w:tcW w:w="1134" w:type="dxa"/>
            <w:tcBorders>
              <w:top w:val="single" w:sz="4" w:space="0" w:color="auto"/>
              <w:left w:val="single" w:sz="4" w:space="0" w:color="auto"/>
              <w:bottom w:val="single" w:sz="4" w:space="0" w:color="auto"/>
              <w:right w:val="single" w:sz="4" w:space="0" w:color="auto"/>
            </w:tcBorders>
            <w:noWrap/>
            <w:hideMark/>
          </w:tcPr>
          <w:p w14:paraId="5808DDC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4</w:t>
            </w:r>
          </w:p>
        </w:tc>
      </w:tr>
      <w:tr w:rsidR="004D6256" w:rsidRPr="001667DB" w14:paraId="15FEEA1C" w14:textId="77777777" w:rsidTr="00B73D7B">
        <w:trPr>
          <w:cantSplit/>
          <w:trHeight w:val="270"/>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00526B3F"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Biała</w:t>
            </w:r>
          </w:p>
        </w:tc>
        <w:tc>
          <w:tcPr>
            <w:tcW w:w="851" w:type="dxa"/>
            <w:tcBorders>
              <w:top w:val="single" w:sz="4" w:space="0" w:color="auto"/>
              <w:left w:val="single" w:sz="4" w:space="0" w:color="auto"/>
              <w:bottom w:val="single" w:sz="4" w:space="0" w:color="auto"/>
              <w:right w:val="single" w:sz="4" w:space="0" w:color="auto"/>
            </w:tcBorders>
            <w:noWrap/>
            <w:hideMark/>
          </w:tcPr>
          <w:p w14:paraId="74E8F50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280DD12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0,355</w:t>
            </w:r>
          </w:p>
        </w:tc>
        <w:tc>
          <w:tcPr>
            <w:tcW w:w="1134" w:type="dxa"/>
            <w:tcBorders>
              <w:top w:val="single" w:sz="4" w:space="0" w:color="auto"/>
              <w:left w:val="single" w:sz="4" w:space="0" w:color="auto"/>
              <w:bottom w:val="single" w:sz="4" w:space="0" w:color="auto"/>
              <w:right w:val="single" w:sz="4" w:space="0" w:color="auto"/>
            </w:tcBorders>
            <w:noWrap/>
            <w:hideMark/>
          </w:tcPr>
          <w:p w14:paraId="351DE73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0,305</w:t>
            </w:r>
          </w:p>
        </w:tc>
        <w:tc>
          <w:tcPr>
            <w:tcW w:w="1134" w:type="dxa"/>
            <w:tcBorders>
              <w:top w:val="single" w:sz="4" w:space="0" w:color="auto"/>
              <w:left w:val="single" w:sz="4" w:space="0" w:color="auto"/>
              <w:bottom w:val="single" w:sz="4" w:space="0" w:color="auto"/>
              <w:right w:val="single" w:sz="4" w:space="0" w:color="auto"/>
            </w:tcBorders>
            <w:noWrap/>
            <w:hideMark/>
          </w:tcPr>
          <w:p w14:paraId="573CE4B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0,285</w:t>
            </w:r>
          </w:p>
        </w:tc>
        <w:tc>
          <w:tcPr>
            <w:tcW w:w="1134" w:type="dxa"/>
            <w:tcBorders>
              <w:top w:val="single" w:sz="4" w:space="0" w:color="auto"/>
              <w:left w:val="single" w:sz="4" w:space="0" w:color="auto"/>
              <w:bottom w:val="single" w:sz="4" w:space="0" w:color="auto"/>
              <w:right w:val="single" w:sz="4" w:space="0" w:color="auto"/>
            </w:tcBorders>
            <w:noWrap/>
            <w:hideMark/>
          </w:tcPr>
          <w:p w14:paraId="561F9E0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0,335</w:t>
            </w:r>
          </w:p>
        </w:tc>
      </w:tr>
      <w:tr w:rsidR="004D6256" w:rsidRPr="001667DB" w14:paraId="64BF2F77" w14:textId="77777777" w:rsidTr="00B73D7B">
        <w:trPr>
          <w:cantSplit/>
          <w:trHeight w:val="2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67ED0A"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00FD93A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1B16C47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0,355</w:t>
            </w:r>
          </w:p>
        </w:tc>
        <w:tc>
          <w:tcPr>
            <w:tcW w:w="1134" w:type="dxa"/>
            <w:tcBorders>
              <w:top w:val="single" w:sz="4" w:space="0" w:color="auto"/>
              <w:left w:val="single" w:sz="4" w:space="0" w:color="auto"/>
              <w:bottom w:val="single" w:sz="4" w:space="0" w:color="auto"/>
              <w:right w:val="single" w:sz="4" w:space="0" w:color="auto"/>
            </w:tcBorders>
            <w:noWrap/>
            <w:hideMark/>
          </w:tcPr>
          <w:p w14:paraId="537CC02F"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0,305</w:t>
            </w:r>
          </w:p>
        </w:tc>
        <w:tc>
          <w:tcPr>
            <w:tcW w:w="1134" w:type="dxa"/>
            <w:tcBorders>
              <w:top w:val="single" w:sz="4" w:space="0" w:color="auto"/>
              <w:left w:val="single" w:sz="4" w:space="0" w:color="auto"/>
              <w:bottom w:val="single" w:sz="4" w:space="0" w:color="auto"/>
              <w:right w:val="single" w:sz="4" w:space="0" w:color="auto"/>
            </w:tcBorders>
            <w:noWrap/>
            <w:hideMark/>
          </w:tcPr>
          <w:p w14:paraId="73E5A91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0,325</w:t>
            </w:r>
          </w:p>
        </w:tc>
        <w:tc>
          <w:tcPr>
            <w:tcW w:w="1134" w:type="dxa"/>
            <w:tcBorders>
              <w:top w:val="single" w:sz="4" w:space="0" w:color="auto"/>
              <w:left w:val="single" w:sz="4" w:space="0" w:color="auto"/>
              <w:bottom w:val="single" w:sz="4" w:space="0" w:color="auto"/>
              <w:right w:val="single" w:sz="4" w:space="0" w:color="auto"/>
            </w:tcBorders>
            <w:noWrap/>
            <w:hideMark/>
          </w:tcPr>
          <w:p w14:paraId="4C93FF8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0,375</w:t>
            </w:r>
          </w:p>
        </w:tc>
      </w:tr>
      <w:tr w:rsidR="004D6256" w:rsidRPr="001667DB" w14:paraId="110E124C" w14:textId="77777777" w:rsidTr="00B73D7B">
        <w:trPr>
          <w:cantSplit/>
          <w:trHeight w:val="214"/>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158CDC5F"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Żółta typ 1 folii</w:t>
            </w:r>
          </w:p>
        </w:tc>
        <w:tc>
          <w:tcPr>
            <w:tcW w:w="851" w:type="dxa"/>
            <w:tcBorders>
              <w:top w:val="single" w:sz="4" w:space="0" w:color="auto"/>
              <w:left w:val="single" w:sz="4" w:space="0" w:color="auto"/>
              <w:bottom w:val="single" w:sz="4" w:space="0" w:color="auto"/>
              <w:right w:val="single" w:sz="4" w:space="0" w:color="auto"/>
            </w:tcBorders>
            <w:noWrap/>
            <w:hideMark/>
          </w:tcPr>
          <w:p w14:paraId="57EEF0D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049966A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0,522</w:t>
            </w:r>
          </w:p>
        </w:tc>
        <w:tc>
          <w:tcPr>
            <w:tcW w:w="1134" w:type="dxa"/>
            <w:tcBorders>
              <w:top w:val="single" w:sz="4" w:space="0" w:color="auto"/>
              <w:left w:val="single" w:sz="4" w:space="0" w:color="auto"/>
              <w:bottom w:val="single" w:sz="4" w:space="0" w:color="auto"/>
              <w:right w:val="single" w:sz="4" w:space="0" w:color="auto"/>
            </w:tcBorders>
            <w:noWrap/>
            <w:hideMark/>
          </w:tcPr>
          <w:p w14:paraId="0C030D2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0,470</w:t>
            </w:r>
          </w:p>
        </w:tc>
        <w:tc>
          <w:tcPr>
            <w:tcW w:w="1134" w:type="dxa"/>
            <w:tcBorders>
              <w:top w:val="single" w:sz="4" w:space="0" w:color="auto"/>
              <w:left w:val="single" w:sz="4" w:space="0" w:color="auto"/>
              <w:bottom w:val="single" w:sz="4" w:space="0" w:color="auto"/>
              <w:right w:val="single" w:sz="4" w:space="0" w:color="auto"/>
            </w:tcBorders>
            <w:noWrap/>
            <w:hideMark/>
          </w:tcPr>
          <w:p w14:paraId="6C1B47E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0,427</w:t>
            </w:r>
          </w:p>
        </w:tc>
        <w:tc>
          <w:tcPr>
            <w:tcW w:w="1134" w:type="dxa"/>
            <w:tcBorders>
              <w:top w:val="single" w:sz="4" w:space="0" w:color="auto"/>
              <w:left w:val="single" w:sz="4" w:space="0" w:color="auto"/>
              <w:bottom w:val="single" w:sz="4" w:space="0" w:color="auto"/>
              <w:right w:val="single" w:sz="4" w:space="0" w:color="auto"/>
            </w:tcBorders>
            <w:noWrap/>
            <w:hideMark/>
          </w:tcPr>
          <w:p w14:paraId="6DA293D4"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0,465</w:t>
            </w:r>
          </w:p>
        </w:tc>
      </w:tr>
      <w:tr w:rsidR="004D6256" w:rsidRPr="001667DB" w14:paraId="3BA41EC3" w14:textId="77777777" w:rsidTr="00B73D7B">
        <w:trPr>
          <w:cantSplit/>
          <w:trHeight w:val="28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09ED6"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3B3A5E8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4949DC6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0,477</w:t>
            </w:r>
          </w:p>
        </w:tc>
        <w:tc>
          <w:tcPr>
            <w:tcW w:w="1134" w:type="dxa"/>
            <w:tcBorders>
              <w:top w:val="single" w:sz="4" w:space="0" w:color="auto"/>
              <w:left w:val="single" w:sz="4" w:space="0" w:color="auto"/>
              <w:bottom w:val="single" w:sz="4" w:space="0" w:color="auto"/>
              <w:right w:val="single" w:sz="4" w:space="0" w:color="auto"/>
            </w:tcBorders>
            <w:noWrap/>
            <w:hideMark/>
          </w:tcPr>
          <w:p w14:paraId="319A2AF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0,440</w:t>
            </w:r>
          </w:p>
        </w:tc>
        <w:tc>
          <w:tcPr>
            <w:tcW w:w="1134" w:type="dxa"/>
            <w:tcBorders>
              <w:top w:val="single" w:sz="4" w:space="0" w:color="auto"/>
              <w:left w:val="single" w:sz="4" w:space="0" w:color="auto"/>
              <w:bottom w:val="single" w:sz="4" w:space="0" w:color="auto"/>
              <w:right w:val="single" w:sz="4" w:space="0" w:color="auto"/>
            </w:tcBorders>
            <w:noWrap/>
            <w:hideMark/>
          </w:tcPr>
          <w:p w14:paraId="026E6E9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0,483</w:t>
            </w:r>
          </w:p>
        </w:tc>
        <w:tc>
          <w:tcPr>
            <w:tcW w:w="1134" w:type="dxa"/>
            <w:tcBorders>
              <w:top w:val="single" w:sz="4" w:space="0" w:color="auto"/>
              <w:left w:val="single" w:sz="4" w:space="0" w:color="auto"/>
              <w:bottom w:val="single" w:sz="4" w:space="0" w:color="auto"/>
              <w:right w:val="single" w:sz="4" w:space="0" w:color="auto"/>
            </w:tcBorders>
            <w:noWrap/>
            <w:hideMark/>
          </w:tcPr>
          <w:p w14:paraId="6195672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0,534</w:t>
            </w:r>
          </w:p>
        </w:tc>
      </w:tr>
      <w:tr w:rsidR="004D6256" w:rsidRPr="001667DB" w14:paraId="00581740" w14:textId="77777777" w:rsidTr="00B73D7B">
        <w:trPr>
          <w:cantSplit/>
          <w:trHeight w:val="199"/>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223D0186"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Żółta typ 2 folii</w:t>
            </w:r>
          </w:p>
        </w:tc>
        <w:tc>
          <w:tcPr>
            <w:tcW w:w="851" w:type="dxa"/>
            <w:tcBorders>
              <w:top w:val="single" w:sz="4" w:space="0" w:color="auto"/>
              <w:left w:val="single" w:sz="4" w:space="0" w:color="auto"/>
              <w:bottom w:val="single" w:sz="4" w:space="0" w:color="auto"/>
              <w:right w:val="single" w:sz="4" w:space="0" w:color="auto"/>
            </w:tcBorders>
            <w:noWrap/>
            <w:hideMark/>
          </w:tcPr>
          <w:p w14:paraId="19702DA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7F93129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0,545</w:t>
            </w:r>
          </w:p>
        </w:tc>
        <w:tc>
          <w:tcPr>
            <w:tcW w:w="1134" w:type="dxa"/>
            <w:tcBorders>
              <w:top w:val="single" w:sz="4" w:space="0" w:color="auto"/>
              <w:left w:val="single" w:sz="4" w:space="0" w:color="auto"/>
              <w:bottom w:val="single" w:sz="4" w:space="0" w:color="auto"/>
              <w:right w:val="single" w:sz="4" w:space="0" w:color="auto"/>
            </w:tcBorders>
            <w:noWrap/>
            <w:hideMark/>
          </w:tcPr>
          <w:p w14:paraId="483CFEE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0,487</w:t>
            </w:r>
          </w:p>
        </w:tc>
        <w:tc>
          <w:tcPr>
            <w:tcW w:w="1134" w:type="dxa"/>
            <w:tcBorders>
              <w:top w:val="single" w:sz="4" w:space="0" w:color="auto"/>
              <w:left w:val="single" w:sz="4" w:space="0" w:color="auto"/>
              <w:bottom w:val="single" w:sz="4" w:space="0" w:color="auto"/>
              <w:right w:val="single" w:sz="4" w:space="0" w:color="auto"/>
            </w:tcBorders>
            <w:noWrap/>
            <w:hideMark/>
          </w:tcPr>
          <w:p w14:paraId="670C9C7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0,427</w:t>
            </w:r>
          </w:p>
        </w:tc>
        <w:tc>
          <w:tcPr>
            <w:tcW w:w="1134" w:type="dxa"/>
            <w:tcBorders>
              <w:top w:val="single" w:sz="4" w:space="0" w:color="auto"/>
              <w:left w:val="single" w:sz="4" w:space="0" w:color="auto"/>
              <w:bottom w:val="single" w:sz="4" w:space="0" w:color="auto"/>
              <w:right w:val="single" w:sz="4" w:space="0" w:color="auto"/>
            </w:tcBorders>
            <w:noWrap/>
            <w:hideMark/>
          </w:tcPr>
          <w:p w14:paraId="69DA8CC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0,465</w:t>
            </w:r>
          </w:p>
        </w:tc>
      </w:tr>
      <w:tr w:rsidR="004D6256" w:rsidRPr="001667DB" w14:paraId="66B6883E" w14:textId="77777777" w:rsidTr="00B73D7B">
        <w:trPr>
          <w:cantSplit/>
          <w:trHeight w:val="19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09B03"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36C794B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21A1E5F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0,454</w:t>
            </w:r>
          </w:p>
        </w:tc>
        <w:tc>
          <w:tcPr>
            <w:tcW w:w="1134" w:type="dxa"/>
            <w:tcBorders>
              <w:top w:val="single" w:sz="4" w:space="0" w:color="auto"/>
              <w:left w:val="single" w:sz="4" w:space="0" w:color="auto"/>
              <w:bottom w:val="single" w:sz="4" w:space="0" w:color="auto"/>
              <w:right w:val="single" w:sz="4" w:space="0" w:color="auto"/>
            </w:tcBorders>
            <w:noWrap/>
            <w:hideMark/>
          </w:tcPr>
          <w:p w14:paraId="5AFEE26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0,423</w:t>
            </w:r>
          </w:p>
        </w:tc>
        <w:tc>
          <w:tcPr>
            <w:tcW w:w="1134" w:type="dxa"/>
            <w:tcBorders>
              <w:top w:val="single" w:sz="4" w:space="0" w:color="auto"/>
              <w:left w:val="single" w:sz="4" w:space="0" w:color="auto"/>
              <w:bottom w:val="single" w:sz="4" w:space="0" w:color="auto"/>
              <w:right w:val="single" w:sz="4" w:space="0" w:color="auto"/>
            </w:tcBorders>
            <w:noWrap/>
            <w:hideMark/>
          </w:tcPr>
          <w:p w14:paraId="7F408EC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0,483</w:t>
            </w:r>
          </w:p>
        </w:tc>
        <w:tc>
          <w:tcPr>
            <w:tcW w:w="1134" w:type="dxa"/>
            <w:tcBorders>
              <w:top w:val="single" w:sz="4" w:space="0" w:color="auto"/>
              <w:left w:val="single" w:sz="4" w:space="0" w:color="auto"/>
              <w:bottom w:val="single" w:sz="4" w:space="0" w:color="auto"/>
              <w:right w:val="single" w:sz="4" w:space="0" w:color="auto"/>
            </w:tcBorders>
            <w:noWrap/>
            <w:hideMark/>
          </w:tcPr>
          <w:p w14:paraId="6AB2C18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0,534</w:t>
            </w:r>
          </w:p>
        </w:tc>
      </w:tr>
      <w:tr w:rsidR="004D6256" w:rsidRPr="001667DB" w14:paraId="21756533" w14:textId="77777777" w:rsidTr="00B73D7B">
        <w:trPr>
          <w:cantSplit/>
          <w:trHeight w:val="182"/>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0395A192" w14:textId="77777777" w:rsidR="004D6256" w:rsidRPr="001667DB" w:rsidRDefault="004D6256">
            <w:pPr>
              <w:pStyle w:val="Teksttablicy"/>
              <w:spacing w:before="120" w:line="182" w:lineRule="atLeast"/>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Czerwona</w:t>
            </w:r>
          </w:p>
        </w:tc>
        <w:tc>
          <w:tcPr>
            <w:tcW w:w="851" w:type="dxa"/>
            <w:tcBorders>
              <w:top w:val="single" w:sz="4" w:space="0" w:color="auto"/>
              <w:left w:val="single" w:sz="4" w:space="0" w:color="auto"/>
              <w:bottom w:val="single" w:sz="4" w:space="0" w:color="auto"/>
              <w:right w:val="single" w:sz="4" w:space="0" w:color="auto"/>
            </w:tcBorders>
            <w:noWrap/>
            <w:hideMark/>
          </w:tcPr>
          <w:p w14:paraId="1E6418DC" w14:textId="77777777" w:rsidR="004D6256" w:rsidRPr="001667DB" w:rsidRDefault="004D6256">
            <w:pPr>
              <w:pStyle w:val="Teksttablicy"/>
              <w:spacing w:line="182"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x </w:t>
            </w:r>
          </w:p>
        </w:tc>
        <w:tc>
          <w:tcPr>
            <w:tcW w:w="1134" w:type="dxa"/>
            <w:tcBorders>
              <w:top w:val="single" w:sz="4" w:space="0" w:color="auto"/>
              <w:left w:val="single" w:sz="4" w:space="0" w:color="auto"/>
              <w:bottom w:val="single" w:sz="4" w:space="0" w:color="auto"/>
              <w:right w:val="single" w:sz="4" w:space="0" w:color="auto"/>
            </w:tcBorders>
            <w:noWrap/>
            <w:hideMark/>
          </w:tcPr>
          <w:p w14:paraId="011A79F5" w14:textId="77777777" w:rsidR="004D6256" w:rsidRPr="001667DB" w:rsidRDefault="004D6256">
            <w:pPr>
              <w:pStyle w:val="Teksttablicy"/>
              <w:spacing w:line="182"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0,735</w:t>
            </w:r>
          </w:p>
        </w:tc>
        <w:tc>
          <w:tcPr>
            <w:tcW w:w="1134" w:type="dxa"/>
            <w:tcBorders>
              <w:top w:val="single" w:sz="4" w:space="0" w:color="auto"/>
              <w:left w:val="single" w:sz="4" w:space="0" w:color="auto"/>
              <w:bottom w:val="single" w:sz="4" w:space="0" w:color="auto"/>
              <w:right w:val="single" w:sz="4" w:space="0" w:color="auto"/>
            </w:tcBorders>
            <w:noWrap/>
            <w:hideMark/>
          </w:tcPr>
          <w:p w14:paraId="6FC54ACC" w14:textId="77777777" w:rsidR="004D6256" w:rsidRPr="001667DB" w:rsidRDefault="004D6256">
            <w:pPr>
              <w:pStyle w:val="Teksttablicy"/>
              <w:spacing w:line="182"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0,674</w:t>
            </w:r>
          </w:p>
        </w:tc>
        <w:tc>
          <w:tcPr>
            <w:tcW w:w="1134" w:type="dxa"/>
            <w:tcBorders>
              <w:top w:val="single" w:sz="4" w:space="0" w:color="auto"/>
              <w:left w:val="single" w:sz="4" w:space="0" w:color="auto"/>
              <w:bottom w:val="single" w:sz="4" w:space="0" w:color="auto"/>
              <w:right w:val="single" w:sz="4" w:space="0" w:color="auto"/>
            </w:tcBorders>
            <w:noWrap/>
            <w:hideMark/>
          </w:tcPr>
          <w:p w14:paraId="7ED3670C" w14:textId="77777777" w:rsidR="004D6256" w:rsidRPr="001667DB" w:rsidRDefault="004D6256">
            <w:pPr>
              <w:pStyle w:val="Teksttablicy"/>
              <w:spacing w:line="182"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0,569</w:t>
            </w:r>
          </w:p>
        </w:tc>
        <w:tc>
          <w:tcPr>
            <w:tcW w:w="1134" w:type="dxa"/>
            <w:tcBorders>
              <w:top w:val="single" w:sz="4" w:space="0" w:color="auto"/>
              <w:left w:val="single" w:sz="4" w:space="0" w:color="auto"/>
              <w:bottom w:val="single" w:sz="4" w:space="0" w:color="auto"/>
              <w:right w:val="single" w:sz="4" w:space="0" w:color="auto"/>
            </w:tcBorders>
            <w:noWrap/>
            <w:hideMark/>
          </w:tcPr>
          <w:p w14:paraId="0F25352B" w14:textId="77777777" w:rsidR="004D6256" w:rsidRPr="001667DB" w:rsidRDefault="004D6256">
            <w:pPr>
              <w:pStyle w:val="Teksttablicy"/>
              <w:spacing w:line="182"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0,655</w:t>
            </w:r>
          </w:p>
        </w:tc>
      </w:tr>
      <w:tr w:rsidR="004D6256" w:rsidRPr="001667DB" w14:paraId="5BD72961" w14:textId="77777777" w:rsidTr="00B73D7B">
        <w:trPr>
          <w:cantSplit/>
          <w:trHeight w:val="21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8204F"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45BC34D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y </w:t>
            </w:r>
          </w:p>
        </w:tc>
        <w:tc>
          <w:tcPr>
            <w:tcW w:w="1134" w:type="dxa"/>
            <w:tcBorders>
              <w:top w:val="single" w:sz="4" w:space="0" w:color="auto"/>
              <w:left w:val="single" w:sz="4" w:space="0" w:color="auto"/>
              <w:bottom w:val="single" w:sz="4" w:space="0" w:color="auto"/>
              <w:right w:val="single" w:sz="4" w:space="0" w:color="auto"/>
            </w:tcBorders>
            <w:noWrap/>
            <w:hideMark/>
          </w:tcPr>
          <w:p w14:paraId="6042FFA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0,265</w:t>
            </w:r>
          </w:p>
        </w:tc>
        <w:tc>
          <w:tcPr>
            <w:tcW w:w="1134" w:type="dxa"/>
            <w:tcBorders>
              <w:top w:val="single" w:sz="4" w:space="0" w:color="auto"/>
              <w:left w:val="single" w:sz="4" w:space="0" w:color="auto"/>
              <w:bottom w:val="single" w:sz="4" w:space="0" w:color="auto"/>
              <w:right w:val="single" w:sz="4" w:space="0" w:color="auto"/>
            </w:tcBorders>
            <w:noWrap/>
            <w:hideMark/>
          </w:tcPr>
          <w:p w14:paraId="05569FAF"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0,236</w:t>
            </w:r>
          </w:p>
        </w:tc>
        <w:tc>
          <w:tcPr>
            <w:tcW w:w="1134" w:type="dxa"/>
            <w:tcBorders>
              <w:top w:val="single" w:sz="4" w:space="0" w:color="auto"/>
              <w:left w:val="single" w:sz="4" w:space="0" w:color="auto"/>
              <w:bottom w:val="single" w:sz="4" w:space="0" w:color="auto"/>
              <w:right w:val="single" w:sz="4" w:space="0" w:color="auto"/>
            </w:tcBorders>
            <w:noWrap/>
            <w:hideMark/>
          </w:tcPr>
          <w:p w14:paraId="6738B34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0,341</w:t>
            </w:r>
          </w:p>
        </w:tc>
        <w:tc>
          <w:tcPr>
            <w:tcW w:w="1134" w:type="dxa"/>
            <w:tcBorders>
              <w:top w:val="single" w:sz="4" w:space="0" w:color="auto"/>
              <w:left w:val="single" w:sz="4" w:space="0" w:color="auto"/>
              <w:bottom w:val="single" w:sz="4" w:space="0" w:color="auto"/>
              <w:right w:val="single" w:sz="4" w:space="0" w:color="auto"/>
            </w:tcBorders>
            <w:noWrap/>
            <w:hideMark/>
          </w:tcPr>
          <w:p w14:paraId="05424ED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0,345</w:t>
            </w:r>
          </w:p>
        </w:tc>
      </w:tr>
      <w:tr w:rsidR="004D6256" w:rsidRPr="001667DB" w14:paraId="428E5B77" w14:textId="77777777" w:rsidTr="00B73D7B">
        <w:trPr>
          <w:cantSplit/>
          <w:trHeight w:val="254"/>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685B4C92"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Niebieska</w:t>
            </w:r>
          </w:p>
        </w:tc>
        <w:tc>
          <w:tcPr>
            <w:tcW w:w="851" w:type="dxa"/>
            <w:tcBorders>
              <w:top w:val="single" w:sz="4" w:space="0" w:color="auto"/>
              <w:left w:val="single" w:sz="4" w:space="0" w:color="auto"/>
              <w:bottom w:val="single" w:sz="4" w:space="0" w:color="auto"/>
              <w:right w:val="single" w:sz="4" w:space="0" w:color="auto"/>
            </w:tcBorders>
            <w:noWrap/>
            <w:hideMark/>
          </w:tcPr>
          <w:p w14:paraId="1195712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x </w:t>
            </w:r>
          </w:p>
        </w:tc>
        <w:tc>
          <w:tcPr>
            <w:tcW w:w="1134" w:type="dxa"/>
            <w:tcBorders>
              <w:top w:val="single" w:sz="4" w:space="0" w:color="auto"/>
              <w:left w:val="single" w:sz="4" w:space="0" w:color="auto"/>
              <w:bottom w:val="single" w:sz="4" w:space="0" w:color="auto"/>
              <w:right w:val="single" w:sz="4" w:space="0" w:color="auto"/>
            </w:tcBorders>
            <w:noWrap/>
            <w:hideMark/>
          </w:tcPr>
          <w:p w14:paraId="2D23BA0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0,078</w:t>
            </w:r>
          </w:p>
        </w:tc>
        <w:tc>
          <w:tcPr>
            <w:tcW w:w="1134" w:type="dxa"/>
            <w:tcBorders>
              <w:top w:val="single" w:sz="4" w:space="0" w:color="auto"/>
              <w:left w:val="single" w:sz="4" w:space="0" w:color="auto"/>
              <w:bottom w:val="single" w:sz="4" w:space="0" w:color="auto"/>
              <w:right w:val="single" w:sz="4" w:space="0" w:color="auto"/>
            </w:tcBorders>
            <w:noWrap/>
            <w:hideMark/>
          </w:tcPr>
          <w:p w14:paraId="4EA4102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0,150</w:t>
            </w:r>
          </w:p>
        </w:tc>
        <w:tc>
          <w:tcPr>
            <w:tcW w:w="1134" w:type="dxa"/>
            <w:tcBorders>
              <w:top w:val="single" w:sz="4" w:space="0" w:color="auto"/>
              <w:left w:val="single" w:sz="4" w:space="0" w:color="auto"/>
              <w:bottom w:val="single" w:sz="4" w:space="0" w:color="auto"/>
              <w:right w:val="single" w:sz="4" w:space="0" w:color="auto"/>
            </w:tcBorders>
            <w:noWrap/>
            <w:hideMark/>
          </w:tcPr>
          <w:p w14:paraId="070CAD2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0,210</w:t>
            </w:r>
          </w:p>
        </w:tc>
        <w:tc>
          <w:tcPr>
            <w:tcW w:w="1134" w:type="dxa"/>
            <w:tcBorders>
              <w:top w:val="single" w:sz="4" w:space="0" w:color="auto"/>
              <w:left w:val="single" w:sz="4" w:space="0" w:color="auto"/>
              <w:bottom w:val="single" w:sz="4" w:space="0" w:color="auto"/>
              <w:right w:val="single" w:sz="4" w:space="0" w:color="auto"/>
            </w:tcBorders>
            <w:noWrap/>
            <w:hideMark/>
          </w:tcPr>
          <w:p w14:paraId="0C5C0DE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0,137</w:t>
            </w:r>
          </w:p>
        </w:tc>
      </w:tr>
      <w:tr w:rsidR="004D6256" w:rsidRPr="001667DB" w14:paraId="448D117E" w14:textId="77777777" w:rsidTr="00B73D7B">
        <w:trPr>
          <w:cantSplit/>
          <w:trHeight w:val="14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57CA6E"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44FDD4DF" w14:textId="77777777" w:rsidR="004D6256" w:rsidRPr="001667DB" w:rsidRDefault="004D6256">
            <w:pPr>
              <w:pStyle w:val="Teksttablicy"/>
              <w:spacing w:line="144"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y </w:t>
            </w:r>
          </w:p>
        </w:tc>
        <w:tc>
          <w:tcPr>
            <w:tcW w:w="1134" w:type="dxa"/>
            <w:tcBorders>
              <w:top w:val="single" w:sz="4" w:space="0" w:color="auto"/>
              <w:left w:val="single" w:sz="4" w:space="0" w:color="auto"/>
              <w:bottom w:val="single" w:sz="4" w:space="0" w:color="auto"/>
              <w:right w:val="single" w:sz="4" w:space="0" w:color="auto"/>
            </w:tcBorders>
            <w:noWrap/>
            <w:hideMark/>
          </w:tcPr>
          <w:p w14:paraId="58DC52F7" w14:textId="77777777" w:rsidR="004D6256" w:rsidRPr="001667DB" w:rsidRDefault="004D6256">
            <w:pPr>
              <w:pStyle w:val="Teksttablicy"/>
              <w:spacing w:line="144"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0,171</w:t>
            </w:r>
          </w:p>
        </w:tc>
        <w:tc>
          <w:tcPr>
            <w:tcW w:w="1134" w:type="dxa"/>
            <w:tcBorders>
              <w:top w:val="single" w:sz="4" w:space="0" w:color="auto"/>
              <w:left w:val="single" w:sz="4" w:space="0" w:color="auto"/>
              <w:bottom w:val="single" w:sz="4" w:space="0" w:color="auto"/>
              <w:right w:val="single" w:sz="4" w:space="0" w:color="auto"/>
            </w:tcBorders>
            <w:noWrap/>
            <w:hideMark/>
          </w:tcPr>
          <w:p w14:paraId="1767B369" w14:textId="77777777" w:rsidR="004D6256" w:rsidRPr="001667DB" w:rsidRDefault="004D6256">
            <w:pPr>
              <w:pStyle w:val="Teksttablicy"/>
              <w:spacing w:line="144"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0,220</w:t>
            </w:r>
          </w:p>
        </w:tc>
        <w:tc>
          <w:tcPr>
            <w:tcW w:w="1134" w:type="dxa"/>
            <w:tcBorders>
              <w:top w:val="single" w:sz="4" w:space="0" w:color="auto"/>
              <w:left w:val="single" w:sz="4" w:space="0" w:color="auto"/>
              <w:bottom w:val="single" w:sz="4" w:space="0" w:color="auto"/>
              <w:right w:val="single" w:sz="4" w:space="0" w:color="auto"/>
            </w:tcBorders>
            <w:noWrap/>
            <w:hideMark/>
          </w:tcPr>
          <w:p w14:paraId="005A8948" w14:textId="77777777" w:rsidR="004D6256" w:rsidRPr="001667DB" w:rsidRDefault="004D6256">
            <w:pPr>
              <w:pStyle w:val="Teksttablicy"/>
              <w:spacing w:line="144"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0,160</w:t>
            </w:r>
          </w:p>
        </w:tc>
        <w:tc>
          <w:tcPr>
            <w:tcW w:w="1134" w:type="dxa"/>
            <w:tcBorders>
              <w:top w:val="single" w:sz="4" w:space="0" w:color="auto"/>
              <w:left w:val="single" w:sz="4" w:space="0" w:color="auto"/>
              <w:bottom w:val="single" w:sz="4" w:space="0" w:color="auto"/>
              <w:right w:val="single" w:sz="4" w:space="0" w:color="auto"/>
            </w:tcBorders>
            <w:noWrap/>
            <w:hideMark/>
          </w:tcPr>
          <w:p w14:paraId="2C51433C" w14:textId="77777777" w:rsidR="004D6256" w:rsidRPr="001667DB" w:rsidRDefault="004D6256">
            <w:pPr>
              <w:pStyle w:val="Teksttablicy"/>
              <w:spacing w:line="144" w:lineRule="atLeas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0,038</w:t>
            </w:r>
          </w:p>
        </w:tc>
      </w:tr>
      <w:tr w:rsidR="004D6256" w:rsidRPr="001667DB" w14:paraId="3827A859" w14:textId="77777777" w:rsidTr="00B73D7B">
        <w:trPr>
          <w:cantSplit/>
          <w:trHeight w:val="213"/>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72E4D594"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Zielona</w:t>
            </w:r>
          </w:p>
        </w:tc>
        <w:tc>
          <w:tcPr>
            <w:tcW w:w="851" w:type="dxa"/>
            <w:tcBorders>
              <w:top w:val="single" w:sz="4" w:space="0" w:color="auto"/>
              <w:left w:val="single" w:sz="4" w:space="0" w:color="auto"/>
              <w:bottom w:val="single" w:sz="4" w:space="0" w:color="auto"/>
              <w:right w:val="single" w:sz="4" w:space="0" w:color="auto"/>
            </w:tcBorders>
            <w:noWrap/>
            <w:hideMark/>
          </w:tcPr>
          <w:p w14:paraId="4FE2818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x </w:t>
            </w:r>
          </w:p>
        </w:tc>
        <w:tc>
          <w:tcPr>
            <w:tcW w:w="1134" w:type="dxa"/>
            <w:tcBorders>
              <w:top w:val="single" w:sz="4" w:space="0" w:color="auto"/>
              <w:left w:val="single" w:sz="4" w:space="0" w:color="auto"/>
              <w:bottom w:val="single" w:sz="4" w:space="0" w:color="auto"/>
              <w:right w:val="single" w:sz="4" w:space="0" w:color="auto"/>
            </w:tcBorders>
            <w:noWrap/>
            <w:hideMark/>
          </w:tcPr>
          <w:p w14:paraId="3F9108E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0,007</w:t>
            </w:r>
          </w:p>
        </w:tc>
        <w:tc>
          <w:tcPr>
            <w:tcW w:w="1134" w:type="dxa"/>
            <w:tcBorders>
              <w:top w:val="single" w:sz="4" w:space="0" w:color="auto"/>
              <w:left w:val="single" w:sz="4" w:space="0" w:color="auto"/>
              <w:bottom w:val="single" w:sz="4" w:space="0" w:color="auto"/>
              <w:right w:val="single" w:sz="4" w:space="0" w:color="auto"/>
            </w:tcBorders>
            <w:noWrap/>
            <w:hideMark/>
          </w:tcPr>
          <w:p w14:paraId="3A0FDB2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0,248</w:t>
            </w:r>
          </w:p>
        </w:tc>
        <w:tc>
          <w:tcPr>
            <w:tcW w:w="1134" w:type="dxa"/>
            <w:tcBorders>
              <w:top w:val="single" w:sz="4" w:space="0" w:color="auto"/>
              <w:left w:val="single" w:sz="4" w:space="0" w:color="auto"/>
              <w:bottom w:val="single" w:sz="4" w:space="0" w:color="auto"/>
              <w:right w:val="single" w:sz="4" w:space="0" w:color="auto"/>
            </w:tcBorders>
            <w:noWrap/>
            <w:hideMark/>
          </w:tcPr>
          <w:p w14:paraId="0D57B22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0,177</w:t>
            </w:r>
          </w:p>
        </w:tc>
        <w:tc>
          <w:tcPr>
            <w:tcW w:w="1134" w:type="dxa"/>
            <w:tcBorders>
              <w:top w:val="single" w:sz="4" w:space="0" w:color="auto"/>
              <w:left w:val="single" w:sz="4" w:space="0" w:color="auto"/>
              <w:bottom w:val="single" w:sz="4" w:space="0" w:color="auto"/>
              <w:right w:val="single" w:sz="4" w:space="0" w:color="auto"/>
            </w:tcBorders>
            <w:noWrap/>
            <w:hideMark/>
          </w:tcPr>
          <w:p w14:paraId="785A381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0,026</w:t>
            </w:r>
          </w:p>
        </w:tc>
      </w:tr>
      <w:tr w:rsidR="004D6256" w:rsidRPr="001667DB" w14:paraId="7C7518D3" w14:textId="77777777" w:rsidTr="00B73D7B">
        <w:trPr>
          <w:cantSplit/>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222E4"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09B1666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 xml:space="preserve">y </w:t>
            </w:r>
          </w:p>
        </w:tc>
        <w:tc>
          <w:tcPr>
            <w:tcW w:w="1134" w:type="dxa"/>
            <w:tcBorders>
              <w:top w:val="single" w:sz="4" w:space="0" w:color="auto"/>
              <w:left w:val="single" w:sz="4" w:space="0" w:color="auto"/>
              <w:bottom w:val="single" w:sz="4" w:space="0" w:color="auto"/>
              <w:right w:val="single" w:sz="4" w:space="0" w:color="auto"/>
            </w:tcBorders>
            <w:noWrap/>
            <w:hideMark/>
          </w:tcPr>
          <w:p w14:paraId="75B1AA78"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0,703</w:t>
            </w:r>
          </w:p>
        </w:tc>
        <w:tc>
          <w:tcPr>
            <w:tcW w:w="1134" w:type="dxa"/>
            <w:tcBorders>
              <w:top w:val="single" w:sz="4" w:space="0" w:color="auto"/>
              <w:left w:val="single" w:sz="4" w:space="0" w:color="auto"/>
              <w:bottom w:val="single" w:sz="4" w:space="0" w:color="auto"/>
              <w:right w:val="single" w:sz="4" w:space="0" w:color="auto"/>
            </w:tcBorders>
            <w:noWrap/>
            <w:hideMark/>
          </w:tcPr>
          <w:p w14:paraId="3BE5BAE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0,409</w:t>
            </w:r>
          </w:p>
        </w:tc>
        <w:tc>
          <w:tcPr>
            <w:tcW w:w="1134" w:type="dxa"/>
            <w:tcBorders>
              <w:top w:val="single" w:sz="4" w:space="0" w:color="auto"/>
              <w:left w:val="single" w:sz="4" w:space="0" w:color="auto"/>
              <w:bottom w:val="single" w:sz="4" w:space="0" w:color="auto"/>
              <w:right w:val="single" w:sz="4" w:space="0" w:color="auto"/>
            </w:tcBorders>
            <w:noWrap/>
            <w:hideMark/>
          </w:tcPr>
          <w:p w14:paraId="773EF1D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0,362</w:t>
            </w:r>
          </w:p>
        </w:tc>
        <w:tc>
          <w:tcPr>
            <w:tcW w:w="1134" w:type="dxa"/>
            <w:tcBorders>
              <w:top w:val="single" w:sz="4" w:space="0" w:color="auto"/>
              <w:left w:val="single" w:sz="4" w:space="0" w:color="auto"/>
              <w:bottom w:val="single" w:sz="4" w:space="0" w:color="auto"/>
              <w:right w:val="single" w:sz="4" w:space="0" w:color="auto"/>
            </w:tcBorders>
            <w:noWrap/>
            <w:hideMark/>
          </w:tcPr>
          <w:p w14:paraId="44D00C4F"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0,399</w:t>
            </w:r>
          </w:p>
        </w:tc>
      </w:tr>
      <w:tr w:rsidR="004D6256" w:rsidRPr="001667DB" w14:paraId="344017EE" w14:textId="77777777" w:rsidTr="00B73D7B">
        <w:trPr>
          <w:cantSplit/>
          <w:trHeight w:val="213"/>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33464699"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Brązowa</w:t>
            </w:r>
          </w:p>
        </w:tc>
        <w:tc>
          <w:tcPr>
            <w:tcW w:w="851" w:type="dxa"/>
            <w:tcBorders>
              <w:top w:val="single" w:sz="4" w:space="0" w:color="auto"/>
              <w:left w:val="single" w:sz="4" w:space="0" w:color="auto"/>
              <w:bottom w:val="single" w:sz="4" w:space="0" w:color="auto"/>
              <w:right w:val="single" w:sz="4" w:space="0" w:color="auto"/>
            </w:tcBorders>
            <w:noWrap/>
            <w:hideMark/>
          </w:tcPr>
          <w:p w14:paraId="2A0F1D7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20E96B4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0,455</w:t>
            </w:r>
          </w:p>
        </w:tc>
        <w:tc>
          <w:tcPr>
            <w:tcW w:w="1134" w:type="dxa"/>
            <w:tcBorders>
              <w:top w:val="single" w:sz="4" w:space="0" w:color="auto"/>
              <w:left w:val="single" w:sz="4" w:space="0" w:color="auto"/>
              <w:bottom w:val="single" w:sz="4" w:space="0" w:color="auto"/>
              <w:right w:val="single" w:sz="4" w:space="0" w:color="auto"/>
            </w:tcBorders>
            <w:noWrap/>
            <w:hideMark/>
          </w:tcPr>
          <w:p w14:paraId="35C5DDA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0,523</w:t>
            </w:r>
          </w:p>
        </w:tc>
        <w:tc>
          <w:tcPr>
            <w:tcW w:w="1134" w:type="dxa"/>
            <w:tcBorders>
              <w:top w:val="single" w:sz="4" w:space="0" w:color="auto"/>
              <w:left w:val="single" w:sz="4" w:space="0" w:color="auto"/>
              <w:bottom w:val="single" w:sz="4" w:space="0" w:color="auto"/>
              <w:right w:val="single" w:sz="4" w:space="0" w:color="auto"/>
            </w:tcBorders>
            <w:noWrap/>
            <w:hideMark/>
          </w:tcPr>
          <w:p w14:paraId="02D565D4"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0,479</w:t>
            </w:r>
          </w:p>
        </w:tc>
        <w:tc>
          <w:tcPr>
            <w:tcW w:w="1134" w:type="dxa"/>
            <w:tcBorders>
              <w:top w:val="single" w:sz="4" w:space="0" w:color="auto"/>
              <w:left w:val="single" w:sz="4" w:space="0" w:color="auto"/>
              <w:bottom w:val="single" w:sz="4" w:space="0" w:color="auto"/>
              <w:right w:val="single" w:sz="4" w:space="0" w:color="auto"/>
            </w:tcBorders>
            <w:noWrap/>
            <w:hideMark/>
          </w:tcPr>
          <w:p w14:paraId="4FB029C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0,558</w:t>
            </w:r>
          </w:p>
        </w:tc>
      </w:tr>
      <w:tr w:rsidR="004D6256" w:rsidRPr="001667DB" w14:paraId="58FB335A" w14:textId="77777777" w:rsidTr="00B73D7B">
        <w:trPr>
          <w:cantSplit/>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E2E55F"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3086342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278C3A7A"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0,397</w:t>
            </w:r>
          </w:p>
        </w:tc>
        <w:tc>
          <w:tcPr>
            <w:tcW w:w="1134" w:type="dxa"/>
            <w:tcBorders>
              <w:top w:val="single" w:sz="4" w:space="0" w:color="auto"/>
              <w:left w:val="single" w:sz="4" w:space="0" w:color="auto"/>
              <w:bottom w:val="single" w:sz="4" w:space="0" w:color="auto"/>
              <w:right w:val="single" w:sz="4" w:space="0" w:color="auto"/>
            </w:tcBorders>
            <w:noWrap/>
            <w:hideMark/>
          </w:tcPr>
          <w:p w14:paraId="49AC208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0,429</w:t>
            </w:r>
          </w:p>
        </w:tc>
        <w:tc>
          <w:tcPr>
            <w:tcW w:w="1134" w:type="dxa"/>
            <w:tcBorders>
              <w:top w:val="single" w:sz="4" w:space="0" w:color="auto"/>
              <w:left w:val="single" w:sz="4" w:space="0" w:color="auto"/>
              <w:bottom w:val="single" w:sz="4" w:space="0" w:color="auto"/>
              <w:right w:val="single" w:sz="4" w:space="0" w:color="auto"/>
            </w:tcBorders>
            <w:noWrap/>
            <w:hideMark/>
          </w:tcPr>
          <w:p w14:paraId="6B68BC73"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0,373</w:t>
            </w:r>
          </w:p>
        </w:tc>
        <w:tc>
          <w:tcPr>
            <w:tcW w:w="1134" w:type="dxa"/>
            <w:tcBorders>
              <w:top w:val="single" w:sz="4" w:space="0" w:color="auto"/>
              <w:left w:val="single" w:sz="4" w:space="0" w:color="auto"/>
              <w:bottom w:val="single" w:sz="4" w:space="0" w:color="auto"/>
              <w:right w:val="single" w:sz="4" w:space="0" w:color="auto"/>
            </w:tcBorders>
            <w:noWrap/>
            <w:hideMark/>
          </w:tcPr>
          <w:p w14:paraId="2C1266B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0,394</w:t>
            </w:r>
          </w:p>
        </w:tc>
      </w:tr>
      <w:tr w:rsidR="004D6256" w:rsidRPr="001667DB" w14:paraId="7DA22FF7" w14:textId="77777777" w:rsidTr="00B73D7B">
        <w:trPr>
          <w:cantSplit/>
          <w:trHeight w:val="213"/>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37EDD85D"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Pomarańczowa</w:t>
            </w:r>
          </w:p>
        </w:tc>
        <w:tc>
          <w:tcPr>
            <w:tcW w:w="851" w:type="dxa"/>
            <w:tcBorders>
              <w:top w:val="single" w:sz="4" w:space="0" w:color="auto"/>
              <w:left w:val="single" w:sz="4" w:space="0" w:color="auto"/>
              <w:bottom w:val="single" w:sz="4" w:space="0" w:color="auto"/>
              <w:right w:val="single" w:sz="4" w:space="0" w:color="auto"/>
            </w:tcBorders>
            <w:noWrap/>
            <w:hideMark/>
          </w:tcPr>
          <w:p w14:paraId="3A924B5E"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196217FD"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0,610</w:t>
            </w:r>
          </w:p>
        </w:tc>
        <w:tc>
          <w:tcPr>
            <w:tcW w:w="1134" w:type="dxa"/>
            <w:tcBorders>
              <w:top w:val="single" w:sz="4" w:space="0" w:color="auto"/>
              <w:left w:val="single" w:sz="4" w:space="0" w:color="auto"/>
              <w:bottom w:val="single" w:sz="4" w:space="0" w:color="auto"/>
              <w:right w:val="single" w:sz="4" w:space="0" w:color="auto"/>
            </w:tcBorders>
            <w:noWrap/>
            <w:hideMark/>
          </w:tcPr>
          <w:p w14:paraId="633EF94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0,535</w:t>
            </w:r>
          </w:p>
        </w:tc>
        <w:tc>
          <w:tcPr>
            <w:tcW w:w="1134" w:type="dxa"/>
            <w:tcBorders>
              <w:top w:val="single" w:sz="4" w:space="0" w:color="auto"/>
              <w:left w:val="single" w:sz="4" w:space="0" w:color="auto"/>
              <w:bottom w:val="single" w:sz="4" w:space="0" w:color="auto"/>
              <w:right w:val="single" w:sz="4" w:space="0" w:color="auto"/>
            </w:tcBorders>
            <w:noWrap/>
            <w:hideMark/>
          </w:tcPr>
          <w:p w14:paraId="01EE3E17"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0,506</w:t>
            </w:r>
          </w:p>
        </w:tc>
        <w:tc>
          <w:tcPr>
            <w:tcW w:w="1134" w:type="dxa"/>
            <w:tcBorders>
              <w:top w:val="single" w:sz="4" w:space="0" w:color="auto"/>
              <w:left w:val="single" w:sz="4" w:space="0" w:color="auto"/>
              <w:bottom w:val="single" w:sz="4" w:space="0" w:color="auto"/>
              <w:right w:val="single" w:sz="4" w:space="0" w:color="auto"/>
            </w:tcBorders>
            <w:noWrap/>
            <w:hideMark/>
          </w:tcPr>
          <w:p w14:paraId="2BD0A04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0,570</w:t>
            </w:r>
          </w:p>
        </w:tc>
      </w:tr>
      <w:tr w:rsidR="004D6256" w:rsidRPr="001667DB" w14:paraId="0662AFA4" w14:textId="77777777" w:rsidTr="00B73D7B">
        <w:trPr>
          <w:cantSplit/>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71BF4"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5B9837F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79A877F0"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0,390</w:t>
            </w:r>
          </w:p>
        </w:tc>
        <w:tc>
          <w:tcPr>
            <w:tcW w:w="1134" w:type="dxa"/>
            <w:tcBorders>
              <w:top w:val="single" w:sz="4" w:space="0" w:color="auto"/>
              <w:left w:val="single" w:sz="4" w:space="0" w:color="auto"/>
              <w:bottom w:val="single" w:sz="4" w:space="0" w:color="auto"/>
              <w:right w:val="single" w:sz="4" w:space="0" w:color="auto"/>
            </w:tcBorders>
            <w:noWrap/>
            <w:hideMark/>
          </w:tcPr>
          <w:p w14:paraId="4F0E37A2"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0,375</w:t>
            </w:r>
          </w:p>
        </w:tc>
        <w:tc>
          <w:tcPr>
            <w:tcW w:w="1134" w:type="dxa"/>
            <w:tcBorders>
              <w:top w:val="single" w:sz="4" w:space="0" w:color="auto"/>
              <w:left w:val="single" w:sz="4" w:space="0" w:color="auto"/>
              <w:bottom w:val="single" w:sz="4" w:space="0" w:color="auto"/>
              <w:right w:val="single" w:sz="4" w:space="0" w:color="auto"/>
            </w:tcBorders>
            <w:noWrap/>
            <w:hideMark/>
          </w:tcPr>
          <w:p w14:paraId="6F792F0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0,404</w:t>
            </w:r>
          </w:p>
        </w:tc>
        <w:tc>
          <w:tcPr>
            <w:tcW w:w="1134" w:type="dxa"/>
            <w:tcBorders>
              <w:top w:val="single" w:sz="4" w:space="0" w:color="auto"/>
              <w:left w:val="single" w:sz="4" w:space="0" w:color="auto"/>
              <w:bottom w:val="single" w:sz="4" w:space="0" w:color="auto"/>
              <w:right w:val="single" w:sz="4" w:space="0" w:color="auto"/>
            </w:tcBorders>
            <w:noWrap/>
            <w:hideMark/>
          </w:tcPr>
          <w:p w14:paraId="170DC59C"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0,429</w:t>
            </w:r>
          </w:p>
        </w:tc>
      </w:tr>
      <w:tr w:rsidR="004D6256" w:rsidRPr="001667DB" w14:paraId="0696C481" w14:textId="77777777" w:rsidTr="00B73D7B">
        <w:trPr>
          <w:cantSplit/>
          <w:trHeight w:val="199"/>
        </w:trPr>
        <w:tc>
          <w:tcPr>
            <w:tcW w:w="1913" w:type="dxa"/>
            <w:vMerge w:val="restart"/>
            <w:tcBorders>
              <w:top w:val="single" w:sz="4" w:space="0" w:color="auto"/>
              <w:left w:val="single" w:sz="4" w:space="0" w:color="auto"/>
              <w:bottom w:val="single" w:sz="4" w:space="0" w:color="auto"/>
              <w:right w:val="single" w:sz="4" w:space="0" w:color="auto"/>
            </w:tcBorders>
            <w:noWrap/>
            <w:hideMark/>
          </w:tcPr>
          <w:p w14:paraId="12F8E260" w14:textId="77777777" w:rsidR="004D6256" w:rsidRPr="001667DB" w:rsidRDefault="004D6256">
            <w:pPr>
              <w:pStyle w:val="Teksttablicy"/>
              <w:spacing w:before="120"/>
              <w:jc w:val="left"/>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Szara</w:t>
            </w:r>
          </w:p>
        </w:tc>
        <w:tc>
          <w:tcPr>
            <w:tcW w:w="851" w:type="dxa"/>
            <w:tcBorders>
              <w:top w:val="single" w:sz="4" w:space="0" w:color="auto"/>
              <w:left w:val="single" w:sz="4" w:space="0" w:color="auto"/>
              <w:bottom w:val="single" w:sz="4" w:space="0" w:color="auto"/>
              <w:right w:val="single" w:sz="4" w:space="0" w:color="auto"/>
            </w:tcBorders>
            <w:noWrap/>
            <w:hideMark/>
          </w:tcPr>
          <w:p w14:paraId="71112E6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x</w:t>
            </w:r>
          </w:p>
        </w:tc>
        <w:tc>
          <w:tcPr>
            <w:tcW w:w="1134" w:type="dxa"/>
            <w:tcBorders>
              <w:top w:val="single" w:sz="4" w:space="0" w:color="auto"/>
              <w:left w:val="single" w:sz="4" w:space="0" w:color="auto"/>
              <w:bottom w:val="single" w:sz="4" w:space="0" w:color="auto"/>
              <w:right w:val="single" w:sz="4" w:space="0" w:color="auto"/>
            </w:tcBorders>
            <w:noWrap/>
            <w:hideMark/>
          </w:tcPr>
          <w:p w14:paraId="3B2E01B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0,350</w:t>
            </w:r>
          </w:p>
        </w:tc>
        <w:tc>
          <w:tcPr>
            <w:tcW w:w="1134" w:type="dxa"/>
            <w:tcBorders>
              <w:top w:val="single" w:sz="4" w:space="0" w:color="auto"/>
              <w:left w:val="single" w:sz="4" w:space="0" w:color="auto"/>
              <w:bottom w:val="single" w:sz="4" w:space="0" w:color="auto"/>
              <w:right w:val="single" w:sz="4" w:space="0" w:color="auto"/>
            </w:tcBorders>
            <w:noWrap/>
            <w:hideMark/>
          </w:tcPr>
          <w:p w14:paraId="6F05346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0,300</w:t>
            </w:r>
          </w:p>
        </w:tc>
        <w:tc>
          <w:tcPr>
            <w:tcW w:w="1134" w:type="dxa"/>
            <w:tcBorders>
              <w:top w:val="single" w:sz="4" w:space="0" w:color="auto"/>
              <w:left w:val="single" w:sz="4" w:space="0" w:color="auto"/>
              <w:bottom w:val="single" w:sz="4" w:space="0" w:color="auto"/>
              <w:right w:val="single" w:sz="4" w:space="0" w:color="auto"/>
            </w:tcBorders>
            <w:noWrap/>
            <w:hideMark/>
          </w:tcPr>
          <w:p w14:paraId="35B7581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0,285</w:t>
            </w:r>
          </w:p>
        </w:tc>
        <w:tc>
          <w:tcPr>
            <w:tcW w:w="1134" w:type="dxa"/>
            <w:tcBorders>
              <w:top w:val="single" w:sz="4" w:space="0" w:color="auto"/>
              <w:left w:val="single" w:sz="4" w:space="0" w:color="auto"/>
              <w:bottom w:val="single" w:sz="4" w:space="0" w:color="auto"/>
              <w:right w:val="single" w:sz="4" w:space="0" w:color="auto"/>
            </w:tcBorders>
            <w:noWrap/>
            <w:hideMark/>
          </w:tcPr>
          <w:p w14:paraId="55BB1EBB"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0,335</w:t>
            </w:r>
          </w:p>
        </w:tc>
      </w:tr>
      <w:tr w:rsidR="004D6256" w:rsidRPr="001667DB" w14:paraId="0B985529" w14:textId="77777777" w:rsidTr="00B73D7B">
        <w:trPr>
          <w:cantSplit/>
          <w:trHeight w:val="19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D30CC" w14:textId="77777777" w:rsidR="004D6256" w:rsidRPr="001667DB" w:rsidRDefault="004D6256">
            <w:pPr>
              <w:rPr>
                <w:rFonts w:ascii="Times New Roman" w:hAnsi="Times New Roman" w:cs="Times New Roman"/>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noWrap/>
            <w:hideMark/>
          </w:tcPr>
          <w:p w14:paraId="6C45FB31"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y</w:t>
            </w:r>
          </w:p>
        </w:tc>
        <w:tc>
          <w:tcPr>
            <w:tcW w:w="1134" w:type="dxa"/>
            <w:tcBorders>
              <w:top w:val="single" w:sz="4" w:space="0" w:color="auto"/>
              <w:left w:val="single" w:sz="4" w:space="0" w:color="auto"/>
              <w:bottom w:val="single" w:sz="4" w:space="0" w:color="auto"/>
              <w:right w:val="single" w:sz="4" w:space="0" w:color="auto"/>
            </w:tcBorders>
            <w:noWrap/>
            <w:hideMark/>
          </w:tcPr>
          <w:p w14:paraId="53C2750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0,360</w:t>
            </w:r>
          </w:p>
        </w:tc>
        <w:tc>
          <w:tcPr>
            <w:tcW w:w="1134" w:type="dxa"/>
            <w:tcBorders>
              <w:top w:val="single" w:sz="4" w:space="0" w:color="auto"/>
              <w:left w:val="single" w:sz="4" w:space="0" w:color="auto"/>
              <w:bottom w:val="single" w:sz="4" w:space="0" w:color="auto"/>
              <w:right w:val="single" w:sz="4" w:space="0" w:color="auto"/>
            </w:tcBorders>
            <w:noWrap/>
            <w:hideMark/>
          </w:tcPr>
          <w:p w14:paraId="66102225"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0,310</w:t>
            </w:r>
          </w:p>
        </w:tc>
        <w:tc>
          <w:tcPr>
            <w:tcW w:w="1134" w:type="dxa"/>
            <w:tcBorders>
              <w:top w:val="single" w:sz="4" w:space="0" w:color="auto"/>
              <w:left w:val="single" w:sz="4" w:space="0" w:color="auto"/>
              <w:bottom w:val="single" w:sz="4" w:space="0" w:color="auto"/>
              <w:right w:val="single" w:sz="4" w:space="0" w:color="auto"/>
            </w:tcBorders>
            <w:noWrap/>
            <w:hideMark/>
          </w:tcPr>
          <w:p w14:paraId="13FAE3C6"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0,325</w:t>
            </w:r>
          </w:p>
        </w:tc>
        <w:tc>
          <w:tcPr>
            <w:tcW w:w="1134" w:type="dxa"/>
            <w:tcBorders>
              <w:top w:val="single" w:sz="4" w:space="0" w:color="auto"/>
              <w:left w:val="single" w:sz="4" w:space="0" w:color="auto"/>
              <w:bottom w:val="single" w:sz="4" w:space="0" w:color="auto"/>
              <w:right w:val="single" w:sz="4" w:space="0" w:color="auto"/>
            </w:tcBorders>
            <w:noWrap/>
            <w:hideMark/>
          </w:tcPr>
          <w:p w14:paraId="1B00DFD9" w14:textId="77777777" w:rsidR="004D6256" w:rsidRPr="001667DB" w:rsidRDefault="004D6256">
            <w:pPr>
              <w:pStyle w:val="Teksttablicy"/>
              <w:rPr>
                <w:rFonts w:ascii="Times New Roman" w:hAnsi="Times New Roman" w:cs="Times New Roman"/>
                <w:color w:val="000000" w:themeColor="text1"/>
                <w:sz w:val="22"/>
                <w:szCs w:val="22"/>
              </w:rPr>
            </w:pPr>
            <w:r w:rsidRPr="001667DB">
              <w:rPr>
                <w:rFonts w:ascii="Times New Roman" w:hAnsi="Times New Roman" w:cs="Times New Roman"/>
                <w:color w:val="000000" w:themeColor="text1"/>
                <w:sz w:val="22"/>
                <w:szCs w:val="22"/>
              </w:rPr>
              <w:t>0,375</w:t>
            </w:r>
          </w:p>
        </w:tc>
      </w:tr>
    </w:tbl>
    <w:p w14:paraId="6E07CAC0" w14:textId="77777777" w:rsidR="004D6256" w:rsidRPr="001667DB" w:rsidRDefault="004D6256" w:rsidP="00577746">
      <w:pPr>
        <w:spacing w:before="240"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2.6.2. </w:t>
      </w:r>
      <w:r w:rsidRPr="001667DB">
        <w:rPr>
          <w:rFonts w:ascii="Times New Roman" w:hAnsi="Times New Roman" w:cs="Times New Roman"/>
          <w:color w:val="000000" w:themeColor="text1"/>
        </w:rPr>
        <w:t xml:space="preserve">Wymagania jakościowe </w:t>
      </w:r>
    </w:p>
    <w:p w14:paraId="3BFA252E" w14:textId="77777777" w:rsidR="004D6256" w:rsidRPr="001667DB" w:rsidRDefault="004D6256" w:rsidP="00577746">
      <w:pPr>
        <w:widowControl w:val="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1667DB">
          <w:rPr>
            <w:rFonts w:ascii="Times New Roman" w:hAnsi="Times New Roman" w:cs="Times New Roman"/>
            <w:color w:val="000000" w:themeColor="text1"/>
          </w:rPr>
          <w:t>1 mm</w:t>
        </w:r>
      </w:smartTag>
      <w:r w:rsidRPr="001667DB">
        <w:rPr>
          <w:rFonts w:ascii="Times New Roman" w:hAnsi="Times New Roman" w:cs="Times New Roman"/>
          <w:color w:val="000000" w:themeColor="text1"/>
        </w:rPr>
        <w:t>. Rysy nie mają prawa wystąpić.</w:t>
      </w:r>
    </w:p>
    <w:p w14:paraId="06713240"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Sposób połączenia folii z powierzchnią tarczy znaku powinien uniemożliwiać jej odłączenie od tarczy bez jej zniszczenia.</w:t>
      </w:r>
    </w:p>
    <w:p w14:paraId="3FA1813D"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Dokładność rysunku znaku powinna być taka, aby wady konturów znaku, które mogą powstać przy nanoszeniu farby na odblaskową powierzchnię znaku, nie były większe niż podane w p. 2.6.3.</w:t>
      </w:r>
    </w:p>
    <w:p w14:paraId="31E7DFA5" w14:textId="77777777" w:rsidR="004D6256" w:rsidRPr="001667DB" w:rsidRDefault="004D6256" w:rsidP="00577746">
      <w:pPr>
        <w:widowControl w:val="0"/>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Lica znaków wykonane drukiem sitowym powinny być wolne od smug i cieni.</w:t>
      </w:r>
    </w:p>
    <w:p w14:paraId="277B98A8" w14:textId="77777777" w:rsidR="004D6256" w:rsidRPr="001667DB" w:rsidRDefault="004D6256" w:rsidP="00577746">
      <w:pPr>
        <w:pStyle w:val="Nagwek"/>
        <w:tabs>
          <w:tab w:val="left" w:pos="708"/>
        </w:tabs>
        <w:rPr>
          <w:color w:val="000000" w:themeColor="text1"/>
          <w:sz w:val="22"/>
        </w:rPr>
      </w:pPr>
      <w:r w:rsidRPr="001667DB">
        <w:rPr>
          <w:color w:val="000000" w:themeColor="text1"/>
          <w:sz w:val="22"/>
        </w:rPr>
        <w:tab/>
        <w:t>Krawędzie lica znaku z folii typu 2 i folii pryzmatycznej powinny być odpowiednio zabezpieczone np. przez lakierowanie lub ramą z profilu ceowego.</w:t>
      </w:r>
    </w:p>
    <w:p w14:paraId="4B9C2518" w14:textId="77777777" w:rsidR="004D6256" w:rsidRPr="001667DB" w:rsidRDefault="004D6256" w:rsidP="00577746">
      <w:pPr>
        <w:widowControl w:val="0"/>
        <w:ind w:firstLine="709"/>
        <w:jc w:val="both"/>
        <w:rPr>
          <w:rFonts w:ascii="Times New Roman" w:hAnsi="Times New Roman" w:cs="Times New Roman"/>
          <w:b/>
          <w:bCs/>
          <w:color w:val="000000" w:themeColor="text1"/>
        </w:rPr>
      </w:pPr>
      <w:r w:rsidRPr="001667DB">
        <w:rPr>
          <w:rFonts w:ascii="Times New Roman" w:hAnsi="Times New Roman" w:cs="Times New Roman"/>
          <w:color w:val="000000" w:themeColor="text1"/>
        </w:rPr>
        <w:t xml:space="preserve">Powłoka lakiernicza w kolorze RAL 7037 na tylnej stronie znaku powinna być równa, gładka bez smug i zacieków.    </w:t>
      </w:r>
    </w:p>
    <w:p w14:paraId="4047EF2C" w14:textId="77777777" w:rsidR="004D6256" w:rsidRPr="001667DB" w:rsidRDefault="004D6256" w:rsidP="00577746">
      <w:pPr>
        <w:widowControl w:val="0"/>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Sprawdzenie polega na ocenie wizualnej.</w:t>
      </w:r>
    </w:p>
    <w:p w14:paraId="22AF4294" w14:textId="77777777" w:rsidR="004D6256" w:rsidRPr="001667DB" w:rsidRDefault="004D6256" w:rsidP="00577746">
      <w:pPr>
        <w:spacing w:before="120"/>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lastRenderedPageBreak/>
        <w:t>2.6.3  Tolerancje wymiarowe znaków drogowych</w:t>
      </w:r>
    </w:p>
    <w:p w14:paraId="3899E834" w14:textId="77777777" w:rsidR="004D6256" w:rsidRPr="001667DB" w:rsidRDefault="004D6256" w:rsidP="00577746">
      <w:pPr>
        <w:spacing w:before="120" w:after="120"/>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2.6.3.1  Tolerancje wymiarowe dla grubości blach</w:t>
      </w:r>
    </w:p>
    <w:p w14:paraId="036DF4D3" w14:textId="77777777" w:rsidR="004D6256" w:rsidRPr="001667DB" w:rsidRDefault="004D6256" w:rsidP="00577746">
      <w:pPr>
        <w:ind w:firstLine="709"/>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Sprawdzenie śrubą mikrometryczną:</w:t>
      </w:r>
    </w:p>
    <w:p w14:paraId="2C5605A4" w14:textId="77777777" w:rsidR="004D6256" w:rsidRPr="001667DB" w:rsidRDefault="004D6256" w:rsidP="00904E6C">
      <w:pPr>
        <w:numPr>
          <w:ilvl w:val="0"/>
          <w:numId w:val="337"/>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blachy stalowej ocynkowanej ogniowo o gr. 1,25 -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 xml:space="preserve"> wynosi </w:t>
      </w:r>
      <w:r w:rsidRPr="001667DB">
        <w:rPr>
          <w:rFonts w:ascii="Times New Roman" w:hAnsi="Times New Roman" w:cs="Times New Roman"/>
          <w:color w:val="000000" w:themeColor="text1"/>
        </w:rPr>
        <w:tab/>
        <w:t xml:space="preserve"> - </w:t>
      </w:r>
      <w:smartTag w:uri="urn:schemas-microsoft-com:office:smarttags" w:element="metricconverter">
        <w:smartTagPr>
          <w:attr w:name="ProductID" w:val="0,14 mm"/>
        </w:smartTagPr>
        <w:r w:rsidRPr="001667DB">
          <w:rPr>
            <w:rFonts w:ascii="Times New Roman" w:hAnsi="Times New Roman" w:cs="Times New Roman"/>
            <w:color w:val="000000" w:themeColor="text1"/>
          </w:rPr>
          <w:t>0,14 mm</w:t>
        </w:r>
      </w:smartTag>
      <w:r w:rsidRPr="001667DB">
        <w:rPr>
          <w:rFonts w:ascii="Times New Roman" w:hAnsi="Times New Roman" w:cs="Times New Roman"/>
          <w:color w:val="000000" w:themeColor="text1"/>
        </w:rPr>
        <w:t>,</w:t>
      </w:r>
    </w:p>
    <w:p w14:paraId="7B2326E3" w14:textId="77777777" w:rsidR="004D6256" w:rsidRPr="001667DB" w:rsidRDefault="004D6256" w:rsidP="00904E6C">
      <w:pPr>
        <w:numPr>
          <w:ilvl w:val="0"/>
          <w:numId w:val="337"/>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blach aluminiowych o gr. 1,5 - </w:t>
      </w:r>
      <w:smartTag w:uri="urn:schemas-microsoft-com:office:smarttags" w:element="metricconverter">
        <w:smartTagPr>
          <w:attr w:name="ProductID" w:val="2,0 mm"/>
        </w:smartTagPr>
        <w:r w:rsidRPr="001667DB">
          <w:rPr>
            <w:rFonts w:ascii="Times New Roman" w:hAnsi="Times New Roman" w:cs="Times New Roman"/>
            <w:color w:val="000000" w:themeColor="text1"/>
          </w:rPr>
          <w:t>2,0 mm</w:t>
        </w:r>
      </w:smartTag>
      <w:r w:rsidRPr="001667DB">
        <w:rPr>
          <w:rFonts w:ascii="Times New Roman" w:hAnsi="Times New Roman" w:cs="Times New Roman"/>
          <w:color w:val="000000" w:themeColor="text1"/>
        </w:rPr>
        <w:t xml:space="preserve"> wynosi </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 xml:space="preserve"> - </w:t>
      </w:r>
      <w:smartTag w:uri="urn:schemas-microsoft-com:office:smarttags" w:element="metricconverter">
        <w:smartTagPr>
          <w:attr w:name="ProductID" w:val="0,10 mm"/>
        </w:smartTagPr>
        <w:r w:rsidRPr="001667DB">
          <w:rPr>
            <w:rFonts w:ascii="Times New Roman" w:hAnsi="Times New Roman" w:cs="Times New Roman"/>
            <w:color w:val="000000" w:themeColor="text1"/>
          </w:rPr>
          <w:t>0,10 mm</w:t>
        </w:r>
      </w:smartTag>
      <w:r w:rsidRPr="001667DB">
        <w:rPr>
          <w:rFonts w:ascii="Times New Roman" w:hAnsi="Times New Roman" w:cs="Times New Roman"/>
          <w:color w:val="000000" w:themeColor="text1"/>
        </w:rPr>
        <w:t>.</w:t>
      </w:r>
    </w:p>
    <w:p w14:paraId="0E97C928" w14:textId="77777777" w:rsidR="004D6256" w:rsidRPr="001667DB" w:rsidRDefault="004D6256" w:rsidP="00577746">
      <w:pPr>
        <w:spacing w:before="120" w:after="120"/>
        <w:jc w:val="both"/>
        <w:rPr>
          <w:rFonts w:ascii="Times New Roman" w:hAnsi="Times New Roman" w:cs="Times New Roman"/>
          <w:b/>
          <w:bCs/>
          <w:color w:val="000000" w:themeColor="text1"/>
        </w:rPr>
      </w:pPr>
      <w:r w:rsidRPr="001667DB">
        <w:rPr>
          <w:rFonts w:ascii="Times New Roman" w:hAnsi="Times New Roman" w:cs="Times New Roman"/>
          <w:color w:val="000000" w:themeColor="text1"/>
        </w:rPr>
        <w:t xml:space="preserve"> </w:t>
      </w:r>
      <w:r w:rsidRPr="001667DB">
        <w:rPr>
          <w:rFonts w:ascii="Times New Roman" w:hAnsi="Times New Roman" w:cs="Times New Roman"/>
          <w:b/>
          <w:bCs/>
          <w:color w:val="000000" w:themeColor="text1"/>
        </w:rPr>
        <w:t xml:space="preserve">2.6.3.2 Tolerancje wymiarowe dla grubości powłok malarskich </w:t>
      </w:r>
    </w:p>
    <w:p w14:paraId="700CAC37" w14:textId="77777777" w:rsidR="004D6256" w:rsidRPr="001667DB" w:rsidRDefault="004D6256" w:rsidP="00577746">
      <w:pPr>
        <w:ind w:firstLine="709"/>
        <w:jc w:val="both"/>
        <w:rPr>
          <w:rFonts w:ascii="Times New Roman" w:hAnsi="Times New Roman" w:cs="Times New Roman"/>
          <w:bCs/>
          <w:color w:val="000000" w:themeColor="text1"/>
        </w:rPr>
      </w:pPr>
      <w:r w:rsidRPr="001667DB">
        <w:rPr>
          <w:rFonts w:ascii="Times New Roman" w:hAnsi="Times New Roman" w:cs="Times New Roman"/>
          <w:color w:val="000000" w:themeColor="text1"/>
        </w:rPr>
        <w:t xml:space="preserve">Dla powłoki lakierniczej na tylnej powierzchni tarczy znaku o grubości 60 µm wynosi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15 nm.  </w:t>
      </w:r>
      <w:r w:rsidRPr="001667DB">
        <w:rPr>
          <w:rFonts w:ascii="Times New Roman" w:hAnsi="Times New Roman" w:cs="Times New Roman"/>
          <w:bCs/>
          <w:color w:val="000000" w:themeColor="text1"/>
        </w:rPr>
        <w:t>Sprawdzenie wg PN-EN ISO 2808:2000 [22].</w:t>
      </w:r>
    </w:p>
    <w:p w14:paraId="3137AC06" w14:textId="77777777" w:rsidR="004D6256" w:rsidRPr="001667DB" w:rsidRDefault="004D6256" w:rsidP="00577746">
      <w:pPr>
        <w:spacing w:before="120" w:after="120"/>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2.6.3.3 Tolerancje wymiarowe dla płaskości powierzchni</w:t>
      </w:r>
    </w:p>
    <w:p w14:paraId="3FCF2757"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Odchylenia od poziomu nie mogą wynieść więcej niż 0,2 %, wyjątkowo do 0,5 %. Sprawdzenie szczelinomierzem.</w:t>
      </w:r>
    </w:p>
    <w:p w14:paraId="09250130" w14:textId="77777777" w:rsidR="004D6256" w:rsidRPr="001667DB" w:rsidRDefault="004D6256" w:rsidP="00577746">
      <w:pPr>
        <w:spacing w:before="120" w:after="120"/>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2.6.3.4 Tolerancje wymiarowe dla tarcz znaków</w:t>
      </w:r>
    </w:p>
    <w:p w14:paraId="6BAB33F9" w14:textId="77777777" w:rsidR="004D6256" w:rsidRPr="001667DB" w:rsidRDefault="004D6256" w:rsidP="00577746">
      <w:pPr>
        <w:ind w:firstLine="709"/>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Sprawdzenie przymiarem liniowym:</w:t>
      </w:r>
    </w:p>
    <w:p w14:paraId="21F5D7BD" w14:textId="77777777" w:rsidR="004D6256" w:rsidRPr="001667DB" w:rsidRDefault="004D6256" w:rsidP="00904E6C">
      <w:pPr>
        <w:numPr>
          <w:ilvl w:val="0"/>
          <w:numId w:val="338"/>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wymiary dla tarcz znaków o powierzchni &lt; 1m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podane w opisach szczegółowych załącznika nr 1 [25] są  należy powiększyć o </w:t>
      </w:r>
      <w:smartTag w:uri="urn:schemas-microsoft-com:office:smarttags" w:element="metricconverter">
        <w:smartTagPr>
          <w:attr w:name="ProductID" w:val="10 mm"/>
        </w:smartTagPr>
        <w:r w:rsidRPr="001667DB">
          <w:rPr>
            <w:rFonts w:ascii="Times New Roman" w:hAnsi="Times New Roman" w:cs="Times New Roman"/>
            <w:color w:val="000000" w:themeColor="text1"/>
          </w:rPr>
          <w:t>10 mm</w:t>
        </w:r>
      </w:smartTag>
      <w:r w:rsidRPr="001667DB">
        <w:rPr>
          <w:rFonts w:ascii="Times New Roman" w:hAnsi="Times New Roman" w:cs="Times New Roman"/>
          <w:color w:val="000000" w:themeColor="text1"/>
        </w:rPr>
        <w:t xml:space="preserve"> i wykonać w tolerancji wymiarowej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5 mm"/>
        </w:smartTagPr>
        <w:r w:rsidRPr="001667DB">
          <w:rPr>
            <w:rFonts w:ascii="Times New Roman" w:hAnsi="Times New Roman" w:cs="Times New Roman"/>
            <w:color w:val="000000" w:themeColor="text1"/>
          </w:rPr>
          <w:t>5 mm</w:t>
        </w:r>
      </w:smartTag>
      <w:r w:rsidRPr="001667DB">
        <w:rPr>
          <w:rFonts w:ascii="Times New Roman" w:hAnsi="Times New Roman" w:cs="Times New Roman"/>
          <w:color w:val="000000" w:themeColor="text1"/>
        </w:rPr>
        <w:t>,</w:t>
      </w:r>
    </w:p>
    <w:p w14:paraId="6F621FEF" w14:textId="77777777" w:rsidR="004D6256" w:rsidRPr="001667DB" w:rsidRDefault="004D6256" w:rsidP="00904E6C">
      <w:pPr>
        <w:numPr>
          <w:ilvl w:val="0"/>
          <w:numId w:val="338"/>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wymiary dla tarcz znaków i tablic  o powierzchni &gt; 1m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podane w opisach szczegółowych załącznika nr 1 [25] oraz  wymiary wynikowe dla tablic grupy E należy powiększyć o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 xml:space="preserve"> i wykonać w tolerancji wymiarowej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0 mm"/>
        </w:smartTagPr>
        <w:r w:rsidRPr="001667DB">
          <w:rPr>
            <w:rFonts w:ascii="Times New Roman" w:hAnsi="Times New Roman" w:cs="Times New Roman"/>
            <w:color w:val="000000" w:themeColor="text1"/>
          </w:rPr>
          <w:t>10 mm</w:t>
        </w:r>
      </w:smartTag>
      <w:r w:rsidRPr="001667DB">
        <w:rPr>
          <w:rFonts w:ascii="Times New Roman" w:hAnsi="Times New Roman" w:cs="Times New Roman"/>
          <w:color w:val="000000" w:themeColor="text1"/>
        </w:rPr>
        <w:t>.</w:t>
      </w:r>
    </w:p>
    <w:p w14:paraId="22700F75" w14:textId="77777777" w:rsidR="004D6256" w:rsidRPr="001667DB" w:rsidRDefault="004D6256" w:rsidP="00577746">
      <w:pPr>
        <w:spacing w:before="120" w:after="120"/>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 xml:space="preserve">2.6.3.5 Tolerancje wymiarowe dla lica znaku </w:t>
      </w:r>
    </w:p>
    <w:p w14:paraId="400DCA41" w14:textId="77777777" w:rsidR="004D6256" w:rsidRPr="001667DB" w:rsidRDefault="004D6256" w:rsidP="00577746">
      <w:pPr>
        <w:ind w:firstLine="709"/>
        <w:jc w:val="both"/>
        <w:rPr>
          <w:rFonts w:ascii="Times New Roman" w:hAnsi="Times New Roman" w:cs="Times New Roman"/>
          <w:bCs/>
          <w:color w:val="000000" w:themeColor="text1"/>
        </w:rPr>
      </w:pPr>
      <w:r w:rsidRPr="001667DB">
        <w:rPr>
          <w:rFonts w:ascii="Times New Roman" w:hAnsi="Times New Roman" w:cs="Times New Roman"/>
          <w:bCs/>
          <w:color w:val="000000" w:themeColor="text1"/>
        </w:rPr>
        <w:t>Sprawdzone przymiarem liniowym:</w:t>
      </w:r>
    </w:p>
    <w:p w14:paraId="6C14F5C7" w14:textId="77777777" w:rsidR="004D6256" w:rsidRPr="001667DB" w:rsidRDefault="004D6256" w:rsidP="00904E6C">
      <w:pPr>
        <w:numPr>
          <w:ilvl w:val="0"/>
          <w:numId w:val="339"/>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tolerancje wymiarowe rysunku lica  wykonanego drukiem sitowym wynoszą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1,5 mm"/>
        </w:smartTagPr>
        <w:r w:rsidRPr="001667DB">
          <w:rPr>
            <w:rFonts w:ascii="Times New Roman" w:hAnsi="Times New Roman" w:cs="Times New Roman"/>
            <w:color w:val="000000" w:themeColor="text1"/>
          </w:rPr>
          <w:t>1,5 mm</w:t>
        </w:r>
      </w:smartTag>
      <w:r w:rsidRPr="001667DB">
        <w:rPr>
          <w:rFonts w:ascii="Times New Roman" w:hAnsi="Times New Roman" w:cs="Times New Roman"/>
          <w:color w:val="000000" w:themeColor="text1"/>
        </w:rPr>
        <w:t>,</w:t>
      </w:r>
    </w:p>
    <w:p w14:paraId="7B25CF25" w14:textId="77777777" w:rsidR="004D6256" w:rsidRPr="001667DB" w:rsidRDefault="004D6256" w:rsidP="00904E6C">
      <w:pPr>
        <w:numPr>
          <w:ilvl w:val="0"/>
          <w:numId w:val="339"/>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tolerancje wymiarowe rysunku lica wykonanego metodą wyklejania wynoszą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2 mm"/>
        </w:smartTagPr>
        <w:r w:rsidRPr="001667DB">
          <w:rPr>
            <w:rFonts w:ascii="Times New Roman" w:hAnsi="Times New Roman" w:cs="Times New Roman"/>
            <w:color w:val="000000" w:themeColor="text1"/>
          </w:rPr>
          <w:t>2 mm</w:t>
        </w:r>
      </w:smartTag>
      <w:r w:rsidRPr="001667DB">
        <w:rPr>
          <w:rFonts w:ascii="Times New Roman" w:hAnsi="Times New Roman" w:cs="Times New Roman"/>
          <w:color w:val="000000" w:themeColor="text1"/>
        </w:rPr>
        <w:t>,</w:t>
      </w:r>
    </w:p>
    <w:p w14:paraId="7488C862" w14:textId="77777777" w:rsidR="004D6256" w:rsidRPr="001667DB" w:rsidRDefault="004D6256" w:rsidP="00904E6C">
      <w:pPr>
        <w:numPr>
          <w:ilvl w:val="0"/>
          <w:numId w:val="339"/>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kontury rysunku znaku (obwódka i symbol) muszą być równe z dokładnością w każdym kierunku do 1,0mm.</w:t>
      </w:r>
    </w:p>
    <w:p w14:paraId="3E7C40E0"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znakach nowych na każdym z fragmentów powierzchni znaku o wymiarach 4 x </w:t>
      </w:r>
      <w:smartTag w:uri="urn:schemas-microsoft-com:office:smarttags" w:element="metricconverter">
        <w:smartTagPr>
          <w:attr w:name="ProductID" w:val="4 cm"/>
        </w:smartTagPr>
        <w:r w:rsidRPr="001667DB">
          <w:rPr>
            <w:rFonts w:ascii="Times New Roman" w:hAnsi="Times New Roman" w:cs="Times New Roman"/>
            <w:color w:val="000000" w:themeColor="text1"/>
          </w:rPr>
          <w:t>4 cm</w:t>
        </w:r>
      </w:smartTag>
      <w:r w:rsidRPr="001667DB">
        <w:rPr>
          <w:rFonts w:ascii="Times New Roman" w:hAnsi="Times New Roman" w:cs="Times New Roman"/>
          <w:color w:val="000000" w:themeColor="text1"/>
        </w:rPr>
        <w:t xml:space="preserve"> nie może występować więcej niż 0,7 lokalnych usterek (załamania, pęcherzyki) o wymiarach nie większych niż </w:t>
      </w:r>
      <w:smartTag w:uri="urn:schemas-microsoft-com:office:smarttags" w:element="metricconverter">
        <w:smartTagPr>
          <w:attr w:name="ProductID" w:val="1 mm"/>
        </w:smartTagPr>
        <w:r w:rsidRPr="001667DB">
          <w:rPr>
            <w:rFonts w:ascii="Times New Roman" w:hAnsi="Times New Roman" w:cs="Times New Roman"/>
            <w:color w:val="000000" w:themeColor="text1"/>
          </w:rPr>
          <w:t>1 mm</w:t>
        </w:r>
      </w:smartTag>
      <w:r w:rsidRPr="001667DB">
        <w:rPr>
          <w:rFonts w:ascii="Times New Roman" w:hAnsi="Times New Roman" w:cs="Times New Roman"/>
          <w:color w:val="000000" w:themeColor="text1"/>
        </w:rPr>
        <w:t xml:space="preserve"> w każdym kierunku. Niedopuszczalne jest występowanie jakichkolwiek zarysowań powierzchni znaku.</w:t>
      </w:r>
    </w:p>
    <w:p w14:paraId="3FD1B32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Na znakach w okresie gwarancji, na każdym z fragmentów powierzchni znaku o wymiarach 4 x </w:t>
      </w:r>
      <w:smartTag w:uri="urn:schemas-microsoft-com:office:smarttags" w:element="metricconverter">
        <w:smartTagPr>
          <w:attr w:name="ProductID" w:val="4 cm"/>
        </w:smartTagPr>
        <w:r w:rsidRPr="001667DB">
          <w:rPr>
            <w:rFonts w:ascii="Times New Roman" w:hAnsi="Times New Roman" w:cs="Times New Roman"/>
            <w:color w:val="000000" w:themeColor="text1"/>
          </w:rPr>
          <w:t>4 cm</w:t>
        </w:r>
      </w:smartTag>
      <w:r w:rsidRPr="001667DB">
        <w:rPr>
          <w:rFonts w:ascii="Times New Roman" w:hAnsi="Times New Roman" w:cs="Times New Roman"/>
          <w:color w:val="000000" w:themeColor="text1"/>
        </w:rPr>
        <w:t xml:space="preserve"> dopuszcza się do 2 usterek jak wyżej, o wymiarach nie większych niż </w:t>
      </w:r>
      <w:smartTag w:uri="urn:schemas-microsoft-com:office:smarttags" w:element="metricconverter">
        <w:smartTagPr>
          <w:attr w:name="ProductID" w:val="1 mm"/>
        </w:smartTagPr>
        <w:r w:rsidRPr="001667DB">
          <w:rPr>
            <w:rFonts w:ascii="Times New Roman" w:hAnsi="Times New Roman" w:cs="Times New Roman"/>
            <w:color w:val="000000" w:themeColor="text1"/>
          </w:rPr>
          <w:t>1 mm</w:t>
        </w:r>
      </w:smartTag>
      <w:r w:rsidRPr="001667DB">
        <w:rPr>
          <w:rFonts w:ascii="Times New Roman" w:hAnsi="Times New Roman" w:cs="Times New Roman"/>
          <w:color w:val="000000" w:themeColor="text1"/>
        </w:rPr>
        <w:t xml:space="preserve"> w każdym kierunku. Na powierzchni tej dopuszcza się do 3 zarysowań o szerokości nie większej niż </w:t>
      </w:r>
      <w:smartTag w:uri="urn:schemas-microsoft-com:office:smarttags" w:element="metricconverter">
        <w:smartTagPr>
          <w:attr w:name="ProductID" w:val="0,8 mm"/>
        </w:smartTagPr>
        <w:r w:rsidRPr="001667DB">
          <w:rPr>
            <w:rFonts w:ascii="Times New Roman" w:hAnsi="Times New Roman" w:cs="Times New Roman"/>
            <w:color w:val="000000" w:themeColor="text1"/>
          </w:rPr>
          <w:t>0,8 mm</w:t>
        </w:r>
      </w:smartTag>
      <w:r w:rsidRPr="001667DB">
        <w:rPr>
          <w:rFonts w:ascii="Times New Roman" w:hAnsi="Times New Roman" w:cs="Times New Roman"/>
          <w:color w:val="000000" w:themeColor="text1"/>
        </w:rPr>
        <w:t xml:space="preserve"> i całkowitej długości nie większej niż </w:t>
      </w:r>
      <w:smartTag w:uri="urn:schemas-microsoft-com:office:smarttags" w:element="metricconverter">
        <w:smartTagPr>
          <w:attr w:name="ProductID" w:val="10 cm"/>
        </w:smartTagPr>
        <w:r w:rsidRPr="001667DB">
          <w:rPr>
            <w:rFonts w:ascii="Times New Roman" w:hAnsi="Times New Roman" w:cs="Times New Roman"/>
            <w:color w:val="000000" w:themeColor="text1"/>
          </w:rPr>
          <w:t>10 cm</w:t>
        </w:r>
      </w:smartTag>
      <w:r w:rsidRPr="001667DB">
        <w:rPr>
          <w:rFonts w:ascii="Times New Roman" w:hAnsi="Times New Roman" w:cs="Times New Roman"/>
          <w:color w:val="000000" w:themeColor="text1"/>
        </w:rPr>
        <w:t xml:space="preserve">. Na całkowitej długości znaku dopuszcza się nie więcej niż 5 rys szerokości nie większej niż </w:t>
      </w:r>
      <w:smartTag w:uri="urn:schemas-microsoft-com:office:smarttags" w:element="metricconverter">
        <w:smartTagPr>
          <w:attr w:name="ProductID" w:val="0,8 mm"/>
        </w:smartTagPr>
        <w:r w:rsidRPr="001667DB">
          <w:rPr>
            <w:rFonts w:ascii="Times New Roman" w:hAnsi="Times New Roman" w:cs="Times New Roman"/>
            <w:color w:val="000000" w:themeColor="text1"/>
          </w:rPr>
          <w:t>0,8 mm</w:t>
        </w:r>
      </w:smartTag>
      <w:r w:rsidRPr="001667DB">
        <w:rPr>
          <w:rFonts w:ascii="Times New Roman" w:hAnsi="Times New Roman" w:cs="Times New Roman"/>
          <w:color w:val="000000" w:themeColor="text1"/>
        </w:rPr>
        <w:t xml:space="preserve"> i długości przekraczającej </w:t>
      </w:r>
      <w:smartTag w:uri="urn:schemas-microsoft-com:office:smarttags" w:element="metricconverter">
        <w:smartTagPr>
          <w:attr w:name="ProductID" w:val="10 cm"/>
        </w:smartTagPr>
        <w:r w:rsidRPr="001667DB">
          <w:rPr>
            <w:rFonts w:ascii="Times New Roman" w:hAnsi="Times New Roman" w:cs="Times New Roman"/>
            <w:color w:val="000000" w:themeColor="text1"/>
          </w:rPr>
          <w:t>10 cm</w:t>
        </w:r>
      </w:smartTag>
      <w:r w:rsidRPr="001667DB">
        <w:rPr>
          <w:rFonts w:ascii="Times New Roman" w:hAnsi="Times New Roman" w:cs="Times New Roman"/>
          <w:color w:val="000000" w:themeColor="text1"/>
        </w:rPr>
        <w:t xml:space="preserve"> - pod warunkiem, że zarysowania te nie zniekształcają treści znaku.</w:t>
      </w:r>
    </w:p>
    <w:p w14:paraId="6AD2E0F1"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znakach w okresie gwarancji dopuszcza się również lokalne uszkodzenie folii o powierzchni nie przekraczającej 6 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każde - w liczbie nie większej niż pięć na powierzchni znaku małego lub średniego, oraz o powierzchni nie przekraczającej 8 mm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1667DB">
          <w:rPr>
            <w:rFonts w:ascii="Times New Roman" w:hAnsi="Times New Roman" w:cs="Times New Roman"/>
            <w:color w:val="000000" w:themeColor="text1"/>
          </w:rPr>
          <w:t>1200 mm</w:t>
        </w:r>
      </w:smartTag>
      <w:r w:rsidRPr="001667DB">
        <w:rPr>
          <w:rFonts w:ascii="Times New Roman" w:hAnsi="Times New Roman" w:cs="Times New Roman"/>
          <w:color w:val="000000" w:themeColor="text1"/>
        </w:rPr>
        <w:t>.</w:t>
      </w:r>
    </w:p>
    <w:p w14:paraId="370C6E7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Uszkodzenia folii nie mogą zniekształcać treści znaku - w przypadku występowania takiego zniekształcenia znak musi być bezzwłocznie wymieniony.</w:t>
      </w:r>
    </w:p>
    <w:p w14:paraId="72F6C13D"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7F604495"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1667DB">
          <w:rPr>
            <w:rFonts w:ascii="Times New Roman" w:hAnsi="Times New Roman" w:cs="Times New Roman"/>
            <w:color w:val="000000" w:themeColor="text1"/>
          </w:rPr>
          <w:t>2,0 mm</w:t>
        </w:r>
      </w:smartTag>
      <w:r w:rsidRPr="001667DB">
        <w:rPr>
          <w:rFonts w:ascii="Times New Roman" w:hAnsi="Times New Roman" w:cs="Times New Roman"/>
          <w:color w:val="000000" w:themeColor="text1"/>
        </w:rPr>
        <w:t xml:space="preserve"> w każdym kierunku na powierzchni każdego z fragmentów znaku o wymiarach 4 × </w:t>
      </w:r>
      <w:smartTag w:uri="urn:schemas-microsoft-com:office:smarttags" w:element="metricconverter">
        <w:smartTagPr>
          <w:attr w:name="ProductID" w:val="4 cm"/>
        </w:smartTagPr>
        <w:r w:rsidRPr="001667DB">
          <w:rPr>
            <w:rFonts w:ascii="Times New Roman" w:hAnsi="Times New Roman" w:cs="Times New Roman"/>
            <w:color w:val="000000" w:themeColor="text1"/>
          </w:rPr>
          <w:t>4 cm</w:t>
        </w:r>
      </w:smartTag>
      <w:r w:rsidRPr="001667DB">
        <w:rPr>
          <w:rFonts w:ascii="Times New Roman" w:hAnsi="Times New Roman" w:cs="Times New Roman"/>
          <w:color w:val="000000" w:themeColor="text1"/>
        </w:rPr>
        <w:t>. W znakach nowych oraz w znakach znajdujących się w okresie wymaganej gwarancji żadna korozja tarczy znaku nie może występować.</w:t>
      </w:r>
    </w:p>
    <w:p w14:paraId="2B33F90C"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Wymagana jest taka wytrzymałość połączenia folii odblaskowej z tarczą znaku, by po zgięciu tarczy o 90</w:t>
      </w:r>
      <w:r w:rsidRPr="001667DB">
        <w:rPr>
          <w:rFonts w:ascii="Times New Roman" w:hAnsi="Times New Roman" w:cs="Times New Roman"/>
          <w:color w:val="000000" w:themeColor="text1"/>
          <w:vertAlign w:val="superscript"/>
        </w:rPr>
        <w:t>o</w:t>
      </w:r>
      <w:r w:rsidRPr="001667DB">
        <w:rPr>
          <w:rFonts w:ascii="Times New Roman" w:hAnsi="Times New Roman" w:cs="Times New Roman"/>
          <w:color w:val="000000" w:themeColor="text1"/>
        </w:rPr>
        <w:t xml:space="preserve"> przy promieniu łuku zgięcia do </w:t>
      </w:r>
      <w:smartTag w:uri="urn:schemas-microsoft-com:office:smarttags" w:element="metricconverter">
        <w:smartTagPr>
          <w:attr w:name="ProductID" w:val="10 mm"/>
        </w:smartTagPr>
        <w:r w:rsidRPr="001667DB">
          <w:rPr>
            <w:rFonts w:ascii="Times New Roman" w:hAnsi="Times New Roman" w:cs="Times New Roman"/>
            <w:color w:val="000000" w:themeColor="text1"/>
          </w:rPr>
          <w:t>10 mm</w:t>
        </w:r>
      </w:smartTag>
      <w:r w:rsidRPr="001667DB">
        <w:rPr>
          <w:rFonts w:ascii="Times New Roman" w:hAnsi="Times New Roman" w:cs="Times New Roman"/>
          <w:color w:val="000000" w:themeColor="text1"/>
        </w:rPr>
        <w:t xml:space="preserve"> w żadnym miejscu nie uległo ono zniszczeniu.</w:t>
      </w:r>
    </w:p>
    <w:p w14:paraId="03E61103" w14:textId="77777777" w:rsidR="004D6256" w:rsidRPr="001667DB" w:rsidRDefault="004D6256" w:rsidP="00577746">
      <w:pPr>
        <w:spacing w:before="120" w:after="120"/>
        <w:jc w:val="both"/>
        <w:rPr>
          <w:rFonts w:ascii="Times New Roman" w:hAnsi="Times New Roman" w:cs="Times New Roman"/>
          <w:b/>
          <w:color w:val="000000" w:themeColor="text1"/>
        </w:rPr>
      </w:pPr>
      <w:r w:rsidRPr="001667DB">
        <w:rPr>
          <w:rFonts w:ascii="Times New Roman" w:hAnsi="Times New Roman" w:cs="Times New Roman"/>
          <w:b/>
          <w:color w:val="000000" w:themeColor="text1"/>
        </w:rPr>
        <w:t>2.6.4   Obowiązujący system oceny zgodności</w:t>
      </w:r>
    </w:p>
    <w:p w14:paraId="2C2756CA" w14:textId="77777777" w:rsidR="004D6256" w:rsidRPr="001667DB" w:rsidRDefault="004D6256" w:rsidP="00577746">
      <w:pPr>
        <w:pStyle w:val="Numerowanie"/>
        <w:ind w:firstLine="709"/>
        <w:jc w:val="both"/>
        <w:rPr>
          <w:color w:val="000000" w:themeColor="text1"/>
          <w:sz w:val="22"/>
          <w:szCs w:val="22"/>
          <w:lang w:val="pl-PL"/>
        </w:rPr>
      </w:pPr>
      <w:r w:rsidRPr="001667DB">
        <w:rPr>
          <w:color w:val="000000" w:themeColor="text1"/>
          <w:sz w:val="22"/>
          <w:szCs w:val="22"/>
          <w:lang w:val="pl-PL"/>
        </w:rPr>
        <w:t>Zgodnie z art. 4, art. 5 ust. 1 oraz art. 8, ust. 1 ustawy z dnia 16 kwietnia 2004 r. o wyrobach budowlanych [30] wyrób, który posiada aprobatę techniczną może być wprowadzony do obrotu i stosowania przy wykonywaniu robót budowlanych w zakresie odpowiadającym jego właściwościom użytkowym i przeznaczeniu, jeżeli producent dokonał oceny zgodności, wydał krajową deklarację zgodności z aprobatą techniczną i oznakował wyrób budowlany zgodnie z obowiązującymi przepisami.</w:t>
      </w:r>
    </w:p>
    <w:p w14:paraId="7C394DC9"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Zgodnie z rozporządzeniem Ministra Infrastruktury z dnia 11 sierpnia 2004 r. [26] oceny zgodności wyrobu z aprobatą techniczną dokonuje producent, stosując system 1. </w:t>
      </w:r>
    </w:p>
    <w:p w14:paraId="3D6A0005" w14:textId="77777777" w:rsidR="004D6256" w:rsidRPr="001667DB" w:rsidRDefault="004D6256" w:rsidP="00577746">
      <w:pPr>
        <w:ind w:firstLine="709"/>
        <w:jc w:val="both"/>
        <w:rPr>
          <w:rFonts w:ascii="Times New Roman" w:hAnsi="Times New Roman" w:cs="Times New Roman"/>
          <w:color w:val="000000" w:themeColor="text1"/>
        </w:rPr>
      </w:pPr>
    </w:p>
    <w:p w14:paraId="268F9E27" w14:textId="77777777" w:rsidR="004D6256" w:rsidRPr="001667DB" w:rsidRDefault="004D6256" w:rsidP="00577746">
      <w:pPr>
        <w:pStyle w:val="Nagwek2"/>
        <w:numPr>
          <w:ilvl w:val="1"/>
          <w:numId w:val="3"/>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Znaki podświetlane</w:t>
      </w:r>
    </w:p>
    <w:p w14:paraId="6EB30BF1" w14:textId="77777777" w:rsidR="004D6256" w:rsidRPr="001667DB" w:rsidRDefault="004D6256" w:rsidP="00577746">
      <w:pPr>
        <w:jc w:val="both"/>
        <w:rPr>
          <w:rFonts w:ascii="Times New Roman" w:hAnsi="Times New Roman" w:cs="Times New Roman"/>
          <w:color w:val="000000" w:themeColor="text1"/>
        </w:rPr>
      </w:pPr>
    </w:p>
    <w:p w14:paraId="65DE0B38"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2.7.1. </w:t>
      </w:r>
      <w:r w:rsidRPr="001667DB">
        <w:rPr>
          <w:rFonts w:ascii="Times New Roman" w:hAnsi="Times New Roman" w:cs="Times New Roman"/>
          <w:color w:val="000000" w:themeColor="text1"/>
        </w:rPr>
        <w:t>Wymagania ogólne dotyczące znaków podświetlanych</w:t>
      </w:r>
    </w:p>
    <w:p w14:paraId="1261482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Znaki drogowe podświetlane wykonuje się jako urządzenia, których integralnym składnikiem jest oprawa oświetleniowa wbudowana w znak - osłonięta licem znaku z materiału przepuszczającego światło.</w:t>
      </w:r>
    </w:p>
    <w:p w14:paraId="3918B2DD"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Oprawy oświetleniowe powinny być zgodne z normą PN-EN 60598-2:2003(U)  [20].</w:t>
      </w:r>
    </w:p>
    <w:p w14:paraId="0392ADD1"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Znak drogowy podświetlany musi mieć umieszczone w sposób trwały oznaczenia przewidziane na naklejce według ustalenia punktu </w:t>
      </w:r>
      <w:smartTag w:uri="urn:schemas-microsoft-com:office:smarttags" w:element="metricconverter">
        <w:smartTagPr>
          <w:attr w:name="ProductID" w:val="5.12 a"/>
        </w:smartTagPr>
        <w:r w:rsidRPr="001667DB">
          <w:rPr>
            <w:rFonts w:ascii="Times New Roman" w:hAnsi="Times New Roman" w:cs="Times New Roman"/>
            <w:color w:val="000000" w:themeColor="text1"/>
          </w:rPr>
          <w:t>5.12 a</w:t>
        </w:r>
      </w:smartTag>
      <w:r w:rsidRPr="001667DB">
        <w:rPr>
          <w:rFonts w:ascii="Times New Roman" w:hAnsi="Times New Roman" w:cs="Times New Roman"/>
          <w:color w:val="000000" w:themeColor="text1"/>
        </w:rPr>
        <w:t xml:space="preserve"> ponadto oznaczenie oprawy: a) napięcia znamionowego zasilania, b) rodzaju prądu, c) liczby typu i mocy znamionowej źródeł światła, d) symbolu klasy ochronności elektrycznej oprawy wbudowanej w znak, e) symbolu IP stopnia ochrony odporności na wnikanie wilgoci i ciał obcych.</w:t>
      </w:r>
    </w:p>
    <w:p w14:paraId="2D22E320"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2.7.2. </w:t>
      </w:r>
      <w:r w:rsidRPr="001667DB">
        <w:rPr>
          <w:rFonts w:ascii="Times New Roman" w:hAnsi="Times New Roman" w:cs="Times New Roman"/>
          <w:color w:val="000000" w:themeColor="text1"/>
        </w:rPr>
        <w:t>Lico znaku podświetlanego</w:t>
      </w:r>
    </w:p>
    <w:p w14:paraId="2E6FFEF2"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Lico znaku powinno być tak wykonane, aby nie występowały niedokładności w postaci pęcherzy, pęknięć itp. Niedopuszczalne są lokalne nierówności oraz cząstki mechaniczne zatopione w warstwie podświetlanej.</w:t>
      </w:r>
    </w:p>
    <w:p w14:paraId="199445DC" w14:textId="77777777" w:rsidR="004D6256" w:rsidRPr="001667DB" w:rsidRDefault="004D6256" w:rsidP="00577746">
      <w:pPr>
        <w:pStyle w:val="Nagwek2"/>
        <w:numPr>
          <w:ilvl w:val="1"/>
          <w:numId w:val="3"/>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Znaki oświetlane</w:t>
      </w:r>
    </w:p>
    <w:p w14:paraId="6848C862" w14:textId="77777777" w:rsidR="004D6256" w:rsidRPr="001667DB" w:rsidRDefault="004D6256" w:rsidP="00577746">
      <w:pPr>
        <w:jc w:val="both"/>
        <w:rPr>
          <w:rFonts w:ascii="Times New Roman" w:hAnsi="Times New Roman" w:cs="Times New Roman"/>
          <w:color w:val="000000" w:themeColor="text1"/>
        </w:rPr>
      </w:pPr>
    </w:p>
    <w:p w14:paraId="4B3C5209"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2.8.1. </w:t>
      </w:r>
      <w:r w:rsidRPr="001667DB">
        <w:rPr>
          <w:rFonts w:ascii="Times New Roman" w:hAnsi="Times New Roman" w:cs="Times New Roman"/>
          <w:color w:val="000000" w:themeColor="text1"/>
        </w:rPr>
        <w:t>Wymagania ogólne dotyczące znaków oświetlanych</w:t>
      </w:r>
    </w:p>
    <w:p w14:paraId="6423F577"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Znaki drogowe oświetlane wykonuje się jak znaki nieodblaskowe. Ze znakiem sprzężona jest w sposób sztywny oprawa oświetleniowa, oświetlająca w nocy lico znaku. Oprawa umieszczona jest na zewnątrz znaku.</w:t>
      </w:r>
    </w:p>
    <w:p w14:paraId="528CBA09"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Jeśli dokumentacja projektowa lub ST przewiduje wykonanie znaku z materiałów odblaskowych, znak musi spełniać dodatkowo wymagania określone w punkcie 2.6.</w:t>
      </w:r>
    </w:p>
    <w:p w14:paraId="7BC9C302"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Oznaczenia na naklejce oprawy muszą spełniać wymagania określone w punkcie 2.7.1.</w:t>
      </w:r>
    </w:p>
    <w:p w14:paraId="064B1878" w14:textId="77777777" w:rsidR="004D6256" w:rsidRPr="001667DB" w:rsidRDefault="004D6256"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2.8.2. </w:t>
      </w:r>
      <w:r w:rsidRPr="001667DB">
        <w:rPr>
          <w:rFonts w:ascii="Times New Roman" w:hAnsi="Times New Roman" w:cs="Times New Roman"/>
          <w:color w:val="000000" w:themeColor="text1"/>
        </w:rPr>
        <w:t>Lico znaku oświetlonego</w:t>
      </w:r>
    </w:p>
    <w:p w14:paraId="09F66713"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Wymagania dotyczące lica znaku oświetlanego ustala się jak dla znaku podświetlanego (pkt 2.7.2).</w:t>
      </w:r>
    </w:p>
    <w:p w14:paraId="4CDCEF36" w14:textId="77777777" w:rsidR="004D6256" w:rsidRPr="001667DB" w:rsidRDefault="004D6256" w:rsidP="00577746">
      <w:pPr>
        <w:jc w:val="both"/>
        <w:rPr>
          <w:rFonts w:ascii="Times New Roman" w:hAnsi="Times New Roman" w:cs="Times New Roman"/>
          <w:color w:val="000000" w:themeColor="text1"/>
        </w:rPr>
      </w:pPr>
    </w:p>
    <w:p w14:paraId="52D1C401" w14:textId="77777777" w:rsidR="004D6256" w:rsidRPr="001667DB" w:rsidRDefault="004D6256" w:rsidP="00577746">
      <w:pPr>
        <w:pStyle w:val="Nagwek2"/>
        <w:numPr>
          <w:ilvl w:val="1"/>
          <w:numId w:val="3"/>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Materiały do montażu znaków</w:t>
      </w:r>
    </w:p>
    <w:p w14:paraId="54594EF3" w14:textId="77777777" w:rsidR="004D6256" w:rsidRPr="001667DB" w:rsidRDefault="004D6256" w:rsidP="00577746">
      <w:pPr>
        <w:jc w:val="both"/>
        <w:rPr>
          <w:rFonts w:ascii="Times New Roman" w:hAnsi="Times New Roman" w:cs="Times New Roman"/>
          <w:color w:val="000000" w:themeColor="text1"/>
        </w:rPr>
      </w:pPr>
    </w:p>
    <w:p w14:paraId="0136B266"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Wszystkie łączniki metalowe przewidywane do mocowania między sobą elementów konstrukcji wsporczych znaków jak śruby, listwy, wkręty, nakrętki itp. powinny być czyste, gładkie, bez pęknięć, naderwań, rozwarstwień i wypukłych karbów.</w:t>
      </w:r>
    </w:p>
    <w:p w14:paraId="2A6698AC" w14:textId="77777777" w:rsidR="004D6256" w:rsidRPr="001667DB" w:rsidRDefault="004D6256" w:rsidP="00577746">
      <w:pPr>
        <w:pStyle w:val="Listapunktowana"/>
        <w:tabs>
          <w:tab w:val="left" w:pos="709"/>
        </w:tabs>
        <w:ind w:left="0" w:firstLine="0"/>
        <w:jc w:val="both"/>
        <w:rPr>
          <w:color w:val="000000" w:themeColor="text1"/>
          <w:sz w:val="22"/>
          <w:szCs w:val="22"/>
        </w:rPr>
      </w:pPr>
      <w:r w:rsidRPr="001667DB">
        <w:rPr>
          <w:color w:val="000000" w:themeColor="text1"/>
          <w:sz w:val="22"/>
          <w:szCs w:val="22"/>
        </w:rPr>
        <w:tab/>
        <w:t>Łączniki mogą być dostarczane w pudełkach tekturowych, pojemnikach blaszanych lub paletach, w zależności od ich wielkości. Łączniki powinny być ocynkowane ogniowo lub wykonane z materiałów odpornych na korozję w czasie nie krótszym niż tarcza znaku i konstrukcja wsporcza.</w:t>
      </w:r>
    </w:p>
    <w:p w14:paraId="3CFBB901" w14:textId="77777777" w:rsidR="004D6256" w:rsidRPr="001667DB" w:rsidRDefault="004D6256" w:rsidP="00577746">
      <w:pPr>
        <w:pStyle w:val="Listapunktowana"/>
        <w:tabs>
          <w:tab w:val="left" w:pos="709"/>
        </w:tabs>
        <w:ind w:left="0" w:firstLine="0"/>
        <w:jc w:val="both"/>
        <w:rPr>
          <w:color w:val="000000" w:themeColor="text1"/>
          <w:sz w:val="22"/>
          <w:szCs w:val="22"/>
        </w:rPr>
      </w:pPr>
    </w:p>
    <w:p w14:paraId="1FF53B63" w14:textId="77777777" w:rsidR="004D6256" w:rsidRPr="001667DB" w:rsidRDefault="004D6256" w:rsidP="00577746">
      <w:pPr>
        <w:pStyle w:val="Nagwek2"/>
        <w:numPr>
          <w:ilvl w:val="1"/>
          <w:numId w:val="3"/>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Przechowywanie i składowanie materiałów</w:t>
      </w:r>
    </w:p>
    <w:p w14:paraId="1DF402DC"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Prefabrykaty betonowe powinny być składowane na wyrównanym, utwardzonym i odwodnionym podłożu. Prefabrykaty należy układać na podkładach z zachowaniem prześwitu minimum </w:t>
      </w:r>
      <w:smartTag w:uri="urn:schemas-microsoft-com:office:smarttags" w:element="metricconverter">
        <w:smartTagPr>
          <w:attr w:name="ProductID" w:val="10 cm"/>
        </w:smartTagPr>
        <w:r w:rsidRPr="001667DB">
          <w:rPr>
            <w:rFonts w:ascii="Times New Roman" w:hAnsi="Times New Roman" w:cs="Times New Roman"/>
            <w:color w:val="000000" w:themeColor="text1"/>
          </w:rPr>
          <w:t>10 cm</w:t>
        </w:r>
      </w:smartTag>
      <w:r w:rsidRPr="001667DB">
        <w:rPr>
          <w:rFonts w:ascii="Times New Roman" w:hAnsi="Times New Roman" w:cs="Times New Roman"/>
          <w:color w:val="000000" w:themeColor="text1"/>
        </w:rPr>
        <w:t xml:space="preserve"> między podłożem a prefabrykatem.</w:t>
      </w:r>
    </w:p>
    <w:p w14:paraId="351E66BF"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Znaki powinny być przechowywane w pomieszczeniach suchych, z dala od materiałów działających korodująco i w warunkach zabezpieczających przed uszkodzeniami.</w:t>
      </w:r>
    </w:p>
    <w:p w14:paraId="6A588965" w14:textId="77777777" w:rsidR="004D6256" w:rsidRPr="001667DB" w:rsidRDefault="004D6256" w:rsidP="00577746">
      <w:pPr>
        <w:jc w:val="both"/>
        <w:rPr>
          <w:rFonts w:ascii="Times New Roman" w:hAnsi="Times New Roman" w:cs="Times New Roman"/>
          <w:color w:val="000000" w:themeColor="text1"/>
        </w:rPr>
      </w:pPr>
    </w:p>
    <w:p w14:paraId="619BE9FD" w14:textId="77777777" w:rsidR="004D6256" w:rsidRPr="001667DB" w:rsidRDefault="004D6256" w:rsidP="00904E6C">
      <w:pPr>
        <w:pStyle w:val="Nagwek1"/>
        <w:numPr>
          <w:ilvl w:val="0"/>
          <w:numId w:val="345"/>
        </w:numPr>
        <w:tabs>
          <w:tab w:val="clear" w:pos="-720"/>
          <w:tab w:val="clear" w:pos="0"/>
          <w:tab w:val="clear" w:pos="284"/>
          <w:tab w:val="clear" w:pos="435"/>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bookmarkStart w:id="844" w:name="_Toc131916639"/>
      <w:r w:rsidRPr="001667DB">
        <w:rPr>
          <w:color w:val="000000" w:themeColor="text1"/>
          <w:sz w:val="22"/>
          <w:szCs w:val="22"/>
        </w:rPr>
        <w:t>sprzęt</w:t>
      </w:r>
      <w:bookmarkEnd w:id="844"/>
    </w:p>
    <w:p w14:paraId="356C8A3E" w14:textId="77777777" w:rsidR="004D6256" w:rsidRPr="001667DB" w:rsidRDefault="004D6256" w:rsidP="00577746">
      <w:pPr>
        <w:jc w:val="both"/>
        <w:rPr>
          <w:rFonts w:ascii="Times New Roman" w:hAnsi="Times New Roman" w:cs="Times New Roman"/>
          <w:color w:val="000000" w:themeColor="text1"/>
        </w:rPr>
      </w:pPr>
    </w:p>
    <w:p w14:paraId="2000459E" w14:textId="77777777" w:rsidR="004D6256" w:rsidRPr="001667DB" w:rsidRDefault="00FF214F"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 xml:space="preserve"> </w:t>
      </w:r>
      <w:r w:rsidR="004D6256" w:rsidRPr="001667DB">
        <w:rPr>
          <w:color w:val="000000" w:themeColor="text1"/>
          <w:sz w:val="22"/>
          <w:szCs w:val="22"/>
        </w:rPr>
        <w:t>Ogólne wymagania dotyczące sprzętu</w:t>
      </w:r>
    </w:p>
    <w:p w14:paraId="457B70C0"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2BA151FD"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Sprzęt do wykonania oznakowania pionowego</w:t>
      </w:r>
    </w:p>
    <w:p w14:paraId="66D32163" w14:textId="77777777" w:rsidR="002967E5" w:rsidRPr="001667DB" w:rsidRDefault="002967E5" w:rsidP="00577746">
      <w:pPr>
        <w:jc w:val="both"/>
        <w:rPr>
          <w:rFonts w:ascii="Times New Roman" w:hAnsi="Times New Roman" w:cs="Times New Roman"/>
          <w:color w:val="000000" w:themeColor="text1"/>
        </w:rPr>
      </w:pPr>
    </w:p>
    <w:p w14:paraId="4CB4C1EF"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przystępujący do wykonania oznakowania pionowego powinien wykazać się możliwością korzystania z następującego sprzętu:</w:t>
      </w:r>
    </w:p>
    <w:p w14:paraId="4D80C80A"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koparek kołowych, np. </w:t>
      </w:r>
      <w:smartTag w:uri="urn:schemas-microsoft-com:office:smarttags" w:element="metricconverter">
        <w:smartTagPr>
          <w:attr w:name="ProductID" w:val="0,15 m3"/>
        </w:smartTagPr>
        <w:r w:rsidRPr="001667DB">
          <w:rPr>
            <w:rFonts w:ascii="Times New Roman" w:hAnsi="Times New Roman" w:cs="Times New Roman"/>
            <w:color w:val="000000" w:themeColor="text1"/>
          </w:rPr>
          <w:t>0,15 m</w:t>
        </w:r>
        <w:r w:rsidRPr="001667DB">
          <w:rPr>
            <w:rFonts w:ascii="Times New Roman" w:hAnsi="Times New Roman" w:cs="Times New Roman"/>
            <w:color w:val="000000" w:themeColor="text1"/>
            <w:vertAlign w:val="superscript"/>
          </w:rPr>
          <w:t>3</w:t>
        </w:r>
      </w:smartTag>
      <w:r w:rsidRPr="001667DB">
        <w:rPr>
          <w:rFonts w:ascii="Times New Roman" w:hAnsi="Times New Roman" w:cs="Times New Roman"/>
          <w:color w:val="000000" w:themeColor="text1"/>
        </w:rPr>
        <w:t xml:space="preserve"> lub koparek gąsienicowych, np. </w:t>
      </w:r>
      <w:smartTag w:uri="urn:schemas-microsoft-com:office:smarttags" w:element="metricconverter">
        <w:smartTagPr>
          <w:attr w:name="ProductID" w:val="0,25 m3"/>
        </w:smartTagPr>
        <w:r w:rsidRPr="001667DB">
          <w:rPr>
            <w:rFonts w:ascii="Times New Roman" w:hAnsi="Times New Roman" w:cs="Times New Roman"/>
            <w:color w:val="000000" w:themeColor="text1"/>
          </w:rPr>
          <w:t>0,25 m</w:t>
        </w:r>
        <w:r w:rsidRPr="001667DB">
          <w:rPr>
            <w:rFonts w:ascii="Times New Roman" w:hAnsi="Times New Roman" w:cs="Times New Roman"/>
            <w:color w:val="000000" w:themeColor="text1"/>
            <w:vertAlign w:val="superscript"/>
          </w:rPr>
          <w:t>3</w:t>
        </w:r>
      </w:smartTag>
      <w:r w:rsidRPr="001667DB">
        <w:rPr>
          <w:rFonts w:ascii="Times New Roman" w:hAnsi="Times New Roman" w:cs="Times New Roman"/>
          <w:color w:val="000000" w:themeColor="text1"/>
        </w:rPr>
        <w:t>,</w:t>
      </w:r>
    </w:p>
    <w:p w14:paraId="6086F5C8"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żurawi samochodowych o udźwigu do 4 t,</w:t>
      </w:r>
    </w:p>
    <w:p w14:paraId="348FE4CE"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wiertnic do wykonywania dołów pod słupki w gruncie spoistym,</w:t>
      </w:r>
    </w:p>
    <w:p w14:paraId="0F4982F0"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betoniarek przewoźnych do wykonywania fundamentów betonowych „na mokro”,</w:t>
      </w:r>
    </w:p>
    <w:p w14:paraId="1230EB56"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środków transportowych do przewozu materiałów,</w:t>
      </w:r>
    </w:p>
    <w:p w14:paraId="79C0F3EB"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przewoźnych zbiorników na wodę,</w:t>
      </w:r>
    </w:p>
    <w:p w14:paraId="7A5A689E"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sprzętu spawalniczego, itp.</w:t>
      </w:r>
    </w:p>
    <w:p w14:paraId="796C651D" w14:textId="77777777" w:rsidR="004D6256" w:rsidRPr="001667DB" w:rsidRDefault="004D6256" w:rsidP="00577746">
      <w:pPr>
        <w:ind w:left="283" w:firstLine="426"/>
        <w:jc w:val="both"/>
        <w:rPr>
          <w:rFonts w:ascii="Times New Roman" w:hAnsi="Times New Roman" w:cs="Times New Roman"/>
          <w:color w:val="000000" w:themeColor="text1"/>
        </w:rPr>
      </w:pPr>
      <w:r w:rsidRPr="001667DB">
        <w:rPr>
          <w:rFonts w:ascii="Times New Roman" w:hAnsi="Times New Roman" w:cs="Times New Roman"/>
          <w:color w:val="000000" w:themeColor="text1"/>
        </w:rPr>
        <w:t>Pierwsze dwie pozycje dotyczą wykonawcy znaków bramowych.</w:t>
      </w:r>
    </w:p>
    <w:p w14:paraId="4E700325" w14:textId="77777777" w:rsidR="004D6256" w:rsidRPr="001667DB" w:rsidRDefault="004D6256" w:rsidP="00577746">
      <w:pPr>
        <w:ind w:left="283" w:firstLine="426"/>
        <w:jc w:val="both"/>
        <w:rPr>
          <w:rFonts w:ascii="Times New Roman" w:hAnsi="Times New Roman" w:cs="Times New Roman"/>
          <w:color w:val="000000" w:themeColor="text1"/>
        </w:rPr>
      </w:pPr>
    </w:p>
    <w:p w14:paraId="3A3574CA" w14:textId="77777777" w:rsidR="004D6256" w:rsidRPr="00F17F2E" w:rsidRDefault="00F17F2E"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r w:rsidRPr="00F17F2E">
        <w:rPr>
          <w:smallCaps/>
          <w:color w:val="000000" w:themeColor="text1"/>
          <w:sz w:val="22"/>
          <w:szCs w:val="22"/>
          <w:u w:val="none"/>
        </w:rPr>
        <w:lastRenderedPageBreak/>
        <w:t>TRANSPORT</w:t>
      </w:r>
    </w:p>
    <w:p w14:paraId="2FCE34C3" w14:textId="77777777" w:rsidR="004D6256" w:rsidRPr="001667DB" w:rsidRDefault="004D6256" w:rsidP="00577746">
      <w:pPr>
        <w:jc w:val="both"/>
        <w:rPr>
          <w:rFonts w:ascii="Times New Roman" w:hAnsi="Times New Roman" w:cs="Times New Roman"/>
          <w:color w:val="000000" w:themeColor="text1"/>
        </w:rPr>
      </w:pPr>
    </w:p>
    <w:p w14:paraId="14CAEC57"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wymagania dotyczące transportu</w:t>
      </w:r>
    </w:p>
    <w:p w14:paraId="47D994BB"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pkt 4.</w:t>
      </w:r>
    </w:p>
    <w:p w14:paraId="012B9C95"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Transport znaków do pionowego oznakowania dróg</w:t>
      </w:r>
    </w:p>
    <w:p w14:paraId="0122C105" w14:textId="77777777" w:rsidR="004D6256" w:rsidRPr="001667DB" w:rsidRDefault="004D6256" w:rsidP="00577746">
      <w:pPr>
        <w:widowControl w:val="0"/>
        <w:ind w:firstLine="709"/>
        <w:jc w:val="both"/>
        <w:rPr>
          <w:rFonts w:ascii="Times New Roman" w:hAnsi="Times New Roman" w:cs="Times New Roman"/>
          <w:color w:val="000000" w:themeColor="text1"/>
        </w:rPr>
      </w:pPr>
      <w:bookmarkStart w:id="845" w:name="_Toc425833584"/>
      <w:r w:rsidRPr="001667DB">
        <w:rPr>
          <w:rFonts w:ascii="Times New Roman" w:hAnsi="Times New Roman" w:cs="Times New Roman"/>
          <w:color w:val="000000" w:themeColor="text1"/>
        </w:rPr>
        <w:t>Znaki drogowe należy na okres transportu odpowiednio zabezpieczyć, tak aby nie ulegały przemieszczaniu i w sposób nie uszkodzony dotarły do odbiorcy.</w:t>
      </w:r>
    </w:p>
    <w:p w14:paraId="2D539BD5" w14:textId="77777777" w:rsidR="004D6256" w:rsidRPr="001667DB" w:rsidRDefault="004D6256" w:rsidP="00577746">
      <w:pPr>
        <w:widowControl w:val="0"/>
        <w:ind w:firstLine="709"/>
        <w:jc w:val="both"/>
        <w:rPr>
          <w:rFonts w:ascii="Times New Roman" w:hAnsi="Times New Roman" w:cs="Times New Roman"/>
          <w:color w:val="000000" w:themeColor="text1"/>
        </w:rPr>
      </w:pPr>
    </w:p>
    <w:p w14:paraId="7B8E167F"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46" w:name="_Toc131916641"/>
      <w:r w:rsidRPr="00F17F2E">
        <w:rPr>
          <w:smallCaps/>
          <w:color w:val="000000" w:themeColor="text1"/>
          <w:sz w:val="22"/>
          <w:szCs w:val="22"/>
          <w:u w:val="none"/>
        </w:rPr>
        <w:t>wykonanie robót</w:t>
      </w:r>
      <w:bookmarkEnd w:id="845"/>
      <w:bookmarkEnd w:id="846"/>
    </w:p>
    <w:p w14:paraId="15020F12" w14:textId="77777777" w:rsidR="004D6256" w:rsidRPr="001667DB" w:rsidRDefault="004D6256" w:rsidP="00577746">
      <w:pPr>
        <w:jc w:val="both"/>
        <w:rPr>
          <w:rFonts w:ascii="Times New Roman" w:hAnsi="Times New Roman" w:cs="Times New Roman"/>
          <w:color w:val="000000" w:themeColor="text1"/>
        </w:rPr>
      </w:pPr>
    </w:p>
    <w:p w14:paraId="0B08EA40"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zasady wykonywania robót</w:t>
      </w:r>
    </w:p>
    <w:p w14:paraId="700F6261"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wykonywania robót podano w ST D-00.00.00 „Wymagania ogólne” pkt 5.</w:t>
      </w:r>
    </w:p>
    <w:p w14:paraId="193E07DF"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Roboty przygotowawcze</w:t>
      </w:r>
    </w:p>
    <w:p w14:paraId="7BC0A763"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wyznaczyć:</w:t>
      </w:r>
    </w:p>
    <w:p w14:paraId="28E275B4"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lokalizację znaku, tj. jego pikietaż oraz odległość od krawędzi jezdni, krawędzi pobocza umocnionego lub pasa awaryjnego postoju,</w:t>
      </w:r>
    </w:p>
    <w:p w14:paraId="12CA543C"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wysokość zamocowania znaku na konstrukcji wsporczej.</w:t>
      </w:r>
    </w:p>
    <w:p w14:paraId="770E2D1A"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Punkty stabilizujące miejsca ustawienia znaków należy zabezpieczyć w taki sposób, aby w czasie trwania i odbioru robót istniała możliwość sprawdzenia lokalizacji znaków.</w:t>
      </w:r>
    </w:p>
    <w:p w14:paraId="75E53E32"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Lokalizacja i wysokość zamocowania znaku powinny być zgodne z dokumentacją projektową.</w:t>
      </w:r>
    </w:p>
    <w:p w14:paraId="768FF8D3"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Miejsce wykonywania prac należy oznakować, w celu zabezpieczenia pracowników i kierujących pojazdami na drodze.</w:t>
      </w:r>
    </w:p>
    <w:p w14:paraId="0C49AFD1" w14:textId="77777777" w:rsidR="004D6256" w:rsidRPr="001667DB" w:rsidRDefault="004D6256" w:rsidP="00577746">
      <w:pPr>
        <w:numPr>
          <w:ilvl w:val="12"/>
          <w:numId w:val="0"/>
        </w:numPr>
        <w:jc w:val="both"/>
        <w:rPr>
          <w:rFonts w:ascii="Times New Roman" w:hAnsi="Times New Roman" w:cs="Times New Roman"/>
          <w:color w:val="000000" w:themeColor="text1"/>
        </w:rPr>
      </w:pPr>
    </w:p>
    <w:p w14:paraId="01EA8D77"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Wykonanie wykopów i fundamentów dla konstrukcji wsporczych znaków</w:t>
      </w:r>
    </w:p>
    <w:p w14:paraId="1E41CBF9"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Sposób wykonania wykopu pod fundament znaku pionowego powinien być dostosowany do głębokości wykopu, rodzaju gruntu i posiadanego sprzętu. Wymiary wykopu powinny być zgodne z dokumentacją projektową lub wskazaniami Inżyniera.</w:t>
      </w:r>
    </w:p>
    <w:p w14:paraId="5D3ADCB6"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Wykopy fundamentowe powinny być wykonane w takim okresie, aby po ich zakończeniu można było przystąpić natychmiast do wykonania w nich robót fundamentowych.</w:t>
      </w:r>
    </w:p>
    <w:p w14:paraId="36320703"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5.3.1. </w:t>
      </w:r>
      <w:r w:rsidRPr="001667DB">
        <w:rPr>
          <w:rFonts w:ascii="Times New Roman" w:hAnsi="Times New Roman" w:cs="Times New Roman"/>
          <w:color w:val="000000" w:themeColor="text1"/>
        </w:rPr>
        <w:t>Prefabrykaty betonowe</w:t>
      </w:r>
    </w:p>
    <w:p w14:paraId="3843D036"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Dno wykopu przed ułożeniem prefabrykatu należy wyrównać i zagęścić. Wolne przestrzenie między ścianami gruntu i prefabrykatem należy wypełnić materiałem kamiennym, np. klińcem i dokładnie zagęścić ubijakami ręcznymi.</w:t>
      </w:r>
    </w:p>
    <w:p w14:paraId="1C978475"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1667DB">
          <w:rPr>
            <w:rFonts w:ascii="Times New Roman" w:hAnsi="Times New Roman" w:cs="Times New Roman"/>
            <w:color w:val="000000" w:themeColor="text1"/>
          </w:rPr>
          <w:t>0,03 m</w:t>
        </w:r>
      </w:smartTag>
      <w:r w:rsidRPr="001667DB">
        <w:rPr>
          <w:rFonts w:ascii="Times New Roman" w:hAnsi="Times New Roman" w:cs="Times New Roman"/>
          <w:color w:val="000000" w:themeColor="text1"/>
        </w:rPr>
        <w:t>.</w:t>
      </w:r>
    </w:p>
    <w:p w14:paraId="7BC13200"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5.3.2. </w:t>
      </w:r>
      <w:r w:rsidRPr="001667DB">
        <w:rPr>
          <w:rFonts w:ascii="Times New Roman" w:hAnsi="Times New Roman" w:cs="Times New Roman"/>
          <w:color w:val="000000" w:themeColor="text1"/>
        </w:rPr>
        <w:t>Fundamenty z betonu i betonu zbrojonego</w:t>
      </w:r>
    </w:p>
    <w:p w14:paraId="3DA81E5D"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Wykopy pod fundamenty konstrukcji wsporczych dla zamocowania znaków wielkowymiarowych (znak kierunku i miejscowości), wykonywane z betonu „na mokro” lub z betonu zbrojonego należy wykonać zgodnie z PN-S-02205:1998 [24].</w:t>
      </w:r>
    </w:p>
    <w:p w14:paraId="75A1B311"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Posadowienie fundamentów w wykopach otwartych bądź rozpartych należy wykonywać zgodnie z dokumentacją projektową, ST lub wskazaniami Inżyniera. Wykopy należy zabezpieczyć </w:t>
      </w:r>
      <w:r w:rsidRPr="001667DB">
        <w:rPr>
          <w:rFonts w:ascii="Times New Roman" w:hAnsi="Times New Roman" w:cs="Times New Roman"/>
          <w:color w:val="000000" w:themeColor="text1"/>
        </w:rPr>
        <w:lastRenderedPageBreak/>
        <w:t xml:space="preserve">przed napływem wód opadowych przez wyprofilowanie terenu ze spadkiem umożliwiającym łatwy odpływ wody poza teren przylegający do wykopu. Dno wykopu powinno być wyrównane z dokładnością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2 cm"/>
        </w:smartTagPr>
        <w:r w:rsidRPr="001667DB">
          <w:rPr>
            <w:rFonts w:ascii="Times New Roman" w:hAnsi="Times New Roman" w:cs="Times New Roman"/>
            <w:color w:val="000000" w:themeColor="text1"/>
          </w:rPr>
          <w:t>2 cm</w:t>
        </w:r>
      </w:smartTag>
      <w:r w:rsidRPr="001667DB">
        <w:rPr>
          <w:rFonts w:ascii="Times New Roman" w:hAnsi="Times New Roman" w:cs="Times New Roman"/>
          <w:color w:val="000000" w:themeColor="text1"/>
        </w:rPr>
        <w:t>.</w:t>
      </w:r>
    </w:p>
    <w:p w14:paraId="575F98D9"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Przy naruszonej strukturze gruntu rodzimego, grunt należy usunąć i miejsce wypełnić do spodu fundamentu betonem. Płaszczyzny boczne fundamentów stykające się z gruntem należy zabezpieczyć izolacją, np. emulsją asfaltową. Po wykonaniu fundamentu wykop należy zasypać warstwami grubości </w:t>
      </w:r>
      <w:smartTag w:uri="urn:schemas-microsoft-com:office:smarttags" w:element="metricconverter">
        <w:smartTagPr>
          <w:attr w:name="ProductID" w:val="20 cm"/>
        </w:smartTagPr>
        <w:r w:rsidRPr="001667DB">
          <w:rPr>
            <w:rFonts w:ascii="Times New Roman" w:hAnsi="Times New Roman" w:cs="Times New Roman"/>
            <w:color w:val="000000" w:themeColor="text1"/>
          </w:rPr>
          <w:t>20 cm</w:t>
        </w:r>
      </w:smartTag>
      <w:r w:rsidRPr="001667DB">
        <w:rPr>
          <w:rFonts w:ascii="Times New Roman" w:hAnsi="Times New Roman" w:cs="Times New Roman"/>
          <w:color w:val="000000" w:themeColor="text1"/>
        </w:rPr>
        <w:t xml:space="preserve"> z dokładnym zagęszczeniem gruntu.</w:t>
      </w:r>
    </w:p>
    <w:p w14:paraId="09779879" w14:textId="77777777" w:rsidR="004D6256" w:rsidRPr="001667DB" w:rsidRDefault="004D6256" w:rsidP="00577746">
      <w:pPr>
        <w:numPr>
          <w:ilvl w:val="12"/>
          <w:numId w:val="0"/>
        </w:numPr>
        <w:jc w:val="both"/>
        <w:rPr>
          <w:rFonts w:ascii="Times New Roman" w:hAnsi="Times New Roman" w:cs="Times New Roman"/>
          <w:color w:val="000000" w:themeColor="text1"/>
        </w:rPr>
      </w:pPr>
    </w:p>
    <w:p w14:paraId="4C21130D"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Tolerancje ustawienia znaku pionowego</w:t>
      </w:r>
    </w:p>
    <w:p w14:paraId="2BE4C34C" w14:textId="77777777" w:rsidR="004D6256" w:rsidRPr="001667DB" w:rsidRDefault="004D6256" w:rsidP="00577746">
      <w:pPr>
        <w:jc w:val="both"/>
        <w:rPr>
          <w:rFonts w:ascii="Times New Roman" w:hAnsi="Times New Roman" w:cs="Times New Roman"/>
          <w:color w:val="000000" w:themeColor="text1"/>
        </w:rPr>
      </w:pPr>
    </w:p>
    <w:p w14:paraId="022511D4"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Konstrukcje wsporcze znaków - słupki, słupy, wysięgniki, konstrukcje dla tablic wielkowymiarowych, powinny być wykonane zgodnie z dokumentacją i  ST.</w:t>
      </w:r>
    </w:p>
    <w:p w14:paraId="6329B5F9"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Dopuszczalne tolerancje ustawienia znaku:</w:t>
      </w:r>
    </w:p>
    <w:p w14:paraId="523707FF"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od pionu, nie więcej niż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1 %,</w:t>
      </w:r>
    </w:p>
    <w:p w14:paraId="243A99C1"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w wysokości umieszczenia znaku, nie więcej niż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2 cm"/>
        </w:smartTagPr>
        <w:r w:rsidRPr="001667DB">
          <w:rPr>
            <w:rFonts w:ascii="Times New Roman" w:hAnsi="Times New Roman" w:cs="Times New Roman"/>
            <w:color w:val="000000" w:themeColor="text1"/>
          </w:rPr>
          <w:t>2 cm</w:t>
        </w:r>
      </w:smartTag>
      <w:r w:rsidRPr="001667DB">
        <w:rPr>
          <w:rFonts w:ascii="Times New Roman" w:hAnsi="Times New Roman" w:cs="Times New Roman"/>
          <w:color w:val="000000" w:themeColor="text1"/>
        </w:rPr>
        <w:t>,</w:t>
      </w:r>
    </w:p>
    <w:p w14:paraId="77294BF7" w14:textId="77777777" w:rsidR="004D6256" w:rsidRPr="001667DB" w:rsidRDefault="004D6256" w:rsidP="00904E6C">
      <w:pPr>
        <w:numPr>
          <w:ilvl w:val="0"/>
          <w:numId w:val="340"/>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odchyłka w odległości ustawienia znaku od krawędzi jezdni utwardzonego pobocza lub pasa awaryjnego postoju, nie więcej niż </w:t>
      </w:r>
      <w:r w:rsidRPr="001667DB">
        <w:rPr>
          <w:rFonts w:ascii="Times New Roman" w:hAnsi="Times New Roman" w:cs="Times New Roman"/>
          <w:color w:val="000000" w:themeColor="text1"/>
        </w:rPr>
        <w:sym w:font="Symbol" w:char="00B1"/>
      </w:r>
      <w:r w:rsidRPr="001667DB">
        <w:rPr>
          <w:rFonts w:ascii="Times New Roman" w:hAnsi="Times New Roman" w:cs="Times New Roman"/>
          <w:color w:val="000000" w:themeColor="text1"/>
        </w:rPr>
        <w:t xml:space="preserve"> </w:t>
      </w:r>
      <w:smartTag w:uri="urn:schemas-microsoft-com:office:smarttags" w:element="metricconverter">
        <w:smartTagPr>
          <w:attr w:name="ProductID" w:val="5 cm"/>
        </w:smartTagPr>
        <w:r w:rsidRPr="001667DB">
          <w:rPr>
            <w:rFonts w:ascii="Times New Roman" w:hAnsi="Times New Roman" w:cs="Times New Roman"/>
            <w:color w:val="000000" w:themeColor="text1"/>
          </w:rPr>
          <w:t>5 cm</w:t>
        </w:r>
      </w:smartTag>
      <w:r w:rsidRPr="001667DB">
        <w:rPr>
          <w:rFonts w:ascii="Times New Roman" w:hAnsi="Times New Roman" w:cs="Times New Roman"/>
          <w:color w:val="000000" w:themeColor="text1"/>
        </w:rPr>
        <w:t>, przy zachowaniu minimalnej odległości umieszczenia znaku zgodnie z załącznikiem nr 1 do rozporządzenia Ministra Infrastruktury z dnia 3 lipca 2003 r. w sprawie szczegółowych warunków technicznych dla znaków i sygnałów drogowych oraz urządzeń bezpieczeństwa ruchu drogowego i warunków ich umieszczania na drogach  [25].</w:t>
      </w:r>
    </w:p>
    <w:p w14:paraId="06542E2E" w14:textId="77777777" w:rsidR="004D6256" w:rsidRPr="001667DB" w:rsidRDefault="004D6256" w:rsidP="00577746">
      <w:pPr>
        <w:overflowPunct w:val="0"/>
        <w:autoSpaceDE w:val="0"/>
        <w:autoSpaceDN w:val="0"/>
        <w:adjustRightInd w:val="0"/>
        <w:ind w:left="283"/>
        <w:jc w:val="both"/>
        <w:rPr>
          <w:rFonts w:ascii="Times New Roman" w:hAnsi="Times New Roman" w:cs="Times New Roman"/>
          <w:color w:val="000000" w:themeColor="text1"/>
        </w:rPr>
      </w:pPr>
    </w:p>
    <w:p w14:paraId="667C6078"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Konstrukcje wsporcze</w:t>
      </w:r>
    </w:p>
    <w:p w14:paraId="4C8DB98E"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5.5.1. </w:t>
      </w:r>
      <w:r w:rsidRPr="001667DB">
        <w:rPr>
          <w:rFonts w:ascii="Times New Roman" w:hAnsi="Times New Roman" w:cs="Times New Roman"/>
          <w:color w:val="000000" w:themeColor="text1"/>
        </w:rPr>
        <w:t>Zabezpieczenie konstrukcji wsporczej przed najechaniem</w:t>
      </w:r>
    </w:p>
    <w:p w14:paraId="74144DE1"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Konstrukcje wsporcze znaków drogowych bramowych lub wysięgnikowych jedno lub dwustronnych, jak również konstrukcje wsporcze znaków tablicowych bocznych o powierzchni większej od </w:t>
      </w:r>
      <w:smartTag w:uri="urn:schemas-microsoft-com:office:smarttags" w:element="metricconverter">
        <w:smartTagPr>
          <w:attr w:name="ProductID" w:val="4,5 m2"/>
        </w:smartTagPr>
        <w:r w:rsidRPr="001667DB">
          <w:rPr>
            <w:rFonts w:ascii="Times New Roman" w:hAnsi="Times New Roman" w:cs="Times New Roman"/>
            <w:color w:val="000000" w:themeColor="text1"/>
          </w:rPr>
          <w:t>4,5 m</w:t>
        </w:r>
        <w:r w:rsidRPr="001667DB">
          <w:rPr>
            <w:rFonts w:ascii="Times New Roman" w:hAnsi="Times New Roman" w:cs="Times New Roman"/>
            <w:color w:val="000000" w:themeColor="text1"/>
            <w:vertAlign w:val="superscript"/>
          </w:rPr>
          <w:t>2</w:t>
        </w:r>
      </w:smartTag>
      <w:r w:rsidRPr="001667DB">
        <w:rPr>
          <w:rFonts w:ascii="Times New Roman" w:hAnsi="Times New Roman" w:cs="Times New Roman"/>
          <w:color w:val="000000" w:themeColor="text1"/>
        </w:rPr>
        <w:t>, gdy występuje możliwość bezpośredniego najechania na nie przez pojazd - muszą być zabezpieczone odpowiednio umieszczonymi barierami ochronnymi lub innego rodzaju urządzeniami ochronnymi lub przeciwdestrukcyjnymi, zgodnie z dokumentacją projektową, ST lub wskazaniami Inżyniera. Podobne zabezpieczenie należy stosować w przypadku innych konstrukcji wsporczych, gdy najechanie na nie w większym stopniu zagraża bezpieczeństwu użytkowników pojazdów, niż najechanie pojazdu na barierę, jeśli przewiduje to dokumentacja projektowa, ST lub Inżynier.</w:t>
      </w:r>
    </w:p>
    <w:p w14:paraId="49FCB403"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5.5.2. </w:t>
      </w:r>
      <w:r w:rsidRPr="001667DB">
        <w:rPr>
          <w:rFonts w:ascii="Times New Roman" w:hAnsi="Times New Roman" w:cs="Times New Roman"/>
          <w:color w:val="000000" w:themeColor="text1"/>
        </w:rPr>
        <w:t>Łatwo zrywalne złącza konstrukcji wsporczej</w:t>
      </w:r>
    </w:p>
    <w:p w14:paraId="7E92B9EB"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W przypadku konstrukcji wsporczych, nie osłoniętych barierami ochronnymi - zaleca się stosowanie łatwo zrywalnych lub łatwo rozłączalnych przekrojów, złączy lub przegubów o odpowiednio bezpiecznej konstrukcji, umieszczonych na wysokości od 0,15 do </w:t>
      </w:r>
      <w:smartTag w:uri="urn:schemas-microsoft-com:office:smarttags" w:element="metricconverter">
        <w:smartTagPr>
          <w:attr w:name="ProductID" w:val="0,20 m"/>
        </w:smartTagPr>
        <w:r w:rsidRPr="001667DB">
          <w:rPr>
            <w:rFonts w:ascii="Times New Roman" w:hAnsi="Times New Roman" w:cs="Times New Roman"/>
            <w:color w:val="000000" w:themeColor="text1"/>
          </w:rPr>
          <w:t>0,20 m</w:t>
        </w:r>
      </w:smartTag>
      <w:r w:rsidRPr="001667DB">
        <w:rPr>
          <w:rFonts w:ascii="Times New Roman" w:hAnsi="Times New Roman" w:cs="Times New Roman"/>
          <w:color w:val="000000" w:themeColor="text1"/>
        </w:rPr>
        <w:t xml:space="preserve"> nad powierzchnią terenu.</w:t>
      </w:r>
    </w:p>
    <w:p w14:paraId="5DF35C9D"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szczególności - zaleca się stosowanie takich przekrojów, złączy lub przegubów w konstrukcjach wsporczych nie osłoniętych barierami ochronnymi, które znajdują się na obszarach zwiększonego zagrożenia kolizyjnego (ostrza rozgałęzień dróg łącznikowych, zewnętrzna strona łuków drogi itp.).</w:t>
      </w:r>
    </w:p>
    <w:p w14:paraId="5C34D0C5"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Łatwo zrywalne lub łatwo rozłączalne złącza, przekroje lub przeguby powinny być tak skonstruowane i umieszczone, by znak wraz z konstrukcją wsporczą po zerwaniu nie przewracał się na </w:t>
      </w:r>
      <w:r w:rsidRPr="001667DB">
        <w:rPr>
          <w:rFonts w:ascii="Times New Roman" w:hAnsi="Times New Roman" w:cs="Times New Roman"/>
          <w:color w:val="000000" w:themeColor="text1"/>
        </w:rPr>
        <w:lastRenderedPageBreak/>
        <w:t xml:space="preserve">jezdnię. Wysokość części konstrukcji wsporczej, pozostałej po odłączeniu górnej jej części od fundamentu, nie może być większa od </w:t>
      </w:r>
      <w:smartTag w:uri="urn:schemas-microsoft-com:office:smarttags" w:element="metricconverter">
        <w:smartTagPr>
          <w:attr w:name="ProductID" w:val="0,25 m"/>
        </w:smartTagPr>
        <w:r w:rsidRPr="001667DB">
          <w:rPr>
            <w:rFonts w:ascii="Times New Roman" w:hAnsi="Times New Roman" w:cs="Times New Roman"/>
            <w:color w:val="000000" w:themeColor="text1"/>
          </w:rPr>
          <w:t>0,25 m</w:t>
        </w:r>
      </w:smartTag>
      <w:r w:rsidRPr="001667DB">
        <w:rPr>
          <w:rFonts w:ascii="Times New Roman" w:hAnsi="Times New Roman" w:cs="Times New Roman"/>
          <w:color w:val="000000" w:themeColor="text1"/>
        </w:rPr>
        <w:t>.</w:t>
      </w:r>
    </w:p>
    <w:p w14:paraId="7139F852" w14:textId="77777777" w:rsidR="004D6256" w:rsidRPr="001667DB" w:rsidRDefault="004D6256" w:rsidP="00577746">
      <w:pPr>
        <w:numPr>
          <w:ilvl w:val="12"/>
          <w:numId w:val="0"/>
        </w:numPr>
        <w:spacing w:before="120"/>
        <w:ind w:left="709" w:hanging="709"/>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5.5.3.  </w:t>
      </w:r>
      <w:r w:rsidRPr="001667DB">
        <w:rPr>
          <w:rFonts w:ascii="Times New Roman" w:hAnsi="Times New Roman" w:cs="Times New Roman"/>
          <w:color w:val="000000" w:themeColor="text1"/>
        </w:rPr>
        <w:t>Zapobieganie zagrożeniu użytkowników drogi i terenu przyległego - przez konstrukcję wsporczą</w:t>
      </w:r>
    </w:p>
    <w:p w14:paraId="57F84B10"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Konstrukcja wsporcza znaku musi być wykonana w sposób ograniczający zagrożenie użytkowników pojazdów samochodowych oraz innych użytkowników drogi i terenu do niej przyległego przy najechaniu przez pojazd na znak. Konstrukcja wsporcza znaku musi zapewnić możliwość łatwej naprawy po najechaniu przez pojazdy lub innego rodzaju uszkodzenia znaku.</w:t>
      </w:r>
    </w:p>
    <w:p w14:paraId="6B648697"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5.5.4. </w:t>
      </w:r>
      <w:r w:rsidRPr="001667DB">
        <w:rPr>
          <w:rFonts w:ascii="Times New Roman" w:hAnsi="Times New Roman" w:cs="Times New Roman"/>
          <w:color w:val="000000" w:themeColor="text1"/>
        </w:rPr>
        <w:t>Tablicowe znaki drogowe na dwóch słupach lub podporach</w:t>
      </w:r>
    </w:p>
    <w:p w14:paraId="0A8C50A3"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1667DB">
          <w:rPr>
            <w:rFonts w:ascii="Times New Roman" w:hAnsi="Times New Roman" w:cs="Times New Roman"/>
            <w:color w:val="000000" w:themeColor="text1"/>
          </w:rPr>
          <w:t>1,75 m</w:t>
        </w:r>
      </w:smartTag>
      <w:r w:rsidRPr="001667DB">
        <w:rPr>
          <w:rFonts w:ascii="Times New Roman" w:hAnsi="Times New Roman" w:cs="Times New Roman"/>
          <w:color w:val="000000" w:themeColor="text1"/>
        </w:rPr>
        <w:t>. Przy stosowaniu większej liczby słupów niż dwa - odległość między nimi może być mniejsza.</w:t>
      </w:r>
    </w:p>
    <w:p w14:paraId="43FE2168"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5.5.5. </w:t>
      </w:r>
      <w:r w:rsidRPr="001667DB">
        <w:rPr>
          <w:rFonts w:ascii="Times New Roman" w:hAnsi="Times New Roman" w:cs="Times New Roman"/>
          <w:color w:val="000000" w:themeColor="text1"/>
        </w:rPr>
        <w:t>Poziom górnej powierzchni fundamentu</w:t>
      </w:r>
    </w:p>
    <w:p w14:paraId="0754625C"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Pr="001667DB">
          <w:rPr>
            <w:rFonts w:ascii="Times New Roman" w:hAnsi="Times New Roman" w:cs="Times New Roman"/>
            <w:color w:val="000000" w:themeColor="text1"/>
          </w:rPr>
          <w:t>0,03 m</w:t>
        </w:r>
      </w:smartTag>
      <w:r w:rsidRPr="001667DB">
        <w:rPr>
          <w:rFonts w:ascii="Times New Roman" w:hAnsi="Times New Roman" w:cs="Times New Roman"/>
          <w:color w:val="000000" w:themeColor="text1"/>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Pr="001667DB">
          <w:rPr>
            <w:rFonts w:ascii="Times New Roman" w:hAnsi="Times New Roman" w:cs="Times New Roman"/>
            <w:color w:val="000000" w:themeColor="text1"/>
          </w:rPr>
          <w:t>0,15 m</w:t>
        </w:r>
      </w:smartTag>
      <w:r w:rsidRPr="001667DB">
        <w:rPr>
          <w:rFonts w:ascii="Times New Roman" w:hAnsi="Times New Roman" w:cs="Times New Roman"/>
          <w:color w:val="000000" w:themeColor="text1"/>
        </w:rPr>
        <w:t>.</w:t>
      </w:r>
    </w:p>
    <w:p w14:paraId="4B4E1327"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5.5.6. </w:t>
      </w:r>
      <w:r w:rsidRPr="001667DB">
        <w:rPr>
          <w:rFonts w:ascii="Times New Roman" w:hAnsi="Times New Roman" w:cs="Times New Roman"/>
          <w:color w:val="000000" w:themeColor="text1"/>
        </w:rPr>
        <w:t>Barwa konstrukcji wsporczej</w:t>
      </w:r>
    </w:p>
    <w:p w14:paraId="0D418DB2" w14:textId="77777777" w:rsidR="004D6256" w:rsidRPr="001667DB" w:rsidRDefault="004D6256" w:rsidP="00577746">
      <w:pPr>
        <w:numPr>
          <w:ilvl w:val="12"/>
          <w:numId w:val="0"/>
        </w:num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26E5A6EE"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Połączenie tarczy znaku z konstrukcją wsporczą</w:t>
      </w:r>
    </w:p>
    <w:p w14:paraId="5341B3F4"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Tarcza znaku musi być zamocowana do konstrukcji wsporczej w sposób uniemożliwiający jej przesunięcie lub obrót.</w:t>
      </w:r>
    </w:p>
    <w:p w14:paraId="1AA17A06"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Materiał i sposób wykonania połączenia tarczy znaku z konstrukcją wsporczą musi umożliwiać, przy użyciu odpowiednich narzędzi, odłączenie tarczy znaku od tej konstrukcji przez cały okres użytkowania znaku.</w:t>
      </w:r>
    </w:p>
    <w:p w14:paraId="3FD2FE9D"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 drogach i obszarach, na których występują częste przypadki dewastacji znaków, zaleca się stosowanie elementów złącznych o konstrukcji uniemożliwiającej lub znacznie utrudniającej ich rozłączenie przez osoby niepowołane.</w:t>
      </w:r>
    </w:p>
    <w:p w14:paraId="1C7E9CFC"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Nie dopuszcza się zamocowania znaku do konstrukcji wsporczej w sposób wymagający bezpośredniego przeprowadzenia śrub mocujących przez lico znaku.</w:t>
      </w:r>
    </w:p>
    <w:p w14:paraId="4059421E" w14:textId="77777777" w:rsidR="004D6256" w:rsidRPr="001667DB" w:rsidRDefault="004D6256" w:rsidP="00577746">
      <w:pPr>
        <w:numPr>
          <w:ilvl w:val="12"/>
          <w:numId w:val="0"/>
        </w:numPr>
        <w:jc w:val="both"/>
        <w:rPr>
          <w:rFonts w:ascii="Times New Roman" w:hAnsi="Times New Roman" w:cs="Times New Roman"/>
          <w:color w:val="000000" w:themeColor="text1"/>
        </w:rPr>
      </w:pPr>
    </w:p>
    <w:p w14:paraId="3B4A592F"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Urządzenia elektryczne na konstrukcji wsporczej</w:t>
      </w:r>
    </w:p>
    <w:p w14:paraId="2E4C2336" w14:textId="77777777" w:rsidR="004D6256" w:rsidRPr="001667DB" w:rsidRDefault="004D6256" w:rsidP="00577746">
      <w:pPr>
        <w:jc w:val="both"/>
        <w:rPr>
          <w:rFonts w:ascii="Times New Roman" w:hAnsi="Times New Roman" w:cs="Times New Roman"/>
          <w:color w:val="000000" w:themeColor="text1"/>
        </w:rPr>
      </w:pPr>
    </w:p>
    <w:p w14:paraId="39EF9EDE"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38AE72BB"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Aparaturę elektryczną należy montować na pojedynczym słupie. Na słupie powinna być zamocowana skrzynka elektryczna zgodnie z PN-EN 40-5:2004 [8]. Każda skrzynka elektryczna powinna być zabezpieczona zamkiem natomiast poziomem zabezpieczenia przed przenikaniem kurzu i wody, określonym w EN 60529:2003 [18], powinien być poziom 2 dla cząstek stałych i poziom 3 dla wody.</w:t>
      </w:r>
    </w:p>
    <w:p w14:paraId="17743FBC" w14:textId="77777777" w:rsidR="004D6256" w:rsidRPr="001667DB" w:rsidRDefault="004D6256" w:rsidP="00577746">
      <w:pPr>
        <w:jc w:val="both"/>
        <w:rPr>
          <w:rFonts w:ascii="Times New Roman" w:hAnsi="Times New Roman" w:cs="Times New Roman"/>
          <w:color w:val="000000" w:themeColor="text1"/>
        </w:rPr>
      </w:pPr>
    </w:p>
    <w:p w14:paraId="61BDD3EE"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Źródło światła znaku podświetlanego i znaku oświetlanego</w:t>
      </w:r>
    </w:p>
    <w:p w14:paraId="4A7839FC"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Źródło światła należy wykonać zgodnie z ustaleniami dokumentacji projektowej, ST lub wskazaniami Inżyniera, jako:</w:t>
      </w:r>
    </w:p>
    <w:p w14:paraId="0155614D"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lampy fluorescencyjne barwy dziennej lub chłodno białej,</w:t>
      </w:r>
    </w:p>
    <w:p w14:paraId="438277E7"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wysokoprężne lampy rtęciowe o poprawionym współczynniku oddawania barw,</w:t>
      </w:r>
    </w:p>
    <w:p w14:paraId="7F3EA3D8"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lampy metalo-halogenowe</w:t>
      </w:r>
    </w:p>
    <w:p w14:paraId="2120935A"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inne źródła światła spełniające wymagania średniej luminancji (tablica 4) i kontrastu luminancji (tablica 5) dla znaków podświetlanych oraz równomierności luminancji (tablica 6) dla znaków oświetlanych.</w:t>
      </w:r>
    </w:p>
    <w:p w14:paraId="79C19D2A" w14:textId="77777777" w:rsidR="004D6256" w:rsidRPr="001667DB" w:rsidRDefault="004D6256" w:rsidP="00577746">
      <w:pPr>
        <w:tabs>
          <w:tab w:val="left" w:pos="993"/>
        </w:tabs>
        <w:spacing w:before="120" w:after="120"/>
        <w:jc w:val="both"/>
        <w:rPr>
          <w:rFonts w:ascii="Times New Roman" w:hAnsi="Times New Roman" w:cs="Times New Roman"/>
          <w:color w:val="000000" w:themeColor="text1"/>
        </w:rPr>
      </w:pPr>
      <w:r w:rsidRPr="001667DB">
        <w:rPr>
          <w:rFonts w:ascii="Times New Roman" w:hAnsi="Times New Roman" w:cs="Times New Roman"/>
          <w:bCs/>
          <w:color w:val="000000" w:themeColor="text1"/>
        </w:rPr>
        <w:t>Tablica 4 .</w:t>
      </w:r>
      <w:r w:rsidRPr="001667DB">
        <w:rPr>
          <w:rFonts w:ascii="Times New Roman" w:hAnsi="Times New Roman" w:cs="Times New Roman"/>
          <w:bCs/>
          <w:color w:val="000000" w:themeColor="text1"/>
        </w:rPr>
        <w:tab/>
        <w:t xml:space="preserve">Średnia luminancja </w:t>
      </w:r>
      <w:r w:rsidRPr="001667DB">
        <w:rPr>
          <w:rFonts w:ascii="Times New Roman" w:hAnsi="Times New Roman" w:cs="Times New Roman"/>
          <w:bCs/>
          <w:i/>
          <w:color w:val="000000" w:themeColor="text1"/>
        </w:rPr>
        <w:t>L</w:t>
      </w:r>
      <w:r w:rsidRPr="001667DB">
        <w:rPr>
          <w:rFonts w:ascii="Times New Roman" w:hAnsi="Times New Roman" w:cs="Times New Roman"/>
          <w:bCs/>
          <w:color w:val="000000" w:themeColor="text1"/>
        </w:rPr>
        <w:t xml:space="preserve"> znaków podświetlanych, </w:t>
      </w:r>
      <w:r w:rsidRPr="001667DB">
        <w:rPr>
          <w:rFonts w:ascii="Times New Roman" w:hAnsi="Times New Roman" w:cs="Times New Roman"/>
          <w:color w:val="000000" w:themeColor="text1"/>
        </w:rPr>
        <w:t>jednostka: cd</w:t>
      </w:r>
      <w:r w:rsidRPr="001667DB">
        <w:rPr>
          <w:rFonts w:ascii="Times New Roman" w:hAnsi="Times New Roman" w:cs="Times New Roman"/>
          <w:color w:val="000000" w:themeColor="text1"/>
        </w:rPr>
        <w:sym w:font="Symbol" w:char="00D7"/>
      </w:r>
      <w:r w:rsidRPr="001667DB">
        <w:rPr>
          <w:rFonts w:ascii="Times New Roman" w:hAnsi="Times New Roman" w:cs="Times New Roman"/>
          <w:color w:val="000000" w:themeColor="text1"/>
        </w:rPr>
        <w:t>m</w:t>
      </w:r>
      <w:r w:rsidRPr="001667DB">
        <w:rPr>
          <w:rFonts w:ascii="Times New Roman" w:hAnsi="Times New Roman" w:cs="Times New Roman"/>
          <w:color w:val="000000" w:themeColor="text1"/>
          <w:vertAlign w:val="superscript"/>
        </w:rPr>
        <w:t>-2</w:t>
      </w:r>
    </w:p>
    <w:p w14:paraId="13B73A50" w14:textId="77777777" w:rsidR="004D6256" w:rsidRPr="001667DB" w:rsidRDefault="004D6256" w:rsidP="00B73D7B">
      <w:pPr>
        <w:jc w:val="center"/>
        <w:rPr>
          <w:rFonts w:ascii="Times New Roman" w:hAnsi="Times New Roman" w:cs="Times New Roman"/>
          <w:color w:val="000000" w:themeColor="text1"/>
        </w:rPr>
      </w:pPr>
    </w:p>
    <w:tbl>
      <w:tblPr>
        <w:tblW w:w="7513"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985"/>
        <w:gridCol w:w="1843"/>
        <w:gridCol w:w="2126"/>
        <w:gridCol w:w="1559"/>
      </w:tblGrid>
      <w:tr w:rsidR="004D6256" w:rsidRPr="001667DB" w14:paraId="54B51A91" w14:textId="77777777" w:rsidTr="00B73D7B">
        <w:trPr>
          <w:trHeight w:val="386"/>
        </w:trPr>
        <w:tc>
          <w:tcPr>
            <w:tcW w:w="1985" w:type="dxa"/>
            <w:tcBorders>
              <w:top w:val="single" w:sz="4" w:space="0" w:color="auto"/>
              <w:left w:val="single" w:sz="4" w:space="0" w:color="auto"/>
              <w:bottom w:val="single" w:sz="4" w:space="0" w:color="auto"/>
              <w:right w:val="single" w:sz="4" w:space="0" w:color="auto"/>
            </w:tcBorders>
            <w:noWrap/>
            <w:hideMark/>
          </w:tcPr>
          <w:p w14:paraId="7744D1D2"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Barwa</w:t>
            </w:r>
          </w:p>
        </w:tc>
        <w:tc>
          <w:tcPr>
            <w:tcW w:w="1843" w:type="dxa"/>
            <w:tcBorders>
              <w:top w:val="single" w:sz="4" w:space="0" w:color="auto"/>
              <w:left w:val="single" w:sz="4" w:space="0" w:color="auto"/>
              <w:bottom w:val="single" w:sz="4" w:space="0" w:color="auto"/>
              <w:right w:val="single" w:sz="4" w:space="0" w:color="auto"/>
            </w:tcBorders>
            <w:noWrap/>
            <w:hideMark/>
          </w:tcPr>
          <w:p w14:paraId="26325F6D"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L1</w:t>
            </w:r>
          </w:p>
        </w:tc>
        <w:tc>
          <w:tcPr>
            <w:tcW w:w="2126" w:type="dxa"/>
            <w:tcBorders>
              <w:top w:val="single" w:sz="4" w:space="0" w:color="auto"/>
              <w:left w:val="single" w:sz="4" w:space="0" w:color="auto"/>
              <w:bottom w:val="single" w:sz="4" w:space="0" w:color="auto"/>
              <w:right w:val="single" w:sz="4" w:space="0" w:color="auto"/>
            </w:tcBorders>
            <w:noWrap/>
            <w:hideMark/>
          </w:tcPr>
          <w:p w14:paraId="75838F11"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L2</w:t>
            </w:r>
          </w:p>
        </w:tc>
        <w:tc>
          <w:tcPr>
            <w:tcW w:w="1559" w:type="dxa"/>
            <w:tcBorders>
              <w:top w:val="single" w:sz="4" w:space="0" w:color="auto"/>
              <w:left w:val="single" w:sz="4" w:space="0" w:color="auto"/>
              <w:bottom w:val="single" w:sz="4" w:space="0" w:color="auto"/>
              <w:right w:val="single" w:sz="4" w:space="0" w:color="auto"/>
            </w:tcBorders>
            <w:noWrap/>
            <w:hideMark/>
          </w:tcPr>
          <w:p w14:paraId="53148166"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 L3</w:t>
            </w:r>
          </w:p>
        </w:tc>
      </w:tr>
      <w:tr w:rsidR="004D6256" w:rsidRPr="001667DB" w14:paraId="75B412B3"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42C917D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w:t>
            </w:r>
          </w:p>
        </w:tc>
        <w:tc>
          <w:tcPr>
            <w:tcW w:w="1843" w:type="dxa"/>
            <w:tcBorders>
              <w:top w:val="single" w:sz="4" w:space="0" w:color="auto"/>
              <w:left w:val="single" w:sz="4" w:space="0" w:color="auto"/>
              <w:bottom w:val="single" w:sz="4" w:space="0" w:color="auto"/>
              <w:right w:val="single" w:sz="4" w:space="0" w:color="auto"/>
            </w:tcBorders>
            <w:noWrap/>
            <w:hideMark/>
          </w:tcPr>
          <w:p w14:paraId="37A3C9C0"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40 ≤ </w:t>
            </w:r>
            <w:r w:rsidRPr="001667DB">
              <w:rPr>
                <w:rFonts w:ascii="Times New Roman" w:hAnsi="Times New Roman" w:cs="Times New Roman"/>
                <w:i/>
                <w:color w:val="000000" w:themeColor="text1"/>
              </w:rPr>
              <w:t xml:space="preserve">L </w:t>
            </w:r>
            <w:r w:rsidRPr="001667DB">
              <w:rPr>
                <w:rFonts w:ascii="Times New Roman" w:hAnsi="Times New Roman" w:cs="Times New Roman"/>
                <w:color w:val="000000" w:themeColor="text1"/>
              </w:rPr>
              <w:t>≤150</w:t>
            </w:r>
          </w:p>
        </w:tc>
        <w:tc>
          <w:tcPr>
            <w:tcW w:w="2126" w:type="dxa"/>
            <w:tcBorders>
              <w:top w:val="single" w:sz="4" w:space="0" w:color="auto"/>
              <w:left w:val="single" w:sz="4" w:space="0" w:color="auto"/>
              <w:bottom w:val="single" w:sz="4" w:space="0" w:color="auto"/>
              <w:right w:val="single" w:sz="4" w:space="0" w:color="auto"/>
            </w:tcBorders>
            <w:noWrap/>
            <w:hideMark/>
          </w:tcPr>
          <w:p w14:paraId="217FAB4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150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300</w:t>
            </w:r>
          </w:p>
        </w:tc>
        <w:tc>
          <w:tcPr>
            <w:tcW w:w="1559" w:type="dxa"/>
            <w:tcBorders>
              <w:top w:val="single" w:sz="4" w:space="0" w:color="auto"/>
              <w:left w:val="single" w:sz="4" w:space="0" w:color="auto"/>
              <w:bottom w:val="single" w:sz="4" w:space="0" w:color="auto"/>
              <w:right w:val="single" w:sz="4" w:space="0" w:color="auto"/>
            </w:tcBorders>
            <w:noWrap/>
            <w:hideMark/>
          </w:tcPr>
          <w:p w14:paraId="39D9DB05"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300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900</w:t>
            </w:r>
          </w:p>
        </w:tc>
      </w:tr>
      <w:tr w:rsidR="004D6256" w:rsidRPr="001667DB" w14:paraId="1372B53B"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183E4C9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Żółta</w:t>
            </w:r>
          </w:p>
        </w:tc>
        <w:tc>
          <w:tcPr>
            <w:tcW w:w="1843" w:type="dxa"/>
            <w:tcBorders>
              <w:top w:val="single" w:sz="4" w:space="0" w:color="auto"/>
              <w:left w:val="single" w:sz="4" w:space="0" w:color="auto"/>
              <w:bottom w:val="single" w:sz="4" w:space="0" w:color="auto"/>
              <w:right w:val="single" w:sz="4" w:space="0" w:color="auto"/>
            </w:tcBorders>
            <w:noWrap/>
            <w:hideMark/>
          </w:tcPr>
          <w:p w14:paraId="290D4EE4"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100</w:t>
            </w:r>
          </w:p>
        </w:tc>
        <w:tc>
          <w:tcPr>
            <w:tcW w:w="2126" w:type="dxa"/>
            <w:tcBorders>
              <w:top w:val="single" w:sz="4" w:space="0" w:color="auto"/>
              <w:left w:val="single" w:sz="4" w:space="0" w:color="auto"/>
              <w:bottom w:val="single" w:sz="4" w:space="0" w:color="auto"/>
              <w:right w:val="single" w:sz="4" w:space="0" w:color="auto"/>
            </w:tcBorders>
            <w:noWrap/>
            <w:hideMark/>
          </w:tcPr>
          <w:p w14:paraId="7E985B57"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100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300</w:t>
            </w:r>
          </w:p>
        </w:tc>
        <w:tc>
          <w:tcPr>
            <w:tcW w:w="1559" w:type="dxa"/>
            <w:tcBorders>
              <w:top w:val="single" w:sz="4" w:space="0" w:color="auto"/>
              <w:left w:val="single" w:sz="4" w:space="0" w:color="auto"/>
              <w:bottom w:val="single" w:sz="4" w:space="0" w:color="auto"/>
              <w:right w:val="single" w:sz="4" w:space="0" w:color="auto"/>
            </w:tcBorders>
            <w:noWrap/>
            <w:hideMark/>
          </w:tcPr>
          <w:p w14:paraId="35F502A1"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300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900</w:t>
            </w:r>
          </w:p>
        </w:tc>
      </w:tr>
      <w:tr w:rsidR="004D6256" w:rsidRPr="001667DB" w14:paraId="64DDB9A5"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329F4AA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Czerwona</w:t>
            </w:r>
          </w:p>
        </w:tc>
        <w:tc>
          <w:tcPr>
            <w:tcW w:w="1843" w:type="dxa"/>
            <w:tcBorders>
              <w:top w:val="single" w:sz="4" w:space="0" w:color="auto"/>
              <w:left w:val="single" w:sz="4" w:space="0" w:color="auto"/>
              <w:bottom w:val="single" w:sz="4" w:space="0" w:color="auto"/>
              <w:right w:val="single" w:sz="4" w:space="0" w:color="auto"/>
            </w:tcBorders>
            <w:noWrap/>
            <w:hideMark/>
          </w:tcPr>
          <w:p w14:paraId="23FF1D84"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6 ≤ </w:t>
            </w:r>
            <w:r w:rsidRPr="001667DB">
              <w:rPr>
                <w:rFonts w:ascii="Times New Roman" w:hAnsi="Times New Roman" w:cs="Times New Roman"/>
                <w:i/>
                <w:color w:val="000000" w:themeColor="text1"/>
              </w:rPr>
              <w:t>L</w:t>
            </w:r>
            <w:r w:rsidRPr="001667DB">
              <w:rPr>
                <w:rFonts w:ascii="Times New Roman" w:hAnsi="Times New Roman" w:cs="Times New Roman"/>
                <w:color w:val="000000" w:themeColor="text1"/>
              </w:rPr>
              <w:t xml:space="preserve"> ≤ 20</w:t>
            </w:r>
          </w:p>
        </w:tc>
        <w:tc>
          <w:tcPr>
            <w:tcW w:w="2126" w:type="dxa"/>
            <w:tcBorders>
              <w:top w:val="single" w:sz="4" w:space="0" w:color="auto"/>
              <w:left w:val="single" w:sz="4" w:space="0" w:color="auto"/>
              <w:bottom w:val="single" w:sz="4" w:space="0" w:color="auto"/>
              <w:right w:val="single" w:sz="4" w:space="0" w:color="auto"/>
            </w:tcBorders>
            <w:noWrap/>
            <w:hideMark/>
          </w:tcPr>
          <w:p w14:paraId="0D1C23AD"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50</w:t>
            </w:r>
          </w:p>
        </w:tc>
        <w:tc>
          <w:tcPr>
            <w:tcW w:w="1559" w:type="dxa"/>
            <w:tcBorders>
              <w:top w:val="single" w:sz="4" w:space="0" w:color="auto"/>
              <w:left w:val="single" w:sz="4" w:space="0" w:color="auto"/>
              <w:bottom w:val="single" w:sz="4" w:space="0" w:color="auto"/>
              <w:right w:val="single" w:sz="4" w:space="0" w:color="auto"/>
            </w:tcBorders>
            <w:noWrap/>
            <w:hideMark/>
          </w:tcPr>
          <w:p w14:paraId="0B916BB5"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110</w:t>
            </w:r>
          </w:p>
        </w:tc>
      </w:tr>
      <w:tr w:rsidR="004D6256" w:rsidRPr="001667DB" w14:paraId="2C26094F"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2927E64E"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Niebieska</w:t>
            </w:r>
          </w:p>
        </w:tc>
        <w:tc>
          <w:tcPr>
            <w:tcW w:w="1843" w:type="dxa"/>
            <w:tcBorders>
              <w:top w:val="single" w:sz="4" w:space="0" w:color="auto"/>
              <w:left w:val="single" w:sz="4" w:space="0" w:color="auto"/>
              <w:bottom w:val="single" w:sz="4" w:space="0" w:color="auto"/>
              <w:right w:val="single" w:sz="4" w:space="0" w:color="auto"/>
            </w:tcBorders>
            <w:noWrap/>
            <w:hideMark/>
          </w:tcPr>
          <w:p w14:paraId="7ABAFF5F"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 </w:t>
            </w:r>
            <w:r w:rsidRPr="001667DB">
              <w:rPr>
                <w:rFonts w:ascii="Times New Roman" w:hAnsi="Times New Roman" w:cs="Times New Roman"/>
                <w:i/>
                <w:color w:val="000000" w:themeColor="text1"/>
              </w:rPr>
              <w:t>L</w:t>
            </w:r>
            <w:r w:rsidRPr="001667DB">
              <w:rPr>
                <w:rFonts w:ascii="Times New Roman" w:hAnsi="Times New Roman" w:cs="Times New Roman"/>
                <w:color w:val="000000" w:themeColor="text1"/>
              </w:rPr>
              <w:t xml:space="preserve"> ≤ 10</w:t>
            </w:r>
          </w:p>
        </w:tc>
        <w:tc>
          <w:tcPr>
            <w:tcW w:w="2126" w:type="dxa"/>
            <w:tcBorders>
              <w:top w:val="single" w:sz="4" w:space="0" w:color="auto"/>
              <w:left w:val="single" w:sz="4" w:space="0" w:color="auto"/>
              <w:bottom w:val="single" w:sz="4" w:space="0" w:color="auto"/>
              <w:right w:val="single" w:sz="4" w:space="0" w:color="auto"/>
            </w:tcBorders>
            <w:noWrap/>
            <w:hideMark/>
          </w:tcPr>
          <w:p w14:paraId="72E3D2D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40</w:t>
            </w:r>
          </w:p>
        </w:tc>
        <w:tc>
          <w:tcPr>
            <w:tcW w:w="1559" w:type="dxa"/>
            <w:tcBorders>
              <w:top w:val="single" w:sz="4" w:space="0" w:color="auto"/>
              <w:left w:val="single" w:sz="4" w:space="0" w:color="auto"/>
              <w:bottom w:val="single" w:sz="4" w:space="0" w:color="auto"/>
              <w:right w:val="single" w:sz="4" w:space="0" w:color="auto"/>
            </w:tcBorders>
            <w:noWrap/>
            <w:hideMark/>
          </w:tcPr>
          <w:p w14:paraId="291BD77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40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80</w:t>
            </w:r>
          </w:p>
        </w:tc>
      </w:tr>
      <w:tr w:rsidR="004D6256" w:rsidRPr="001667DB" w14:paraId="181DD4C8"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4A3FF90F"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Zielona</w:t>
            </w:r>
          </w:p>
        </w:tc>
        <w:tc>
          <w:tcPr>
            <w:tcW w:w="1843" w:type="dxa"/>
            <w:tcBorders>
              <w:top w:val="single" w:sz="4" w:space="0" w:color="auto"/>
              <w:left w:val="single" w:sz="4" w:space="0" w:color="auto"/>
              <w:bottom w:val="single" w:sz="4" w:space="0" w:color="auto"/>
              <w:right w:val="single" w:sz="4" w:space="0" w:color="auto"/>
            </w:tcBorders>
            <w:noWrap/>
            <w:hideMark/>
          </w:tcPr>
          <w:p w14:paraId="13429ABB"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8 ≤ </w:t>
            </w:r>
            <w:r w:rsidRPr="001667DB">
              <w:rPr>
                <w:rFonts w:ascii="Times New Roman" w:hAnsi="Times New Roman" w:cs="Times New Roman"/>
                <w:i/>
                <w:color w:val="000000" w:themeColor="text1"/>
              </w:rPr>
              <w:t>L</w:t>
            </w:r>
            <w:r w:rsidRPr="001667DB">
              <w:rPr>
                <w:rFonts w:ascii="Times New Roman" w:hAnsi="Times New Roman" w:cs="Times New Roman"/>
                <w:color w:val="000000" w:themeColor="text1"/>
              </w:rPr>
              <w:t xml:space="preserve"> ≤ 20</w:t>
            </w:r>
          </w:p>
        </w:tc>
        <w:tc>
          <w:tcPr>
            <w:tcW w:w="2126" w:type="dxa"/>
            <w:tcBorders>
              <w:top w:val="single" w:sz="4" w:space="0" w:color="auto"/>
              <w:left w:val="single" w:sz="4" w:space="0" w:color="auto"/>
              <w:bottom w:val="single" w:sz="4" w:space="0" w:color="auto"/>
              <w:right w:val="single" w:sz="4" w:space="0" w:color="auto"/>
            </w:tcBorders>
            <w:noWrap/>
            <w:hideMark/>
          </w:tcPr>
          <w:p w14:paraId="7D36A915"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70</w:t>
            </w:r>
          </w:p>
        </w:tc>
        <w:tc>
          <w:tcPr>
            <w:tcW w:w="1559" w:type="dxa"/>
            <w:tcBorders>
              <w:top w:val="single" w:sz="4" w:space="0" w:color="auto"/>
              <w:left w:val="single" w:sz="4" w:space="0" w:color="auto"/>
              <w:bottom w:val="single" w:sz="4" w:space="0" w:color="auto"/>
              <w:right w:val="single" w:sz="4" w:space="0" w:color="auto"/>
            </w:tcBorders>
            <w:noWrap/>
            <w:hideMark/>
          </w:tcPr>
          <w:p w14:paraId="350190D4"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70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50</w:t>
            </w:r>
          </w:p>
        </w:tc>
      </w:tr>
      <w:tr w:rsidR="004D6256" w:rsidRPr="001667DB" w14:paraId="3551F64F"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4B78C63C"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Ciemnozielona</w:t>
            </w:r>
          </w:p>
        </w:tc>
        <w:tc>
          <w:tcPr>
            <w:tcW w:w="1843" w:type="dxa"/>
            <w:tcBorders>
              <w:top w:val="single" w:sz="4" w:space="0" w:color="auto"/>
              <w:left w:val="single" w:sz="4" w:space="0" w:color="auto"/>
              <w:bottom w:val="single" w:sz="4" w:space="0" w:color="auto"/>
              <w:right w:val="single" w:sz="4" w:space="0" w:color="auto"/>
            </w:tcBorders>
            <w:noWrap/>
            <w:hideMark/>
          </w:tcPr>
          <w:p w14:paraId="7359D3DF"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4 ≤ </w:t>
            </w:r>
            <w:r w:rsidRPr="001667DB">
              <w:rPr>
                <w:rFonts w:ascii="Times New Roman" w:hAnsi="Times New Roman" w:cs="Times New Roman"/>
                <w:i/>
                <w:color w:val="000000" w:themeColor="text1"/>
              </w:rPr>
              <w:t>L</w:t>
            </w:r>
            <w:r w:rsidRPr="001667DB">
              <w:rPr>
                <w:rFonts w:ascii="Times New Roman" w:hAnsi="Times New Roman" w:cs="Times New Roman"/>
                <w:color w:val="000000" w:themeColor="text1"/>
              </w:rPr>
              <w:t xml:space="preserve"> ≤ 10</w:t>
            </w:r>
          </w:p>
        </w:tc>
        <w:tc>
          <w:tcPr>
            <w:tcW w:w="2126" w:type="dxa"/>
            <w:tcBorders>
              <w:top w:val="single" w:sz="4" w:space="0" w:color="auto"/>
              <w:left w:val="single" w:sz="4" w:space="0" w:color="auto"/>
              <w:bottom w:val="single" w:sz="4" w:space="0" w:color="auto"/>
              <w:right w:val="single" w:sz="4" w:space="0" w:color="auto"/>
            </w:tcBorders>
            <w:noWrap/>
            <w:hideMark/>
          </w:tcPr>
          <w:p w14:paraId="5821F750"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40</w:t>
            </w:r>
          </w:p>
        </w:tc>
        <w:tc>
          <w:tcPr>
            <w:tcW w:w="1559" w:type="dxa"/>
            <w:tcBorders>
              <w:top w:val="single" w:sz="4" w:space="0" w:color="auto"/>
              <w:left w:val="single" w:sz="4" w:space="0" w:color="auto"/>
              <w:bottom w:val="single" w:sz="4" w:space="0" w:color="auto"/>
              <w:right w:val="single" w:sz="4" w:space="0" w:color="auto"/>
            </w:tcBorders>
            <w:noWrap/>
            <w:hideMark/>
          </w:tcPr>
          <w:p w14:paraId="2A19A815"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40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80</w:t>
            </w:r>
          </w:p>
        </w:tc>
      </w:tr>
      <w:tr w:rsidR="004D6256" w:rsidRPr="001667DB" w14:paraId="3FDF2586" w14:textId="77777777" w:rsidTr="00B73D7B">
        <w:trPr>
          <w:trHeight w:val="291"/>
        </w:trPr>
        <w:tc>
          <w:tcPr>
            <w:tcW w:w="1985" w:type="dxa"/>
            <w:tcBorders>
              <w:top w:val="single" w:sz="4" w:space="0" w:color="auto"/>
              <w:left w:val="single" w:sz="4" w:space="0" w:color="auto"/>
              <w:bottom w:val="single" w:sz="4" w:space="0" w:color="auto"/>
              <w:right w:val="single" w:sz="4" w:space="0" w:color="auto"/>
            </w:tcBorders>
            <w:noWrap/>
            <w:hideMark/>
          </w:tcPr>
          <w:p w14:paraId="246315E2"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Brązowa</w:t>
            </w:r>
          </w:p>
        </w:tc>
        <w:tc>
          <w:tcPr>
            <w:tcW w:w="1843" w:type="dxa"/>
            <w:tcBorders>
              <w:top w:val="single" w:sz="4" w:space="0" w:color="auto"/>
              <w:left w:val="single" w:sz="4" w:space="0" w:color="auto"/>
              <w:bottom w:val="single" w:sz="4" w:space="0" w:color="auto"/>
              <w:right w:val="single" w:sz="4" w:space="0" w:color="auto"/>
            </w:tcBorders>
            <w:noWrap/>
            <w:hideMark/>
          </w:tcPr>
          <w:p w14:paraId="084B4922"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4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10</w:t>
            </w:r>
          </w:p>
        </w:tc>
        <w:tc>
          <w:tcPr>
            <w:tcW w:w="2126" w:type="dxa"/>
            <w:tcBorders>
              <w:top w:val="single" w:sz="4" w:space="0" w:color="auto"/>
              <w:left w:val="single" w:sz="4" w:space="0" w:color="auto"/>
              <w:bottom w:val="single" w:sz="4" w:space="0" w:color="auto"/>
              <w:right w:val="single" w:sz="4" w:space="0" w:color="auto"/>
            </w:tcBorders>
            <w:noWrap/>
            <w:hideMark/>
          </w:tcPr>
          <w:p w14:paraId="4B41628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40</w:t>
            </w:r>
          </w:p>
        </w:tc>
        <w:tc>
          <w:tcPr>
            <w:tcW w:w="1559" w:type="dxa"/>
            <w:tcBorders>
              <w:top w:val="single" w:sz="4" w:space="0" w:color="auto"/>
              <w:left w:val="single" w:sz="4" w:space="0" w:color="auto"/>
              <w:bottom w:val="single" w:sz="4" w:space="0" w:color="auto"/>
              <w:right w:val="single" w:sz="4" w:space="0" w:color="auto"/>
            </w:tcBorders>
            <w:noWrap/>
            <w:hideMark/>
          </w:tcPr>
          <w:p w14:paraId="266D082B"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40 ≤</w:t>
            </w:r>
            <w:r w:rsidRPr="001667DB">
              <w:rPr>
                <w:rFonts w:ascii="Times New Roman" w:hAnsi="Times New Roman" w:cs="Times New Roman"/>
                <w:i/>
                <w:color w:val="000000" w:themeColor="text1"/>
              </w:rPr>
              <w:t xml:space="preserve"> L</w:t>
            </w:r>
            <w:r w:rsidRPr="001667DB">
              <w:rPr>
                <w:rFonts w:ascii="Times New Roman" w:hAnsi="Times New Roman" w:cs="Times New Roman"/>
                <w:color w:val="000000" w:themeColor="text1"/>
              </w:rPr>
              <w:t xml:space="preserve"> ≤ 80</w:t>
            </w:r>
          </w:p>
        </w:tc>
      </w:tr>
    </w:tbl>
    <w:p w14:paraId="6EAF5F97" w14:textId="77777777" w:rsidR="004D6256" w:rsidRPr="001667DB" w:rsidRDefault="004D6256" w:rsidP="00B73D7B">
      <w:pPr>
        <w:jc w:val="center"/>
        <w:rPr>
          <w:rFonts w:ascii="Times New Roman" w:hAnsi="Times New Roman" w:cs="Times New Roman"/>
          <w:color w:val="000000" w:themeColor="text1"/>
        </w:rPr>
      </w:pPr>
    </w:p>
    <w:p w14:paraId="58F322DC" w14:textId="77777777" w:rsidR="004D6256" w:rsidRPr="001667DB" w:rsidRDefault="004D6256" w:rsidP="00B73D7B">
      <w:pPr>
        <w:spacing w:before="120"/>
        <w:ind w:firstLine="709"/>
        <w:rPr>
          <w:rFonts w:ascii="Times New Roman" w:hAnsi="Times New Roman" w:cs="Times New Roman"/>
          <w:color w:val="000000" w:themeColor="text1"/>
        </w:rPr>
      </w:pPr>
      <w:r w:rsidRPr="001667DB">
        <w:rPr>
          <w:rFonts w:ascii="Times New Roman" w:hAnsi="Times New Roman" w:cs="Times New Roman"/>
          <w:color w:val="000000" w:themeColor="text1"/>
        </w:rPr>
        <w:t xml:space="preserve">Kontrast luminancji znaków podświetlanych, jeśli został wyznaczony jako stosunek luminancji barwy kontrastowej do luminancji barwy, powinien spełniać wymagania podane w tablicy 5. </w:t>
      </w:r>
    </w:p>
    <w:p w14:paraId="028D2745" w14:textId="77777777" w:rsidR="004D6256" w:rsidRPr="001667DB" w:rsidRDefault="004D6256" w:rsidP="00B73D7B">
      <w:pPr>
        <w:spacing w:before="120" w:after="120"/>
        <w:rPr>
          <w:rFonts w:ascii="Times New Roman" w:hAnsi="Times New Roman" w:cs="Times New Roman"/>
          <w:bCs/>
          <w:color w:val="000000" w:themeColor="text1"/>
        </w:rPr>
      </w:pPr>
      <w:r w:rsidRPr="001667DB">
        <w:rPr>
          <w:rFonts w:ascii="Times New Roman" w:hAnsi="Times New Roman" w:cs="Times New Roman"/>
          <w:bCs/>
          <w:color w:val="000000" w:themeColor="text1"/>
        </w:rPr>
        <w:t xml:space="preserve">Tablica 5 . Kontrast luminancji </w:t>
      </w:r>
      <w:r w:rsidRPr="001667DB">
        <w:rPr>
          <w:rFonts w:ascii="Times New Roman" w:hAnsi="Times New Roman" w:cs="Times New Roman"/>
          <w:bCs/>
          <w:i/>
          <w:color w:val="000000" w:themeColor="text1"/>
        </w:rPr>
        <w:t>K</w:t>
      </w:r>
      <w:r w:rsidRPr="001667DB">
        <w:rPr>
          <w:rFonts w:ascii="Times New Roman" w:hAnsi="Times New Roman" w:cs="Times New Roman"/>
          <w:bCs/>
          <w:color w:val="000000" w:themeColor="text1"/>
        </w:rPr>
        <w:t xml:space="preserve"> znaków podświetlanych, </w:t>
      </w:r>
      <w:r w:rsidRPr="001667DB">
        <w:rPr>
          <w:rFonts w:ascii="Times New Roman" w:hAnsi="Times New Roman" w:cs="Times New Roman"/>
          <w:color w:val="000000" w:themeColor="text1"/>
        </w:rPr>
        <w:t>jednostka: cd</w:t>
      </w:r>
      <w:r w:rsidRPr="001667DB">
        <w:rPr>
          <w:rFonts w:ascii="Times New Roman" w:hAnsi="Times New Roman" w:cs="Times New Roman"/>
          <w:color w:val="000000" w:themeColor="text1"/>
        </w:rPr>
        <w:sym w:font="Symbol" w:char="00D7"/>
      </w:r>
      <w:r w:rsidRPr="001667DB">
        <w:rPr>
          <w:rFonts w:ascii="Times New Roman" w:hAnsi="Times New Roman" w:cs="Times New Roman"/>
          <w:color w:val="000000" w:themeColor="text1"/>
        </w:rPr>
        <w:t>m</w:t>
      </w:r>
      <w:r w:rsidRPr="001667DB">
        <w:rPr>
          <w:rFonts w:ascii="Times New Roman" w:hAnsi="Times New Roman" w:cs="Times New Roman"/>
          <w:color w:val="000000" w:themeColor="text1"/>
          <w:vertAlign w:val="superscript"/>
        </w:rPr>
        <w:t>-2</w:t>
      </w:r>
    </w:p>
    <w:tbl>
      <w:tblPr>
        <w:tblW w:w="7441"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216"/>
        <w:gridCol w:w="1276"/>
        <w:gridCol w:w="1418"/>
        <w:gridCol w:w="1417"/>
        <w:gridCol w:w="1276"/>
        <w:gridCol w:w="922"/>
      </w:tblGrid>
      <w:tr w:rsidR="004D6256" w:rsidRPr="001667DB" w14:paraId="17BBB04D" w14:textId="77777777" w:rsidTr="00B73D7B">
        <w:trPr>
          <w:trHeight w:val="418"/>
        </w:trPr>
        <w:tc>
          <w:tcPr>
            <w:tcW w:w="1204" w:type="dxa"/>
            <w:tcBorders>
              <w:top w:val="single" w:sz="4" w:space="0" w:color="auto"/>
              <w:left w:val="single" w:sz="4" w:space="0" w:color="auto"/>
              <w:bottom w:val="single" w:sz="4" w:space="0" w:color="auto"/>
              <w:right w:val="single" w:sz="4" w:space="0" w:color="auto"/>
            </w:tcBorders>
            <w:noWrap/>
            <w:vAlign w:val="center"/>
            <w:hideMark/>
          </w:tcPr>
          <w:p w14:paraId="7C283145"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Barwa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CF70E8B"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Niebieska</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1CF5B940"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Czerwona</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19D07C0F"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Zielona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E33FA94" w14:textId="77777777" w:rsidR="004D6256" w:rsidRPr="001667DB" w:rsidRDefault="004D6256" w:rsidP="00B73D7B">
            <w:pPr>
              <w:rPr>
                <w:rFonts w:ascii="Times New Roman" w:hAnsi="Times New Roman" w:cs="Times New Roman"/>
                <w:color w:val="000000" w:themeColor="text1"/>
              </w:rPr>
            </w:pPr>
            <w:r w:rsidRPr="001667DB">
              <w:rPr>
                <w:rFonts w:ascii="Times New Roman" w:hAnsi="Times New Roman" w:cs="Times New Roman"/>
                <w:color w:val="000000" w:themeColor="text1"/>
              </w:rPr>
              <w:t>Ciemno-zielona</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B20E345" w14:textId="77777777" w:rsidR="004D6256" w:rsidRPr="001667DB" w:rsidRDefault="004D6256">
            <w:pPr>
              <w:overflowPunct w:val="0"/>
              <w:autoSpaceDE w:val="0"/>
              <w:autoSpaceDN w:val="0"/>
              <w:adjustRightInd w:val="0"/>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Brązowa</w:t>
            </w:r>
          </w:p>
        </w:tc>
      </w:tr>
      <w:tr w:rsidR="004D6256" w:rsidRPr="001667DB" w14:paraId="280132D4" w14:textId="77777777" w:rsidTr="00B73D7B">
        <w:trPr>
          <w:trHeight w:val="424"/>
        </w:trPr>
        <w:tc>
          <w:tcPr>
            <w:tcW w:w="1204" w:type="dxa"/>
            <w:tcBorders>
              <w:top w:val="single" w:sz="4" w:space="0" w:color="auto"/>
              <w:left w:val="single" w:sz="4" w:space="0" w:color="auto"/>
              <w:bottom w:val="single" w:sz="4" w:space="0" w:color="auto"/>
              <w:right w:val="single" w:sz="4" w:space="0" w:color="auto"/>
            </w:tcBorders>
            <w:noWrap/>
            <w:vAlign w:val="center"/>
            <w:hideMark/>
          </w:tcPr>
          <w:p w14:paraId="16673279"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Barwa kontrastowa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007FDCA"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1D9FD9D8"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1874F46F"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9D20C4E"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 i żółta</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A2EFF33"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Biała</w:t>
            </w:r>
          </w:p>
        </w:tc>
      </w:tr>
      <w:tr w:rsidR="004D6256" w:rsidRPr="001667DB" w14:paraId="099B2F13" w14:textId="77777777" w:rsidTr="00B73D7B">
        <w:trPr>
          <w:trHeight w:val="424"/>
        </w:trPr>
        <w:tc>
          <w:tcPr>
            <w:tcW w:w="1204" w:type="dxa"/>
            <w:tcBorders>
              <w:top w:val="single" w:sz="4" w:space="0" w:color="auto"/>
              <w:left w:val="single" w:sz="4" w:space="0" w:color="auto"/>
              <w:bottom w:val="single" w:sz="4" w:space="0" w:color="auto"/>
              <w:right w:val="single" w:sz="4" w:space="0" w:color="auto"/>
            </w:tcBorders>
            <w:noWrap/>
            <w:vAlign w:val="center"/>
            <w:hideMark/>
          </w:tcPr>
          <w:p w14:paraId="5107A6B0"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Kontrast luminancji</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D928634"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r w:rsidRPr="001667DB">
              <w:rPr>
                <w:rFonts w:ascii="Times New Roman" w:hAnsi="Times New Roman" w:cs="Times New Roman"/>
                <w:i/>
                <w:color w:val="000000" w:themeColor="text1"/>
              </w:rPr>
              <w:t>K</w:t>
            </w:r>
            <w:r w:rsidRPr="001667DB">
              <w:rPr>
                <w:rFonts w:ascii="Times New Roman" w:hAnsi="Times New Roman" w:cs="Times New Roman"/>
                <w:color w:val="000000" w:themeColor="text1"/>
              </w:rPr>
              <w:t>≤15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693351AE"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r w:rsidRPr="001667DB">
              <w:rPr>
                <w:rFonts w:ascii="Times New Roman" w:hAnsi="Times New Roman" w:cs="Times New Roman"/>
                <w:i/>
                <w:color w:val="000000" w:themeColor="text1"/>
              </w:rPr>
              <w:t>K</w:t>
            </w:r>
            <w:r w:rsidRPr="001667DB">
              <w:rPr>
                <w:rFonts w:ascii="Times New Roman" w:hAnsi="Times New Roman" w:cs="Times New Roman"/>
                <w:color w:val="000000" w:themeColor="text1"/>
              </w:rPr>
              <w:t>≤15</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70D1636A"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r w:rsidRPr="001667DB">
              <w:rPr>
                <w:rFonts w:ascii="Times New Roman" w:hAnsi="Times New Roman" w:cs="Times New Roman"/>
                <w:i/>
                <w:color w:val="000000" w:themeColor="text1"/>
              </w:rPr>
              <w:t>K</w:t>
            </w:r>
            <w:r w:rsidRPr="001667DB">
              <w:rPr>
                <w:rFonts w:ascii="Times New Roman" w:hAnsi="Times New Roman" w:cs="Times New Roman"/>
                <w:color w:val="000000" w:themeColor="text1"/>
              </w:rPr>
              <w:t>≤15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BDFC63B"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r w:rsidRPr="001667DB">
              <w:rPr>
                <w:rFonts w:ascii="Times New Roman" w:hAnsi="Times New Roman" w:cs="Times New Roman"/>
                <w:i/>
                <w:color w:val="000000" w:themeColor="text1"/>
              </w:rPr>
              <w:t>K</w:t>
            </w:r>
            <w:r w:rsidRPr="001667DB">
              <w:rPr>
                <w:rFonts w:ascii="Times New Roman" w:hAnsi="Times New Roman" w:cs="Times New Roman"/>
                <w:color w:val="000000" w:themeColor="text1"/>
              </w:rPr>
              <w:t>≤15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2C48E7D" w14:textId="77777777" w:rsidR="004D6256" w:rsidRPr="001667DB" w:rsidRDefault="004D6256">
            <w:pPr>
              <w:overflowPunct w:val="0"/>
              <w:autoSpaceDE w:val="0"/>
              <w:autoSpaceDN w:val="0"/>
              <w:adjustRightInd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5≤</w:t>
            </w:r>
            <w:r w:rsidRPr="001667DB">
              <w:rPr>
                <w:rFonts w:ascii="Times New Roman" w:hAnsi="Times New Roman" w:cs="Times New Roman"/>
                <w:i/>
                <w:color w:val="000000" w:themeColor="text1"/>
              </w:rPr>
              <w:t>K</w:t>
            </w:r>
            <w:r w:rsidRPr="001667DB">
              <w:rPr>
                <w:rFonts w:ascii="Times New Roman" w:hAnsi="Times New Roman" w:cs="Times New Roman"/>
                <w:color w:val="000000" w:themeColor="text1"/>
              </w:rPr>
              <w:t>≤15</w:t>
            </w:r>
          </w:p>
        </w:tc>
      </w:tr>
    </w:tbl>
    <w:p w14:paraId="2169A154" w14:textId="77777777" w:rsidR="004D6256" w:rsidRPr="001667DB" w:rsidRDefault="004D6256" w:rsidP="00B73D7B">
      <w:pPr>
        <w:rPr>
          <w:rFonts w:ascii="Times New Roman" w:hAnsi="Times New Roman" w:cs="Times New Roman"/>
          <w:color w:val="000000" w:themeColor="text1"/>
          <w:highlight w:val="yellow"/>
        </w:rPr>
      </w:pPr>
    </w:p>
    <w:p w14:paraId="6C5EDA8C" w14:textId="77777777" w:rsidR="004D6256" w:rsidRDefault="004D6256" w:rsidP="00B73D7B">
      <w:pPr>
        <w:ind w:firstLine="709"/>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Równomierność luminancji dla każdej barwy zewnętrznie oświetlonej i dla znaków podświetlanych, oznaczona jako stosunek najniższej do najwyższej wartości zmierzonej w jakiejkolwiek części znaku, powinna spełniać wymagania podane w tablicy 6.</w:t>
      </w:r>
    </w:p>
    <w:p w14:paraId="0DF30E32" w14:textId="77777777" w:rsidR="00D14686" w:rsidRPr="001667DB" w:rsidRDefault="00D14686" w:rsidP="00B73D7B">
      <w:pPr>
        <w:ind w:firstLine="709"/>
        <w:rPr>
          <w:rFonts w:ascii="Times New Roman" w:hAnsi="Times New Roman" w:cs="Times New Roman"/>
          <w:color w:val="000000" w:themeColor="text1"/>
        </w:rPr>
      </w:pPr>
    </w:p>
    <w:p w14:paraId="407445D8" w14:textId="77777777" w:rsidR="004D6256" w:rsidRPr="001667DB" w:rsidRDefault="004D6256" w:rsidP="00B73D7B">
      <w:pPr>
        <w:spacing w:before="120" w:after="120"/>
        <w:rPr>
          <w:rFonts w:ascii="Times New Roman" w:hAnsi="Times New Roman" w:cs="Times New Roman"/>
          <w:color w:val="000000" w:themeColor="text1"/>
        </w:rPr>
      </w:pPr>
      <w:r w:rsidRPr="001667DB">
        <w:rPr>
          <w:rFonts w:ascii="Times New Roman" w:hAnsi="Times New Roman" w:cs="Times New Roman"/>
          <w:color w:val="000000" w:themeColor="text1"/>
        </w:rPr>
        <w:t>Tablica 6 . Równomierność luminancji</w:t>
      </w:r>
    </w:p>
    <w:tbl>
      <w:tblPr>
        <w:tblW w:w="59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2835"/>
        <w:gridCol w:w="3119"/>
      </w:tblGrid>
      <w:tr w:rsidR="004D6256" w:rsidRPr="001667DB" w14:paraId="5D6F3CEF" w14:textId="77777777" w:rsidTr="00B73D7B">
        <w:trPr>
          <w:trHeight w:val="171"/>
        </w:trPr>
        <w:tc>
          <w:tcPr>
            <w:tcW w:w="2835" w:type="dxa"/>
            <w:tcBorders>
              <w:top w:val="single" w:sz="4" w:space="0" w:color="auto"/>
              <w:left w:val="single" w:sz="4" w:space="0" w:color="auto"/>
              <w:bottom w:val="single" w:sz="4" w:space="0" w:color="auto"/>
              <w:right w:val="single" w:sz="4" w:space="0" w:color="auto"/>
            </w:tcBorders>
            <w:noWrap/>
            <w:hideMark/>
          </w:tcPr>
          <w:p w14:paraId="47A8335B" w14:textId="77777777" w:rsidR="004D6256" w:rsidRPr="001667DB" w:rsidRDefault="004D6256">
            <w:pPr>
              <w:overflowPunct w:val="0"/>
              <w:autoSpaceDE w:val="0"/>
              <w:autoSpaceDN w:val="0"/>
              <w:adjustRightInd w:val="0"/>
              <w:spacing w:before="40" w:after="40" w:line="171"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3119" w:type="dxa"/>
            <w:tcBorders>
              <w:top w:val="single" w:sz="4" w:space="0" w:color="auto"/>
              <w:left w:val="single" w:sz="4" w:space="0" w:color="auto"/>
              <w:bottom w:val="single" w:sz="4" w:space="0" w:color="auto"/>
              <w:right w:val="single" w:sz="4" w:space="0" w:color="auto"/>
            </w:tcBorders>
            <w:noWrap/>
            <w:hideMark/>
          </w:tcPr>
          <w:p w14:paraId="1AC6F344" w14:textId="77777777" w:rsidR="004D6256" w:rsidRPr="001667DB" w:rsidRDefault="004D6256">
            <w:pPr>
              <w:overflowPunct w:val="0"/>
              <w:autoSpaceDE w:val="0"/>
              <w:autoSpaceDN w:val="0"/>
              <w:adjustRightInd w:val="0"/>
              <w:spacing w:before="40" w:after="40" w:line="171"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Stosunek maksymalny</w:t>
            </w:r>
          </w:p>
        </w:tc>
      </w:tr>
      <w:tr w:rsidR="004D6256" w:rsidRPr="001667DB" w14:paraId="4FA5438E" w14:textId="77777777" w:rsidTr="00B73D7B">
        <w:trPr>
          <w:trHeight w:val="283"/>
        </w:trPr>
        <w:tc>
          <w:tcPr>
            <w:tcW w:w="2835" w:type="dxa"/>
            <w:tcBorders>
              <w:top w:val="single" w:sz="4" w:space="0" w:color="auto"/>
              <w:left w:val="single" w:sz="4" w:space="0" w:color="auto"/>
              <w:bottom w:val="single" w:sz="4" w:space="0" w:color="auto"/>
              <w:right w:val="single" w:sz="4" w:space="0" w:color="auto"/>
            </w:tcBorders>
            <w:noWrap/>
            <w:vAlign w:val="center"/>
            <w:hideMark/>
          </w:tcPr>
          <w:p w14:paraId="0F8196BC" w14:textId="77777777" w:rsidR="004D6256" w:rsidRPr="001667DB" w:rsidRDefault="004D6256">
            <w:pPr>
              <w:overflowPunct w:val="0"/>
              <w:autoSpaceDE w:val="0"/>
              <w:autoSpaceDN w:val="0"/>
              <w:adjustRightInd w:val="0"/>
              <w:spacing w:before="40" w:after="40"/>
              <w:jc w:val="center"/>
              <w:rPr>
                <w:rFonts w:ascii="Times New Roman" w:hAnsi="Times New Roman" w:cs="Times New Roman"/>
                <w:color w:val="000000" w:themeColor="text1"/>
              </w:rPr>
            </w:pPr>
            <w:r w:rsidRPr="001667DB">
              <w:rPr>
                <w:rFonts w:ascii="Times New Roman" w:hAnsi="Times New Roman" w:cs="Times New Roman"/>
                <w:color w:val="000000" w:themeColor="text1"/>
              </w:rPr>
              <w:t>U1</w:t>
            </w:r>
          </w:p>
        </w:tc>
        <w:tc>
          <w:tcPr>
            <w:tcW w:w="3119" w:type="dxa"/>
            <w:tcBorders>
              <w:top w:val="single" w:sz="4" w:space="0" w:color="auto"/>
              <w:left w:val="single" w:sz="4" w:space="0" w:color="auto"/>
              <w:bottom w:val="single" w:sz="4" w:space="0" w:color="auto"/>
              <w:right w:val="single" w:sz="4" w:space="0" w:color="auto"/>
            </w:tcBorders>
            <w:noWrap/>
            <w:vAlign w:val="center"/>
            <w:hideMark/>
          </w:tcPr>
          <w:p w14:paraId="79807213" w14:textId="77777777" w:rsidR="004D6256" w:rsidRPr="001667DB" w:rsidRDefault="004D6256">
            <w:pPr>
              <w:overflowPunct w:val="0"/>
              <w:autoSpaceDE w:val="0"/>
              <w:autoSpaceDN w:val="0"/>
              <w:adjustRightInd w:val="0"/>
              <w:spacing w:before="40" w:after="40"/>
              <w:jc w:val="center"/>
              <w:rPr>
                <w:rFonts w:ascii="Times New Roman" w:hAnsi="Times New Roman" w:cs="Times New Roman"/>
                <w:color w:val="000000" w:themeColor="text1"/>
              </w:rPr>
            </w:pPr>
            <w:r w:rsidRPr="001667DB">
              <w:rPr>
                <w:rFonts w:ascii="Times New Roman" w:hAnsi="Times New Roman" w:cs="Times New Roman"/>
                <w:color w:val="000000" w:themeColor="text1"/>
              </w:rPr>
              <w:t>1/10</w:t>
            </w:r>
          </w:p>
        </w:tc>
      </w:tr>
      <w:tr w:rsidR="004D6256" w:rsidRPr="001667DB" w14:paraId="1625EE3D" w14:textId="77777777" w:rsidTr="00B73D7B">
        <w:trPr>
          <w:trHeight w:val="137"/>
        </w:trPr>
        <w:tc>
          <w:tcPr>
            <w:tcW w:w="2835" w:type="dxa"/>
            <w:tcBorders>
              <w:top w:val="single" w:sz="4" w:space="0" w:color="auto"/>
              <w:left w:val="single" w:sz="4" w:space="0" w:color="auto"/>
              <w:bottom w:val="single" w:sz="4" w:space="0" w:color="auto"/>
              <w:right w:val="single" w:sz="4" w:space="0" w:color="auto"/>
            </w:tcBorders>
            <w:noWrap/>
            <w:vAlign w:val="center"/>
            <w:hideMark/>
          </w:tcPr>
          <w:p w14:paraId="121D73C8" w14:textId="77777777" w:rsidR="004D6256" w:rsidRPr="001667DB" w:rsidRDefault="004D6256">
            <w:pPr>
              <w:overflowPunct w:val="0"/>
              <w:autoSpaceDE w:val="0"/>
              <w:autoSpaceDN w:val="0"/>
              <w:adjustRightInd w:val="0"/>
              <w:spacing w:before="40" w:after="40" w:line="137"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U2</w:t>
            </w:r>
          </w:p>
        </w:tc>
        <w:tc>
          <w:tcPr>
            <w:tcW w:w="3119" w:type="dxa"/>
            <w:tcBorders>
              <w:top w:val="single" w:sz="4" w:space="0" w:color="auto"/>
              <w:left w:val="single" w:sz="4" w:space="0" w:color="auto"/>
              <w:bottom w:val="single" w:sz="4" w:space="0" w:color="auto"/>
              <w:right w:val="single" w:sz="4" w:space="0" w:color="auto"/>
            </w:tcBorders>
            <w:noWrap/>
            <w:vAlign w:val="center"/>
            <w:hideMark/>
          </w:tcPr>
          <w:p w14:paraId="0EEF874B" w14:textId="77777777" w:rsidR="004D6256" w:rsidRPr="001667DB" w:rsidRDefault="004D6256">
            <w:pPr>
              <w:overflowPunct w:val="0"/>
              <w:autoSpaceDE w:val="0"/>
              <w:autoSpaceDN w:val="0"/>
              <w:adjustRightInd w:val="0"/>
              <w:spacing w:before="40" w:after="40" w:line="137"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1/6</w:t>
            </w:r>
          </w:p>
        </w:tc>
      </w:tr>
      <w:tr w:rsidR="004D6256" w:rsidRPr="001667DB" w14:paraId="456649B7" w14:textId="77777777" w:rsidTr="00B73D7B">
        <w:trPr>
          <w:trHeight w:val="127"/>
        </w:trPr>
        <w:tc>
          <w:tcPr>
            <w:tcW w:w="2835" w:type="dxa"/>
            <w:tcBorders>
              <w:top w:val="single" w:sz="4" w:space="0" w:color="auto"/>
              <w:left w:val="single" w:sz="4" w:space="0" w:color="auto"/>
              <w:bottom w:val="single" w:sz="4" w:space="0" w:color="auto"/>
              <w:right w:val="single" w:sz="4" w:space="0" w:color="auto"/>
            </w:tcBorders>
            <w:noWrap/>
            <w:vAlign w:val="center"/>
            <w:hideMark/>
          </w:tcPr>
          <w:p w14:paraId="48315128" w14:textId="77777777" w:rsidR="004D6256" w:rsidRPr="001667DB" w:rsidRDefault="004D6256">
            <w:pPr>
              <w:overflowPunct w:val="0"/>
              <w:autoSpaceDE w:val="0"/>
              <w:autoSpaceDN w:val="0"/>
              <w:adjustRightInd w:val="0"/>
              <w:spacing w:before="40" w:after="40" w:line="127"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U3</w:t>
            </w:r>
          </w:p>
        </w:tc>
        <w:tc>
          <w:tcPr>
            <w:tcW w:w="3119" w:type="dxa"/>
            <w:tcBorders>
              <w:top w:val="single" w:sz="4" w:space="0" w:color="auto"/>
              <w:left w:val="single" w:sz="4" w:space="0" w:color="auto"/>
              <w:bottom w:val="single" w:sz="4" w:space="0" w:color="auto"/>
              <w:right w:val="single" w:sz="4" w:space="0" w:color="auto"/>
            </w:tcBorders>
            <w:noWrap/>
            <w:vAlign w:val="center"/>
            <w:hideMark/>
          </w:tcPr>
          <w:p w14:paraId="270351CF" w14:textId="77777777" w:rsidR="004D6256" w:rsidRPr="001667DB" w:rsidRDefault="004D6256">
            <w:pPr>
              <w:overflowPunct w:val="0"/>
              <w:autoSpaceDE w:val="0"/>
              <w:autoSpaceDN w:val="0"/>
              <w:adjustRightInd w:val="0"/>
              <w:spacing w:before="40" w:after="40" w:line="127" w:lineRule="atLeast"/>
              <w:jc w:val="center"/>
              <w:rPr>
                <w:rFonts w:ascii="Times New Roman" w:hAnsi="Times New Roman" w:cs="Times New Roman"/>
                <w:color w:val="000000" w:themeColor="text1"/>
              </w:rPr>
            </w:pPr>
            <w:r w:rsidRPr="001667DB">
              <w:rPr>
                <w:rFonts w:ascii="Times New Roman" w:hAnsi="Times New Roman" w:cs="Times New Roman"/>
                <w:color w:val="000000" w:themeColor="text1"/>
              </w:rPr>
              <w:t>1/3</w:t>
            </w:r>
          </w:p>
        </w:tc>
      </w:tr>
    </w:tbl>
    <w:p w14:paraId="0026D151" w14:textId="77777777" w:rsidR="004D6256" w:rsidRPr="001667DB" w:rsidRDefault="004D6256" w:rsidP="00B73D7B">
      <w:pPr>
        <w:pStyle w:val="Nagwek2"/>
        <w:ind w:left="851"/>
        <w:rPr>
          <w:color w:val="000000" w:themeColor="text1"/>
          <w:sz w:val="22"/>
          <w:szCs w:val="22"/>
        </w:rPr>
      </w:pPr>
    </w:p>
    <w:p w14:paraId="6C38D01D"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Warunki dla oprawy oświetleniowej znaku podświetlanego</w:t>
      </w:r>
    </w:p>
    <w:p w14:paraId="5A94D183" w14:textId="77777777" w:rsidR="004D6256" w:rsidRPr="001667DB" w:rsidRDefault="004D6256" w:rsidP="00577746">
      <w:pPr>
        <w:jc w:val="both"/>
        <w:rPr>
          <w:rFonts w:ascii="Times New Roman" w:hAnsi="Times New Roman" w:cs="Times New Roman"/>
          <w:color w:val="000000" w:themeColor="text1"/>
        </w:rPr>
      </w:pPr>
    </w:p>
    <w:p w14:paraId="1A3662E3"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Obudowa znaku podświetlanego  powinna być zaprojektowana z uwzględnieniem niezawodnego przenoszenia wszystkich sił statycznych i dynamicznych na zamocowanie i konstrukcje podtrzymującą. Ściany obudowy powinny być zaprojektowane tak, aby spełnić wymagania statyczne. Naroża powinny być zaokrąglone. Projekt powinien zapewniać, że woda deszczowa nie będzie spływała po obudowie i przez lico znaku. </w:t>
      </w:r>
    </w:p>
    <w:p w14:paraId="337C5F34" w14:textId="77777777" w:rsidR="004D6256" w:rsidRPr="001667DB" w:rsidRDefault="004D6256" w:rsidP="00577746">
      <w:pPr>
        <w:numPr>
          <w:ilvl w:val="12"/>
          <w:numId w:val="0"/>
        </w:num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Oprawa wbudowana w znak powinna spełniać  następujące wymagania:</w:t>
      </w:r>
    </w:p>
    <w:p w14:paraId="455D2555"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sposób połączeń lica znaku z tarczą znaku w formie komory, w którą wbudowana jest oprawa, powinien zapewnić stopień IP-53 ochrony od wpływu czynników zewnętrznych wg [18],</w:t>
      </w:r>
    </w:p>
    <w:p w14:paraId="216E06BF"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komora statecznika powinna zapewnić co najmniej stopień ochrony IP-23 wg [18],</w:t>
      </w:r>
    </w:p>
    <w:p w14:paraId="15059133"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 oznaczeniu musi być podany rok produkcji.</w:t>
      </w:r>
    </w:p>
    <w:p w14:paraId="11A013C4" w14:textId="77777777" w:rsidR="004D6256" w:rsidRPr="001667DB" w:rsidRDefault="004D6256" w:rsidP="00577746">
      <w:pPr>
        <w:overflowPunct w:val="0"/>
        <w:autoSpaceDE w:val="0"/>
        <w:autoSpaceDN w:val="0"/>
        <w:adjustRightInd w:val="0"/>
        <w:ind w:left="283"/>
        <w:jc w:val="both"/>
        <w:rPr>
          <w:rFonts w:ascii="Times New Roman" w:hAnsi="Times New Roman" w:cs="Times New Roman"/>
          <w:color w:val="000000" w:themeColor="text1"/>
        </w:rPr>
      </w:pPr>
    </w:p>
    <w:p w14:paraId="45230F8F"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Warunki dla oprawy oświetleniowej znaku oświetlanego</w:t>
      </w:r>
    </w:p>
    <w:p w14:paraId="6D18B41E"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Zewnętrzne oprawy oświetleniowe powinny być zgodne z PN-EN 60598-1:1990 [19]. Minimalnym poziomem zabezpieczenia konstrukcji wsporczych znaków, skrzynek elektrycznych zawierających urządzenia elektryczne, obudów znaków podświetlanych, opraw oświetleniowych i ich obudów przed przenikaniem kurzu i wody, określonym w PN-EN 60529:2003 [18], powinien być poziom 2 dla cząstek stałych i poziom 3 dla wody. Podstawą do określenia tych poziomów minimalnych powinien być poziom IP podany w wymaganiach klienta lub nabywcy. Zaleca się, aby oprawa była zbudowana jako zamknięta, o stopniu ochrony IP-53 dla komory lampowej i co najmniej IP-23 dla komory statecznika wg [18].</w:t>
      </w:r>
    </w:p>
    <w:p w14:paraId="67C2D490"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Projekt strukturalny powinien zawierać całą konstrukcję obejmującą obudowę, słupek i zamocowania. Lampy powinny być zabezpieczone obudową osłaniającą od deszczu, wiatru i innych niesprzyjających warunków zewnętrznych. Obudowy lamp i panele oświetleniowe  powinny być zgodne z PN-EN 12899-1:2005 [16].</w:t>
      </w:r>
    </w:p>
    <w:p w14:paraId="38618748" w14:textId="77777777" w:rsidR="004D6256" w:rsidRPr="001667DB" w:rsidRDefault="004D6256" w:rsidP="00577746">
      <w:pPr>
        <w:numPr>
          <w:ilvl w:val="12"/>
          <w:numId w:val="0"/>
        </w:num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Oprawa oświetleniowa powinna spełniać ponadto następujące wymagania :</w:t>
      </w:r>
    </w:p>
    <w:p w14:paraId="108FAF60"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opraw zawieszanych na wysokości poniżej </w:t>
      </w:r>
      <w:smartTag w:uri="urn:schemas-microsoft-com:office:smarttags" w:element="metricconverter">
        <w:smartTagPr>
          <w:attr w:name="ProductID" w:val="2,5 m"/>
        </w:smartTagPr>
        <w:r w:rsidRPr="001667DB">
          <w:rPr>
            <w:rFonts w:ascii="Times New Roman" w:hAnsi="Times New Roman" w:cs="Times New Roman"/>
            <w:color w:val="000000" w:themeColor="text1"/>
          </w:rPr>
          <w:t>2,5 m</w:t>
        </w:r>
      </w:smartTag>
      <w:r w:rsidRPr="001667DB">
        <w:rPr>
          <w:rFonts w:ascii="Times New Roman" w:hAnsi="Times New Roman" w:cs="Times New Roman"/>
          <w:color w:val="000000" w:themeColor="text1"/>
        </w:rPr>
        <w:t xml:space="preserve"> klosz oprawy powinien być wykonany z materiałów odpornych na uszkodzenia mechaniczne,</w:t>
      </w:r>
    </w:p>
    <w:p w14:paraId="73479DA9"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 oznaczeniu oprawy musi być podany rok produkcji.</w:t>
      </w:r>
    </w:p>
    <w:p w14:paraId="1D78478B"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2A5D6FBF" w14:textId="77777777" w:rsidR="004D6256" w:rsidRPr="001667DB" w:rsidRDefault="004D6256" w:rsidP="00577746">
      <w:pPr>
        <w:jc w:val="both"/>
        <w:rPr>
          <w:rFonts w:ascii="Times New Roman" w:hAnsi="Times New Roman" w:cs="Times New Roman"/>
          <w:color w:val="000000" w:themeColor="text1"/>
        </w:rPr>
      </w:pPr>
    </w:p>
    <w:p w14:paraId="07667440" w14:textId="77777777" w:rsidR="00C92DF5" w:rsidRPr="001667DB" w:rsidRDefault="00C92DF5" w:rsidP="00C92DF5">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Oznakowanie znaku</w:t>
      </w:r>
    </w:p>
    <w:p w14:paraId="0086715A" w14:textId="77777777" w:rsidR="00C92DF5" w:rsidRPr="001667DB" w:rsidRDefault="00C92DF5" w:rsidP="00C92DF5">
      <w:pPr>
        <w:jc w:val="both"/>
        <w:rPr>
          <w:rFonts w:ascii="Times New Roman" w:hAnsi="Times New Roman" w:cs="Times New Roman"/>
          <w:color w:val="000000" w:themeColor="text1"/>
        </w:rPr>
      </w:pPr>
    </w:p>
    <w:p w14:paraId="40B742B7" w14:textId="77777777" w:rsidR="00C92DF5" w:rsidRPr="001667DB" w:rsidRDefault="00C92DF5" w:rsidP="00C92DF5">
      <w:pPr>
        <w:pStyle w:val="Nagwek"/>
        <w:tabs>
          <w:tab w:val="left" w:pos="708"/>
        </w:tabs>
        <w:rPr>
          <w:i/>
          <w:color w:val="000000" w:themeColor="text1"/>
          <w:sz w:val="22"/>
        </w:rPr>
      </w:pPr>
      <w:r w:rsidRPr="001667DB">
        <w:rPr>
          <w:color w:val="000000" w:themeColor="text1"/>
          <w:sz w:val="22"/>
        </w:rPr>
        <w:tab/>
      </w:r>
      <w:r w:rsidRPr="001667DB">
        <w:rPr>
          <w:i/>
          <w:color w:val="000000" w:themeColor="text1"/>
          <w:sz w:val="22"/>
        </w:rPr>
        <w:t>Każdy wykonany znak drogowy musi mieć naklejoną na rewersie naklejkę zawierającą następujące informacje:</w:t>
      </w:r>
    </w:p>
    <w:p w14:paraId="51874916"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numer i datę normy tj. PN-EN 12899-1:2005 [16],</w:t>
      </w:r>
    </w:p>
    <w:p w14:paraId="4E0BB7CB"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klasy istotnych właściwości wyrobu,</w:t>
      </w:r>
    </w:p>
    <w:p w14:paraId="3296C8AE"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miesiąc i dwie ostatnie cyfry roku produkcji</w:t>
      </w:r>
    </w:p>
    <w:p w14:paraId="5D9D7E32"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nazwę, znak handlowy i inne oznaczenia identyfikujące producenta lub dostawcę jeśli nie jest producentem,</w:t>
      </w:r>
    </w:p>
    <w:p w14:paraId="7DFF2CD6"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znak budowlany „B”,</w:t>
      </w:r>
    </w:p>
    <w:p w14:paraId="4168046E"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numer aprobaty technicznej IBDiM,</w:t>
      </w:r>
    </w:p>
    <w:p w14:paraId="4E7EBF02" w14:textId="77777777" w:rsidR="00C92DF5" w:rsidRPr="001667DB" w:rsidRDefault="00C92DF5" w:rsidP="00C92DF5">
      <w:pPr>
        <w:widowControl w:val="0"/>
        <w:numPr>
          <w:ilvl w:val="0"/>
          <w:numId w:val="341"/>
        </w:numPr>
        <w:overflowPunct w:val="0"/>
        <w:autoSpaceDE w:val="0"/>
        <w:autoSpaceDN w:val="0"/>
        <w:adjustRightInd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numer certyfikatu zgodności i numer jednostki certyfikującej.</w:t>
      </w:r>
    </w:p>
    <w:p w14:paraId="6F72A1C4" w14:textId="77777777" w:rsidR="00C92DF5" w:rsidRDefault="00C92DF5" w:rsidP="00C92DF5">
      <w:pPr>
        <w:widowControl w:val="0"/>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Oznakowania powinny być wykonane w sposób trwały i wyraźny, czytelny z normalnej odległości widzenia, a całkowita powierzchnia naklejki nie była większa niż 30 cm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xml:space="preserve"> . Czytelność i trwałość cechy na tylnej stronie tarczy znaku nie powinna być niższa od wymaganej trwałości znaku. Naklejkę należy wykonać z folii nieodblaskowej.</w:t>
      </w:r>
    </w:p>
    <w:p w14:paraId="093B9D27" w14:textId="77777777" w:rsidR="00C92DF5" w:rsidRPr="001667DB" w:rsidRDefault="00C92DF5" w:rsidP="00C92DF5">
      <w:pPr>
        <w:widowControl w:val="0"/>
        <w:ind w:firstLine="709"/>
        <w:jc w:val="both"/>
        <w:rPr>
          <w:rFonts w:ascii="Times New Roman" w:hAnsi="Times New Roman" w:cs="Times New Roman"/>
          <w:color w:val="000000" w:themeColor="text1"/>
        </w:rPr>
      </w:pPr>
    </w:p>
    <w:p w14:paraId="41EBE5B8" w14:textId="77777777" w:rsidR="00C92DF5" w:rsidRPr="00C92DF5" w:rsidRDefault="00C92DF5" w:rsidP="00C92DF5">
      <w:pPr>
        <w:pStyle w:val="Nagwek2"/>
        <w:numPr>
          <w:ilvl w:val="1"/>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color w:val="000000" w:themeColor="text1"/>
          <w:sz w:val="22"/>
          <w:szCs w:val="22"/>
        </w:rPr>
      </w:pPr>
      <w:r w:rsidRPr="00C92DF5">
        <w:rPr>
          <w:bCs/>
          <w:sz w:val="22"/>
          <w:szCs w:val="22"/>
        </w:rPr>
        <w:t>INFORMACJA I PROMOCJA PROJEKTU</w:t>
      </w:r>
    </w:p>
    <w:p w14:paraId="7C181248" w14:textId="77777777" w:rsidR="00C92DF5" w:rsidRPr="00C92DF5" w:rsidRDefault="00C92DF5" w:rsidP="00C92DF5">
      <w:pPr>
        <w:spacing w:line="276" w:lineRule="auto"/>
        <w:rPr>
          <w:rFonts w:ascii="Times New Roman" w:hAnsi="Times New Roman" w:cs="Times New Roman"/>
          <w:bCs/>
        </w:rPr>
      </w:pPr>
    </w:p>
    <w:p w14:paraId="11D8990A" w14:textId="2D0D8E47" w:rsidR="00C92DF5" w:rsidRPr="00C92DF5" w:rsidRDefault="00C92DF5" w:rsidP="00C92DF5">
      <w:pPr>
        <w:spacing w:line="276" w:lineRule="auto"/>
        <w:rPr>
          <w:rFonts w:ascii="Times New Roman" w:hAnsi="Times New Roman" w:cs="Times New Roman"/>
          <w:bCs/>
        </w:rPr>
      </w:pPr>
      <w:r w:rsidRPr="00C92DF5">
        <w:rPr>
          <w:rFonts w:ascii="Times New Roman" w:hAnsi="Times New Roman" w:cs="Times New Roman"/>
          <w:bCs/>
        </w:rPr>
        <w:t xml:space="preserve">Wytyczne i zasady prowadzenia robót związanych z montażem tablic informacyjnych oraz innych działań dotyczących promocji i informacji </w:t>
      </w:r>
    </w:p>
    <w:p w14:paraId="20D5E90F" w14:textId="77777777" w:rsidR="00C92DF5" w:rsidRPr="00C92DF5" w:rsidRDefault="00C92DF5" w:rsidP="00C92DF5">
      <w:pPr>
        <w:autoSpaceDE w:val="0"/>
        <w:autoSpaceDN w:val="0"/>
        <w:adjustRightInd w:val="0"/>
        <w:rPr>
          <w:rFonts w:ascii="Times New Roman" w:hAnsi="Times New Roman" w:cs="Times New Roman"/>
          <w:bCs/>
        </w:rPr>
      </w:pPr>
      <w:r w:rsidRPr="00C92DF5">
        <w:rPr>
          <w:rFonts w:ascii="Times New Roman" w:hAnsi="Times New Roman" w:cs="Times New Roman"/>
          <w:bCs/>
        </w:rPr>
        <w:t>Po uzyskaniu dofinansowania dla niniejszego zadania ze środków Europejskiego Funduszu Rozwoju Regionalnego w ramach programu Fundusze Europejskie dla Opolskiego 2021 - 2027 należy stosować wytyczne i zasady tutaj określone.</w:t>
      </w:r>
    </w:p>
    <w:p w14:paraId="495A9B72" w14:textId="77777777" w:rsidR="00C92DF5" w:rsidRPr="00C92DF5" w:rsidRDefault="00C92DF5" w:rsidP="00C92DF5">
      <w:pPr>
        <w:pStyle w:val="Akapitzlist"/>
        <w:ind w:left="360"/>
        <w:rPr>
          <w:sz w:val="22"/>
          <w:szCs w:val="22"/>
        </w:rPr>
      </w:pPr>
    </w:p>
    <w:p w14:paraId="340A4AB1" w14:textId="77777777" w:rsidR="00C92DF5" w:rsidRPr="00C92DF5" w:rsidRDefault="00C92DF5" w:rsidP="00C92DF5">
      <w:pPr>
        <w:autoSpaceDE w:val="0"/>
        <w:autoSpaceDN w:val="0"/>
        <w:adjustRightInd w:val="0"/>
        <w:rPr>
          <w:rFonts w:ascii="Times New Roman" w:hAnsi="Times New Roman" w:cs="Times New Roman"/>
        </w:rPr>
      </w:pPr>
      <w:r w:rsidRPr="00C92DF5">
        <w:rPr>
          <w:rFonts w:ascii="Times New Roman" w:hAnsi="Times New Roman" w:cs="Times New Roman"/>
        </w:rPr>
        <w:t>Najważniejszymi dokumentami w tym zakresie są:</w:t>
      </w:r>
    </w:p>
    <w:p w14:paraId="09E03FD2"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 xml:space="preserve">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(Dz. Urz. UE L 231 z 30.06.2021, str. 159, z późn. zm.); </w:t>
      </w:r>
    </w:p>
    <w:p w14:paraId="7AFD14C1"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 xml:space="preserve">Strategia komunikacji Funduszy Europejskich na lata 2021-2027, </w:t>
      </w:r>
    </w:p>
    <w:p w14:paraId="5A123C87"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Strategie komunikacji poszczególnych programów (dostępne na stronach internetowych tych programów),</w:t>
      </w:r>
    </w:p>
    <w:p w14:paraId="08A8F02C"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Księga Tożsamości Wizualnej marki Fundusze Europejskie 2021-2027,</w:t>
      </w:r>
    </w:p>
    <w:p w14:paraId="54127564"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Wytyczne dotyczące informacji i promocji Funduszy Europejskich na lata 2021-2027,</w:t>
      </w:r>
    </w:p>
    <w:p w14:paraId="632E5A03" w14:textId="77777777" w:rsidR="00C92DF5" w:rsidRPr="00C92DF5" w:rsidRDefault="00C92DF5" w:rsidP="00C92DF5">
      <w:pPr>
        <w:pStyle w:val="Akapitzlist"/>
        <w:numPr>
          <w:ilvl w:val="0"/>
          <w:numId w:val="435"/>
        </w:numPr>
        <w:overflowPunct/>
        <w:jc w:val="left"/>
        <w:textAlignment w:val="auto"/>
        <w:rPr>
          <w:sz w:val="22"/>
          <w:szCs w:val="22"/>
        </w:rPr>
      </w:pPr>
      <w:r w:rsidRPr="00C92DF5">
        <w:rPr>
          <w:sz w:val="22"/>
          <w:szCs w:val="22"/>
        </w:rPr>
        <w:t>Wytyczne dotyczące realizacji zasad równościowych w ramach funduszy unijnych na lata 2021-2027,</w:t>
      </w:r>
    </w:p>
    <w:p w14:paraId="2A1A747B" w14:textId="77777777" w:rsidR="00C92DF5" w:rsidRPr="00C92DF5" w:rsidRDefault="00C92DF5" w:rsidP="00C92DF5">
      <w:pPr>
        <w:autoSpaceDE w:val="0"/>
        <w:autoSpaceDN w:val="0"/>
        <w:adjustRightInd w:val="0"/>
        <w:ind w:left="360"/>
        <w:jc w:val="both"/>
        <w:rPr>
          <w:rFonts w:ascii="Times New Roman" w:hAnsi="Times New Roman" w:cs="Times New Roman"/>
        </w:rPr>
      </w:pPr>
      <w:r w:rsidRPr="00C92DF5">
        <w:rPr>
          <w:rFonts w:ascii="Times New Roman" w:hAnsi="Times New Roman" w:cs="Times New Roman"/>
        </w:rPr>
        <w:t xml:space="preserve">dostępne na: </w:t>
      </w:r>
      <w:hyperlink r:id="rId46" w:history="1">
        <w:r w:rsidRPr="00C92DF5">
          <w:rPr>
            <w:rStyle w:val="Hipercze"/>
            <w:rFonts w:ascii="Times New Roman" w:hAnsi="Times New Roman" w:cs="Times New Roman"/>
          </w:rPr>
          <w:t>https://www.funduszeeuropejskie.gov.p</w:t>
        </w:r>
      </w:hyperlink>
      <w:r w:rsidRPr="00C92DF5">
        <w:rPr>
          <w:rFonts w:ascii="Times New Roman" w:hAnsi="Times New Roman" w:cs="Times New Roman"/>
        </w:rPr>
        <w:t>l</w:t>
      </w:r>
    </w:p>
    <w:p w14:paraId="20AE2A43" w14:textId="77777777" w:rsidR="00C92DF5" w:rsidRPr="00C92DF5" w:rsidRDefault="00C92DF5" w:rsidP="00C92DF5">
      <w:pPr>
        <w:pStyle w:val="Akapitzlist"/>
        <w:numPr>
          <w:ilvl w:val="0"/>
          <w:numId w:val="432"/>
        </w:numPr>
        <w:overflowPunct/>
        <w:jc w:val="left"/>
        <w:textAlignment w:val="auto"/>
        <w:rPr>
          <w:sz w:val="22"/>
          <w:szCs w:val="22"/>
        </w:rPr>
      </w:pPr>
      <w:r w:rsidRPr="00C92DF5">
        <w:rPr>
          <w:sz w:val="22"/>
          <w:szCs w:val="22"/>
        </w:rPr>
        <w:t>Zakres rzeczowy:</w:t>
      </w:r>
    </w:p>
    <w:p w14:paraId="54980150" w14:textId="77777777" w:rsidR="00C92DF5" w:rsidRPr="00C92DF5" w:rsidRDefault="00C92DF5" w:rsidP="00C92DF5">
      <w:pPr>
        <w:numPr>
          <w:ilvl w:val="0"/>
          <w:numId w:val="428"/>
        </w:numPr>
        <w:autoSpaceDE w:val="0"/>
        <w:autoSpaceDN w:val="0"/>
        <w:adjustRightInd w:val="0"/>
        <w:spacing w:after="0" w:line="240" w:lineRule="auto"/>
        <w:rPr>
          <w:rFonts w:ascii="Times New Roman" w:hAnsi="Times New Roman" w:cs="Times New Roman"/>
        </w:rPr>
      </w:pPr>
      <w:r w:rsidRPr="00C92DF5">
        <w:rPr>
          <w:rFonts w:ascii="Times New Roman" w:hAnsi="Times New Roman" w:cs="Times New Roman"/>
        </w:rPr>
        <w:t xml:space="preserve">Wykonanie, montaż, utrzymanie 2 </w:t>
      </w:r>
      <w:r w:rsidRPr="00C92DF5">
        <w:rPr>
          <w:rFonts w:ascii="Times New Roman" w:hAnsi="Times New Roman" w:cs="Times New Roman"/>
          <w:b/>
          <w:bCs/>
        </w:rPr>
        <w:t xml:space="preserve">tablic informacyjnych </w:t>
      </w:r>
      <w:r w:rsidRPr="00C92DF5">
        <w:rPr>
          <w:rFonts w:ascii="Times New Roman" w:hAnsi="Times New Roman" w:cs="Times New Roman"/>
        </w:rPr>
        <w:t xml:space="preserve">informujących </w:t>
      </w:r>
      <w:r w:rsidRPr="00C92DF5">
        <w:rPr>
          <w:rFonts w:ascii="Times New Roman" w:hAnsi="Times New Roman" w:cs="Times New Roman"/>
          <w:b/>
          <w:bCs/>
        </w:rPr>
        <w:t xml:space="preserve">o dofinansowaniu </w:t>
      </w:r>
      <w:r w:rsidRPr="00C92DF5">
        <w:rPr>
          <w:rFonts w:ascii="Times New Roman" w:hAnsi="Times New Roman" w:cs="Times New Roman"/>
        </w:rPr>
        <w:t>ze środków Unii Europejskiej, zgodnie ze wskazaniami Inżyniera,</w:t>
      </w:r>
    </w:p>
    <w:p w14:paraId="66774402" w14:textId="77777777" w:rsidR="00C92DF5" w:rsidRPr="00C92DF5" w:rsidRDefault="00C92DF5" w:rsidP="00C92DF5">
      <w:pPr>
        <w:numPr>
          <w:ilvl w:val="0"/>
          <w:numId w:val="428"/>
        </w:numPr>
        <w:autoSpaceDE w:val="0"/>
        <w:autoSpaceDN w:val="0"/>
        <w:adjustRightInd w:val="0"/>
        <w:spacing w:after="0" w:line="240" w:lineRule="auto"/>
        <w:rPr>
          <w:rFonts w:ascii="Times New Roman" w:hAnsi="Times New Roman" w:cs="Times New Roman"/>
        </w:rPr>
      </w:pPr>
      <w:r w:rsidRPr="00C92DF5">
        <w:rPr>
          <w:rFonts w:ascii="Times New Roman" w:hAnsi="Times New Roman" w:cs="Times New Roman"/>
        </w:rPr>
        <w:lastRenderedPageBreak/>
        <w:t xml:space="preserve">Informowanie opinii publicznej o uzyskanym dofinansowaniu z Funduszy Europejskich znakowanie wszystkich dokumentów związanych z realizacją projektu (na pierwszej stronie każdego dokumentu): </w:t>
      </w:r>
    </w:p>
    <w:p w14:paraId="0878FACA" w14:textId="77777777" w:rsidR="00C92DF5" w:rsidRPr="00C92DF5" w:rsidRDefault="00C92DF5" w:rsidP="00C92DF5">
      <w:pPr>
        <w:pStyle w:val="Akapitzlist"/>
        <w:numPr>
          <w:ilvl w:val="0"/>
          <w:numId w:val="431"/>
        </w:numPr>
        <w:overflowPunct/>
        <w:jc w:val="left"/>
        <w:textAlignment w:val="auto"/>
        <w:rPr>
          <w:sz w:val="22"/>
          <w:szCs w:val="22"/>
        </w:rPr>
      </w:pPr>
      <w:r w:rsidRPr="00C92DF5">
        <w:rPr>
          <w:sz w:val="22"/>
          <w:szCs w:val="22"/>
        </w:rPr>
        <w:t>Znak Funduszy Europejskich</w:t>
      </w:r>
    </w:p>
    <w:p w14:paraId="2439C6BD" w14:textId="77777777" w:rsidR="00C92DF5" w:rsidRPr="00C92DF5" w:rsidRDefault="00C92DF5" w:rsidP="00C92DF5">
      <w:pPr>
        <w:pStyle w:val="Akapitzlist"/>
        <w:numPr>
          <w:ilvl w:val="0"/>
          <w:numId w:val="431"/>
        </w:numPr>
        <w:overflowPunct/>
        <w:jc w:val="left"/>
        <w:textAlignment w:val="auto"/>
        <w:rPr>
          <w:sz w:val="22"/>
          <w:szCs w:val="22"/>
        </w:rPr>
      </w:pPr>
      <w:r w:rsidRPr="00C92DF5">
        <w:rPr>
          <w:sz w:val="22"/>
          <w:szCs w:val="22"/>
        </w:rPr>
        <w:t>Barwy RP</w:t>
      </w:r>
    </w:p>
    <w:p w14:paraId="578A12B5" w14:textId="77777777" w:rsidR="00C92DF5" w:rsidRPr="00C92DF5" w:rsidRDefault="00C92DF5" w:rsidP="00C92DF5">
      <w:pPr>
        <w:pStyle w:val="Akapitzlist"/>
        <w:numPr>
          <w:ilvl w:val="0"/>
          <w:numId w:val="431"/>
        </w:numPr>
        <w:overflowPunct/>
        <w:jc w:val="left"/>
        <w:textAlignment w:val="auto"/>
        <w:rPr>
          <w:sz w:val="22"/>
          <w:szCs w:val="22"/>
        </w:rPr>
      </w:pPr>
      <w:r w:rsidRPr="00C92DF5">
        <w:rPr>
          <w:sz w:val="22"/>
          <w:szCs w:val="22"/>
        </w:rPr>
        <w:t>Barwy UE</w:t>
      </w:r>
    </w:p>
    <w:p w14:paraId="66FC7F9F" w14:textId="77777777" w:rsidR="00C92DF5" w:rsidRPr="00C92DF5" w:rsidRDefault="00C92DF5" w:rsidP="00C92DF5">
      <w:pPr>
        <w:pStyle w:val="Akapitzlist"/>
        <w:numPr>
          <w:ilvl w:val="0"/>
          <w:numId w:val="431"/>
        </w:numPr>
        <w:overflowPunct/>
        <w:jc w:val="left"/>
        <w:textAlignment w:val="auto"/>
        <w:rPr>
          <w:sz w:val="22"/>
          <w:szCs w:val="22"/>
        </w:rPr>
      </w:pPr>
      <w:r w:rsidRPr="00C92DF5">
        <w:rPr>
          <w:sz w:val="22"/>
          <w:szCs w:val="22"/>
        </w:rPr>
        <w:t>oficjalnym logo promocyjnym Województwa Opolskiego.</w:t>
      </w:r>
    </w:p>
    <w:p w14:paraId="7FB8D6BE" w14:textId="77777777" w:rsidR="00C92DF5" w:rsidRPr="00C92DF5" w:rsidRDefault="00C92DF5" w:rsidP="00C92DF5">
      <w:pPr>
        <w:pStyle w:val="Akapitzlist"/>
        <w:numPr>
          <w:ilvl w:val="0"/>
          <w:numId w:val="428"/>
        </w:numPr>
        <w:overflowPunct/>
        <w:autoSpaceDE/>
        <w:spacing w:line="276" w:lineRule="auto"/>
        <w:jc w:val="left"/>
        <w:textAlignment w:val="auto"/>
        <w:rPr>
          <w:sz w:val="22"/>
          <w:szCs w:val="22"/>
        </w:rPr>
      </w:pPr>
      <w:r w:rsidRPr="00C92DF5">
        <w:rPr>
          <w:sz w:val="22"/>
          <w:szCs w:val="22"/>
        </w:rPr>
        <w:t>Wykonawca może realizować również inne działania informacyjne i promocyjne poza obowiązkowymi i rekomendowanymi, jeśli działania te służą informowaniu opinii publicznej o pomocy otrzymanej z Unii Europejskiej oraz o tym, iż projekt jest współfinansowany ze środków funduszy unijnych. Działania takie muszą być zaakceptowane przez Zamawiającego.</w:t>
      </w:r>
    </w:p>
    <w:p w14:paraId="71132B02" w14:textId="77777777" w:rsidR="00C92DF5" w:rsidRPr="00C92DF5" w:rsidRDefault="00C92DF5" w:rsidP="00C92DF5">
      <w:pPr>
        <w:numPr>
          <w:ilvl w:val="0"/>
          <w:numId w:val="428"/>
        </w:numPr>
        <w:autoSpaceDN w:val="0"/>
        <w:adjustRightInd w:val="0"/>
        <w:spacing w:after="0" w:line="276" w:lineRule="auto"/>
        <w:rPr>
          <w:rFonts w:ascii="Times New Roman" w:hAnsi="Times New Roman" w:cs="Times New Roman"/>
        </w:rPr>
      </w:pPr>
      <w:r w:rsidRPr="00C92DF5">
        <w:rPr>
          <w:rFonts w:ascii="Times New Roman" w:hAnsi="Times New Roman" w:cs="Times New Roman"/>
        </w:rPr>
        <w:t>Działania obowiązkowe to znakowanie korespondencji i innych dokumentów związanych z realizacją niniejszego zadania, ustawienie tablic informacyjnych.</w:t>
      </w:r>
    </w:p>
    <w:p w14:paraId="6D214F4F" w14:textId="77777777" w:rsidR="00C92DF5" w:rsidRPr="00C92DF5" w:rsidRDefault="00C92DF5" w:rsidP="00C92DF5">
      <w:pPr>
        <w:pStyle w:val="Akapitzlist"/>
        <w:numPr>
          <w:ilvl w:val="0"/>
          <w:numId w:val="432"/>
        </w:numPr>
        <w:tabs>
          <w:tab w:val="left" w:pos="1134"/>
        </w:tabs>
        <w:overflowPunct/>
        <w:spacing w:line="276" w:lineRule="auto"/>
        <w:textAlignment w:val="auto"/>
        <w:rPr>
          <w:sz w:val="22"/>
          <w:szCs w:val="22"/>
        </w:rPr>
      </w:pPr>
      <w:r w:rsidRPr="00C92DF5">
        <w:rPr>
          <w:sz w:val="22"/>
          <w:szCs w:val="22"/>
        </w:rPr>
        <w:t>Wykonanie i montaż tablic informacyjnych:</w:t>
      </w:r>
    </w:p>
    <w:p w14:paraId="31EC6E8E" w14:textId="77777777" w:rsidR="00C92DF5" w:rsidRPr="00C92DF5" w:rsidRDefault="00C92DF5" w:rsidP="00C92DF5">
      <w:pPr>
        <w:pStyle w:val="Akapitzlist"/>
        <w:numPr>
          <w:ilvl w:val="0"/>
          <w:numId w:val="436"/>
        </w:numPr>
        <w:tabs>
          <w:tab w:val="left" w:pos="1134"/>
        </w:tabs>
        <w:overflowPunct/>
        <w:spacing w:line="276" w:lineRule="auto"/>
        <w:textAlignment w:val="auto"/>
        <w:rPr>
          <w:sz w:val="22"/>
          <w:szCs w:val="22"/>
        </w:rPr>
      </w:pPr>
      <w:r w:rsidRPr="00C92DF5">
        <w:rPr>
          <w:sz w:val="22"/>
          <w:szCs w:val="22"/>
        </w:rPr>
        <w:t>Należy wykonać i zamontować  2 tablice informacyjne.</w:t>
      </w:r>
    </w:p>
    <w:p w14:paraId="565A03F1" w14:textId="77777777" w:rsidR="00C92DF5" w:rsidRPr="00C92DF5" w:rsidRDefault="00C92DF5" w:rsidP="00C92DF5">
      <w:pPr>
        <w:pStyle w:val="Akapitzlist"/>
        <w:numPr>
          <w:ilvl w:val="0"/>
          <w:numId w:val="436"/>
        </w:numPr>
        <w:tabs>
          <w:tab w:val="left" w:pos="1134"/>
        </w:tabs>
        <w:overflowPunct/>
        <w:spacing w:line="276" w:lineRule="auto"/>
        <w:textAlignment w:val="auto"/>
        <w:rPr>
          <w:sz w:val="22"/>
          <w:szCs w:val="22"/>
        </w:rPr>
      </w:pPr>
      <w:r w:rsidRPr="00C92DF5">
        <w:rPr>
          <w:spacing w:val="-3"/>
          <w:sz w:val="22"/>
          <w:szCs w:val="22"/>
        </w:rPr>
        <w:t xml:space="preserve">Tablice informacyjne </w:t>
      </w:r>
      <w:r w:rsidRPr="00C92DF5">
        <w:rPr>
          <w:sz w:val="22"/>
          <w:szCs w:val="22"/>
        </w:rPr>
        <w:t>o dofinansowaniu ze środków Unii Europejskiej powinny zawierć:</w:t>
      </w:r>
    </w:p>
    <w:p w14:paraId="565623E5" w14:textId="77777777" w:rsidR="00C92DF5" w:rsidRPr="00C92DF5" w:rsidRDefault="00C92DF5" w:rsidP="00C92DF5">
      <w:pPr>
        <w:spacing w:line="276" w:lineRule="auto"/>
        <w:ind w:left="1418" w:hanging="567"/>
        <w:jc w:val="both"/>
        <w:rPr>
          <w:rFonts w:ascii="Times New Roman" w:hAnsi="Times New Roman" w:cs="Times New Roman"/>
        </w:rPr>
      </w:pPr>
      <w:r w:rsidRPr="00C92DF5">
        <w:rPr>
          <w:rFonts w:ascii="Times New Roman" w:hAnsi="Times New Roman" w:cs="Times New Roman"/>
        </w:rPr>
        <w:t xml:space="preserve">1) znak FE, znak UE oraz herb lub oficjalne logo promocyjne województwa, </w:t>
      </w:r>
    </w:p>
    <w:p w14:paraId="41ABDEE2" w14:textId="77777777" w:rsidR="00C92DF5" w:rsidRPr="00C92DF5" w:rsidRDefault="00C92DF5" w:rsidP="00C92DF5">
      <w:pPr>
        <w:spacing w:line="276" w:lineRule="auto"/>
        <w:ind w:left="1418" w:hanging="567"/>
        <w:jc w:val="both"/>
        <w:rPr>
          <w:rFonts w:ascii="Times New Roman" w:hAnsi="Times New Roman" w:cs="Times New Roman"/>
        </w:rPr>
      </w:pPr>
      <w:r w:rsidRPr="00C92DF5">
        <w:rPr>
          <w:rFonts w:ascii="Times New Roman" w:hAnsi="Times New Roman" w:cs="Times New Roman"/>
        </w:rPr>
        <w:t>2) nazwę beneficjenta,</w:t>
      </w:r>
    </w:p>
    <w:p w14:paraId="79926402" w14:textId="77777777" w:rsidR="00C92DF5" w:rsidRPr="00C92DF5" w:rsidRDefault="00C92DF5" w:rsidP="00C92DF5">
      <w:pPr>
        <w:spacing w:line="276" w:lineRule="auto"/>
        <w:ind w:left="1418" w:hanging="567"/>
        <w:jc w:val="both"/>
        <w:rPr>
          <w:rFonts w:ascii="Times New Roman" w:hAnsi="Times New Roman" w:cs="Times New Roman"/>
        </w:rPr>
      </w:pPr>
      <w:r w:rsidRPr="00C92DF5">
        <w:rPr>
          <w:rFonts w:ascii="Times New Roman" w:hAnsi="Times New Roman" w:cs="Times New Roman"/>
        </w:rPr>
        <w:t>3) tytuł projektu (maksymalnie 150 znaków),</w:t>
      </w:r>
    </w:p>
    <w:p w14:paraId="00138DC0" w14:textId="77777777" w:rsidR="00C92DF5" w:rsidRPr="00C92DF5" w:rsidRDefault="00C92DF5" w:rsidP="00C92DF5">
      <w:pPr>
        <w:spacing w:line="276" w:lineRule="auto"/>
        <w:ind w:left="1418" w:hanging="567"/>
        <w:jc w:val="both"/>
        <w:rPr>
          <w:rFonts w:ascii="Times New Roman" w:hAnsi="Times New Roman" w:cs="Times New Roman"/>
        </w:rPr>
      </w:pPr>
      <w:r w:rsidRPr="00C92DF5">
        <w:rPr>
          <w:rFonts w:ascii="Times New Roman" w:hAnsi="Times New Roman" w:cs="Times New Roman"/>
        </w:rPr>
        <w:t xml:space="preserve">4) adres portalu </w:t>
      </w:r>
      <w:hyperlink r:id="rId47" w:history="1">
        <w:r w:rsidRPr="00C92DF5">
          <w:rPr>
            <w:rStyle w:val="Hipercze"/>
            <w:rFonts w:ascii="Times New Roman" w:hAnsi="Times New Roman" w:cs="Times New Roman"/>
          </w:rPr>
          <w:t>www.mapadotacji.gov.pl</w:t>
        </w:r>
      </w:hyperlink>
      <w:r w:rsidRPr="00C92DF5">
        <w:rPr>
          <w:rFonts w:ascii="Times New Roman" w:hAnsi="Times New Roman" w:cs="Times New Roman"/>
        </w:rPr>
        <w:t>.</w:t>
      </w:r>
    </w:p>
    <w:p w14:paraId="5438999A" w14:textId="77777777" w:rsidR="00C92DF5" w:rsidRPr="00C92DF5" w:rsidRDefault="00C92DF5" w:rsidP="00C92DF5">
      <w:pPr>
        <w:spacing w:line="276" w:lineRule="auto"/>
        <w:ind w:left="142"/>
        <w:rPr>
          <w:rFonts w:ascii="Times New Roman" w:hAnsi="Times New Roman" w:cs="Times New Roman"/>
          <w:b/>
          <w:spacing w:val="-3"/>
        </w:rPr>
      </w:pPr>
      <w:r w:rsidRPr="00C92DF5">
        <w:rPr>
          <w:rFonts w:ascii="Times New Roman" w:hAnsi="Times New Roman" w:cs="Times New Roman"/>
          <w:b/>
          <w:spacing w:val="-3"/>
        </w:rPr>
        <w:t>Wzór tablic informacyjnych jest obowiązkowy, tzn. nie można go modyfikować, dodawać/usuwać znaków. Należy jedynie uzupełnić treść we wskazanych polach</w:t>
      </w:r>
    </w:p>
    <w:p w14:paraId="5F5B4527" w14:textId="77777777" w:rsidR="00C92DF5" w:rsidRPr="00C92DF5" w:rsidRDefault="00C92DF5" w:rsidP="00C92DF5">
      <w:pPr>
        <w:pStyle w:val="Akapitzlist"/>
        <w:numPr>
          <w:ilvl w:val="0"/>
          <w:numId w:val="436"/>
        </w:numPr>
        <w:overflowPunct/>
        <w:autoSpaceDE/>
        <w:autoSpaceDN/>
        <w:adjustRightInd/>
        <w:spacing w:line="276" w:lineRule="auto"/>
        <w:textAlignment w:val="auto"/>
        <w:rPr>
          <w:spacing w:val="-3"/>
          <w:sz w:val="22"/>
          <w:szCs w:val="22"/>
        </w:rPr>
      </w:pPr>
      <w:r w:rsidRPr="00C92DF5">
        <w:rPr>
          <w:spacing w:val="-3"/>
          <w:sz w:val="22"/>
          <w:szCs w:val="22"/>
        </w:rPr>
        <w:t xml:space="preserve">Wzór tablicy pamiątkowej, który należy wykorzystać: </w:t>
      </w:r>
    </w:p>
    <w:p w14:paraId="4B78D344" w14:textId="77777777" w:rsidR="00C92DF5" w:rsidRPr="007670FF" w:rsidRDefault="00C92DF5" w:rsidP="00C92DF5">
      <w:pPr>
        <w:spacing w:line="276" w:lineRule="auto"/>
        <w:jc w:val="center"/>
        <w:rPr>
          <w:rFonts w:cstheme="minorHAnsi"/>
          <w:spacing w:val="-3"/>
        </w:rPr>
      </w:pPr>
      <w:r>
        <w:rPr>
          <w:rFonts w:ascii="Arial" w:hAnsi="Arial" w:cs="Arial"/>
          <w:noProof/>
          <w:sz w:val="24"/>
          <w:szCs w:val="24"/>
          <w:lang w:eastAsia="pl-PL"/>
        </w:rPr>
        <w:drawing>
          <wp:inline distT="0" distB="0" distL="0" distR="0" wp14:anchorId="03F32DC9" wp14:editId="7FEEDFD7">
            <wp:extent cx="4476584" cy="2241746"/>
            <wp:effectExtent l="0" t="0" r="635" b="6350"/>
            <wp:docPr id="1394461926" name="Obraz 1" descr="Obraz zawierający tekst, zrzut ekranu, Czcionka,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61926" name="Obraz 1" descr="Obraz zawierający tekst, zrzut ekranu, Czcionka, logo&#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98573" cy="2252758"/>
                    </a:xfrm>
                    <a:prstGeom prst="rect">
                      <a:avLst/>
                    </a:prstGeom>
                    <a:noFill/>
                    <a:ln>
                      <a:noFill/>
                    </a:ln>
                  </pic:spPr>
                </pic:pic>
              </a:graphicData>
            </a:graphic>
          </wp:inline>
        </w:drawing>
      </w:r>
    </w:p>
    <w:p w14:paraId="41CBE5B8" w14:textId="77777777" w:rsidR="00C92DF5" w:rsidRPr="000936D2" w:rsidRDefault="00C92DF5" w:rsidP="00C92DF5">
      <w:pPr>
        <w:pStyle w:val="Akapitzlist"/>
        <w:numPr>
          <w:ilvl w:val="0"/>
          <w:numId w:val="436"/>
        </w:numPr>
        <w:overflowPunct/>
        <w:autoSpaceDE/>
        <w:autoSpaceDN/>
        <w:adjustRightInd/>
        <w:spacing w:line="276" w:lineRule="auto"/>
        <w:jc w:val="left"/>
        <w:textAlignment w:val="auto"/>
        <w:rPr>
          <w:rFonts w:ascii="Arial" w:hAnsi="Arial" w:cs="Arial"/>
        </w:rPr>
      </w:pPr>
      <w:r w:rsidRPr="000936D2">
        <w:rPr>
          <w:rFonts w:ascii="Arial" w:hAnsi="Arial" w:cs="Arial"/>
          <w:spacing w:val="-3"/>
        </w:rPr>
        <w:t xml:space="preserve">Wymiary tablic </w:t>
      </w:r>
      <w:r>
        <w:rPr>
          <w:rFonts w:ascii="Arial" w:hAnsi="Arial" w:cs="Arial"/>
          <w:spacing w:val="-3"/>
        </w:rPr>
        <w:t>informacyjnych</w:t>
      </w:r>
      <w:r w:rsidRPr="000936D2">
        <w:rPr>
          <w:rFonts w:ascii="Arial" w:hAnsi="Arial" w:cs="Arial"/>
          <w:spacing w:val="-3"/>
        </w:rPr>
        <w:t xml:space="preserve"> </w:t>
      </w:r>
      <w:r w:rsidRPr="000936D2">
        <w:rPr>
          <w:rFonts w:ascii="Arial" w:hAnsi="Arial" w:cs="Arial"/>
        </w:rPr>
        <w:t>o dofinansowaniu ze środków Unii Europejskiej, dla projektu , w którym realizowane są zadania w zakresie:</w:t>
      </w:r>
    </w:p>
    <w:p w14:paraId="463896CA" w14:textId="77777777" w:rsidR="00C92DF5" w:rsidRPr="000936D2" w:rsidRDefault="00C92DF5" w:rsidP="00C92DF5">
      <w:pPr>
        <w:pStyle w:val="Akapitzlist"/>
        <w:spacing w:line="276" w:lineRule="auto"/>
        <w:ind w:left="1134" w:hanging="414"/>
        <w:rPr>
          <w:rFonts w:ascii="Arial" w:hAnsi="Arial" w:cs="Arial"/>
        </w:rPr>
      </w:pPr>
      <w:r w:rsidRPr="000936D2">
        <w:rPr>
          <w:rFonts w:ascii="Arial" w:hAnsi="Arial" w:cs="Arial"/>
        </w:rPr>
        <w:t>a) infrastruktury drogowej, kolejowej, morskiej, wodnej śródlądowej, lotniczej, telekomunikacyjnej, teleinformatycznej, cyfrowej, przesyłowej lub komunalnej,</w:t>
      </w:r>
    </w:p>
    <w:p w14:paraId="03FDA026" w14:textId="77777777" w:rsidR="00C92DF5" w:rsidRPr="000936D2" w:rsidRDefault="00C92DF5" w:rsidP="00C92DF5">
      <w:pPr>
        <w:pStyle w:val="Akapitzlist"/>
        <w:spacing w:line="276" w:lineRule="auto"/>
        <w:rPr>
          <w:rFonts w:ascii="Arial" w:hAnsi="Arial" w:cs="Arial"/>
        </w:rPr>
      </w:pPr>
      <w:r w:rsidRPr="000936D2">
        <w:rPr>
          <w:rFonts w:ascii="Arial" w:hAnsi="Arial" w:cs="Arial"/>
        </w:rPr>
        <w:t>b) prac budowlanych,</w:t>
      </w:r>
    </w:p>
    <w:p w14:paraId="33F58056" w14:textId="77777777" w:rsidR="00C92DF5" w:rsidRDefault="00C92DF5" w:rsidP="00C92DF5">
      <w:pPr>
        <w:pStyle w:val="Akapitzlist"/>
        <w:spacing w:line="276" w:lineRule="auto"/>
        <w:rPr>
          <w:rFonts w:ascii="Arial" w:hAnsi="Arial" w:cs="Arial"/>
        </w:rPr>
      </w:pPr>
      <w:r w:rsidRPr="000936D2">
        <w:rPr>
          <w:rFonts w:ascii="Arial" w:hAnsi="Arial" w:cs="Arial"/>
        </w:rPr>
        <w:t xml:space="preserve">Należy umieść tablicę pamiątkową o wymiarach </w:t>
      </w:r>
      <w:r w:rsidRPr="00697E3F">
        <w:rPr>
          <w:rFonts w:ascii="Arial" w:hAnsi="Arial" w:cs="Arial"/>
          <w:b/>
          <w:bCs/>
        </w:rPr>
        <w:t>240/120 cm</w:t>
      </w:r>
      <w:r w:rsidRPr="000936D2">
        <w:rPr>
          <w:rFonts w:ascii="Arial" w:hAnsi="Arial" w:cs="Arial"/>
        </w:rPr>
        <w:t xml:space="preserve">. </w:t>
      </w:r>
    </w:p>
    <w:p w14:paraId="6C49355C" w14:textId="77777777" w:rsidR="00C92DF5" w:rsidRPr="000936D2" w:rsidRDefault="00C92DF5" w:rsidP="00C92DF5">
      <w:pPr>
        <w:pStyle w:val="Akapitzlist"/>
        <w:spacing w:line="276" w:lineRule="auto"/>
        <w:rPr>
          <w:rFonts w:ascii="Arial" w:hAnsi="Arial" w:cs="Arial"/>
        </w:rPr>
      </w:pPr>
    </w:p>
    <w:p w14:paraId="4F910D9F" w14:textId="77777777" w:rsidR="00C92DF5" w:rsidRPr="00C92DF5" w:rsidRDefault="00C92DF5" w:rsidP="00C92DF5">
      <w:pPr>
        <w:pStyle w:val="Akapitzlist"/>
        <w:numPr>
          <w:ilvl w:val="0"/>
          <w:numId w:val="436"/>
        </w:numPr>
        <w:overflowPunct/>
        <w:autoSpaceDE/>
        <w:autoSpaceDN/>
        <w:adjustRightInd/>
        <w:spacing w:line="276" w:lineRule="auto"/>
        <w:ind w:left="426" w:firstLine="0"/>
        <w:jc w:val="left"/>
        <w:textAlignment w:val="auto"/>
        <w:rPr>
          <w:color w:val="FF0000"/>
          <w:spacing w:val="-3"/>
          <w:sz w:val="22"/>
          <w:szCs w:val="22"/>
        </w:rPr>
      </w:pPr>
      <w:r w:rsidRPr="00C92DF5">
        <w:rPr>
          <w:spacing w:val="-3"/>
          <w:sz w:val="22"/>
          <w:szCs w:val="22"/>
        </w:rPr>
        <w:t>Lokalizacja tablic informacyjnych:</w:t>
      </w:r>
    </w:p>
    <w:p w14:paraId="0AC468B4" w14:textId="77777777" w:rsidR="00C92DF5" w:rsidRPr="00C92DF5" w:rsidRDefault="00C92DF5" w:rsidP="00C92DF5">
      <w:pPr>
        <w:spacing w:line="276" w:lineRule="auto"/>
        <w:rPr>
          <w:rFonts w:ascii="Times New Roman" w:hAnsi="Times New Roman" w:cs="Times New Roman"/>
          <w:spacing w:val="-3"/>
        </w:rPr>
      </w:pPr>
      <w:r w:rsidRPr="00C92DF5">
        <w:rPr>
          <w:rFonts w:ascii="Times New Roman" w:hAnsi="Times New Roman" w:cs="Times New Roman"/>
          <w:spacing w:val="-3"/>
        </w:rPr>
        <w:lastRenderedPageBreak/>
        <w:t xml:space="preserve">       Tablice muszą być umieszczone w miejscu realizacji inwestycji (początek i koniec rozbudowywanego odcinka drogi), w miejscach dobrze widocznych i ogólnie dostępnych, gdzie większa liczba osób będzie miała możliwość zapoznać się z treścią tablicy. </w:t>
      </w:r>
    </w:p>
    <w:p w14:paraId="2BF16FFF" w14:textId="77777777" w:rsidR="00C92DF5" w:rsidRPr="00C92DF5" w:rsidRDefault="00C92DF5" w:rsidP="00C92DF5">
      <w:pPr>
        <w:spacing w:line="276" w:lineRule="auto"/>
        <w:rPr>
          <w:rFonts w:ascii="Times New Roman" w:hAnsi="Times New Roman" w:cs="Times New Roman"/>
          <w:spacing w:val="-3"/>
        </w:rPr>
      </w:pPr>
    </w:p>
    <w:p w14:paraId="686262B9" w14:textId="77777777" w:rsidR="00C92DF5" w:rsidRPr="00C92DF5" w:rsidRDefault="00C92DF5" w:rsidP="00C92DF5">
      <w:pPr>
        <w:pStyle w:val="Akapitzlist"/>
        <w:numPr>
          <w:ilvl w:val="0"/>
          <w:numId w:val="436"/>
        </w:numPr>
        <w:tabs>
          <w:tab w:val="left" w:pos="1276"/>
        </w:tabs>
        <w:overflowPunct/>
        <w:autoSpaceDE/>
        <w:autoSpaceDN/>
        <w:adjustRightInd/>
        <w:spacing w:line="276" w:lineRule="auto"/>
        <w:jc w:val="left"/>
        <w:textAlignment w:val="auto"/>
        <w:rPr>
          <w:spacing w:val="-3"/>
          <w:sz w:val="22"/>
          <w:szCs w:val="22"/>
        </w:rPr>
      </w:pPr>
      <w:r w:rsidRPr="00C92DF5">
        <w:rPr>
          <w:spacing w:val="-3"/>
          <w:sz w:val="22"/>
          <w:szCs w:val="22"/>
        </w:rPr>
        <w:t xml:space="preserve">Terminy ustawienia tablic informacyjnych: </w:t>
      </w:r>
    </w:p>
    <w:p w14:paraId="2172524A" w14:textId="77777777" w:rsidR="00C92DF5" w:rsidRPr="00C92DF5" w:rsidRDefault="00C92DF5" w:rsidP="00C92DF5">
      <w:pPr>
        <w:spacing w:line="276" w:lineRule="auto"/>
        <w:rPr>
          <w:rFonts w:ascii="Times New Roman" w:hAnsi="Times New Roman" w:cs="Times New Roman"/>
        </w:rPr>
      </w:pPr>
      <w:bookmarkStart w:id="847" w:name="_Hlk124327465"/>
      <w:r w:rsidRPr="00C92DF5">
        <w:rPr>
          <w:rFonts w:ascii="Times New Roman" w:hAnsi="Times New Roman" w:cs="Times New Roman"/>
        </w:rPr>
        <w:t xml:space="preserve">Tablicę informacyjną należy umieścić niezwłocznie po rozpoczęciu fizycznej realizacji Projektu. </w:t>
      </w:r>
      <w:bookmarkEnd w:id="847"/>
      <w:r w:rsidRPr="00C92DF5">
        <w:rPr>
          <w:rFonts w:ascii="Times New Roman" w:hAnsi="Times New Roman" w:cs="Times New Roman"/>
        </w:rPr>
        <w:t>Jeśli projekt rozpoczął się przed uzyskaniem dofinansowania, tablica powinna stanąć bezpośrednio po podpisaniu umowy lub uzyskaniu decyzji o dofinansowaniu (nie później niż dwa miesiące od tej daty).</w:t>
      </w:r>
    </w:p>
    <w:p w14:paraId="39CB96C2" w14:textId="77777777" w:rsidR="00C92DF5" w:rsidRPr="00C92DF5" w:rsidRDefault="00C92DF5" w:rsidP="00C92DF5">
      <w:pPr>
        <w:spacing w:line="276" w:lineRule="auto"/>
        <w:rPr>
          <w:rFonts w:ascii="Times New Roman" w:hAnsi="Times New Roman" w:cs="Times New Roman"/>
        </w:rPr>
      </w:pPr>
      <w:r w:rsidRPr="00C92DF5">
        <w:rPr>
          <w:rFonts w:ascii="Times New Roman" w:hAnsi="Times New Roman" w:cs="Times New Roman"/>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52635AF4" w14:textId="77777777" w:rsidR="00C92DF5" w:rsidRPr="00C92DF5" w:rsidRDefault="00C92DF5" w:rsidP="00C92DF5">
      <w:pPr>
        <w:tabs>
          <w:tab w:val="left" w:pos="1276"/>
        </w:tabs>
        <w:spacing w:line="276" w:lineRule="auto"/>
        <w:ind w:left="720"/>
        <w:jc w:val="both"/>
        <w:rPr>
          <w:rFonts w:ascii="Times New Roman" w:hAnsi="Times New Roman" w:cs="Times New Roman"/>
          <w:spacing w:val="-3"/>
        </w:rPr>
      </w:pPr>
      <w:r w:rsidRPr="00C92DF5">
        <w:rPr>
          <w:rFonts w:ascii="Times New Roman" w:hAnsi="Times New Roman" w:cs="Times New Roman"/>
          <w:spacing w:val="-3"/>
        </w:rPr>
        <w:t xml:space="preserve">   </w:t>
      </w:r>
    </w:p>
    <w:p w14:paraId="48A5319C" w14:textId="77777777" w:rsidR="00C92DF5" w:rsidRPr="00C92DF5" w:rsidRDefault="00C92DF5" w:rsidP="00C92DF5">
      <w:pPr>
        <w:numPr>
          <w:ilvl w:val="0"/>
          <w:numId w:val="436"/>
        </w:numPr>
        <w:tabs>
          <w:tab w:val="left" w:pos="1276"/>
        </w:tabs>
        <w:spacing w:after="0" w:line="276" w:lineRule="auto"/>
        <w:ind w:left="426" w:hanging="284"/>
        <w:rPr>
          <w:rFonts w:ascii="Times New Roman" w:hAnsi="Times New Roman" w:cs="Times New Roman"/>
          <w:spacing w:val="-3"/>
        </w:rPr>
      </w:pPr>
      <w:r w:rsidRPr="00C92DF5">
        <w:rPr>
          <w:rFonts w:ascii="Times New Roman" w:hAnsi="Times New Roman" w:cs="Times New Roman"/>
          <w:spacing w:val="-3"/>
        </w:rPr>
        <w:t>Pozostałe informacje dot. tablic informacyjnych:</w:t>
      </w:r>
    </w:p>
    <w:p w14:paraId="046D07E4" w14:textId="77777777" w:rsidR="00C92DF5" w:rsidRPr="00C92DF5" w:rsidRDefault="00C92DF5" w:rsidP="00C92DF5">
      <w:pPr>
        <w:numPr>
          <w:ilvl w:val="0"/>
          <w:numId w:val="429"/>
        </w:numPr>
        <w:spacing w:after="0" w:line="276" w:lineRule="auto"/>
        <w:ind w:left="426" w:hanging="284"/>
        <w:rPr>
          <w:rFonts w:ascii="Times New Roman" w:hAnsi="Times New Roman" w:cs="Times New Roman"/>
          <w:spacing w:val="-3"/>
        </w:rPr>
      </w:pPr>
      <w:r w:rsidRPr="00C92DF5">
        <w:rPr>
          <w:rFonts w:ascii="Times New Roman" w:hAnsi="Times New Roman" w:cs="Times New Roman"/>
        </w:rPr>
        <w:t>Należy zwróć szczególną uwagę, aby znaki i informacje były czytelne. Jeżeli tablica jest położona w znacznej odległości od miejsca, gdzie mogą znajdować się odbiorcy, to powierzchnia tablicy powinna być odpowiednio większa, tak aby wszyscy mogli łatwo zapoznać się z jej treścią.</w:t>
      </w:r>
    </w:p>
    <w:p w14:paraId="65D45D9D" w14:textId="77777777" w:rsidR="00C92DF5" w:rsidRPr="00C92DF5" w:rsidRDefault="00C92DF5" w:rsidP="00C92DF5">
      <w:pPr>
        <w:numPr>
          <w:ilvl w:val="0"/>
          <w:numId w:val="429"/>
        </w:numPr>
        <w:spacing w:after="0" w:line="276" w:lineRule="auto"/>
        <w:ind w:left="426" w:hanging="284"/>
        <w:rPr>
          <w:rFonts w:ascii="Times New Roman" w:hAnsi="Times New Roman" w:cs="Times New Roman"/>
          <w:spacing w:val="-3"/>
        </w:rPr>
      </w:pPr>
      <w:r w:rsidRPr="00C92DF5">
        <w:rPr>
          <w:rFonts w:ascii="Times New Roman" w:hAnsi="Times New Roman" w:cs="Times New Roman"/>
        </w:rPr>
        <w:t xml:space="preserve">Należy zadbać o to, aby tablice nie zakłócały ładu przestrzennego, a ich wielkość, lokalizacja i wygląd były zgodne z lokalnymi regulacjami lub zasadami dotyczącymi estetyki przestrzeni publicznej i miast oraz zasadami ochrony przyrody. Należy zadbać także o to, by były one dopasowane do charakteru otoczenia.  </w:t>
      </w:r>
    </w:p>
    <w:p w14:paraId="1F183B2F" w14:textId="77777777" w:rsidR="00C92DF5" w:rsidRPr="00C92DF5" w:rsidRDefault="00C92DF5" w:rsidP="00C92DF5">
      <w:pPr>
        <w:numPr>
          <w:ilvl w:val="0"/>
          <w:numId w:val="429"/>
        </w:numPr>
        <w:spacing w:after="0" w:line="276" w:lineRule="auto"/>
        <w:ind w:left="426" w:hanging="284"/>
        <w:rPr>
          <w:rFonts w:ascii="Times New Roman" w:hAnsi="Times New Roman" w:cs="Times New Roman"/>
          <w:spacing w:val="-3"/>
        </w:rPr>
      </w:pPr>
      <w:r w:rsidRPr="00C92DF5">
        <w:rPr>
          <w:rFonts w:ascii="Times New Roman" w:hAnsi="Times New Roman" w:cs="Times New Roman"/>
        </w:rPr>
        <w:t>Dokładną treść tablic i dokładne miejsce ich lokalizacji należy uzgodnić z zamawiającym przed ich wykonaniem.</w:t>
      </w:r>
    </w:p>
    <w:p w14:paraId="7FA34A2B" w14:textId="77777777" w:rsidR="00C92DF5" w:rsidRPr="00C92DF5" w:rsidRDefault="00C92DF5" w:rsidP="00C92DF5">
      <w:pPr>
        <w:numPr>
          <w:ilvl w:val="0"/>
          <w:numId w:val="429"/>
        </w:numPr>
        <w:spacing w:after="0" w:line="276" w:lineRule="auto"/>
        <w:ind w:left="426" w:hanging="284"/>
        <w:rPr>
          <w:rFonts w:ascii="Times New Roman" w:hAnsi="Times New Roman" w:cs="Times New Roman"/>
          <w:spacing w:val="-3"/>
        </w:rPr>
      </w:pPr>
      <w:r w:rsidRPr="00C92DF5">
        <w:rPr>
          <w:rFonts w:ascii="Times New Roman" w:hAnsi="Times New Roman" w:cs="Times New Roman"/>
          <w:spacing w:val="-3"/>
        </w:rPr>
        <w:t xml:space="preserve">Dokładne dane dotyczące wykonania tablic znajdują się w </w:t>
      </w:r>
      <w:r w:rsidRPr="00C92DF5">
        <w:rPr>
          <w:rFonts w:ascii="Times New Roman" w:hAnsi="Times New Roman" w:cs="Times New Roman"/>
        </w:rPr>
        <w:t xml:space="preserve">Księdze Tożsamości Wizualnej marki Fundusze Europejskie 2021-2027 </w:t>
      </w:r>
    </w:p>
    <w:p w14:paraId="36615A7E" w14:textId="77777777" w:rsidR="00C92DF5" w:rsidRPr="00C92DF5" w:rsidRDefault="00C92DF5" w:rsidP="00C92DF5">
      <w:pPr>
        <w:pStyle w:val="Akapitzlist"/>
        <w:numPr>
          <w:ilvl w:val="0"/>
          <w:numId w:val="436"/>
        </w:numPr>
        <w:tabs>
          <w:tab w:val="left" w:pos="1276"/>
        </w:tabs>
        <w:overflowPunct/>
        <w:autoSpaceDE/>
        <w:autoSpaceDN/>
        <w:adjustRightInd/>
        <w:spacing w:line="276" w:lineRule="auto"/>
        <w:ind w:left="426" w:hanging="284"/>
        <w:jc w:val="left"/>
        <w:textAlignment w:val="auto"/>
        <w:rPr>
          <w:spacing w:val="-3"/>
          <w:sz w:val="22"/>
          <w:szCs w:val="22"/>
        </w:rPr>
      </w:pPr>
      <w:r w:rsidRPr="00C92DF5">
        <w:rPr>
          <w:sz w:val="22"/>
          <w:szCs w:val="22"/>
        </w:rPr>
        <w:t xml:space="preserve">Tablice informacyjne muszą być wykonane z materiałów trwałych, gdyż okres ich ekspozycji wynosi minimum 5 lat od czasu dokonania ostatniej płatności za realizację zadania. </w:t>
      </w:r>
    </w:p>
    <w:p w14:paraId="4FD96BD0" w14:textId="77777777" w:rsidR="00C92DF5" w:rsidRPr="00C92DF5" w:rsidRDefault="00C92DF5" w:rsidP="00C92DF5">
      <w:pPr>
        <w:pStyle w:val="Akapitzlist"/>
        <w:numPr>
          <w:ilvl w:val="0"/>
          <w:numId w:val="436"/>
        </w:numPr>
        <w:tabs>
          <w:tab w:val="left" w:pos="1276"/>
        </w:tabs>
        <w:overflowPunct/>
        <w:autoSpaceDE/>
        <w:autoSpaceDN/>
        <w:adjustRightInd/>
        <w:spacing w:line="276" w:lineRule="auto"/>
        <w:ind w:left="426" w:hanging="284"/>
        <w:jc w:val="left"/>
        <w:textAlignment w:val="auto"/>
        <w:rPr>
          <w:spacing w:val="-3"/>
          <w:sz w:val="22"/>
          <w:szCs w:val="22"/>
        </w:rPr>
      </w:pPr>
      <w:r w:rsidRPr="00C92DF5">
        <w:rPr>
          <w:bCs/>
          <w:sz w:val="22"/>
          <w:szCs w:val="22"/>
        </w:rPr>
        <w:t>Ogólne informacje</w:t>
      </w:r>
      <w:r w:rsidRPr="00C92DF5">
        <w:rPr>
          <w:sz w:val="22"/>
          <w:szCs w:val="22"/>
        </w:rPr>
        <w:t xml:space="preserve"> nt. informacji i promocji można uzyskać pod linkiem: </w:t>
      </w:r>
      <w:hyperlink r:id="rId49" w:history="1">
        <w:r w:rsidRPr="00C92DF5">
          <w:rPr>
            <w:rStyle w:val="Hipercze"/>
            <w:sz w:val="22"/>
            <w:szCs w:val="22"/>
          </w:rPr>
          <w:t>http://rpo.opolskie.pl</w:t>
        </w:r>
      </w:hyperlink>
    </w:p>
    <w:p w14:paraId="6309F4CF" w14:textId="77777777" w:rsidR="00C92DF5" w:rsidRPr="00C92DF5" w:rsidRDefault="00C92DF5" w:rsidP="00C92DF5">
      <w:pPr>
        <w:autoSpaceDE w:val="0"/>
        <w:autoSpaceDN w:val="0"/>
        <w:adjustRightInd w:val="0"/>
        <w:spacing w:line="276" w:lineRule="auto"/>
        <w:ind w:left="426" w:hanging="284"/>
        <w:rPr>
          <w:rFonts w:ascii="Times New Roman" w:hAnsi="Times New Roman" w:cs="Times New Roman"/>
        </w:rPr>
      </w:pPr>
    </w:p>
    <w:p w14:paraId="284E82CD" w14:textId="77777777" w:rsidR="00C92DF5" w:rsidRPr="00C92DF5" w:rsidRDefault="00C92DF5" w:rsidP="00C92DF5">
      <w:pPr>
        <w:numPr>
          <w:ilvl w:val="0"/>
          <w:numId w:val="433"/>
        </w:numPr>
        <w:autoSpaceDE w:val="0"/>
        <w:autoSpaceDN w:val="0"/>
        <w:adjustRightInd w:val="0"/>
        <w:spacing w:after="0" w:line="276" w:lineRule="auto"/>
        <w:ind w:left="426" w:hanging="437"/>
        <w:rPr>
          <w:rFonts w:ascii="Times New Roman" w:hAnsi="Times New Roman" w:cs="Times New Roman"/>
        </w:rPr>
      </w:pPr>
      <w:r w:rsidRPr="00C92DF5">
        <w:rPr>
          <w:rFonts w:ascii="Times New Roman" w:hAnsi="Times New Roman" w:cs="Times New Roman"/>
        </w:rPr>
        <w:t>Ogólne  zasady wykonania robót:</w:t>
      </w:r>
    </w:p>
    <w:p w14:paraId="66FCC604" w14:textId="77777777" w:rsidR="00C92DF5" w:rsidRPr="00C92DF5" w:rsidRDefault="00C92DF5" w:rsidP="00C92DF5">
      <w:pPr>
        <w:pStyle w:val="Akapitzlist"/>
        <w:numPr>
          <w:ilvl w:val="0"/>
          <w:numId w:val="430"/>
        </w:numPr>
        <w:overflowPunct/>
        <w:spacing w:line="276" w:lineRule="auto"/>
        <w:jc w:val="left"/>
        <w:textAlignment w:val="auto"/>
        <w:rPr>
          <w:sz w:val="22"/>
          <w:szCs w:val="22"/>
        </w:rPr>
      </w:pPr>
      <w:r w:rsidRPr="00C92DF5">
        <w:rPr>
          <w:sz w:val="22"/>
          <w:szCs w:val="22"/>
        </w:rPr>
        <w:t xml:space="preserve">Wykonawca przedstawi Zamawiającemu do akceptacji projekt tablic informacyjnych wraz z propozycją ich lokalizacji. </w:t>
      </w:r>
    </w:p>
    <w:p w14:paraId="0A45759A" w14:textId="77777777" w:rsidR="00C92DF5" w:rsidRPr="00C92DF5" w:rsidRDefault="00C92DF5" w:rsidP="00C92DF5">
      <w:pPr>
        <w:pStyle w:val="Akapitzlist"/>
        <w:numPr>
          <w:ilvl w:val="0"/>
          <w:numId w:val="430"/>
        </w:numPr>
        <w:overflowPunct/>
        <w:spacing w:line="276" w:lineRule="auto"/>
        <w:jc w:val="left"/>
        <w:textAlignment w:val="auto"/>
        <w:rPr>
          <w:sz w:val="22"/>
          <w:szCs w:val="22"/>
        </w:rPr>
      </w:pPr>
      <w:r w:rsidRPr="00C92DF5">
        <w:rPr>
          <w:sz w:val="22"/>
          <w:szCs w:val="22"/>
        </w:rPr>
        <w:t>Przed przyst</w:t>
      </w:r>
      <w:r w:rsidRPr="00C92DF5">
        <w:rPr>
          <w:rFonts w:eastAsia="TimesNewRoman"/>
          <w:sz w:val="22"/>
          <w:szCs w:val="22"/>
        </w:rPr>
        <w:t>ą</w:t>
      </w:r>
      <w:r w:rsidRPr="00C92DF5">
        <w:rPr>
          <w:sz w:val="22"/>
          <w:szCs w:val="22"/>
        </w:rPr>
        <w:t>pieniem do robót, nale</w:t>
      </w:r>
      <w:r w:rsidRPr="00C92DF5">
        <w:rPr>
          <w:rFonts w:eastAsia="TimesNewRoman"/>
          <w:sz w:val="22"/>
          <w:szCs w:val="22"/>
        </w:rPr>
        <w:t>ż</w:t>
      </w:r>
      <w:r w:rsidRPr="00C92DF5">
        <w:rPr>
          <w:sz w:val="22"/>
          <w:szCs w:val="22"/>
        </w:rPr>
        <w:t>y wyznaczy</w:t>
      </w:r>
      <w:r w:rsidRPr="00C92DF5">
        <w:rPr>
          <w:rFonts w:eastAsia="TimesNewRoman"/>
          <w:sz w:val="22"/>
          <w:szCs w:val="22"/>
        </w:rPr>
        <w:t>ć</w:t>
      </w:r>
      <w:r w:rsidRPr="00C92DF5">
        <w:rPr>
          <w:sz w:val="22"/>
          <w:szCs w:val="22"/>
        </w:rPr>
        <w:t xml:space="preserve"> lokalizacj</w:t>
      </w:r>
      <w:r w:rsidRPr="00C92DF5">
        <w:rPr>
          <w:rFonts w:eastAsia="TimesNewRoman"/>
          <w:sz w:val="22"/>
          <w:szCs w:val="22"/>
        </w:rPr>
        <w:t xml:space="preserve">ę </w:t>
      </w:r>
      <w:r w:rsidRPr="00C92DF5">
        <w:rPr>
          <w:sz w:val="22"/>
          <w:szCs w:val="22"/>
        </w:rPr>
        <w:t>tablic, tj. jego pikieta</w:t>
      </w:r>
      <w:r w:rsidRPr="00C92DF5">
        <w:rPr>
          <w:rFonts w:eastAsia="TimesNewRoman"/>
          <w:sz w:val="22"/>
          <w:szCs w:val="22"/>
        </w:rPr>
        <w:t xml:space="preserve">ż </w:t>
      </w:r>
      <w:r w:rsidRPr="00C92DF5">
        <w:rPr>
          <w:sz w:val="22"/>
          <w:szCs w:val="22"/>
        </w:rPr>
        <w:t>oraz odległo</w:t>
      </w:r>
      <w:r w:rsidRPr="00C92DF5">
        <w:rPr>
          <w:rFonts w:eastAsia="TimesNewRoman"/>
          <w:sz w:val="22"/>
          <w:szCs w:val="22"/>
        </w:rPr>
        <w:t xml:space="preserve">ść </w:t>
      </w:r>
      <w:r w:rsidRPr="00C92DF5">
        <w:rPr>
          <w:sz w:val="22"/>
          <w:szCs w:val="22"/>
        </w:rPr>
        <w:t>od kraw</w:t>
      </w:r>
      <w:r w:rsidRPr="00C92DF5">
        <w:rPr>
          <w:rFonts w:eastAsia="TimesNewRoman"/>
          <w:sz w:val="22"/>
          <w:szCs w:val="22"/>
        </w:rPr>
        <w:t>ę</w:t>
      </w:r>
      <w:r w:rsidRPr="00C92DF5">
        <w:rPr>
          <w:sz w:val="22"/>
          <w:szCs w:val="22"/>
        </w:rPr>
        <w:t>dzi jezdni - wysoko</w:t>
      </w:r>
      <w:r w:rsidRPr="00C92DF5">
        <w:rPr>
          <w:rFonts w:eastAsia="TimesNewRoman"/>
          <w:sz w:val="22"/>
          <w:szCs w:val="22"/>
        </w:rPr>
        <w:t xml:space="preserve">ść </w:t>
      </w:r>
      <w:r w:rsidRPr="00C92DF5">
        <w:rPr>
          <w:sz w:val="22"/>
          <w:szCs w:val="22"/>
        </w:rPr>
        <w:t xml:space="preserve">zamocowania tablic na konstrukcji wsporczej. </w:t>
      </w:r>
    </w:p>
    <w:p w14:paraId="25BD48DF" w14:textId="77777777" w:rsidR="00C92DF5" w:rsidRPr="00C92DF5" w:rsidRDefault="00C92DF5" w:rsidP="00C92DF5">
      <w:pPr>
        <w:numPr>
          <w:ilvl w:val="0"/>
          <w:numId w:val="430"/>
        </w:numPr>
        <w:tabs>
          <w:tab w:val="num" w:pos="720"/>
        </w:tabs>
        <w:autoSpaceDE w:val="0"/>
        <w:autoSpaceDN w:val="0"/>
        <w:adjustRightInd w:val="0"/>
        <w:spacing w:after="0" w:line="276" w:lineRule="auto"/>
        <w:rPr>
          <w:rFonts w:ascii="Times New Roman" w:hAnsi="Times New Roman" w:cs="Times New Roman"/>
          <w:bCs/>
        </w:rPr>
      </w:pPr>
      <w:r w:rsidRPr="00C92DF5">
        <w:rPr>
          <w:rFonts w:ascii="Times New Roman" w:hAnsi="Times New Roman" w:cs="Times New Roman"/>
        </w:rPr>
        <w:t>Tablice informacyjne powinny być zamontowane w ogólnie dostępnym miejscu oraz informować o wsparciu danej inwestycji przez Unię Europejską.</w:t>
      </w:r>
      <w:r w:rsidRPr="00C92DF5">
        <w:rPr>
          <w:rFonts w:ascii="Times New Roman" w:hAnsi="Times New Roman" w:cs="Times New Roman"/>
          <w:bCs/>
        </w:rPr>
        <w:t xml:space="preserve"> </w:t>
      </w:r>
      <w:r w:rsidRPr="00C92DF5">
        <w:rPr>
          <w:rFonts w:ascii="Times New Roman" w:hAnsi="Times New Roman" w:cs="Times New Roman"/>
        </w:rPr>
        <w:t>Przed umieszczeniem tablic pamiątkowych Wykonawca uzgodni z Zamawiającym ich lokalizację. Konkretna lokalizacja tablic pamiątkowych musi być zatwierdzona przez Zamawiającego w celu optymalnego rozpropagowania celów realizacji danego przedsięwzięcia oraz informowaniu opinii publicznej o wkładzie UE.</w:t>
      </w:r>
    </w:p>
    <w:p w14:paraId="69A16821" w14:textId="77777777" w:rsidR="00C92DF5" w:rsidRPr="00C92DF5" w:rsidRDefault="00C92DF5" w:rsidP="00C92DF5">
      <w:pPr>
        <w:autoSpaceDE w:val="0"/>
        <w:autoSpaceDN w:val="0"/>
        <w:adjustRightInd w:val="0"/>
        <w:spacing w:line="276" w:lineRule="auto"/>
        <w:jc w:val="both"/>
        <w:rPr>
          <w:rFonts w:ascii="Times New Roman" w:hAnsi="Times New Roman" w:cs="Times New Roman"/>
          <w:bCs/>
        </w:rPr>
      </w:pPr>
    </w:p>
    <w:p w14:paraId="7024A103" w14:textId="77777777" w:rsidR="00C92DF5" w:rsidRPr="00C92DF5" w:rsidRDefault="00C92DF5" w:rsidP="00C92DF5">
      <w:pPr>
        <w:numPr>
          <w:ilvl w:val="0"/>
          <w:numId w:val="433"/>
        </w:numPr>
        <w:autoSpaceDE w:val="0"/>
        <w:autoSpaceDN w:val="0"/>
        <w:adjustRightInd w:val="0"/>
        <w:spacing w:after="0" w:line="276" w:lineRule="auto"/>
        <w:ind w:left="426" w:hanging="426"/>
        <w:rPr>
          <w:rFonts w:ascii="Times New Roman" w:hAnsi="Times New Roman" w:cs="Times New Roman"/>
        </w:rPr>
      </w:pPr>
      <w:r w:rsidRPr="00C92DF5">
        <w:rPr>
          <w:rFonts w:ascii="Times New Roman" w:hAnsi="Times New Roman" w:cs="Times New Roman"/>
        </w:rPr>
        <w:t>Podstawą płatno</w:t>
      </w:r>
      <w:r w:rsidRPr="00C92DF5">
        <w:rPr>
          <w:rFonts w:ascii="Times New Roman" w:eastAsia="TimesNewRoman" w:hAnsi="Times New Roman" w:cs="Times New Roman"/>
        </w:rPr>
        <w:t>ś</w:t>
      </w:r>
      <w:r w:rsidRPr="00C92DF5">
        <w:rPr>
          <w:rFonts w:ascii="Times New Roman" w:hAnsi="Times New Roman" w:cs="Times New Roman"/>
        </w:rPr>
        <w:t xml:space="preserve">ci dla </w:t>
      </w:r>
      <w:r w:rsidRPr="00C92DF5">
        <w:rPr>
          <w:rFonts w:ascii="Times New Roman" w:hAnsi="Times New Roman" w:cs="Times New Roman"/>
          <w:lang w:val="x-none" w:eastAsia="x-none"/>
        </w:rPr>
        <w:t xml:space="preserve">tablic </w:t>
      </w:r>
      <w:r w:rsidRPr="00C92DF5">
        <w:rPr>
          <w:rFonts w:ascii="Times New Roman" w:hAnsi="Times New Roman" w:cs="Times New Roman"/>
          <w:lang w:eastAsia="x-none"/>
        </w:rPr>
        <w:t xml:space="preserve">informacyjnych </w:t>
      </w:r>
      <w:r w:rsidRPr="00C92DF5">
        <w:rPr>
          <w:rFonts w:ascii="Times New Roman" w:hAnsi="Times New Roman" w:cs="Times New Roman"/>
        </w:rPr>
        <w:t>jest cena ryczałtowa, która uwzględniać będzie wszystkie czynności składające się na wykonanie przedmiotu zamówienia:</w:t>
      </w:r>
    </w:p>
    <w:p w14:paraId="4841E6ED"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lastRenderedPageBreak/>
        <w:t>przygotowanie projektu tablic informacyjnych zgodnie z zaleceniami Zamawiającego,</w:t>
      </w:r>
    </w:p>
    <w:p w14:paraId="2344EF3C"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zakup, dostarczenie i składowanie wszystkich potrzebnych materiałów,</w:t>
      </w:r>
    </w:p>
    <w:p w14:paraId="269AA22C"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zastosowanie materiałów pomocniczych koniecznych do prawidłowego wykonania tablic wraz z konstrukcją wsporczą i pozostałymi elementami, na których zamontowane zostaną tablice,</w:t>
      </w:r>
    </w:p>
    <w:p w14:paraId="154C2F81"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wytworzenie, załadunek i przewiezienie tablic informacyjnych na miejsce wskazane przez Zamawiającego,</w:t>
      </w:r>
    </w:p>
    <w:p w14:paraId="26C72036"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wykonanie robót ziemnych,</w:t>
      </w:r>
    </w:p>
    <w:p w14:paraId="402B81DF"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wykonanie konstrukcji wsporczych wraz z zabezpieczeniem antykorozyjnym,</w:t>
      </w:r>
    </w:p>
    <w:p w14:paraId="60222213"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ustawienie tablic pamiątkowych  na wskazanym miejscu,</w:t>
      </w:r>
    </w:p>
    <w:p w14:paraId="1882197B" w14:textId="77777777" w:rsidR="00C92DF5" w:rsidRPr="00C92DF5" w:rsidRDefault="00C92DF5" w:rsidP="00C92DF5">
      <w:pPr>
        <w:numPr>
          <w:ilvl w:val="0"/>
          <w:numId w:val="434"/>
        </w:numPr>
        <w:autoSpaceDE w:val="0"/>
        <w:autoSpaceDN w:val="0"/>
        <w:adjustRightInd w:val="0"/>
        <w:spacing w:after="0" w:line="276" w:lineRule="auto"/>
        <w:rPr>
          <w:rFonts w:ascii="Times New Roman" w:hAnsi="Times New Roman" w:cs="Times New Roman"/>
        </w:rPr>
      </w:pPr>
      <w:r w:rsidRPr="00C92DF5">
        <w:rPr>
          <w:rFonts w:ascii="Times New Roman" w:hAnsi="Times New Roman" w:cs="Times New Roman"/>
        </w:rPr>
        <w:t>uporz</w:t>
      </w:r>
      <w:r w:rsidRPr="00C92DF5">
        <w:rPr>
          <w:rFonts w:ascii="Times New Roman" w:eastAsia="TimesNewRoman" w:hAnsi="Times New Roman" w:cs="Times New Roman"/>
        </w:rPr>
        <w:t>ą</w:t>
      </w:r>
      <w:r w:rsidRPr="00C92DF5">
        <w:rPr>
          <w:rFonts w:ascii="Times New Roman" w:hAnsi="Times New Roman" w:cs="Times New Roman"/>
        </w:rPr>
        <w:t>dkowanie terenu robót.</w:t>
      </w:r>
    </w:p>
    <w:p w14:paraId="521850B6" w14:textId="77777777" w:rsidR="00C92DF5" w:rsidRPr="00C92DF5" w:rsidRDefault="00C92DF5" w:rsidP="00C92DF5">
      <w:pPr>
        <w:pStyle w:val="Default"/>
        <w:ind w:left="720"/>
        <w:jc w:val="both"/>
        <w:rPr>
          <w:rFonts w:ascii="Times New Roman" w:hAnsi="Times New Roman" w:cs="Times New Roman"/>
          <w:sz w:val="22"/>
          <w:szCs w:val="22"/>
        </w:rPr>
      </w:pPr>
    </w:p>
    <w:p w14:paraId="4F519F2E" w14:textId="77777777" w:rsidR="00C92DF5" w:rsidRDefault="00C92DF5" w:rsidP="00577746">
      <w:pPr>
        <w:widowControl w:val="0"/>
        <w:ind w:firstLine="709"/>
        <w:jc w:val="both"/>
        <w:rPr>
          <w:rFonts w:ascii="Times New Roman" w:hAnsi="Times New Roman" w:cs="Times New Roman"/>
          <w:color w:val="000000" w:themeColor="text1"/>
        </w:rPr>
      </w:pPr>
    </w:p>
    <w:p w14:paraId="1C161A98" w14:textId="77777777" w:rsidR="00C92DF5" w:rsidRPr="001667DB" w:rsidRDefault="00C92DF5" w:rsidP="00577746">
      <w:pPr>
        <w:widowControl w:val="0"/>
        <w:ind w:firstLine="709"/>
        <w:jc w:val="both"/>
        <w:rPr>
          <w:rFonts w:ascii="Times New Roman" w:hAnsi="Times New Roman" w:cs="Times New Roman"/>
          <w:color w:val="000000" w:themeColor="text1"/>
        </w:rPr>
      </w:pPr>
    </w:p>
    <w:p w14:paraId="6CFE02E1"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48" w:name="_Toc131916642"/>
      <w:bookmarkStart w:id="849" w:name="_Toc425833585"/>
      <w:r w:rsidRPr="00F17F2E">
        <w:rPr>
          <w:smallCaps/>
          <w:color w:val="000000" w:themeColor="text1"/>
          <w:sz w:val="22"/>
          <w:szCs w:val="22"/>
          <w:u w:val="none"/>
        </w:rPr>
        <w:t>kontrola jakości robót</w:t>
      </w:r>
      <w:bookmarkEnd w:id="848"/>
      <w:bookmarkEnd w:id="849"/>
    </w:p>
    <w:p w14:paraId="67C15338" w14:textId="77777777" w:rsidR="001B2490" w:rsidRPr="001667DB" w:rsidRDefault="001B2490" w:rsidP="00F17F2E">
      <w:pPr>
        <w:pStyle w:val="Akapitzlist"/>
        <w:keepNext/>
        <w:tabs>
          <w:tab w:val="left" w:pos="-1725"/>
          <w:tab w:val="left" w:pos="-1440"/>
          <w:tab w:val="left" w:pos="-1005"/>
          <w:tab w:val="left" w:pos="-285"/>
          <w:tab w:val="left" w:pos="1134"/>
          <w:tab w:val="left" w:pos="1701"/>
        </w:tabs>
        <w:overflowPunct/>
        <w:autoSpaceDE/>
        <w:autoSpaceDN/>
        <w:adjustRightInd/>
        <w:ind w:left="0"/>
        <w:contextualSpacing w:val="0"/>
        <w:textAlignment w:val="auto"/>
        <w:outlineLvl w:val="1"/>
        <w:rPr>
          <w:b/>
          <w:vanish/>
          <w:color w:val="000000" w:themeColor="text1"/>
          <w:spacing w:val="-3"/>
          <w:sz w:val="22"/>
          <w:szCs w:val="22"/>
          <w:u w:val="single"/>
        </w:rPr>
      </w:pPr>
    </w:p>
    <w:p w14:paraId="7EA27151"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zasady kontroli jakości robót</w:t>
      </w:r>
    </w:p>
    <w:p w14:paraId="38E238CC"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w:t>
      </w:r>
    </w:p>
    <w:p w14:paraId="59A9B410"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Badania materiałów do wykonania fundamentów betonowych</w:t>
      </w:r>
    </w:p>
    <w:p w14:paraId="5E6DAE5D" w14:textId="77777777" w:rsidR="004D6256" w:rsidRPr="001667DB" w:rsidRDefault="004D6256" w:rsidP="00577746">
      <w:pPr>
        <w:jc w:val="both"/>
        <w:rPr>
          <w:rFonts w:ascii="Times New Roman" w:hAnsi="Times New Roman" w:cs="Times New Roman"/>
          <w:color w:val="000000" w:themeColor="text1"/>
        </w:rPr>
      </w:pPr>
    </w:p>
    <w:p w14:paraId="30C71CD9"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61AA7C5C"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Badania w czasie wykonywania robót</w:t>
      </w:r>
    </w:p>
    <w:p w14:paraId="6471B2DB" w14:textId="77777777" w:rsidR="004D6256" w:rsidRPr="001667DB" w:rsidRDefault="004D6256" w:rsidP="00577746">
      <w:pPr>
        <w:jc w:val="both"/>
        <w:rPr>
          <w:rFonts w:ascii="Times New Roman" w:hAnsi="Times New Roman" w:cs="Times New Roman"/>
          <w:color w:val="000000" w:themeColor="text1"/>
        </w:rPr>
      </w:pPr>
    </w:p>
    <w:p w14:paraId="78E768CD" w14:textId="77777777" w:rsidR="004D6256" w:rsidRPr="001667DB" w:rsidRDefault="004D6256" w:rsidP="00577746">
      <w:pPr>
        <w:pStyle w:val="StylIwony"/>
        <w:spacing w:before="0" w:after="0"/>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6.3.1. </w:t>
      </w:r>
      <w:r w:rsidRPr="001667DB">
        <w:rPr>
          <w:rFonts w:ascii="Times New Roman" w:hAnsi="Times New Roman"/>
          <w:color w:val="000000" w:themeColor="text1"/>
          <w:sz w:val="22"/>
          <w:szCs w:val="22"/>
        </w:rPr>
        <w:t>Badania materiałów w czasie wykonywania robót</w:t>
      </w:r>
    </w:p>
    <w:p w14:paraId="60AC7A3B" w14:textId="77777777" w:rsidR="004D6256" w:rsidRPr="001667DB" w:rsidRDefault="004D6256" w:rsidP="00577746">
      <w:pPr>
        <w:pStyle w:val="StylIwony"/>
        <w:spacing w:after="0"/>
        <w:rPr>
          <w:rFonts w:ascii="Times New Roman" w:hAnsi="Times New Roman"/>
          <w:color w:val="000000" w:themeColor="text1"/>
          <w:sz w:val="22"/>
          <w:szCs w:val="22"/>
        </w:rPr>
      </w:pPr>
      <w:r w:rsidRPr="001667DB">
        <w:rPr>
          <w:rFonts w:ascii="Times New Roman" w:hAnsi="Times New Roman"/>
          <w:color w:val="000000" w:themeColor="text1"/>
          <w:sz w:val="22"/>
          <w:szCs w:val="22"/>
        </w:rPr>
        <w:tab/>
        <w:t>Wszystkie materiały dostarczone na budowę powinny być sprawdzone w zakresie powierzchni wyrobu i jego wymiarów.</w:t>
      </w:r>
    </w:p>
    <w:p w14:paraId="53DA09B7" w14:textId="77777777" w:rsidR="004D6256" w:rsidRPr="001667DB" w:rsidRDefault="004D6256" w:rsidP="00577746">
      <w:pPr>
        <w:pStyle w:val="StylIwony"/>
        <w:spacing w:before="0" w:after="0"/>
        <w:ind w:firstLine="709"/>
        <w:rPr>
          <w:rFonts w:ascii="Times New Roman" w:hAnsi="Times New Roman"/>
          <w:color w:val="000000" w:themeColor="text1"/>
          <w:sz w:val="22"/>
          <w:szCs w:val="22"/>
        </w:rPr>
      </w:pPr>
      <w:r w:rsidRPr="001667DB">
        <w:rPr>
          <w:rFonts w:ascii="Times New Roman" w:hAnsi="Times New Roman"/>
          <w:color w:val="000000" w:themeColor="text1"/>
          <w:sz w:val="22"/>
          <w:szCs w:val="22"/>
        </w:rPr>
        <w:t>Częstotliwość badań i ocena ich wyników powinna być zgodna z ustaleniami zawartymi w tablicy 7.</w:t>
      </w:r>
    </w:p>
    <w:p w14:paraId="6EB39AFA" w14:textId="77777777" w:rsidR="004D6256" w:rsidRPr="001667DB" w:rsidRDefault="004D6256" w:rsidP="00577746">
      <w:pPr>
        <w:pStyle w:val="StylIwony"/>
        <w:ind w:left="851" w:hanging="851"/>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Tablica 7. Częstotliwość badań przy sprawdzeniu powierzchni i wymiarów wyrobów dostarczonych przez producentów</w:t>
      </w:r>
    </w:p>
    <w:tbl>
      <w:tblPr>
        <w:tblW w:w="7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6"/>
        <w:gridCol w:w="1417"/>
        <w:gridCol w:w="1505"/>
        <w:gridCol w:w="2748"/>
        <w:gridCol w:w="1417"/>
      </w:tblGrid>
      <w:tr w:rsidR="004D6256" w:rsidRPr="001667DB" w14:paraId="1C064B1C" w14:textId="77777777" w:rsidTr="00B73D7B">
        <w:tc>
          <w:tcPr>
            <w:tcW w:w="496" w:type="dxa"/>
            <w:tcBorders>
              <w:top w:val="single" w:sz="4" w:space="0" w:color="auto"/>
              <w:left w:val="single" w:sz="4" w:space="0" w:color="auto"/>
              <w:bottom w:val="single" w:sz="4" w:space="0" w:color="auto"/>
              <w:right w:val="single" w:sz="4" w:space="0" w:color="auto"/>
            </w:tcBorders>
            <w:noWrap/>
            <w:hideMark/>
          </w:tcPr>
          <w:p w14:paraId="7B4D5F6E" w14:textId="77777777" w:rsidR="004D6256" w:rsidRPr="001667DB" w:rsidRDefault="004D6256">
            <w:pPr>
              <w:pStyle w:val="StylIwony"/>
              <w:spacing w:after="0"/>
              <w:jc w:val="center"/>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Lp.</w:t>
            </w:r>
          </w:p>
        </w:tc>
        <w:tc>
          <w:tcPr>
            <w:tcW w:w="1417" w:type="dxa"/>
            <w:tcBorders>
              <w:top w:val="single" w:sz="4" w:space="0" w:color="auto"/>
              <w:left w:val="single" w:sz="4" w:space="0" w:color="auto"/>
              <w:bottom w:val="single" w:sz="4" w:space="0" w:color="auto"/>
              <w:right w:val="single" w:sz="4" w:space="0" w:color="auto"/>
            </w:tcBorders>
            <w:noWrap/>
            <w:hideMark/>
          </w:tcPr>
          <w:p w14:paraId="6252ED7A" w14:textId="77777777" w:rsidR="004D6256" w:rsidRPr="001667DB" w:rsidRDefault="004D6256">
            <w:pPr>
              <w:pStyle w:val="StylIwony"/>
              <w:spacing w:after="0"/>
              <w:jc w:val="center"/>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Rodzaj badania</w:t>
            </w:r>
          </w:p>
        </w:tc>
        <w:tc>
          <w:tcPr>
            <w:tcW w:w="1505" w:type="dxa"/>
            <w:tcBorders>
              <w:top w:val="single" w:sz="4" w:space="0" w:color="auto"/>
              <w:left w:val="single" w:sz="4" w:space="0" w:color="auto"/>
              <w:bottom w:val="single" w:sz="4" w:space="0" w:color="auto"/>
              <w:right w:val="single" w:sz="4" w:space="0" w:color="auto"/>
            </w:tcBorders>
            <w:noWrap/>
            <w:hideMark/>
          </w:tcPr>
          <w:p w14:paraId="226D5E87" w14:textId="77777777" w:rsidR="004D6256" w:rsidRPr="001667DB" w:rsidRDefault="004D6256">
            <w:pPr>
              <w:pStyle w:val="StylIwony"/>
              <w:spacing w:after="0"/>
              <w:jc w:val="center"/>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Liczba badań</w:t>
            </w:r>
          </w:p>
        </w:tc>
        <w:tc>
          <w:tcPr>
            <w:tcW w:w="2748" w:type="dxa"/>
            <w:tcBorders>
              <w:top w:val="single" w:sz="4" w:space="0" w:color="auto"/>
              <w:left w:val="single" w:sz="4" w:space="0" w:color="auto"/>
              <w:bottom w:val="single" w:sz="4" w:space="0" w:color="auto"/>
              <w:right w:val="single" w:sz="4" w:space="0" w:color="auto"/>
            </w:tcBorders>
            <w:noWrap/>
            <w:hideMark/>
          </w:tcPr>
          <w:p w14:paraId="58D02886" w14:textId="77777777" w:rsidR="004D6256" w:rsidRPr="001667DB" w:rsidRDefault="004D6256">
            <w:pPr>
              <w:pStyle w:val="StylIwony"/>
              <w:spacing w:after="0"/>
              <w:jc w:val="center"/>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Opis badań</w:t>
            </w:r>
          </w:p>
        </w:tc>
        <w:tc>
          <w:tcPr>
            <w:tcW w:w="1417" w:type="dxa"/>
            <w:tcBorders>
              <w:top w:val="single" w:sz="4" w:space="0" w:color="auto"/>
              <w:left w:val="single" w:sz="4" w:space="0" w:color="auto"/>
              <w:bottom w:val="single" w:sz="4" w:space="0" w:color="auto"/>
              <w:right w:val="single" w:sz="4" w:space="0" w:color="auto"/>
            </w:tcBorders>
            <w:noWrap/>
            <w:hideMark/>
          </w:tcPr>
          <w:p w14:paraId="44AF8175" w14:textId="77777777" w:rsidR="004D6256" w:rsidRPr="001667DB" w:rsidRDefault="004D6256">
            <w:pPr>
              <w:pStyle w:val="StylIwony"/>
              <w:spacing w:before="0" w:after="0"/>
              <w:jc w:val="center"/>
              <w:rPr>
                <w:rFonts w:ascii="Times New Roman" w:hAnsi="Times New Roman"/>
                <w:bCs/>
                <w:color w:val="000000" w:themeColor="text1"/>
                <w:sz w:val="22"/>
                <w:szCs w:val="22"/>
              </w:rPr>
            </w:pPr>
            <w:r w:rsidRPr="001667DB">
              <w:rPr>
                <w:rFonts w:ascii="Times New Roman" w:hAnsi="Times New Roman"/>
                <w:bCs/>
                <w:color w:val="000000" w:themeColor="text1"/>
                <w:sz w:val="22"/>
                <w:szCs w:val="22"/>
              </w:rPr>
              <w:t>Ocena wyników badań</w:t>
            </w:r>
          </w:p>
        </w:tc>
      </w:tr>
      <w:tr w:rsidR="004D6256" w:rsidRPr="001667DB" w14:paraId="604232EB" w14:textId="77777777" w:rsidTr="00B73D7B">
        <w:tc>
          <w:tcPr>
            <w:tcW w:w="496" w:type="dxa"/>
            <w:tcBorders>
              <w:top w:val="single" w:sz="4" w:space="0" w:color="auto"/>
              <w:left w:val="single" w:sz="4" w:space="0" w:color="auto"/>
              <w:bottom w:val="single" w:sz="4" w:space="0" w:color="auto"/>
              <w:right w:val="single" w:sz="4" w:space="0" w:color="auto"/>
            </w:tcBorders>
            <w:noWrap/>
            <w:hideMark/>
          </w:tcPr>
          <w:p w14:paraId="387C3056" w14:textId="77777777" w:rsidR="004D6256" w:rsidRPr="001667DB" w:rsidRDefault="004D6256">
            <w:pPr>
              <w:pStyle w:val="StylIwony"/>
              <w:spacing w:after="0"/>
              <w:jc w:val="center"/>
              <w:rPr>
                <w:rFonts w:ascii="Times New Roman" w:hAnsi="Times New Roman"/>
                <w:color w:val="000000" w:themeColor="text1"/>
                <w:sz w:val="22"/>
                <w:szCs w:val="22"/>
              </w:rPr>
            </w:pPr>
            <w:r w:rsidRPr="001667DB">
              <w:rPr>
                <w:rFonts w:ascii="Times New Roman" w:hAnsi="Times New Roman"/>
                <w:color w:val="000000" w:themeColor="text1"/>
                <w:sz w:val="22"/>
                <w:szCs w:val="22"/>
              </w:rPr>
              <w:t>1</w:t>
            </w:r>
          </w:p>
        </w:tc>
        <w:tc>
          <w:tcPr>
            <w:tcW w:w="1417" w:type="dxa"/>
            <w:tcBorders>
              <w:top w:val="single" w:sz="4" w:space="0" w:color="auto"/>
              <w:left w:val="single" w:sz="4" w:space="0" w:color="auto"/>
              <w:bottom w:val="single" w:sz="4" w:space="0" w:color="auto"/>
              <w:right w:val="single" w:sz="4" w:space="0" w:color="auto"/>
            </w:tcBorders>
            <w:noWrap/>
            <w:hideMark/>
          </w:tcPr>
          <w:p w14:paraId="0F5731CE" w14:textId="77777777" w:rsidR="004D6256" w:rsidRPr="001667DB" w:rsidRDefault="004D6256">
            <w:pPr>
              <w:pStyle w:val="StylIwony"/>
              <w:spacing w:after="0"/>
              <w:rPr>
                <w:rFonts w:ascii="Times New Roman" w:hAnsi="Times New Roman"/>
                <w:color w:val="000000" w:themeColor="text1"/>
                <w:sz w:val="22"/>
                <w:szCs w:val="22"/>
              </w:rPr>
            </w:pPr>
            <w:r w:rsidRPr="001667DB">
              <w:rPr>
                <w:rFonts w:ascii="Times New Roman" w:hAnsi="Times New Roman"/>
                <w:color w:val="000000" w:themeColor="text1"/>
                <w:sz w:val="22"/>
                <w:szCs w:val="22"/>
              </w:rPr>
              <w:t>Sprawdzenie powierzchni</w:t>
            </w:r>
          </w:p>
        </w:tc>
        <w:tc>
          <w:tcPr>
            <w:tcW w:w="1505" w:type="dxa"/>
            <w:vMerge w:val="restart"/>
            <w:tcBorders>
              <w:top w:val="single" w:sz="4" w:space="0" w:color="auto"/>
              <w:left w:val="single" w:sz="4" w:space="0" w:color="auto"/>
              <w:bottom w:val="single" w:sz="4" w:space="0" w:color="auto"/>
              <w:right w:val="single" w:sz="4" w:space="0" w:color="auto"/>
            </w:tcBorders>
            <w:noWrap/>
            <w:hideMark/>
          </w:tcPr>
          <w:p w14:paraId="1F1E6828" w14:textId="77777777" w:rsidR="004D6256" w:rsidRPr="001667DB" w:rsidRDefault="004D6256">
            <w:pPr>
              <w:pStyle w:val="StylIwony"/>
              <w:jc w:val="left"/>
              <w:rPr>
                <w:rFonts w:ascii="Times New Roman" w:hAnsi="Times New Roman"/>
                <w:color w:val="000000" w:themeColor="text1"/>
                <w:sz w:val="22"/>
                <w:szCs w:val="22"/>
              </w:rPr>
            </w:pPr>
            <w:r w:rsidRPr="001667DB">
              <w:rPr>
                <w:rFonts w:ascii="Times New Roman" w:hAnsi="Times New Roman"/>
                <w:color w:val="000000" w:themeColor="text1"/>
                <w:sz w:val="22"/>
                <w:szCs w:val="22"/>
              </w:rPr>
              <w:t>od 5 do 10 badań z wybra-  nych losowo elementów w każdej dostar-  czonej partii wyrobów liczą-cej do 1000 elementów</w:t>
            </w:r>
          </w:p>
        </w:tc>
        <w:tc>
          <w:tcPr>
            <w:tcW w:w="2748" w:type="dxa"/>
            <w:tcBorders>
              <w:top w:val="single" w:sz="4" w:space="0" w:color="auto"/>
              <w:left w:val="single" w:sz="4" w:space="0" w:color="auto"/>
              <w:bottom w:val="single" w:sz="4" w:space="0" w:color="auto"/>
              <w:right w:val="single" w:sz="4" w:space="0" w:color="auto"/>
            </w:tcBorders>
            <w:noWrap/>
            <w:hideMark/>
          </w:tcPr>
          <w:p w14:paraId="6C8E8279" w14:textId="77777777" w:rsidR="004D6256" w:rsidRPr="001667DB" w:rsidRDefault="004D6256">
            <w:pPr>
              <w:pStyle w:val="StylIwony"/>
              <w:spacing w:after="0"/>
              <w:jc w:val="left"/>
              <w:rPr>
                <w:rFonts w:ascii="Times New Roman" w:hAnsi="Times New Roman"/>
                <w:color w:val="000000" w:themeColor="text1"/>
                <w:sz w:val="22"/>
                <w:szCs w:val="22"/>
              </w:rPr>
            </w:pPr>
            <w:r w:rsidRPr="001667DB">
              <w:rPr>
                <w:rFonts w:ascii="Times New Roman" w:hAnsi="Times New Roman"/>
                <w:color w:val="000000" w:themeColor="text1"/>
                <w:sz w:val="22"/>
                <w:szCs w:val="22"/>
              </w:rPr>
              <w:t>Powierzchnię zbadać nieuzbrojonym okiem. Do ew. sprawdzenia głębokości wad użyć dostępnych narzędzi (np. liniałów z czujnikiem, suwmiarek, mikrometrów itp.</w:t>
            </w:r>
          </w:p>
        </w:tc>
        <w:tc>
          <w:tcPr>
            <w:tcW w:w="1417" w:type="dxa"/>
            <w:vMerge w:val="restart"/>
            <w:tcBorders>
              <w:top w:val="single" w:sz="4" w:space="0" w:color="auto"/>
              <w:left w:val="single" w:sz="4" w:space="0" w:color="auto"/>
              <w:bottom w:val="single" w:sz="4" w:space="0" w:color="auto"/>
              <w:right w:val="single" w:sz="4" w:space="0" w:color="auto"/>
            </w:tcBorders>
            <w:noWrap/>
          </w:tcPr>
          <w:p w14:paraId="323041C9" w14:textId="77777777" w:rsidR="004D6256" w:rsidRPr="001667DB" w:rsidRDefault="004D6256">
            <w:pPr>
              <w:pStyle w:val="StylIwony"/>
              <w:spacing w:before="0" w:after="0"/>
              <w:rPr>
                <w:rFonts w:ascii="Times New Roman" w:hAnsi="Times New Roman"/>
                <w:color w:val="000000" w:themeColor="text1"/>
                <w:sz w:val="22"/>
                <w:szCs w:val="22"/>
              </w:rPr>
            </w:pPr>
          </w:p>
          <w:p w14:paraId="0058902B" w14:textId="77777777" w:rsidR="004D6256" w:rsidRPr="001667DB" w:rsidRDefault="004D6256">
            <w:pPr>
              <w:pStyle w:val="StylIwony"/>
              <w:spacing w:before="0" w:after="0"/>
              <w:rPr>
                <w:rFonts w:ascii="Times New Roman" w:hAnsi="Times New Roman"/>
                <w:color w:val="000000" w:themeColor="text1"/>
                <w:sz w:val="22"/>
                <w:szCs w:val="22"/>
              </w:rPr>
            </w:pPr>
          </w:p>
          <w:p w14:paraId="609F746C" w14:textId="77777777" w:rsidR="004D6256" w:rsidRPr="001667DB" w:rsidRDefault="004D6256">
            <w:pPr>
              <w:pStyle w:val="StylIwony"/>
              <w:jc w:val="left"/>
              <w:rPr>
                <w:rFonts w:ascii="Times New Roman" w:hAnsi="Times New Roman"/>
                <w:color w:val="000000" w:themeColor="text1"/>
                <w:sz w:val="22"/>
                <w:szCs w:val="22"/>
              </w:rPr>
            </w:pPr>
            <w:r w:rsidRPr="001667DB">
              <w:rPr>
                <w:rFonts w:ascii="Times New Roman" w:hAnsi="Times New Roman"/>
                <w:color w:val="000000" w:themeColor="text1"/>
                <w:sz w:val="22"/>
                <w:szCs w:val="22"/>
              </w:rPr>
              <w:t>Wyniki badań powinny być zgodne z wymaganiami punktu 2</w:t>
            </w:r>
          </w:p>
        </w:tc>
      </w:tr>
      <w:tr w:rsidR="004D6256" w:rsidRPr="001667DB" w14:paraId="32CC9930" w14:textId="77777777" w:rsidTr="00B73D7B">
        <w:tc>
          <w:tcPr>
            <w:tcW w:w="496" w:type="dxa"/>
            <w:tcBorders>
              <w:top w:val="single" w:sz="4" w:space="0" w:color="auto"/>
              <w:left w:val="single" w:sz="4" w:space="0" w:color="auto"/>
              <w:bottom w:val="single" w:sz="4" w:space="0" w:color="auto"/>
              <w:right w:val="single" w:sz="4" w:space="0" w:color="auto"/>
            </w:tcBorders>
            <w:noWrap/>
            <w:hideMark/>
          </w:tcPr>
          <w:p w14:paraId="66A847DF" w14:textId="77777777" w:rsidR="004D6256" w:rsidRPr="001667DB" w:rsidRDefault="004D6256">
            <w:pPr>
              <w:pStyle w:val="StylIwony"/>
              <w:spacing w:after="0"/>
              <w:jc w:val="center"/>
              <w:rPr>
                <w:rFonts w:ascii="Times New Roman" w:hAnsi="Times New Roman"/>
                <w:color w:val="000000" w:themeColor="text1"/>
                <w:sz w:val="22"/>
                <w:szCs w:val="22"/>
              </w:rPr>
            </w:pPr>
            <w:r w:rsidRPr="001667DB">
              <w:rPr>
                <w:rFonts w:ascii="Times New Roman" w:hAnsi="Times New Roman"/>
                <w:color w:val="000000" w:themeColor="text1"/>
                <w:sz w:val="22"/>
                <w:szCs w:val="22"/>
              </w:rPr>
              <w:t>2</w:t>
            </w:r>
          </w:p>
        </w:tc>
        <w:tc>
          <w:tcPr>
            <w:tcW w:w="1417" w:type="dxa"/>
            <w:tcBorders>
              <w:top w:val="single" w:sz="4" w:space="0" w:color="auto"/>
              <w:left w:val="single" w:sz="4" w:space="0" w:color="auto"/>
              <w:bottom w:val="single" w:sz="4" w:space="0" w:color="auto"/>
              <w:right w:val="single" w:sz="4" w:space="0" w:color="auto"/>
            </w:tcBorders>
            <w:noWrap/>
            <w:hideMark/>
          </w:tcPr>
          <w:p w14:paraId="60DA226E" w14:textId="77777777" w:rsidR="004D6256" w:rsidRPr="001667DB" w:rsidRDefault="004D6256">
            <w:pPr>
              <w:pStyle w:val="StylIwony"/>
              <w:spacing w:after="0"/>
              <w:rPr>
                <w:rFonts w:ascii="Times New Roman" w:hAnsi="Times New Roman"/>
                <w:color w:val="000000" w:themeColor="text1"/>
                <w:sz w:val="22"/>
                <w:szCs w:val="22"/>
              </w:rPr>
            </w:pPr>
            <w:r w:rsidRPr="001667DB">
              <w:rPr>
                <w:rFonts w:ascii="Times New Roman" w:hAnsi="Times New Roman"/>
                <w:color w:val="000000" w:themeColor="text1"/>
                <w:sz w:val="22"/>
                <w:szCs w:val="22"/>
              </w:rPr>
              <w:t>Sprawdzenie wymiarów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7CFCC" w14:textId="77777777" w:rsidR="004D6256" w:rsidRPr="001667DB" w:rsidRDefault="004D6256">
            <w:pPr>
              <w:rPr>
                <w:rFonts w:ascii="Times New Roman" w:hAnsi="Times New Roman" w:cs="Times New Roman"/>
                <w:color w:val="000000" w:themeColor="text1"/>
              </w:rPr>
            </w:pPr>
          </w:p>
        </w:tc>
        <w:tc>
          <w:tcPr>
            <w:tcW w:w="2748" w:type="dxa"/>
            <w:tcBorders>
              <w:top w:val="single" w:sz="4" w:space="0" w:color="auto"/>
              <w:left w:val="single" w:sz="4" w:space="0" w:color="auto"/>
              <w:bottom w:val="single" w:sz="4" w:space="0" w:color="auto"/>
              <w:right w:val="single" w:sz="4" w:space="0" w:color="auto"/>
            </w:tcBorders>
            <w:noWrap/>
            <w:hideMark/>
          </w:tcPr>
          <w:p w14:paraId="489B85EC" w14:textId="77777777" w:rsidR="004D6256" w:rsidRPr="001667DB" w:rsidRDefault="004D6256">
            <w:pPr>
              <w:pStyle w:val="StylIwony"/>
              <w:spacing w:after="60"/>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Przeprowadzić uniwersalnymi przyrządami pomiarowymi lub </w:t>
            </w:r>
            <w:r w:rsidRPr="001667DB">
              <w:rPr>
                <w:rFonts w:ascii="Times New Roman" w:hAnsi="Times New Roman"/>
                <w:color w:val="000000" w:themeColor="text1"/>
                <w:sz w:val="22"/>
                <w:szCs w:val="22"/>
              </w:rPr>
              <w:lastRenderedPageBreak/>
              <w:t>sprawdzianami (np. liniałami, przymiarami itp.)</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D8D26" w14:textId="77777777" w:rsidR="004D6256" w:rsidRPr="001667DB" w:rsidRDefault="004D6256">
            <w:pPr>
              <w:rPr>
                <w:rFonts w:ascii="Times New Roman" w:hAnsi="Times New Roman" w:cs="Times New Roman"/>
                <w:color w:val="000000" w:themeColor="text1"/>
              </w:rPr>
            </w:pPr>
          </w:p>
        </w:tc>
      </w:tr>
    </w:tbl>
    <w:p w14:paraId="6E1D8A9F" w14:textId="77777777" w:rsidR="004D6256" w:rsidRPr="001667DB" w:rsidRDefault="004D6256" w:rsidP="00B73D7B">
      <w:pPr>
        <w:pStyle w:val="StylIwony"/>
        <w:spacing w:before="0" w:after="0"/>
        <w:ind w:firstLine="709"/>
        <w:rPr>
          <w:rFonts w:ascii="Times New Roman" w:hAnsi="Times New Roman"/>
          <w:color w:val="000000" w:themeColor="text1"/>
          <w:sz w:val="22"/>
          <w:szCs w:val="22"/>
        </w:rPr>
      </w:pPr>
    </w:p>
    <w:p w14:paraId="7E5BDAD6" w14:textId="77777777" w:rsidR="004D6256" w:rsidRPr="001667DB" w:rsidRDefault="004D6256" w:rsidP="00577746">
      <w:pPr>
        <w:pStyle w:val="StylIwony"/>
        <w:spacing w:before="0" w:after="0"/>
        <w:ind w:firstLine="709"/>
        <w:rPr>
          <w:rFonts w:ascii="Times New Roman" w:hAnsi="Times New Roman"/>
          <w:color w:val="000000" w:themeColor="text1"/>
          <w:sz w:val="22"/>
          <w:szCs w:val="22"/>
        </w:rPr>
      </w:pPr>
      <w:r w:rsidRPr="001667DB">
        <w:rPr>
          <w:rFonts w:ascii="Times New Roman" w:hAnsi="Times New Roman"/>
          <w:color w:val="000000" w:themeColor="text1"/>
          <w:sz w:val="22"/>
          <w:szCs w:val="22"/>
        </w:rPr>
        <w:t xml:space="preserve">W przypadkach budzących wątpliwości można zlecić uprawnionej jednostce zbadanie właściwości dostarczonych wyrobów i materiałów w zakresie wymagań podanych w punkcie 2.  </w:t>
      </w:r>
    </w:p>
    <w:p w14:paraId="24E7454C" w14:textId="77777777" w:rsidR="004D6256" w:rsidRPr="001667DB" w:rsidRDefault="004D6256" w:rsidP="00577746">
      <w:pPr>
        <w:pStyle w:val="StylIwony"/>
        <w:spacing w:before="0" w:after="0"/>
        <w:ind w:firstLine="709"/>
        <w:rPr>
          <w:rFonts w:ascii="Times New Roman" w:hAnsi="Times New Roman"/>
          <w:color w:val="000000" w:themeColor="text1"/>
          <w:sz w:val="22"/>
          <w:szCs w:val="22"/>
        </w:rPr>
      </w:pPr>
    </w:p>
    <w:p w14:paraId="575A2A55" w14:textId="77777777" w:rsidR="004D6256" w:rsidRPr="001667DB" w:rsidRDefault="004D6256" w:rsidP="00577746">
      <w:pPr>
        <w:pStyle w:val="StylIwony"/>
        <w:rPr>
          <w:rFonts w:ascii="Times New Roman" w:hAnsi="Times New Roman"/>
          <w:color w:val="000000" w:themeColor="text1"/>
          <w:sz w:val="22"/>
          <w:szCs w:val="22"/>
        </w:rPr>
      </w:pPr>
      <w:r w:rsidRPr="001667DB">
        <w:rPr>
          <w:rFonts w:ascii="Times New Roman" w:hAnsi="Times New Roman"/>
          <w:b/>
          <w:color w:val="000000" w:themeColor="text1"/>
          <w:sz w:val="22"/>
          <w:szCs w:val="22"/>
        </w:rPr>
        <w:t xml:space="preserve">6.3.2. </w:t>
      </w:r>
      <w:r w:rsidRPr="001667DB">
        <w:rPr>
          <w:rFonts w:ascii="Times New Roman" w:hAnsi="Times New Roman"/>
          <w:color w:val="000000" w:themeColor="text1"/>
          <w:sz w:val="22"/>
          <w:szCs w:val="22"/>
        </w:rPr>
        <w:t>Kontrola w czasie wykonywania robót</w:t>
      </w:r>
    </w:p>
    <w:p w14:paraId="3916E1C9" w14:textId="77777777" w:rsidR="004D6256" w:rsidRPr="001667DB" w:rsidRDefault="004D6256" w:rsidP="00577746">
      <w:pPr>
        <w:pStyle w:val="StylIwony"/>
        <w:spacing w:before="0" w:after="0"/>
        <w:rPr>
          <w:rFonts w:ascii="Times New Roman" w:hAnsi="Times New Roman"/>
          <w:color w:val="000000" w:themeColor="text1"/>
          <w:sz w:val="22"/>
          <w:szCs w:val="22"/>
        </w:rPr>
      </w:pPr>
      <w:r w:rsidRPr="001667DB">
        <w:rPr>
          <w:rFonts w:ascii="Times New Roman" w:hAnsi="Times New Roman"/>
          <w:color w:val="000000" w:themeColor="text1"/>
          <w:sz w:val="22"/>
          <w:szCs w:val="22"/>
        </w:rPr>
        <w:tab/>
        <w:t>W czasie wykonywania robót należy sprawdzać:</w:t>
      </w:r>
    </w:p>
    <w:p w14:paraId="3DE0ACDE"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zgodność wykonania znaków pionowych z dokumentacją projektową (lokalizacja, wymiary znaków, wysokość zamocowania znaków),</w:t>
      </w:r>
    </w:p>
    <w:p w14:paraId="6F549A1C"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zachowanie dopuszczalnych odchyłek wymiarów, zgodnie z punktem 2 i 5,</w:t>
      </w:r>
    </w:p>
    <w:p w14:paraId="1BA91FBB"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prawidłowość wykonania wykopów pod konstrukcje wsporcze, zgodnie z punktem 5.3,</w:t>
      </w:r>
    </w:p>
    <w:p w14:paraId="423310A4"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poprawność wykonania fundamentów pod słupki zgodnie z punktem 5.3,</w:t>
      </w:r>
    </w:p>
    <w:p w14:paraId="3C1236E6"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poprawność ustawienia słupków i konstrukcji wsporczych, zgodnie z punktem 5.4 i 5.5,</w:t>
      </w:r>
    </w:p>
    <w:p w14:paraId="21D0EECC" w14:textId="77777777" w:rsidR="004D6256" w:rsidRPr="001667DB" w:rsidRDefault="004D6256" w:rsidP="00904E6C">
      <w:pPr>
        <w:pStyle w:val="StylIwony"/>
        <w:numPr>
          <w:ilvl w:val="0"/>
          <w:numId w:val="332"/>
        </w:numPr>
        <w:spacing w:before="0" w:after="0"/>
        <w:ind w:left="283"/>
        <w:rPr>
          <w:rFonts w:ascii="Times New Roman" w:hAnsi="Times New Roman"/>
          <w:color w:val="000000" w:themeColor="text1"/>
          <w:sz w:val="22"/>
          <w:szCs w:val="22"/>
        </w:rPr>
      </w:pPr>
      <w:r w:rsidRPr="001667DB">
        <w:rPr>
          <w:rFonts w:ascii="Times New Roman" w:hAnsi="Times New Roman"/>
          <w:color w:val="000000" w:themeColor="text1"/>
          <w:sz w:val="22"/>
          <w:szCs w:val="22"/>
        </w:rPr>
        <w:t>zgodność rodzaju i grubości blachy ze specyfikacją.</w:t>
      </w:r>
    </w:p>
    <w:p w14:paraId="6765C865" w14:textId="77777777" w:rsidR="004D6256" w:rsidRPr="001667DB" w:rsidRDefault="004D6256" w:rsidP="00577746">
      <w:pPr>
        <w:pStyle w:val="StylIwony"/>
        <w:spacing w:before="0" w:after="0"/>
        <w:ind w:left="283"/>
        <w:rPr>
          <w:rFonts w:ascii="Times New Roman" w:hAnsi="Times New Roman"/>
          <w:color w:val="000000" w:themeColor="text1"/>
          <w:sz w:val="22"/>
          <w:szCs w:val="22"/>
        </w:rPr>
      </w:pPr>
    </w:p>
    <w:p w14:paraId="46C5C50D"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50" w:name="_Toc131916643"/>
      <w:bookmarkStart w:id="851" w:name="_Toc425833586"/>
      <w:bookmarkStart w:id="852" w:name="_Toc425562419"/>
      <w:r w:rsidRPr="00F17F2E">
        <w:rPr>
          <w:smallCaps/>
          <w:color w:val="000000" w:themeColor="text1"/>
          <w:sz w:val="22"/>
          <w:szCs w:val="22"/>
          <w:u w:val="none"/>
        </w:rPr>
        <w:t>OBMIAR ROBÓT</w:t>
      </w:r>
      <w:bookmarkEnd w:id="850"/>
      <w:bookmarkEnd w:id="851"/>
      <w:bookmarkEnd w:id="852"/>
    </w:p>
    <w:p w14:paraId="2C254EF4" w14:textId="77777777" w:rsidR="004D6256" w:rsidRPr="001667DB" w:rsidRDefault="004D6256" w:rsidP="00577746">
      <w:pPr>
        <w:jc w:val="both"/>
        <w:rPr>
          <w:rFonts w:ascii="Times New Roman" w:hAnsi="Times New Roman" w:cs="Times New Roman"/>
          <w:color w:val="000000" w:themeColor="text1"/>
        </w:rPr>
      </w:pPr>
    </w:p>
    <w:p w14:paraId="2E52A834"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zasady obmiaru robót</w:t>
      </w:r>
    </w:p>
    <w:p w14:paraId="340BAA42" w14:textId="77777777" w:rsidR="004D6256" w:rsidRPr="001667DB" w:rsidRDefault="004D6256" w:rsidP="00577746">
      <w:pPr>
        <w:pStyle w:val="StylIwony"/>
        <w:spacing w:before="0" w:after="0"/>
        <w:rPr>
          <w:rFonts w:ascii="Times New Roman" w:hAnsi="Times New Roman"/>
          <w:color w:val="000000" w:themeColor="text1"/>
          <w:sz w:val="22"/>
          <w:szCs w:val="22"/>
        </w:rPr>
      </w:pPr>
      <w:r w:rsidRPr="001667DB">
        <w:rPr>
          <w:rFonts w:ascii="Times New Roman" w:hAnsi="Times New Roman"/>
          <w:color w:val="000000" w:themeColor="text1"/>
          <w:sz w:val="22"/>
          <w:szCs w:val="22"/>
        </w:rPr>
        <w:tab/>
        <w:t>Ogólne zasady obmiaru robót podano w ST D-00.00.00 „Wymagania ogólne” pkt 7.</w:t>
      </w:r>
    </w:p>
    <w:p w14:paraId="3E8F77E0" w14:textId="77777777" w:rsidR="004D6256" w:rsidRPr="001667DB" w:rsidRDefault="004D6256" w:rsidP="00577746">
      <w:pPr>
        <w:pStyle w:val="StylIwony"/>
        <w:spacing w:before="0" w:after="0"/>
        <w:rPr>
          <w:rFonts w:ascii="Times New Roman" w:hAnsi="Times New Roman"/>
          <w:color w:val="000000" w:themeColor="text1"/>
          <w:sz w:val="22"/>
          <w:szCs w:val="22"/>
        </w:rPr>
      </w:pPr>
    </w:p>
    <w:p w14:paraId="20F6944F"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Jednostka obmiarowa</w:t>
      </w:r>
    </w:p>
    <w:p w14:paraId="2EA45C90" w14:textId="77777777" w:rsidR="004D6256" w:rsidRPr="001667DB" w:rsidRDefault="004D6256" w:rsidP="00577746">
      <w:pPr>
        <w:pStyle w:val="StylIwony"/>
        <w:spacing w:before="0" w:after="0"/>
        <w:ind w:firstLine="709"/>
        <w:rPr>
          <w:rFonts w:ascii="Times New Roman" w:hAnsi="Times New Roman"/>
          <w:color w:val="000000" w:themeColor="text1"/>
          <w:sz w:val="22"/>
          <w:szCs w:val="22"/>
        </w:rPr>
      </w:pPr>
      <w:r w:rsidRPr="001667DB">
        <w:rPr>
          <w:rFonts w:ascii="Times New Roman" w:hAnsi="Times New Roman"/>
          <w:color w:val="000000" w:themeColor="text1"/>
          <w:sz w:val="22"/>
          <w:szCs w:val="22"/>
        </w:rPr>
        <w:t>Jednostkami obmiarowymi są:</w:t>
      </w:r>
    </w:p>
    <w:p w14:paraId="727FCD30" w14:textId="77777777" w:rsidR="004D6256" w:rsidRPr="001667DB" w:rsidRDefault="004D6256" w:rsidP="00904E6C">
      <w:pPr>
        <w:pStyle w:val="StylIwony"/>
        <w:numPr>
          <w:ilvl w:val="0"/>
          <w:numId w:val="342"/>
        </w:numPr>
        <w:spacing w:before="0" w:after="0"/>
        <w:rPr>
          <w:rFonts w:ascii="Times New Roman" w:hAnsi="Times New Roman"/>
          <w:color w:val="000000" w:themeColor="text1"/>
          <w:sz w:val="22"/>
          <w:szCs w:val="22"/>
        </w:rPr>
      </w:pPr>
      <w:r w:rsidRPr="001667DB">
        <w:rPr>
          <w:rFonts w:ascii="Times New Roman" w:hAnsi="Times New Roman"/>
          <w:color w:val="000000" w:themeColor="text1"/>
          <w:sz w:val="22"/>
          <w:szCs w:val="22"/>
        </w:rPr>
        <w:t>szt. (sztuka), dla znaków drogowych konwencjonalnych oraz konstrukcji wsporczych,</w:t>
      </w:r>
    </w:p>
    <w:p w14:paraId="2BEF9237" w14:textId="77777777" w:rsidR="004D6256" w:rsidRPr="001667DB" w:rsidRDefault="004D6256" w:rsidP="00904E6C">
      <w:pPr>
        <w:pStyle w:val="StylIwony"/>
        <w:numPr>
          <w:ilvl w:val="0"/>
          <w:numId w:val="342"/>
        </w:numPr>
        <w:spacing w:before="0" w:after="0"/>
        <w:rPr>
          <w:rFonts w:ascii="Times New Roman" w:hAnsi="Times New Roman"/>
          <w:color w:val="000000" w:themeColor="text1"/>
          <w:sz w:val="22"/>
          <w:szCs w:val="22"/>
        </w:rPr>
      </w:pPr>
      <w:r w:rsidRPr="001667DB">
        <w:rPr>
          <w:rFonts w:ascii="Times New Roman" w:hAnsi="Times New Roman"/>
          <w:color w:val="000000" w:themeColor="text1"/>
          <w:sz w:val="22"/>
          <w:szCs w:val="22"/>
        </w:rPr>
        <w:t>m</w:t>
      </w:r>
      <w:r w:rsidRPr="001667DB">
        <w:rPr>
          <w:rFonts w:ascii="Times New Roman" w:hAnsi="Times New Roman"/>
          <w:color w:val="000000" w:themeColor="text1"/>
          <w:sz w:val="22"/>
          <w:szCs w:val="22"/>
          <w:vertAlign w:val="superscript"/>
        </w:rPr>
        <w:t>2</w:t>
      </w:r>
      <w:r w:rsidRPr="001667DB">
        <w:rPr>
          <w:rFonts w:ascii="Times New Roman" w:hAnsi="Times New Roman"/>
          <w:color w:val="000000" w:themeColor="text1"/>
          <w:sz w:val="22"/>
          <w:szCs w:val="22"/>
        </w:rPr>
        <w:t xml:space="preserve"> (metr kwadratowy) powierzchni tablic dla znaków pozostałych.</w:t>
      </w:r>
    </w:p>
    <w:p w14:paraId="20C9117D" w14:textId="77777777" w:rsidR="004D6256" w:rsidRPr="001667DB" w:rsidRDefault="004D6256" w:rsidP="00577746">
      <w:pPr>
        <w:pStyle w:val="StylIwony"/>
        <w:spacing w:before="0" w:after="0"/>
        <w:ind w:left="283"/>
        <w:rPr>
          <w:rFonts w:ascii="Times New Roman" w:hAnsi="Times New Roman"/>
          <w:color w:val="000000" w:themeColor="text1"/>
          <w:sz w:val="22"/>
          <w:szCs w:val="22"/>
        </w:rPr>
      </w:pPr>
    </w:p>
    <w:p w14:paraId="5CB0A327"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53" w:name="_Toc131916644"/>
      <w:bookmarkStart w:id="854" w:name="_Toc425562420"/>
      <w:r w:rsidRPr="00F17F2E">
        <w:rPr>
          <w:smallCaps/>
          <w:color w:val="000000" w:themeColor="text1"/>
          <w:sz w:val="22"/>
          <w:szCs w:val="22"/>
          <w:u w:val="none"/>
        </w:rPr>
        <w:t>ODBIÓR ROBÓT</w:t>
      </w:r>
      <w:bookmarkEnd w:id="853"/>
      <w:bookmarkEnd w:id="854"/>
    </w:p>
    <w:p w14:paraId="7F6FF897" w14:textId="77777777" w:rsidR="004D6256" w:rsidRPr="001667DB" w:rsidRDefault="004D6256" w:rsidP="00577746">
      <w:pPr>
        <w:jc w:val="both"/>
        <w:rPr>
          <w:rFonts w:ascii="Times New Roman" w:hAnsi="Times New Roman" w:cs="Times New Roman"/>
          <w:color w:val="000000" w:themeColor="text1"/>
        </w:rPr>
      </w:pPr>
    </w:p>
    <w:p w14:paraId="05A0A881"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Ogólne zasady odbioru robót</w:t>
      </w:r>
    </w:p>
    <w:p w14:paraId="7F6D02D9" w14:textId="77777777" w:rsidR="004D6256" w:rsidRPr="001667DB" w:rsidRDefault="004D6256" w:rsidP="00577746">
      <w:pPr>
        <w:pStyle w:val="StylIwony"/>
        <w:spacing w:before="0" w:after="0"/>
        <w:rPr>
          <w:rFonts w:ascii="Times New Roman" w:hAnsi="Times New Roman"/>
          <w:color w:val="000000" w:themeColor="text1"/>
          <w:sz w:val="22"/>
          <w:szCs w:val="22"/>
        </w:rPr>
      </w:pPr>
      <w:r w:rsidRPr="001667DB">
        <w:rPr>
          <w:rFonts w:ascii="Times New Roman" w:hAnsi="Times New Roman"/>
          <w:color w:val="000000" w:themeColor="text1"/>
          <w:sz w:val="22"/>
          <w:szCs w:val="22"/>
        </w:rPr>
        <w:tab/>
        <w:t xml:space="preserve">    Ogólne zasady odbioru robót podano w ST D-00.00.00 „Wymagania ogólne” pkt 8.</w:t>
      </w:r>
    </w:p>
    <w:p w14:paraId="1413428F"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41ED2803"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Odbiór ostateczny</w:t>
      </w:r>
    </w:p>
    <w:p w14:paraId="4224E08B"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Odbiór robót oznakowania pionowego dokonywany jest na zasadzie odbioru ostatecznego.</w:t>
      </w:r>
    </w:p>
    <w:p w14:paraId="1BC70C17"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Odbiór ostateczny powinien być dokonany po całkowitym zakończeniu robót, na podstawie wyników pomiarów i badań jakościowych określonych w punktach 2 i 5.</w:t>
      </w:r>
    </w:p>
    <w:p w14:paraId="3E278ECB"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Odbiór pogwarancyjny</w:t>
      </w:r>
    </w:p>
    <w:p w14:paraId="0E9DE3AE"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upływem okresu gwarancyjnego należy wykonać przegląd znaków i wybraną grupę poddać badaniom fotometrycznym lica. Pozytywne wyniki przeglądu i badań mogą być podstawą odbioru pogwarancyjnego.</w:t>
      </w:r>
    </w:p>
    <w:p w14:paraId="5A344D32" w14:textId="77777777" w:rsidR="004D6256" w:rsidRPr="001667DB" w:rsidRDefault="004D6256"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Odbiór pogwarancyjny należy przeprowadzić w ciągu 1 miesiąca po upływie okresu gwarancyjnego, ustalonego w ST.</w:t>
      </w:r>
    </w:p>
    <w:p w14:paraId="23825FD7" w14:textId="77777777" w:rsidR="004D6256" w:rsidRPr="001667DB" w:rsidRDefault="004D6256" w:rsidP="00577746">
      <w:pPr>
        <w:ind w:firstLine="709"/>
        <w:jc w:val="both"/>
        <w:rPr>
          <w:rFonts w:ascii="Times New Roman" w:hAnsi="Times New Roman" w:cs="Times New Roman"/>
          <w:color w:val="000000" w:themeColor="text1"/>
        </w:rPr>
      </w:pPr>
    </w:p>
    <w:p w14:paraId="5BA38B6D"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55" w:name="_Toc131916645"/>
      <w:bookmarkStart w:id="856" w:name="_Toc425833588"/>
      <w:r w:rsidRPr="00F17F2E">
        <w:rPr>
          <w:smallCaps/>
          <w:color w:val="000000" w:themeColor="text1"/>
          <w:sz w:val="22"/>
          <w:szCs w:val="22"/>
          <w:u w:val="none"/>
        </w:rPr>
        <w:t>podstawa płatności</w:t>
      </w:r>
      <w:bookmarkEnd w:id="855"/>
      <w:bookmarkEnd w:id="856"/>
    </w:p>
    <w:p w14:paraId="2C28CA03" w14:textId="77777777" w:rsidR="004D6256" w:rsidRPr="001667DB" w:rsidRDefault="004D6256" w:rsidP="00577746">
      <w:pPr>
        <w:jc w:val="both"/>
        <w:rPr>
          <w:rFonts w:ascii="Times New Roman" w:hAnsi="Times New Roman" w:cs="Times New Roman"/>
          <w:color w:val="000000" w:themeColor="text1"/>
        </w:rPr>
      </w:pPr>
    </w:p>
    <w:p w14:paraId="33DAA0C5"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lastRenderedPageBreak/>
        <w:t>Ogólne ustalenia dotyczące podstawy płatności</w:t>
      </w:r>
    </w:p>
    <w:p w14:paraId="65566A93"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pkt 9.</w:t>
      </w:r>
    </w:p>
    <w:p w14:paraId="3F436E68" w14:textId="77777777" w:rsidR="004D6256" w:rsidRPr="001667DB" w:rsidRDefault="004D6256" w:rsidP="00577746">
      <w:pPr>
        <w:jc w:val="both"/>
        <w:rPr>
          <w:rFonts w:ascii="Times New Roman" w:hAnsi="Times New Roman" w:cs="Times New Roman"/>
          <w:color w:val="000000" w:themeColor="text1"/>
        </w:rPr>
      </w:pPr>
    </w:p>
    <w:p w14:paraId="18EF5FEE" w14:textId="77777777" w:rsidR="004D6256" w:rsidRPr="001667DB" w:rsidRDefault="004D6256" w:rsidP="00904E6C">
      <w:pPr>
        <w:pStyle w:val="Nagwek2"/>
        <w:numPr>
          <w:ilvl w:val="1"/>
          <w:numId w:val="248"/>
        </w:numPr>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Cena jednostki obmiarowej</w:t>
      </w:r>
    </w:p>
    <w:p w14:paraId="323FE043" w14:textId="77777777" w:rsidR="004D6256" w:rsidRPr="001667DB" w:rsidRDefault="004D6256"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jednostki obmiarowej oznakowania pionowego obejmuje:</w:t>
      </w:r>
    </w:p>
    <w:p w14:paraId="578B4A06"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15A3A04C"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fundamentów,</w:t>
      </w:r>
    </w:p>
    <w:p w14:paraId="41494E77"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i ustawienie konstrukcji wsporczych,</w:t>
      </w:r>
    </w:p>
    <w:p w14:paraId="3453F051"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zamocowanie tarcz znaków drogowych,</w:t>
      </w:r>
    </w:p>
    <w:p w14:paraId="1337190A" w14:textId="77777777" w:rsidR="004D6256" w:rsidRPr="001667DB" w:rsidRDefault="004D6256" w:rsidP="00904E6C">
      <w:pPr>
        <w:numPr>
          <w:ilvl w:val="0"/>
          <w:numId w:val="332"/>
        </w:numPr>
        <w:overflowPunct w:val="0"/>
        <w:autoSpaceDE w:val="0"/>
        <w:autoSpaceDN w:val="0"/>
        <w:adjustRightInd w:val="0"/>
        <w:spacing w:after="0" w:line="24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ST.</w:t>
      </w:r>
    </w:p>
    <w:p w14:paraId="43C83E4B" w14:textId="77777777" w:rsidR="004D6256" w:rsidRPr="001667DB" w:rsidRDefault="004D6256" w:rsidP="00577746">
      <w:pPr>
        <w:overflowPunct w:val="0"/>
        <w:autoSpaceDE w:val="0"/>
        <w:autoSpaceDN w:val="0"/>
        <w:adjustRightInd w:val="0"/>
        <w:ind w:left="283"/>
        <w:jc w:val="both"/>
        <w:rPr>
          <w:rFonts w:ascii="Times New Roman" w:hAnsi="Times New Roman" w:cs="Times New Roman"/>
          <w:color w:val="000000" w:themeColor="text1"/>
        </w:rPr>
      </w:pPr>
    </w:p>
    <w:p w14:paraId="740A9CC8" w14:textId="77777777" w:rsidR="004D6256" w:rsidRPr="00F17F2E" w:rsidRDefault="004D6256" w:rsidP="00904E6C">
      <w:pPr>
        <w:pStyle w:val="Nagwek2"/>
        <w:numPr>
          <w:ilvl w:val="0"/>
          <w:numId w:val="248"/>
        </w:numPr>
        <w:tabs>
          <w:tab w:val="clear" w:pos="-720"/>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rPr>
          <w:smallCaps/>
          <w:color w:val="000000" w:themeColor="text1"/>
          <w:sz w:val="22"/>
          <w:szCs w:val="22"/>
          <w:u w:val="none"/>
        </w:rPr>
      </w:pPr>
      <w:bookmarkStart w:id="857" w:name="_Toc131916646"/>
      <w:bookmarkStart w:id="858" w:name="_Toc425833589"/>
      <w:r w:rsidRPr="00F17F2E">
        <w:rPr>
          <w:smallCaps/>
          <w:color w:val="000000" w:themeColor="text1"/>
          <w:sz w:val="22"/>
          <w:szCs w:val="22"/>
          <w:u w:val="none"/>
        </w:rPr>
        <w:t>NORMY I przepisy związane</w:t>
      </w:r>
      <w:bookmarkEnd w:id="857"/>
      <w:bookmarkEnd w:id="858"/>
    </w:p>
    <w:p w14:paraId="562DA72E" w14:textId="77777777" w:rsidR="004D6256" w:rsidRPr="001667DB" w:rsidRDefault="004D6256" w:rsidP="00577746">
      <w:pPr>
        <w:jc w:val="both"/>
        <w:rPr>
          <w:rFonts w:ascii="Times New Roman" w:hAnsi="Times New Roman" w:cs="Times New Roman"/>
          <w:color w:val="000000" w:themeColor="text1"/>
        </w:rPr>
      </w:pPr>
    </w:p>
    <w:p w14:paraId="307379BC" w14:textId="77777777" w:rsidR="004D6256" w:rsidRPr="001667DB" w:rsidRDefault="004D6256" w:rsidP="00577746">
      <w:pPr>
        <w:pStyle w:val="Nagwek2"/>
        <w:tabs>
          <w:tab w:val="clear" w:pos="-720"/>
          <w:tab w:val="clear" w:pos="0"/>
          <w:tab w:val="clear" w:pos="284"/>
          <w:tab w:val="clear" w:pos="435"/>
          <w:tab w:val="clear" w:pos="567"/>
          <w:tab w:val="clear" w:pos="851"/>
          <w:tab w:val="clear" w:pos="115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1134"/>
        </w:tabs>
        <w:spacing w:before="0" w:after="0" w:line="240" w:lineRule="auto"/>
        <w:jc w:val="both"/>
        <w:rPr>
          <w:color w:val="000000" w:themeColor="text1"/>
          <w:sz w:val="22"/>
          <w:szCs w:val="22"/>
        </w:rPr>
      </w:pPr>
      <w:r w:rsidRPr="001667DB">
        <w:rPr>
          <w:color w:val="000000" w:themeColor="text1"/>
          <w:sz w:val="22"/>
          <w:szCs w:val="22"/>
        </w:rPr>
        <w:t>Normy</w:t>
      </w:r>
    </w:p>
    <w:p w14:paraId="5911FBF5" w14:textId="77777777" w:rsidR="004D6256" w:rsidRPr="001667DB" w:rsidRDefault="004D6256" w:rsidP="00577746">
      <w:pPr>
        <w:jc w:val="both"/>
        <w:rPr>
          <w:rFonts w:ascii="Times New Roman" w:hAnsi="Times New Roman" w:cs="Times New Roman"/>
          <w:color w:val="000000" w:themeColor="text1"/>
        </w:rPr>
      </w:pPr>
    </w:p>
    <w:tbl>
      <w:tblPr>
        <w:tblW w:w="0" w:type="auto"/>
        <w:tblCellMar>
          <w:left w:w="70" w:type="dxa"/>
          <w:right w:w="70" w:type="dxa"/>
        </w:tblCellMar>
        <w:tblLook w:val="04A0" w:firstRow="1" w:lastRow="0" w:firstColumn="1" w:lastColumn="0" w:noHBand="0" w:noVBand="1"/>
      </w:tblPr>
      <w:tblGrid>
        <w:gridCol w:w="496"/>
        <w:gridCol w:w="2268"/>
        <w:gridCol w:w="5741"/>
      </w:tblGrid>
      <w:tr w:rsidR="004D6256" w:rsidRPr="001667DB" w14:paraId="1AD6AC55" w14:textId="77777777" w:rsidTr="00B73D7B">
        <w:tc>
          <w:tcPr>
            <w:tcW w:w="496" w:type="dxa"/>
            <w:hideMark/>
          </w:tcPr>
          <w:p w14:paraId="21FBDDF7"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1.</w:t>
            </w:r>
          </w:p>
        </w:tc>
        <w:tc>
          <w:tcPr>
            <w:tcW w:w="2268" w:type="dxa"/>
            <w:hideMark/>
          </w:tcPr>
          <w:p w14:paraId="567F1F27"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PN-76/C-81521</w:t>
            </w:r>
          </w:p>
        </w:tc>
        <w:tc>
          <w:tcPr>
            <w:tcW w:w="5741" w:type="dxa"/>
            <w:hideMark/>
          </w:tcPr>
          <w:p w14:paraId="65DAED83"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Wyroby lakierowane - badanie odporności powłoki lakierowanej na działanie wody oraz oznaczanie nasiąkliwości </w:t>
            </w:r>
          </w:p>
        </w:tc>
      </w:tr>
      <w:tr w:rsidR="004D6256" w:rsidRPr="001667DB" w14:paraId="36681D37" w14:textId="77777777" w:rsidTr="00B73D7B">
        <w:tc>
          <w:tcPr>
            <w:tcW w:w="496" w:type="dxa"/>
            <w:hideMark/>
          </w:tcPr>
          <w:p w14:paraId="389E086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2.</w:t>
            </w:r>
          </w:p>
        </w:tc>
        <w:tc>
          <w:tcPr>
            <w:tcW w:w="2268" w:type="dxa"/>
            <w:hideMark/>
          </w:tcPr>
          <w:p w14:paraId="21B4405D"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PN-83/B-03010</w:t>
            </w:r>
          </w:p>
        </w:tc>
        <w:tc>
          <w:tcPr>
            <w:tcW w:w="5741" w:type="dxa"/>
            <w:hideMark/>
          </w:tcPr>
          <w:p w14:paraId="1B16026F" w14:textId="77777777" w:rsidR="004D6256" w:rsidRPr="001667DB" w:rsidRDefault="004D6256" w:rsidP="00577746">
            <w:pPr>
              <w:pStyle w:val="Tekstprzypisudolnego"/>
              <w:rPr>
                <w:color w:val="000000" w:themeColor="text1"/>
                <w:sz w:val="22"/>
                <w:szCs w:val="22"/>
              </w:rPr>
            </w:pPr>
            <w:r w:rsidRPr="001667DB">
              <w:rPr>
                <w:color w:val="000000" w:themeColor="text1"/>
                <w:sz w:val="22"/>
                <w:szCs w:val="22"/>
              </w:rPr>
              <w:t>Ściany oporowe - Obliczenia statyczne i projektowanie</w:t>
            </w:r>
          </w:p>
        </w:tc>
      </w:tr>
      <w:tr w:rsidR="004D6256" w:rsidRPr="001667DB" w14:paraId="243B471D" w14:textId="77777777" w:rsidTr="00B73D7B">
        <w:tc>
          <w:tcPr>
            <w:tcW w:w="496" w:type="dxa"/>
            <w:hideMark/>
          </w:tcPr>
          <w:p w14:paraId="533585FF"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3.</w:t>
            </w:r>
          </w:p>
        </w:tc>
        <w:tc>
          <w:tcPr>
            <w:tcW w:w="2268" w:type="dxa"/>
            <w:hideMark/>
          </w:tcPr>
          <w:p w14:paraId="47625842"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PN-84/H-74220</w:t>
            </w:r>
          </w:p>
        </w:tc>
        <w:tc>
          <w:tcPr>
            <w:tcW w:w="5741" w:type="dxa"/>
            <w:hideMark/>
          </w:tcPr>
          <w:p w14:paraId="22E0C6E7"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Rury stalowe bez szwu ciągnione i walcowane na zimno ogólnego zastosowania</w:t>
            </w:r>
          </w:p>
        </w:tc>
      </w:tr>
      <w:tr w:rsidR="004D6256" w:rsidRPr="001667DB" w14:paraId="4D0B5A29" w14:textId="77777777" w:rsidTr="00B73D7B">
        <w:tc>
          <w:tcPr>
            <w:tcW w:w="496" w:type="dxa"/>
            <w:hideMark/>
          </w:tcPr>
          <w:p w14:paraId="1123EA0C"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4.</w:t>
            </w:r>
          </w:p>
        </w:tc>
        <w:tc>
          <w:tcPr>
            <w:tcW w:w="2268" w:type="dxa"/>
            <w:hideMark/>
          </w:tcPr>
          <w:p w14:paraId="29D67EEA"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PN-88/C-81523</w:t>
            </w:r>
          </w:p>
        </w:tc>
        <w:tc>
          <w:tcPr>
            <w:tcW w:w="5741" w:type="dxa"/>
            <w:hideMark/>
          </w:tcPr>
          <w:p w14:paraId="24CFA57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Wyroby lakierowane  - Oznaczanie odporności powłoki na działanie mgły solnej</w:t>
            </w:r>
          </w:p>
        </w:tc>
      </w:tr>
      <w:tr w:rsidR="004D6256" w:rsidRPr="001667DB" w14:paraId="4748501F" w14:textId="77777777" w:rsidTr="00B73D7B">
        <w:tc>
          <w:tcPr>
            <w:tcW w:w="496" w:type="dxa"/>
            <w:hideMark/>
          </w:tcPr>
          <w:p w14:paraId="478EBCDF"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5.</w:t>
            </w:r>
          </w:p>
        </w:tc>
        <w:tc>
          <w:tcPr>
            <w:tcW w:w="2268" w:type="dxa"/>
            <w:hideMark/>
          </w:tcPr>
          <w:p w14:paraId="49F09905"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PN-89/H-84023.07</w:t>
            </w:r>
          </w:p>
        </w:tc>
        <w:tc>
          <w:tcPr>
            <w:tcW w:w="5741" w:type="dxa"/>
            <w:hideMark/>
          </w:tcPr>
          <w:p w14:paraId="2E2B1EC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Stal określonego zastosowania. Stal na rury. Gatunki</w:t>
            </w:r>
          </w:p>
        </w:tc>
      </w:tr>
      <w:tr w:rsidR="004D6256" w:rsidRPr="001667DB" w14:paraId="3B1A1E5F" w14:textId="77777777" w:rsidTr="00B73D7B">
        <w:tc>
          <w:tcPr>
            <w:tcW w:w="496" w:type="dxa"/>
            <w:hideMark/>
          </w:tcPr>
          <w:p w14:paraId="3C3685F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6.</w:t>
            </w:r>
          </w:p>
        </w:tc>
        <w:tc>
          <w:tcPr>
            <w:tcW w:w="2268" w:type="dxa"/>
            <w:hideMark/>
          </w:tcPr>
          <w:p w14:paraId="12BDF9E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PN-B-03215:1998</w:t>
            </w:r>
          </w:p>
        </w:tc>
        <w:tc>
          <w:tcPr>
            <w:tcW w:w="5741" w:type="dxa"/>
            <w:hideMark/>
          </w:tcPr>
          <w:p w14:paraId="1D28A3A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Konstrukcje stalowe - Połączenia z fundamentami - Projektowanie i wykonanie</w:t>
            </w:r>
          </w:p>
        </w:tc>
      </w:tr>
      <w:tr w:rsidR="004D6256" w:rsidRPr="001667DB" w14:paraId="121A87EC" w14:textId="77777777" w:rsidTr="00B73D7B">
        <w:tc>
          <w:tcPr>
            <w:tcW w:w="496" w:type="dxa"/>
            <w:hideMark/>
          </w:tcPr>
          <w:p w14:paraId="740BF5E7"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7.</w:t>
            </w:r>
          </w:p>
        </w:tc>
        <w:tc>
          <w:tcPr>
            <w:tcW w:w="2268" w:type="dxa"/>
            <w:hideMark/>
          </w:tcPr>
          <w:p w14:paraId="09E5A57E"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PN-B-03264:2002</w:t>
            </w:r>
          </w:p>
        </w:tc>
        <w:tc>
          <w:tcPr>
            <w:tcW w:w="5741" w:type="dxa"/>
            <w:hideMark/>
          </w:tcPr>
          <w:p w14:paraId="4A0A8EF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Konstrukcje betonowe, żelbetowe i sprężone - Obliczenia statyczne i projektowanie</w:t>
            </w:r>
          </w:p>
        </w:tc>
      </w:tr>
      <w:tr w:rsidR="004D6256" w:rsidRPr="001667DB" w14:paraId="71878F66" w14:textId="77777777" w:rsidTr="00B73D7B">
        <w:tc>
          <w:tcPr>
            <w:tcW w:w="496" w:type="dxa"/>
            <w:hideMark/>
          </w:tcPr>
          <w:p w14:paraId="1EDD307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8.</w:t>
            </w:r>
          </w:p>
        </w:tc>
        <w:tc>
          <w:tcPr>
            <w:tcW w:w="2268" w:type="dxa"/>
            <w:hideMark/>
          </w:tcPr>
          <w:p w14:paraId="2698325F"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40-5:2004</w:t>
            </w:r>
          </w:p>
        </w:tc>
        <w:tc>
          <w:tcPr>
            <w:tcW w:w="5741" w:type="dxa"/>
            <w:hideMark/>
          </w:tcPr>
          <w:p w14:paraId="37D13FC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Słupy oświetleniowe. Część 5. Słupy oświetleniowe stalowe. Wymagania</w:t>
            </w:r>
          </w:p>
        </w:tc>
      </w:tr>
      <w:tr w:rsidR="004D6256" w:rsidRPr="001667DB" w14:paraId="7799D2D5" w14:textId="77777777" w:rsidTr="00B73D7B">
        <w:tc>
          <w:tcPr>
            <w:tcW w:w="496" w:type="dxa"/>
            <w:hideMark/>
          </w:tcPr>
          <w:p w14:paraId="78953669"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9. </w:t>
            </w:r>
          </w:p>
        </w:tc>
        <w:tc>
          <w:tcPr>
            <w:tcW w:w="2268" w:type="dxa"/>
            <w:hideMark/>
          </w:tcPr>
          <w:p w14:paraId="0F554BD0"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206-1:2003</w:t>
            </w:r>
          </w:p>
        </w:tc>
        <w:tc>
          <w:tcPr>
            <w:tcW w:w="5741" w:type="dxa"/>
            <w:hideMark/>
          </w:tcPr>
          <w:p w14:paraId="564A332B"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Beton Część 1: Wymagania, właściwości, produkcja i zgodność</w:t>
            </w:r>
          </w:p>
        </w:tc>
      </w:tr>
      <w:tr w:rsidR="004D6256" w:rsidRPr="001667DB" w14:paraId="51C139C5" w14:textId="77777777" w:rsidTr="00B73D7B">
        <w:tc>
          <w:tcPr>
            <w:tcW w:w="496" w:type="dxa"/>
            <w:hideMark/>
          </w:tcPr>
          <w:p w14:paraId="633A29E4"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2268" w:type="dxa"/>
            <w:hideMark/>
          </w:tcPr>
          <w:p w14:paraId="4965FB0D"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485-4:1997</w:t>
            </w:r>
          </w:p>
        </w:tc>
        <w:tc>
          <w:tcPr>
            <w:tcW w:w="5741" w:type="dxa"/>
            <w:hideMark/>
          </w:tcPr>
          <w:p w14:paraId="685CF8CA"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Aluminium i stopy aluminium - Blachy, taśmy i płyty - Tolerancje kształtu i wymiarów wyrobów walcowanych na zimno</w:t>
            </w:r>
          </w:p>
        </w:tc>
      </w:tr>
      <w:tr w:rsidR="004D6256" w:rsidRPr="001667DB" w14:paraId="5949CDA6" w14:textId="77777777" w:rsidTr="00B73D7B">
        <w:tc>
          <w:tcPr>
            <w:tcW w:w="496" w:type="dxa"/>
            <w:hideMark/>
          </w:tcPr>
          <w:p w14:paraId="7CD212FA"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268" w:type="dxa"/>
            <w:hideMark/>
          </w:tcPr>
          <w:p w14:paraId="222F0DEA"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ISO 1461:2000</w:t>
            </w:r>
          </w:p>
        </w:tc>
        <w:tc>
          <w:tcPr>
            <w:tcW w:w="5741" w:type="dxa"/>
            <w:hideMark/>
          </w:tcPr>
          <w:p w14:paraId="02357EB0"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Powłoki cynkowe nanoszone na stal metodą zanurzeniową (cynkowanie jednostkowe) – Wymaganie i badanie </w:t>
            </w:r>
          </w:p>
        </w:tc>
      </w:tr>
      <w:tr w:rsidR="004D6256" w:rsidRPr="001667DB" w14:paraId="3C283B9C" w14:textId="77777777" w:rsidTr="00B73D7B">
        <w:tc>
          <w:tcPr>
            <w:tcW w:w="496" w:type="dxa"/>
            <w:hideMark/>
          </w:tcPr>
          <w:p w14:paraId="7F633D7C"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268" w:type="dxa"/>
            <w:hideMark/>
          </w:tcPr>
          <w:p w14:paraId="1D3AA94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10240:2001</w:t>
            </w:r>
          </w:p>
        </w:tc>
        <w:tc>
          <w:tcPr>
            <w:tcW w:w="5741" w:type="dxa"/>
            <w:hideMark/>
          </w:tcPr>
          <w:p w14:paraId="6E7C9335"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Wewnętrzne i/lub zewnętrzne powłoki ochronne rur stalowych. Wymagania dotyczące powłok wykonanych przez cynkowanie ogniowe w ocynkowniach zautomatyzowanych</w:t>
            </w:r>
          </w:p>
        </w:tc>
      </w:tr>
      <w:tr w:rsidR="004D6256" w:rsidRPr="001667DB" w14:paraId="48B6144D" w14:textId="77777777" w:rsidTr="00B73D7B">
        <w:tc>
          <w:tcPr>
            <w:tcW w:w="496" w:type="dxa"/>
            <w:hideMark/>
          </w:tcPr>
          <w:p w14:paraId="6E83A41D"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13.</w:t>
            </w:r>
          </w:p>
        </w:tc>
        <w:tc>
          <w:tcPr>
            <w:tcW w:w="2268" w:type="dxa"/>
            <w:hideMark/>
          </w:tcPr>
          <w:p w14:paraId="4B3BE193"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10292:2003/ A1:2004/A1:2005(U)</w:t>
            </w:r>
          </w:p>
        </w:tc>
        <w:tc>
          <w:tcPr>
            <w:tcW w:w="5741" w:type="dxa"/>
            <w:hideMark/>
          </w:tcPr>
          <w:p w14:paraId="534993C0"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Taśmy i blachy ze stali o podwyższonej granicy plastyczności powlekane ogniowo w sposób ciągły do obróbki plastycznej na zimno. Warunki techniczne dostawy</w:t>
            </w:r>
          </w:p>
        </w:tc>
      </w:tr>
      <w:tr w:rsidR="004D6256" w:rsidRPr="001667DB" w14:paraId="3CF06581" w14:textId="77777777" w:rsidTr="00B73D7B">
        <w:tc>
          <w:tcPr>
            <w:tcW w:w="496" w:type="dxa"/>
            <w:hideMark/>
          </w:tcPr>
          <w:p w14:paraId="0C35A8DD"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2268" w:type="dxa"/>
            <w:hideMark/>
          </w:tcPr>
          <w:p w14:paraId="019BE66E"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10327:2005(U)</w:t>
            </w:r>
          </w:p>
        </w:tc>
        <w:tc>
          <w:tcPr>
            <w:tcW w:w="5741" w:type="dxa"/>
            <w:hideMark/>
          </w:tcPr>
          <w:p w14:paraId="54E3A9A8"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Taśmy i blachy ze stali niskowęglowych powlekane ogniowo w sposób ciągły do obróbki plastycznej na zimno. Warunki techniczne dostawy</w:t>
            </w:r>
          </w:p>
        </w:tc>
      </w:tr>
      <w:tr w:rsidR="004D6256" w:rsidRPr="001667DB" w14:paraId="349A6549" w14:textId="77777777" w:rsidTr="00B73D7B">
        <w:tc>
          <w:tcPr>
            <w:tcW w:w="496" w:type="dxa"/>
            <w:hideMark/>
          </w:tcPr>
          <w:p w14:paraId="6D72D223"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2268" w:type="dxa"/>
            <w:hideMark/>
          </w:tcPr>
          <w:p w14:paraId="68F48578"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12767:2003</w:t>
            </w:r>
          </w:p>
        </w:tc>
        <w:tc>
          <w:tcPr>
            <w:tcW w:w="5741" w:type="dxa"/>
            <w:hideMark/>
          </w:tcPr>
          <w:p w14:paraId="07B13712" w14:textId="77777777" w:rsidR="004D6256" w:rsidRPr="001667DB" w:rsidRDefault="004D6256" w:rsidP="00577746">
            <w:pPr>
              <w:pStyle w:val="Stopka"/>
              <w:tabs>
                <w:tab w:val="left" w:pos="709"/>
              </w:tabs>
              <w:rPr>
                <w:color w:val="000000" w:themeColor="text1"/>
                <w:sz w:val="22"/>
              </w:rPr>
            </w:pPr>
            <w:r w:rsidRPr="001667DB">
              <w:rPr>
                <w:color w:val="000000" w:themeColor="text1"/>
                <w:sz w:val="22"/>
              </w:rPr>
              <w:t>Bierne bezpieczeństwo konstrukcji wsporczych dla urządzeń drogowych.  Wymagania i metody badań</w:t>
            </w:r>
          </w:p>
        </w:tc>
      </w:tr>
      <w:tr w:rsidR="004D6256" w:rsidRPr="001667DB" w14:paraId="2BB612FF" w14:textId="77777777" w:rsidTr="00B73D7B">
        <w:tc>
          <w:tcPr>
            <w:tcW w:w="496" w:type="dxa"/>
            <w:hideMark/>
          </w:tcPr>
          <w:p w14:paraId="222C80C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16.</w:t>
            </w:r>
          </w:p>
        </w:tc>
        <w:tc>
          <w:tcPr>
            <w:tcW w:w="2268" w:type="dxa"/>
            <w:hideMark/>
          </w:tcPr>
          <w:p w14:paraId="205440C9"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12899-1:2005</w:t>
            </w:r>
          </w:p>
        </w:tc>
        <w:tc>
          <w:tcPr>
            <w:tcW w:w="5741" w:type="dxa"/>
            <w:hideMark/>
          </w:tcPr>
          <w:p w14:paraId="5B461C3C"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Stałe, pionowe znaki drogowe - Część 1: Znaki stałe </w:t>
            </w:r>
          </w:p>
        </w:tc>
      </w:tr>
      <w:tr w:rsidR="004D6256" w:rsidRPr="001667DB" w14:paraId="6810696B" w14:textId="77777777" w:rsidTr="00B73D7B">
        <w:tc>
          <w:tcPr>
            <w:tcW w:w="496" w:type="dxa"/>
            <w:hideMark/>
          </w:tcPr>
          <w:p w14:paraId="03039B6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17.</w:t>
            </w:r>
          </w:p>
        </w:tc>
        <w:tc>
          <w:tcPr>
            <w:tcW w:w="2268" w:type="dxa"/>
            <w:hideMark/>
          </w:tcPr>
          <w:p w14:paraId="3C6C8A7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prEN 12899-5</w:t>
            </w:r>
          </w:p>
        </w:tc>
        <w:tc>
          <w:tcPr>
            <w:tcW w:w="5741" w:type="dxa"/>
            <w:hideMark/>
          </w:tcPr>
          <w:p w14:paraId="2B07DF5B" w14:textId="77777777" w:rsidR="004D6256" w:rsidRPr="001667DB" w:rsidRDefault="004D6256" w:rsidP="00577746">
            <w:pPr>
              <w:pStyle w:val="Stopka"/>
              <w:tabs>
                <w:tab w:val="left" w:pos="709"/>
              </w:tabs>
              <w:rPr>
                <w:color w:val="000000" w:themeColor="text1"/>
                <w:sz w:val="22"/>
              </w:rPr>
            </w:pPr>
            <w:r w:rsidRPr="001667DB">
              <w:rPr>
                <w:color w:val="000000" w:themeColor="text1"/>
                <w:sz w:val="22"/>
              </w:rPr>
              <w:t>Stałe, pionowe znaki drogowe - Część 5 Badanie wstępne typu</w:t>
            </w:r>
          </w:p>
        </w:tc>
      </w:tr>
      <w:tr w:rsidR="004D6256" w:rsidRPr="001667DB" w14:paraId="7485E0C5" w14:textId="77777777" w:rsidTr="00B73D7B">
        <w:tc>
          <w:tcPr>
            <w:tcW w:w="496" w:type="dxa"/>
            <w:hideMark/>
          </w:tcPr>
          <w:p w14:paraId="58A9130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18.</w:t>
            </w:r>
          </w:p>
        </w:tc>
        <w:tc>
          <w:tcPr>
            <w:tcW w:w="2268" w:type="dxa"/>
            <w:hideMark/>
          </w:tcPr>
          <w:p w14:paraId="694BAF42"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60529:2003</w:t>
            </w:r>
          </w:p>
        </w:tc>
        <w:tc>
          <w:tcPr>
            <w:tcW w:w="5741" w:type="dxa"/>
            <w:hideMark/>
          </w:tcPr>
          <w:p w14:paraId="178F6E44" w14:textId="77777777" w:rsidR="004D6256" w:rsidRPr="001667DB" w:rsidRDefault="004D6256" w:rsidP="00577746">
            <w:pPr>
              <w:pStyle w:val="Stopka"/>
              <w:tabs>
                <w:tab w:val="left" w:pos="709"/>
              </w:tabs>
              <w:rPr>
                <w:color w:val="000000" w:themeColor="text1"/>
                <w:sz w:val="22"/>
              </w:rPr>
            </w:pPr>
            <w:r w:rsidRPr="001667DB">
              <w:rPr>
                <w:color w:val="000000" w:themeColor="text1"/>
                <w:sz w:val="22"/>
              </w:rPr>
              <w:t>Stopnie ochrony zapewnianej przez obudowy (Kod IP)</w:t>
            </w:r>
          </w:p>
        </w:tc>
      </w:tr>
      <w:tr w:rsidR="004D6256" w:rsidRPr="001667DB" w14:paraId="6CFACC81" w14:textId="77777777" w:rsidTr="00B73D7B">
        <w:tc>
          <w:tcPr>
            <w:tcW w:w="496" w:type="dxa"/>
            <w:hideMark/>
          </w:tcPr>
          <w:p w14:paraId="4F0CDD00"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19.</w:t>
            </w:r>
          </w:p>
        </w:tc>
        <w:tc>
          <w:tcPr>
            <w:tcW w:w="2268" w:type="dxa"/>
            <w:hideMark/>
          </w:tcPr>
          <w:p w14:paraId="3B873785"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60598-1: 1990</w:t>
            </w:r>
          </w:p>
        </w:tc>
        <w:tc>
          <w:tcPr>
            <w:tcW w:w="5741" w:type="dxa"/>
            <w:hideMark/>
          </w:tcPr>
          <w:p w14:paraId="4D69C015" w14:textId="77777777" w:rsidR="004D6256" w:rsidRPr="001667DB" w:rsidRDefault="004D6256" w:rsidP="00577746">
            <w:pPr>
              <w:pStyle w:val="Stopka"/>
              <w:tabs>
                <w:tab w:val="left" w:pos="709"/>
              </w:tabs>
              <w:rPr>
                <w:color w:val="000000" w:themeColor="text1"/>
                <w:sz w:val="22"/>
              </w:rPr>
            </w:pPr>
            <w:r w:rsidRPr="001667DB">
              <w:rPr>
                <w:color w:val="000000" w:themeColor="text1"/>
                <w:sz w:val="22"/>
              </w:rPr>
              <w:t>Oprawy oświetleniowe. Wymagania ogólne i badania</w:t>
            </w:r>
          </w:p>
        </w:tc>
      </w:tr>
      <w:tr w:rsidR="004D6256" w:rsidRPr="001667DB" w14:paraId="686929BE" w14:textId="77777777" w:rsidTr="00B73D7B">
        <w:tc>
          <w:tcPr>
            <w:tcW w:w="496" w:type="dxa"/>
            <w:hideMark/>
          </w:tcPr>
          <w:p w14:paraId="6C8459C3"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2268" w:type="dxa"/>
            <w:hideMark/>
          </w:tcPr>
          <w:p w14:paraId="2C747312"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60598-2:2003(U)</w:t>
            </w:r>
          </w:p>
        </w:tc>
        <w:tc>
          <w:tcPr>
            <w:tcW w:w="5741" w:type="dxa"/>
            <w:hideMark/>
          </w:tcPr>
          <w:p w14:paraId="0A6F3C4E"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Oprawy oświetleniowe - Wymagania szczegółowe - Oprawy oświetleniowe drogowe</w:t>
            </w:r>
          </w:p>
        </w:tc>
      </w:tr>
      <w:tr w:rsidR="004D6256" w:rsidRPr="001667DB" w14:paraId="798CE29E" w14:textId="77777777" w:rsidTr="00B73D7B">
        <w:tc>
          <w:tcPr>
            <w:tcW w:w="496" w:type="dxa"/>
            <w:hideMark/>
          </w:tcPr>
          <w:p w14:paraId="25733AB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2268" w:type="dxa"/>
            <w:hideMark/>
          </w:tcPr>
          <w:p w14:paraId="50A0260B"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PN-H-74200:1998</w:t>
            </w:r>
          </w:p>
        </w:tc>
        <w:tc>
          <w:tcPr>
            <w:tcW w:w="5741" w:type="dxa"/>
            <w:hideMark/>
          </w:tcPr>
          <w:p w14:paraId="2AE04A3D"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Rury stalowe ze szwem, gwintowane </w:t>
            </w:r>
          </w:p>
        </w:tc>
      </w:tr>
      <w:tr w:rsidR="004D6256" w:rsidRPr="001667DB" w14:paraId="60BB0A80" w14:textId="77777777" w:rsidTr="00B73D7B">
        <w:tc>
          <w:tcPr>
            <w:tcW w:w="496" w:type="dxa"/>
            <w:hideMark/>
          </w:tcPr>
          <w:p w14:paraId="2CDECD26"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22.</w:t>
            </w:r>
          </w:p>
        </w:tc>
        <w:tc>
          <w:tcPr>
            <w:tcW w:w="2268" w:type="dxa"/>
            <w:hideMark/>
          </w:tcPr>
          <w:p w14:paraId="7A70E71E"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lang w:val="de-DE"/>
              </w:rPr>
            </w:pPr>
            <w:r w:rsidRPr="001667DB">
              <w:rPr>
                <w:rFonts w:ascii="Times New Roman" w:hAnsi="Times New Roman" w:cs="Times New Roman"/>
                <w:color w:val="000000" w:themeColor="text1"/>
                <w:lang w:val="de-DE"/>
              </w:rPr>
              <w:t>PN-EN ISO 2808:2000</w:t>
            </w:r>
          </w:p>
        </w:tc>
        <w:tc>
          <w:tcPr>
            <w:tcW w:w="5741" w:type="dxa"/>
            <w:hideMark/>
          </w:tcPr>
          <w:p w14:paraId="585F7291"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Farby i lakiery - oznaczanie grubości powłoki</w:t>
            </w:r>
          </w:p>
        </w:tc>
      </w:tr>
      <w:tr w:rsidR="004D6256" w:rsidRPr="001667DB" w14:paraId="6C6BE681" w14:textId="77777777" w:rsidTr="00B73D7B">
        <w:tc>
          <w:tcPr>
            <w:tcW w:w="496" w:type="dxa"/>
            <w:hideMark/>
          </w:tcPr>
          <w:p w14:paraId="028ECAF0"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23.</w:t>
            </w:r>
          </w:p>
        </w:tc>
        <w:tc>
          <w:tcPr>
            <w:tcW w:w="2268" w:type="dxa"/>
            <w:hideMark/>
          </w:tcPr>
          <w:p w14:paraId="3B0C0505"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PN-91/H-93010</w:t>
            </w:r>
          </w:p>
        </w:tc>
        <w:tc>
          <w:tcPr>
            <w:tcW w:w="5741" w:type="dxa"/>
            <w:hideMark/>
          </w:tcPr>
          <w:p w14:paraId="5729749F"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Stal. Kształtowniki walcowane na gorąco</w:t>
            </w:r>
          </w:p>
        </w:tc>
      </w:tr>
      <w:tr w:rsidR="004D6256" w:rsidRPr="001667DB" w14:paraId="1D809C45" w14:textId="77777777" w:rsidTr="00B73D7B">
        <w:tc>
          <w:tcPr>
            <w:tcW w:w="496" w:type="dxa"/>
            <w:hideMark/>
          </w:tcPr>
          <w:p w14:paraId="0276CE8A"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2268" w:type="dxa"/>
            <w:hideMark/>
          </w:tcPr>
          <w:p w14:paraId="22DE385C"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PN-S-02205:1998</w:t>
            </w:r>
          </w:p>
        </w:tc>
        <w:tc>
          <w:tcPr>
            <w:tcW w:w="5741" w:type="dxa"/>
            <w:hideMark/>
          </w:tcPr>
          <w:p w14:paraId="4224EC0E" w14:textId="77777777" w:rsidR="004D6256" w:rsidRPr="001667DB" w:rsidRDefault="004D6256" w:rsidP="00577746">
            <w:pPr>
              <w:overflowPunct w:val="0"/>
              <w:autoSpaceDE w:val="0"/>
              <w:autoSpaceDN w:val="0"/>
              <w:adjustRightInd w:val="0"/>
              <w:jc w:val="both"/>
              <w:rPr>
                <w:rFonts w:ascii="Times New Roman" w:hAnsi="Times New Roman" w:cs="Times New Roman"/>
                <w:color w:val="000000" w:themeColor="text1"/>
              </w:rPr>
            </w:pPr>
            <w:r w:rsidRPr="001667DB">
              <w:rPr>
                <w:rFonts w:ascii="Times New Roman" w:hAnsi="Times New Roman" w:cs="Times New Roman"/>
                <w:color w:val="000000" w:themeColor="text1"/>
              </w:rPr>
              <w:t>Drogi samochodowe. Roboty ziemne. Wymagania i badania</w:t>
            </w:r>
          </w:p>
        </w:tc>
      </w:tr>
    </w:tbl>
    <w:p w14:paraId="69F7CBF8" w14:textId="77777777" w:rsidR="004D6256" w:rsidRPr="001667DB" w:rsidRDefault="004D6256" w:rsidP="00577746">
      <w:pPr>
        <w:jc w:val="both"/>
        <w:rPr>
          <w:rFonts w:ascii="Times New Roman" w:hAnsi="Times New Roman" w:cs="Times New Roman"/>
          <w:color w:val="000000" w:themeColor="text1"/>
        </w:rPr>
      </w:pPr>
    </w:p>
    <w:p w14:paraId="6258DF2E" w14:textId="77777777" w:rsidR="004D6256" w:rsidRPr="001667DB" w:rsidRDefault="004D6256" w:rsidP="00577746">
      <w:pPr>
        <w:jc w:val="both"/>
        <w:rPr>
          <w:rFonts w:ascii="Times New Roman" w:hAnsi="Times New Roman" w:cs="Times New Roman"/>
          <w:b/>
          <w:bCs/>
          <w:color w:val="000000" w:themeColor="text1"/>
        </w:rPr>
      </w:pPr>
      <w:r w:rsidRPr="001667DB">
        <w:rPr>
          <w:rFonts w:ascii="Times New Roman" w:hAnsi="Times New Roman" w:cs="Times New Roman"/>
          <w:b/>
          <w:bCs/>
          <w:color w:val="000000" w:themeColor="text1"/>
        </w:rPr>
        <w:t xml:space="preserve"> Przepisy związane</w:t>
      </w:r>
    </w:p>
    <w:p w14:paraId="0676CBBE"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Załączniki nr 1 i 4 do rozporządzenia Ministra Infrastruktury z dnia 3 lipca 2003 w sprawie szczegółowych warunków technicznych dla znaków i sygnałów drogowych oraz urządzeń bezpieczeństwa ruchu drogowego i warunków ich umieszczania na drogach (Dz. U. nr 220, poz. 2181)</w:t>
      </w:r>
    </w:p>
    <w:p w14:paraId="1672FE4F"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Infrastruktury z dn. 11 sierpnia 2004 r. w sprawie sposobów deklarowania zgodności wyrobów budowlanych oraz sposobu znakowania ich znakiem budowlanym (Dz. U. nr 198, poz. 2041)</w:t>
      </w:r>
    </w:p>
    <w:p w14:paraId="5492DEB6"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Rozporządzenie Ministra Infrastruktury z dn. 08 listopada 2004 r. w sprawie aprobat technicznych oraz jednostek organizacyjnych upoważnionych do ich wydawania (Dz. U. nr 249, poz. 2497)</w:t>
      </w:r>
    </w:p>
    <w:p w14:paraId="2176C6EF"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CIE No. 39.2 1983 Recommendations for surface colours for visual signalling (Zalecenia dla barw powierzchniowych sygnalizacji wizualnej)</w:t>
      </w:r>
    </w:p>
    <w:p w14:paraId="64BA77FE"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CIE No. 54 Retroreflection definition and measurement (Powierzchniowy współczynnik odblasku definicja i pomiary)</w:t>
      </w:r>
    </w:p>
    <w:p w14:paraId="609A3BD0" w14:textId="77777777" w:rsidR="004D6256" w:rsidRPr="001667DB"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Ustawa z dnia 16 kwietnia 2004 r. o wyrobach budowlanych ( Dz. U. nr 92, poz. 881)</w:t>
      </w:r>
    </w:p>
    <w:p w14:paraId="17F59406" w14:textId="77777777" w:rsidR="00BD71B3" w:rsidRDefault="004D6256" w:rsidP="00904E6C">
      <w:pPr>
        <w:numPr>
          <w:ilvl w:val="0"/>
          <w:numId w:val="343"/>
        </w:numPr>
        <w:tabs>
          <w:tab w:val="num" w:pos="567"/>
        </w:tabs>
        <w:overflowPunct w:val="0"/>
        <w:autoSpaceDE w:val="0"/>
        <w:autoSpaceDN w:val="0"/>
        <w:adjustRightInd w:val="0"/>
        <w:spacing w:after="0" w:line="240" w:lineRule="auto"/>
        <w:ind w:left="567" w:hanging="425"/>
        <w:jc w:val="both"/>
        <w:rPr>
          <w:rFonts w:ascii="Times New Roman" w:hAnsi="Times New Roman" w:cs="Times New Roman"/>
          <w:color w:val="000000" w:themeColor="text1"/>
        </w:rPr>
      </w:pPr>
      <w:r w:rsidRPr="001667DB">
        <w:rPr>
          <w:rFonts w:ascii="Times New Roman" w:hAnsi="Times New Roman" w:cs="Times New Roman"/>
          <w:color w:val="000000" w:themeColor="text1"/>
        </w:rPr>
        <w:t>Stałe odblaskowe znaki drogowe i urządzenia bezpieczeństwa ruchu drogowego. Zalecenia IBDiM do udzielania aprobat technicznych nr Z/2005-03-009</w:t>
      </w:r>
    </w:p>
    <w:p w14:paraId="433C6E84" w14:textId="77777777" w:rsidR="006912BD" w:rsidRDefault="00BD71B3" w:rsidP="006912BD">
      <w:pPr>
        <w:rPr>
          <w:rFonts w:ascii="Times New Roman" w:hAnsi="Times New Roman" w:cs="Times New Roman"/>
          <w:color w:val="000000" w:themeColor="text1"/>
        </w:rPr>
      </w:pPr>
      <w:r>
        <w:rPr>
          <w:rFonts w:ascii="Times New Roman" w:hAnsi="Times New Roman" w:cs="Times New Roman"/>
          <w:color w:val="000000" w:themeColor="text1"/>
        </w:rPr>
        <w:br w:type="page"/>
      </w:r>
    </w:p>
    <w:p w14:paraId="00688A9C" w14:textId="77777777" w:rsidR="0084667E" w:rsidRPr="0084667E" w:rsidRDefault="0084667E" w:rsidP="0084667E">
      <w:pPr>
        <w:rPr>
          <w:rFonts w:ascii="Times New Roman" w:hAnsi="Times New Roman" w:cs="Times New Roman"/>
          <w:b/>
          <w:color w:val="000000" w:themeColor="text1"/>
        </w:rPr>
      </w:pPr>
      <w:r w:rsidRPr="0084667E">
        <w:rPr>
          <w:rFonts w:ascii="Times New Roman" w:hAnsi="Times New Roman" w:cs="Times New Roman"/>
          <w:b/>
          <w:color w:val="000000" w:themeColor="text1"/>
        </w:rPr>
        <w:lastRenderedPageBreak/>
        <w:t>D - 07.06.01</w:t>
      </w:r>
      <w:r w:rsidRPr="0084667E">
        <w:rPr>
          <w:rFonts w:ascii="Times New Roman" w:hAnsi="Times New Roman" w:cs="Times New Roman"/>
          <w:b/>
          <w:color w:val="000000" w:themeColor="text1"/>
        </w:rPr>
        <w:tab/>
      </w:r>
      <w:r w:rsidRPr="0084667E">
        <w:rPr>
          <w:rFonts w:ascii="Times New Roman" w:hAnsi="Times New Roman" w:cs="Times New Roman"/>
          <w:b/>
          <w:color w:val="000000" w:themeColor="text1"/>
        </w:rPr>
        <w:tab/>
        <w:t>OGRODZENIA DRÓG</w:t>
      </w:r>
    </w:p>
    <w:p w14:paraId="459A2F2E" w14:textId="77777777" w:rsidR="0084667E" w:rsidRPr="0084667E" w:rsidRDefault="0084667E" w:rsidP="0084667E">
      <w:pPr>
        <w:rPr>
          <w:rFonts w:ascii="Times New Roman" w:hAnsi="Times New Roman" w:cs="Times New Roman"/>
          <w:b/>
          <w:color w:val="000000" w:themeColor="text1"/>
        </w:rPr>
      </w:pPr>
    </w:p>
    <w:p w14:paraId="4710CD81" w14:textId="77777777" w:rsidR="0084667E" w:rsidRPr="0084667E" w:rsidRDefault="0084667E" w:rsidP="00904E6C">
      <w:pPr>
        <w:numPr>
          <w:ilvl w:val="0"/>
          <w:numId w:val="426"/>
        </w:numPr>
        <w:rPr>
          <w:rFonts w:ascii="Times New Roman" w:hAnsi="Times New Roman" w:cs="Times New Roman"/>
          <w:b/>
          <w:color w:val="000000" w:themeColor="text1"/>
          <w:lang w:val="en-GB"/>
        </w:rPr>
      </w:pPr>
      <w:bookmarkStart w:id="859" w:name="_Toc421594979"/>
      <w:bookmarkStart w:id="860" w:name="_Toc507909779"/>
      <w:bookmarkStart w:id="861" w:name="_Toc507909886"/>
      <w:r w:rsidRPr="0084667E">
        <w:rPr>
          <w:rFonts w:ascii="Times New Roman" w:hAnsi="Times New Roman" w:cs="Times New Roman"/>
          <w:b/>
          <w:color w:val="000000" w:themeColor="text1"/>
          <w:lang w:val="en-GB"/>
        </w:rPr>
        <w:t>WSTĘP</w:t>
      </w:r>
      <w:bookmarkEnd w:id="859"/>
      <w:bookmarkEnd w:id="860"/>
      <w:bookmarkEnd w:id="861"/>
    </w:p>
    <w:p w14:paraId="6AA8B543" w14:textId="77777777" w:rsidR="0084667E" w:rsidRPr="0084667E" w:rsidRDefault="0084667E" w:rsidP="0084667E">
      <w:pPr>
        <w:rPr>
          <w:rFonts w:ascii="Times New Roman" w:hAnsi="Times New Roman" w:cs="Times New Roman"/>
          <w:b/>
          <w:color w:val="000000" w:themeColor="text1"/>
          <w:lang w:val="en-GB"/>
        </w:rPr>
      </w:pPr>
    </w:p>
    <w:p w14:paraId="653EBEA7" w14:textId="77777777" w:rsidR="0084667E" w:rsidRPr="0084667E" w:rsidRDefault="0084667E" w:rsidP="00904E6C">
      <w:pPr>
        <w:numPr>
          <w:ilvl w:val="1"/>
          <w:numId w:val="426"/>
        </w:num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Przedmiot ST</w:t>
      </w:r>
    </w:p>
    <w:p w14:paraId="3324FB6A" w14:textId="77777777" w:rsidR="0084667E" w:rsidRPr="0084667E" w:rsidRDefault="001E32C9" w:rsidP="001E32C9">
      <w:pPr>
        <w:ind w:firstLine="708"/>
        <w:jc w:val="both"/>
        <w:rPr>
          <w:rFonts w:ascii="Times New Roman" w:hAnsi="Times New Roman" w:cs="Times New Roman"/>
          <w:color w:val="000000" w:themeColor="text1"/>
        </w:rPr>
      </w:pPr>
      <w:r w:rsidRPr="001E32C9">
        <w:rPr>
          <w:rFonts w:ascii="Times New Roman" w:hAnsi="Times New Roman" w:cs="Times New Roman"/>
          <w:color w:val="000000" w:themeColor="text1"/>
        </w:rPr>
        <w:t xml:space="preserve">Przedmiotem niniejszej specyfikacji technicznej (ST) są </w:t>
      </w:r>
      <w:r>
        <w:rPr>
          <w:rFonts w:ascii="Times New Roman" w:hAnsi="Times New Roman" w:cs="Times New Roman"/>
          <w:color w:val="000000" w:themeColor="text1"/>
        </w:rPr>
        <w:t>wymagania dotyczące wykonania i </w:t>
      </w:r>
      <w:r w:rsidRPr="001E32C9">
        <w:rPr>
          <w:rFonts w:ascii="Times New Roman" w:hAnsi="Times New Roman" w:cs="Times New Roman"/>
          <w:color w:val="000000" w:themeColor="text1"/>
        </w:rPr>
        <w:t xml:space="preserve">odbioru oznakowania pionowego w związku z </w:t>
      </w:r>
      <w:r w:rsidRPr="001E32C9">
        <w:rPr>
          <w:rFonts w:ascii="Times New Roman" w:hAnsi="Times New Roman" w:cs="Times New Roman"/>
          <w:b/>
          <w:color w:val="000000" w:themeColor="text1"/>
        </w:rPr>
        <w:t>„Rozbudowa drogi wojewódzkiej nr 461 w m. Dąbrówka Łubniańska i Łubniany” – Etap I ( km od 9+741,88 do 10+371,13)</w:t>
      </w:r>
    </w:p>
    <w:p w14:paraId="2CCDD6D1" w14:textId="77777777" w:rsidR="0084667E" w:rsidRPr="0084667E" w:rsidRDefault="0084667E" w:rsidP="00904E6C">
      <w:pPr>
        <w:numPr>
          <w:ilvl w:val="1"/>
          <w:numId w:val="426"/>
        </w:num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Zakres stosowania ST</w:t>
      </w:r>
    </w:p>
    <w:p w14:paraId="6FB6EA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Specyfikacje Techniczne stanowią część Dokumentów Przetargowych i Kontraktowych i należy je stosowa</w:t>
      </w:r>
      <w:r w:rsidRPr="0084667E">
        <w:rPr>
          <w:rFonts w:ascii="Times New Roman" w:hAnsi="Times New Roman" w:cs="Times New Roman"/>
          <w:color w:val="000000" w:themeColor="text1"/>
        </w:rPr>
        <w:sym w:font="Times New Roman" w:char="0107"/>
      </w:r>
      <w:r w:rsidRPr="0084667E">
        <w:rPr>
          <w:rFonts w:ascii="Times New Roman" w:hAnsi="Times New Roman" w:cs="Times New Roman"/>
          <w:color w:val="000000" w:themeColor="text1"/>
        </w:rPr>
        <w:t xml:space="preserve"> w zlecaniu i wykonaniu robót opisanych w podpunkcie 1.1.</w:t>
      </w:r>
    </w:p>
    <w:p w14:paraId="574CB4B6" w14:textId="77777777" w:rsidR="0084667E" w:rsidRPr="0084667E" w:rsidRDefault="0084667E" w:rsidP="0084667E">
      <w:pPr>
        <w:rPr>
          <w:rFonts w:ascii="Times New Roman" w:hAnsi="Times New Roman" w:cs="Times New Roman"/>
          <w:color w:val="000000" w:themeColor="text1"/>
        </w:rPr>
      </w:pPr>
    </w:p>
    <w:p w14:paraId="34BD84DB" w14:textId="77777777" w:rsidR="0084667E" w:rsidRPr="0084667E" w:rsidRDefault="0084667E" w:rsidP="0084667E">
      <w:pPr>
        <w:rPr>
          <w:rFonts w:ascii="Times New Roman" w:hAnsi="Times New Roman" w:cs="Times New Roman"/>
          <w:b/>
          <w:color w:val="000000" w:themeColor="text1"/>
        </w:rPr>
      </w:pPr>
      <w:r w:rsidRPr="0084667E">
        <w:rPr>
          <w:rFonts w:ascii="Times New Roman" w:hAnsi="Times New Roman" w:cs="Times New Roman"/>
          <w:b/>
          <w:color w:val="000000" w:themeColor="text1"/>
        </w:rPr>
        <w:t>1.3. Zakres robót objętych ST</w:t>
      </w:r>
    </w:p>
    <w:p w14:paraId="659E9E1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1.3.1. </w:t>
      </w:r>
      <w:r w:rsidRPr="0084667E">
        <w:rPr>
          <w:rFonts w:ascii="Times New Roman" w:hAnsi="Times New Roman" w:cs="Times New Roman"/>
          <w:color w:val="000000" w:themeColor="text1"/>
        </w:rPr>
        <w:t>Zakres stosowania ogrodzeń dróg</w:t>
      </w:r>
    </w:p>
    <w:p w14:paraId="1124FFEE" w14:textId="77777777" w:rsidR="0084667E" w:rsidRPr="0084667E" w:rsidRDefault="0084667E" w:rsidP="0084667E">
      <w:pPr>
        <w:rPr>
          <w:rFonts w:ascii="Times New Roman" w:hAnsi="Times New Roman" w:cs="Times New Roman"/>
          <w:b/>
          <w:color w:val="000000" w:themeColor="text1"/>
        </w:rPr>
      </w:pPr>
      <w:r w:rsidRPr="0084667E">
        <w:rPr>
          <w:rFonts w:ascii="Times New Roman" w:hAnsi="Times New Roman" w:cs="Times New Roman"/>
          <w:color w:val="000000" w:themeColor="text1"/>
        </w:rPr>
        <w:tab/>
        <w:t>Zakres robót obejmuje</w:t>
      </w:r>
      <w:r w:rsidRPr="0084667E">
        <w:rPr>
          <w:rFonts w:ascii="Times New Roman" w:hAnsi="Times New Roman" w:cs="Times New Roman"/>
          <w:b/>
          <w:color w:val="000000" w:themeColor="text1"/>
        </w:rPr>
        <w:t>:</w:t>
      </w:r>
    </w:p>
    <w:p w14:paraId="537AF9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 wykonanie ogrodzenia </w:t>
      </w:r>
      <w:r w:rsidR="001E32C9">
        <w:rPr>
          <w:rFonts w:ascii="Times New Roman" w:hAnsi="Times New Roman" w:cs="Times New Roman"/>
          <w:color w:val="000000" w:themeColor="text1"/>
        </w:rPr>
        <w:t>metalowego, panelowego</w:t>
      </w:r>
      <w:r w:rsidRPr="0084667E">
        <w:rPr>
          <w:rFonts w:ascii="Times New Roman" w:hAnsi="Times New Roman" w:cs="Times New Roman"/>
          <w:color w:val="000000" w:themeColor="text1"/>
        </w:rPr>
        <w:t xml:space="preserve"> o wysokości 2.00m – ogrodzenie przepompowni,</w:t>
      </w:r>
    </w:p>
    <w:p w14:paraId="2FCEB52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wykonanie bramy wjazdowo-wejściowej.</w:t>
      </w:r>
    </w:p>
    <w:p w14:paraId="28082DB3" w14:textId="77777777" w:rsidR="0084667E" w:rsidRPr="0084667E" w:rsidRDefault="0084667E" w:rsidP="0084667E">
      <w:pPr>
        <w:rPr>
          <w:rFonts w:ascii="Times New Roman" w:hAnsi="Times New Roman" w:cs="Times New Roman"/>
          <w:color w:val="000000" w:themeColor="text1"/>
        </w:rPr>
      </w:pPr>
    </w:p>
    <w:p w14:paraId="5CCDFD0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1.4. Określenia podstawowe</w:t>
      </w:r>
    </w:p>
    <w:p w14:paraId="6570B69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1.4.1. </w:t>
      </w:r>
      <w:r w:rsidRPr="0084667E">
        <w:rPr>
          <w:rFonts w:ascii="Times New Roman" w:hAnsi="Times New Roman" w:cs="Times New Roman"/>
          <w:color w:val="000000" w:themeColor="text1"/>
        </w:rPr>
        <w:t>Ogrodzenie drogowe - przegroda fizyczna, chroniąca przed przedostawaniem się na jezdnię niepożądanych intruzów spoza pasa drogowego, tj. ludzi, zwierząt i pojazdów, mogących niebezpiecznie zakłócić ruch na drodze.</w:t>
      </w:r>
    </w:p>
    <w:p w14:paraId="30193F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1.4.2. </w:t>
      </w:r>
      <w:r w:rsidRPr="0084667E">
        <w:rPr>
          <w:rFonts w:ascii="Times New Roman" w:hAnsi="Times New Roman" w:cs="Times New Roman"/>
          <w:color w:val="000000" w:themeColor="text1"/>
        </w:rPr>
        <w:t>Siatka metalowa - siatka wykonana z drutu o różnym sposobie jego splotu (płóciennym, skośnym), pleciona z płaskich i okrągłych spirali, zgrzewana, skręcana oraz kombinowana (harfowa, pętlowa, półpętlowa), o różnych wielkościach oczek.</w:t>
      </w:r>
    </w:p>
    <w:p w14:paraId="5395D10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1.4.3. </w:t>
      </w:r>
      <w:r w:rsidRPr="0084667E">
        <w:rPr>
          <w:rFonts w:ascii="Times New Roman" w:hAnsi="Times New Roman" w:cs="Times New Roman"/>
          <w:color w:val="000000" w:themeColor="text1"/>
        </w:rPr>
        <w:t>Siatka pleciona ślimakowa - siatka o oczkach kwadratowych, pleciona z płaskich spiral wykonanych z drutu okrągłego.</w:t>
      </w:r>
    </w:p>
    <w:p w14:paraId="3580256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1.4.4. </w:t>
      </w:r>
      <w:r w:rsidRPr="0084667E">
        <w:rPr>
          <w:rFonts w:ascii="Times New Roman" w:hAnsi="Times New Roman" w:cs="Times New Roman"/>
          <w:color w:val="000000" w:themeColor="text1"/>
        </w:rPr>
        <w:t>Siatka bezwęzełkowa z polietylenu - siatka z krzyżujących się nitek tworzących oczka zbliżone kształtem do rombu, wykonanych z polietylenu z dodatkiem koncentratów barwnych.</w:t>
      </w:r>
    </w:p>
    <w:p w14:paraId="102794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1.4.5. </w:t>
      </w:r>
      <w:r w:rsidRPr="0084667E">
        <w:rPr>
          <w:rFonts w:ascii="Times New Roman" w:hAnsi="Times New Roman" w:cs="Times New Roman"/>
          <w:color w:val="000000" w:themeColor="text1"/>
        </w:rPr>
        <w:t>Ogrodzenie z prefabrykatów żelbetowych - elementy żelbetowe słupów i desek pełnych oraz ażurowych umożliwiające budowę ogrodzeń o różnej wysokości.</w:t>
      </w:r>
    </w:p>
    <w:p w14:paraId="597B68B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1.4.6. </w:t>
      </w:r>
      <w:r w:rsidRPr="0084667E">
        <w:rPr>
          <w:rFonts w:ascii="Times New Roman" w:hAnsi="Times New Roman" w:cs="Times New Roman"/>
          <w:color w:val="000000" w:themeColor="text1"/>
        </w:rPr>
        <w:t>Drut kolczasty - żyła skręcona z dwóch drutów ocynkowanych, na której znajdują się w stałych odstępach nie przesuwające się kolki.</w:t>
      </w:r>
    </w:p>
    <w:p w14:paraId="6E6C75B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1.4.7. </w:t>
      </w:r>
      <w:r w:rsidRPr="0084667E">
        <w:rPr>
          <w:rFonts w:ascii="Times New Roman" w:hAnsi="Times New Roman" w:cs="Times New Roman"/>
          <w:color w:val="000000" w:themeColor="text1"/>
        </w:rPr>
        <w:t>Stalowa linka usztywniająca - równomiernie skręcone splotki z drutu okrągłego tworzące linę stalową.</w:t>
      </w:r>
    </w:p>
    <w:p w14:paraId="51EBD8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1.4.8. </w:t>
      </w:r>
      <w:r w:rsidRPr="0084667E">
        <w:rPr>
          <w:rFonts w:ascii="Times New Roman" w:hAnsi="Times New Roman" w:cs="Times New Roman"/>
          <w:color w:val="000000" w:themeColor="text1"/>
        </w:rPr>
        <w:t xml:space="preserve">Droga technologiczna - pas terenu, położony między krawędzią nasypu lub wykopu a ogrodzeniem drogi, pozwalający na mechaniczną obsługę skarp i urządzeń drogowych. Szerokość </w:t>
      </w:r>
      <w:r w:rsidRPr="0084667E">
        <w:rPr>
          <w:rFonts w:ascii="Times New Roman" w:hAnsi="Times New Roman" w:cs="Times New Roman"/>
          <w:color w:val="000000" w:themeColor="text1"/>
        </w:rPr>
        <w:lastRenderedPageBreak/>
        <w:t>drogi technologicznej zwykle wynosi 3 m, a jej geometria pozioma i pionowa powinna zapewnić poruszanie się sprzętu utrzymaniowego z prędkością 10 km/h, przy największym pochyleniu stoku do 15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w:t>
      </w:r>
    </w:p>
    <w:p w14:paraId="5FECC20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1.4.9. </w:t>
      </w:r>
      <w:r w:rsidRPr="0084667E">
        <w:rPr>
          <w:rFonts w:ascii="Times New Roman" w:hAnsi="Times New Roman" w:cs="Times New Roman"/>
          <w:color w:val="000000" w:themeColor="text1"/>
        </w:rPr>
        <w:t>Wysokość ogrodzenia - odległość między poziomem terenu a najwyższym punktem ogrodzenia. W przypadku lokalizacji ogrodzenia na stoku, wysokość tę określa się w odległości 0,5 m od osi ogrodzenia, w kierunku od drogi (jak na szkicu: h</w:t>
      </w:r>
      <w:r w:rsidRPr="0084667E">
        <w:rPr>
          <w:rFonts w:ascii="Times New Roman" w:hAnsi="Times New Roman" w:cs="Times New Roman"/>
          <w:color w:val="000000" w:themeColor="text1"/>
          <w:vertAlign w:val="subscript"/>
        </w:rPr>
        <w:t>min</w:t>
      </w:r>
      <w:r w:rsidRPr="0084667E">
        <w:rPr>
          <w:rFonts w:ascii="Times New Roman" w:hAnsi="Times New Roman" w:cs="Times New Roman"/>
          <w:color w:val="000000" w:themeColor="text1"/>
        </w:rPr>
        <w:t>).</w:t>
      </w:r>
    </w:p>
    <w:p w14:paraId="18DD460A" w14:textId="77777777" w:rsidR="0084667E" w:rsidRPr="0084667E" w:rsidRDefault="0084667E" w:rsidP="0084667E">
      <w:pPr>
        <w:rPr>
          <w:rFonts w:ascii="Times New Roman" w:hAnsi="Times New Roman" w:cs="Times New Roman"/>
          <w:color w:val="000000" w:themeColor="text1"/>
        </w:rPr>
      </w:pPr>
    </w:p>
    <w:p w14:paraId="7BD4B4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693056" behindDoc="0" locked="0" layoutInCell="1" allowOverlap="0" wp14:anchorId="04D8E255" wp14:editId="12DC0934">
            <wp:simplePos x="0" y="0"/>
            <wp:positionH relativeFrom="column">
              <wp:align>center</wp:align>
            </wp:positionH>
            <wp:positionV relativeFrom="paragraph">
              <wp:align>top</wp:align>
            </wp:positionV>
            <wp:extent cx="3743325" cy="2619375"/>
            <wp:effectExtent l="0" t="0" r="9525" b="9525"/>
            <wp:wrapTopAndBottom/>
            <wp:docPr id="56424" name="Obraz 5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43325" cy="2619375"/>
                    </a:xfrm>
                    <a:prstGeom prst="rect">
                      <a:avLst/>
                    </a:prstGeom>
                    <a:noFill/>
                  </pic:spPr>
                </pic:pic>
              </a:graphicData>
            </a:graphic>
            <wp14:sizeRelH relativeFrom="page">
              <wp14:pctWidth>0</wp14:pctWidth>
            </wp14:sizeRelH>
            <wp14:sizeRelV relativeFrom="page">
              <wp14:pctHeight>0</wp14:pctHeight>
            </wp14:sizeRelV>
          </wp:anchor>
        </w:drawing>
      </w:r>
    </w:p>
    <w:p w14:paraId="2A2C5E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1.4.10. </w:t>
      </w:r>
      <w:r w:rsidRPr="0084667E">
        <w:rPr>
          <w:rFonts w:ascii="Times New Roman" w:hAnsi="Times New Roman" w:cs="Times New Roman"/>
          <w:color w:val="000000" w:themeColor="text1"/>
        </w:rPr>
        <w:t xml:space="preserve">Pozostałe określenia podstawowe są zgodne z obowiązującymi, odpowiednimi polskimi normami i z definicjami podanymi w ST D-00.00.00 „Wymagania ogólne” pkt 1.4. </w:t>
      </w:r>
    </w:p>
    <w:p w14:paraId="0339EB26" w14:textId="77777777" w:rsidR="0084667E" w:rsidRPr="0084667E" w:rsidRDefault="0084667E" w:rsidP="0084667E">
      <w:pPr>
        <w:rPr>
          <w:rFonts w:ascii="Times New Roman" w:hAnsi="Times New Roman" w:cs="Times New Roman"/>
          <w:color w:val="000000" w:themeColor="text1"/>
        </w:rPr>
      </w:pPr>
    </w:p>
    <w:p w14:paraId="5FFEB66B"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1.5. Ogólne wymagania dotyczące robót</w:t>
      </w:r>
    </w:p>
    <w:p w14:paraId="49A907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1.5.1. </w:t>
      </w:r>
      <w:r w:rsidRPr="0084667E">
        <w:rPr>
          <w:rFonts w:ascii="Times New Roman" w:hAnsi="Times New Roman" w:cs="Times New Roman"/>
          <w:color w:val="000000" w:themeColor="text1"/>
        </w:rPr>
        <w:t>Przepisy ogólne</w:t>
      </w:r>
    </w:p>
    <w:p w14:paraId="749B62A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wymagania dotyczące robót podano w ST D-00.00.00 „Wymagania ogólne” pkt 1.5.</w:t>
      </w:r>
    </w:p>
    <w:p w14:paraId="0823D3C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1.5.2. </w:t>
      </w:r>
      <w:r w:rsidRPr="0084667E">
        <w:rPr>
          <w:rFonts w:ascii="Times New Roman" w:hAnsi="Times New Roman" w:cs="Times New Roman"/>
          <w:color w:val="000000" w:themeColor="text1"/>
        </w:rPr>
        <w:t>Ogólne zasady wykonywania ogrodzeń</w:t>
      </w:r>
    </w:p>
    <w:p w14:paraId="6180DEC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Ogrodzenia drogi należy wykonać zgodnie z dokumentacją projektową lub ST.</w:t>
      </w:r>
    </w:p>
    <w:p w14:paraId="27F01F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w dokumentacji projektowej nie podano ustaleń dotyczących wykonania ogrodzenia lub pewnych jego elementów, to ogrodzenie powinno spełniać następujące warunki:</w:t>
      </w:r>
    </w:p>
    <w:p w14:paraId="4206F0C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w zakresie lokalizacji ogrodzenia</w:t>
      </w:r>
    </w:p>
    <w:p w14:paraId="1F4F653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Ogrodzenie należy zlokalizować w pasie szerokości 0,75 m, licząc od granicy pasa drogowego do wewnątrz tego pasa. Jeśli w granicach pasa drogowego znajdują się ogólnodostępne drogi zbiorcze, ogrodzenie powinno być zlokalizowane pomiędzy drogą główną a drogą zbiorczą. Ogrodzenie może tworzyć linię prostą w stosunku do granicy pasa drogowego.</w:t>
      </w:r>
    </w:p>
    <w:p w14:paraId="43EB034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Ogrodzenie powinno stanowić szczelną barierę na całej długości drogi, z tym, że musi znajdować się zawsze poza wymaganym polem widoczności z drogi.</w:t>
      </w:r>
    </w:p>
    <w:p w14:paraId="29E90D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3. Lokalizacja ogrodzenia powinna uwzględniać obowiązujące przepisy budowlane oraz potrzeby służby utrzymaniowej drogi, umożliwiając m.in. mechaniczną obsługę skarp i urządzeń drogowych (dotyczy ew. pozostawienia pasa terenu na drogę technologiczną).</w:t>
      </w:r>
    </w:p>
    <w:p w14:paraId="6CA7E67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Najmniejsza odległość ogrodzenia od krawędzi nasypu, przeciwskarpy rowu lub wykopu i innych urządzeń towarzyszących drodze, powinna wynosić co najmniej 0,75 m. Spełnienie tego warunku może wymagać odpowiedniego poszerzenia pasa drogowego.</w:t>
      </w:r>
    </w:p>
    <w:p w14:paraId="004195D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 Jeśli ogrodzenie stosuje się tylko na części drogi, tj. na odcinkach, na które mogą przedostawać się ludzie i zwierzęta, to należy je przedłużyć poza tereny stanowiące bezpośrednie zagrożenie o 500 m dla terenów leśnych i o 200 m dla terenów rolnych i zabudowań.</w:t>
      </w:r>
    </w:p>
    <w:p w14:paraId="6F1EF3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w zakresie wysokości ogrodzenia</w:t>
      </w:r>
    </w:p>
    <w:p w14:paraId="1181F27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Podstawowa wysokość ogrodzenia wynosi 1,50 m. Wysokość tę przyjmuje się także na terenach występowania drobnej zwierzyny oraz zwierząt domowych i saren.</w:t>
      </w:r>
    </w:p>
    <w:p w14:paraId="413ECB9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Na terenach występowania jeleni i danieli wysokość ogrodzenia przyjmuje się 2,25 m.</w:t>
      </w:r>
    </w:p>
    <w:p w14:paraId="21163B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Na obszarach sezonowej migracji zwierząt dzikich o znacznej skoczności wysokość ogrodzenia przyjmuje się 2,75 m, z tym, że górny odcinek ogrodzenia długości 0,50 m jest zagięty w stronę obszaru, na którym przebywają zwierzęta (przykład podano w załączniku 11.1, pkt 11.1.6.b).</w:t>
      </w:r>
    </w:p>
    <w:p w14:paraId="6D01D5C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w zakresie szczelności ogrodzenia</w:t>
      </w:r>
    </w:p>
    <w:p w14:paraId="7A743CF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Ogrodzenie powinno stanowić szczelną przeszkodę dla wszystkich gatunków zwierząt występujących w danym rejonie. W tym celu wielkość oczek ogrodzenia powinna być taka, aby uniemożliwiała przedostawanie się zwierząt na drogę (np. min. 5 cm - według przykładów na rysunkach).</w:t>
      </w:r>
    </w:p>
    <w:p w14:paraId="5853B6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Ogrodzenie powinno dokładnie przylegać do terenu. Spód ogrodzenia nie powinien być położony wyżej niż 5 cm nad terenem.</w:t>
      </w:r>
    </w:p>
    <w:p w14:paraId="1E97010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Ogrodzenie przechodzące nad rowem powinno być tak rozwiązane, żeby pod nim nie mogły przedostawać się dzieci lub zwierzęta (można to wykonać np. zakładając kilka drutów kolczastych lub uchylną klapę z siatki, względnie przedłużając przepust poza ogrodzenie. Przykłady podano w załączniku 11.1, pkt 11.1.7).</w:t>
      </w:r>
    </w:p>
    <w:p w14:paraId="220F27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W przypadkach wyjątkowych, gdy nie ma możliwości zlokalizowania ogrodzenia według zasady podanej w punkcie 1.5.2 a) 4 (tj. w odległości 0,75 m od krawędzi nasypu lub wykopu) i ogrodzenie musi być zlokalizowane na stoku, to należy wykonać rów skarpowy, od strony dopływu wody, który zapobiega powstawaniu erozji gruntu pod ogrodzeniem. Należy zapewnić odprowadzenie wody z rowu stokowego w sposób zgodny z zasadami hydrologii.</w:t>
      </w:r>
    </w:p>
    <w:p w14:paraId="3A5D29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 w zakresie dostępności do drogi przez bramy i furtki</w:t>
      </w:r>
    </w:p>
    <w:p w14:paraId="22FBDE0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Bramy i furtki w ogrodzeniu należy wykonywać w miejscach potrzebnych do korzystania przez:</w:t>
      </w:r>
    </w:p>
    <w:p w14:paraId="3382001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służbę utrzymania drogi,</w:t>
      </w:r>
    </w:p>
    <w:p w14:paraId="1D499599"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personel obsługi linii telekomunikacyjnych, energetycznych, rurowych itp. przecinających drogę, których elementy, jak słupy lub studzienki, znajdują się na pasie drogowym,</w:t>
      </w:r>
    </w:p>
    <w:p w14:paraId="2AFCC701"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inne uprawnione osoby, np. personel zatrudniony w miejscach obsługi podróżnych,</w:t>
      </w:r>
    </w:p>
    <w:p w14:paraId="3E6B4296"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użytkowników drogi (wyjścia awaryjne).</w:t>
      </w:r>
    </w:p>
    <w:p w14:paraId="33E64A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2. Bramy i furtki powinny odpowiadać typem i konstrukcją rodzajowi ogrodzenia zastosowanego wzdłuż drogi (przykład bramy i furtki z siatki podano w załączniku 11.1, pkt 11.1.5).</w:t>
      </w:r>
    </w:p>
    <w:p w14:paraId="24C26B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Materiały na bramy i furtki powinny spełniać wymagania przewidziane dla elementów ogrodzenia.</w:t>
      </w:r>
    </w:p>
    <w:p w14:paraId="519A4C4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e) w zakresie trwałości ogrodzenia</w:t>
      </w:r>
    </w:p>
    <w:p w14:paraId="276DE0B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Ogrodzenia powinny zachowywać trwałość co najmniej przez 15 lat. W związku z tym metalowe elementy ogrodzenia powinny być zabezpieczone antykorozyjnie przez powłoki cynkowe lub inne powłoki zaakceptowane przez Inżyniera.</w:t>
      </w:r>
    </w:p>
    <w:p w14:paraId="3D52B5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Samodzielnie pracujące sekcje ogrodzenia powinny stanowić odcinki nie dłuższe jak 150 m, z tym, że na terenach występowania zwierzyny zaleca się, aby długość sekcji wynosiła około 50 m. Granicę sekcji powinny stanowić słupki wzmocnione skośnymi podporami w płaszczyźnie pracy ogrodzenia.</w:t>
      </w:r>
    </w:p>
    <w:p w14:paraId="29194E9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Należy zapewnić rozwiązania utrudniające osłabienie konstrukcji ogrodzenia. Na przykład na terenach hodowlanych i wypasu zwierząt domowych zaleca się wykonywanie na ogrodzeniu linek z drutu kolczastego, zapobiegających ocieraniu się zwierząt o ogrodzenie (przykład podano w załączniku 11.1, pkt 11.1.6.a).</w:t>
      </w:r>
    </w:p>
    <w:p w14:paraId="4AE7B68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Ogrodzenie powinno być łatwo wymienialne w celu ułatwienia naprawy uszkodzeń lub potrzeby demontażu na przewidywanych przejazdach awaryjnych.</w:t>
      </w:r>
    </w:p>
    <w:p w14:paraId="3651B561" w14:textId="77777777" w:rsidR="0084667E" w:rsidRPr="0084667E" w:rsidRDefault="0084667E" w:rsidP="0084667E">
      <w:pPr>
        <w:rPr>
          <w:rFonts w:ascii="Times New Roman" w:hAnsi="Times New Roman" w:cs="Times New Roman"/>
          <w:color w:val="000000" w:themeColor="text1"/>
        </w:rPr>
      </w:pPr>
    </w:p>
    <w:p w14:paraId="77A81264" w14:textId="77777777" w:rsidR="0084667E" w:rsidRPr="00DF0205" w:rsidRDefault="0084667E" w:rsidP="0084667E">
      <w:pPr>
        <w:rPr>
          <w:rFonts w:ascii="Times New Roman" w:hAnsi="Times New Roman" w:cs="Times New Roman"/>
          <w:b/>
          <w:smallCaps/>
          <w:color w:val="000000" w:themeColor="text1"/>
        </w:rPr>
      </w:pPr>
      <w:r w:rsidRPr="00DF0205">
        <w:rPr>
          <w:rFonts w:ascii="Times New Roman" w:hAnsi="Times New Roman" w:cs="Times New Roman"/>
          <w:b/>
          <w:smallCaps/>
          <w:color w:val="000000" w:themeColor="text1"/>
        </w:rPr>
        <w:t>2. materiały</w:t>
      </w:r>
    </w:p>
    <w:p w14:paraId="05D6837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2.1. Ogólne wymagania dotyczące materiałów</w:t>
      </w:r>
    </w:p>
    <w:p w14:paraId="117E068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wymagania dotyczące materiałów, ich pozyskiwania i składowania, podano w ST D-00.00.00 „Wymagania ogólne” pkt 2.</w:t>
      </w:r>
    </w:p>
    <w:p w14:paraId="2ACD5FE1" w14:textId="77777777" w:rsidR="0084667E" w:rsidRPr="0084667E" w:rsidRDefault="0084667E" w:rsidP="0084667E">
      <w:pPr>
        <w:rPr>
          <w:rFonts w:ascii="Times New Roman" w:hAnsi="Times New Roman" w:cs="Times New Roman"/>
          <w:color w:val="000000" w:themeColor="text1"/>
        </w:rPr>
      </w:pPr>
    </w:p>
    <w:p w14:paraId="23E417BA"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2.2. Rodzaje materiałów</w:t>
      </w:r>
    </w:p>
    <w:p w14:paraId="006EFE0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Materiałami stosowanymi przy wykonaniu ogrodzeń, objętych niniejszą OST, są:</w:t>
      </w:r>
    </w:p>
    <w:p w14:paraId="3D13587C"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siatki metalowe,</w:t>
      </w:r>
    </w:p>
    <w:p w14:paraId="2A366B0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siatki z tworzywa sztucznego,</w:t>
      </w:r>
    </w:p>
    <w:p w14:paraId="04B4087E"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liny stalowe,</w:t>
      </w:r>
    </w:p>
    <w:p w14:paraId="09B6784F"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słupki metalowe i elementy metalowe połączeniowe,</w:t>
      </w:r>
    </w:p>
    <w:p w14:paraId="38321A75"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słupki żelbetowe,</w:t>
      </w:r>
    </w:p>
    <w:p w14:paraId="752DD756"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prefabrykowane elementy ogrodzeń żelbetowych,</w:t>
      </w:r>
    </w:p>
    <w:p w14:paraId="7AAB0077"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fundamenty prefabrykowane pod słupki,</w:t>
      </w:r>
    </w:p>
    <w:p w14:paraId="0D3DC9BF"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materiały do wykonania fundamentów betonowych „na mokro”.</w:t>
      </w:r>
    </w:p>
    <w:p w14:paraId="16716940" w14:textId="77777777" w:rsidR="0084667E" w:rsidRPr="0084667E" w:rsidRDefault="0084667E" w:rsidP="0084667E">
      <w:pPr>
        <w:numPr>
          <w:ilvl w:val="0"/>
          <w:numId w:val="23"/>
        </w:numPr>
        <w:rPr>
          <w:rFonts w:ascii="Times New Roman" w:hAnsi="Times New Roman" w:cs="Times New Roman"/>
          <w:color w:val="000000" w:themeColor="text1"/>
        </w:rPr>
      </w:pPr>
    </w:p>
    <w:p w14:paraId="17DF6CF5"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2.3. Wymagania dla materiałów</w:t>
      </w:r>
    </w:p>
    <w:p w14:paraId="7163A90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2.3.1. </w:t>
      </w:r>
      <w:r w:rsidRPr="0084667E">
        <w:rPr>
          <w:rFonts w:ascii="Times New Roman" w:hAnsi="Times New Roman" w:cs="Times New Roman"/>
          <w:color w:val="000000" w:themeColor="text1"/>
        </w:rPr>
        <w:t>Siatki metalowe</w:t>
      </w:r>
    </w:p>
    <w:p w14:paraId="175849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2.3.1.1. Siatka pleciona ślimakowa</w:t>
      </w:r>
    </w:p>
    <w:p w14:paraId="311A22B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Siatka pleciona ślimakowa (przykład: załącznik 11.1, pkt 11.1.2.a) powinna odpowiadać wymaganiom określonym przez BN-83/5032-02 [40], podanym w tablicach 1 i 2.</w:t>
      </w:r>
    </w:p>
    <w:p w14:paraId="52B33AE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Długość dostarczanej przez producenta siatki, zwiniętej w rolkę, powinna wynosić od 10 do 25 m. Odchyłki długości nie powinny przekraczać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0,1 m dla wielkości 30 oraz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0,2 m dla siatek wielkości od 40 do 70.</w:t>
      </w:r>
    </w:p>
    <w:p w14:paraId="40E750A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Powierzchnia siatki powinna być gładka, bez załamań, wybrzuszeń i wgnieceń. Spirala powinna być wykonana z jednego odcinka drutu. Splecenie siatki powinno być przeprowadzone przez połączenie spirali wszystkimi zwojami. Końce spirali z obydwu stron powinny być równo obcięte w odległości co najmniej 30% wymiaru boku oczka.</w:t>
      </w:r>
    </w:p>
    <w:p w14:paraId="050E4BB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Siatki w rolkach należy przechowywać w pozycji pionowej w pomieszczeniach suchych, z dala od materiałów działających korodująco.</w:t>
      </w:r>
    </w:p>
    <w:p w14:paraId="107ABF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 w siatce powinien być okrągły, cynkowany, ze stali ST1 według PN-M-80026 [31]. Dopuszcza się pokrywanie drutu innymi powłokami, pod warunkiem zaakceptowania przez Inżyniera. Wytrzymałość drutu na rozciąganie powinna wynosić co najmniej 588 MPa (dopuszcza się wytrzymałość od 412 do 588 MPa pod warunkiem akceptacji przez Inżyniera.</w:t>
      </w:r>
    </w:p>
    <w:p w14:paraId="5011C1E1" w14:textId="77777777" w:rsidR="0084667E" w:rsidRPr="0084667E" w:rsidRDefault="0084667E" w:rsidP="0084667E">
      <w:pPr>
        <w:rPr>
          <w:rFonts w:ascii="Times New Roman" w:hAnsi="Times New Roman" w:cs="Times New Roman"/>
          <w:color w:val="000000" w:themeColor="text1"/>
        </w:rPr>
      </w:pPr>
    </w:p>
    <w:p w14:paraId="5447C4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 Wymiary oczek siatki, nominalna średnica drutu i masa siatki plecionej ślimakowej według BN-83/5032-02 [40]</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410"/>
        <w:gridCol w:w="1594"/>
        <w:gridCol w:w="1461"/>
        <w:gridCol w:w="1523"/>
        <w:gridCol w:w="1523"/>
      </w:tblGrid>
      <w:tr w:rsidR="0084667E" w:rsidRPr="0084667E" w14:paraId="0B94E5E2" w14:textId="77777777" w:rsidTr="0084667E">
        <w:tc>
          <w:tcPr>
            <w:tcW w:w="1410" w:type="dxa"/>
            <w:tcBorders>
              <w:top w:val="single" w:sz="6" w:space="0" w:color="auto"/>
              <w:left w:val="single" w:sz="6" w:space="0" w:color="auto"/>
              <w:bottom w:val="nil"/>
              <w:right w:val="single" w:sz="6" w:space="0" w:color="auto"/>
            </w:tcBorders>
            <w:noWrap/>
            <w:hideMark/>
          </w:tcPr>
          <w:p w14:paraId="6059CE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Wielkość</w:t>
            </w:r>
          </w:p>
        </w:tc>
        <w:tc>
          <w:tcPr>
            <w:tcW w:w="3055" w:type="dxa"/>
            <w:gridSpan w:val="2"/>
            <w:tcBorders>
              <w:top w:val="single" w:sz="6" w:space="0" w:color="auto"/>
              <w:left w:val="single" w:sz="6" w:space="0" w:color="auto"/>
              <w:bottom w:val="single" w:sz="6" w:space="0" w:color="auto"/>
              <w:right w:val="single" w:sz="6" w:space="0" w:color="auto"/>
            </w:tcBorders>
            <w:noWrap/>
            <w:hideMark/>
          </w:tcPr>
          <w:p w14:paraId="706326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Nominalny wymiar oczka</w:t>
            </w:r>
          </w:p>
        </w:tc>
        <w:tc>
          <w:tcPr>
            <w:tcW w:w="1523" w:type="dxa"/>
            <w:tcBorders>
              <w:top w:val="single" w:sz="6" w:space="0" w:color="auto"/>
              <w:left w:val="single" w:sz="6" w:space="0" w:color="auto"/>
              <w:bottom w:val="nil"/>
              <w:right w:val="single" w:sz="6" w:space="0" w:color="auto"/>
            </w:tcBorders>
            <w:noWrap/>
            <w:hideMark/>
          </w:tcPr>
          <w:p w14:paraId="26C8A0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Nominalna</w:t>
            </w:r>
          </w:p>
        </w:tc>
        <w:tc>
          <w:tcPr>
            <w:tcW w:w="1523" w:type="dxa"/>
            <w:tcBorders>
              <w:top w:val="single" w:sz="6" w:space="0" w:color="auto"/>
              <w:left w:val="single" w:sz="6" w:space="0" w:color="auto"/>
              <w:bottom w:val="nil"/>
              <w:right w:val="single" w:sz="6" w:space="0" w:color="auto"/>
            </w:tcBorders>
            <w:noWrap/>
            <w:hideMark/>
          </w:tcPr>
          <w:p w14:paraId="79D215A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Orientacyjna </w:t>
            </w:r>
          </w:p>
        </w:tc>
      </w:tr>
      <w:tr w:rsidR="0084667E" w:rsidRPr="0084667E" w14:paraId="0CF3D6F1" w14:textId="77777777" w:rsidTr="0084667E">
        <w:tc>
          <w:tcPr>
            <w:tcW w:w="1410" w:type="dxa"/>
            <w:tcBorders>
              <w:top w:val="nil"/>
              <w:left w:val="single" w:sz="6" w:space="0" w:color="auto"/>
              <w:bottom w:val="double" w:sz="6" w:space="0" w:color="auto"/>
              <w:right w:val="single" w:sz="6" w:space="0" w:color="auto"/>
            </w:tcBorders>
            <w:noWrap/>
            <w:hideMark/>
          </w:tcPr>
          <w:p w14:paraId="6A43D6A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siatki</w:t>
            </w:r>
          </w:p>
        </w:tc>
        <w:tc>
          <w:tcPr>
            <w:tcW w:w="1594" w:type="dxa"/>
            <w:tcBorders>
              <w:top w:val="single" w:sz="6" w:space="0" w:color="auto"/>
              <w:left w:val="single" w:sz="6" w:space="0" w:color="auto"/>
              <w:bottom w:val="double" w:sz="6" w:space="0" w:color="auto"/>
              <w:right w:val="single" w:sz="6" w:space="0" w:color="auto"/>
            </w:tcBorders>
            <w:noWrap/>
            <w:hideMark/>
          </w:tcPr>
          <w:p w14:paraId="478ED6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 boku oczka</w:t>
            </w:r>
          </w:p>
        </w:tc>
        <w:tc>
          <w:tcPr>
            <w:tcW w:w="1461" w:type="dxa"/>
            <w:tcBorders>
              <w:top w:val="single" w:sz="6" w:space="0" w:color="auto"/>
              <w:left w:val="single" w:sz="6" w:space="0" w:color="auto"/>
              <w:bottom w:val="double" w:sz="6" w:space="0" w:color="auto"/>
              <w:right w:val="single" w:sz="6" w:space="0" w:color="auto"/>
            </w:tcBorders>
            <w:noWrap/>
            <w:hideMark/>
          </w:tcPr>
          <w:p w14:paraId="4DD271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w:t>
            </w:r>
          </w:p>
          <w:p w14:paraId="1D639E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chyłki boku oczka</w:t>
            </w:r>
          </w:p>
        </w:tc>
        <w:tc>
          <w:tcPr>
            <w:tcW w:w="1523" w:type="dxa"/>
            <w:tcBorders>
              <w:top w:val="nil"/>
              <w:left w:val="single" w:sz="6" w:space="0" w:color="auto"/>
              <w:bottom w:val="double" w:sz="6" w:space="0" w:color="auto"/>
              <w:right w:val="single" w:sz="6" w:space="0" w:color="auto"/>
            </w:tcBorders>
            <w:noWrap/>
            <w:hideMark/>
          </w:tcPr>
          <w:p w14:paraId="11D12C6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średnica drutu mm</w:t>
            </w:r>
          </w:p>
        </w:tc>
        <w:tc>
          <w:tcPr>
            <w:tcW w:w="1523" w:type="dxa"/>
            <w:tcBorders>
              <w:top w:val="nil"/>
              <w:left w:val="single" w:sz="6" w:space="0" w:color="auto"/>
              <w:bottom w:val="double" w:sz="6" w:space="0" w:color="auto"/>
              <w:right w:val="single" w:sz="6" w:space="0" w:color="auto"/>
            </w:tcBorders>
            <w:noWrap/>
            <w:hideMark/>
          </w:tcPr>
          <w:p w14:paraId="20A1D2F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w:t>
            </w:r>
            <w:r w:rsidRPr="0084667E">
              <w:rPr>
                <w:rFonts w:ascii="Times New Roman" w:hAnsi="Times New Roman" w:cs="Times New Roman"/>
                <w:color w:val="000000" w:themeColor="text1"/>
                <w:vertAlign w:val="superscript"/>
              </w:rPr>
              <w:t>2</w:t>
            </w:r>
          </w:p>
          <w:p w14:paraId="7B2672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siatki kg</w:t>
            </w:r>
          </w:p>
        </w:tc>
      </w:tr>
      <w:tr w:rsidR="0084667E" w:rsidRPr="0084667E" w14:paraId="7F3C2AF7" w14:textId="77777777" w:rsidTr="0084667E">
        <w:tc>
          <w:tcPr>
            <w:tcW w:w="1410" w:type="dxa"/>
            <w:tcBorders>
              <w:top w:val="nil"/>
              <w:left w:val="single" w:sz="6" w:space="0" w:color="auto"/>
              <w:bottom w:val="single" w:sz="6" w:space="0" w:color="auto"/>
              <w:right w:val="single" w:sz="6" w:space="0" w:color="auto"/>
            </w:tcBorders>
            <w:noWrap/>
            <w:hideMark/>
          </w:tcPr>
          <w:p w14:paraId="01899553" w14:textId="77777777" w:rsidR="0084667E" w:rsidRPr="0084667E" w:rsidRDefault="0084667E" w:rsidP="0084667E">
            <w:pPr>
              <w:rPr>
                <w:rFonts w:ascii="Times New Roman" w:hAnsi="Times New Roman" w:cs="Times New Roman"/>
                <w:color w:val="000000" w:themeColor="text1"/>
              </w:rPr>
            </w:pPr>
          </w:p>
          <w:p w14:paraId="163246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tc>
        <w:tc>
          <w:tcPr>
            <w:tcW w:w="1594" w:type="dxa"/>
            <w:tcBorders>
              <w:top w:val="nil"/>
              <w:left w:val="single" w:sz="6" w:space="0" w:color="auto"/>
              <w:bottom w:val="single" w:sz="6" w:space="0" w:color="auto"/>
              <w:right w:val="single" w:sz="6" w:space="0" w:color="auto"/>
            </w:tcBorders>
            <w:noWrap/>
            <w:hideMark/>
          </w:tcPr>
          <w:p w14:paraId="21C1C330" w14:textId="77777777" w:rsidR="0084667E" w:rsidRPr="0084667E" w:rsidRDefault="0084667E" w:rsidP="0084667E">
            <w:pPr>
              <w:rPr>
                <w:rFonts w:ascii="Times New Roman" w:hAnsi="Times New Roman" w:cs="Times New Roman"/>
                <w:color w:val="000000" w:themeColor="text1"/>
              </w:rPr>
            </w:pPr>
          </w:p>
          <w:p w14:paraId="2169DB4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tc>
        <w:tc>
          <w:tcPr>
            <w:tcW w:w="1461" w:type="dxa"/>
            <w:tcBorders>
              <w:top w:val="nil"/>
              <w:left w:val="single" w:sz="6" w:space="0" w:color="auto"/>
              <w:bottom w:val="single" w:sz="6" w:space="0" w:color="auto"/>
              <w:right w:val="single" w:sz="6" w:space="0" w:color="auto"/>
            </w:tcBorders>
            <w:noWrap/>
            <w:hideMark/>
          </w:tcPr>
          <w:p w14:paraId="750DCB8E" w14:textId="77777777" w:rsidR="0084667E" w:rsidRPr="0084667E" w:rsidRDefault="0084667E" w:rsidP="0084667E">
            <w:pPr>
              <w:rPr>
                <w:rFonts w:ascii="Times New Roman" w:hAnsi="Times New Roman" w:cs="Times New Roman"/>
                <w:color w:val="000000" w:themeColor="text1"/>
              </w:rPr>
            </w:pPr>
          </w:p>
          <w:p w14:paraId="2D46F4D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2,1</w:t>
            </w:r>
          </w:p>
        </w:tc>
        <w:tc>
          <w:tcPr>
            <w:tcW w:w="1523" w:type="dxa"/>
            <w:tcBorders>
              <w:top w:val="nil"/>
              <w:left w:val="single" w:sz="6" w:space="0" w:color="auto"/>
              <w:bottom w:val="single" w:sz="6" w:space="0" w:color="auto"/>
              <w:right w:val="single" w:sz="6" w:space="0" w:color="auto"/>
            </w:tcBorders>
            <w:noWrap/>
            <w:hideMark/>
          </w:tcPr>
          <w:p w14:paraId="162BD41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w:t>
            </w:r>
          </w:p>
          <w:p w14:paraId="2A73629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w:t>
            </w:r>
          </w:p>
          <w:p w14:paraId="279A59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w:t>
            </w:r>
          </w:p>
        </w:tc>
        <w:tc>
          <w:tcPr>
            <w:tcW w:w="1523" w:type="dxa"/>
            <w:tcBorders>
              <w:top w:val="nil"/>
              <w:left w:val="single" w:sz="6" w:space="0" w:color="auto"/>
              <w:bottom w:val="single" w:sz="6" w:space="0" w:color="auto"/>
              <w:right w:val="single" w:sz="6" w:space="0" w:color="auto"/>
            </w:tcBorders>
            <w:noWrap/>
            <w:hideMark/>
          </w:tcPr>
          <w:p w14:paraId="6778CA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1,9</w:t>
            </w:r>
          </w:p>
          <w:p w14:paraId="200A69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w:t>
            </w:r>
          </w:p>
          <w:p w14:paraId="4A822E6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2,6</w:t>
            </w:r>
          </w:p>
        </w:tc>
      </w:tr>
      <w:tr w:rsidR="0084667E" w:rsidRPr="0084667E" w14:paraId="205D5A5D" w14:textId="77777777" w:rsidTr="0084667E">
        <w:tc>
          <w:tcPr>
            <w:tcW w:w="1410" w:type="dxa"/>
            <w:tcBorders>
              <w:top w:val="single" w:sz="6" w:space="0" w:color="auto"/>
              <w:left w:val="single" w:sz="6" w:space="0" w:color="auto"/>
              <w:bottom w:val="single" w:sz="6" w:space="0" w:color="auto"/>
              <w:right w:val="single" w:sz="6" w:space="0" w:color="auto"/>
            </w:tcBorders>
            <w:noWrap/>
            <w:hideMark/>
          </w:tcPr>
          <w:p w14:paraId="42495358" w14:textId="77777777" w:rsidR="0084667E" w:rsidRPr="0084667E" w:rsidRDefault="0084667E" w:rsidP="0084667E">
            <w:pPr>
              <w:rPr>
                <w:rFonts w:ascii="Times New Roman" w:hAnsi="Times New Roman" w:cs="Times New Roman"/>
                <w:color w:val="000000" w:themeColor="text1"/>
              </w:rPr>
            </w:pPr>
          </w:p>
          <w:p w14:paraId="120F3C8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tc>
        <w:tc>
          <w:tcPr>
            <w:tcW w:w="1594" w:type="dxa"/>
            <w:tcBorders>
              <w:top w:val="single" w:sz="6" w:space="0" w:color="auto"/>
              <w:left w:val="single" w:sz="6" w:space="0" w:color="auto"/>
              <w:bottom w:val="single" w:sz="6" w:space="0" w:color="auto"/>
              <w:right w:val="single" w:sz="6" w:space="0" w:color="auto"/>
            </w:tcBorders>
            <w:noWrap/>
            <w:hideMark/>
          </w:tcPr>
          <w:p w14:paraId="6D90B2B2" w14:textId="77777777" w:rsidR="0084667E" w:rsidRPr="0084667E" w:rsidRDefault="0084667E" w:rsidP="0084667E">
            <w:pPr>
              <w:rPr>
                <w:rFonts w:ascii="Times New Roman" w:hAnsi="Times New Roman" w:cs="Times New Roman"/>
                <w:color w:val="000000" w:themeColor="text1"/>
              </w:rPr>
            </w:pPr>
          </w:p>
          <w:p w14:paraId="6324395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tc>
        <w:tc>
          <w:tcPr>
            <w:tcW w:w="1461" w:type="dxa"/>
            <w:tcBorders>
              <w:top w:val="single" w:sz="6" w:space="0" w:color="auto"/>
              <w:left w:val="single" w:sz="6" w:space="0" w:color="auto"/>
              <w:bottom w:val="single" w:sz="6" w:space="0" w:color="auto"/>
              <w:right w:val="single" w:sz="6" w:space="0" w:color="auto"/>
            </w:tcBorders>
            <w:noWrap/>
            <w:hideMark/>
          </w:tcPr>
          <w:p w14:paraId="7FB8C759" w14:textId="77777777" w:rsidR="0084667E" w:rsidRPr="0084667E" w:rsidRDefault="0084667E" w:rsidP="0084667E">
            <w:pPr>
              <w:rPr>
                <w:rFonts w:ascii="Times New Roman" w:hAnsi="Times New Roman" w:cs="Times New Roman"/>
                <w:color w:val="000000" w:themeColor="text1"/>
              </w:rPr>
            </w:pPr>
          </w:p>
          <w:p w14:paraId="6EC48E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2,8</w:t>
            </w:r>
          </w:p>
        </w:tc>
        <w:tc>
          <w:tcPr>
            <w:tcW w:w="1523" w:type="dxa"/>
            <w:tcBorders>
              <w:top w:val="single" w:sz="6" w:space="0" w:color="auto"/>
              <w:left w:val="single" w:sz="6" w:space="0" w:color="auto"/>
              <w:bottom w:val="single" w:sz="6" w:space="0" w:color="auto"/>
              <w:right w:val="single" w:sz="6" w:space="0" w:color="auto"/>
            </w:tcBorders>
            <w:noWrap/>
            <w:hideMark/>
          </w:tcPr>
          <w:p w14:paraId="058D57F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w:t>
            </w:r>
          </w:p>
          <w:p w14:paraId="1A7364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w:t>
            </w:r>
          </w:p>
          <w:p w14:paraId="57F026A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p w14:paraId="3306D3D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2,6</w:t>
            </w:r>
          </w:p>
        </w:tc>
        <w:tc>
          <w:tcPr>
            <w:tcW w:w="1523" w:type="dxa"/>
            <w:tcBorders>
              <w:top w:val="single" w:sz="6" w:space="0" w:color="auto"/>
              <w:left w:val="single" w:sz="6" w:space="0" w:color="auto"/>
              <w:bottom w:val="single" w:sz="6" w:space="0" w:color="auto"/>
              <w:right w:val="single" w:sz="6" w:space="0" w:color="auto"/>
            </w:tcBorders>
            <w:noWrap/>
            <w:hideMark/>
          </w:tcPr>
          <w:p w14:paraId="27FABC4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w:t>
            </w:r>
          </w:p>
          <w:p w14:paraId="59158DF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2,1</w:t>
            </w:r>
          </w:p>
          <w:p w14:paraId="2AF5047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w:t>
            </w:r>
          </w:p>
          <w:p w14:paraId="14B9361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w:t>
            </w:r>
          </w:p>
        </w:tc>
      </w:tr>
      <w:tr w:rsidR="0084667E" w:rsidRPr="0084667E" w14:paraId="2CA9AB69" w14:textId="77777777" w:rsidTr="0084667E">
        <w:tc>
          <w:tcPr>
            <w:tcW w:w="1410" w:type="dxa"/>
            <w:tcBorders>
              <w:top w:val="single" w:sz="6" w:space="0" w:color="auto"/>
              <w:left w:val="single" w:sz="6" w:space="0" w:color="auto"/>
              <w:bottom w:val="single" w:sz="6" w:space="0" w:color="auto"/>
              <w:right w:val="single" w:sz="6" w:space="0" w:color="auto"/>
            </w:tcBorders>
            <w:noWrap/>
            <w:hideMark/>
          </w:tcPr>
          <w:p w14:paraId="3860703C" w14:textId="77777777" w:rsidR="0084667E" w:rsidRPr="0084667E" w:rsidRDefault="0084667E" w:rsidP="0084667E">
            <w:pPr>
              <w:rPr>
                <w:rFonts w:ascii="Times New Roman" w:hAnsi="Times New Roman" w:cs="Times New Roman"/>
                <w:color w:val="000000" w:themeColor="text1"/>
              </w:rPr>
            </w:pPr>
          </w:p>
          <w:p w14:paraId="66BE8E74" w14:textId="77777777" w:rsidR="0084667E" w:rsidRPr="0084667E" w:rsidRDefault="0084667E" w:rsidP="0084667E">
            <w:pPr>
              <w:rPr>
                <w:rFonts w:ascii="Times New Roman" w:hAnsi="Times New Roman" w:cs="Times New Roman"/>
                <w:color w:val="000000" w:themeColor="text1"/>
              </w:rPr>
            </w:pPr>
          </w:p>
          <w:p w14:paraId="376BDE1E" w14:textId="77777777" w:rsidR="0084667E" w:rsidRPr="0084667E" w:rsidRDefault="0084667E" w:rsidP="0084667E">
            <w:pPr>
              <w:rPr>
                <w:rFonts w:ascii="Times New Roman" w:hAnsi="Times New Roman" w:cs="Times New Roman"/>
                <w:color w:val="000000" w:themeColor="text1"/>
              </w:rPr>
            </w:pPr>
          </w:p>
          <w:p w14:paraId="403506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tc>
        <w:tc>
          <w:tcPr>
            <w:tcW w:w="1594" w:type="dxa"/>
            <w:tcBorders>
              <w:top w:val="single" w:sz="6" w:space="0" w:color="auto"/>
              <w:left w:val="single" w:sz="6" w:space="0" w:color="auto"/>
              <w:bottom w:val="single" w:sz="6" w:space="0" w:color="auto"/>
              <w:right w:val="single" w:sz="6" w:space="0" w:color="auto"/>
            </w:tcBorders>
            <w:noWrap/>
            <w:hideMark/>
          </w:tcPr>
          <w:p w14:paraId="4D56BC3C" w14:textId="77777777" w:rsidR="0084667E" w:rsidRPr="0084667E" w:rsidRDefault="0084667E" w:rsidP="0084667E">
            <w:pPr>
              <w:rPr>
                <w:rFonts w:ascii="Times New Roman" w:hAnsi="Times New Roman" w:cs="Times New Roman"/>
                <w:color w:val="000000" w:themeColor="text1"/>
              </w:rPr>
            </w:pPr>
          </w:p>
          <w:p w14:paraId="13802E5B" w14:textId="77777777" w:rsidR="0084667E" w:rsidRPr="0084667E" w:rsidRDefault="0084667E" w:rsidP="0084667E">
            <w:pPr>
              <w:rPr>
                <w:rFonts w:ascii="Times New Roman" w:hAnsi="Times New Roman" w:cs="Times New Roman"/>
                <w:color w:val="000000" w:themeColor="text1"/>
              </w:rPr>
            </w:pPr>
          </w:p>
          <w:p w14:paraId="377F0365" w14:textId="77777777" w:rsidR="0084667E" w:rsidRPr="0084667E" w:rsidRDefault="0084667E" w:rsidP="0084667E">
            <w:pPr>
              <w:rPr>
                <w:rFonts w:ascii="Times New Roman" w:hAnsi="Times New Roman" w:cs="Times New Roman"/>
                <w:color w:val="000000" w:themeColor="text1"/>
              </w:rPr>
            </w:pPr>
          </w:p>
          <w:p w14:paraId="1EB2053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tc>
        <w:tc>
          <w:tcPr>
            <w:tcW w:w="1461" w:type="dxa"/>
            <w:tcBorders>
              <w:top w:val="single" w:sz="6" w:space="0" w:color="auto"/>
              <w:left w:val="single" w:sz="6" w:space="0" w:color="auto"/>
              <w:bottom w:val="single" w:sz="6" w:space="0" w:color="auto"/>
              <w:right w:val="single" w:sz="6" w:space="0" w:color="auto"/>
            </w:tcBorders>
            <w:noWrap/>
            <w:hideMark/>
          </w:tcPr>
          <w:p w14:paraId="2E7F12C8" w14:textId="77777777" w:rsidR="0084667E" w:rsidRPr="0084667E" w:rsidRDefault="0084667E" w:rsidP="0084667E">
            <w:pPr>
              <w:rPr>
                <w:rFonts w:ascii="Times New Roman" w:hAnsi="Times New Roman" w:cs="Times New Roman"/>
                <w:color w:val="000000" w:themeColor="text1"/>
              </w:rPr>
            </w:pPr>
          </w:p>
          <w:p w14:paraId="5C004989" w14:textId="77777777" w:rsidR="0084667E" w:rsidRPr="0084667E" w:rsidRDefault="0084667E" w:rsidP="0084667E">
            <w:pPr>
              <w:rPr>
                <w:rFonts w:ascii="Times New Roman" w:hAnsi="Times New Roman" w:cs="Times New Roman"/>
                <w:color w:val="000000" w:themeColor="text1"/>
              </w:rPr>
            </w:pPr>
          </w:p>
          <w:p w14:paraId="12120688" w14:textId="77777777" w:rsidR="0084667E" w:rsidRPr="0084667E" w:rsidRDefault="0084667E" w:rsidP="0084667E">
            <w:pPr>
              <w:rPr>
                <w:rFonts w:ascii="Times New Roman" w:hAnsi="Times New Roman" w:cs="Times New Roman"/>
                <w:color w:val="000000" w:themeColor="text1"/>
              </w:rPr>
            </w:pPr>
          </w:p>
          <w:p w14:paraId="5891494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2,8</w:t>
            </w:r>
          </w:p>
        </w:tc>
        <w:tc>
          <w:tcPr>
            <w:tcW w:w="1523" w:type="dxa"/>
            <w:tcBorders>
              <w:top w:val="single" w:sz="6" w:space="0" w:color="auto"/>
              <w:left w:val="single" w:sz="6" w:space="0" w:color="auto"/>
              <w:bottom w:val="single" w:sz="6" w:space="0" w:color="auto"/>
              <w:right w:val="single" w:sz="6" w:space="0" w:color="auto"/>
            </w:tcBorders>
            <w:noWrap/>
            <w:hideMark/>
          </w:tcPr>
          <w:p w14:paraId="58B3FEC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w:t>
            </w:r>
          </w:p>
          <w:p w14:paraId="0C42130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p w14:paraId="5DE0BB3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2,7</w:t>
            </w:r>
          </w:p>
          <w:p w14:paraId="117C599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2,8</w:t>
            </w:r>
          </w:p>
          <w:p w14:paraId="6A850F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2,9</w:t>
            </w:r>
          </w:p>
          <w:p w14:paraId="0DA7FD7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p w14:paraId="00B2D2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3,1</w:t>
            </w:r>
          </w:p>
          <w:p w14:paraId="673ED15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3,2</w:t>
            </w:r>
          </w:p>
        </w:tc>
        <w:tc>
          <w:tcPr>
            <w:tcW w:w="1523" w:type="dxa"/>
            <w:tcBorders>
              <w:top w:val="single" w:sz="6" w:space="0" w:color="auto"/>
              <w:left w:val="single" w:sz="6" w:space="0" w:color="auto"/>
              <w:bottom w:val="single" w:sz="6" w:space="0" w:color="auto"/>
              <w:right w:val="single" w:sz="6" w:space="0" w:color="auto"/>
            </w:tcBorders>
            <w:noWrap/>
            <w:hideMark/>
          </w:tcPr>
          <w:p w14:paraId="6FF311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1,2</w:t>
            </w:r>
          </w:p>
          <w:p w14:paraId="5AF0D88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w:t>
            </w:r>
          </w:p>
          <w:p w14:paraId="64AF304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w:t>
            </w:r>
          </w:p>
          <w:p w14:paraId="2FDBAB9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w:t>
            </w:r>
          </w:p>
          <w:p w14:paraId="1953C37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p w14:paraId="3D7E516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2,7</w:t>
            </w:r>
          </w:p>
          <w:p w14:paraId="32056D2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2,8</w:t>
            </w:r>
          </w:p>
          <w:p w14:paraId="153851E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2,9</w:t>
            </w:r>
          </w:p>
        </w:tc>
      </w:tr>
      <w:tr w:rsidR="0084667E" w:rsidRPr="0084667E" w14:paraId="3C508D86" w14:textId="77777777" w:rsidTr="0084667E">
        <w:tc>
          <w:tcPr>
            <w:tcW w:w="1410" w:type="dxa"/>
            <w:tcBorders>
              <w:top w:val="single" w:sz="6" w:space="0" w:color="auto"/>
              <w:left w:val="single" w:sz="6" w:space="0" w:color="auto"/>
              <w:bottom w:val="single" w:sz="6" w:space="0" w:color="auto"/>
              <w:right w:val="single" w:sz="6" w:space="0" w:color="auto"/>
            </w:tcBorders>
            <w:noWrap/>
            <w:hideMark/>
          </w:tcPr>
          <w:p w14:paraId="042194FE" w14:textId="77777777" w:rsidR="0084667E" w:rsidRPr="0084667E" w:rsidRDefault="0084667E" w:rsidP="0084667E">
            <w:pPr>
              <w:rPr>
                <w:rFonts w:ascii="Times New Roman" w:hAnsi="Times New Roman" w:cs="Times New Roman"/>
                <w:color w:val="000000" w:themeColor="text1"/>
              </w:rPr>
            </w:pPr>
          </w:p>
          <w:p w14:paraId="175D9072" w14:textId="77777777" w:rsidR="0084667E" w:rsidRPr="0084667E" w:rsidRDefault="0084667E" w:rsidP="0084667E">
            <w:pPr>
              <w:rPr>
                <w:rFonts w:ascii="Times New Roman" w:hAnsi="Times New Roman" w:cs="Times New Roman"/>
                <w:color w:val="000000" w:themeColor="text1"/>
              </w:rPr>
            </w:pPr>
          </w:p>
          <w:p w14:paraId="7B7B136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w:t>
            </w:r>
          </w:p>
        </w:tc>
        <w:tc>
          <w:tcPr>
            <w:tcW w:w="1594" w:type="dxa"/>
            <w:tcBorders>
              <w:top w:val="single" w:sz="6" w:space="0" w:color="auto"/>
              <w:left w:val="single" w:sz="6" w:space="0" w:color="auto"/>
              <w:bottom w:val="single" w:sz="6" w:space="0" w:color="auto"/>
              <w:right w:val="single" w:sz="6" w:space="0" w:color="auto"/>
            </w:tcBorders>
            <w:noWrap/>
            <w:hideMark/>
          </w:tcPr>
          <w:p w14:paraId="3BA4DDF1" w14:textId="77777777" w:rsidR="0084667E" w:rsidRPr="0084667E" w:rsidRDefault="0084667E" w:rsidP="0084667E">
            <w:pPr>
              <w:rPr>
                <w:rFonts w:ascii="Times New Roman" w:hAnsi="Times New Roman" w:cs="Times New Roman"/>
                <w:color w:val="000000" w:themeColor="text1"/>
              </w:rPr>
            </w:pPr>
          </w:p>
          <w:p w14:paraId="3EE339F2" w14:textId="77777777" w:rsidR="0084667E" w:rsidRPr="0084667E" w:rsidRDefault="0084667E" w:rsidP="0084667E">
            <w:pPr>
              <w:rPr>
                <w:rFonts w:ascii="Times New Roman" w:hAnsi="Times New Roman" w:cs="Times New Roman"/>
                <w:color w:val="000000" w:themeColor="text1"/>
              </w:rPr>
            </w:pPr>
          </w:p>
          <w:p w14:paraId="2E32D9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w:t>
            </w:r>
          </w:p>
        </w:tc>
        <w:tc>
          <w:tcPr>
            <w:tcW w:w="1461" w:type="dxa"/>
            <w:tcBorders>
              <w:top w:val="single" w:sz="6" w:space="0" w:color="auto"/>
              <w:left w:val="single" w:sz="6" w:space="0" w:color="auto"/>
              <w:bottom w:val="single" w:sz="6" w:space="0" w:color="auto"/>
              <w:right w:val="single" w:sz="6" w:space="0" w:color="auto"/>
            </w:tcBorders>
            <w:noWrap/>
            <w:hideMark/>
          </w:tcPr>
          <w:p w14:paraId="6FC05CCA" w14:textId="77777777" w:rsidR="0084667E" w:rsidRPr="0084667E" w:rsidRDefault="0084667E" w:rsidP="0084667E">
            <w:pPr>
              <w:rPr>
                <w:rFonts w:ascii="Times New Roman" w:hAnsi="Times New Roman" w:cs="Times New Roman"/>
                <w:color w:val="000000" w:themeColor="text1"/>
              </w:rPr>
            </w:pPr>
          </w:p>
          <w:p w14:paraId="41B4AC1E" w14:textId="77777777" w:rsidR="0084667E" w:rsidRPr="0084667E" w:rsidRDefault="0084667E" w:rsidP="0084667E">
            <w:pPr>
              <w:rPr>
                <w:rFonts w:ascii="Times New Roman" w:hAnsi="Times New Roman" w:cs="Times New Roman"/>
                <w:color w:val="000000" w:themeColor="text1"/>
              </w:rPr>
            </w:pPr>
          </w:p>
          <w:p w14:paraId="4B3BC2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3,4</w:t>
            </w:r>
          </w:p>
        </w:tc>
        <w:tc>
          <w:tcPr>
            <w:tcW w:w="1523" w:type="dxa"/>
            <w:tcBorders>
              <w:top w:val="single" w:sz="6" w:space="0" w:color="auto"/>
              <w:left w:val="single" w:sz="6" w:space="0" w:color="auto"/>
              <w:bottom w:val="single" w:sz="6" w:space="0" w:color="auto"/>
              <w:right w:val="single" w:sz="6" w:space="0" w:color="auto"/>
            </w:tcBorders>
            <w:noWrap/>
            <w:hideMark/>
          </w:tcPr>
          <w:p w14:paraId="4EAB475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p w14:paraId="1BDDD8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2,8</w:t>
            </w:r>
          </w:p>
          <w:p w14:paraId="28C7DAA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p w14:paraId="161B1F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3,5</w:t>
            </w:r>
          </w:p>
          <w:p w14:paraId="2991FA6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tc>
        <w:tc>
          <w:tcPr>
            <w:tcW w:w="1523" w:type="dxa"/>
            <w:tcBorders>
              <w:top w:val="single" w:sz="6" w:space="0" w:color="auto"/>
              <w:left w:val="single" w:sz="6" w:space="0" w:color="auto"/>
              <w:bottom w:val="single" w:sz="6" w:space="0" w:color="auto"/>
              <w:right w:val="single" w:sz="6" w:space="0" w:color="auto"/>
            </w:tcBorders>
            <w:noWrap/>
            <w:hideMark/>
          </w:tcPr>
          <w:p w14:paraId="604139A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w:t>
            </w:r>
          </w:p>
          <w:p w14:paraId="414CD65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1,7</w:t>
            </w:r>
          </w:p>
          <w:p w14:paraId="3BC897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2,1</w:t>
            </w:r>
          </w:p>
          <w:p w14:paraId="1974BAD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4,9</w:t>
            </w:r>
          </w:p>
          <w:p w14:paraId="2E3181E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tc>
      </w:tr>
      <w:tr w:rsidR="0084667E" w:rsidRPr="0084667E" w14:paraId="627CD97F" w14:textId="77777777" w:rsidTr="0084667E">
        <w:tc>
          <w:tcPr>
            <w:tcW w:w="1410" w:type="dxa"/>
            <w:tcBorders>
              <w:top w:val="single" w:sz="6" w:space="0" w:color="auto"/>
              <w:left w:val="single" w:sz="6" w:space="0" w:color="auto"/>
              <w:bottom w:val="single" w:sz="6" w:space="0" w:color="auto"/>
              <w:right w:val="single" w:sz="6" w:space="0" w:color="auto"/>
            </w:tcBorders>
            <w:noWrap/>
            <w:hideMark/>
          </w:tcPr>
          <w:p w14:paraId="79522006" w14:textId="77777777" w:rsidR="0084667E" w:rsidRPr="0084667E" w:rsidRDefault="0084667E" w:rsidP="0084667E">
            <w:pPr>
              <w:rPr>
                <w:rFonts w:ascii="Times New Roman" w:hAnsi="Times New Roman" w:cs="Times New Roman"/>
                <w:color w:val="000000" w:themeColor="text1"/>
              </w:rPr>
            </w:pPr>
          </w:p>
          <w:p w14:paraId="5EA377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70</w:t>
            </w:r>
          </w:p>
        </w:tc>
        <w:tc>
          <w:tcPr>
            <w:tcW w:w="1594" w:type="dxa"/>
            <w:tcBorders>
              <w:top w:val="single" w:sz="6" w:space="0" w:color="auto"/>
              <w:left w:val="single" w:sz="6" w:space="0" w:color="auto"/>
              <w:bottom w:val="single" w:sz="6" w:space="0" w:color="auto"/>
              <w:right w:val="single" w:sz="6" w:space="0" w:color="auto"/>
            </w:tcBorders>
            <w:noWrap/>
            <w:hideMark/>
          </w:tcPr>
          <w:p w14:paraId="403C6862" w14:textId="77777777" w:rsidR="0084667E" w:rsidRPr="0084667E" w:rsidRDefault="0084667E" w:rsidP="0084667E">
            <w:pPr>
              <w:rPr>
                <w:rFonts w:ascii="Times New Roman" w:hAnsi="Times New Roman" w:cs="Times New Roman"/>
                <w:color w:val="000000" w:themeColor="text1"/>
              </w:rPr>
            </w:pPr>
          </w:p>
          <w:p w14:paraId="687D54A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70</w:t>
            </w:r>
          </w:p>
        </w:tc>
        <w:tc>
          <w:tcPr>
            <w:tcW w:w="1461" w:type="dxa"/>
            <w:tcBorders>
              <w:top w:val="single" w:sz="6" w:space="0" w:color="auto"/>
              <w:left w:val="single" w:sz="6" w:space="0" w:color="auto"/>
              <w:bottom w:val="single" w:sz="6" w:space="0" w:color="auto"/>
              <w:right w:val="single" w:sz="6" w:space="0" w:color="auto"/>
            </w:tcBorders>
            <w:noWrap/>
            <w:hideMark/>
          </w:tcPr>
          <w:p w14:paraId="2B25C82A" w14:textId="77777777" w:rsidR="0084667E" w:rsidRPr="0084667E" w:rsidRDefault="0084667E" w:rsidP="0084667E">
            <w:pPr>
              <w:rPr>
                <w:rFonts w:ascii="Times New Roman" w:hAnsi="Times New Roman" w:cs="Times New Roman"/>
                <w:color w:val="000000" w:themeColor="text1"/>
              </w:rPr>
            </w:pPr>
          </w:p>
          <w:p w14:paraId="637CB4E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3,4</w:t>
            </w:r>
          </w:p>
        </w:tc>
        <w:tc>
          <w:tcPr>
            <w:tcW w:w="1523" w:type="dxa"/>
            <w:tcBorders>
              <w:top w:val="single" w:sz="6" w:space="0" w:color="auto"/>
              <w:left w:val="single" w:sz="6" w:space="0" w:color="auto"/>
              <w:bottom w:val="single" w:sz="6" w:space="0" w:color="auto"/>
              <w:right w:val="single" w:sz="6" w:space="0" w:color="auto"/>
            </w:tcBorders>
            <w:noWrap/>
            <w:hideMark/>
          </w:tcPr>
          <w:p w14:paraId="4234938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p w14:paraId="760C6F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3,5</w:t>
            </w:r>
          </w:p>
          <w:p w14:paraId="562A939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tc>
        <w:tc>
          <w:tcPr>
            <w:tcW w:w="1523" w:type="dxa"/>
            <w:tcBorders>
              <w:top w:val="single" w:sz="6" w:space="0" w:color="auto"/>
              <w:left w:val="single" w:sz="6" w:space="0" w:color="auto"/>
              <w:bottom w:val="single" w:sz="6" w:space="0" w:color="auto"/>
              <w:right w:val="single" w:sz="6" w:space="0" w:color="auto"/>
            </w:tcBorders>
            <w:noWrap/>
            <w:hideMark/>
          </w:tcPr>
          <w:p w14:paraId="3A6D12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w:t>
            </w:r>
          </w:p>
          <w:p w14:paraId="057EA63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w:t>
            </w:r>
          </w:p>
          <w:p w14:paraId="66BC57B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tc>
      </w:tr>
    </w:tbl>
    <w:p w14:paraId="6AB0BF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Odchyłki prostopadłości kształtu boków oczka nie powinny przekraczać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10</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w:t>
      </w:r>
    </w:p>
    <w:p w14:paraId="19BB973C" w14:textId="77777777" w:rsidR="0084667E" w:rsidRPr="0084667E" w:rsidRDefault="0084667E" w:rsidP="0084667E">
      <w:pPr>
        <w:rPr>
          <w:rFonts w:ascii="Times New Roman" w:hAnsi="Times New Roman" w:cs="Times New Roman"/>
          <w:color w:val="000000" w:themeColor="text1"/>
        </w:rPr>
      </w:pPr>
    </w:p>
    <w:p w14:paraId="4CA5984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2. Szerokość siatki plecionej ślimakowej dostarczanej przez producenta, według BN-83/5032-02 [40]</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913"/>
        <w:gridCol w:w="1080"/>
        <w:gridCol w:w="1080"/>
        <w:gridCol w:w="1022"/>
        <w:gridCol w:w="1134"/>
        <w:gridCol w:w="1282"/>
      </w:tblGrid>
      <w:tr w:rsidR="0084667E" w:rsidRPr="0084667E" w14:paraId="43200AD7" w14:textId="77777777" w:rsidTr="0084667E">
        <w:tc>
          <w:tcPr>
            <w:tcW w:w="1913" w:type="dxa"/>
            <w:tcBorders>
              <w:top w:val="single" w:sz="6" w:space="0" w:color="auto"/>
              <w:left w:val="single" w:sz="6" w:space="0" w:color="auto"/>
              <w:bottom w:val="double" w:sz="6" w:space="0" w:color="auto"/>
              <w:right w:val="single" w:sz="6" w:space="0" w:color="auto"/>
            </w:tcBorders>
            <w:noWrap/>
            <w:hideMark/>
          </w:tcPr>
          <w:p w14:paraId="07CF16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Wielkość</w:t>
            </w:r>
          </w:p>
          <w:p w14:paraId="2E9B8C5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siatki</w:t>
            </w:r>
          </w:p>
        </w:tc>
        <w:tc>
          <w:tcPr>
            <w:tcW w:w="5598" w:type="dxa"/>
            <w:gridSpan w:val="5"/>
            <w:tcBorders>
              <w:top w:val="single" w:sz="6" w:space="0" w:color="auto"/>
              <w:left w:val="single" w:sz="6" w:space="0" w:color="auto"/>
              <w:bottom w:val="double" w:sz="6" w:space="0" w:color="auto"/>
              <w:right w:val="single" w:sz="6" w:space="0" w:color="auto"/>
            </w:tcBorders>
            <w:noWrap/>
            <w:hideMark/>
          </w:tcPr>
          <w:p w14:paraId="2063C9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Szerokość siatki, mm</w:t>
            </w:r>
          </w:p>
          <w:p w14:paraId="2F3298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 wykonanym ogrodzeniu jest to wysokość siatki)</w:t>
            </w:r>
          </w:p>
        </w:tc>
      </w:tr>
      <w:tr w:rsidR="0084667E" w:rsidRPr="0084667E" w14:paraId="30A5A16E" w14:textId="77777777" w:rsidTr="0084667E">
        <w:tc>
          <w:tcPr>
            <w:tcW w:w="1913" w:type="dxa"/>
            <w:tcBorders>
              <w:top w:val="nil"/>
              <w:left w:val="single" w:sz="6" w:space="0" w:color="auto"/>
              <w:bottom w:val="single" w:sz="6" w:space="0" w:color="auto"/>
              <w:right w:val="single" w:sz="6" w:space="0" w:color="auto"/>
            </w:tcBorders>
            <w:noWrap/>
            <w:hideMark/>
          </w:tcPr>
          <w:p w14:paraId="3F4CB3C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p w14:paraId="7C9A5CD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40 do 70</w:t>
            </w:r>
          </w:p>
        </w:tc>
        <w:tc>
          <w:tcPr>
            <w:tcW w:w="1080" w:type="dxa"/>
            <w:tcBorders>
              <w:top w:val="nil"/>
              <w:left w:val="single" w:sz="6" w:space="0" w:color="auto"/>
              <w:bottom w:val="single" w:sz="6" w:space="0" w:color="auto"/>
              <w:right w:val="nil"/>
            </w:tcBorders>
            <w:noWrap/>
            <w:hideMark/>
          </w:tcPr>
          <w:p w14:paraId="48E8AC1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1500</w:t>
            </w:r>
          </w:p>
          <w:p w14:paraId="211F2F0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1500</w:t>
            </w:r>
          </w:p>
        </w:tc>
        <w:tc>
          <w:tcPr>
            <w:tcW w:w="1080" w:type="dxa"/>
            <w:tcBorders>
              <w:top w:val="nil"/>
              <w:left w:val="nil"/>
              <w:bottom w:val="single" w:sz="6" w:space="0" w:color="auto"/>
              <w:right w:val="nil"/>
            </w:tcBorders>
            <w:noWrap/>
            <w:hideMark/>
          </w:tcPr>
          <w:p w14:paraId="445AC66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1750</w:t>
            </w:r>
          </w:p>
          <w:p w14:paraId="697A281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1750</w:t>
            </w:r>
          </w:p>
        </w:tc>
        <w:tc>
          <w:tcPr>
            <w:tcW w:w="1022" w:type="dxa"/>
            <w:tcBorders>
              <w:top w:val="nil"/>
              <w:left w:val="nil"/>
              <w:bottom w:val="single" w:sz="6" w:space="0" w:color="auto"/>
              <w:right w:val="nil"/>
            </w:tcBorders>
            <w:noWrap/>
            <w:hideMark/>
          </w:tcPr>
          <w:p w14:paraId="0E620AC7" w14:textId="77777777" w:rsidR="0084667E" w:rsidRPr="0084667E" w:rsidRDefault="0084667E" w:rsidP="0084667E">
            <w:pPr>
              <w:rPr>
                <w:rFonts w:ascii="Times New Roman" w:hAnsi="Times New Roman" w:cs="Times New Roman"/>
                <w:color w:val="000000" w:themeColor="text1"/>
              </w:rPr>
            </w:pPr>
          </w:p>
          <w:p w14:paraId="62441B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2000</w:t>
            </w:r>
          </w:p>
        </w:tc>
        <w:tc>
          <w:tcPr>
            <w:tcW w:w="1134" w:type="dxa"/>
            <w:tcBorders>
              <w:top w:val="nil"/>
              <w:left w:val="nil"/>
              <w:bottom w:val="single" w:sz="6" w:space="0" w:color="auto"/>
              <w:right w:val="nil"/>
            </w:tcBorders>
            <w:noWrap/>
            <w:hideMark/>
          </w:tcPr>
          <w:p w14:paraId="69EA96EE" w14:textId="77777777" w:rsidR="0084667E" w:rsidRPr="0084667E" w:rsidRDefault="0084667E" w:rsidP="0084667E">
            <w:pPr>
              <w:rPr>
                <w:rFonts w:ascii="Times New Roman" w:hAnsi="Times New Roman" w:cs="Times New Roman"/>
                <w:color w:val="000000" w:themeColor="text1"/>
              </w:rPr>
            </w:pPr>
          </w:p>
          <w:p w14:paraId="67AD090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2250</w:t>
            </w:r>
          </w:p>
        </w:tc>
        <w:tc>
          <w:tcPr>
            <w:tcW w:w="1282" w:type="dxa"/>
            <w:tcBorders>
              <w:top w:val="nil"/>
              <w:left w:val="nil"/>
              <w:bottom w:val="single" w:sz="6" w:space="0" w:color="auto"/>
              <w:right w:val="single" w:sz="6" w:space="0" w:color="auto"/>
            </w:tcBorders>
            <w:noWrap/>
            <w:hideMark/>
          </w:tcPr>
          <w:p w14:paraId="7440CA01" w14:textId="77777777" w:rsidR="0084667E" w:rsidRPr="0084667E" w:rsidRDefault="0084667E" w:rsidP="0084667E">
            <w:pPr>
              <w:rPr>
                <w:rFonts w:ascii="Times New Roman" w:hAnsi="Times New Roman" w:cs="Times New Roman"/>
                <w:color w:val="000000" w:themeColor="text1"/>
              </w:rPr>
            </w:pPr>
          </w:p>
          <w:p w14:paraId="74926E7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2500</w:t>
            </w:r>
          </w:p>
        </w:tc>
      </w:tr>
      <w:tr w:rsidR="0084667E" w:rsidRPr="0084667E" w14:paraId="1B3F12EF" w14:textId="77777777" w:rsidTr="0084667E">
        <w:tc>
          <w:tcPr>
            <w:tcW w:w="7511" w:type="dxa"/>
            <w:gridSpan w:val="6"/>
            <w:tcBorders>
              <w:top w:val="single" w:sz="6" w:space="0" w:color="auto"/>
              <w:left w:val="single" w:sz="6" w:space="0" w:color="auto"/>
              <w:bottom w:val="single" w:sz="6" w:space="0" w:color="auto"/>
              <w:right w:val="single" w:sz="6" w:space="0" w:color="auto"/>
            </w:tcBorders>
            <w:noWrap/>
            <w:hideMark/>
          </w:tcPr>
          <w:p w14:paraId="5D2EC1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Uwagi do tablicy 2:</w:t>
            </w:r>
          </w:p>
          <w:p w14:paraId="65CA71A1" w14:textId="77777777" w:rsidR="0084667E" w:rsidRPr="0084667E" w:rsidRDefault="0084667E" w:rsidP="00904E6C">
            <w:pPr>
              <w:numPr>
                <w:ilvl w:val="0"/>
                <w:numId w:val="418"/>
              </w:numPr>
              <w:rPr>
                <w:rFonts w:ascii="Times New Roman" w:hAnsi="Times New Roman" w:cs="Times New Roman"/>
                <w:color w:val="000000" w:themeColor="text1"/>
              </w:rPr>
            </w:pPr>
            <w:r w:rsidRPr="0084667E">
              <w:rPr>
                <w:rFonts w:ascii="Times New Roman" w:hAnsi="Times New Roman" w:cs="Times New Roman"/>
                <w:color w:val="000000" w:themeColor="text1"/>
              </w:rPr>
              <w:t>1. Szerokość siatki mierzy się łącznie z wystającymi końcami drutów.</w:t>
            </w:r>
          </w:p>
          <w:p w14:paraId="227619C3" w14:textId="77777777" w:rsidR="0084667E" w:rsidRPr="0084667E" w:rsidRDefault="0084667E" w:rsidP="00904E6C">
            <w:pPr>
              <w:numPr>
                <w:ilvl w:val="0"/>
                <w:numId w:val="418"/>
              </w:numPr>
              <w:rPr>
                <w:rFonts w:ascii="Times New Roman" w:hAnsi="Times New Roman" w:cs="Times New Roman"/>
                <w:color w:val="000000" w:themeColor="text1"/>
              </w:rPr>
            </w:pPr>
            <w:r w:rsidRPr="0084667E">
              <w:rPr>
                <w:rFonts w:ascii="Times New Roman" w:hAnsi="Times New Roman" w:cs="Times New Roman"/>
                <w:color w:val="000000" w:themeColor="text1"/>
              </w:rPr>
              <w:t xml:space="preserve">2. Dopuszczalne odchyłki szerokości siatki nie powinny przekraczać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0,6 długości boku oczka</w:t>
            </w:r>
          </w:p>
          <w:p w14:paraId="27C71360" w14:textId="77777777" w:rsidR="0084667E" w:rsidRPr="0084667E" w:rsidRDefault="0084667E" w:rsidP="00904E6C">
            <w:pPr>
              <w:numPr>
                <w:ilvl w:val="0"/>
                <w:numId w:val="418"/>
              </w:numPr>
              <w:rPr>
                <w:rFonts w:ascii="Times New Roman" w:hAnsi="Times New Roman" w:cs="Times New Roman"/>
                <w:color w:val="000000" w:themeColor="text1"/>
              </w:rPr>
            </w:pPr>
            <w:r w:rsidRPr="0084667E">
              <w:rPr>
                <w:rFonts w:ascii="Times New Roman" w:hAnsi="Times New Roman" w:cs="Times New Roman"/>
                <w:color w:val="000000" w:themeColor="text1"/>
              </w:rPr>
              <w:t>3. Po porozumieniu między producentem i odbiorcą dopuszcza się wykonanie siatek o innych szerokościach</w:t>
            </w:r>
          </w:p>
        </w:tc>
      </w:tr>
    </w:tbl>
    <w:p w14:paraId="5DC6121F" w14:textId="77777777" w:rsidR="0084667E" w:rsidRPr="0084667E" w:rsidRDefault="0084667E" w:rsidP="0084667E">
      <w:pPr>
        <w:rPr>
          <w:rFonts w:ascii="Times New Roman" w:hAnsi="Times New Roman" w:cs="Times New Roman"/>
          <w:color w:val="000000" w:themeColor="text1"/>
        </w:rPr>
      </w:pPr>
    </w:p>
    <w:p w14:paraId="12B20B0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Najmniejsza nominalna średnica drutu w siatce powinna wynosić 2 mm. Odchyłki średnic drutów powinny być zgodne z wymaganiami podanymi w tablicy 3.</w:t>
      </w:r>
    </w:p>
    <w:p w14:paraId="535EB8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3. Odchyłki średnic drutów w siatce plecionej ślimakowej, według PN-M-80026 [31]</w:t>
      </w:r>
    </w:p>
    <w:tbl>
      <w:tblPr>
        <w:tblW w:w="0" w:type="auto"/>
        <w:tblCellMar>
          <w:left w:w="70" w:type="dxa"/>
          <w:right w:w="70" w:type="dxa"/>
        </w:tblCellMar>
        <w:tblLook w:val="04A0" w:firstRow="1" w:lastRow="0" w:firstColumn="1" w:lastColumn="0" w:noHBand="0" w:noVBand="1"/>
      </w:tblPr>
      <w:tblGrid>
        <w:gridCol w:w="2764"/>
        <w:gridCol w:w="2160"/>
        <w:gridCol w:w="2586"/>
      </w:tblGrid>
      <w:tr w:rsidR="0084667E" w:rsidRPr="0084667E" w14:paraId="51ED12AB" w14:textId="77777777" w:rsidTr="0084667E">
        <w:tc>
          <w:tcPr>
            <w:tcW w:w="2764" w:type="dxa"/>
            <w:tcBorders>
              <w:top w:val="single" w:sz="6" w:space="0" w:color="auto"/>
              <w:left w:val="single" w:sz="6" w:space="0" w:color="auto"/>
              <w:bottom w:val="double" w:sz="6" w:space="0" w:color="auto"/>
              <w:right w:val="single" w:sz="6" w:space="0" w:color="auto"/>
            </w:tcBorders>
            <w:noWrap/>
            <w:hideMark/>
          </w:tcPr>
          <w:p w14:paraId="73E2A5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Nominalna średnica drutu, mm</w:t>
            </w:r>
          </w:p>
        </w:tc>
        <w:tc>
          <w:tcPr>
            <w:tcW w:w="4746" w:type="dxa"/>
            <w:gridSpan w:val="2"/>
            <w:tcBorders>
              <w:top w:val="single" w:sz="6" w:space="0" w:color="auto"/>
              <w:left w:val="single" w:sz="6" w:space="0" w:color="auto"/>
              <w:bottom w:val="double" w:sz="6" w:space="0" w:color="auto"/>
              <w:right w:val="single" w:sz="6" w:space="0" w:color="auto"/>
            </w:tcBorders>
            <w:noWrap/>
            <w:hideMark/>
          </w:tcPr>
          <w:p w14:paraId="58F1DE6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Dopuszczalna odchyłka drutu ocynkowanego, mm</w:t>
            </w:r>
          </w:p>
        </w:tc>
      </w:tr>
      <w:tr w:rsidR="0084667E" w:rsidRPr="0084667E" w14:paraId="3E6B7342" w14:textId="77777777" w:rsidTr="0084667E">
        <w:tc>
          <w:tcPr>
            <w:tcW w:w="2764" w:type="dxa"/>
            <w:tcBorders>
              <w:top w:val="nil"/>
              <w:left w:val="single" w:sz="6" w:space="0" w:color="auto"/>
              <w:bottom w:val="nil"/>
              <w:right w:val="nil"/>
            </w:tcBorders>
            <w:noWrap/>
            <w:hideMark/>
          </w:tcPr>
          <w:p w14:paraId="0EF2056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2,0 do 3,0</w:t>
            </w:r>
          </w:p>
        </w:tc>
        <w:tc>
          <w:tcPr>
            <w:tcW w:w="2160" w:type="dxa"/>
            <w:tcBorders>
              <w:top w:val="nil"/>
              <w:left w:val="single" w:sz="6" w:space="0" w:color="auto"/>
              <w:bottom w:val="nil"/>
              <w:right w:val="nil"/>
            </w:tcBorders>
            <w:noWrap/>
            <w:hideMark/>
          </w:tcPr>
          <w:p w14:paraId="75C5639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+ 0,08</w:t>
            </w:r>
          </w:p>
        </w:tc>
        <w:tc>
          <w:tcPr>
            <w:tcW w:w="2586" w:type="dxa"/>
            <w:tcBorders>
              <w:top w:val="nil"/>
              <w:left w:val="nil"/>
              <w:bottom w:val="nil"/>
              <w:right w:val="single" w:sz="6" w:space="0" w:color="auto"/>
            </w:tcBorders>
            <w:noWrap/>
            <w:hideMark/>
          </w:tcPr>
          <w:p w14:paraId="308A22F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- 0,03</w:t>
            </w:r>
          </w:p>
        </w:tc>
      </w:tr>
      <w:tr w:rsidR="0084667E" w:rsidRPr="0084667E" w14:paraId="362D4020" w14:textId="77777777" w:rsidTr="0084667E">
        <w:tc>
          <w:tcPr>
            <w:tcW w:w="2764" w:type="dxa"/>
            <w:tcBorders>
              <w:top w:val="nil"/>
              <w:left w:val="single" w:sz="6" w:space="0" w:color="auto"/>
              <w:bottom w:val="single" w:sz="6" w:space="0" w:color="auto"/>
              <w:right w:val="nil"/>
            </w:tcBorders>
            <w:noWrap/>
            <w:hideMark/>
          </w:tcPr>
          <w:p w14:paraId="3B31808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3,1 do 4,0</w:t>
            </w:r>
          </w:p>
        </w:tc>
        <w:tc>
          <w:tcPr>
            <w:tcW w:w="2160" w:type="dxa"/>
            <w:tcBorders>
              <w:top w:val="nil"/>
              <w:left w:val="single" w:sz="6" w:space="0" w:color="auto"/>
              <w:bottom w:val="single" w:sz="6" w:space="0" w:color="auto"/>
              <w:right w:val="nil"/>
            </w:tcBorders>
            <w:noWrap/>
            <w:hideMark/>
          </w:tcPr>
          <w:p w14:paraId="751D3EF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+ 0,10</w:t>
            </w:r>
          </w:p>
        </w:tc>
        <w:tc>
          <w:tcPr>
            <w:tcW w:w="2586" w:type="dxa"/>
            <w:tcBorders>
              <w:top w:val="nil"/>
              <w:left w:val="nil"/>
              <w:bottom w:val="single" w:sz="6" w:space="0" w:color="auto"/>
              <w:right w:val="single" w:sz="6" w:space="0" w:color="auto"/>
            </w:tcBorders>
            <w:noWrap/>
            <w:hideMark/>
          </w:tcPr>
          <w:p w14:paraId="7E058E3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- 0,04</w:t>
            </w:r>
          </w:p>
        </w:tc>
      </w:tr>
    </w:tbl>
    <w:p w14:paraId="0101E060" w14:textId="77777777" w:rsidR="0084667E" w:rsidRPr="0084667E" w:rsidRDefault="0084667E" w:rsidP="0084667E">
      <w:pPr>
        <w:rPr>
          <w:rFonts w:ascii="Times New Roman" w:hAnsi="Times New Roman" w:cs="Times New Roman"/>
          <w:color w:val="000000" w:themeColor="text1"/>
        </w:rPr>
      </w:pPr>
    </w:p>
    <w:p w14:paraId="400960B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Drut powinien być ocynkowany zanurzeniowo (ogniowo) z wyższą dokładnością ocynkowania, określoną zgodnie z PN-M-80026 [31] (tablica 4).</w:t>
      </w:r>
    </w:p>
    <w:p w14:paraId="42CF71B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4. Grubość powłoki cynkowej dla drutu ocynkowanego, w siatce plecionej ślimakowej, wg PN-M-80026 [31]</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3755"/>
        <w:gridCol w:w="3755"/>
      </w:tblGrid>
      <w:tr w:rsidR="0084667E" w:rsidRPr="0084667E" w14:paraId="0B6E4BCF" w14:textId="77777777" w:rsidTr="0084667E">
        <w:tc>
          <w:tcPr>
            <w:tcW w:w="3755" w:type="dxa"/>
            <w:tcBorders>
              <w:top w:val="single" w:sz="6" w:space="0" w:color="auto"/>
              <w:left w:val="single" w:sz="6" w:space="0" w:color="auto"/>
              <w:bottom w:val="double" w:sz="6" w:space="0" w:color="auto"/>
              <w:right w:val="single" w:sz="6" w:space="0" w:color="auto"/>
            </w:tcBorders>
            <w:noWrap/>
            <w:hideMark/>
          </w:tcPr>
          <w:p w14:paraId="2B4B6C9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Średnica drutu, mm</w:t>
            </w:r>
          </w:p>
        </w:tc>
        <w:tc>
          <w:tcPr>
            <w:tcW w:w="3755" w:type="dxa"/>
            <w:tcBorders>
              <w:top w:val="single" w:sz="6" w:space="0" w:color="auto"/>
              <w:left w:val="single" w:sz="6" w:space="0" w:color="auto"/>
              <w:bottom w:val="double" w:sz="6" w:space="0" w:color="auto"/>
              <w:right w:val="single" w:sz="6" w:space="0" w:color="auto"/>
            </w:tcBorders>
            <w:noWrap/>
            <w:hideMark/>
          </w:tcPr>
          <w:p w14:paraId="07921C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Minimalna ilość cynku, g/m</w:t>
            </w:r>
            <w:r w:rsidRPr="0084667E">
              <w:rPr>
                <w:rFonts w:ascii="Times New Roman" w:hAnsi="Times New Roman" w:cs="Times New Roman"/>
                <w:color w:val="000000" w:themeColor="text1"/>
                <w:vertAlign w:val="superscript"/>
              </w:rPr>
              <w:t>2</w:t>
            </w:r>
          </w:p>
        </w:tc>
      </w:tr>
      <w:tr w:rsidR="0084667E" w:rsidRPr="0084667E" w14:paraId="1C0C2469" w14:textId="77777777" w:rsidTr="0084667E">
        <w:tc>
          <w:tcPr>
            <w:tcW w:w="3755" w:type="dxa"/>
            <w:tcBorders>
              <w:top w:val="nil"/>
              <w:left w:val="single" w:sz="6" w:space="0" w:color="auto"/>
              <w:bottom w:val="single" w:sz="6" w:space="0" w:color="auto"/>
              <w:right w:val="single" w:sz="6" w:space="0" w:color="auto"/>
            </w:tcBorders>
            <w:noWrap/>
            <w:hideMark/>
          </w:tcPr>
          <w:p w14:paraId="215F05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2,0 do 2,5</w:t>
            </w:r>
          </w:p>
          <w:p w14:paraId="555E81D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2,51 do 3,6</w:t>
            </w:r>
          </w:p>
          <w:p w14:paraId="25A86EB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3,61 do 4,0</w:t>
            </w:r>
          </w:p>
        </w:tc>
        <w:tc>
          <w:tcPr>
            <w:tcW w:w="3755" w:type="dxa"/>
            <w:tcBorders>
              <w:top w:val="nil"/>
              <w:left w:val="single" w:sz="6" w:space="0" w:color="auto"/>
              <w:bottom w:val="single" w:sz="6" w:space="0" w:color="auto"/>
              <w:right w:val="single" w:sz="6" w:space="0" w:color="auto"/>
            </w:tcBorders>
            <w:noWrap/>
            <w:hideMark/>
          </w:tcPr>
          <w:p w14:paraId="49AB8F1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70</w:t>
            </w:r>
          </w:p>
          <w:p w14:paraId="559D127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w:t>
            </w:r>
          </w:p>
          <w:p w14:paraId="05DA200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90</w:t>
            </w:r>
          </w:p>
        </w:tc>
      </w:tr>
    </w:tbl>
    <w:p w14:paraId="18DD7E87" w14:textId="77777777" w:rsidR="0084667E" w:rsidRPr="0084667E" w:rsidRDefault="0084667E" w:rsidP="0084667E">
      <w:pPr>
        <w:rPr>
          <w:rFonts w:ascii="Times New Roman" w:hAnsi="Times New Roman" w:cs="Times New Roman"/>
          <w:color w:val="000000" w:themeColor="text1"/>
        </w:rPr>
      </w:pPr>
    </w:p>
    <w:p w14:paraId="044BC53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Producent drutu, zgodnie z postanowieniami PN-M-80026 [31] na żądanie odbiorcy, ma obowiązek wystawić zaświadczenie zawierające m.in. wyniki przeprowadzonych badań, w tym sprawdzenia grubości powłoki cynkowej według PN-M-80006 [30].</w:t>
      </w:r>
    </w:p>
    <w:p w14:paraId="69DA27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2.3.1.2. Siatki metalowe innych typów</w:t>
      </w:r>
    </w:p>
    <w:p w14:paraId="711CB7E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Siatki metalowe innych typów, jak np. siatka zwijana z drutu, siatka o splocie tkackim, siatka jednolita z ciętej blachy stalowej (przykłady: załącznik 11.1, pkt 11.1.2), siatka zgrzewana, siatki skręcane z różnymi kształtami oczek, siatka w ramach stalowych (przykład: załącznik 11.1, pkt 11.1.4), itp. powinny odpowiadać wymaganiom określonym w punkcie 2.3.1.1 niniejszej OST, z wyjątkiem zaleceń nawiązujących bezpośrednio do cech siatki plecionej ślimakowej.</w:t>
      </w:r>
    </w:p>
    <w:p w14:paraId="75C887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odstępstwa i zmiany w stosunku do wymagań określonych w p. 2.3.1.1 Wykonawca powinien przedstawić do akceptacji Inżyniera.</w:t>
      </w:r>
    </w:p>
    <w:p w14:paraId="28FFCDA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2.3.2. </w:t>
      </w:r>
      <w:r w:rsidRPr="0084667E">
        <w:rPr>
          <w:rFonts w:ascii="Times New Roman" w:hAnsi="Times New Roman" w:cs="Times New Roman"/>
          <w:color w:val="000000" w:themeColor="text1"/>
        </w:rPr>
        <w:t>Siatka z tworzywa sztucznego (z polietylenu)</w:t>
      </w:r>
    </w:p>
    <w:p w14:paraId="7880E83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Siatka z tworzywa sztucznego, bezwęzełkowa ciężka z polietylenu, powinna odpowiadać wymaganiom określonym przez BN-80/6366-02 [41] i podanym w tablicy 5.</w:t>
      </w:r>
    </w:p>
    <w:p w14:paraId="045965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5. Wymagania dla siatki ogrodzeniowej z polietylenu, według BN-80/6366-02 [41]</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323"/>
        <w:gridCol w:w="1594"/>
        <w:gridCol w:w="1594"/>
      </w:tblGrid>
      <w:tr w:rsidR="0084667E" w:rsidRPr="0084667E" w14:paraId="2DD67FF7"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749563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Typ siatki</w:t>
            </w:r>
          </w:p>
        </w:tc>
        <w:tc>
          <w:tcPr>
            <w:tcW w:w="1594" w:type="dxa"/>
            <w:tcBorders>
              <w:top w:val="single" w:sz="6" w:space="0" w:color="auto"/>
              <w:left w:val="single" w:sz="6" w:space="0" w:color="auto"/>
              <w:bottom w:val="single" w:sz="6" w:space="0" w:color="auto"/>
              <w:right w:val="single" w:sz="6" w:space="0" w:color="auto"/>
            </w:tcBorders>
            <w:noWrap/>
            <w:hideMark/>
          </w:tcPr>
          <w:p w14:paraId="221398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301</w:t>
            </w:r>
          </w:p>
        </w:tc>
        <w:tc>
          <w:tcPr>
            <w:tcW w:w="1594" w:type="dxa"/>
            <w:tcBorders>
              <w:top w:val="single" w:sz="6" w:space="0" w:color="auto"/>
              <w:left w:val="single" w:sz="6" w:space="0" w:color="auto"/>
              <w:bottom w:val="single" w:sz="6" w:space="0" w:color="auto"/>
              <w:right w:val="single" w:sz="6" w:space="0" w:color="auto"/>
            </w:tcBorders>
            <w:noWrap/>
            <w:hideMark/>
          </w:tcPr>
          <w:p w14:paraId="64C67DD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302</w:t>
            </w:r>
          </w:p>
        </w:tc>
      </w:tr>
      <w:tr w:rsidR="0084667E" w:rsidRPr="0084667E" w14:paraId="55D9AFE9"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18F7FEE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Surowiec</w:t>
            </w:r>
          </w:p>
        </w:tc>
        <w:tc>
          <w:tcPr>
            <w:tcW w:w="3187" w:type="dxa"/>
            <w:gridSpan w:val="2"/>
            <w:tcBorders>
              <w:top w:val="single" w:sz="6" w:space="0" w:color="auto"/>
              <w:left w:val="single" w:sz="6" w:space="0" w:color="auto"/>
              <w:bottom w:val="single" w:sz="6" w:space="0" w:color="auto"/>
              <w:right w:val="single" w:sz="6" w:space="0" w:color="auto"/>
            </w:tcBorders>
            <w:noWrap/>
            <w:hideMark/>
          </w:tcPr>
          <w:p w14:paraId="7CFB75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polietylen dużej gęstości</w:t>
            </w:r>
          </w:p>
        </w:tc>
      </w:tr>
      <w:tr w:rsidR="0084667E" w:rsidRPr="0084667E" w14:paraId="2CBD4272"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1B3E6A1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Szerokość siatki, mm </w:t>
            </w:r>
          </w:p>
          <w:p w14:paraId="4477E1A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 wykonanym ogrodzeniu - wysokość)</w:t>
            </w:r>
          </w:p>
        </w:tc>
        <w:tc>
          <w:tcPr>
            <w:tcW w:w="1594" w:type="dxa"/>
            <w:tcBorders>
              <w:top w:val="single" w:sz="6" w:space="0" w:color="auto"/>
              <w:left w:val="single" w:sz="6" w:space="0" w:color="auto"/>
              <w:bottom w:val="single" w:sz="6" w:space="0" w:color="auto"/>
              <w:right w:val="single" w:sz="6" w:space="0" w:color="auto"/>
            </w:tcBorders>
            <w:noWrap/>
            <w:hideMark/>
          </w:tcPr>
          <w:p w14:paraId="46185E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1300</w:t>
            </w:r>
          </w:p>
        </w:tc>
        <w:tc>
          <w:tcPr>
            <w:tcW w:w="1594" w:type="dxa"/>
            <w:tcBorders>
              <w:top w:val="single" w:sz="6" w:space="0" w:color="auto"/>
              <w:left w:val="single" w:sz="6" w:space="0" w:color="auto"/>
              <w:bottom w:val="single" w:sz="6" w:space="0" w:color="auto"/>
              <w:right w:val="single" w:sz="6" w:space="0" w:color="auto"/>
            </w:tcBorders>
            <w:noWrap/>
            <w:hideMark/>
          </w:tcPr>
          <w:p w14:paraId="2FDF834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1500</w:t>
            </w:r>
          </w:p>
        </w:tc>
      </w:tr>
      <w:tr w:rsidR="0084667E" w:rsidRPr="0084667E" w14:paraId="322DE738"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73AAD39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szerokości, mm</w:t>
            </w:r>
          </w:p>
        </w:tc>
        <w:tc>
          <w:tcPr>
            <w:tcW w:w="1594" w:type="dxa"/>
            <w:tcBorders>
              <w:top w:val="single" w:sz="6" w:space="0" w:color="auto"/>
              <w:left w:val="single" w:sz="6" w:space="0" w:color="auto"/>
              <w:bottom w:val="single" w:sz="6" w:space="0" w:color="auto"/>
              <w:right w:val="single" w:sz="6" w:space="0" w:color="auto"/>
            </w:tcBorders>
            <w:noWrap/>
            <w:hideMark/>
          </w:tcPr>
          <w:p w14:paraId="7B8479A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30</w:t>
            </w:r>
          </w:p>
        </w:tc>
        <w:tc>
          <w:tcPr>
            <w:tcW w:w="1594" w:type="dxa"/>
            <w:tcBorders>
              <w:top w:val="single" w:sz="6" w:space="0" w:color="auto"/>
              <w:left w:val="single" w:sz="6" w:space="0" w:color="auto"/>
              <w:bottom w:val="single" w:sz="6" w:space="0" w:color="auto"/>
              <w:right w:val="single" w:sz="6" w:space="0" w:color="auto"/>
            </w:tcBorders>
            <w:noWrap/>
            <w:hideMark/>
          </w:tcPr>
          <w:p w14:paraId="243C239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30</w:t>
            </w:r>
          </w:p>
        </w:tc>
      </w:tr>
      <w:tr w:rsidR="0084667E" w:rsidRPr="0084667E" w14:paraId="30C5423D"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260C0B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Kąt oczka, stopni</w:t>
            </w:r>
          </w:p>
        </w:tc>
        <w:tc>
          <w:tcPr>
            <w:tcW w:w="1594" w:type="dxa"/>
            <w:tcBorders>
              <w:top w:val="single" w:sz="6" w:space="0" w:color="auto"/>
              <w:left w:val="single" w:sz="6" w:space="0" w:color="auto"/>
              <w:bottom w:val="single" w:sz="6" w:space="0" w:color="auto"/>
              <w:right w:val="single" w:sz="6" w:space="0" w:color="auto"/>
            </w:tcBorders>
            <w:noWrap/>
            <w:hideMark/>
          </w:tcPr>
          <w:p w14:paraId="3730D4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90</w:t>
            </w:r>
          </w:p>
        </w:tc>
        <w:tc>
          <w:tcPr>
            <w:tcW w:w="1594" w:type="dxa"/>
            <w:tcBorders>
              <w:top w:val="single" w:sz="6" w:space="0" w:color="auto"/>
              <w:left w:val="single" w:sz="6" w:space="0" w:color="auto"/>
              <w:bottom w:val="single" w:sz="6" w:space="0" w:color="auto"/>
              <w:right w:val="single" w:sz="6" w:space="0" w:color="auto"/>
            </w:tcBorders>
            <w:noWrap/>
            <w:hideMark/>
          </w:tcPr>
          <w:p w14:paraId="674DDA8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90</w:t>
            </w:r>
          </w:p>
        </w:tc>
      </w:tr>
      <w:tr w:rsidR="0084667E" w:rsidRPr="0084667E" w14:paraId="3333F254"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1A8AE5C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kąta oczka, stopni</w:t>
            </w:r>
          </w:p>
        </w:tc>
        <w:tc>
          <w:tcPr>
            <w:tcW w:w="1594" w:type="dxa"/>
            <w:tcBorders>
              <w:top w:val="single" w:sz="6" w:space="0" w:color="auto"/>
              <w:left w:val="single" w:sz="6" w:space="0" w:color="auto"/>
              <w:bottom w:val="single" w:sz="6" w:space="0" w:color="auto"/>
              <w:right w:val="single" w:sz="6" w:space="0" w:color="auto"/>
            </w:tcBorders>
            <w:noWrap/>
            <w:hideMark/>
          </w:tcPr>
          <w:p w14:paraId="5D9E691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5</w:t>
            </w:r>
          </w:p>
        </w:tc>
        <w:tc>
          <w:tcPr>
            <w:tcW w:w="1594" w:type="dxa"/>
            <w:tcBorders>
              <w:top w:val="single" w:sz="6" w:space="0" w:color="auto"/>
              <w:left w:val="single" w:sz="6" w:space="0" w:color="auto"/>
              <w:bottom w:val="single" w:sz="6" w:space="0" w:color="auto"/>
              <w:right w:val="single" w:sz="6" w:space="0" w:color="auto"/>
            </w:tcBorders>
            <w:noWrap/>
            <w:hideMark/>
          </w:tcPr>
          <w:p w14:paraId="2132C17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5</w:t>
            </w:r>
          </w:p>
        </w:tc>
      </w:tr>
      <w:tr w:rsidR="0084667E" w:rsidRPr="0084667E" w14:paraId="2A0040F7" w14:textId="77777777" w:rsidTr="0084667E">
        <w:tc>
          <w:tcPr>
            <w:tcW w:w="4323" w:type="dxa"/>
            <w:tcBorders>
              <w:top w:val="single" w:sz="6" w:space="0" w:color="auto"/>
              <w:left w:val="single" w:sz="6" w:space="0" w:color="auto"/>
              <w:bottom w:val="single" w:sz="6" w:space="0" w:color="auto"/>
              <w:right w:val="single" w:sz="6" w:space="0" w:color="auto"/>
            </w:tcBorders>
            <w:noWrap/>
            <w:hideMark/>
          </w:tcPr>
          <w:p w14:paraId="6AE458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siatki, g/m</w:t>
            </w:r>
          </w:p>
        </w:tc>
        <w:tc>
          <w:tcPr>
            <w:tcW w:w="1594" w:type="dxa"/>
            <w:tcBorders>
              <w:top w:val="single" w:sz="6" w:space="0" w:color="auto"/>
              <w:left w:val="single" w:sz="6" w:space="0" w:color="auto"/>
              <w:bottom w:val="single" w:sz="6" w:space="0" w:color="auto"/>
              <w:right w:val="single" w:sz="6" w:space="0" w:color="auto"/>
            </w:tcBorders>
            <w:noWrap/>
            <w:hideMark/>
          </w:tcPr>
          <w:p w14:paraId="55120AB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600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50</w:t>
            </w:r>
          </w:p>
        </w:tc>
        <w:tc>
          <w:tcPr>
            <w:tcW w:w="1594" w:type="dxa"/>
            <w:tcBorders>
              <w:top w:val="single" w:sz="6" w:space="0" w:color="auto"/>
              <w:left w:val="single" w:sz="6" w:space="0" w:color="auto"/>
              <w:bottom w:val="single" w:sz="6" w:space="0" w:color="auto"/>
              <w:right w:val="single" w:sz="6" w:space="0" w:color="auto"/>
            </w:tcBorders>
            <w:noWrap/>
            <w:hideMark/>
          </w:tcPr>
          <w:p w14:paraId="3032DAC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700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50</w:t>
            </w:r>
          </w:p>
        </w:tc>
      </w:tr>
    </w:tbl>
    <w:p w14:paraId="66C90571" w14:textId="77777777" w:rsidR="0084667E" w:rsidRPr="0084667E" w:rsidRDefault="0084667E" w:rsidP="0084667E">
      <w:pPr>
        <w:rPr>
          <w:rFonts w:ascii="Times New Roman" w:hAnsi="Times New Roman" w:cs="Times New Roman"/>
          <w:color w:val="000000" w:themeColor="text1"/>
        </w:rPr>
      </w:pPr>
    </w:p>
    <w:p w14:paraId="48E2A5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Długość, dostarczonej przez producenta, siatki zwiniętej w rolkę powinna wynosić 25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 m, przy czym rolki powinny być ściśle i równo nawinięte. Dopuszcza się rolki złożone z dwóch odcinków siatki, przy czym odcinek nie może być krótszy od 5 m.</w:t>
      </w:r>
    </w:p>
    <w:p w14:paraId="39EE5D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Siatkę bezwęzełkową ciężką z tworzywa sztucznego należy przechowywać w odległości nie mniejszej niż 1 m od czynnych urządzeń grzewczych. W czasie składowania rolki nie mogą być układane na krzyż.</w:t>
      </w:r>
    </w:p>
    <w:p w14:paraId="088DFE2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2.3.3. </w:t>
      </w:r>
      <w:r w:rsidRPr="0084667E">
        <w:rPr>
          <w:rFonts w:ascii="Times New Roman" w:hAnsi="Times New Roman" w:cs="Times New Roman"/>
          <w:color w:val="000000" w:themeColor="text1"/>
        </w:rPr>
        <w:t>Liny stalowe</w:t>
      </w:r>
    </w:p>
    <w:p w14:paraId="4A5C4C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Stalowe linki usztywniające siatkę ogrodzenia powinny odpowiadać wymaganiom określonym przez PN-M-80201 [32] i PN-M-80202 [33].</w:t>
      </w:r>
    </w:p>
    <w:p w14:paraId="51DF654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Druty w splocie liny powinny do siebie ściśle przylegać, być równo naciągnięte, nie powinny krzyżować się w poszczególnych warstwach. Nie powinno być drutów luźnych. Końce drutów powinny być łączone przez zgrzewanie doczołowe lub lutowanie mosiądzem. Miejsca łączenia przez lutowanie lub zgrzewanie nie powinny być kruche i posiadać zgrubienia i ścienienia. Odległość między poszczególnymi miejscami łączenia drutów zwijanych w jednej operacji nie powinna być mniejsza niż 500-krotna średnica splotki.</w:t>
      </w:r>
    </w:p>
    <w:p w14:paraId="023DD9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 i własności wytrzymałościowe lin powinny odpowiadać wymaganiom określonym w tablicy 6.</w:t>
      </w:r>
    </w:p>
    <w:p w14:paraId="19D82725" w14:textId="77777777" w:rsidR="0084667E" w:rsidRPr="0084667E" w:rsidRDefault="0084667E" w:rsidP="0084667E">
      <w:pPr>
        <w:rPr>
          <w:rFonts w:ascii="Times New Roman" w:hAnsi="Times New Roman" w:cs="Times New Roman"/>
          <w:color w:val="000000" w:themeColor="text1"/>
        </w:rPr>
      </w:pPr>
    </w:p>
    <w:p w14:paraId="1462825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6. Wymiary i własności wytrzymałościowe lin stalowych wg PN-M-80202 [33] i PN-M-80201 [32]</w:t>
      </w:r>
    </w:p>
    <w:tbl>
      <w:tblPr>
        <w:tblW w:w="0" w:type="auto"/>
        <w:tblInd w:w="8" w:type="dxa"/>
        <w:tblCellMar>
          <w:left w:w="70" w:type="dxa"/>
          <w:right w:w="70" w:type="dxa"/>
        </w:tblCellMar>
        <w:tblLook w:val="04A0" w:firstRow="1" w:lastRow="0" w:firstColumn="1" w:lastColumn="0" w:noHBand="0" w:noVBand="1"/>
      </w:tblPr>
      <w:tblGrid>
        <w:gridCol w:w="1118"/>
        <w:gridCol w:w="1134"/>
        <w:gridCol w:w="992"/>
        <w:gridCol w:w="1191"/>
        <w:gridCol w:w="1111"/>
        <w:gridCol w:w="1111"/>
        <w:gridCol w:w="1244"/>
      </w:tblGrid>
      <w:tr w:rsidR="0084667E" w:rsidRPr="0084667E" w14:paraId="096014BF" w14:textId="77777777" w:rsidTr="0084667E">
        <w:tc>
          <w:tcPr>
            <w:tcW w:w="1063" w:type="dxa"/>
            <w:tcBorders>
              <w:top w:val="single" w:sz="6" w:space="0" w:color="auto"/>
              <w:left w:val="single" w:sz="6" w:space="0" w:color="auto"/>
              <w:bottom w:val="nil"/>
              <w:right w:val="nil"/>
            </w:tcBorders>
            <w:noWrap/>
            <w:hideMark/>
          </w:tcPr>
          <w:p w14:paraId="222F5A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Nominalna</w:t>
            </w:r>
          </w:p>
          <w:p w14:paraId="0DBE860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średnica liny, </w:t>
            </w:r>
          </w:p>
        </w:tc>
        <w:tc>
          <w:tcPr>
            <w:tcW w:w="1134" w:type="dxa"/>
            <w:tcBorders>
              <w:top w:val="single" w:sz="6" w:space="0" w:color="auto"/>
              <w:left w:val="single" w:sz="6" w:space="0" w:color="auto"/>
              <w:bottom w:val="nil"/>
              <w:right w:val="nil"/>
            </w:tcBorders>
            <w:noWrap/>
            <w:hideMark/>
          </w:tcPr>
          <w:p w14:paraId="612903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Odchyłka nominalnej średnicy liny, </w:t>
            </w:r>
          </w:p>
        </w:tc>
        <w:tc>
          <w:tcPr>
            <w:tcW w:w="992" w:type="dxa"/>
            <w:tcBorders>
              <w:top w:val="single" w:sz="6" w:space="0" w:color="auto"/>
              <w:left w:val="single" w:sz="6" w:space="0" w:color="auto"/>
              <w:bottom w:val="nil"/>
              <w:right w:val="single" w:sz="6" w:space="0" w:color="auto"/>
            </w:tcBorders>
            <w:noWrap/>
            <w:hideMark/>
          </w:tcPr>
          <w:p w14:paraId="7D80C5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Średnica drutu, </w:t>
            </w:r>
          </w:p>
        </w:tc>
        <w:tc>
          <w:tcPr>
            <w:tcW w:w="992" w:type="dxa"/>
            <w:tcBorders>
              <w:top w:val="single" w:sz="6" w:space="0" w:color="auto"/>
              <w:left w:val="nil"/>
              <w:bottom w:val="nil"/>
              <w:right w:val="single" w:sz="6" w:space="0" w:color="auto"/>
            </w:tcBorders>
            <w:noWrap/>
            <w:hideMark/>
          </w:tcPr>
          <w:p w14:paraId="5016115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Przybliżona masa</w:t>
            </w:r>
          </w:p>
          <w:p w14:paraId="79A43E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1 m liny, </w:t>
            </w:r>
          </w:p>
        </w:tc>
        <w:tc>
          <w:tcPr>
            <w:tcW w:w="3466" w:type="dxa"/>
            <w:gridSpan w:val="3"/>
            <w:tcBorders>
              <w:top w:val="single" w:sz="6" w:space="0" w:color="auto"/>
              <w:left w:val="nil"/>
              <w:bottom w:val="single" w:sz="6" w:space="0" w:color="auto"/>
              <w:right w:val="single" w:sz="6" w:space="0" w:color="auto"/>
            </w:tcBorders>
            <w:noWrap/>
            <w:hideMark/>
          </w:tcPr>
          <w:p w14:paraId="2D0DE6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Nominalna obliczeniowa siła zrywająca linę w niutonach (N), dla nominalnej wytrzymałości drutu na rozciąganie w MPa</w:t>
            </w:r>
          </w:p>
        </w:tc>
      </w:tr>
      <w:tr w:rsidR="0084667E" w:rsidRPr="0084667E" w14:paraId="629BEB33" w14:textId="77777777" w:rsidTr="0084667E">
        <w:tc>
          <w:tcPr>
            <w:tcW w:w="1063" w:type="dxa"/>
            <w:tcBorders>
              <w:top w:val="nil"/>
              <w:left w:val="single" w:sz="6" w:space="0" w:color="auto"/>
              <w:bottom w:val="double" w:sz="6" w:space="0" w:color="auto"/>
              <w:right w:val="single" w:sz="6" w:space="0" w:color="auto"/>
            </w:tcBorders>
            <w:noWrap/>
            <w:hideMark/>
          </w:tcPr>
          <w:p w14:paraId="46089B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134" w:type="dxa"/>
            <w:tcBorders>
              <w:top w:val="nil"/>
              <w:left w:val="nil"/>
              <w:bottom w:val="double" w:sz="6" w:space="0" w:color="auto"/>
              <w:right w:val="nil"/>
            </w:tcBorders>
            <w:noWrap/>
            <w:hideMark/>
          </w:tcPr>
          <w:p w14:paraId="533A065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t>
            </w:r>
          </w:p>
        </w:tc>
        <w:tc>
          <w:tcPr>
            <w:tcW w:w="992" w:type="dxa"/>
            <w:tcBorders>
              <w:top w:val="nil"/>
              <w:left w:val="single" w:sz="6" w:space="0" w:color="auto"/>
              <w:bottom w:val="double" w:sz="6" w:space="0" w:color="auto"/>
              <w:right w:val="single" w:sz="6" w:space="0" w:color="auto"/>
            </w:tcBorders>
            <w:noWrap/>
            <w:hideMark/>
          </w:tcPr>
          <w:p w14:paraId="741190F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992" w:type="dxa"/>
            <w:tcBorders>
              <w:top w:val="nil"/>
              <w:left w:val="nil"/>
              <w:bottom w:val="double" w:sz="6" w:space="0" w:color="auto"/>
              <w:right w:val="nil"/>
            </w:tcBorders>
            <w:noWrap/>
            <w:hideMark/>
          </w:tcPr>
          <w:p w14:paraId="60F251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w:t>
            </w:r>
          </w:p>
        </w:tc>
        <w:tc>
          <w:tcPr>
            <w:tcW w:w="1111" w:type="dxa"/>
            <w:tcBorders>
              <w:top w:val="single" w:sz="6" w:space="0" w:color="auto"/>
              <w:left w:val="single" w:sz="6" w:space="0" w:color="auto"/>
              <w:bottom w:val="double" w:sz="6" w:space="0" w:color="auto"/>
              <w:right w:val="single" w:sz="6" w:space="0" w:color="auto"/>
            </w:tcBorders>
            <w:noWrap/>
            <w:hideMark/>
          </w:tcPr>
          <w:p w14:paraId="4B3C06F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1400</w:t>
            </w:r>
          </w:p>
        </w:tc>
        <w:tc>
          <w:tcPr>
            <w:tcW w:w="1111" w:type="dxa"/>
            <w:tcBorders>
              <w:top w:val="single" w:sz="6" w:space="0" w:color="auto"/>
              <w:left w:val="single" w:sz="6" w:space="0" w:color="auto"/>
              <w:bottom w:val="double" w:sz="6" w:space="0" w:color="auto"/>
              <w:right w:val="single" w:sz="6" w:space="0" w:color="auto"/>
            </w:tcBorders>
            <w:noWrap/>
            <w:hideMark/>
          </w:tcPr>
          <w:p w14:paraId="58E436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1600</w:t>
            </w:r>
          </w:p>
        </w:tc>
        <w:tc>
          <w:tcPr>
            <w:tcW w:w="1244" w:type="dxa"/>
            <w:tcBorders>
              <w:top w:val="single" w:sz="6" w:space="0" w:color="auto"/>
              <w:left w:val="single" w:sz="6" w:space="0" w:color="auto"/>
              <w:bottom w:val="double" w:sz="6" w:space="0" w:color="auto"/>
              <w:right w:val="single" w:sz="6" w:space="0" w:color="auto"/>
            </w:tcBorders>
            <w:noWrap/>
            <w:hideMark/>
          </w:tcPr>
          <w:p w14:paraId="461D06D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1800</w:t>
            </w:r>
          </w:p>
        </w:tc>
      </w:tr>
      <w:tr w:rsidR="0084667E" w:rsidRPr="0084667E" w14:paraId="439D8D9A" w14:textId="77777777" w:rsidTr="0084667E">
        <w:tc>
          <w:tcPr>
            <w:tcW w:w="1063" w:type="dxa"/>
            <w:tcBorders>
              <w:top w:val="nil"/>
              <w:left w:val="single" w:sz="6" w:space="0" w:color="auto"/>
              <w:bottom w:val="single" w:sz="6" w:space="0" w:color="auto"/>
              <w:right w:val="single" w:sz="6" w:space="0" w:color="auto"/>
            </w:tcBorders>
            <w:noWrap/>
            <w:hideMark/>
          </w:tcPr>
          <w:p w14:paraId="129AEAD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p w14:paraId="5C30998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2,8</w:t>
            </w:r>
          </w:p>
          <w:p w14:paraId="4F7F35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3,2</w:t>
            </w:r>
          </w:p>
          <w:p w14:paraId="5E4762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3,6</w:t>
            </w:r>
          </w:p>
          <w:p w14:paraId="73AB48D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p w14:paraId="0D16F83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4,5</w:t>
            </w:r>
          </w:p>
          <w:p w14:paraId="453C226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tc>
        <w:tc>
          <w:tcPr>
            <w:tcW w:w="1134" w:type="dxa"/>
            <w:tcBorders>
              <w:top w:val="nil"/>
              <w:left w:val="single" w:sz="6" w:space="0" w:color="auto"/>
              <w:bottom w:val="single" w:sz="6" w:space="0" w:color="auto"/>
              <w:right w:val="single" w:sz="6" w:space="0" w:color="auto"/>
            </w:tcBorders>
            <w:noWrap/>
            <w:hideMark/>
          </w:tcPr>
          <w:p w14:paraId="2EFFAE0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 -1</w:t>
            </w:r>
          </w:p>
          <w:p w14:paraId="21C3B3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 -1</w:t>
            </w:r>
          </w:p>
          <w:p w14:paraId="6BDAA1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 -1</w:t>
            </w:r>
          </w:p>
          <w:p w14:paraId="3D7494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 -1</w:t>
            </w:r>
          </w:p>
          <w:p w14:paraId="3C679E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 -1</w:t>
            </w:r>
          </w:p>
          <w:p w14:paraId="6E4908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 -1</w:t>
            </w:r>
          </w:p>
          <w:p w14:paraId="02CC4A0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 -1</w:t>
            </w:r>
          </w:p>
        </w:tc>
        <w:tc>
          <w:tcPr>
            <w:tcW w:w="992" w:type="dxa"/>
            <w:tcBorders>
              <w:top w:val="nil"/>
              <w:left w:val="single" w:sz="6" w:space="0" w:color="auto"/>
              <w:bottom w:val="single" w:sz="6" w:space="0" w:color="auto"/>
              <w:right w:val="single" w:sz="6" w:space="0" w:color="auto"/>
            </w:tcBorders>
            <w:noWrap/>
            <w:hideMark/>
          </w:tcPr>
          <w:p w14:paraId="724166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0,8</w:t>
            </w:r>
          </w:p>
          <w:p w14:paraId="5210D7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0,9</w:t>
            </w:r>
          </w:p>
          <w:p w14:paraId="6B36BFC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w:t>
            </w:r>
          </w:p>
          <w:p w14:paraId="2E675A5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1,2</w:t>
            </w:r>
          </w:p>
          <w:p w14:paraId="4E0135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1,3</w:t>
            </w:r>
          </w:p>
          <w:p w14:paraId="1F642E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w:t>
            </w:r>
          </w:p>
          <w:p w14:paraId="614AF1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w:t>
            </w:r>
          </w:p>
        </w:tc>
        <w:tc>
          <w:tcPr>
            <w:tcW w:w="992" w:type="dxa"/>
            <w:tcBorders>
              <w:top w:val="nil"/>
              <w:left w:val="single" w:sz="6" w:space="0" w:color="auto"/>
              <w:bottom w:val="single" w:sz="6" w:space="0" w:color="auto"/>
              <w:right w:val="single" w:sz="6" w:space="0" w:color="auto"/>
            </w:tcBorders>
            <w:noWrap/>
            <w:hideMark/>
          </w:tcPr>
          <w:p w14:paraId="1329F27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0,030</w:t>
            </w:r>
          </w:p>
          <w:p w14:paraId="4B47F8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0,038</w:t>
            </w:r>
          </w:p>
          <w:p w14:paraId="232773A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0,047</w:t>
            </w:r>
          </w:p>
          <w:p w14:paraId="3B8D7A0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0,068</w:t>
            </w:r>
          </w:p>
          <w:p w14:paraId="3D904C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0,080</w:t>
            </w:r>
          </w:p>
          <w:p w14:paraId="63D35CB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0,104</w:t>
            </w:r>
          </w:p>
          <w:p w14:paraId="3E986AE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0,119</w:t>
            </w:r>
          </w:p>
        </w:tc>
        <w:tc>
          <w:tcPr>
            <w:tcW w:w="1111" w:type="dxa"/>
            <w:tcBorders>
              <w:top w:val="nil"/>
              <w:left w:val="single" w:sz="6" w:space="0" w:color="auto"/>
              <w:bottom w:val="single" w:sz="6" w:space="0" w:color="auto"/>
              <w:right w:val="single" w:sz="6" w:space="0" w:color="auto"/>
            </w:tcBorders>
            <w:noWrap/>
            <w:hideMark/>
          </w:tcPr>
          <w:p w14:paraId="784A60B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4920</w:t>
            </w:r>
          </w:p>
          <w:p w14:paraId="586CE77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6230</w:t>
            </w:r>
          </w:p>
          <w:p w14:paraId="64F835F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7680</w:t>
            </w:r>
          </w:p>
          <w:p w14:paraId="213B22F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11000</w:t>
            </w:r>
          </w:p>
          <w:p w14:paraId="74BA31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13000</w:t>
            </w:r>
          </w:p>
          <w:p w14:paraId="25F9BF0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17200</w:t>
            </w:r>
          </w:p>
          <w:p w14:paraId="792360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19600</w:t>
            </w:r>
          </w:p>
        </w:tc>
        <w:tc>
          <w:tcPr>
            <w:tcW w:w="1111" w:type="dxa"/>
            <w:tcBorders>
              <w:top w:val="nil"/>
              <w:left w:val="single" w:sz="6" w:space="0" w:color="auto"/>
              <w:bottom w:val="single" w:sz="6" w:space="0" w:color="auto"/>
              <w:right w:val="single" w:sz="6" w:space="0" w:color="auto"/>
            </w:tcBorders>
            <w:noWrap/>
            <w:hideMark/>
          </w:tcPr>
          <w:p w14:paraId="5D36A4A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5630</w:t>
            </w:r>
          </w:p>
          <w:p w14:paraId="1457E5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7120</w:t>
            </w:r>
          </w:p>
          <w:p w14:paraId="0B17AD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8780</w:t>
            </w:r>
          </w:p>
          <w:p w14:paraId="26626BA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12600</w:t>
            </w:r>
          </w:p>
          <w:p w14:paraId="28C7C4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14800</w:t>
            </w:r>
          </w:p>
          <w:p w14:paraId="12D2C0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19600</w:t>
            </w:r>
          </w:p>
          <w:p w14:paraId="3A3973E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22400</w:t>
            </w:r>
          </w:p>
        </w:tc>
        <w:tc>
          <w:tcPr>
            <w:tcW w:w="1244" w:type="dxa"/>
            <w:tcBorders>
              <w:top w:val="nil"/>
              <w:left w:val="single" w:sz="6" w:space="0" w:color="auto"/>
              <w:bottom w:val="single" w:sz="6" w:space="0" w:color="auto"/>
              <w:right w:val="single" w:sz="6" w:space="0" w:color="auto"/>
            </w:tcBorders>
            <w:noWrap/>
            <w:hideMark/>
          </w:tcPr>
          <w:p w14:paraId="491FF27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6330</w:t>
            </w:r>
          </w:p>
          <w:p w14:paraId="69A62D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8010</w:t>
            </w:r>
          </w:p>
          <w:p w14:paraId="2737F88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9880</w:t>
            </w:r>
          </w:p>
          <w:p w14:paraId="294516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14200</w:t>
            </w:r>
          </w:p>
          <w:p w14:paraId="5A8F2B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16700</w:t>
            </w:r>
          </w:p>
          <w:p w14:paraId="418277D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22100</w:t>
            </w:r>
          </w:p>
          <w:p w14:paraId="453CAB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25200</w:t>
            </w:r>
          </w:p>
        </w:tc>
      </w:tr>
    </w:tbl>
    <w:p w14:paraId="0E4E1E3F" w14:textId="77777777" w:rsidR="0084667E" w:rsidRPr="0084667E" w:rsidRDefault="0084667E" w:rsidP="0084667E">
      <w:pPr>
        <w:rPr>
          <w:rFonts w:ascii="Times New Roman" w:hAnsi="Times New Roman" w:cs="Times New Roman"/>
          <w:color w:val="000000" w:themeColor="text1"/>
        </w:rPr>
      </w:pPr>
    </w:p>
    <w:p w14:paraId="65EB0D6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 stalowy na liny powinien być drutem okrągłym, gładkim, ocynkowanym. Dopuszcza się miejscowe zgrubienia powłoki cynku nie przekraczające następujących wartości dopuszczalnej odchyłki dla średnicy drutu:</w:t>
      </w:r>
    </w:p>
    <w:p w14:paraId="056F3E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średnica </w:t>
      </w:r>
      <w:r w:rsidRPr="0084667E">
        <w:rPr>
          <w:rFonts w:ascii="Times New Roman" w:hAnsi="Times New Roman" w:cs="Times New Roman"/>
          <w:color w:val="000000" w:themeColor="text1"/>
        </w:rPr>
        <w:tab/>
        <w:t>od 0,8 do 1,0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 xml:space="preserve">odchyłka </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0,04 mm</w:t>
      </w:r>
    </w:p>
    <w:p w14:paraId="17B04E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1,0 do 1,5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0,05 mm</w:t>
      </w:r>
    </w:p>
    <w:p w14:paraId="61BCEFB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1,5 do 1,6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0,06 mm</w:t>
      </w:r>
    </w:p>
    <w:p w14:paraId="2845ADC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Ilość cynku na powierzchni drutu powinna wynosić co najmniej:</w:t>
      </w:r>
    </w:p>
    <w:p w14:paraId="1427904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 xml:space="preserve">średnica drutu </w:t>
      </w:r>
      <w:r w:rsidRPr="0084667E">
        <w:rPr>
          <w:rFonts w:ascii="Times New Roman" w:hAnsi="Times New Roman" w:cs="Times New Roman"/>
          <w:color w:val="000000" w:themeColor="text1"/>
        </w:rPr>
        <w:tab/>
        <w:t>od 0,61 do 0,8 mm</w:t>
      </w:r>
      <w:r w:rsidRPr="0084667E">
        <w:rPr>
          <w:rFonts w:ascii="Times New Roman" w:hAnsi="Times New Roman" w:cs="Times New Roman"/>
          <w:color w:val="000000" w:themeColor="text1"/>
        </w:rPr>
        <w:tab/>
        <w:t>ilość cynku</w:t>
      </w:r>
      <w:r w:rsidRPr="0084667E">
        <w:rPr>
          <w:rFonts w:ascii="Times New Roman" w:hAnsi="Times New Roman" w:cs="Times New Roman"/>
          <w:color w:val="000000" w:themeColor="text1"/>
        </w:rPr>
        <w:tab/>
        <w:t xml:space="preserve"> 80 g/m</w:t>
      </w:r>
      <w:r w:rsidRPr="0084667E">
        <w:rPr>
          <w:rFonts w:ascii="Times New Roman" w:hAnsi="Times New Roman" w:cs="Times New Roman"/>
          <w:color w:val="000000" w:themeColor="text1"/>
          <w:vertAlign w:val="superscript"/>
        </w:rPr>
        <w:t>2</w:t>
      </w:r>
    </w:p>
    <w:p w14:paraId="4CD661A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0,81 do 1,0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100 g/m</w:t>
      </w:r>
      <w:r w:rsidRPr="0084667E">
        <w:rPr>
          <w:rFonts w:ascii="Times New Roman" w:hAnsi="Times New Roman" w:cs="Times New Roman"/>
          <w:color w:val="000000" w:themeColor="text1"/>
          <w:vertAlign w:val="superscript"/>
        </w:rPr>
        <w:t>2</w:t>
      </w:r>
    </w:p>
    <w:p w14:paraId="576D6BE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1,01 do 1,2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120 g/m</w:t>
      </w:r>
      <w:r w:rsidRPr="0084667E">
        <w:rPr>
          <w:rFonts w:ascii="Times New Roman" w:hAnsi="Times New Roman" w:cs="Times New Roman"/>
          <w:color w:val="000000" w:themeColor="text1"/>
          <w:vertAlign w:val="superscript"/>
        </w:rPr>
        <w:t>2</w:t>
      </w:r>
    </w:p>
    <w:p w14:paraId="1BD08EA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1,21 do 1,5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150 g/m</w:t>
      </w:r>
      <w:r w:rsidRPr="0084667E">
        <w:rPr>
          <w:rFonts w:ascii="Times New Roman" w:hAnsi="Times New Roman" w:cs="Times New Roman"/>
          <w:color w:val="000000" w:themeColor="text1"/>
          <w:vertAlign w:val="superscript"/>
        </w:rPr>
        <w:t>2</w:t>
      </w:r>
    </w:p>
    <w:p w14:paraId="2AFC5B9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od 1,51 do 1,9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180 g/m</w:t>
      </w:r>
      <w:r w:rsidRPr="0084667E">
        <w:rPr>
          <w:rFonts w:ascii="Times New Roman" w:hAnsi="Times New Roman" w:cs="Times New Roman"/>
          <w:color w:val="000000" w:themeColor="text1"/>
          <w:vertAlign w:val="superscript"/>
        </w:rPr>
        <w:t>2</w:t>
      </w:r>
      <w:r w:rsidRPr="0084667E">
        <w:rPr>
          <w:rFonts w:ascii="Times New Roman" w:hAnsi="Times New Roman" w:cs="Times New Roman"/>
          <w:color w:val="000000" w:themeColor="text1"/>
        </w:rPr>
        <w:t>.</w:t>
      </w:r>
    </w:p>
    <w:p w14:paraId="2E5213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każdej liny, zgodnie z postanowieniami PN-M-80201 [32], na żądanie odbiorcy, powinno być dołączone zaświadczenie wytwórcy z protokołem przeprowadzonych badań, w tym sprawdzenia siły zrywającej linę i jakości powłoki cynkowej.</w:t>
      </w:r>
    </w:p>
    <w:p w14:paraId="1DB8AF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Liny powinny być przechowywane w pomieszczeniach krytych, zamkniętych, z dala od substancji działających korodująco.</w:t>
      </w:r>
    </w:p>
    <w:p w14:paraId="513D1E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 zgodą Inżyniera, zamiast liny stalowej, można stosować drut stalowy okrągły średnicy od 3 do 4 mm, ocynkowany, odpowiadający wymaganiom PN-M-80026 [31], podanym w punkcie 2.3.1.1 niniejszej specyfikacji.</w:t>
      </w:r>
    </w:p>
    <w:p w14:paraId="30C7AB8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2.3.4. </w:t>
      </w:r>
      <w:r w:rsidRPr="0084667E">
        <w:rPr>
          <w:rFonts w:ascii="Times New Roman" w:hAnsi="Times New Roman" w:cs="Times New Roman"/>
          <w:color w:val="000000" w:themeColor="text1"/>
        </w:rPr>
        <w:t>Słupki i elementy metalowe</w:t>
      </w:r>
    </w:p>
    <w:p w14:paraId="770B44A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2.3.4.1. Wymiary i najważniejsze charakterystyki słupków</w:t>
      </w:r>
    </w:p>
    <w:p w14:paraId="0654F3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Słupki metalowe ogrodzeń można wykonywać z ocynkowanych rur okrągłych i wyjątkowo o kształcie kwadratowym lub prostokątnym względnie z kształtowników: kątowników, ceowników (w tym: częściowo zamkniętych) i dwuteowników, zgodnie z dokumentacją projektową, SST lub wskazaniami Inżyniera.</w:t>
      </w:r>
    </w:p>
    <w:p w14:paraId="041666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Wymiary i najważniejsze charakterystyki słupków należy przyjmować zgodnie z tablicami od 7 do 13.</w:t>
      </w:r>
    </w:p>
    <w:p w14:paraId="6A67577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7. Rury stalowe okrągłe bez szwu walcowane na gorąco według PN-H-74219 [10]</w:t>
      </w:r>
    </w:p>
    <w:tbl>
      <w:tblPr>
        <w:tblW w:w="0" w:type="auto"/>
        <w:tblCellMar>
          <w:left w:w="70" w:type="dxa"/>
          <w:right w:w="70" w:type="dxa"/>
        </w:tblCellMar>
        <w:tblLook w:val="04A0" w:firstRow="1" w:lastRow="0" w:firstColumn="1" w:lastColumn="0" w:noHBand="0" w:noVBand="1"/>
      </w:tblPr>
      <w:tblGrid>
        <w:gridCol w:w="1346"/>
        <w:gridCol w:w="1843"/>
        <w:gridCol w:w="1701"/>
        <w:gridCol w:w="1312"/>
        <w:gridCol w:w="1445"/>
      </w:tblGrid>
      <w:tr w:rsidR="0084667E" w:rsidRPr="0084667E" w14:paraId="1C76A53F" w14:textId="77777777" w:rsidTr="0084667E">
        <w:tc>
          <w:tcPr>
            <w:tcW w:w="1346" w:type="dxa"/>
            <w:tcBorders>
              <w:top w:val="single" w:sz="6" w:space="0" w:color="auto"/>
              <w:left w:val="single" w:sz="6" w:space="0" w:color="auto"/>
              <w:bottom w:val="nil"/>
              <w:right w:val="single" w:sz="6" w:space="0" w:color="auto"/>
            </w:tcBorders>
            <w:noWrap/>
            <w:hideMark/>
          </w:tcPr>
          <w:p w14:paraId="1992C8E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Średnica</w:t>
            </w:r>
          </w:p>
        </w:tc>
        <w:tc>
          <w:tcPr>
            <w:tcW w:w="1843" w:type="dxa"/>
            <w:tcBorders>
              <w:top w:val="single" w:sz="6" w:space="0" w:color="auto"/>
              <w:left w:val="nil"/>
              <w:bottom w:val="nil"/>
              <w:right w:val="nil"/>
            </w:tcBorders>
            <w:noWrap/>
            <w:hideMark/>
          </w:tcPr>
          <w:p w14:paraId="2F31C52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Grubość </w:t>
            </w:r>
          </w:p>
        </w:tc>
        <w:tc>
          <w:tcPr>
            <w:tcW w:w="1701" w:type="dxa"/>
            <w:tcBorders>
              <w:top w:val="single" w:sz="6" w:space="0" w:color="auto"/>
              <w:left w:val="single" w:sz="6" w:space="0" w:color="auto"/>
              <w:bottom w:val="nil"/>
              <w:right w:val="nil"/>
            </w:tcBorders>
            <w:noWrap/>
            <w:hideMark/>
          </w:tcPr>
          <w:p w14:paraId="2365E38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w:t>
            </w:r>
          </w:p>
        </w:tc>
        <w:tc>
          <w:tcPr>
            <w:tcW w:w="2757" w:type="dxa"/>
            <w:gridSpan w:val="2"/>
            <w:tcBorders>
              <w:top w:val="single" w:sz="6" w:space="0" w:color="auto"/>
              <w:left w:val="single" w:sz="6" w:space="0" w:color="auto"/>
              <w:bottom w:val="single" w:sz="6" w:space="0" w:color="auto"/>
              <w:right w:val="single" w:sz="6" w:space="0" w:color="auto"/>
            </w:tcBorders>
            <w:noWrap/>
            <w:hideMark/>
          </w:tcPr>
          <w:p w14:paraId="16D5A06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w:t>
            </w:r>
          </w:p>
        </w:tc>
      </w:tr>
      <w:tr w:rsidR="0084667E" w:rsidRPr="0084667E" w14:paraId="36306E3B" w14:textId="77777777" w:rsidTr="0084667E">
        <w:tc>
          <w:tcPr>
            <w:tcW w:w="1346" w:type="dxa"/>
            <w:tcBorders>
              <w:top w:val="nil"/>
              <w:left w:val="single" w:sz="6" w:space="0" w:color="auto"/>
              <w:bottom w:val="double" w:sz="6" w:space="0" w:color="auto"/>
              <w:right w:val="nil"/>
            </w:tcBorders>
            <w:noWrap/>
            <w:hideMark/>
          </w:tcPr>
          <w:p w14:paraId="0EAE2CF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zewnętrzna,</w:t>
            </w:r>
          </w:p>
          <w:p w14:paraId="4AFFD9B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843" w:type="dxa"/>
            <w:tcBorders>
              <w:top w:val="nil"/>
              <w:left w:val="single" w:sz="6" w:space="0" w:color="auto"/>
              <w:bottom w:val="double" w:sz="6" w:space="0" w:color="auto"/>
              <w:right w:val="single" w:sz="6" w:space="0" w:color="auto"/>
            </w:tcBorders>
            <w:noWrap/>
            <w:hideMark/>
          </w:tcPr>
          <w:p w14:paraId="5450477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ścianki,</w:t>
            </w:r>
          </w:p>
          <w:p w14:paraId="26D1FE4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701" w:type="dxa"/>
            <w:tcBorders>
              <w:top w:val="nil"/>
              <w:left w:val="nil"/>
              <w:bottom w:val="double" w:sz="6" w:space="0" w:color="auto"/>
              <w:right w:val="nil"/>
            </w:tcBorders>
            <w:noWrap/>
            <w:hideMark/>
          </w:tcPr>
          <w:p w14:paraId="61152BDB" w14:textId="77777777" w:rsidR="0084667E" w:rsidRPr="0084667E" w:rsidRDefault="0084667E" w:rsidP="0084667E">
            <w:pPr>
              <w:rPr>
                <w:rFonts w:ascii="Times New Roman" w:hAnsi="Times New Roman" w:cs="Times New Roman"/>
                <w:color w:val="000000" w:themeColor="text1"/>
              </w:rPr>
            </w:pPr>
          </w:p>
          <w:p w14:paraId="04405B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1312" w:type="dxa"/>
            <w:tcBorders>
              <w:top w:val="single" w:sz="6" w:space="0" w:color="auto"/>
              <w:left w:val="single" w:sz="6" w:space="0" w:color="auto"/>
              <w:bottom w:val="double" w:sz="6" w:space="0" w:color="auto"/>
              <w:right w:val="single" w:sz="6" w:space="0" w:color="auto"/>
            </w:tcBorders>
            <w:noWrap/>
            <w:hideMark/>
          </w:tcPr>
          <w:p w14:paraId="34081E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średnicy zewnętrznej</w:t>
            </w:r>
          </w:p>
        </w:tc>
        <w:tc>
          <w:tcPr>
            <w:tcW w:w="1445" w:type="dxa"/>
            <w:tcBorders>
              <w:top w:val="single" w:sz="6" w:space="0" w:color="auto"/>
              <w:left w:val="single" w:sz="6" w:space="0" w:color="auto"/>
              <w:bottom w:val="double" w:sz="6" w:space="0" w:color="auto"/>
              <w:right w:val="single" w:sz="6" w:space="0" w:color="auto"/>
            </w:tcBorders>
            <w:noWrap/>
            <w:hideMark/>
          </w:tcPr>
          <w:p w14:paraId="369967D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grubości ścianki</w:t>
            </w:r>
          </w:p>
        </w:tc>
      </w:tr>
      <w:tr w:rsidR="0084667E" w:rsidRPr="0084667E" w14:paraId="209C7424" w14:textId="77777777" w:rsidTr="0084667E">
        <w:tc>
          <w:tcPr>
            <w:tcW w:w="1346" w:type="dxa"/>
            <w:tcBorders>
              <w:top w:val="nil"/>
              <w:left w:val="single" w:sz="6" w:space="0" w:color="auto"/>
              <w:bottom w:val="single" w:sz="6" w:space="0" w:color="auto"/>
              <w:right w:val="single" w:sz="6" w:space="0" w:color="auto"/>
            </w:tcBorders>
            <w:noWrap/>
            <w:hideMark/>
          </w:tcPr>
          <w:p w14:paraId="7B0194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51,0</w:t>
            </w:r>
          </w:p>
          <w:p w14:paraId="06B7D9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54,0</w:t>
            </w:r>
          </w:p>
          <w:p w14:paraId="562FCFB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57,0</w:t>
            </w:r>
          </w:p>
          <w:p w14:paraId="03411E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60,3</w:t>
            </w:r>
          </w:p>
          <w:p w14:paraId="742C141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63,5</w:t>
            </w:r>
          </w:p>
          <w:p w14:paraId="5A0AED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70,0</w:t>
            </w:r>
          </w:p>
          <w:p w14:paraId="7052AF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76,1</w:t>
            </w:r>
          </w:p>
          <w:p w14:paraId="2F16AD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82,5</w:t>
            </w:r>
          </w:p>
          <w:p w14:paraId="14009BA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88,9</w:t>
            </w:r>
          </w:p>
          <w:p w14:paraId="7660531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101,6</w:t>
            </w:r>
          </w:p>
        </w:tc>
        <w:tc>
          <w:tcPr>
            <w:tcW w:w="1843" w:type="dxa"/>
            <w:tcBorders>
              <w:top w:val="nil"/>
              <w:left w:val="single" w:sz="6" w:space="0" w:color="auto"/>
              <w:bottom w:val="single" w:sz="6" w:space="0" w:color="auto"/>
              <w:right w:val="single" w:sz="6" w:space="0" w:color="auto"/>
            </w:tcBorders>
            <w:noWrap/>
            <w:hideMark/>
          </w:tcPr>
          <w:p w14:paraId="6860C27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2,6 do 12,5</w:t>
            </w:r>
          </w:p>
          <w:p w14:paraId="63114E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2,6 do 14,2</w:t>
            </w:r>
          </w:p>
          <w:p w14:paraId="29ED695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14,2</w:t>
            </w:r>
          </w:p>
          <w:p w14:paraId="13EE6B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14,2</w:t>
            </w:r>
          </w:p>
          <w:p w14:paraId="3CB1DD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16,0</w:t>
            </w:r>
          </w:p>
          <w:p w14:paraId="0E7CACA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16,0</w:t>
            </w:r>
          </w:p>
          <w:p w14:paraId="5FF94E7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20,0</w:t>
            </w:r>
          </w:p>
          <w:p w14:paraId="7A4377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3,2 do 20,0</w:t>
            </w:r>
          </w:p>
          <w:p w14:paraId="0944C9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3,2 do 20,0</w:t>
            </w:r>
          </w:p>
          <w:p w14:paraId="2F02390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3,6 do 20,0</w:t>
            </w:r>
          </w:p>
        </w:tc>
        <w:tc>
          <w:tcPr>
            <w:tcW w:w="1701" w:type="dxa"/>
            <w:tcBorders>
              <w:top w:val="nil"/>
              <w:left w:val="single" w:sz="6" w:space="0" w:color="auto"/>
              <w:bottom w:val="single" w:sz="6" w:space="0" w:color="auto"/>
              <w:right w:val="single" w:sz="6" w:space="0" w:color="auto"/>
            </w:tcBorders>
            <w:noWrap/>
            <w:hideMark/>
          </w:tcPr>
          <w:p w14:paraId="0352651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3,10 do 11,9</w:t>
            </w:r>
          </w:p>
          <w:p w14:paraId="0AFBCE0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3,30 do 13,9</w:t>
            </w:r>
          </w:p>
          <w:p w14:paraId="791C041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3,87 do 15,0</w:t>
            </w:r>
          </w:p>
          <w:p w14:paraId="42D5C88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4,11 do 16,1</w:t>
            </w:r>
          </w:p>
          <w:p w14:paraId="1E79C59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4,33 do 18,7</w:t>
            </w:r>
          </w:p>
          <w:p w14:paraId="409F26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4,80 do 21,3</w:t>
            </w:r>
          </w:p>
          <w:p w14:paraId="3496B52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5,24 do 27,7</w:t>
            </w:r>
          </w:p>
          <w:p w14:paraId="14AF9E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6,26 do 30,8</w:t>
            </w:r>
          </w:p>
          <w:p w14:paraId="306F33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6,76 do 34,0</w:t>
            </w:r>
          </w:p>
          <w:p w14:paraId="351852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8,70 do 40,2</w:t>
            </w:r>
          </w:p>
        </w:tc>
        <w:tc>
          <w:tcPr>
            <w:tcW w:w="1312" w:type="dxa"/>
            <w:tcBorders>
              <w:top w:val="nil"/>
              <w:left w:val="single" w:sz="6" w:space="0" w:color="auto"/>
              <w:bottom w:val="single" w:sz="6" w:space="0" w:color="auto"/>
              <w:right w:val="single" w:sz="6" w:space="0" w:color="auto"/>
            </w:tcBorders>
            <w:noWrap/>
            <w:hideMark/>
          </w:tcPr>
          <w:p w14:paraId="01341C9D" w14:textId="77777777" w:rsidR="0084667E" w:rsidRPr="0084667E" w:rsidRDefault="0084667E" w:rsidP="0084667E">
            <w:pPr>
              <w:rPr>
                <w:rFonts w:ascii="Times New Roman" w:hAnsi="Times New Roman" w:cs="Times New Roman"/>
                <w:color w:val="000000" w:themeColor="text1"/>
              </w:rPr>
            </w:pPr>
          </w:p>
          <w:p w14:paraId="473A53B4" w14:textId="77777777" w:rsidR="0084667E" w:rsidRPr="0084667E" w:rsidRDefault="0084667E" w:rsidP="0084667E">
            <w:pPr>
              <w:rPr>
                <w:rFonts w:ascii="Times New Roman" w:hAnsi="Times New Roman" w:cs="Times New Roman"/>
                <w:color w:val="000000" w:themeColor="text1"/>
              </w:rPr>
            </w:pPr>
          </w:p>
          <w:p w14:paraId="23AA01BA" w14:textId="77777777" w:rsidR="0084667E" w:rsidRPr="0084667E" w:rsidRDefault="0084667E" w:rsidP="0084667E">
            <w:pPr>
              <w:rPr>
                <w:rFonts w:ascii="Times New Roman" w:hAnsi="Times New Roman" w:cs="Times New Roman"/>
                <w:color w:val="000000" w:themeColor="text1"/>
              </w:rPr>
            </w:pPr>
          </w:p>
          <w:p w14:paraId="4C10F9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1,25</w:t>
            </w:r>
          </w:p>
        </w:tc>
        <w:tc>
          <w:tcPr>
            <w:tcW w:w="1445" w:type="dxa"/>
            <w:tcBorders>
              <w:top w:val="nil"/>
              <w:left w:val="single" w:sz="6" w:space="0" w:color="auto"/>
              <w:bottom w:val="single" w:sz="6" w:space="0" w:color="auto"/>
              <w:right w:val="single" w:sz="6" w:space="0" w:color="auto"/>
            </w:tcBorders>
            <w:noWrap/>
            <w:hideMark/>
          </w:tcPr>
          <w:p w14:paraId="4245BD7A" w14:textId="77777777" w:rsidR="0084667E" w:rsidRPr="0084667E" w:rsidRDefault="0084667E" w:rsidP="0084667E">
            <w:pPr>
              <w:rPr>
                <w:rFonts w:ascii="Times New Roman" w:hAnsi="Times New Roman" w:cs="Times New Roman"/>
                <w:color w:val="000000" w:themeColor="text1"/>
              </w:rPr>
            </w:pPr>
          </w:p>
          <w:p w14:paraId="0882D44E" w14:textId="77777777" w:rsidR="0084667E" w:rsidRPr="0084667E" w:rsidRDefault="0084667E" w:rsidP="0084667E">
            <w:pPr>
              <w:rPr>
                <w:rFonts w:ascii="Times New Roman" w:hAnsi="Times New Roman" w:cs="Times New Roman"/>
                <w:color w:val="000000" w:themeColor="text1"/>
              </w:rPr>
            </w:pPr>
          </w:p>
          <w:p w14:paraId="1E1765CA" w14:textId="77777777" w:rsidR="0084667E" w:rsidRPr="0084667E" w:rsidRDefault="0084667E" w:rsidP="0084667E">
            <w:pPr>
              <w:rPr>
                <w:rFonts w:ascii="Times New Roman" w:hAnsi="Times New Roman" w:cs="Times New Roman"/>
                <w:color w:val="000000" w:themeColor="text1"/>
              </w:rPr>
            </w:pPr>
          </w:p>
          <w:p w14:paraId="02A8CBB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r>
    </w:tbl>
    <w:p w14:paraId="2D204D31" w14:textId="77777777" w:rsidR="0084667E" w:rsidRPr="0084667E" w:rsidRDefault="0084667E" w:rsidP="0084667E">
      <w:pPr>
        <w:rPr>
          <w:rFonts w:ascii="Times New Roman" w:hAnsi="Times New Roman" w:cs="Times New Roman"/>
          <w:color w:val="000000" w:themeColor="text1"/>
        </w:rPr>
      </w:pPr>
    </w:p>
    <w:p w14:paraId="4B3E1F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8. Rury stalowe bez szwu ciągnione i walcowane na zimno wg PN-H-74220 [11]</w:t>
      </w:r>
    </w:p>
    <w:tbl>
      <w:tblPr>
        <w:tblW w:w="0" w:type="auto"/>
        <w:tblCellMar>
          <w:left w:w="70" w:type="dxa"/>
          <w:right w:w="70" w:type="dxa"/>
        </w:tblCellMar>
        <w:tblLook w:val="04A0" w:firstRow="1" w:lastRow="0" w:firstColumn="1" w:lastColumn="0" w:noHBand="0" w:noVBand="1"/>
      </w:tblPr>
      <w:tblGrid>
        <w:gridCol w:w="1346"/>
        <w:gridCol w:w="1843"/>
        <w:gridCol w:w="1701"/>
        <w:gridCol w:w="1312"/>
        <w:gridCol w:w="1445"/>
      </w:tblGrid>
      <w:tr w:rsidR="0084667E" w:rsidRPr="0084667E" w14:paraId="719330AD" w14:textId="77777777" w:rsidTr="0084667E">
        <w:tc>
          <w:tcPr>
            <w:tcW w:w="1346" w:type="dxa"/>
            <w:tcBorders>
              <w:top w:val="single" w:sz="6" w:space="0" w:color="auto"/>
              <w:left w:val="single" w:sz="6" w:space="0" w:color="auto"/>
              <w:bottom w:val="nil"/>
              <w:right w:val="single" w:sz="6" w:space="0" w:color="auto"/>
            </w:tcBorders>
            <w:noWrap/>
            <w:hideMark/>
          </w:tcPr>
          <w:p w14:paraId="294D3A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Średnica</w:t>
            </w:r>
          </w:p>
        </w:tc>
        <w:tc>
          <w:tcPr>
            <w:tcW w:w="1843" w:type="dxa"/>
            <w:tcBorders>
              <w:top w:val="single" w:sz="6" w:space="0" w:color="auto"/>
              <w:left w:val="nil"/>
              <w:bottom w:val="nil"/>
              <w:right w:val="nil"/>
            </w:tcBorders>
            <w:noWrap/>
            <w:hideMark/>
          </w:tcPr>
          <w:p w14:paraId="12C5E3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Grubość </w:t>
            </w:r>
          </w:p>
        </w:tc>
        <w:tc>
          <w:tcPr>
            <w:tcW w:w="1701" w:type="dxa"/>
            <w:tcBorders>
              <w:top w:val="single" w:sz="6" w:space="0" w:color="auto"/>
              <w:left w:val="single" w:sz="6" w:space="0" w:color="auto"/>
              <w:bottom w:val="nil"/>
              <w:right w:val="nil"/>
            </w:tcBorders>
            <w:noWrap/>
            <w:hideMark/>
          </w:tcPr>
          <w:p w14:paraId="4CC1D2C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 rury</w:t>
            </w:r>
          </w:p>
        </w:tc>
        <w:tc>
          <w:tcPr>
            <w:tcW w:w="2757" w:type="dxa"/>
            <w:gridSpan w:val="2"/>
            <w:tcBorders>
              <w:top w:val="single" w:sz="6" w:space="0" w:color="auto"/>
              <w:left w:val="single" w:sz="6" w:space="0" w:color="auto"/>
              <w:bottom w:val="single" w:sz="6" w:space="0" w:color="auto"/>
              <w:right w:val="single" w:sz="6" w:space="0" w:color="auto"/>
            </w:tcBorders>
            <w:noWrap/>
            <w:hideMark/>
          </w:tcPr>
          <w:p w14:paraId="42C097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w:t>
            </w:r>
          </w:p>
        </w:tc>
      </w:tr>
      <w:tr w:rsidR="0084667E" w:rsidRPr="0084667E" w14:paraId="72802EF8" w14:textId="77777777" w:rsidTr="0084667E">
        <w:tc>
          <w:tcPr>
            <w:tcW w:w="1346" w:type="dxa"/>
            <w:tcBorders>
              <w:top w:val="nil"/>
              <w:left w:val="single" w:sz="6" w:space="0" w:color="auto"/>
              <w:bottom w:val="double" w:sz="6" w:space="0" w:color="auto"/>
              <w:right w:val="nil"/>
            </w:tcBorders>
            <w:noWrap/>
            <w:hideMark/>
          </w:tcPr>
          <w:p w14:paraId="36BF5B6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zewnętrzna,</w:t>
            </w:r>
          </w:p>
          <w:p w14:paraId="662250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843" w:type="dxa"/>
            <w:tcBorders>
              <w:top w:val="nil"/>
              <w:left w:val="single" w:sz="6" w:space="0" w:color="auto"/>
              <w:bottom w:val="double" w:sz="6" w:space="0" w:color="auto"/>
              <w:right w:val="single" w:sz="6" w:space="0" w:color="auto"/>
            </w:tcBorders>
            <w:noWrap/>
            <w:hideMark/>
          </w:tcPr>
          <w:p w14:paraId="4D6FFB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ścianki,</w:t>
            </w:r>
          </w:p>
          <w:p w14:paraId="5C0ABA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701" w:type="dxa"/>
            <w:tcBorders>
              <w:top w:val="nil"/>
              <w:left w:val="nil"/>
              <w:bottom w:val="double" w:sz="6" w:space="0" w:color="auto"/>
              <w:right w:val="nil"/>
            </w:tcBorders>
            <w:noWrap/>
            <w:hideMark/>
          </w:tcPr>
          <w:p w14:paraId="22994F66" w14:textId="77777777" w:rsidR="0084667E" w:rsidRPr="0084667E" w:rsidRDefault="0084667E" w:rsidP="0084667E">
            <w:pPr>
              <w:rPr>
                <w:rFonts w:ascii="Times New Roman" w:hAnsi="Times New Roman" w:cs="Times New Roman"/>
                <w:color w:val="000000" w:themeColor="text1"/>
              </w:rPr>
            </w:pPr>
          </w:p>
          <w:p w14:paraId="6E87BD7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1312" w:type="dxa"/>
            <w:tcBorders>
              <w:top w:val="single" w:sz="6" w:space="0" w:color="auto"/>
              <w:left w:val="single" w:sz="6" w:space="0" w:color="auto"/>
              <w:bottom w:val="double" w:sz="6" w:space="0" w:color="auto"/>
              <w:right w:val="single" w:sz="6" w:space="0" w:color="auto"/>
            </w:tcBorders>
            <w:noWrap/>
            <w:hideMark/>
          </w:tcPr>
          <w:p w14:paraId="687C6E0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średnicy zewnętrznej</w:t>
            </w:r>
          </w:p>
        </w:tc>
        <w:tc>
          <w:tcPr>
            <w:tcW w:w="1445" w:type="dxa"/>
            <w:tcBorders>
              <w:top w:val="single" w:sz="6" w:space="0" w:color="auto"/>
              <w:left w:val="single" w:sz="6" w:space="0" w:color="auto"/>
              <w:bottom w:val="double" w:sz="6" w:space="0" w:color="auto"/>
              <w:right w:val="single" w:sz="6" w:space="0" w:color="auto"/>
            </w:tcBorders>
            <w:noWrap/>
            <w:hideMark/>
          </w:tcPr>
          <w:p w14:paraId="0895B65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grubości ścianki</w:t>
            </w:r>
          </w:p>
        </w:tc>
      </w:tr>
      <w:tr w:rsidR="0084667E" w:rsidRPr="0084667E" w14:paraId="4540952D" w14:textId="77777777" w:rsidTr="0084667E">
        <w:tc>
          <w:tcPr>
            <w:tcW w:w="1346" w:type="dxa"/>
            <w:tcBorders>
              <w:top w:val="nil"/>
              <w:left w:val="single" w:sz="6" w:space="0" w:color="auto"/>
              <w:bottom w:val="single" w:sz="6" w:space="0" w:color="auto"/>
              <w:right w:val="single" w:sz="6" w:space="0" w:color="auto"/>
            </w:tcBorders>
            <w:noWrap/>
            <w:hideMark/>
          </w:tcPr>
          <w:p w14:paraId="3A96CF5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51,0</w:t>
            </w:r>
          </w:p>
          <w:p w14:paraId="469DF29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54,0</w:t>
            </w:r>
          </w:p>
          <w:p w14:paraId="3470292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57,0</w:t>
            </w:r>
          </w:p>
          <w:p w14:paraId="4DE6992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60,3</w:t>
            </w:r>
          </w:p>
          <w:p w14:paraId="228E2F8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63,5</w:t>
            </w:r>
          </w:p>
        </w:tc>
        <w:tc>
          <w:tcPr>
            <w:tcW w:w="1843" w:type="dxa"/>
            <w:tcBorders>
              <w:top w:val="nil"/>
              <w:left w:val="single" w:sz="6" w:space="0" w:color="auto"/>
              <w:bottom w:val="single" w:sz="6" w:space="0" w:color="auto"/>
              <w:right w:val="single" w:sz="6" w:space="0" w:color="auto"/>
            </w:tcBorders>
            <w:noWrap/>
            <w:hideMark/>
          </w:tcPr>
          <w:p w14:paraId="43C331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5,6</w:t>
            </w:r>
          </w:p>
          <w:p w14:paraId="325D4FA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8,0</w:t>
            </w:r>
          </w:p>
          <w:p w14:paraId="40C61F2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2,9 do 10,0</w:t>
            </w:r>
          </w:p>
          <w:p w14:paraId="0BA6C2D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7,1 do 10,0</w:t>
            </w:r>
          </w:p>
          <w:p w14:paraId="178D5C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7,1 do 10,0</w:t>
            </w:r>
          </w:p>
        </w:tc>
        <w:tc>
          <w:tcPr>
            <w:tcW w:w="1701" w:type="dxa"/>
            <w:tcBorders>
              <w:top w:val="nil"/>
              <w:left w:val="single" w:sz="6" w:space="0" w:color="auto"/>
              <w:bottom w:val="single" w:sz="6" w:space="0" w:color="auto"/>
              <w:right w:val="single" w:sz="6" w:space="0" w:color="auto"/>
            </w:tcBorders>
            <w:noWrap/>
            <w:hideMark/>
          </w:tcPr>
          <w:p w14:paraId="2514A71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3,44 do 6,27</w:t>
            </w:r>
          </w:p>
          <w:p w14:paraId="245B31A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3,65 do 9,04</w:t>
            </w:r>
          </w:p>
          <w:p w14:paraId="598C25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3,87 do 11,60</w:t>
            </w:r>
          </w:p>
          <w:p w14:paraId="70992FD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9,34 do 12,40</w:t>
            </w:r>
          </w:p>
          <w:p w14:paraId="3FCD7DB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9,90 do 13,20</w:t>
            </w:r>
          </w:p>
        </w:tc>
        <w:tc>
          <w:tcPr>
            <w:tcW w:w="1312" w:type="dxa"/>
            <w:tcBorders>
              <w:top w:val="nil"/>
              <w:left w:val="single" w:sz="6" w:space="0" w:color="auto"/>
              <w:bottom w:val="single" w:sz="6" w:space="0" w:color="auto"/>
              <w:right w:val="single" w:sz="6" w:space="0" w:color="auto"/>
            </w:tcBorders>
            <w:noWrap/>
            <w:hideMark/>
          </w:tcPr>
          <w:p w14:paraId="495D7056" w14:textId="77777777" w:rsidR="0084667E" w:rsidRPr="0084667E" w:rsidRDefault="0084667E" w:rsidP="0084667E">
            <w:pPr>
              <w:rPr>
                <w:rFonts w:ascii="Times New Roman" w:hAnsi="Times New Roman" w:cs="Times New Roman"/>
                <w:color w:val="000000" w:themeColor="text1"/>
              </w:rPr>
            </w:pPr>
          </w:p>
          <w:p w14:paraId="20AB615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1,0</w:t>
            </w:r>
          </w:p>
        </w:tc>
        <w:tc>
          <w:tcPr>
            <w:tcW w:w="1445" w:type="dxa"/>
            <w:tcBorders>
              <w:top w:val="nil"/>
              <w:left w:val="single" w:sz="6" w:space="0" w:color="auto"/>
              <w:bottom w:val="single" w:sz="6" w:space="0" w:color="auto"/>
              <w:right w:val="single" w:sz="6" w:space="0" w:color="auto"/>
            </w:tcBorders>
            <w:noWrap/>
            <w:hideMark/>
          </w:tcPr>
          <w:p w14:paraId="69C1449A" w14:textId="77777777" w:rsidR="0084667E" w:rsidRPr="0084667E" w:rsidRDefault="0084667E" w:rsidP="0084667E">
            <w:pPr>
              <w:rPr>
                <w:rFonts w:ascii="Times New Roman" w:hAnsi="Times New Roman" w:cs="Times New Roman"/>
                <w:color w:val="000000" w:themeColor="text1"/>
              </w:rPr>
            </w:pPr>
          </w:p>
          <w:p w14:paraId="3671C28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r>
    </w:tbl>
    <w:p w14:paraId="59A7BAE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9. Kątowniki równoramienne, wg PN-H-93401 [19]</w:t>
      </w:r>
    </w:p>
    <w:tbl>
      <w:tblPr>
        <w:tblW w:w="0" w:type="auto"/>
        <w:tblCellMar>
          <w:left w:w="70" w:type="dxa"/>
          <w:right w:w="70" w:type="dxa"/>
        </w:tblCellMar>
        <w:tblLook w:val="04A0" w:firstRow="1" w:lastRow="0" w:firstColumn="1" w:lastColumn="0" w:noHBand="0" w:noVBand="1"/>
      </w:tblPr>
      <w:tblGrid>
        <w:gridCol w:w="1346"/>
        <w:gridCol w:w="1843"/>
        <w:gridCol w:w="1701"/>
        <w:gridCol w:w="1312"/>
        <w:gridCol w:w="1445"/>
      </w:tblGrid>
      <w:tr w:rsidR="0084667E" w:rsidRPr="0084667E" w14:paraId="1971A94B" w14:textId="77777777" w:rsidTr="0084667E">
        <w:tc>
          <w:tcPr>
            <w:tcW w:w="1346" w:type="dxa"/>
            <w:tcBorders>
              <w:top w:val="single" w:sz="6" w:space="0" w:color="auto"/>
              <w:left w:val="single" w:sz="6" w:space="0" w:color="auto"/>
              <w:bottom w:val="nil"/>
              <w:right w:val="single" w:sz="6" w:space="0" w:color="auto"/>
            </w:tcBorders>
            <w:noWrap/>
            <w:hideMark/>
          </w:tcPr>
          <w:p w14:paraId="12BA55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w:t>
            </w:r>
          </w:p>
        </w:tc>
        <w:tc>
          <w:tcPr>
            <w:tcW w:w="1843" w:type="dxa"/>
            <w:tcBorders>
              <w:top w:val="single" w:sz="6" w:space="0" w:color="auto"/>
              <w:left w:val="nil"/>
              <w:bottom w:val="nil"/>
              <w:right w:val="nil"/>
            </w:tcBorders>
            <w:noWrap/>
            <w:hideMark/>
          </w:tcPr>
          <w:p w14:paraId="1160E70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Grubość </w:t>
            </w:r>
          </w:p>
        </w:tc>
        <w:tc>
          <w:tcPr>
            <w:tcW w:w="1701" w:type="dxa"/>
            <w:tcBorders>
              <w:top w:val="single" w:sz="6" w:space="0" w:color="auto"/>
              <w:left w:val="single" w:sz="6" w:space="0" w:color="auto"/>
              <w:bottom w:val="nil"/>
              <w:right w:val="nil"/>
            </w:tcBorders>
            <w:noWrap/>
            <w:hideMark/>
          </w:tcPr>
          <w:p w14:paraId="4D8C8E3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Masa 1 m </w:t>
            </w:r>
          </w:p>
        </w:tc>
        <w:tc>
          <w:tcPr>
            <w:tcW w:w="2757" w:type="dxa"/>
            <w:gridSpan w:val="2"/>
            <w:tcBorders>
              <w:top w:val="single" w:sz="6" w:space="0" w:color="auto"/>
              <w:left w:val="single" w:sz="6" w:space="0" w:color="auto"/>
              <w:bottom w:val="single" w:sz="6" w:space="0" w:color="auto"/>
              <w:right w:val="single" w:sz="6" w:space="0" w:color="auto"/>
            </w:tcBorders>
            <w:noWrap/>
            <w:hideMark/>
          </w:tcPr>
          <w:p w14:paraId="2438286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mm</w:t>
            </w:r>
          </w:p>
        </w:tc>
      </w:tr>
      <w:tr w:rsidR="0084667E" w:rsidRPr="0084667E" w14:paraId="302339EC" w14:textId="77777777" w:rsidTr="0084667E">
        <w:tc>
          <w:tcPr>
            <w:tcW w:w="1346" w:type="dxa"/>
            <w:tcBorders>
              <w:top w:val="nil"/>
              <w:left w:val="single" w:sz="6" w:space="0" w:color="auto"/>
              <w:bottom w:val="double" w:sz="6" w:space="0" w:color="auto"/>
              <w:right w:val="nil"/>
            </w:tcBorders>
            <w:noWrap/>
            <w:hideMark/>
          </w:tcPr>
          <w:p w14:paraId="3878617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ramion,</w:t>
            </w:r>
          </w:p>
          <w:p w14:paraId="7D40B7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843" w:type="dxa"/>
            <w:tcBorders>
              <w:top w:val="nil"/>
              <w:left w:val="single" w:sz="6" w:space="0" w:color="auto"/>
              <w:bottom w:val="double" w:sz="6" w:space="0" w:color="auto"/>
              <w:right w:val="single" w:sz="6" w:space="0" w:color="auto"/>
            </w:tcBorders>
            <w:noWrap/>
            <w:hideMark/>
          </w:tcPr>
          <w:p w14:paraId="36CF60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ramienia,</w:t>
            </w:r>
          </w:p>
          <w:p w14:paraId="4CC7A0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701" w:type="dxa"/>
            <w:tcBorders>
              <w:top w:val="nil"/>
              <w:left w:val="nil"/>
              <w:bottom w:val="double" w:sz="6" w:space="0" w:color="auto"/>
              <w:right w:val="nil"/>
            </w:tcBorders>
            <w:noWrap/>
            <w:hideMark/>
          </w:tcPr>
          <w:p w14:paraId="21598E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kątownika</w:t>
            </w:r>
          </w:p>
          <w:p w14:paraId="03B9095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1312" w:type="dxa"/>
            <w:tcBorders>
              <w:top w:val="single" w:sz="6" w:space="0" w:color="auto"/>
              <w:left w:val="single" w:sz="6" w:space="0" w:color="auto"/>
              <w:bottom w:val="double" w:sz="6" w:space="0" w:color="auto"/>
              <w:right w:val="single" w:sz="6" w:space="0" w:color="auto"/>
            </w:tcBorders>
            <w:noWrap/>
            <w:hideMark/>
          </w:tcPr>
          <w:p w14:paraId="6CA92FF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długości ramienia</w:t>
            </w:r>
          </w:p>
        </w:tc>
        <w:tc>
          <w:tcPr>
            <w:tcW w:w="1445" w:type="dxa"/>
            <w:tcBorders>
              <w:top w:val="single" w:sz="6" w:space="0" w:color="auto"/>
              <w:left w:val="single" w:sz="6" w:space="0" w:color="auto"/>
              <w:bottom w:val="double" w:sz="6" w:space="0" w:color="auto"/>
              <w:right w:val="single" w:sz="6" w:space="0" w:color="auto"/>
            </w:tcBorders>
            <w:noWrap/>
            <w:hideMark/>
          </w:tcPr>
          <w:p w14:paraId="31A2083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grubości ramion </w:t>
            </w:r>
          </w:p>
        </w:tc>
      </w:tr>
      <w:tr w:rsidR="0084667E" w:rsidRPr="0084667E" w14:paraId="3B9281F7" w14:textId="77777777" w:rsidTr="0084667E">
        <w:tc>
          <w:tcPr>
            <w:tcW w:w="1346" w:type="dxa"/>
            <w:tcBorders>
              <w:top w:val="nil"/>
              <w:left w:val="single" w:sz="6" w:space="0" w:color="auto"/>
              <w:bottom w:val="single" w:sz="6" w:space="0" w:color="auto"/>
              <w:right w:val="single" w:sz="6" w:space="0" w:color="auto"/>
            </w:tcBorders>
            <w:noWrap/>
            <w:hideMark/>
          </w:tcPr>
          <w:p w14:paraId="5271CE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 x 40</w:t>
            </w:r>
          </w:p>
          <w:p w14:paraId="731868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45 x 45</w:t>
            </w:r>
          </w:p>
          <w:p w14:paraId="0A6A9C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 x 50</w:t>
            </w:r>
          </w:p>
          <w:p w14:paraId="370A51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 x 60</w:t>
            </w:r>
          </w:p>
          <w:p w14:paraId="21F79A3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65 x 65</w:t>
            </w:r>
          </w:p>
          <w:p w14:paraId="32E42B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75 x 75</w:t>
            </w:r>
          </w:p>
          <w:p w14:paraId="765B95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 x 80</w:t>
            </w:r>
          </w:p>
          <w:p w14:paraId="327AC7F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90 x 90</w:t>
            </w:r>
          </w:p>
          <w:p w14:paraId="2B57373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 x 100</w:t>
            </w:r>
          </w:p>
        </w:tc>
        <w:tc>
          <w:tcPr>
            <w:tcW w:w="1843" w:type="dxa"/>
            <w:tcBorders>
              <w:top w:val="nil"/>
              <w:left w:val="single" w:sz="6" w:space="0" w:color="auto"/>
              <w:bottom w:val="single" w:sz="6" w:space="0" w:color="auto"/>
              <w:right w:val="single" w:sz="6" w:space="0" w:color="auto"/>
            </w:tcBorders>
            <w:noWrap/>
            <w:hideMark/>
          </w:tcPr>
          <w:p w14:paraId="4BEDE79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 do 5</w:t>
            </w:r>
          </w:p>
          <w:p w14:paraId="00DA3E9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 do 5</w:t>
            </w:r>
          </w:p>
          <w:p w14:paraId="4F9FB2D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 do 6</w:t>
            </w:r>
          </w:p>
          <w:p w14:paraId="3C9CE4B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 do 8</w:t>
            </w:r>
          </w:p>
          <w:p w14:paraId="69FEC9B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 do 9</w:t>
            </w:r>
          </w:p>
          <w:p w14:paraId="6E8C98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 do 9</w:t>
            </w:r>
          </w:p>
          <w:p w14:paraId="22C7AE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 do 10</w:t>
            </w:r>
          </w:p>
          <w:p w14:paraId="618DB51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 do 11</w:t>
            </w:r>
          </w:p>
          <w:p w14:paraId="1469707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8 do 12</w:t>
            </w:r>
          </w:p>
        </w:tc>
        <w:tc>
          <w:tcPr>
            <w:tcW w:w="1701" w:type="dxa"/>
            <w:tcBorders>
              <w:top w:val="nil"/>
              <w:left w:val="single" w:sz="6" w:space="0" w:color="auto"/>
              <w:bottom w:val="single" w:sz="6" w:space="0" w:color="auto"/>
              <w:right w:val="single" w:sz="6" w:space="0" w:color="auto"/>
            </w:tcBorders>
            <w:noWrap/>
            <w:hideMark/>
          </w:tcPr>
          <w:p w14:paraId="2C0CBD7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2,42 do 2,97</w:t>
            </w:r>
          </w:p>
          <w:p w14:paraId="7FCDE44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2,74 do 3,38</w:t>
            </w:r>
          </w:p>
          <w:p w14:paraId="18BAAA3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3,06 do 4,47</w:t>
            </w:r>
          </w:p>
          <w:p w14:paraId="4C21E6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4,57 do 7,09</w:t>
            </w:r>
          </w:p>
          <w:p w14:paraId="4B950F3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5,91 do 8,62</w:t>
            </w:r>
          </w:p>
          <w:p w14:paraId="3074E8A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od5,76 do 10,0</w:t>
            </w:r>
          </w:p>
          <w:p w14:paraId="100F03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7,34 do 11,90</w:t>
            </w:r>
          </w:p>
          <w:p w14:paraId="2B127A5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8,30 do 14,70</w:t>
            </w:r>
          </w:p>
          <w:p w14:paraId="7EED0AE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12,20 do 17,80</w:t>
            </w:r>
          </w:p>
        </w:tc>
        <w:tc>
          <w:tcPr>
            <w:tcW w:w="1312" w:type="dxa"/>
            <w:tcBorders>
              <w:top w:val="nil"/>
              <w:left w:val="single" w:sz="6" w:space="0" w:color="auto"/>
              <w:bottom w:val="single" w:sz="6" w:space="0" w:color="auto"/>
              <w:right w:val="single" w:sz="6" w:space="0" w:color="auto"/>
            </w:tcBorders>
            <w:noWrap/>
            <w:hideMark/>
          </w:tcPr>
          <w:p w14:paraId="66C897A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w:t>
            </w:r>
          </w:p>
          <w:p w14:paraId="386E1F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w:t>
            </w:r>
          </w:p>
          <w:p w14:paraId="73CCC86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12300A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5820104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611D0FA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32EEDC7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108D07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0D6538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2</w:t>
            </w:r>
          </w:p>
        </w:tc>
        <w:tc>
          <w:tcPr>
            <w:tcW w:w="1445" w:type="dxa"/>
            <w:tcBorders>
              <w:top w:val="nil"/>
              <w:left w:val="single" w:sz="6" w:space="0" w:color="auto"/>
              <w:bottom w:val="single" w:sz="6" w:space="0" w:color="auto"/>
              <w:right w:val="single" w:sz="6" w:space="0" w:color="auto"/>
            </w:tcBorders>
            <w:noWrap/>
            <w:hideMark/>
          </w:tcPr>
          <w:p w14:paraId="7F251FC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0,4</w:t>
            </w:r>
          </w:p>
          <w:p w14:paraId="4E41A8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0,4</w:t>
            </w:r>
          </w:p>
          <w:p w14:paraId="47E47D6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23ABCA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1077566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4D3A2F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4C4937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2FE5C34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p w14:paraId="1C81D34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0,6</w:t>
            </w:r>
          </w:p>
        </w:tc>
      </w:tr>
    </w:tbl>
    <w:p w14:paraId="7E90A54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10. Kątowniki nierównoramienne, wg PN-H-93402 [20]</w:t>
      </w:r>
    </w:p>
    <w:tbl>
      <w:tblPr>
        <w:tblW w:w="0" w:type="auto"/>
        <w:tblCellMar>
          <w:left w:w="70" w:type="dxa"/>
          <w:right w:w="70" w:type="dxa"/>
        </w:tblCellMar>
        <w:tblLook w:val="04A0" w:firstRow="1" w:lastRow="0" w:firstColumn="1" w:lastColumn="0" w:noHBand="0" w:noVBand="1"/>
      </w:tblPr>
      <w:tblGrid>
        <w:gridCol w:w="1346"/>
        <w:gridCol w:w="1843"/>
        <w:gridCol w:w="1701"/>
        <w:gridCol w:w="1312"/>
        <w:gridCol w:w="1445"/>
      </w:tblGrid>
      <w:tr w:rsidR="0084667E" w:rsidRPr="0084667E" w14:paraId="68BE4D25" w14:textId="77777777" w:rsidTr="0084667E">
        <w:tc>
          <w:tcPr>
            <w:tcW w:w="1346" w:type="dxa"/>
            <w:tcBorders>
              <w:top w:val="single" w:sz="6" w:space="0" w:color="auto"/>
              <w:left w:val="single" w:sz="6" w:space="0" w:color="auto"/>
              <w:bottom w:val="nil"/>
              <w:right w:val="single" w:sz="6" w:space="0" w:color="auto"/>
            </w:tcBorders>
            <w:noWrap/>
            <w:hideMark/>
          </w:tcPr>
          <w:p w14:paraId="0E21E9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w:t>
            </w:r>
          </w:p>
        </w:tc>
        <w:tc>
          <w:tcPr>
            <w:tcW w:w="1843" w:type="dxa"/>
            <w:tcBorders>
              <w:top w:val="single" w:sz="6" w:space="0" w:color="auto"/>
              <w:left w:val="nil"/>
              <w:bottom w:val="nil"/>
              <w:right w:val="nil"/>
            </w:tcBorders>
            <w:noWrap/>
            <w:hideMark/>
          </w:tcPr>
          <w:p w14:paraId="46055AB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Grubość </w:t>
            </w:r>
          </w:p>
        </w:tc>
        <w:tc>
          <w:tcPr>
            <w:tcW w:w="1701" w:type="dxa"/>
            <w:tcBorders>
              <w:top w:val="single" w:sz="6" w:space="0" w:color="auto"/>
              <w:left w:val="single" w:sz="6" w:space="0" w:color="auto"/>
              <w:bottom w:val="nil"/>
              <w:right w:val="nil"/>
            </w:tcBorders>
            <w:noWrap/>
            <w:hideMark/>
          </w:tcPr>
          <w:p w14:paraId="5675B6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Masa 1 m </w:t>
            </w:r>
          </w:p>
        </w:tc>
        <w:tc>
          <w:tcPr>
            <w:tcW w:w="2757" w:type="dxa"/>
            <w:gridSpan w:val="2"/>
            <w:tcBorders>
              <w:top w:val="single" w:sz="6" w:space="0" w:color="auto"/>
              <w:left w:val="single" w:sz="6" w:space="0" w:color="auto"/>
              <w:bottom w:val="single" w:sz="6" w:space="0" w:color="auto"/>
              <w:right w:val="single" w:sz="6" w:space="0" w:color="auto"/>
            </w:tcBorders>
            <w:noWrap/>
            <w:hideMark/>
          </w:tcPr>
          <w:p w14:paraId="7CEB44E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mm</w:t>
            </w:r>
          </w:p>
        </w:tc>
      </w:tr>
      <w:tr w:rsidR="0084667E" w:rsidRPr="0084667E" w14:paraId="6EF6ADBD" w14:textId="77777777" w:rsidTr="0084667E">
        <w:tc>
          <w:tcPr>
            <w:tcW w:w="1346" w:type="dxa"/>
            <w:tcBorders>
              <w:top w:val="nil"/>
              <w:left w:val="single" w:sz="6" w:space="0" w:color="auto"/>
              <w:bottom w:val="double" w:sz="6" w:space="0" w:color="auto"/>
              <w:right w:val="nil"/>
            </w:tcBorders>
            <w:noWrap/>
            <w:hideMark/>
          </w:tcPr>
          <w:p w14:paraId="67A2636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ramion,</w:t>
            </w:r>
          </w:p>
          <w:p w14:paraId="5BCB39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843" w:type="dxa"/>
            <w:tcBorders>
              <w:top w:val="nil"/>
              <w:left w:val="single" w:sz="6" w:space="0" w:color="auto"/>
              <w:bottom w:val="double" w:sz="6" w:space="0" w:color="auto"/>
              <w:right w:val="single" w:sz="6" w:space="0" w:color="auto"/>
            </w:tcBorders>
            <w:noWrap/>
            <w:hideMark/>
          </w:tcPr>
          <w:p w14:paraId="1E57DB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ramienia,</w:t>
            </w:r>
          </w:p>
          <w:p w14:paraId="2B9EA0C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mm</w:t>
            </w:r>
          </w:p>
        </w:tc>
        <w:tc>
          <w:tcPr>
            <w:tcW w:w="1701" w:type="dxa"/>
            <w:tcBorders>
              <w:top w:val="nil"/>
              <w:left w:val="nil"/>
              <w:bottom w:val="double" w:sz="6" w:space="0" w:color="auto"/>
              <w:right w:val="nil"/>
            </w:tcBorders>
            <w:noWrap/>
            <w:hideMark/>
          </w:tcPr>
          <w:p w14:paraId="7F8B749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kątownika</w:t>
            </w:r>
          </w:p>
          <w:p w14:paraId="2403E3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1312" w:type="dxa"/>
            <w:tcBorders>
              <w:top w:val="single" w:sz="6" w:space="0" w:color="auto"/>
              <w:left w:val="single" w:sz="6" w:space="0" w:color="auto"/>
              <w:bottom w:val="double" w:sz="6" w:space="0" w:color="auto"/>
              <w:right w:val="single" w:sz="6" w:space="0" w:color="auto"/>
            </w:tcBorders>
            <w:noWrap/>
            <w:hideMark/>
          </w:tcPr>
          <w:p w14:paraId="4433C7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długości ramion</w:t>
            </w:r>
          </w:p>
        </w:tc>
        <w:tc>
          <w:tcPr>
            <w:tcW w:w="1445" w:type="dxa"/>
            <w:tcBorders>
              <w:top w:val="single" w:sz="6" w:space="0" w:color="auto"/>
              <w:left w:val="single" w:sz="6" w:space="0" w:color="auto"/>
              <w:bottom w:val="double" w:sz="6" w:space="0" w:color="auto"/>
              <w:right w:val="single" w:sz="6" w:space="0" w:color="auto"/>
            </w:tcBorders>
            <w:noWrap/>
            <w:hideMark/>
          </w:tcPr>
          <w:p w14:paraId="1189CFD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grubości ramion </w:t>
            </w:r>
          </w:p>
        </w:tc>
      </w:tr>
      <w:tr w:rsidR="0084667E" w:rsidRPr="0084667E" w14:paraId="398E571A" w14:textId="77777777" w:rsidTr="0084667E">
        <w:tc>
          <w:tcPr>
            <w:tcW w:w="1346" w:type="dxa"/>
            <w:tcBorders>
              <w:top w:val="nil"/>
              <w:left w:val="single" w:sz="6" w:space="0" w:color="auto"/>
              <w:bottom w:val="single" w:sz="6" w:space="0" w:color="auto"/>
              <w:right w:val="single" w:sz="6" w:space="0" w:color="auto"/>
            </w:tcBorders>
            <w:noWrap/>
            <w:hideMark/>
          </w:tcPr>
          <w:p w14:paraId="08740E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45 x 30</w:t>
            </w:r>
          </w:p>
          <w:p w14:paraId="675FA1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 x 40</w:t>
            </w:r>
          </w:p>
          <w:p w14:paraId="5AC46B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65 x 50</w:t>
            </w:r>
          </w:p>
          <w:p w14:paraId="3C4F3F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70 x 50</w:t>
            </w:r>
          </w:p>
          <w:p w14:paraId="474917D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75 x 50</w:t>
            </w:r>
          </w:p>
          <w:p w14:paraId="5A24AC2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 x 40</w:t>
            </w:r>
          </w:p>
          <w:p w14:paraId="4BEE646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 x 60</w:t>
            </w:r>
          </w:p>
          <w:p w14:paraId="138FDC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 x 65</w:t>
            </w:r>
          </w:p>
          <w:p w14:paraId="110ED77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90 x 60</w:t>
            </w:r>
          </w:p>
          <w:p w14:paraId="016CA9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 x 50</w:t>
            </w:r>
          </w:p>
          <w:p w14:paraId="40B71E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 x 65</w:t>
            </w:r>
          </w:p>
        </w:tc>
        <w:tc>
          <w:tcPr>
            <w:tcW w:w="1843" w:type="dxa"/>
            <w:tcBorders>
              <w:top w:val="nil"/>
              <w:left w:val="single" w:sz="6" w:space="0" w:color="auto"/>
              <w:bottom w:val="single" w:sz="6" w:space="0" w:color="auto"/>
              <w:right w:val="single" w:sz="6" w:space="0" w:color="auto"/>
            </w:tcBorders>
            <w:noWrap/>
            <w:hideMark/>
          </w:tcPr>
          <w:p w14:paraId="4C09CE3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od 4 do 5</w:t>
            </w:r>
          </w:p>
          <w:p w14:paraId="2F39F1D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 do 6</w:t>
            </w:r>
          </w:p>
          <w:p w14:paraId="5CFEE23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 do 8</w:t>
            </w:r>
          </w:p>
          <w:p w14:paraId="3938A1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w:t>
            </w:r>
          </w:p>
          <w:p w14:paraId="4C9310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od 5 do 8</w:t>
            </w:r>
          </w:p>
          <w:p w14:paraId="40E5378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w:t>
            </w:r>
          </w:p>
          <w:p w14:paraId="34913D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 do 8</w:t>
            </w:r>
          </w:p>
          <w:p w14:paraId="42FB79B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w:t>
            </w:r>
          </w:p>
          <w:p w14:paraId="447968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w:t>
            </w:r>
          </w:p>
          <w:p w14:paraId="00B65BF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w:t>
            </w:r>
          </w:p>
          <w:p w14:paraId="6EF2BD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7 do 10</w:t>
            </w:r>
          </w:p>
        </w:tc>
        <w:tc>
          <w:tcPr>
            <w:tcW w:w="1701" w:type="dxa"/>
            <w:tcBorders>
              <w:top w:val="nil"/>
              <w:left w:val="single" w:sz="6" w:space="0" w:color="auto"/>
              <w:bottom w:val="single" w:sz="6" w:space="0" w:color="auto"/>
              <w:right w:val="single" w:sz="6" w:space="0" w:color="auto"/>
            </w:tcBorders>
            <w:noWrap/>
            <w:hideMark/>
          </w:tcPr>
          <w:p w14:paraId="716B9F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od 2,24 do 2,76</w:t>
            </w:r>
          </w:p>
          <w:p w14:paraId="48CA6F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3,76 do 4,46</w:t>
            </w:r>
          </w:p>
          <w:p w14:paraId="191A48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4,35do 6,75</w:t>
            </w:r>
          </w:p>
          <w:p w14:paraId="204F0D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6,24</w:t>
            </w:r>
          </w:p>
          <w:p w14:paraId="13D656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od 4,75 do 7,39</w:t>
            </w:r>
          </w:p>
          <w:p w14:paraId="20CBD8A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5,41</w:t>
            </w:r>
          </w:p>
          <w:p w14:paraId="47442A2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6,37 do 8,34</w:t>
            </w:r>
          </w:p>
          <w:p w14:paraId="1D121B0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10,7</w:t>
            </w:r>
          </w:p>
          <w:p w14:paraId="5AA45F0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8,96</w:t>
            </w:r>
          </w:p>
          <w:p w14:paraId="6EDE1D7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8,99</w:t>
            </w:r>
          </w:p>
          <w:p w14:paraId="5A1DC9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8,77 do 12,3</w:t>
            </w:r>
          </w:p>
        </w:tc>
        <w:tc>
          <w:tcPr>
            <w:tcW w:w="1312" w:type="dxa"/>
            <w:tcBorders>
              <w:top w:val="nil"/>
              <w:left w:val="single" w:sz="6" w:space="0" w:color="auto"/>
              <w:bottom w:val="single" w:sz="6" w:space="0" w:color="auto"/>
              <w:right w:val="single" w:sz="6" w:space="0" w:color="auto"/>
            </w:tcBorders>
            <w:noWrap/>
            <w:hideMark/>
          </w:tcPr>
          <w:p w14:paraId="43BFA1A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sym w:font="Symbol" w:char="00B1"/>
            </w:r>
            <w:r w:rsidRPr="0084667E">
              <w:rPr>
                <w:rFonts w:ascii="Times New Roman" w:hAnsi="Times New Roman" w:cs="Times New Roman"/>
                <w:color w:val="000000" w:themeColor="text1"/>
              </w:rPr>
              <w:t xml:space="preserve"> 1</w:t>
            </w:r>
          </w:p>
          <w:p w14:paraId="29A95C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1,0</w:t>
            </w:r>
          </w:p>
          <w:p w14:paraId="6160F6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5FE90CB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sym w:font="Symbol" w:char="00B1"/>
            </w:r>
            <w:r w:rsidRPr="0084667E">
              <w:rPr>
                <w:rFonts w:ascii="Times New Roman" w:hAnsi="Times New Roman" w:cs="Times New Roman"/>
                <w:color w:val="000000" w:themeColor="text1"/>
              </w:rPr>
              <w:t xml:space="preserve"> 1,5</w:t>
            </w:r>
          </w:p>
          <w:p w14:paraId="0A996D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3B13104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1,0</w:t>
            </w:r>
          </w:p>
          <w:p w14:paraId="65632A0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284F88D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0E423C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1E1BFA9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p w14:paraId="326995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c>
          <w:tcPr>
            <w:tcW w:w="1445" w:type="dxa"/>
            <w:tcBorders>
              <w:top w:val="nil"/>
              <w:left w:val="single" w:sz="6" w:space="0" w:color="auto"/>
              <w:bottom w:val="single" w:sz="6" w:space="0" w:color="auto"/>
              <w:right w:val="single" w:sz="6" w:space="0" w:color="auto"/>
            </w:tcBorders>
            <w:noWrap/>
            <w:hideMark/>
          </w:tcPr>
          <w:p w14:paraId="17A59C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 xml:space="preserve">+0,3; -0,5 </w:t>
            </w:r>
          </w:p>
          <w:p w14:paraId="4762E3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+0,3; -0,7</w:t>
            </w:r>
          </w:p>
          <w:p w14:paraId="37CE90F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0A9CA2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3605C27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+0,4; -0,7</w:t>
            </w:r>
          </w:p>
          <w:p w14:paraId="1602BC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+0,3; -0,7</w:t>
            </w:r>
          </w:p>
          <w:p w14:paraId="0201AA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15084B0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7A3407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391422D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p w14:paraId="54897D0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+0,4; -0,7</w:t>
            </w:r>
          </w:p>
        </w:tc>
      </w:tr>
    </w:tbl>
    <w:p w14:paraId="24B046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Tablica 11. Ceowniki walcowane, wg PN-H-93403 [21]</w:t>
      </w:r>
    </w:p>
    <w:tbl>
      <w:tblPr>
        <w:tblW w:w="0" w:type="auto"/>
        <w:tblCellMar>
          <w:left w:w="70" w:type="dxa"/>
          <w:right w:w="70" w:type="dxa"/>
        </w:tblCellMar>
        <w:tblLook w:val="04A0" w:firstRow="1" w:lastRow="0" w:firstColumn="1" w:lastColumn="0" w:noHBand="0" w:noVBand="1"/>
      </w:tblPr>
      <w:tblGrid>
        <w:gridCol w:w="779"/>
        <w:gridCol w:w="1008"/>
        <w:gridCol w:w="1008"/>
        <w:gridCol w:w="898"/>
        <w:gridCol w:w="992"/>
        <w:gridCol w:w="1062"/>
        <w:gridCol w:w="1062"/>
        <w:gridCol w:w="1062"/>
      </w:tblGrid>
      <w:tr w:rsidR="0084667E" w:rsidRPr="0084667E" w14:paraId="46817877" w14:textId="77777777" w:rsidTr="0084667E">
        <w:tc>
          <w:tcPr>
            <w:tcW w:w="779" w:type="dxa"/>
            <w:tcBorders>
              <w:top w:val="single" w:sz="6" w:space="0" w:color="auto"/>
              <w:left w:val="single" w:sz="6" w:space="0" w:color="auto"/>
              <w:bottom w:val="nil"/>
              <w:right w:val="nil"/>
            </w:tcBorders>
            <w:noWrap/>
            <w:hideMark/>
          </w:tcPr>
          <w:p w14:paraId="199ED58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Ozna- </w:t>
            </w:r>
          </w:p>
        </w:tc>
        <w:tc>
          <w:tcPr>
            <w:tcW w:w="2552" w:type="dxa"/>
            <w:gridSpan w:val="3"/>
            <w:tcBorders>
              <w:top w:val="single" w:sz="6" w:space="0" w:color="auto"/>
              <w:left w:val="single" w:sz="6" w:space="0" w:color="auto"/>
              <w:bottom w:val="nil"/>
              <w:right w:val="nil"/>
            </w:tcBorders>
            <w:noWrap/>
            <w:hideMark/>
          </w:tcPr>
          <w:p w14:paraId="7D739D6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 mm</w:t>
            </w:r>
          </w:p>
        </w:tc>
        <w:tc>
          <w:tcPr>
            <w:tcW w:w="992" w:type="dxa"/>
            <w:tcBorders>
              <w:top w:val="single" w:sz="6" w:space="0" w:color="auto"/>
              <w:left w:val="single" w:sz="6" w:space="0" w:color="auto"/>
              <w:bottom w:val="nil"/>
              <w:right w:val="nil"/>
            </w:tcBorders>
            <w:noWrap/>
            <w:hideMark/>
          </w:tcPr>
          <w:p w14:paraId="576A32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w:t>
            </w:r>
          </w:p>
        </w:tc>
        <w:tc>
          <w:tcPr>
            <w:tcW w:w="3186" w:type="dxa"/>
            <w:gridSpan w:val="3"/>
            <w:tcBorders>
              <w:top w:val="single" w:sz="6" w:space="0" w:color="auto"/>
              <w:left w:val="single" w:sz="6" w:space="0" w:color="auto"/>
              <w:bottom w:val="nil"/>
              <w:right w:val="single" w:sz="6" w:space="0" w:color="auto"/>
            </w:tcBorders>
            <w:noWrap/>
            <w:hideMark/>
          </w:tcPr>
          <w:p w14:paraId="2028563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mm</w:t>
            </w:r>
          </w:p>
        </w:tc>
      </w:tr>
      <w:tr w:rsidR="0084667E" w:rsidRPr="0084667E" w14:paraId="218B3B19" w14:textId="77777777" w:rsidTr="0084667E">
        <w:tc>
          <w:tcPr>
            <w:tcW w:w="779" w:type="dxa"/>
            <w:tcBorders>
              <w:top w:val="nil"/>
              <w:left w:val="single" w:sz="6" w:space="0" w:color="auto"/>
              <w:bottom w:val="double" w:sz="6" w:space="0" w:color="auto"/>
              <w:right w:val="nil"/>
            </w:tcBorders>
            <w:noWrap/>
            <w:hideMark/>
          </w:tcPr>
          <w:p w14:paraId="6FF755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czenie</w:t>
            </w:r>
          </w:p>
        </w:tc>
        <w:tc>
          <w:tcPr>
            <w:tcW w:w="851" w:type="dxa"/>
            <w:tcBorders>
              <w:top w:val="single" w:sz="6" w:space="0" w:color="auto"/>
              <w:left w:val="single" w:sz="6" w:space="0" w:color="auto"/>
              <w:bottom w:val="double" w:sz="6" w:space="0" w:color="auto"/>
              <w:right w:val="single" w:sz="6" w:space="0" w:color="auto"/>
            </w:tcBorders>
            <w:noWrap/>
            <w:hideMark/>
          </w:tcPr>
          <w:p w14:paraId="7E9076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wysokość środnika</w:t>
            </w:r>
          </w:p>
        </w:tc>
        <w:tc>
          <w:tcPr>
            <w:tcW w:w="850" w:type="dxa"/>
            <w:tcBorders>
              <w:top w:val="single" w:sz="6" w:space="0" w:color="auto"/>
              <w:left w:val="single" w:sz="6" w:space="0" w:color="auto"/>
              <w:bottom w:val="double" w:sz="6" w:space="0" w:color="auto"/>
              <w:right w:val="single" w:sz="6" w:space="0" w:color="auto"/>
            </w:tcBorders>
            <w:noWrap/>
            <w:hideMark/>
          </w:tcPr>
          <w:p w14:paraId="07243B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szerokość stopki</w:t>
            </w:r>
          </w:p>
        </w:tc>
        <w:tc>
          <w:tcPr>
            <w:tcW w:w="851" w:type="dxa"/>
            <w:tcBorders>
              <w:top w:val="single" w:sz="6" w:space="0" w:color="auto"/>
              <w:left w:val="single" w:sz="6" w:space="0" w:color="auto"/>
              <w:bottom w:val="double" w:sz="6" w:space="0" w:color="auto"/>
              <w:right w:val="nil"/>
            </w:tcBorders>
            <w:noWrap/>
            <w:hideMark/>
          </w:tcPr>
          <w:p w14:paraId="1401358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grubość środnika</w:t>
            </w:r>
          </w:p>
        </w:tc>
        <w:tc>
          <w:tcPr>
            <w:tcW w:w="992" w:type="dxa"/>
            <w:tcBorders>
              <w:top w:val="nil"/>
              <w:left w:val="single" w:sz="6" w:space="0" w:color="auto"/>
              <w:bottom w:val="double" w:sz="6" w:space="0" w:color="auto"/>
              <w:right w:val="nil"/>
            </w:tcBorders>
            <w:noWrap/>
            <w:hideMark/>
          </w:tcPr>
          <w:p w14:paraId="0D704A6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ceownika</w:t>
            </w:r>
          </w:p>
          <w:p w14:paraId="27E20AC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1062" w:type="dxa"/>
            <w:tcBorders>
              <w:top w:val="single" w:sz="6" w:space="0" w:color="auto"/>
              <w:left w:val="single" w:sz="6" w:space="0" w:color="auto"/>
              <w:bottom w:val="double" w:sz="6" w:space="0" w:color="auto"/>
              <w:right w:val="single" w:sz="6" w:space="0" w:color="auto"/>
            </w:tcBorders>
            <w:noWrap/>
            <w:hideMark/>
          </w:tcPr>
          <w:p w14:paraId="25C4868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środnika</w:t>
            </w:r>
          </w:p>
        </w:tc>
        <w:tc>
          <w:tcPr>
            <w:tcW w:w="1062" w:type="dxa"/>
            <w:tcBorders>
              <w:top w:val="single" w:sz="6" w:space="0" w:color="auto"/>
              <w:left w:val="single" w:sz="6" w:space="0" w:color="auto"/>
              <w:bottom w:val="double" w:sz="6" w:space="0" w:color="auto"/>
              <w:right w:val="single" w:sz="6" w:space="0" w:color="auto"/>
            </w:tcBorders>
            <w:noWrap/>
            <w:hideMark/>
          </w:tcPr>
          <w:p w14:paraId="7F6ABE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stopki</w:t>
            </w:r>
          </w:p>
        </w:tc>
        <w:tc>
          <w:tcPr>
            <w:tcW w:w="1062" w:type="dxa"/>
            <w:tcBorders>
              <w:top w:val="single" w:sz="6" w:space="0" w:color="auto"/>
              <w:left w:val="single" w:sz="6" w:space="0" w:color="auto"/>
              <w:bottom w:val="double" w:sz="6" w:space="0" w:color="auto"/>
              <w:right w:val="single" w:sz="6" w:space="0" w:color="auto"/>
            </w:tcBorders>
            <w:noWrap/>
            <w:hideMark/>
          </w:tcPr>
          <w:p w14:paraId="3D2077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grubości</w:t>
            </w:r>
          </w:p>
        </w:tc>
      </w:tr>
      <w:tr w:rsidR="0084667E" w:rsidRPr="0084667E" w14:paraId="26A8EFCC" w14:textId="77777777" w:rsidTr="0084667E">
        <w:trPr>
          <w:trHeight w:val="585"/>
        </w:trPr>
        <w:tc>
          <w:tcPr>
            <w:tcW w:w="779" w:type="dxa"/>
            <w:vMerge w:val="restart"/>
            <w:tcBorders>
              <w:top w:val="nil"/>
              <w:left w:val="single" w:sz="6" w:space="0" w:color="auto"/>
              <w:bottom w:val="single" w:sz="6" w:space="0" w:color="auto"/>
              <w:right w:val="single" w:sz="6" w:space="0" w:color="auto"/>
            </w:tcBorders>
            <w:noWrap/>
            <w:hideMark/>
          </w:tcPr>
          <w:p w14:paraId="7567030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40</w:t>
            </w:r>
          </w:p>
          <w:p w14:paraId="0BECE2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45</w:t>
            </w:r>
          </w:p>
          <w:p w14:paraId="19C61E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50</w:t>
            </w:r>
          </w:p>
          <w:p w14:paraId="608745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65</w:t>
            </w:r>
          </w:p>
          <w:p w14:paraId="409175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80</w:t>
            </w:r>
          </w:p>
          <w:p w14:paraId="274CED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100</w:t>
            </w:r>
          </w:p>
          <w:p w14:paraId="4D4A9B9F"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C 120</w:t>
            </w:r>
          </w:p>
          <w:p w14:paraId="424102AC"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C 140</w:t>
            </w:r>
          </w:p>
        </w:tc>
        <w:tc>
          <w:tcPr>
            <w:tcW w:w="851" w:type="dxa"/>
            <w:vMerge w:val="restart"/>
            <w:tcBorders>
              <w:top w:val="nil"/>
              <w:left w:val="single" w:sz="6" w:space="0" w:color="auto"/>
              <w:bottom w:val="single" w:sz="6" w:space="0" w:color="auto"/>
              <w:right w:val="single" w:sz="6" w:space="0" w:color="auto"/>
            </w:tcBorders>
            <w:noWrap/>
            <w:hideMark/>
          </w:tcPr>
          <w:p w14:paraId="53104724"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40</w:t>
            </w:r>
          </w:p>
          <w:p w14:paraId="328614EF"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45</w:t>
            </w:r>
          </w:p>
          <w:p w14:paraId="5CDDDB08"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50</w:t>
            </w:r>
          </w:p>
          <w:p w14:paraId="4628A350"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65</w:t>
            </w:r>
          </w:p>
          <w:p w14:paraId="200E1300"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80</w:t>
            </w:r>
          </w:p>
          <w:p w14:paraId="56FB9FCB"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100</w:t>
            </w:r>
          </w:p>
          <w:p w14:paraId="0E2E22D0"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120</w:t>
            </w:r>
          </w:p>
          <w:p w14:paraId="1AFA46E7"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140</w:t>
            </w:r>
          </w:p>
        </w:tc>
        <w:tc>
          <w:tcPr>
            <w:tcW w:w="850" w:type="dxa"/>
            <w:vMerge w:val="restart"/>
            <w:tcBorders>
              <w:top w:val="nil"/>
              <w:left w:val="single" w:sz="6" w:space="0" w:color="auto"/>
              <w:bottom w:val="single" w:sz="6" w:space="0" w:color="auto"/>
              <w:right w:val="single" w:sz="6" w:space="0" w:color="auto"/>
            </w:tcBorders>
            <w:noWrap/>
            <w:hideMark/>
          </w:tcPr>
          <w:p w14:paraId="0E7ECE62"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20</w:t>
            </w:r>
          </w:p>
          <w:p w14:paraId="31C03D80"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38</w:t>
            </w:r>
          </w:p>
          <w:p w14:paraId="37041E4F"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38</w:t>
            </w:r>
          </w:p>
          <w:p w14:paraId="340B8921"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42</w:t>
            </w:r>
          </w:p>
          <w:p w14:paraId="399874F4"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45</w:t>
            </w:r>
          </w:p>
          <w:p w14:paraId="28CB96CC"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50</w:t>
            </w:r>
          </w:p>
          <w:p w14:paraId="2564E801"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55</w:t>
            </w:r>
          </w:p>
          <w:p w14:paraId="2B252450"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60</w:t>
            </w:r>
          </w:p>
        </w:tc>
        <w:tc>
          <w:tcPr>
            <w:tcW w:w="851" w:type="dxa"/>
            <w:vMerge w:val="restart"/>
            <w:tcBorders>
              <w:top w:val="nil"/>
              <w:left w:val="single" w:sz="6" w:space="0" w:color="auto"/>
              <w:bottom w:val="single" w:sz="6" w:space="0" w:color="auto"/>
              <w:right w:val="single" w:sz="6" w:space="0" w:color="auto"/>
            </w:tcBorders>
            <w:noWrap/>
            <w:hideMark/>
          </w:tcPr>
          <w:p w14:paraId="4AEEE282"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w:t>
            </w:r>
          </w:p>
          <w:p w14:paraId="49748013"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w:t>
            </w:r>
          </w:p>
          <w:p w14:paraId="1562337E"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w:t>
            </w:r>
          </w:p>
          <w:p w14:paraId="735E3366"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5,5</w:t>
            </w:r>
          </w:p>
          <w:p w14:paraId="7FE6CCF5"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6</w:t>
            </w:r>
          </w:p>
          <w:p w14:paraId="5451CB6A"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6</w:t>
            </w:r>
          </w:p>
          <w:p w14:paraId="60F57773"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7</w:t>
            </w:r>
          </w:p>
          <w:p w14:paraId="43F45DBB"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7</w:t>
            </w:r>
          </w:p>
        </w:tc>
        <w:tc>
          <w:tcPr>
            <w:tcW w:w="992" w:type="dxa"/>
            <w:vMerge w:val="restart"/>
            <w:tcBorders>
              <w:top w:val="nil"/>
              <w:left w:val="single" w:sz="6" w:space="0" w:color="auto"/>
              <w:bottom w:val="single" w:sz="6" w:space="0" w:color="auto"/>
              <w:right w:val="single" w:sz="6" w:space="0" w:color="auto"/>
            </w:tcBorders>
            <w:noWrap/>
            <w:hideMark/>
          </w:tcPr>
          <w:p w14:paraId="10BC9871"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4,75</w:t>
            </w:r>
          </w:p>
          <w:p w14:paraId="2E30E1CC"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5,03</w:t>
            </w:r>
          </w:p>
          <w:p w14:paraId="2453122C"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5,59</w:t>
            </w:r>
          </w:p>
          <w:p w14:paraId="21ECEB44"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7,09</w:t>
            </w:r>
          </w:p>
          <w:p w14:paraId="190A5BE8"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8,64</w:t>
            </w:r>
          </w:p>
          <w:p w14:paraId="3D74A2B5"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10,60</w:t>
            </w:r>
          </w:p>
          <w:p w14:paraId="3E92C1E9"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13,40</w:t>
            </w:r>
          </w:p>
          <w:p w14:paraId="1F25DE6A"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16,00</w:t>
            </w:r>
          </w:p>
        </w:tc>
        <w:tc>
          <w:tcPr>
            <w:tcW w:w="1062" w:type="dxa"/>
            <w:vMerge w:val="restart"/>
            <w:tcBorders>
              <w:top w:val="nil"/>
              <w:left w:val="single" w:sz="6" w:space="0" w:color="auto"/>
              <w:bottom w:val="single" w:sz="4" w:space="0" w:color="auto"/>
              <w:right w:val="single" w:sz="6" w:space="0" w:color="auto"/>
            </w:tcBorders>
            <w:noWrap/>
            <w:hideMark/>
          </w:tcPr>
          <w:p w14:paraId="0AD24906" w14:textId="77777777" w:rsidR="0084667E" w:rsidRPr="0084667E" w:rsidRDefault="0084667E" w:rsidP="0084667E">
            <w:pPr>
              <w:rPr>
                <w:rFonts w:ascii="Times New Roman" w:hAnsi="Times New Roman" w:cs="Times New Roman"/>
                <w:color w:val="000000" w:themeColor="text1"/>
                <w:lang w:val="en-US"/>
              </w:rPr>
            </w:pPr>
          </w:p>
          <w:p w14:paraId="40482DB7"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lang w:val="en-US"/>
              </w:rPr>
              <w:t xml:space="preserve"> 1,5</w:t>
            </w:r>
          </w:p>
          <w:p w14:paraId="2C0EAAB6" w14:textId="77777777" w:rsidR="0084667E" w:rsidRPr="0084667E" w:rsidRDefault="0084667E" w:rsidP="0084667E">
            <w:pPr>
              <w:rPr>
                <w:rFonts w:ascii="Times New Roman" w:hAnsi="Times New Roman" w:cs="Times New Roman"/>
                <w:color w:val="000000" w:themeColor="text1"/>
                <w:lang w:val="en-US"/>
              </w:rPr>
            </w:pPr>
          </w:p>
          <w:p w14:paraId="49B7CACE" w14:textId="77777777" w:rsidR="0084667E" w:rsidRPr="0084667E" w:rsidRDefault="0084667E" w:rsidP="0084667E">
            <w:pPr>
              <w:rPr>
                <w:rFonts w:ascii="Times New Roman" w:hAnsi="Times New Roman" w:cs="Times New Roman"/>
                <w:color w:val="000000" w:themeColor="text1"/>
                <w:lang w:val="en-US"/>
              </w:rPr>
            </w:pPr>
          </w:p>
          <w:p w14:paraId="2AEC0DA4" w14:textId="77777777" w:rsidR="0084667E" w:rsidRPr="0084667E" w:rsidRDefault="0084667E" w:rsidP="0084667E">
            <w:pPr>
              <w:rPr>
                <w:rFonts w:ascii="Times New Roman" w:hAnsi="Times New Roman" w:cs="Times New Roman"/>
                <w:color w:val="000000" w:themeColor="text1"/>
                <w:lang w:val="en-US"/>
              </w:rPr>
            </w:pPr>
          </w:p>
        </w:tc>
        <w:tc>
          <w:tcPr>
            <w:tcW w:w="1062" w:type="dxa"/>
            <w:vMerge w:val="restart"/>
            <w:tcBorders>
              <w:top w:val="nil"/>
              <w:left w:val="single" w:sz="6" w:space="0" w:color="auto"/>
              <w:bottom w:val="single" w:sz="4" w:space="0" w:color="auto"/>
              <w:right w:val="single" w:sz="6" w:space="0" w:color="auto"/>
            </w:tcBorders>
            <w:noWrap/>
            <w:hideMark/>
          </w:tcPr>
          <w:p w14:paraId="3CD40706" w14:textId="77777777" w:rsidR="0084667E" w:rsidRPr="0084667E" w:rsidRDefault="0084667E" w:rsidP="0084667E">
            <w:pPr>
              <w:rPr>
                <w:rFonts w:ascii="Times New Roman" w:hAnsi="Times New Roman" w:cs="Times New Roman"/>
                <w:color w:val="000000" w:themeColor="text1"/>
                <w:lang w:val="en-US"/>
              </w:rPr>
            </w:pPr>
          </w:p>
          <w:p w14:paraId="2D1E3EBB"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lang w:val="en-US"/>
              </w:rPr>
              <w:t xml:space="preserve"> 1,5</w:t>
            </w:r>
          </w:p>
          <w:p w14:paraId="7C5965B2" w14:textId="77777777" w:rsidR="0084667E" w:rsidRPr="0084667E" w:rsidRDefault="0084667E" w:rsidP="0084667E">
            <w:pPr>
              <w:rPr>
                <w:rFonts w:ascii="Times New Roman" w:hAnsi="Times New Roman" w:cs="Times New Roman"/>
                <w:color w:val="000000" w:themeColor="text1"/>
                <w:lang w:val="en-US"/>
              </w:rPr>
            </w:pPr>
          </w:p>
          <w:p w14:paraId="0C9F4EBC" w14:textId="77777777" w:rsidR="0084667E" w:rsidRPr="0084667E" w:rsidRDefault="0084667E" w:rsidP="0084667E">
            <w:pPr>
              <w:rPr>
                <w:rFonts w:ascii="Times New Roman" w:hAnsi="Times New Roman" w:cs="Times New Roman"/>
                <w:color w:val="000000" w:themeColor="text1"/>
                <w:lang w:val="en-US"/>
              </w:rPr>
            </w:pPr>
          </w:p>
          <w:p w14:paraId="569C3985" w14:textId="77777777" w:rsidR="0084667E" w:rsidRPr="0084667E" w:rsidRDefault="0084667E" w:rsidP="0084667E">
            <w:pPr>
              <w:rPr>
                <w:rFonts w:ascii="Times New Roman" w:hAnsi="Times New Roman" w:cs="Times New Roman"/>
                <w:color w:val="000000" w:themeColor="text1"/>
                <w:lang w:val="en-US"/>
              </w:rPr>
            </w:pPr>
          </w:p>
        </w:tc>
        <w:tc>
          <w:tcPr>
            <w:tcW w:w="1062" w:type="dxa"/>
            <w:tcBorders>
              <w:top w:val="nil"/>
              <w:left w:val="single" w:sz="6" w:space="0" w:color="auto"/>
              <w:bottom w:val="single" w:sz="4" w:space="0" w:color="auto"/>
              <w:right w:val="single" w:sz="6" w:space="0" w:color="auto"/>
            </w:tcBorders>
            <w:noWrap/>
            <w:hideMark/>
          </w:tcPr>
          <w:p w14:paraId="42577823" w14:textId="77777777" w:rsidR="0084667E" w:rsidRPr="0084667E" w:rsidRDefault="0084667E" w:rsidP="0084667E">
            <w:pPr>
              <w:rPr>
                <w:rFonts w:ascii="Times New Roman" w:hAnsi="Times New Roman" w:cs="Times New Roman"/>
                <w:color w:val="000000" w:themeColor="text1"/>
                <w:lang w:val="en-US"/>
              </w:rPr>
            </w:pPr>
          </w:p>
          <w:p w14:paraId="30A8A1DF"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+0,3; -0,5</w:t>
            </w:r>
          </w:p>
          <w:p w14:paraId="5056A29B" w14:textId="77777777" w:rsidR="0084667E" w:rsidRPr="0084667E" w:rsidRDefault="0084667E" w:rsidP="0084667E">
            <w:pPr>
              <w:rPr>
                <w:rFonts w:ascii="Times New Roman" w:hAnsi="Times New Roman" w:cs="Times New Roman"/>
                <w:color w:val="000000" w:themeColor="text1"/>
                <w:lang w:val="en-US"/>
              </w:rPr>
            </w:pPr>
          </w:p>
        </w:tc>
      </w:tr>
      <w:tr w:rsidR="0084667E" w:rsidRPr="0084667E" w14:paraId="495AF377" w14:textId="77777777" w:rsidTr="0084667E">
        <w:trPr>
          <w:trHeight w:val="540"/>
        </w:trPr>
        <w:tc>
          <w:tcPr>
            <w:tcW w:w="0" w:type="auto"/>
            <w:vMerge/>
            <w:tcBorders>
              <w:top w:val="nil"/>
              <w:left w:val="single" w:sz="6" w:space="0" w:color="auto"/>
              <w:bottom w:val="single" w:sz="6" w:space="0" w:color="auto"/>
              <w:right w:val="single" w:sz="6" w:space="0" w:color="auto"/>
            </w:tcBorders>
            <w:vAlign w:val="center"/>
            <w:hideMark/>
          </w:tcPr>
          <w:p w14:paraId="3A0436A2"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4EB0B04E"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6B6876CD"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21A287D7"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73421633"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4" w:space="0" w:color="auto"/>
              <w:right w:val="single" w:sz="6" w:space="0" w:color="auto"/>
            </w:tcBorders>
            <w:vAlign w:val="center"/>
            <w:hideMark/>
          </w:tcPr>
          <w:p w14:paraId="495A8D3A"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4" w:space="0" w:color="auto"/>
              <w:right w:val="single" w:sz="6" w:space="0" w:color="auto"/>
            </w:tcBorders>
            <w:vAlign w:val="center"/>
            <w:hideMark/>
          </w:tcPr>
          <w:p w14:paraId="31E8B6B9" w14:textId="77777777" w:rsidR="0084667E" w:rsidRPr="0084667E" w:rsidRDefault="0084667E" w:rsidP="0084667E">
            <w:pPr>
              <w:rPr>
                <w:rFonts w:ascii="Times New Roman" w:hAnsi="Times New Roman" w:cs="Times New Roman"/>
                <w:color w:val="000000" w:themeColor="text1"/>
                <w:lang w:val="en-US"/>
              </w:rPr>
            </w:pPr>
          </w:p>
        </w:tc>
        <w:tc>
          <w:tcPr>
            <w:tcW w:w="1062" w:type="dxa"/>
            <w:tcBorders>
              <w:top w:val="single" w:sz="4" w:space="0" w:color="auto"/>
              <w:left w:val="single" w:sz="6" w:space="0" w:color="auto"/>
              <w:bottom w:val="single" w:sz="4" w:space="0" w:color="auto"/>
              <w:right w:val="single" w:sz="6" w:space="0" w:color="auto"/>
            </w:tcBorders>
            <w:noWrap/>
            <w:hideMark/>
          </w:tcPr>
          <w:p w14:paraId="47B6AA14"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+0,4; -0,75</w:t>
            </w:r>
          </w:p>
          <w:p w14:paraId="45A7970F" w14:textId="77777777" w:rsidR="0084667E" w:rsidRPr="0084667E" w:rsidRDefault="0084667E" w:rsidP="0084667E">
            <w:pPr>
              <w:rPr>
                <w:rFonts w:ascii="Times New Roman" w:hAnsi="Times New Roman" w:cs="Times New Roman"/>
                <w:color w:val="000000" w:themeColor="text1"/>
                <w:lang w:val="en-US"/>
              </w:rPr>
            </w:pPr>
          </w:p>
        </w:tc>
      </w:tr>
      <w:tr w:rsidR="0084667E" w:rsidRPr="0084667E" w14:paraId="3A7DA3A1" w14:textId="77777777" w:rsidTr="0084667E">
        <w:trPr>
          <w:trHeight w:val="720"/>
        </w:trPr>
        <w:tc>
          <w:tcPr>
            <w:tcW w:w="0" w:type="auto"/>
            <w:vMerge/>
            <w:tcBorders>
              <w:top w:val="nil"/>
              <w:left w:val="single" w:sz="6" w:space="0" w:color="auto"/>
              <w:bottom w:val="single" w:sz="6" w:space="0" w:color="auto"/>
              <w:right w:val="single" w:sz="6" w:space="0" w:color="auto"/>
            </w:tcBorders>
            <w:vAlign w:val="center"/>
            <w:hideMark/>
          </w:tcPr>
          <w:p w14:paraId="413AEDFA"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0CC8702E"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00845ED2"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7136440D" w14:textId="77777777" w:rsidR="0084667E" w:rsidRPr="0084667E" w:rsidRDefault="0084667E" w:rsidP="0084667E">
            <w:pPr>
              <w:rPr>
                <w:rFonts w:ascii="Times New Roman" w:hAnsi="Times New Roman" w:cs="Times New Roman"/>
                <w:color w:val="000000" w:themeColor="text1"/>
                <w:lang w:val="en-US"/>
              </w:rPr>
            </w:pPr>
          </w:p>
        </w:tc>
        <w:tc>
          <w:tcPr>
            <w:tcW w:w="0" w:type="auto"/>
            <w:vMerge/>
            <w:tcBorders>
              <w:top w:val="nil"/>
              <w:left w:val="single" w:sz="6" w:space="0" w:color="auto"/>
              <w:bottom w:val="single" w:sz="6" w:space="0" w:color="auto"/>
              <w:right w:val="single" w:sz="6" w:space="0" w:color="auto"/>
            </w:tcBorders>
            <w:vAlign w:val="center"/>
            <w:hideMark/>
          </w:tcPr>
          <w:p w14:paraId="49DD958B" w14:textId="77777777" w:rsidR="0084667E" w:rsidRPr="0084667E" w:rsidRDefault="0084667E" w:rsidP="0084667E">
            <w:pPr>
              <w:rPr>
                <w:rFonts w:ascii="Times New Roman" w:hAnsi="Times New Roman" w:cs="Times New Roman"/>
                <w:color w:val="000000" w:themeColor="text1"/>
                <w:lang w:val="en-US"/>
              </w:rPr>
            </w:pPr>
          </w:p>
        </w:tc>
        <w:tc>
          <w:tcPr>
            <w:tcW w:w="1062" w:type="dxa"/>
            <w:tcBorders>
              <w:top w:val="single" w:sz="4" w:space="0" w:color="auto"/>
              <w:left w:val="single" w:sz="6" w:space="0" w:color="auto"/>
              <w:bottom w:val="single" w:sz="6" w:space="0" w:color="auto"/>
              <w:right w:val="single" w:sz="6" w:space="0" w:color="auto"/>
            </w:tcBorders>
            <w:noWrap/>
            <w:hideMark/>
          </w:tcPr>
          <w:p w14:paraId="54BECD63" w14:textId="77777777" w:rsidR="0084667E" w:rsidRPr="0084667E" w:rsidRDefault="0084667E" w:rsidP="0084667E">
            <w:pPr>
              <w:rPr>
                <w:rFonts w:ascii="Times New Roman" w:hAnsi="Times New Roman" w:cs="Times New Roman"/>
                <w:color w:val="000000" w:themeColor="text1"/>
                <w:lang w:val="en-US"/>
              </w:rPr>
            </w:pPr>
          </w:p>
          <w:p w14:paraId="36DA2B47"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lang w:val="en-US"/>
              </w:rPr>
              <w:t xml:space="preserve"> 2,0</w:t>
            </w:r>
          </w:p>
        </w:tc>
        <w:tc>
          <w:tcPr>
            <w:tcW w:w="1062" w:type="dxa"/>
            <w:tcBorders>
              <w:top w:val="single" w:sz="4" w:space="0" w:color="auto"/>
              <w:left w:val="single" w:sz="6" w:space="0" w:color="auto"/>
              <w:bottom w:val="single" w:sz="6" w:space="0" w:color="auto"/>
              <w:right w:val="single" w:sz="6" w:space="0" w:color="auto"/>
            </w:tcBorders>
            <w:noWrap/>
            <w:hideMark/>
          </w:tcPr>
          <w:p w14:paraId="6ABB143D" w14:textId="77777777" w:rsidR="0084667E" w:rsidRPr="0084667E" w:rsidRDefault="0084667E" w:rsidP="0084667E">
            <w:pPr>
              <w:rPr>
                <w:rFonts w:ascii="Times New Roman" w:hAnsi="Times New Roman" w:cs="Times New Roman"/>
                <w:color w:val="000000" w:themeColor="text1"/>
                <w:lang w:val="en-US"/>
              </w:rPr>
            </w:pPr>
          </w:p>
          <w:p w14:paraId="26045303"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lang w:val="en-US"/>
              </w:rPr>
              <w:t xml:space="preserve"> 2,0</w:t>
            </w:r>
          </w:p>
        </w:tc>
        <w:tc>
          <w:tcPr>
            <w:tcW w:w="1062" w:type="dxa"/>
            <w:tcBorders>
              <w:top w:val="single" w:sz="4" w:space="0" w:color="auto"/>
              <w:left w:val="single" w:sz="6" w:space="0" w:color="auto"/>
              <w:bottom w:val="single" w:sz="6" w:space="0" w:color="auto"/>
              <w:right w:val="single" w:sz="6" w:space="0" w:color="auto"/>
            </w:tcBorders>
            <w:noWrap/>
            <w:hideMark/>
          </w:tcPr>
          <w:p w14:paraId="0EF14E51" w14:textId="77777777" w:rsidR="0084667E" w:rsidRPr="0084667E" w:rsidRDefault="0084667E" w:rsidP="0084667E">
            <w:pPr>
              <w:rPr>
                <w:rFonts w:ascii="Times New Roman" w:hAnsi="Times New Roman" w:cs="Times New Roman"/>
                <w:color w:val="000000" w:themeColor="text1"/>
                <w:lang w:val="en-US"/>
              </w:rPr>
            </w:pPr>
          </w:p>
          <w:p w14:paraId="5A56440E"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+0,4; -1,0</w:t>
            </w:r>
          </w:p>
        </w:tc>
      </w:tr>
    </w:tbl>
    <w:p w14:paraId="00FB297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12. Teowniki walcowane, wg PN-H-93406 [22]</w:t>
      </w:r>
    </w:p>
    <w:tbl>
      <w:tblPr>
        <w:tblW w:w="0" w:type="auto"/>
        <w:tblCellMar>
          <w:left w:w="70" w:type="dxa"/>
          <w:right w:w="70" w:type="dxa"/>
        </w:tblCellMar>
        <w:tblLook w:val="04A0" w:firstRow="1" w:lastRow="0" w:firstColumn="1" w:lastColumn="0" w:noHBand="0" w:noVBand="1"/>
      </w:tblPr>
      <w:tblGrid>
        <w:gridCol w:w="1045"/>
        <w:gridCol w:w="1008"/>
        <w:gridCol w:w="1008"/>
        <w:gridCol w:w="898"/>
        <w:gridCol w:w="953"/>
        <w:gridCol w:w="958"/>
        <w:gridCol w:w="899"/>
        <w:gridCol w:w="1016"/>
      </w:tblGrid>
      <w:tr w:rsidR="0084667E" w:rsidRPr="0084667E" w14:paraId="4F5E27DD" w14:textId="77777777" w:rsidTr="0084667E">
        <w:tc>
          <w:tcPr>
            <w:tcW w:w="1007" w:type="dxa"/>
            <w:tcBorders>
              <w:top w:val="single" w:sz="6" w:space="0" w:color="auto"/>
              <w:left w:val="single" w:sz="6" w:space="0" w:color="auto"/>
              <w:bottom w:val="nil"/>
              <w:right w:val="nil"/>
            </w:tcBorders>
            <w:noWrap/>
            <w:hideMark/>
          </w:tcPr>
          <w:p w14:paraId="3E7262C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Ozna-</w:t>
            </w:r>
          </w:p>
        </w:tc>
        <w:tc>
          <w:tcPr>
            <w:tcW w:w="2389" w:type="dxa"/>
            <w:gridSpan w:val="3"/>
            <w:tcBorders>
              <w:top w:val="single" w:sz="6" w:space="0" w:color="auto"/>
              <w:left w:val="single" w:sz="6" w:space="0" w:color="auto"/>
              <w:bottom w:val="nil"/>
              <w:right w:val="nil"/>
            </w:tcBorders>
            <w:noWrap/>
            <w:hideMark/>
          </w:tcPr>
          <w:p w14:paraId="4543DD4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 mm</w:t>
            </w:r>
          </w:p>
        </w:tc>
        <w:tc>
          <w:tcPr>
            <w:tcW w:w="953" w:type="dxa"/>
            <w:tcBorders>
              <w:top w:val="single" w:sz="6" w:space="0" w:color="auto"/>
              <w:left w:val="single" w:sz="6" w:space="0" w:color="auto"/>
              <w:bottom w:val="nil"/>
              <w:right w:val="nil"/>
            </w:tcBorders>
            <w:noWrap/>
            <w:hideMark/>
          </w:tcPr>
          <w:p w14:paraId="578DF8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w:t>
            </w:r>
          </w:p>
        </w:tc>
        <w:tc>
          <w:tcPr>
            <w:tcW w:w="2873" w:type="dxa"/>
            <w:gridSpan w:val="3"/>
            <w:tcBorders>
              <w:top w:val="single" w:sz="6" w:space="0" w:color="auto"/>
              <w:left w:val="single" w:sz="6" w:space="0" w:color="auto"/>
              <w:bottom w:val="nil"/>
              <w:right w:val="single" w:sz="6" w:space="0" w:color="auto"/>
            </w:tcBorders>
            <w:noWrap/>
            <w:hideMark/>
          </w:tcPr>
          <w:p w14:paraId="7C7FD6B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mm</w:t>
            </w:r>
          </w:p>
        </w:tc>
      </w:tr>
      <w:tr w:rsidR="0084667E" w:rsidRPr="0084667E" w14:paraId="75594156" w14:textId="77777777" w:rsidTr="0084667E">
        <w:tc>
          <w:tcPr>
            <w:tcW w:w="1007" w:type="dxa"/>
            <w:tcBorders>
              <w:top w:val="nil"/>
              <w:left w:val="single" w:sz="6" w:space="0" w:color="auto"/>
              <w:bottom w:val="double" w:sz="6" w:space="0" w:color="auto"/>
              <w:right w:val="nil"/>
            </w:tcBorders>
            <w:noWrap/>
            <w:hideMark/>
          </w:tcPr>
          <w:p w14:paraId="6A2C386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czenie</w:t>
            </w:r>
          </w:p>
        </w:tc>
        <w:tc>
          <w:tcPr>
            <w:tcW w:w="811" w:type="dxa"/>
            <w:tcBorders>
              <w:top w:val="single" w:sz="6" w:space="0" w:color="auto"/>
              <w:left w:val="single" w:sz="6" w:space="0" w:color="auto"/>
              <w:bottom w:val="double" w:sz="6" w:space="0" w:color="auto"/>
              <w:right w:val="single" w:sz="6" w:space="0" w:color="auto"/>
            </w:tcBorders>
            <w:noWrap/>
            <w:hideMark/>
          </w:tcPr>
          <w:p w14:paraId="3D7CAF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wysokość środnika</w:t>
            </w:r>
          </w:p>
        </w:tc>
        <w:tc>
          <w:tcPr>
            <w:tcW w:w="815" w:type="dxa"/>
            <w:tcBorders>
              <w:top w:val="single" w:sz="6" w:space="0" w:color="auto"/>
              <w:left w:val="single" w:sz="6" w:space="0" w:color="auto"/>
              <w:bottom w:val="double" w:sz="6" w:space="0" w:color="auto"/>
              <w:right w:val="single" w:sz="6" w:space="0" w:color="auto"/>
            </w:tcBorders>
            <w:noWrap/>
            <w:hideMark/>
          </w:tcPr>
          <w:p w14:paraId="736839F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szerokość stopki</w:t>
            </w:r>
          </w:p>
        </w:tc>
        <w:tc>
          <w:tcPr>
            <w:tcW w:w="763" w:type="dxa"/>
            <w:tcBorders>
              <w:top w:val="single" w:sz="6" w:space="0" w:color="auto"/>
              <w:left w:val="single" w:sz="6" w:space="0" w:color="auto"/>
              <w:bottom w:val="double" w:sz="6" w:space="0" w:color="auto"/>
              <w:right w:val="nil"/>
            </w:tcBorders>
            <w:noWrap/>
            <w:hideMark/>
          </w:tcPr>
          <w:p w14:paraId="0083E4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grubość środnika</w:t>
            </w:r>
          </w:p>
        </w:tc>
        <w:tc>
          <w:tcPr>
            <w:tcW w:w="953" w:type="dxa"/>
            <w:tcBorders>
              <w:top w:val="nil"/>
              <w:left w:val="single" w:sz="6" w:space="0" w:color="auto"/>
              <w:bottom w:val="double" w:sz="6" w:space="0" w:color="auto"/>
              <w:right w:val="nil"/>
            </w:tcBorders>
            <w:noWrap/>
            <w:hideMark/>
          </w:tcPr>
          <w:p w14:paraId="5EEDC89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teownika</w:t>
            </w:r>
          </w:p>
          <w:p w14:paraId="6336330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kg/m</w:t>
            </w:r>
          </w:p>
        </w:tc>
        <w:tc>
          <w:tcPr>
            <w:tcW w:w="958" w:type="dxa"/>
            <w:tcBorders>
              <w:top w:val="single" w:sz="6" w:space="0" w:color="auto"/>
              <w:left w:val="single" w:sz="6" w:space="0" w:color="auto"/>
              <w:bottom w:val="double" w:sz="6" w:space="0" w:color="auto"/>
              <w:right w:val="single" w:sz="6" w:space="0" w:color="auto"/>
            </w:tcBorders>
            <w:noWrap/>
            <w:hideMark/>
          </w:tcPr>
          <w:p w14:paraId="3151AD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środnika</w:t>
            </w:r>
          </w:p>
        </w:tc>
        <w:tc>
          <w:tcPr>
            <w:tcW w:w="899" w:type="dxa"/>
            <w:tcBorders>
              <w:top w:val="single" w:sz="6" w:space="0" w:color="auto"/>
              <w:left w:val="single" w:sz="6" w:space="0" w:color="auto"/>
              <w:bottom w:val="double" w:sz="6" w:space="0" w:color="auto"/>
              <w:right w:val="single" w:sz="6" w:space="0" w:color="auto"/>
            </w:tcBorders>
            <w:noWrap/>
            <w:hideMark/>
          </w:tcPr>
          <w:p w14:paraId="2581916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stopki</w:t>
            </w:r>
          </w:p>
        </w:tc>
        <w:tc>
          <w:tcPr>
            <w:tcW w:w="1016" w:type="dxa"/>
            <w:tcBorders>
              <w:top w:val="single" w:sz="6" w:space="0" w:color="auto"/>
              <w:left w:val="single" w:sz="6" w:space="0" w:color="auto"/>
              <w:bottom w:val="double" w:sz="6" w:space="0" w:color="auto"/>
              <w:right w:val="single" w:sz="6" w:space="0" w:color="auto"/>
            </w:tcBorders>
            <w:noWrap/>
            <w:hideMark/>
          </w:tcPr>
          <w:p w14:paraId="76B4136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grubości</w:t>
            </w:r>
          </w:p>
        </w:tc>
      </w:tr>
      <w:tr w:rsidR="0084667E" w:rsidRPr="0084667E" w14:paraId="0F80721E" w14:textId="77777777" w:rsidTr="0084667E">
        <w:trPr>
          <w:trHeight w:val="410"/>
        </w:trPr>
        <w:tc>
          <w:tcPr>
            <w:tcW w:w="1007" w:type="dxa"/>
            <w:vMerge w:val="restart"/>
            <w:tcBorders>
              <w:top w:val="nil"/>
              <w:left w:val="single" w:sz="6" w:space="0" w:color="auto"/>
              <w:bottom w:val="single" w:sz="6" w:space="0" w:color="auto"/>
              <w:right w:val="single" w:sz="6" w:space="0" w:color="auto"/>
            </w:tcBorders>
            <w:noWrap/>
            <w:hideMark/>
          </w:tcPr>
          <w:p w14:paraId="7C2C883C" w14:textId="77777777" w:rsidR="0084667E" w:rsidRPr="0084667E" w:rsidRDefault="0084667E" w:rsidP="0084667E">
            <w:pPr>
              <w:rPr>
                <w:rFonts w:ascii="Times New Roman" w:hAnsi="Times New Roman" w:cs="Times New Roman"/>
                <w:color w:val="000000" w:themeColor="text1"/>
                <w:lang w:val="de-DE"/>
              </w:rPr>
            </w:pPr>
            <w:r w:rsidRPr="0084667E">
              <w:rPr>
                <w:rFonts w:ascii="Times New Roman" w:hAnsi="Times New Roman" w:cs="Times New Roman"/>
                <w:color w:val="000000" w:themeColor="text1"/>
                <w:lang w:val="de-DE"/>
              </w:rPr>
              <w:t>T 40x40</w:t>
            </w:r>
          </w:p>
          <w:p w14:paraId="537359B6" w14:textId="77777777" w:rsidR="0084667E" w:rsidRPr="0084667E" w:rsidRDefault="0084667E" w:rsidP="0084667E">
            <w:pPr>
              <w:rPr>
                <w:rFonts w:ascii="Times New Roman" w:hAnsi="Times New Roman" w:cs="Times New Roman"/>
                <w:color w:val="000000" w:themeColor="text1"/>
                <w:lang w:val="de-DE"/>
              </w:rPr>
            </w:pPr>
            <w:r w:rsidRPr="0084667E">
              <w:rPr>
                <w:rFonts w:ascii="Times New Roman" w:hAnsi="Times New Roman" w:cs="Times New Roman"/>
                <w:color w:val="000000" w:themeColor="text1"/>
                <w:lang w:val="de-DE"/>
              </w:rPr>
              <w:t>T 50x50</w:t>
            </w:r>
          </w:p>
          <w:p w14:paraId="0B4574F6" w14:textId="77777777" w:rsidR="0084667E" w:rsidRPr="0084667E" w:rsidRDefault="0084667E" w:rsidP="0084667E">
            <w:pPr>
              <w:rPr>
                <w:rFonts w:ascii="Times New Roman" w:hAnsi="Times New Roman" w:cs="Times New Roman"/>
                <w:color w:val="000000" w:themeColor="text1"/>
                <w:lang w:val="de-DE"/>
              </w:rPr>
            </w:pPr>
            <w:r w:rsidRPr="0084667E">
              <w:rPr>
                <w:rFonts w:ascii="Times New Roman" w:hAnsi="Times New Roman" w:cs="Times New Roman"/>
                <w:color w:val="000000" w:themeColor="text1"/>
                <w:lang w:val="de-DE"/>
              </w:rPr>
              <w:t>T 60x60</w:t>
            </w:r>
          </w:p>
          <w:p w14:paraId="02A4ACAE" w14:textId="77777777" w:rsidR="0084667E" w:rsidRPr="0084667E" w:rsidRDefault="0084667E" w:rsidP="0084667E">
            <w:pPr>
              <w:rPr>
                <w:rFonts w:ascii="Times New Roman" w:hAnsi="Times New Roman" w:cs="Times New Roman"/>
                <w:color w:val="000000" w:themeColor="text1"/>
                <w:lang w:val="de-DE"/>
              </w:rPr>
            </w:pPr>
            <w:r w:rsidRPr="0084667E">
              <w:rPr>
                <w:rFonts w:ascii="Times New Roman" w:hAnsi="Times New Roman" w:cs="Times New Roman"/>
                <w:color w:val="000000" w:themeColor="text1"/>
                <w:lang w:val="de-DE"/>
              </w:rPr>
              <w:t>T 80x80</w:t>
            </w:r>
          </w:p>
          <w:p w14:paraId="0281423E"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T100x100</w:t>
            </w:r>
          </w:p>
        </w:tc>
        <w:tc>
          <w:tcPr>
            <w:tcW w:w="811" w:type="dxa"/>
            <w:vMerge w:val="restart"/>
            <w:tcBorders>
              <w:top w:val="nil"/>
              <w:left w:val="single" w:sz="6" w:space="0" w:color="auto"/>
              <w:bottom w:val="single" w:sz="6" w:space="0" w:color="auto"/>
              <w:right w:val="single" w:sz="6" w:space="0" w:color="auto"/>
            </w:tcBorders>
            <w:noWrap/>
            <w:hideMark/>
          </w:tcPr>
          <w:p w14:paraId="33D6EC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p w14:paraId="573774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p w14:paraId="058572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w:t>
            </w:r>
          </w:p>
          <w:p w14:paraId="6B77900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w:t>
            </w:r>
          </w:p>
          <w:p w14:paraId="64DC95E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w:t>
            </w:r>
          </w:p>
        </w:tc>
        <w:tc>
          <w:tcPr>
            <w:tcW w:w="815" w:type="dxa"/>
            <w:vMerge w:val="restart"/>
            <w:tcBorders>
              <w:top w:val="nil"/>
              <w:left w:val="single" w:sz="6" w:space="0" w:color="auto"/>
              <w:bottom w:val="single" w:sz="6" w:space="0" w:color="auto"/>
              <w:right w:val="single" w:sz="6" w:space="0" w:color="auto"/>
            </w:tcBorders>
            <w:noWrap/>
            <w:hideMark/>
          </w:tcPr>
          <w:p w14:paraId="7D6EF4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p w14:paraId="24A177E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p w14:paraId="618133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60</w:t>
            </w:r>
          </w:p>
          <w:p w14:paraId="34916A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w:t>
            </w:r>
          </w:p>
          <w:p w14:paraId="49B04B8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w:t>
            </w:r>
          </w:p>
        </w:tc>
        <w:tc>
          <w:tcPr>
            <w:tcW w:w="763" w:type="dxa"/>
            <w:vMerge w:val="restart"/>
            <w:tcBorders>
              <w:top w:val="nil"/>
              <w:left w:val="single" w:sz="6" w:space="0" w:color="auto"/>
              <w:bottom w:val="single" w:sz="6" w:space="0" w:color="auto"/>
              <w:right w:val="single" w:sz="6" w:space="0" w:color="auto"/>
            </w:tcBorders>
            <w:noWrap/>
            <w:hideMark/>
          </w:tcPr>
          <w:p w14:paraId="0B4D6F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w:t>
            </w:r>
          </w:p>
          <w:p w14:paraId="34C9C0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w:t>
            </w:r>
          </w:p>
          <w:p w14:paraId="3AE392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w:t>
            </w:r>
          </w:p>
          <w:p w14:paraId="476615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w:t>
            </w:r>
          </w:p>
          <w:p w14:paraId="3266B05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11</w:t>
            </w:r>
          </w:p>
        </w:tc>
        <w:tc>
          <w:tcPr>
            <w:tcW w:w="953" w:type="dxa"/>
            <w:vMerge w:val="restart"/>
            <w:tcBorders>
              <w:top w:val="nil"/>
              <w:left w:val="single" w:sz="6" w:space="0" w:color="auto"/>
              <w:bottom w:val="single" w:sz="6" w:space="0" w:color="auto"/>
              <w:right w:val="single" w:sz="6" w:space="0" w:color="auto"/>
            </w:tcBorders>
            <w:noWrap/>
            <w:hideMark/>
          </w:tcPr>
          <w:p w14:paraId="288848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2,96</w:t>
            </w:r>
          </w:p>
          <w:p w14:paraId="0F62C3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4,44</w:t>
            </w:r>
          </w:p>
          <w:p w14:paraId="5AEB4FF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6,23</w:t>
            </w:r>
          </w:p>
          <w:p w14:paraId="1066AA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10,70</w:t>
            </w:r>
          </w:p>
          <w:p w14:paraId="4DB1EF5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16,40</w:t>
            </w:r>
          </w:p>
        </w:tc>
        <w:tc>
          <w:tcPr>
            <w:tcW w:w="958" w:type="dxa"/>
            <w:tcBorders>
              <w:top w:val="nil"/>
              <w:left w:val="single" w:sz="6" w:space="0" w:color="auto"/>
              <w:bottom w:val="single" w:sz="4" w:space="0" w:color="auto"/>
              <w:right w:val="single" w:sz="6" w:space="0" w:color="auto"/>
            </w:tcBorders>
            <w:noWrap/>
            <w:hideMark/>
          </w:tcPr>
          <w:p w14:paraId="3E383AD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w:t>
            </w:r>
          </w:p>
        </w:tc>
        <w:tc>
          <w:tcPr>
            <w:tcW w:w="899" w:type="dxa"/>
            <w:tcBorders>
              <w:top w:val="nil"/>
              <w:left w:val="single" w:sz="6" w:space="0" w:color="auto"/>
              <w:bottom w:val="single" w:sz="4" w:space="0" w:color="auto"/>
              <w:right w:val="single" w:sz="6" w:space="0" w:color="auto"/>
            </w:tcBorders>
            <w:noWrap/>
            <w:hideMark/>
          </w:tcPr>
          <w:p w14:paraId="0E3640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w:t>
            </w:r>
          </w:p>
        </w:tc>
        <w:tc>
          <w:tcPr>
            <w:tcW w:w="1016" w:type="dxa"/>
            <w:tcBorders>
              <w:top w:val="nil"/>
              <w:left w:val="single" w:sz="6" w:space="0" w:color="auto"/>
              <w:bottom w:val="single" w:sz="4" w:space="0" w:color="auto"/>
              <w:right w:val="single" w:sz="6" w:space="0" w:color="auto"/>
            </w:tcBorders>
            <w:noWrap/>
            <w:hideMark/>
          </w:tcPr>
          <w:p w14:paraId="5257DB2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tc>
      </w:tr>
      <w:tr w:rsidR="0084667E" w:rsidRPr="0084667E" w14:paraId="1AE31C6B" w14:textId="77777777" w:rsidTr="0084667E">
        <w:trPr>
          <w:trHeight w:val="750"/>
        </w:trPr>
        <w:tc>
          <w:tcPr>
            <w:tcW w:w="0" w:type="auto"/>
            <w:vMerge/>
            <w:tcBorders>
              <w:top w:val="nil"/>
              <w:left w:val="single" w:sz="6" w:space="0" w:color="auto"/>
              <w:bottom w:val="single" w:sz="6" w:space="0" w:color="auto"/>
              <w:right w:val="single" w:sz="6" w:space="0" w:color="auto"/>
            </w:tcBorders>
            <w:vAlign w:val="center"/>
            <w:hideMark/>
          </w:tcPr>
          <w:p w14:paraId="4DA6ACC8" w14:textId="77777777" w:rsidR="0084667E" w:rsidRPr="0084667E" w:rsidRDefault="0084667E" w:rsidP="0084667E">
            <w:pPr>
              <w:rPr>
                <w:rFonts w:ascii="Times New Roman" w:hAnsi="Times New Roman" w:cs="Times New Roman"/>
                <w:color w:val="000000" w:themeColor="text1"/>
              </w:rPr>
            </w:pPr>
          </w:p>
        </w:tc>
        <w:tc>
          <w:tcPr>
            <w:tcW w:w="0" w:type="auto"/>
            <w:vMerge/>
            <w:tcBorders>
              <w:top w:val="nil"/>
              <w:left w:val="single" w:sz="6" w:space="0" w:color="auto"/>
              <w:bottom w:val="single" w:sz="6" w:space="0" w:color="auto"/>
              <w:right w:val="single" w:sz="6" w:space="0" w:color="auto"/>
            </w:tcBorders>
            <w:vAlign w:val="center"/>
            <w:hideMark/>
          </w:tcPr>
          <w:p w14:paraId="0E3F643A" w14:textId="77777777" w:rsidR="0084667E" w:rsidRPr="0084667E" w:rsidRDefault="0084667E" w:rsidP="0084667E">
            <w:pPr>
              <w:rPr>
                <w:rFonts w:ascii="Times New Roman" w:hAnsi="Times New Roman" w:cs="Times New Roman"/>
                <w:color w:val="000000" w:themeColor="text1"/>
              </w:rPr>
            </w:pPr>
          </w:p>
        </w:tc>
        <w:tc>
          <w:tcPr>
            <w:tcW w:w="0" w:type="auto"/>
            <w:vMerge/>
            <w:tcBorders>
              <w:top w:val="nil"/>
              <w:left w:val="single" w:sz="6" w:space="0" w:color="auto"/>
              <w:bottom w:val="single" w:sz="6" w:space="0" w:color="auto"/>
              <w:right w:val="single" w:sz="6" w:space="0" w:color="auto"/>
            </w:tcBorders>
            <w:vAlign w:val="center"/>
            <w:hideMark/>
          </w:tcPr>
          <w:p w14:paraId="30F4CA4E" w14:textId="77777777" w:rsidR="0084667E" w:rsidRPr="0084667E" w:rsidRDefault="0084667E" w:rsidP="0084667E">
            <w:pPr>
              <w:rPr>
                <w:rFonts w:ascii="Times New Roman" w:hAnsi="Times New Roman" w:cs="Times New Roman"/>
                <w:color w:val="000000" w:themeColor="text1"/>
              </w:rPr>
            </w:pPr>
          </w:p>
        </w:tc>
        <w:tc>
          <w:tcPr>
            <w:tcW w:w="0" w:type="auto"/>
            <w:vMerge/>
            <w:tcBorders>
              <w:top w:val="nil"/>
              <w:left w:val="single" w:sz="6" w:space="0" w:color="auto"/>
              <w:bottom w:val="single" w:sz="6" w:space="0" w:color="auto"/>
              <w:right w:val="single" w:sz="6" w:space="0" w:color="auto"/>
            </w:tcBorders>
            <w:vAlign w:val="center"/>
            <w:hideMark/>
          </w:tcPr>
          <w:p w14:paraId="3A01E5E2" w14:textId="77777777" w:rsidR="0084667E" w:rsidRPr="0084667E" w:rsidRDefault="0084667E" w:rsidP="0084667E">
            <w:pPr>
              <w:rPr>
                <w:rFonts w:ascii="Times New Roman" w:hAnsi="Times New Roman" w:cs="Times New Roman"/>
                <w:color w:val="000000" w:themeColor="text1"/>
              </w:rPr>
            </w:pPr>
          </w:p>
        </w:tc>
        <w:tc>
          <w:tcPr>
            <w:tcW w:w="0" w:type="auto"/>
            <w:vMerge/>
            <w:tcBorders>
              <w:top w:val="nil"/>
              <w:left w:val="single" w:sz="6" w:space="0" w:color="auto"/>
              <w:bottom w:val="single" w:sz="6" w:space="0" w:color="auto"/>
              <w:right w:val="single" w:sz="6" w:space="0" w:color="auto"/>
            </w:tcBorders>
            <w:vAlign w:val="center"/>
            <w:hideMark/>
          </w:tcPr>
          <w:p w14:paraId="75DCD6E1" w14:textId="77777777" w:rsidR="0084667E" w:rsidRPr="0084667E" w:rsidRDefault="0084667E" w:rsidP="0084667E">
            <w:pPr>
              <w:rPr>
                <w:rFonts w:ascii="Times New Roman" w:hAnsi="Times New Roman" w:cs="Times New Roman"/>
                <w:color w:val="000000" w:themeColor="text1"/>
              </w:rPr>
            </w:pPr>
          </w:p>
        </w:tc>
        <w:tc>
          <w:tcPr>
            <w:tcW w:w="958" w:type="dxa"/>
            <w:tcBorders>
              <w:top w:val="single" w:sz="4" w:space="0" w:color="auto"/>
              <w:left w:val="single" w:sz="6" w:space="0" w:color="auto"/>
              <w:bottom w:val="single" w:sz="6" w:space="0" w:color="auto"/>
              <w:right w:val="single" w:sz="6" w:space="0" w:color="auto"/>
            </w:tcBorders>
            <w:noWrap/>
            <w:hideMark/>
          </w:tcPr>
          <w:p w14:paraId="342C76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c>
          <w:tcPr>
            <w:tcW w:w="899" w:type="dxa"/>
            <w:tcBorders>
              <w:top w:val="single" w:sz="4" w:space="0" w:color="auto"/>
              <w:left w:val="single" w:sz="6" w:space="0" w:color="auto"/>
              <w:bottom w:val="single" w:sz="6" w:space="0" w:color="auto"/>
              <w:right w:val="single" w:sz="6" w:space="0" w:color="auto"/>
            </w:tcBorders>
            <w:noWrap/>
            <w:hideMark/>
          </w:tcPr>
          <w:p w14:paraId="28C6AF8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c>
          <w:tcPr>
            <w:tcW w:w="1016" w:type="dxa"/>
            <w:tcBorders>
              <w:top w:val="single" w:sz="4" w:space="0" w:color="auto"/>
              <w:left w:val="single" w:sz="6" w:space="0" w:color="auto"/>
              <w:bottom w:val="single" w:sz="6" w:space="0" w:color="auto"/>
              <w:right w:val="single" w:sz="6" w:space="0" w:color="auto"/>
            </w:tcBorders>
            <w:noWrap/>
            <w:hideMark/>
          </w:tcPr>
          <w:p w14:paraId="69486F4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0,75</w:t>
            </w:r>
          </w:p>
        </w:tc>
      </w:tr>
    </w:tbl>
    <w:p w14:paraId="15C5EBD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13. Dwuteowniki walcowane, wg PN-H-93407 [23]</w:t>
      </w:r>
    </w:p>
    <w:tbl>
      <w:tblPr>
        <w:tblW w:w="0" w:type="auto"/>
        <w:tblCellMar>
          <w:left w:w="70" w:type="dxa"/>
          <w:right w:w="70" w:type="dxa"/>
        </w:tblCellMar>
        <w:tblLook w:val="04A0" w:firstRow="1" w:lastRow="0" w:firstColumn="1" w:lastColumn="0" w:noHBand="0" w:noVBand="1"/>
      </w:tblPr>
      <w:tblGrid>
        <w:gridCol w:w="936"/>
        <w:gridCol w:w="1008"/>
        <w:gridCol w:w="1008"/>
        <w:gridCol w:w="898"/>
        <w:gridCol w:w="1027"/>
        <w:gridCol w:w="960"/>
        <w:gridCol w:w="902"/>
        <w:gridCol w:w="1018"/>
      </w:tblGrid>
      <w:tr w:rsidR="0084667E" w:rsidRPr="0084667E" w14:paraId="2C79B401" w14:textId="77777777" w:rsidTr="0084667E">
        <w:tc>
          <w:tcPr>
            <w:tcW w:w="936" w:type="dxa"/>
            <w:tcBorders>
              <w:top w:val="single" w:sz="6" w:space="0" w:color="auto"/>
              <w:left w:val="single" w:sz="6" w:space="0" w:color="auto"/>
              <w:bottom w:val="nil"/>
              <w:right w:val="nil"/>
            </w:tcBorders>
            <w:noWrap/>
            <w:hideMark/>
          </w:tcPr>
          <w:p w14:paraId="64F689E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Ozna-</w:t>
            </w:r>
          </w:p>
        </w:tc>
        <w:tc>
          <w:tcPr>
            <w:tcW w:w="2390" w:type="dxa"/>
            <w:gridSpan w:val="3"/>
            <w:tcBorders>
              <w:top w:val="single" w:sz="6" w:space="0" w:color="auto"/>
              <w:left w:val="single" w:sz="6" w:space="0" w:color="auto"/>
              <w:bottom w:val="nil"/>
              <w:right w:val="nil"/>
            </w:tcBorders>
            <w:noWrap/>
            <w:hideMark/>
          </w:tcPr>
          <w:p w14:paraId="611620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Wymiary, mm</w:t>
            </w:r>
          </w:p>
        </w:tc>
        <w:tc>
          <w:tcPr>
            <w:tcW w:w="976" w:type="dxa"/>
            <w:tcBorders>
              <w:top w:val="single" w:sz="6" w:space="0" w:color="auto"/>
              <w:left w:val="single" w:sz="6" w:space="0" w:color="auto"/>
              <w:bottom w:val="nil"/>
              <w:right w:val="nil"/>
            </w:tcBorders>
            <w:noWrap/>
            <w:hideMark/>
          </w:tcPr>
          <w:p w14:paraId="28EE06D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Masa 1 m</w:t>
            </w:r>
          </w:p>
        </w:tc>
        <w:tc>
          <w:tcPr>
            <w:tcW w:w="2880" w:type="dxa"/>
            <w:gridSpan w:val="3"/>
            <w:tcBorders>
              <w:top w:val="single" w:sz="6" w:space="0" w:color="auto"/>
              <w:left w:val="single" w:sz="6" w:space="0" w:color="auto"/>
              <w:bottom w:val="nil"/>
              <w:right w:val="single" w:sz="6" w:space="0" w:color="auto"/>
            </w:tcBorders>
            <w:noWrap/>
            <w:hideMark/>
          </w:tcPr>
          <w:p w14:paraId="4E8A58B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Dopuszczalne odchyłki, mm</w:t>
            </w:r>
          </w:p>
        </w:tc>
      </w:tr>
      <w:tr w:rsidR="0084667E" w:rsidRPr="0084667E" w14:paraId="1A8C8D38" w14:textId="77777777" w:rsidTr="0084667E">
        <w:tc>
          <w:tcPr>
            <w:tcW w:w="936" w:type="dxa"/>
            <w:tcBorders>
              <w:top w:val="nil"/>
              <w:left w:val="single" w:sz="6" w:space="0" w:color="auto"/>
              <w:bottom w:val="double" w:sz="6" w:space="0" w:color="auto"/>
              <w:right w:val="nil"/>
            </w:tcBorders>
            <w:noWrap/>
            <w:hideMark/>
          </w:tcPr>
          <w:p w14:paraId="53FB50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czenie</w:t>
            </w:r>
          </w:p>
        </w:tc>
        <w:tc>
          <w:tcPr>
            <w:tcW w:w="811" w:type="dxa"/>
            <w:tcBorders>
              <w:top w:val="single" w:sz="6" w:space="0" w:color="auto"/>
              <w:left w:val="single" w:sz="6" w:space="0" w:color="auto"/>
              <w:bottom w:val="double" w:sz="6" w:space="0" w:color="auto"/>
              <w:right w:val="single" w:sz="6" w:space="0" w:color="auto"/>
            </w:tcBorders>
            <w:noWrap/>
            <w:hideMark/>
          </w:tcPr>
          <w:p w14:paraId="6B4073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wysokość środnika</w:t>
            </w:r>
          </w:p>
        </w:tc>
        <w:tc>
          <w:tcPr>
            <w:tcW w:w="815" w:type="dxa"/>
            <w:tcBorders>
              <w:top w:val="single" w:sz="6" w:space="0" w:color="auto"/>
              <w:left w:val="single" w:sz="6" w:space="0" w:color="auto"/>
              <w:bottom w:val="double" w:sz="6" w:space="0" w:color="auto"/>
              <w:right w:val="single" w:sz="6" w:space="0" w:color="auto"/>
            </w:tcBorders>
            <w:noWrap/>
            <w:hideMark/>
          </w:tcPr>
          <w:p w14:paraId="228C2C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szerokość stopki</w:t>
            </w:r>
          </w:p>
        </w:tc>
        <w:tc>
          <w:tcPr>
            <w:tcW w:w="764" w:type="dxa"/>
            <w:tcBorders>
              <w:top w:val="single" w:sz="6" w:space="0" w:color="auto"/>
              <w:left w:val="single" w:sz="6" w:space="0" w:color="auto"/>
              <w:bottom w:val="double" w:sz="6" w:space="0" w:color="auto"/>
              <w:right w:val="nil"/>
            </w:tcBorders>
            <w:noWrap/>
            <w:hideMark/>
          </w:tcPr>
          <w:p w14:paraId="76A32AA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grubość środnika</w:t>
            </w:r>
          </w:p>
        </w:tc>
        <w:tc>
          <w:tcPr>
            <w:tcW w:w="976" w:type="dxa"/>
            <w:tcBorders>
              <w:top w:val="nil"/>
              <w:left w:val="single" w:sz="6" w:space="0" w:color="auto"/>
              <w:bottom w:val="double" w:sz="6" w:space="0" w:color="auto"/>
              <w:right w:val="nil"/>
            </w:tcBorders>
            <w:noWrap/>
            <w:hideMark/>
          </w:tcPr>
          <w:p w14:paraId="6CA7295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dwuteow-nika,kg/m</w:t>
            </w:r>
          </w:p>
        </w:tc>
        <w:tc>
          <w:tcPr>
            <w:tcW w:w="960" w:type="dxa"/>
            <w:tcBorders>
              <w:top w:val="single" w:sz="6" w:space="0" w:color="auto"/>
              <w:left w:val="single" w:sz="6" w:space="0" w:color="auto"/>
              <w:bottom w:val="double" w:sz="6" w:space="0" w:color="auto"/>
              <w:right w:val="single" w:sz="6" w:space="0" w:color="auto"/>
            </w:tcBorders>
            <w:noWrap/>
            <w:hideMark/>
          </w:tcPr>
          <w:p w14:paraId="63EAF50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środnika</w:t>
            </w:r>
          </w:p>
        </w:tc>
        <w:tc>
          <w:tcPr>
            <w:tcW w:w="902" w:type="dxa"/>
            <w:tcBorders>
              <w:top w:val="single" w:sz="6" w:space="0" w:color="auto"/>
              <w:left w:val="single" w:sz="6" w:space="0" w:color="auto"/>
              <w:bottom w:val="double" w:sz="6" w:space="0" w:color="auto"/>
              <w:right w:val="single" w:sz="6" w:space="0" w:color="auto"/>
            </w:tcBorders>
            <w:noWrap/>
            <w:hideMark/>
          </w:tcPr>
          <w:p w14:paraId="47C808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stopki</w:t>
            </w:r>
          </w:p>
        </w:tc>
        <w:tc>
          <w:tcPr>
            <w:tcW w:w="1018" w:type="dxa"/>
            <w:tcBorders>
              <w:top w:val="single" w:sz="6" w:space="0" w:color="auto"/>
              <w:left w:val="single" w:sz="6" w:space="0" w:color="auto"/>
              <w:bottom w:val="double" w:sz="6" w:space="0" w:color="auto"/>
              <w:right w:val="single" w:sz="6" w:space="0" w:color="auto"/>
            </w:tcBorders>
            <w:noWrap/>
            <w:hideMark/>
          </w:tcPr>
          <w:p w14:paraId="5FF379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grubości</w:t>
            </w:r>
          </w:p>
        </w:tc>
      </w:tr>
      <w:tr w:rsidR="0084667E" w:rsidRPr="0084667E" w14:paraId="5A67F308" w14:textId="77777777" w:rsidTr="0084667E">
        <w:tc>
          <w:tcPr>
            <w:tcW w:w="936" w:type="dxa"/>
            <w:tcBorders>
              <w:top w:val="nil"/>
              <w:left w:val="single" w:sz="6" w:space="0" w:color="auto"/>
              <w:bottom w:val="single" w:sz="6" w:space="0" w:color="auto"/>
              <w:right w:val="single" w:sz="6" w:space="0" w:color="auto"/>
            </w:tcBorders>
            <w:noWrap/>
            <w:hideMark/>
          </w:tcPr>
          <w:p w14:paraId="1D125E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80</w:t>
            </w:r>
          </w:p>
          <w:p w14:paraId="64BBA2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100</w:t>
            </w:r>
          </w:p>
          <w:p w14:paraId="0D57E9F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120</w:t>
            </w:r>
          </w:p>
          <w:p w14:paraId="00B7946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140</w:t>
            </w:r>
          </w:p>
        </w:tc>
        <w:tc>
          <w:tcPr>
            <w:tcW w:w="811" w:type="dxa"/>
            <w:tcBorders>
              <w:top w:val="nil"/>
              <w:left w:val="single" w:sz="6" w:space="0" w:color="auto"/>
              <w:bottom w:val="single" w:sz="6" w:space="0" w:color="auto"/>
              <w:right w:val="single" w:sz="6" w:space="0" w:color="auto"/>
            </w:tcBorders>
            <w:noWrap/>
            <w:hideMark/>
          </w:tcPr>
          <w:p w14:paraId="1DC50D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80</w:t>
            </w:r>
          </w:p>
          <w:p w14:paraId="2BB44D7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100</w:t>
            </w:r>
          </w:p>
          <w:p w14:paraId="3F0D743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120</w:t>
            </w:r>
          </w:p>
          <w:p w14:paraId="02301BD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140</w:t>
            </w:r>
          </w:p>
        </w:tc>
        <w:tc>
          <w:tcPr>
            <w:tcW w:w="815" w:type="dxa"/>
            <w:tcBorders>
              <w:top w:val="nil"/>
              <w:left w:val="single" w:sz="6" w:space="0" w:color="auto"/>
              <w:bottom w:val="single" w:sz="6" w:space="0" w:color="auto"/>
              <w:right w:val="single" w:sz="6" w:space="0" w:color="auto"/>
            </w:tcBorders>
            <w:noWrap/>
            <w:hideMark/>
          </w:tcPr>
          <w:p w14:paraId="0AA9C0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42</w:t>
            </w:r>
          </w:p>
          <w:p w14:paraId="2D3D945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50</w:t>
            </w:r>
          </w:p>
          <w:p w14:paraId="2E70242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58</w:t>
            </w:r>
          </w:p>
          <w:p w14:paraId="1F2818B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66</w:t>
            </w:r>
          </w:p>
        </w:tc>
        <w:tc>
          <w:tcPr>
            <w:tcW w:w="764" w:type="dxa"/>
            <w:tcBorders>
              <w:top w:val="nil"/>
              <w:left w:val="single" w:sz="6" w:space="0" w:color="auto"/>
              <w:bottom w:val="single" w:sz="6" w:space="0" w:color="auto"/>
              <w:right w:val="single" w:sz="6" w:space="0" w:color="auto"/>
            </w:tcBorders>
            <w:noWrap/>
            <w:hideMark/>
          </w:tcPr>
          <w:p w14:paraId="60480DB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3,9</w:t>
            </w:r>
          </w:p>
          <w:p w14:paraId="4741F0C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4,5</w:t>
            </w:r>
          </w:p>
          <w:p w14:paraId="47BF616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5,1</w:t>
            </w:r>
          </w:p>
          <w:p w14:paraId="14098F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5,7</w:t>
            </w:r>
          </w:p>
        </w:tc>
        <w:tc>
          <w:tcPr>
            <w:tcW w:w="976" w:type="dxa"/>
            <w:tcBorders>
              <w:top w:val="nil"/>
              <w:left w:val="single" w:sz="6" w:space="0" w:color="auto"/>
              <w:bottom w:val="single" w:sz="6" w:space="0" w:color="auto"/>
              <w:right w:val="single" w:sz="6" w:space="0" w:color="auto"/>
            </w:tcBorders>
            <w:noWrap/>
            <w:hideMark/>
          </w:tcPr>
          <w:p w14:paraId="4DE4590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5,94</w:t>
            </w:r>
          </w:p>
          <w:p w14:paraId="4C3970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8,34</w:t>
            </w:r>
          </w:p>
          <w:p w14:paraId="52B059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11,10</w:t>
            </w:r>
          </w:p>
          <w:p w14:paraId="5275AB0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14,30</w:t>
            </w:r>
          </w:p>
        </w:tc>
        <w:tc>
          <w:tcPr>
            <w:tcW w:w="960" w:type="dxa"/>
            <w:tcBorders>
              <w:top w:val="nil"/>
              <w:left w:val="single" w:sz="6" w:space="0" w:color="auto"/>
              <w:bottom w:val="single" w:sz="6" w:space="0" w:color="auto"/>
              <w:right w:val="single" w:sz="6" w:space="0" w:color="auto"/>
            </w:tcBorders>
            <w:noWrap/>
            <w:hideMark/>
          </w:tcPr>
          <w:p w14:paraId="072F7A5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2</w:t>
            </w:r>
          </w:p>
        </w:tc>
        <w:tc>
          <w:tcPr>
            <w:tcW w:w="902" w:type="dxa"/>
            <w:tcBorders>
              <w:top w:val="nil"/>
              <w:left w:val="single" w:sz="6" w:space="0" w:color="auto"/>
              <w:bottom w:val="single" w:sz="6" w:space="0" w:color="auto"/>
              <w:right w:val="single" w:sz="6" w:space="0" w:color="auto"/>
            </w:tcBorders>
            <w:noWrap/>
            <w:hideMark/>
          </w:tcPr>
          <w:p w14:paraId="4375686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1,5</w:t>
            </w:r>
          </w:p>
        </w:tc>
        <w:tc>
          <w:tcPr>
            <w:tcW w:w="1018" w:type="dxa"/>
            <w:tcBorders>
              <w:top w:val="nil"/>
              <w:left w:val="single" w:sz="6" w:space="0" w:color="auto"/>
              <w:bottom w:val="single" w:sz="6" w:space="0" w:color="auto"/>
              <w:right w:val="single" w:sz="6" w:space="0" w:color="auto"/>
            </w:tcBorders>
            <w:noWrap/>
            <w:hideMark/>
          </w:tcPr>
          <w:p w14:paraId="0A32D02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w:t>
            </w:r>
          </w:p>
        </w:tc>
      </w:tr>
    </w:tbl>
    <w:p w14:paraId="60E360B5" w14:textId="77777777" w:rsidR="0084667E" w:rsidRPr="0084667E" w:rsidRDefault="0084667E" w:rsidP="0084667E">
      <w:pPr>
        <w:rPr>
          <w:rFonts w:ascii="Times New Roman" w:hAnsi="Times New Roman" w:cs="Times New Roman"/>
          <w:color w:val="000000" w:themeColor="text1"/>
        </w:rPr>
      </w:pPr>
    </w:p>
    <w:p w14:paraId="0E01E1B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2.3.4.2. Wymagania dla rur</w:t>
      </w:r>
    </w:p>
    <w:p w14:paraId="793BDFE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Rury powinny odpowiadać wymaganiom PN-H-74219 [10], PN-H-74220 [11] lub innej zaakceptowanej przez Inżyniera.</w:t>
      </w:r>
    </w:p>
    <w:p w14:paraId="090A496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14:paraId="6AAF118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Końce rur powinny być obcięte równo i prostopadle do osi rury.</w:t>
      </w:r>
    </w:p>
    <w:p w14:paraId="5940D7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Pożądane jest, aby rury były dostarczane o:</w:t>
      </w:r>
    </w:p>
    <w:p w14:paraId="2798AA8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długościach dokładnych, zgodnych z zamówieniem; z dopuszczalną odchyłką + 10 mm,</w:t>
      </w:r>
    </w:p>
    <w:p w14:paraId="26D228FA"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długościach wielokrotnych w stosunku do zamówionych długości dokładnych poniżej 3 m z naddatkiem 5 mm na każde cięcie i z dopuszczalną odchyłką dla całej długości wielokrotnej, jak dla długości dokładnych.</w:t>
      </w:r>
    </w:p>
    <w:p w14:paraId="677AB9F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Rury powinny być proste. Dopuszczalne miejscowe odchylenia od prostej nie powinny przekraczać 1,5 mm na 1 m długości rury.</w:t>
      </w:r>
    </w:p>
    <w:p w14:paraId="6A3C121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Rury powinny być wykonane ze stali w gatunkach dopuszczonych przez normy (np. R55, R65, 18G2A): PN-H-84023-07 [16], PN-H-84018 [13], PN-H-84019 [14], PN-H-84030-02 [17] lub inne normy.</w:t>
      </w:r>
    </w:p>
    <w:p w14:paraId="1D8ED76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ocynkowania rur stosuje się gatunek cynku Raf według PN-H-82200 [12].</w:t>
      </w:r>
    </w:p>
    <w:p w14:paraId="0BEA0B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Rury powinny być dostarczone bez opakowania w wiązkach lub luzem względnie w opakowaniu uzgodnionym ze składającym zamówienie. Rury powinny być cechowane indywidualnie (dotyczy średnic 31,8 mm i większych i grubości ścianek 3,2 mm i większych) lub na przywieszkach metalowych (dotyczy średnic i grubości mniejszych). Cechowanie na rurze lub przywieszce powinno co najmniej obejmować: znak wytwórcy, znak stali i numer wytopu.</w:t>
      </w:r>
    </w:p>
    <w:p w14:paraId="2CD242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2.3.4.3. Wymagania dla kształtowników</w:t>
      </w:r>
    </w:p>
    <w:p w14:paraId="19497D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Kształtowniki powinny odpowiadać wymaganiom PN-H-93010 [18]. Powierzchnia kształtownika powinna być charakterystyczna dla procesu walcowania i wolna od wad, jak widoczne łuski, pęknięcia, zawalcowania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14:paraId="336CC16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Kształtowniki powinny być obcięte prostopadle do osi wzdłużnej kształtownika. Powierzchnia końców kształtownika nie powinna wykazywać rzadzizn, rozwarstwień, pęknięć i śladów jamy skurczowej widocznych nie uzbrojonym okiem.</w:t>
      </w:r>
    </w:p>
    <w:p w14:paraId="6E4527C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Kształtowniki powinny być ze stali St3W lub St4W oraz mieć własności mechaniczne według PN-H-84020 [15] - tablica 14 lub innej uzgodnionej stali i normy pomiędzy składającym zamówienie a dostawcą.</w:t>
      </w:r>
    </w:p>
    <w:p w14:paraId="6E14959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14. Podstawowe własności kształtowników, wg PN-H-84020 [15]</w:t>
      </w:r>
    </w:p>
    <w:tbl>
      <w:tblPr>
        <w:tblW w:w="0" w:type="auto"/>
        <w:tblCellMar>
          <w:left w:w="70" w:type="dxa"/>
          <w:right w:w="70" w:type="dxa"/>
        </w:tblCellMar>
        <w:tblLook w:val="04A0" w:firstRow="1" w:lastRow="0" w:firstColumn="1" w:lastColumn="0" w:noHBand="0" w:noVBand="1"/>
      </w:tblPr>
      <w:tblGrid>
        <w:gridCol w:w="779"/>
        <w:gridCol w:w="841"/>
        <w:gridCol w:w="841"/>
        <w:gridCol w:w="841"/>
        <w:gridCol w:w="841"/>
        <w:gridCol w:w="841"/>
        <w:gridCol w:w="756"/>
        <w:gridCol w:w="884"/>
        <w:gridCol w:w="885"/>
      </w:tblGrid>
      <w:tr w:rsidR="0084667E" w:rsidRPr="0084667E" w14:paraId="5E4BCD78" w14:textId="77777777" w:rsidTr="0084667E">
        <w:tc>
          <w:tcPr>
            <w:tcW w:w="779" w:type="dxa"/>
            <w:tcBorders>
              <w:top w:val="single" w:sz="6" w:space="0" w:color="auto"/>
              <w:left w:val="single" w:sz="6" w:space="0" w:color="auto"/>
              <w:bottom w:val="nil"/>
              <w:right w:val="nil"/>
            </w:tcBorders>
            <w:noWrap/>
            <w:hideMark/>
          </w:tcPr>
          <w:p w14:paraId="26BBFC5B" w14:textId="77777777" w:rsidR="0084667E" w:rsidRPr="0084667E" w:rsidRDefault="0084667E" w:rsidP="0084667E">
            <w:pPr>
              <w:rPr>
                <w:rFonts w:ascii="Times New Roman" w:hAnsi="Times New Roman" w:cs="Times New Roman"/>
                <w:color w:val="000000" w:themeColor="text1"/>
              </w:rPr>
            </w:pPr>
          </w:p>
          <w:p w14:paraId="14CCE69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w:t>
            </w:r>
          </w:p>
        </w:tc>
        <w:tc>
          <w:tcPr>
            <w:tcW w:w="4961" w:type="dxa"/>
            <w:gridSpan w:val="6"/>
            <w:tcBorders>
              <w:top w:val="single" w:sz="6" w:space="0" w:color="auto"/>
              <w:left w:val="single" w:sz="6" w:space="0" w:color="auto"/>
              <w:bottom w:val="single" w:sz="6" w:space="0" w:color="auto"/>
              <w:right w:val="single" w:sz="6" w:space="0" w:color="auto"/>
            </w:tcBorders>
            <w:noWrap/>
            <w:hideMark/>
          </w:tcPr>
          <w:p w14:paraId="13B6AC7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Granica plastyczności, MPa,</w:t>
            </w:r>
          </w:p>
          <w:p w14:paraId="6202E58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Minimum dla wyrobów o grubości lub średnicy, mm</w:t>
            </w:r>
          </w:p>
        </w:tc>
        <w:tc>
          <w:tcPr>
            <w:tcW w:w="1769" w:type="dxa"/>
            <w:gridSpan w:val="2"/>
            <w:tcBorders>
              <w:top w:val="single" w:sz="6" w:space="0" w:color="auto"/>
              <w:left w:val="single" w:sz="6" w:space="0" w:color="auto"/>
              <w:bottom w:val="single" w:sz="6" w:space="0" w:color="auto"/>
              <w:right w:val="single" w:sz="6" w:space="0" w:color="auto"/>
            </w:tcBorders>
            <w:noWrap/>
            <w:hideMark/>
          </w:tcPr>
          <w:p w14:paraId="242C9B3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Wytrzymałość na rozciąganie MPa, dla wyrobów o grubości lub średnicy, mm</w:t>
            </w:r>
          </w:p>
        </w:tc>
      </w:tr>
      <w:tr w:rsidR="0084667E" w:rsidRPr="0084667E" w14:paraId="05CD9FD9" w14:textId="77777777" w:rsidTr="0084667E">
        <w:tc>
          <w:tcPr>
            <w:tcW w:w="779" w:type="dxa"/>
            <w:tcBorders>
              <w:top w:val="nil"/>
              <w:left w:val="single" w:sz="6" w:space="0" w:color="auto"/>
              <w:bottom w:val="double" w:sz="6" w:space="0" w:color="auto"/>
              <w:right w:val="nil"/>
            </w:tcBorders>
            <w:noWrap/>
            <w:hideMark/>
          </w:tcPr>
          <w:p w14:paraId="1D1666C9" w14:textId="77777777" w:rsidR="0084667E" w:rsidRPr="0084667E" w:rsidRDefault="0084667E" w:rsidP="0084667E">
            <w:pPr>
              <w:rPr>
                <w:rFonts w:ascii="Times New Roman" w:hAnsi="Times New Roman" w:cs="Times New Roman"/>
                <w:color w:val="000000" w:themeColor="text1"/>
              </w:rPr>
            </w:pPr>
          </w:p>
        </w:tc>
        <w:tc>
          <w:tcPr>
            <w:tcW w:w="841" w:type="dxa"/>
            <w:tcBorders>
              <w:top w:val="single" w:sz="6" w:space="0" w:color="auto"/>
              <w:left w:val="single" w:sz="6" w:space="0" w:color="auto"/>
              <w:bottom w:val="double" w:sz="6" w:space="0" w:color="auto"/>
              <w:right w:val="single" w:sz="6" w:space="0" w:color="auto"/>
            </w:tcBorders>
            <w:noWrap/>
            <w:hideMark/>
          </w:tcPr>
          <w:p w14:paraId="7F71FF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 40</w:t>
            </w:r>
          </w:p>
        </w:tc>
        <w:tc>
          <w:tcPr>
            <w:tcW w:w="841" w:type="dxa"/>
            <w:tcBorders>
              <w:top w:val="single" w:sz="6" w:space="0" w:color="auto"/>
              <w:left w:val="single" w:sz="6" w:space="0" w:color="auto"/>
              <w:bottom w:val="double" w:sz="6" w:space="0" w:color="auto"/>
              <w:right w:val="single" w:sz="6" w:space="0" w:color="auto"/>
            </w:tcBorders>
            <w:noWrap/>
            <w:hideMark/>
          </w:tcPr>
          <w:p w14:paraId="537583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41 do 63</w:t>
            </w:r>
          </w:p>
        </w:tc>
        <w:tc>
          <w:tcPr>
            <w:tcW w:w="841" w:type="dxa"/>
            <w:tcBorders>
              <w:top w:val="single" w:sz="6" w:space="0" w:color="auto"/>
              <w:left w:val="single" w:sz="6" w:space="0" w:color="auto"/>
              <w:bottom w:val="double" w:sz="6" w:space="0" w:color="auto"/>
              <w:right w:val="single" w:sz="6" w:space="0" w:color="auto"/>
            </w:tcBorders>
            <w:noWrap/>
            <w:hideMark/>
          </w:tcPr>
          <w:p w14:paraId="5E424DD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64 do 80</w:t>
            </w:r>
          </w:p>
        </w:tc>
        <w:tc>
          <w:tcPr>
            <w:tcW w:w="841" w:type="dxa"/>
            <w:tcBorders>
              <w:top w:val="single" w:sz="6" w:space="0" w:color="auto"/>
              <w:left w:val="single" w:sz="6" w:space="0" w:color="auto"/>
              <w:bottom w:val="double" w:sz="6" w:space="0" w:color="auto"/>
              <w:right w:val="single" w:sz="6" w:space="0" w:color="auto"/>
            </w:tcBorders>
            <w:noWrap/>
            <w:hideMark/>
          </w:tcPr>
          <w:p w14:paraId="30B02A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81 do 100</w:t>
            </w:r>
          </w:p>
        </w:tc>
        <w:tc>
          <w:tcPr>
            <w:tcW w:w="841" w:type="dxa"/>
            <w:tcBorders>
              <w:top w:val="single" w:sz="6" w:space="0" w:color="auto"/>
              <w:left w:val="single" w:sz="6" w:space="0" w:color="auto"/>
              <w:bottom w:val="double" w:sz="6" w:space="0" w:color="auto"/>
              <w:right w:val="single" w:sz="6" w:space="0" w:color="auto"/>
            </w:tcBorders>
            <w:noWrap/>
            <w:hideMark/>
          </w:tcPr>
          <w:p w14:paraId="716DDA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101 do 150</w:t>
            </w:r>
          </w:p>
        </w:tc>
        <w:tc>
          <w:tcPr>
            <w:tcW w:w="756" w:type="dxa"/>
            <w:tcBorders>
              <w:top w:val="single" w:sz="6" w:space="0" w:color="auto"/>
              <w:left w:val="single" w:sz="6" w:space="0" w:color="auto"/>
              <w:bottom w:val="double" w:sz="6" w:space="0" w:color="auto"/>
              <w:right w:val="single" w:sz="6" w:space="0" w:color="auto"/>
            </w:tcBorders>
            <w:noWrap/>
            <w:hideMark/>
          </w:tcPr>
          <w:p w14:paraId="1E5673B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151 do 200</w:t>
            </w:r>
          </w:p>
        </w:tc>
        <w:tc>
          <w:tcPr>
            <w:tcW w:w="884" w:type="dxa"/>
            <w:tcBorders>
              <w:top w:val="single" w:sz="6" w:space="0" w:color="auto"/>
              <w:left w:val="single" w:sz="6" w:space="0" w:color="auto"/>
              <w:bottom w:val="double" w:sz="6" w:space="0" w:color="auto"/>
              <w:right w:val="single" w:sz="6" w:space="0" w:color="auto"/>
            </w:tcBorders>
            <w:noWrap/>
            <w:hideMark/>
          </w:tcPr>
          <w:p w14:paraId="75A1144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 100</w:t>
            </w:r>
          </w:p>
        </w:tc>
        <w:tc>
          <w:tcPr>
            <w:tcW w:w="884" w:type="dxa"/>
            <w:tcBorders>
              <w:top w:val="single" w:sz="6" w:space="0" w:color="auto"/>
              <w:left w:val="single" w:sz="6" w:space="0" w:color="auto"/>
              <w:bottom w:val="double" w:sz="6" w:space="0" w:color="auto"/>
              <w:right w:val="single" w:sz="6" w:space="0" w:color="auto"/>
            </w:tcBorders>
            <w:noWrap/>
            <w:hideMark/>
          </w:tcPr>
          <w:p w14:paraId="3F93025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101 do 200</w:t>
            </w:r>
          </w:p>
        </w:tc>
      </w:tr>
      <w:tr w:rsidR="0084667E" w:rsidRPr="0084667E" w14:paraId="2334B612" w14:textId="77777777" w:rsidTr="0084667E">
        <w:tc>
          <w:tcPr>
            <w:tcW w:w="779" w:type="dxa"/>
            <w:tcBorders>
              <w:top w:val="nil"/>
              <w:left w:val="single" w:sz="6" w:space="0" w:color="auto"/>
              <w:bottom w:val="single" w:sz="6" w:space="0" w:color="auto"/>
              <w:right w:val="single" w:sz="6" w:space="0" w:color="auto"/>
            </w:tcBorders>
            <w:noWrap/>
            <w:hideMark/>
          </w:tcPr>
          <w:p w14:paraId="3C79EBF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St3W</w:t>
            </w:r>
          </w:p>
          <w:p w14:paraId="2C5D91E2" w14:textId="77777777" w:rsidR="0084667E" w:rsidRPr="0084667E" w:rsidRDefault="0084667E" w:rsidP="0084667E">
            <w:pPr>
              <w:rPr>
                <w:rFonts w:ascii="Times New Roman" w:hAnsi="Times New Roman" w:cs="Times New Roman"/>
                <w:color w:val="000000" w:themeColor="text1"/>
              </w:rPr>
            </w:pPr>
          </w:p>
          <w:p w14:paraId="1CB2655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St4W</w:t>
            </w:r>
          </w:p>
        </w:tc>
        <w:tc>
          <w:tcPr>
            <w:tcW w:w="841" w:type="dxa"/>
            <w:tcBorders>
              <w:top w:val="nil"/>
              <w:left w:val="single" w:sz="6" w:space="0" w:color="auto"/>
              <w:bottom w:val="single" w:sz="6" w:space="0" w:color="auto"/>
              <w:right w:val="single" w:sz="6" w:space="0" w:color="auto"/>
            </w:tcBorders>
            <w:noWrap/>
            <w:hideMark/>
          </w:tcPr>
          <w:p w14:paraId="02E5A29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225</w:t>
            </w:r>
          </w:p>
          <w:p w14:paraId="3E9ACC8D" w14:textId="77777777" w:rsidR="0084667E" w:rsidRPr="0084667E" w:rsidRDefault="0084667E" w:rsidP="0084667E">
            <w:pPr>
              <w:rPr>
                <w:rFonts w:ascii="Times New Roman" w:hAnsi="Times New Roman" w:cs="Times New Roman"/>
                <w:color w:val="000000" w:themeColor="text1"/>
              </w:rPr>
            </w:pPr>
          </w:p>
          <w:p w14:paraId="53A60D5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265</w:t>
            </w:r>
          </w:p>
        </w:tc>
        <w:tc>
          <w:tcPr>
            <w:tcW w:w="841" w:type="dxa"/>
            <w:tcBorders>
              <w:top w:val="nil"/>
              <w:left w:val="single" w:sz="6" w:space="0" w:color="auto"/>
              <w:bottom w:val="single" w:sz="6" w:space="0" w:color="auto"/>
              <w:right w:val="single" w:sz="6" w:space="0" w:color="auto"/>
            </w:tcBorders>
            <w:noWrap/>
            <w:hideMark/>
          </w:tcPr>
          <w:p w14:paraId="2459FA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215</w:t>
            </w:r>
          </w:p>
          <w:p w14:paraId="2AE42AF3" w14:textId="77777777" w:rsidR="0084667E" w:rsidRPr="0084667E" w:rsidRDefault="0084667E" w:rsidP="0084667E">
            <w:pPr>
              <w:rPr>
                <w:rFonts w:ascii="Times New Roman" w:hAnsi="Times New Roman" w:cs="Times New Roman"/>
                <w:color w:val="000000" w:themeColor="text1"/>
              </w:rPr>
            </w:pPr>
          </w:p>
          <w:p w14:paraId="0E5070F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255</w:t>
            </w:r>
          </w:p>
        </w:tc>
        <w:tc>
          <w:tcPr>
            <w:tcW w:w="841" w:type="dxa"/>
            <w:tcBorders>
              <w:top w:val="nil"/>
              <w:left w:val="single" w:sz="6" w:space="0" w:color="auto"/>
              <w:bottom w:val="single" w:sz="6" w:space="0" w:color="auto"/>
              <w:right w:val="single" w:sz="6" w:space="0" w:color="auto"/>
            </w:tcBorders>
            <w:noWrap/>
            <w:hideMark/>
          </w:tcPr>
          <w:p w14:paraId="3F0B630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205</w:t>
            </w:r>
          </w:p>
          <w:p w14:paraId="32E35B43" w14:textId="77777777" w:rsidR="0084667E" w:rsidRPr="0084667E" w:rsidRDefault="0084667E" w:rsidP="0084667E">
            <w:pPr>
              <w:rPr>
                <w:rFonts w:ascii="Times New Roman" w:hAnsi="Times New Roman" w:cs="Times New Roman"/>
                <w:color w:val="000000" w:themeColor="text1"/>
              </w:rPr>
            </w:pPr>
          </w:p>
          <w:p w14:paraId="5730F10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245</w:t>
            </w:r>
          </w:p>
        </w:tc>
        <w:tc>
          <w:tcPr>
            <w:tcW w:w="841" w:type="dxa"/>
            <w:tcBorders>
              <w:top w:val="nil"/>
              <w:left w:val="single" w:sz="6" w:space="0" w:color="auto"/>
              <w:bottom w:val="single" w:sz="6" w:space="0" w:color="auto"/>
              <w:right w:val="single" w:sz="6" w:space="0" w:color="auto"/>
            </w:tcBorders>
            <w:noWrap/>
            <w:hideMark/>
          </w:tcPr>
          <w:p w14:paraId="0B9AA1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205</w:t>
            </w:r>
          </w:p>
          <w:p w14:paraId="46247329" w14:textId="77777777" w:rsidR="0084667E" w:rsidRPr="0084667E" w:rsidRDefault="0084667E" w:rsidP="0084667E">
            <w:pPr>
              <w:rPr>
                <w:rFonts w:ascii="Times New Roman" w:hAnsi="Times New Roman" w:cs="Times New Roman"/>
                <w:color w:val="000000" w:themeColor="text1"/>
              </w:rPr>
            </w:pPr>
          </w:p>
          <w:p w14:paraId="7F62D5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235</w:t>
            </w:r>
          </w:p>
        </w:tc>
        <w:tc>
          <w:tcPr>
            <w:tcW w:w="841" w:type="dxa"/>
            <w:tcBorders>
              <w:top w:val="nil"/>
              <w:left w:val="single" w:sz="6" w:space="0" w:color="auto"/>
              <w:bottom w:val="single" w:sz="6" w:space="0" w:color="auto"/>
              <w:right w:val="single" w:sz="6" w:space="0" w:color="auto"/>
            </w:tcBorders>
            <w:noWrap/>
            <w:hideMark/>
          </w:tcPr>
          <w:p w14:paraId="0DA9F38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195</w:t>
            </w:r>
          </w:p>
          <w:p w14:paraId="4BF14A74" w14:textId="77777777" w:rsidR="0084667E" w:rsidRPr="0084667E" w:rsidRDefault="0084667E" w:rsidP="0084667E">
            <w:pPr>
              <w:rPr>
                <w:rFonts w:ascii="Times New Roman" w:hAnsi="Times New Roman" w:cs="Times New Roman"/>
                <w:color w:val="000000" w:themeColor="text1"/>
              </w:rPr>
            </w:pPr>
          </w:p>
          <w:p w14:paraId="02C2230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225</w:t>
            </w:r>
          </w:p>
        </w:tc>
        <w:tc>
          <w:tcPr>
            <w:tcW w:w="756" w:type="dxa"/>
            <w:tcBorders>
              <w:top w:val="nil"/>
              <w:left w:val="single" w:sz="6" w:space="0" w:color="auto"/>
              <w:bottom w:val="single" w:sz="6" w:space="0" w:color="auto"/>
              <w:right w:val="single" w:sz="6" w:space="0" w:color="auto"/>
            </w:tcBorders>
            <w:noWrap/>
            <w:hideMark/>
          </w:tcPr>
          <w:p w14:paraId="6CC58F3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185</w:t>
            </w:r>
          </w:p>
          <w:p w14:paraId="72131C9F" w14:textId="77777777" w:rsidR="0084667E" w:rsidRPr="0084667E" w:rsidRDefault="0084667E" w:rsidP="0084667E">
            <w:pPr>
              <w:rPr>
                <w:rFonts w:ascii="Times New Roman" w:hAnsi="Times New Roman" w:cs="Times New Roman"/>
                <w:color w:val="000000" w:themeColor="text1"/>
              </w:rPr>
            </w:pPr>
          </w:p>
          <w:p w14:paraId="623DFE2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215</w:t>
            </w:r>
          </w:p>
        </w:tc>
        <w:tc>
          <w:tcPr>
            <w:tcW w:w="884" w:type="dxa"/>
            <w:tcBorders>
              <w:top w:val="nil"/>
              <w:left w:val="single" w:sz="6" w:space="0" w:color="auto"/>
              <w:bottom w:val="single" w:sz="6" w:space="0" w:color="auto"/>
              <w:right w:val="single" w:sz="6" w:space="0" w:color="auto"/>
            </w:tcBorders>
            <w:noWrap/>
            <w:hideMark/>
          </w:tcPr>
          <w:p w14:paraId="7F4C7B9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360 do 490</w:t>
            </w:r>
          </w:p>
          <w:p w14:paraId="342DD3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420 do 550</w:t>
            </w:r>
          </w:p>
        </w:tc>
        <w:tc>
          <w:tcPr>
            <w:tcW w:w="884" w:type="dxa"/>
            <w:tcBorders>
              <w:top w:val="nil"/>
              <w:left w:val="single" w:sz="6" w:space="0" w:color="auto"/>
              <w:bottom w:val="single" w:sz="6" w:space="0" w:color="auto"/>
              <w:right w:val="single" w:sz="6" w:space="0" w:color="auto"/>
            </w:tcBorders>
            <w:noWrap/>
            <w:hideMark/>
          </w:tcPr>
          <w:p w14:paraId="5D10189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340 do 490</w:t>
            </w:r>
          </w:p>
          <w:p w14:paraId="4D8C87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400 do 550</w:t>
            </w:r>
          </w:p>
        </w:tc>
      </w:tr>
    </w:tbl>
    <w:p w14:paraId="383996F9" w14:textId="77777777" w:rsidR="0084667E" w:rsidRPr="0084667E" w:rsidRDefault="0084667E" w:rsidP="0084667E">
      <w:pPr>
        <w:rPr>
          <w:rFonts w:ascii="Times New Roman" w:hAnsi="Times New Roman" w:cs="Times New Roman"/>
          <w:color w:val="000000" w:themeColor="text1"/>
        </w:rPr>
      </w:pPr>
    </w:p>
    <w:p w14:paraId="14619E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Kształtowniki mogą być dostarczone luzem lub w wiązkach, z tym, że kształtowniki o masie do 25 kg/m dostarcza się tylko w wiązkach.</w:t>
      </w:r>
    </w:p>
    <w:p w14:paraId="0006CE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2.3.4.4. Wymagania dla łączników metalowych do mocowania elementów ogrodzenia</w:t>
      </w:r>
    </w:p>
    <w:p w14:paraId="202732F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drobne ocynkowane łączniki metalowe przewidziane do mocowania między sobą elementów ogrodzenia jak śruby, wkręty, nakrętki itp. powinny być czyste, gładkie, bez pęknięć naderwań, rozwarstwień i wypukłych karbów.</w:t>
      </w:r>
    </w:p>
    <w:p w14:paraId="1ADB8A5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Własności mechaniczne łączników powinny odpowiadać wymaganiom PN-M-82054 [34], PN-M-82054-03 [35] lub innej uzgodnionej.</w:t>
      </w:r>
    </w:p>
    <w:p w14:paraId="735649A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każdej partii dostawy, na żądanie składającego zamówienie, powinno być wystawione przez wytwórcę zaświadczenie zawierające co najmniej: datę wystawienia zaświadczenia, nazwę i adres wytwórni, oznaczenie wyrobu, liczbę dostarczonych sztuk, ew. masę partii, wyniki badań oraz podpis i pieczęć wytwórni.</w:t>
      </w:r>
    </w:p>
    <w:p w14:paraId="50553C2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Dostawa może być dostarczona w pudełkach tekturowych, pojemnikach blaszanych lub paletach, w zależności od wielkości i masy wyrobów.</w:t>
      </w:r>
    </w:p>
    <w:p w14:paraId="70F26B6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Śruby, wkręty, nakrętki itp. powinny być przechowywane w pomieszczeniach suchych, z dala od materiałów działających korodująco i w warunkach zabezpieczających przez uszkodzeniem.</w:t>
      </w:r>
    </w:p>
    <w:p w14:paraId="1F0E4AB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Minimalna grubość powłoki cynkowej powinna wynosić w warunkach użytkowania: a) umiarkowanych 8 </w:t>
      </w:r>
      <w:r w:rsidRPr="0084667E">
        <w:rPr>
          <w:rFonts w:ascii="Times New Roman" w:hAnsi="Times New Roman" w:cs="Times New Roman"/>
          <w:color w:val="000000" w:themeColor="text1"/>
        </w:rPr>
        <w:sym w:font="Symbol" w:char="006D"/>
      </w:r>
      <w:r w:rsidRPr="0084667E">
        <w:rPr>
          <w:rFonts w:ascii="Times New Roman" w:hAnsi="Times New Roman" w:cs="Times New Roman"/>
          <w:color w:val="000000" w:themeColor="text1"/>
        </w:rPr>
        <w:t>m, b) ciężkich - 12</w:t>
      </w:r>
      <w:r w:rsidRPr="0084667E">
        <w:rPr>
          <w:rFonts w:ascii="Times New Roman" w:hAnsi="Times New Roman" w:cs="Times New Roman"/>
          <w:color w:val="000000" w:themeColor="text1"/>
        </w:rPr>
        <w:sym w:font="Symbol" w:char="006D"/>
      </w:r>
      <w:r w:rsidRPr="0084667E">
        <w:rPr>
          <w:rFonts w:ascii="Times New Roman" w:hAnsi="Times New Roman" w:cs="Times New Roman"/>
          <w:color w:val="000000" w:themeColor="text1"/>
        </w:rPr>
        <w:t>m, zgodnie z określeniem agresywności korozyjnej środowisk według PN-H-04651 [9].</w:t>
      </w:r>
    </w:p>
    <w:p w14:paraId="02545C3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2.3.4.5. Wymagania dla drutu spawalniczego</w:t>
      </w:r>
    </w:p>
    <w:p w14:paraId="796283B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Jeśli dokumentacja projektowa, SST lub Inżynier przewidują wykonanie spawanych połączeń elementów ogrodzenia, to drut spawalniczy powinien spełniać wymagania PN-M-69420 [28], </w:t>
      </w:r>
      <w:r w:rsidRPr="0084667E">
        <w:rPr>
          <w:rFonts w:ascii="Times New Roman" w:hAnsi="Times New Roman" w:cs="Times New Roman"/>
          <w:color w:val="000000" w:themeColor="text1"/>
        </w:rPr>
        <w:lastRenderedPageBreak/>
        <w:t>odpowiednio dla spawania gazowego acetylenowo-tlenowego lub innego zaakceptowanego przez Inżyniera.</w:t>
      </w:r>
    </w:p>
    <w:p w14:paraId="536501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Średnica drutu powinna wynosić połowę grubości elementów łączonych, lub od 6 do 8 mm gdy elementy łączone są grubsze niż 15 mm.</w:t>
      </w:r>
    </w:p>
    <w:p w14:paraId="64E7C3D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Powierzchnia drutu powinna być czysta i gładka, bez rdzy, zgorzeliny, brudu lub smarów.</w:t>
      </w:r>
    </w:p>
    <w:p w14:paraId="2A5206C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Wytrzymałość drutów na rozciąganie powinna wynosić:</w:t>
      </w:r>
    </w:p>
    <w:p w14:paraId="27DB903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Średnica drutu, mm</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Wytrzymałość na rozciąganie</w:t>
      </w:r>
    </w:p>
    <w:p w14:paraId="2D3821C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 od 1,2 do 1,6</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 xml:space="preserve"> od 750 do 1200 MPa</w:t>
      </w:r>
    </w:p>
    <w:p w14:paraId="5D740D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 od 2,0 do 3,0</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 xml:space="preserve"> od 550 do 1000 MPa</w:t>
      </w:r>
    </w:p>
    <w:p w14:paraId="48455AF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 powyżej 3,0</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 xml:space="preserve"> od 450 do 900 MPa.</w:t>
      </w:r>
    </w:p>
    <w:p w14:paraId="27C065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Druty mogą być dostarczane w kręgach, na szpulach lub w pakietach. Kręgi drutów powinny składać się z jednego odcinka drutu, a zwoje nie powinny być splątane. Każdy krąg drutu powinien być związany miękkim drutem co najmniej w trzech miejscach. Drut na szpulach powinien składać się z jednego odcinka o regularnych i niesplątanych zwojach, nawiniętych regularnie i ściśle na całej szerokości szpuli. Pręty w pakietach powinny być związane miękkim drutem, co najmniej w dwóch miejscach, w wiązki o masie od 10 do 40 kg. Łączna maksymalna masa pakowanych drutów i prętów nie powinna przekraczać 50 kg netto. Każdy krąg, szpula drutu i wiązka prętów powinna mieć przywieszkę co najmniej z danymi: nazwą wytwórcy, oznaczeniem wyrobu, numerem partii drutu (prętów), masą netto, potwierdzeniem kontroli o jakości wyrobu.</w:t>
      </w:r>
    </w:p>
    <w:p w14:paraId="1AF3F5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Do każdej partii drutów wytwórca powinien dostarczyć zaświadczenie, w którym podane są następujące wyniki badań: oględziny zewnętrzne, sprawdzenie wymiarów, sprawdzenie składu chemicznego, sprawdzenie wytrzymałości drutu na rozciąganie, sprawdzenie sprężystości drutu, sprawdzenie kręgów drutu i pakowania oraz stwierdzenie zgodności własności drutów lub prętów z normą. </w:t>
      </w:r>
    </w:p>
    <w:p w14:paraId="1C0FECE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Druty i pręty powinny być przechowywane w suchych pomieszczeniach wolnych od czynników wywołujących korozję.</w:t>
      </w:r>
    </w:p>
    <w:p w14:paraId="29FFFB5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2.3.4.6. Wymagania dla powłok metalizacyjnych cynkowych</w:t>
      </w:r>
    </w:p>
    <w:p w14:paraId="5C59EC8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 przypadku zastosowania powłoki metalizacyjnej cynkowej na konstrukcjach stalowych, powinna ona być z cynku o czystości nie mniejszej niż 99,5% i odpowiadać wymaganiom BN-89/1076-02 [38]. Minimalna grubość powłoki cynkowej powinna być zgodna z wymaganiami tablicy 15, a pomiar tej grubości powinien odpowiadać zaleceniom PN-H-04623 [8].</w:t>
      </w:r>
    </w:p>
    <w:p w14:paraId="00D3F28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15. Minimalna grubość powłoki metalizacyjnej cynkowej narażonej na działanie korozji atmosferycznej, wg BN-89/1076-02 [38]</w:t>
      </w:r>
    </w:p>
    <w:tbl>
      <w:tblPr>
        <w:tblW w:w="0" w:type="auto"/>
        <w:tblCellMar>
          <w:left w:w="70" w:type="dxa"/>
          <w:right w:w="70" w:type="dxa"/>
        </w:tblCellMar>
        <w:tblLook w:val="04A0" w:firstRow="1" w:lastRow="0" w:firstColumn="1" w:lastColumn="0" w:noHBand="0" w:noVBand="1"/>
      </w:tblPr>
      <w:tblGrid>
        <w:gridCol w:w="2764"/>
        <w:gridCol w:w="2373"/>
        <w:gridCol w:w="2374"/>
      </w:tblGrid>
      <w:tr w:rsidR="0084667E" w:rsidRPr="0084667E" w14:paraId="655E4E19" w14:textId="77777777" w:rsidTr="0084667E">
        <w:tc>
          <w:tcPr>
            <w:tcW w:w="2764" w:type="dxa"/>
            <w:tcBorders>
              <w:top w:val="single" w:sz="6" w:space="0" w:color="auto"/>
              <w:left w:val="single" w:sz="6" w:space="0" w:color="auto"/>
              <w:bottom w:val="nil"/>
              <w:right w:val="nil"/>
            </w:tcBorders>
            <w:noWrap/>
            <w:hideMark/>
          </w:tcPr>
          <w:p w14:paraId="5E0BE5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Agresywność korozyjna atmosfery</w:t>
            </w:r>
          </w:p>
        </w:tc>
        <w:tc>
          <w:tcPr>
            <w:tcW w:w="4746" w:type="dxa"/>
            <w:gridSpan w:val="2"/>
            <w:tcBorders>
              <w:top w:val="single" w:sz="6" w:space="0" w:color="auto"/>
              <w:left w:val="single" w:sz="6" w:space="0" w:color="auto"/>
              <w:bottom w:val="single" w:sz="6" w:space="0" w:color="auto"/>
              <w:right w:val="single" w:sz="6" w:space="0" w:color="auto"/>
            </w:tcBorders>
            <w:noWrap/>
            <w:hideMark/>
          </w:tcPr>
          <w:p w14:paraId="0978213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 xml:space="preserve">Minimalna grubość powłoki, </w:t>
            </w:r>
            <w:r w:rsidRPr="0084667E">
              <w:rPr>
                <w:rFonts w:ascii="Times New Roman" w:hAnsi="Times New Roman" w:cs="Times New Roman"/>
                <w:color w:val="000000" w:themeColor="text1"/>
              </w:rPr>
              <w:sym w:font="Symbol" w:char="006D"/>
            </w:r>
            <w:r w:rsidRPr="0084667E">
              <w:rPr>
                <w:rFonts w:ascii="Times New Roman" w:hAnsi="Times New Roman" w:cs="Times New Roman"/>
                <w:color w:val="000000" w:themeColor="text1"/>
              </w:rPr>
              <w:t xml:space="preserve">m, </w:t>
            </w:r>
          </w:p>
          <w:p w14:paraId="609F96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przy wymaganej trwałości w latach</w:t>
            </w:r>
          </w:p>
        </w:tc>
      </w:tr>
      <w:tr w:rsidR="0084667E" w:rsidRPr="0084667E" w14:paraId="2821BA57" w14:textId="77777777" w:rsidTr="0084667E">
        <w:tc>
          <w:tcPr>
            <w:tcW w:w="2764" w:type="dxa"/>
            <w:tcBorders>
              <w:top w:val="nil"/>
              <w:left w:val="single" w:sz="6" w:space="0" w:color="auto"/>
              <w:bottom w:val="double" w:sz="6" w:space="0" w:color="auto"/>
              <w:right w:val="nil"/>
            </w:tcBorders>
            <w:noWrap/>
            <w:hideMark/>
          </w:tcPr>
          <w:p w14:paraId="6DE6F0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wg PN-H-04651 [9]</w:t>
            </w:r>
          </w:p>
        </w:tc>
        <w:tc>
          <w:tcPr>
            <w:tcW w:w="2373" w:type="dxa"/>
            <w:tcBorders>
              <w:top w:val="single" w:sz="6" w:space="0" w:color="auto"/>
              <w:left w:val="single" w:sz="6" w:space="0" w:color="auto"/>
              <w:bottom w:val="double" w:sz="6" w:space="0" w:color="auto"/>
              <w:right w:val="single" w:sz="6" w:space="0" w:color="auto"/>
            </w:tcBorders>
            <w:noWrap/>
            <w:hideMark/>
          </w:tcPr>
          <w:p w14:paraId="4FA502B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w:t>
            </w:r>
          </w:p>
        </w:tc>
        <w:tc>
          <w:tcPr>
            <w:tcW w:w="2373" w:type="dxa"/>
            <w:tcBorders>
              <w:top w:val="single" w:sz="6" w:space="0" w:color="auto"/>
              <w:left w:val="single" w:sz="6" w:space="0" w:color="auto"/>
              <w:bottom w:val="double" w:sz="6" w:space="0" w:color="auto"/>
              <w:right w:val="single" w:sz="6" w:space="0" w:color="auto"/>
            </w:tcBorders>
            <w:noWrap/>
            <w:hideMark/>
          </w:tcPr>
          <w:p w14:paraId="08650F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w:t>
            </w:r>
          </w:p>
        </w:tc>
      </w:tr>
      <w:tr w:rsidR="0084667E" w:rsidRPr="0084667E" w14:paraId="0824D0C4" w14:textId="77777777" w:rsidTr="0084667E">
        <w:tc>
          <w:tcPr>
            <w:tcW w:w="2764" w:type="dxa"/>
            <w:tcBorders>
              <w:top w:val="nil"/>
              <w:left w:val="single" w:sz="6" w:space="0" w:color="auto"/>
              <w:bottom w:val="single" w:sz="6" w:space="0" w:color="auto"/>
              <w:right w:val="single" w:sz="6" w:space="0" w:color="auto"/>
            </w:tcBorders>
            <w:noWrap/>
            <w:hideMark/>
          </w:tcPr>
          <w:p w14:paraId="30F6660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Umiarkowana</w:t>
            </w:r>
          </w:p>
          <w:p w14:paraId="77B442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Ciężka</w:t>
            </w:r>
          </w:p>
        </w:tc>
        <w:tc>
          <w:tcPr>
            <w:tcW w:w="2373" w:type="dxa"/>
            <w:tcBorders>
              <w:top w:val="nil"/>
              <w:left w:val="single" w:sz="6" w:space="0" w:color="auto"/>
              <w:bottom w:val="single" w:sz="6" w:space="0" w:color="auto"/>
              <w:right w:val="single" w:sz="6" w:space="0" w:color="auto"/>
            </w:tcBorders>
            <w:noWrap/>
            <w:hideMark/>
          </w:tcPr>
          <w:p w14:paraId="5970B7E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120</w:t>
            </w:r>
          </w:p>
          <w:p w14:paraId="544C0D2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160 M</w:t>
            </w:r>
          </w:p>
        </w:tc>
        <w:tc>
          <w:tcPr>
            <w:tcW w:w="2373" w:type="dxa"/>
            <w:tcBorders>
              <w:top w:val="nil"/>
              <w:left w:val="single" w:sz="6" w:space="0" w:color="auto"/>
              <w:bottom w:val="single" w:sz="6" w:space="0" w:color="auto"/>
              <w:right w:val="single" w:sz="6" w:space="0" w:color="auto"/>
            </w:tcBorders>
            <w:noWrap/>
            <w:hideMark/>
          </w:tcPr>
          <w:p w14:paraId="04A0A0A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160</w:t>
            </w:r>
          </w:p>
          <w:p w14:paraId="213EFA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200 M</w:t>
            </w:r>
          </w:p>
        </w:tc>
      </w:tr>
      <w:tr w:rsidR="0084667E" w:rsidRPr="0084667E" w14:paraId="7C6A29AC" w14:textId="77777777" w:rsidTr="0084667E">
        <w:tc>
          <w:tcPr>
            <w:tcW w:w="7511" w:type="dxa"/>
            <w:gridSpan w:val="3"/>
            <w:tcBorders>
              <w:top w:val="single" w:sz="6" w:space="0" w:color="auto"/>
              <w:left w:val="single" w:sz="6" w:space="0" w:color="auto"/>
              <w:bottom w:val="single" w:sz="6" w:space="0" w:color="auto"/>
              <w:right w:val="single" w:sz="6" w:space="0" w:color="auto"/>
            </w:tcBorders>
            <w:noWrap/>
            <w:hideMark/>
          </w:tcPr>
          <w:p w14:paraId="0769AE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 - powłoka pokryta dwoma lub większą liczbą warstw powłoki malarskiej</w:t>
            </w:r>
          </w:p>
        </w:tc>
      </w:tr>
    </w:tbl>
    <w:p w14:paraId="0FCD9390" w14:textId="77777777" w:rsidR="0084667E" w:rsidRPr="0084667E" w:rsidRDefault="0084667E" w:rsidP="0084667E">
      <w:pPr>
        <w:rPr>
          <w:rFonts w:ascii="Times New Roman" w:hAnsi="Times New Roman" w:cs="Times New Roman"/>
          <w:color w:val="000000" w:themeColor="text1"/>
        </w:rPr>
      </w:pPr>
    </w:p>
    <w:p w14:paraId="5CA2BA5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Powierzchnia powłoki powinna być jednorodna pod względem ziarnistości. Nie może ona wykazywać widocznych wad, jak rysy, pęknięcia, pęcherze lub odstawanie powłoki od podłoża.</w:t>
      </w:r>
    </w:p>
    <w:p w14:paraId="69D2F92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2.3.5. </w:t>
      </w:r>
      <w:r w:rsidRPr="0084667E">
        <w:rPr>
          <w:rFonts w:ascii="Times New Roman" w:hAnsi="Times New Roman" w:cs="Times New Roman"/>
          <w:color w:val="000000" w:themeColor="text1"/>
        </w:rPr>
        <w:t>Prefabrykowane elementy ogrodzeń żelbetowych</w:t>
      </w:r>
    </w:p>
    <w:p w14:paraId="5DAC9E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prefabrykowanych elementów ogrodzeń żelbetowych mogą należeć: słupy, deski pełne, deski ażurowe i ew. fundamenty (przykłady takich elementów podano w załączniku 11.2).</w:t>
      </w:r>
    </w:p>
    <w:p w14:paraId="424EB4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Prefabrykowane elementy ogrodzenia żelbetowego powinny odpowiadać wymaganiom BN-70/6744-03 [43], a wymiary - dokumentacji projektowej lub wskazaniom Inżyniera.</w:t>
      </w:r>
    </w:p>
    <w:p w14:paraId="6079D6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Dopuszczalne odchyłki wymiarów nie powinny przekraczać:</w:t>
      </w:r>
    </w:p>
    <w:p w14:paraId="3D245D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dla słupów</w:t>
      </w:r>
    </w:p>
    <w:p w14:paraId="3727D1C2"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długość</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+5; -10 mm,</w:t>
      </w:r>
    </w:p>
    <w:p w14:paraId="0DA6E02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wymiary przekroju</w:t>
      </w:r>
      <w:r w:rsidRPr="0084667E">
        <w:rPr>
          <w:rFonts w:ascii="Times New Roman" w:hAnsi="Times New Roman" w:cs="Times New Roman"/>
          <w:color w:val="000000" w:themeColor="text1"/>
        </w:rPr>
        <w:tab/>
        <w:t>+3; - 3 mm,</w:t>
      </w:r>
    </w:p>
    <w:p w14:paraId="55F15E54"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szerokość wpustu</w:t>
      </w:r>
      <w:r w:rsidRPr="0084667E">
        <w:rPr>
          <w:rFonts w:ascii="Times New Roman" w:hAnsi="Times New Roman" w:cs="Times New Roman"/>
          <w:color w:val="000000" w:themeColor="text1"/>
        </w:rPr>
        <w:tab/>
        <w:t>+3; 0 mm,</w:t>
      </w:r>
    </w:p>
    <w:p w14:paraId="27BC9E8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dla desek</w:t>
      </w:r>
    </w:p>
    <w:p w14:paraId="0A1A44A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długość</w:t>
      </w:r>
      <w:r w:rsidRPr="0084667E">
        <w:rPr>
          <w:rFonts w:ascii="Times New Roman" w:hAnsi="Times New Roman" w:cs="Times New Roman"/>
          <w:color w:val="000000" w:themeColor="text1"/>
        </w:rPr>
        <w:tab/>
        <w:t>+5;</w:t>
      </w:r>
      <w:r w:rsidRPr="0084667E">
        <w:rPr>
          <w:rFonts w:ascii="Times New Roman" w:hAnsi="Times New Roman" w:cs="Times New Roman"/>
          <w:color w:val="000000" w:themeColor="text1"/>
        </w:rPr>
        <w:tab/>
        <w:t>-10 mm,</w:t>
      </w:r>
    </w:p>
    <w:p w14:paraId="2CC7DF68"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wysokość</w:t>
      </w:r>
      <w:r w:rsidRPr="0084667E">
        <w:rPr>
          <w:rFonts w:ascii="Times New Roman" w:hAnsi="Times New Roman" w:cs="Times New Roman"/>
          <w:color w:val="000000" w:themeColor="text1"/>
        </w:rPr>
        <w:tab/>
        <w:t>+5;</w:t>
      </w:r>
      <w:r w:rsidRPr="0084667E">
        <w:rPr>
          <w:rFonts w:ascii="Times New Roman" w:hAnsi="Times New Roman" w:cs="Times New Roman"/>
          <w:color w:val="000000" w:themeColor="text1"/>
        </w:rPr>
        <w:tab/>
        <w:t xml:space="preserve"> -5 mm,</w:t>
      </w:r>
    </w:p>
    <w:p w14:paraId="0AD2697C"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grubość</w:t>
      </w:r>
      <w:r w:rsidRPr="0084667E">
        <w:rPr>
          <w:rFonts w:ascii="Times New Roman" w:hAnsi="Times New Roman" w:cs="Times New Roman"/>
          <w:color w:val="000000" w:themeColor="text1"/>
        </w:rPr>
        <w:tab/>
        <w:t>+3;</w:t>
      </w:r>
      <w:r w:rsidRPr="0084667E">
        <w:rPr>
          <w:rFonts w:ascii="Times New Roman" w:hAnsi="Times New Roman" w:cs="Times New Roman"/>
          <w:color w:val="000000" w:themeColor="text1"/>
        </w:rPr>
        <w:tab/>
        <w:t xml:space="preserve"> -3 mm,</w:t>
      </w:r>
    </w:p>
    <w:p w14:paraId="45255F36"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kąt prosty (różnica długości przekątnych) +5; -5 mm.</w:t>
      </w:r>
    </w:p>
    <w:p w14:paraId="45C2780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Elementy ogrodzenia powinny mieć powierzchnie gładkie bez raków, rys otwartych i pęknięć, krawędzie ostre, a płaszczyzny wzajemnie prostopadłe. Dopuszczalne są drobne wgłębienia na powierzchniach jako pozostałości po pęcherzykach powietrza wydobywającego się podczas wibrowania betonu. Dopuszcza się występowanie na krawędziach elementów obić o głębokości do 5 mm i łącznej długości nie przekraczającej 200 mm dla jednego elementu. Dopuszczalna wichrowatość deski ogrodzeniowej nie powinna przekraczać 5 mm.</w:t>
      </w:r>
    </w:p>
    <w:p w14:paraId="508477F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Dla każdej partii dostarczanych elementów producent zobowiązany jest wystawić zaświadczenie zawierające: datę wystawienia zaświadczenia, nazwę i adres zakładu produkcyjnego, rodzaj badanego elementu, badaną ilość elementów, datę produkcji, wyniki badań, podpisy osób obecnych przy przeprowadzeniu badania.</w:t>
      </w:r>
    </w:p>
    <w:p w14:paraId="04FB38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Przy składowaniu, deski żelbetowe powinny być układane rębem na dłuższym boku warstwami, na dokładnie wyrównanym i utwardzonym podłożu. Desek nie należy układać na płask. Deski o wysokości do 60 cm mogą być układane w trzech warstwach, a deski o wysokości 90 cm należy układać nie więcej niż w dwóch warstwach. Każdą warstwę desek żelbetowych należy układać na dwóch drewnianych podkładkach.</w:t>
      </w:r>
    </w:p>
    <w:p w14:paraId="34B2F39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2.3.6. </w:t>
      </w:r>
      <w:r w:rsidRPr="0084667E">
        <w:rPr>
          <w:rFonts w:ascii="Times New Roman" w:hAnsi="Times New Roman" w:cs="Times New Roman"/>
          <w:color w:val="000000" w:themeColor="text1"/>
        </w:rPr>
        <w:t>Materiały do wykonania fundamentów betonowanych „na mokro”</w:t>
      </w:r>
    </w:p>
    <w:p w14:paraId="5038D6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Deskowanie powinno zapewnić sztywność i niezmienność układu oraz bezpieczeństwo konstrukcji. Deskowanie powinno być skonstruowane w sposób umożliwiający łatwy jego montaż i demontaż. Przed wypełnieniem mieszanką betonową, deskowanie powinno być sprawdzone, aby wykluczało wyciek zaprawy z mieszanki betonowej.</w:t>
      </w:r>
    </w:p>
    <w:p w14:paraId="2F9A3CD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Klasa betonu, jeśli w dokumentacji projektowej lub SST nie określono inaczej, powinna być B 15 lub B 20 lub zgodna ze wskazaniami Inżyniera. Beton powinien odpowiadać wymaganiom PN-B-06250 [2]. Składnikami betonu są: cement, kruszywo, woda i domieszki.</w:t>
      </w:r>
    </w:p>
    <w:p w14:paraId="4B1C7F1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Cement stosowany do betonu powinien być cementem portlandzkim klasy 32,5 i spełniać wymagania PN-B-19701 [6]. Transport i przechowywanie cementu powinny być zgodne z ustaleniami podanymi w BN-88/6731-08 [42].</w:t>
      </w:r>
    </w:p>
    <w:p w14:paraId="1F44425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Kruszywo do betonu (piasek, żwir, grys, mieszanka z kruszywa naturalnego sortowanego, kruszywo łamane) powinno spełniać wymagania PN-B-06712 [4].</w:t>
      </w:r>
    </w:p>
    <w:p w14:paraId="18B0D0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Woda powinna być „odmiany 1” i spełniać wymagania PN-B-32250 [7]. Bez badań laboratoryjnych można stosować wodę pitną.</w:t>
      </w:r>
    </w:p>
    <w:p w14:paraId="523400A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Domieszki chemiczne do betonu powinny być stosowane jeśli przewidują to dokumentacja projektowa, SST lub wskazania Inżyniera, przy czym w przypadku braku danych dotyczących rodzaju domieszek, ich dobór powinien być dokonany zgodnie z zaleceniami PN-B-06250 [2]. Domieszki powinny spełniać wymagania PN-B-23010 [5].</w:t>
      </w:r>
    </w:p>
    <w:p w14:paraId="3008CE1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Pręty zbrojenia mogą być stosowane jeśli przewiduje to dokumentacja projektowa, SST lub wskazania Inżyniera. Pręty zbrojenia powinny odpowiadać PN-B-06251 [3]. Stal dostarczona na budowę powinna być zaopatrzona w zaświadczenie (atest) stwierdzające jej gatunek. Właściwości mechaniczne stali używanej do zbrojenia betonu powinny odpowiadać postanowieniom PN-B-03264 [1].</w:t>
      </w:r>
    </w:p>
    <w:p w14:paraId="5CD8467D" w14:textId="77777777" w:rsidR="0084667E" w:rsidRPr="0084667E" w:rsidRDefault="0084667E" w:rsidP="0084667E">
      <w:pPr>
        <w:rPr>
          <w:rFonts w:ascii="Times New Roman" w:hAnsi="Times New Roman" w:cs="Times New Roman"/>
          <w:color w:val="000000" w:themeColor="text1"/>
        </w:rPr>
      </w:pPr>
    </w:p>
    <w:p w14:paraId="70151155" w14:textId="77777777" w:rsidR="0084667E" w:rsidRPr="00DF0205" w:rsidRDefault="0084667E" w:rsidP="0084667E">
      <w:pPr>
        <w:rPr>
          <w:rFonts w:ascii="Times New Roman" w:hAnsi="Times New Roman" w:cs="Times New Roman"/>
          <w:b/>
          <w:smallCaps/>
          <w:color w:val="000000" w:themeColor="text1"/>
        </w:rPr>
      </w:pPr>
      <w:bookmarkStart w:id="862" w:name="_Toc421594981"/>
      <w:bookmarkStart w:id="863" w:name="_Toc507909781"/>
      <w:bookmarkStart w:id="864" w:name="_Toc507909888"/>
      <w:r w:rsidRPr="00DF0205">
        <w:rPr>
          <w:rFonts w:ascii="Times New Roman" w:hAnsi="Times New Roman" w:cs="Times New Roman"/>
          <w:b/>
          <w:smallCaps/>
          <w:color w:val="000000" w:themeColor="text1"/>
        </w:rPr>
        <w:t>3. sprzęt</w:t>
      </w:r>
      <w:bookmarkEnd w:id="862"/>
      <w:bookmarkEnd w:id="863"/>
      <w:bookmarkEnd w:id="864"/>
    </w:p>
    <w:p w14:paraId="7346E79B"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3.1. Ogólne wymagania dotyczące sprzętu</w:t>
      </w:r>
    </w:p>
    <w:p w14:paraId="02301D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wymagania dotyczące sprzętu podano w ST D-00.00.00 „Wymagania ogólne” pkt 3.</w:t>
      </w:r>
    </w:p>
    <w:p w14:paraId="0AF0F1CA"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3.2. Sprzęt do wykonania ogrodzenia</w:t>
      </w:r>
    </w:p>
    <w:p w14:paraId="587892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Ustawienie ogrodzenia wykonuje się w zasadzie ręcznie, przy użyciu drobnego sprzętu pomocniczego, jak: szpadle, drągi stalowe, młotki, obcęgi, wyciągarki do napinania linek i siatki, itp.</w:t>
      </w:r>
    </w:p>
    <w:p w14:paraId="24AB3A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Przy przewozie, załadunku, wyładunku i wykonywaniu ogrodzenia można stosować: środki transportu, żurawie samochodowe, ew. wiertnice do wykonywania dołów pod słupki, małe betoniarki przewoźne do wykonywania fundamentów betonowych „na mokro”, przewoźne zbiorniki do wody, sprzęt spawalniczy, itp., pod warunkiem zaakceptowania przez Inżyniera.</w:t>
      </w:r>
    </w:p>
    <w:p w14:paraId="580191C2" w14:textId="77777777" w:rsidR="0084667E" w:rsidRPr="0084667E" w:rsidRDefault="0084667E" w:rsidP="0084667E">
      <w:pPr>
        <w:rPr>
          <w:rFonts w:ascii="Times New Roman" w:hAnsi="Times New Roman" w:cs="Times New Roman"/>
          <w:color w:val="000000" w:themeColor="text1"/>
        </w:rPr>
      </w:pPr>
    </w:p>
    <w:p w14:paraId="4F41A7A0" w14:textId="77777777" w:rsidR="0084667E" w:rsidRPr="00DF0205" w:rsidRDefault="0084667E" w:rsidP="0084667E">
      <w:pPr>
        <w:rPr>
          <w:rFonts w:ascii="Times New Roman" w:hAnsi="Times New Roman" w:cs="Times New Roman"/>
          <w:b/>
          <w:smallCaps/>
          <w:color w:val="000000" w:themeColor="text1"/>
        </w:rPr>
      </w:pPr>
      <w:bookmarkStart w:id="865" w:name="_Toc421594982"/>
      <w:bookmarkStart w:id="866" w:name="_Toc507909782"/>
      <w:bookmarkStart w:id="867" w:name="_Toc507909889"/>
      <w:r w:rsidRPr="00DF0205">
        <w:rPr>
          <w:rFonts w:ascii="Times New Roman" w:hAnsi="Times New Roman" w:cs="Times New Roman"/>
          <w:b/>
          <w:smallCaps/>
          <w:color w:val="000000" w:themeColor="text1"/>
        </w:rPr>
        <w:t>4. transport</w:t>
      </w:r>
      <w:bookmarkEnd w:id="865"/>
      <w:bookmarkEnd w:id="866"/>
      <w:bookmarkEnd w:id="867"/>
    </w:p>
    <w:p w14:paraId="24C8916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4.1. Ogólne wymagania dotyczące transportu</w:t>
      </w:r>
    </w:p>
    <w:p w14:paraId="3D7EBB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wymagania dotyczące transportu podano w ST D-00.00.00 „Wymagania ogólne” pkt 4.</w:t>
      </w:r>
    </w:p>
    <w:p w14:paraId="41EF58E9" w14:textId="77777777" w:rsidR="0084667E" w:rsidRPr="0084667E" w:rsidRDefault="0084667E" w:rsidP="0084667E">
      <w:pPr>
        <w:rPr>
          <w:rFonts w:ascii="Times New Roman" w:hAnsi="Times New Roman" w:cs="Times New Roman"/>
          <w:color w:val="000000" w:themeColor="text1"/>
        </w:rPr>
      </w:pPr>
    </w:p>
    <w:p w14:paraId="1632C04F"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4.2. Transport materiałów</w:t>
      </w:r>
    </w:p>
    <w:p w14:paraId="34084C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Siatkę metalową należy przewozić środkami transportu, w warunkach zabezpieczających ją przed uszkodzeniami mechanicznymi i wpływami atmosferycznymi.</w:t>
      </w:r>
    </w:p>
    <w:p w14:paraId="3D5D2EA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Siatkę bezwęzełkową ciężką z tworzyw sztucznych należy przewozić powszechnie stosowanymi środkami transportu, w warunkach zabezpieczających ją przed uszkodzeniami mechanicznymi.</w:t>
      </w:r>
    </w:p>
    <w:p w14:paraId="3AD3C45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Liny stalowe o masie do 400 kg mogą być dostarczane na bębnach drewnianych, metalowych lub w kręgach. Liny należy przewozić w warunkach nie wpływających na zmianę własności lin.</w:t>
      </w:r>
    </w:p>
    <w:p w14:paraId="6920FBC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Rury stalowe na słupki przewozić można dowolnymi środkami transportu. W przypadku załadowania na środek transportu więcej niż jednej partii rur należy je zabezpieczyć przed pomieszaniem.</w:t>
      </w:r>
    </w:p>
    <w:p w14:paraId="3166D8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Kształtowniki można przewozić dowolnymi środkami transportu luzem lub w wiązkach. Wiązki wiąże się drutem stalowym lub taśmą stalową w dwóch miejscach, w odległości około 500 mm od końców. Drut i taśma użyta do wiązania wiązek powinna być o takiej wytrzymałości na rozciąganie, która gwarantuje, że w czasie załadunku, transportu i wyładunku nie nastąpi zerwanie wiązania. Wiązania nie należy używać jako zaczepy dla zawiesi, w przypadku przemieszczenia wyrobu. W przypadku ładowania na środek transportu więcej niż jednej partii wyrobów, należy je zabezpieczyć przed pomieszaniem. Przy transporcie przedmiotów pometalizowanych zalecana jest ostrożność, ze względu na podatność powłok na uszkodzenia mechaniczne występujące przy uderzeniach.</w:t>
      </w:r>
    </w:p>
    <w:p w14:paraId="517A783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Śruby, wkręty, nakrętki itp. powinno się przewozić w warunkach zabezpieczających wyroby przed korozją i uszkodzeniami mechanicznymi. W przypadku stosowania do transportu palet, opakowania powinny być zabezpieczone przed przemieszczaniem się, np. za pomocą taśmy stalowej lub folii termokurczliwej.</w:t>
      </w:r>
    </w:p>
    <w:p w14:paraId="62635AA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Druty i pręty spawalnicze należy przewozić w warunkach zabezpieczających przed korozją, zanieczyszczeniem i uszkodzeniem.</w:t>
      </w:r>
    </w:p>
    <w:p w14:paraId="1899B61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Prefabrykowane deski żelbetowe należy układać na środkach transportowych rębem, ściśle jedna przy drugiej, długością w kierunku jazdy, warstwami na przekładkach drewnianych. Wysokość ładunku desek ogrodzeniowych nie może przekroczyć wysokości ścian środka transportowego więcej niż o 1/3 wysokości ostatniej warstwy desek.</w:t>
      </w:r>
    </w:p>
    <w:p w14:paraId="5BEBB97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Prefabrykowane słupy żelbetowe należy układać na środkach transportu ściśle obok siebie, długością w kierunku jazdy. Wysokość ładunku słupów nie powinna przekraczać wysokości ścian środka transportowego.</w:t>
      </w:r>
    </w:p>
    <w:p w14:paraId="7D370901" w14:textId="77777777" w:rsidR="0084667E" w:rsidRPr="0084667E" w:rsidRDefault="0084667E" w:rsidP="0084667E">
      <w:pPr>
        <w:rPr>
          <w:rFonts w:ascii="Times New Roman" w:hAnsi="Times New Roman" w:cs="Times New Roman"/>
          <w:color w:val="000000" w:themeColor="text1"/>
        </w:rPr>
      </w:pPr>
    </w:p>
    <w:p w14:paraId="43617874" w14:textId="77777777" w:rsidR="0084667E" w:rsidRPr="00DF0205" w:rsidRDefault="0084667E" w:rsidP="0084667E">
      <w:pPr>
        <w:rPr>
          <w:rFonts w:ascii="Times New Roman" w:hAnsi="Times New Roman" w:cs="Times New Roman"/>
          <w:b/>
          <w:smallCaps/>
          <w:color w:val="000000" w:themeColor="text1"/>
        </w:rPr>
      </w:pPr>
      <w:bookmarkStart w:id="868" w:name="_Toc421594983"/>
      <w:bookmarkStart w:id="869" w:name="_Toc507909783"/>
      <w:bookmarkStart w:id="870" w:name="_Toc507909890"/>
      <w:r w:rsidRPr="00DF0205">
        <w:rPr>
          <w:rFonts w:ascii="Times New Roman" w:hAnsi="Times New Roman" w:cs="Times New Roman"/>
          <w:b/>
          <w:smallCaps/>
          <w:color w:val="000000" w:themeColor="text1"/>
        </w:rPr>
        <w:t>5. wykonanie robót</w:t>
      </w:r>
      <w:bookmarkEnd w:id="868"/>
      <w:bookmarkEnd w:id="869"/>
      <w:bookmarkEnd w:id="870"/>
    </w:p>
    <w:p w14:paraId="0D56D52F"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5.1. Ogólne zasady wykonania robót</w:t>
      </w:r>
    </w:p>
    <w:p w14:paraId="573D13C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zasady wykonania robót podano w ST D-00.00.00 „Wymagania ogólne” pkt 5.</w:t>
      </w:r>
    </w:p>
    <w:p w14:paraId="5D2CEA32" w14:textId="77777777" w:rsidR="0084667E" w:rsidRPr="0084667E" w:rsidRDefault="0084667E" w:rsidP="0084667E">
      <w:pPr>
        <w:rPr>
          <w:rFonts w:ascii="Times New Roman" w:hAnsi="Times New Roman" w:cs="Times New Roman"/>
          <w:color w:val="000000" w:themeColor="text1"/>
        </w:rPr>
      </w:pPr>
    </w:p>
    <w:p w14:paraId="1F217AC0"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5.2. Zasady wykonania ogrodzeń</w:t>
      </w:r>
    </w:p>
    <w:p w14:paraId="626ED1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 zależności od wielkości robót, Wykonawca przedstawi do akceptacji Inżyniera zakres robót ogrodzeniowych wykonywanych bezpośrednio na placu budowy i na zapleczu.</w:t>
      </w:r>
    </w:p>
    <w:p w14:paraId="5068B6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Przed wykonaniem właściwych robót ogrodzeniowych należy wytyczyć trasę ogrodzenia w terenie na podstawie dokumentacji projektowej, ST lub wskazań Inżyniera.</w:t>
      </w:r>
    </w:p>
    <w:p w14:paraId="5C3CAE3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podstawowych czynności, objętych niniejszą ST, przy wznoszeniu ogrodzeń należą:</w:t>
      </w:r>
    </w:p>
    <w:p w14:paraId="1EF4D4C5"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 wykonanie dołów pod słupki,</w:t>
      </w:r>
    </w:p>
    <w:p w14:paraId="31933A0C"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wykonanie fundamentów betonowych pod słupki,</w:t>
      </w:r>
    </w:p>
    <w:p w14:paraId="7826A5D6"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ustawienie słupków (metalowych, żelbetowych),</w:t>
      </w:r>
    </w:p>
    <w:p w14:paraId="7DB50DE1"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wykonanie właściwego ogrodzenia (rozpięcie siatki metalowej lub z tworzywa sztucznego, względnie ustawienie desek żelbetowych),</w:t>
      </w:r>
    </w:p>
    <w:p w14:paraId="25E27CC8"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wykonanie bram i furtek.</w:t>
      </w:r>
    </w:p>
    <w:p w14:paraId="7CD9CADC" w14:textId="77777777" w:rsidR="0084667E" w:rsidRPr="0084667E" w:rsidRDefault="0084667E" w:rsidP="0084667E">
      <w:pPr>
        <w:rPr>
          <w:rFonts w:ascii="Times New Roman" w:hAnsi="Times New Roman" w:cs="Times New Roman"/>
          <w:color w:val="000000" w:themeColor="text1"/>
        </w:rPr>
      </w:pPr>
    </w:p>
    <w:p w14:paraId="4A4861B1"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5.3. Wykonanie dołów pod słupki</w:t>
      </w:r>
    </w:p>
    <w:p w14:paraId="55D8A2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SST lub Inżynier nie podaje inaczej, to doły pod słupki powinny mieć wymiary w planie co najmniej o 20 cm większe od wymiarów słupka, a głębokość od 0,8 do 1,2 m.</w:t>
      </w:r>
    </w:p>
    <w:p w14:paraId="72D4B6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lub SST nie podaje inaczej, to najpierw należy wykonać doły pod słupki narożne, bramowe i na załamaniach ogrodzenia, a następnie dokonać podziału odcinków prostych na mniejsze odległości:</w:t>
      </w:r>
    </w:p>
    <w:p w14:paraId="657BA2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dla siatki po od 3 do 6 m, z tym, że przy wysokości siatki przekraczającej 2,2 m - po ok. 2 m,</w:t>
      </w:r>
    </w:p>
    <w:p w14:paraId="531DBB2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dla ogrodzenia żelbetowego - równe długościom desek prefabrykowanych,</w:t>
      </w:r>
    </w:p>
    <w:p w14:paraId="36A22A0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w takich odległościach wykonać doły pod słupki pośrednie.</w:t>
      </w:r>
    </w:p>
    <w:p w14:paraId="06340ED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Należy dążyć, aby odległości między słupkami pośrednimi były jednakowe we wszystkich odcinkach ogrodzenia.</w:t>
      </w:r>
    </w:p>
    <w:p w14:paraId="162AFB78" w14:textId="77777777" w:rsidR="0084667E" w:rsidRPr="0084667E" w:rsidRDefault="0084667E" w:rsidP="0084667E">
      <w:pPr>
        <w:rPr>
          <w:rFonts w:ascii="Times New Roman" w:hAnsi="Times New Roman" w:cs="Times New Roman"/>
          <w:color w:val="000000" w:themeColor="text1"/>
        </w:rPr>
      </w:pPr>
    </w:p>
    <w:p w14:paraId="09FDF381"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5.4. Wykonanie fundamentów betonowych pod słupki</w:t>
      </w:r>
    </w:p>
    <w:p w14:paraId="6E73453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lub ST nie podaje inaczej, to słupki mogą być osadzone w betonie ułożonym w dołku albo oprawione w bloczki betonowe formowane na terenie budowy i dostarczane do miejsca budowy ogrodzenia. Po uzyskaniu akceptacji Inżyniera, słupki betonowe mogą być obłożone kamieniami lub gruzem i przysypane ziemią.</w:t>
      </w:r>
    </w:p>
    <w:p w14:paraId="57337FB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Słupek należy wstawić w gotowy wykop i napełnić otwór mieszanką betonową odpowiadającą wymaganiom punktu 2.3.6. Do czasu stwardnienia betonu słupek należy podeprzeć.</w:t>
      </w:r>
    </w:p>
    <w:p w14:paraId="6DB83C0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Fundament betonowy wykonywany „na mokro”, w którym osadzono słupek, można wykorzystywać do dalszych prac (np. napinania siatki) co najmniej po 7 dniach od ustawienia słupka w betonie, a jeśli temperatura w czasie wykonywania fundamentu jest niższa od 10</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C - po 14 dniach.</w:t>
      </w:r>
    </w:p>
    <w:p w14:paraId="4FE354CC" w14:textId="77777777" w:rsidR="0084667E" w:rsidRPr="0084667E" w:rsidRDefault="0084667E" w:rsidP="0084667E">
      <w:pPr>
        <w:rPr>
          <w:rFonts w:ascii="Times New Roman" w:hAnsi="Times New Roman" w:cs="Times New Roman"/>
          <w:color w:val="000000" w:themeColor="text1"/>
        </w:rPr>
      </w:pPr>
    </w:p>
    <w:p w14:paraId="5F38ECF3"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5.5. Ustawienie słupków</w:t>
      </w:r>
    </w:p>
    <w:p w14:paraId="25E714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Słupki, bez względu na rodzaj i sposób osadzenia w gruncie, powinny stać pionowo w linii ogrodzenia, a ich wierzchołki powinny znajdować się na jednakowej wysokości. Słupki z rur powinny mieć zaspawany górny otwór rury.</w:t>
      </w:r>
    </w:p>
    <w:p w14:paraId="2CFBCE0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Słupki końcowe, narożne, bramowe oraz stojące na załamaniach ogrodzenia o kącie większym od 15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 xml:space="preserve"> należy zabezpieczyć przed wychylaniem się ukośnymi słupkami wspierającymi, ustawiając je wzdłuż biegu ogrodzenia pod kątem około od 30 do 45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 xml:space="preserve">. Zamiast ukośnych słupków wspierających, </w:t>
      </w:r>
      <w:r w:rsidRPr="0084667E">
        <w:rPr>
          <w:rFonts w:ascii="Times New Roman" w:hAnsi="Times New Roman" w:cs="Times New Roman"/>
          <w:color w:val="000000" w:themeColor="text1"/>
        </w:rPr>
        <w:lastRenderedPageBreak/>
        <w:t>można przy ogrodzeniowych słupkach żelbetowych zastosować, za zgodą Inżyniera, bloczki oporowe (betonowe lub kamienne) osadzone w czasie ustawiania słupka w dole (przykłady w zał. 11.3).</w:t>
      </w:r>
    </w:p>
    <w:p w14:paraId="531C3B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Słupki do siatki ogrodzeniowej powinny być przystosowane do umocowania na nich linek usztywniających przez posiadanie odpowiednich uszek lub otworów do zaczepów i haków metalowych. Słupki końcowe, narożne i bramowe powinny być dodatkowo przystosowane do umocowania do nich siatki.</w:t>
      </w:r>
    </w:p>
    <w:p w14:paraId="7D195252" w14:textId="77777777" w:rsidR="0084667E" w:rsidRPr="0084667E" w:rsidRDefault="0084667E" w:rsidP="0084667E">
      <w:pPr>
        <w:rPr>
          <w:rFonts w:ascii="Times New Roman" w:hAnsi="Times New Roman" w:cs="Times New Roman"/>
          <w:color w:val="000000" w:themeColor="text1"/>
        </w:rPr>
      </w:pPr>
    </w:p>
    <w:p w14:paraId="4F7818B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5.6. Słupki wbijane lub wwibrowywane bezpośrednio w grunt</w:t>
      </w:r>
    </w:p>
    <w:p w14:paraId="4D58E0F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SST lub Inżynier na wniosek Wykonawcy ustali bezpośrednie wbijanie lub wwibrowywanie słupków ogrodzenia w grunt, to Wykonawca przedstawi do akceptacji Inżyniera:</w:t>
      </w:r>
    </w:p>
    <w:p w14:paraId="65BA9428"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sposób wykonania, zapewniający zachowanie osi słupka w pionie i nie powodujący odkształceń lub uszkodzeń słupka,</w:t>
      </w:r>
    </w:p>
    <w:p w14:paraId="41D2A01E"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rodzaj sprzętu (i jego charakterystykę techniczną), dotyczący np. młotów (bab) ręcznych podnoszonych bezpośrednio (lub przy użyciu urządzeń pomocniczych) przez robotników, młotów (kafarów) mechanicznych z wciągarką ręczną lub napędem spalinowym, wibromłotów pogrążających słupki w gruncie poprzez wibrację i działanie udarowe, przy zachowaniu wymagań ustawienia słupków podanych w p. 5.5, z anulowaniem postanowień dotyczących wykonania dołów i fundamentów podanych w punktach 5.3 i 5.4.</w:t>
      </w:r>
    </w:p>
    <w:p w14:paraId="485573B8" w14:textId="77777777" w:rsidR="0084667E" w:rsidRPr="0084667E" w:rsidRDefault="0084667E" w:rsidP="0084667E">
      <w:pPr>
        <w:rPr>
          <w:rFonts w:ascii="Times New Roman" w:hAnsi="Times New Roman" w:cs="Times New Roman"/>
          <w:color w:val="000000" w:themeColor="text1"/>
        </w:rPr>
      </w:pPr>
    </w:p>
    <w:p w14:paraId="11452500"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5.7. Rozpięcie siatki ogrodzeniowej</w:t>
      </w:r>
    </w:p>
    <w:p w14:paraId="24A92B9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lub SST nie podaje inaczej, to należy rozwiesić trzy linki (druty) usztywniające: u góry, na dole i w środku ogrodzenia i przymocować je do słupków. Do słupków końcowych, narożnych i bramowych linki muszą być starannie przymocowane (np. przewleczone przez uszka, zagięte do tyłu na około 10 cm i okręcone na bieżącym drucie). Linki powinny być umocowane tak, aby nie mogły przesuwać się i wywierać nacisku na słupki narożne i bramowe, a w przypadku zerwania się, aby zwalniały siatkę tylko między słupkami. Linki napina się wyciągarkami względnie złączami rzymskimi wmontowanymi co 3 do 8 m lub innym sposobem zaakceptowanym przez Inżyniera. Nie należy zbyt silnie napinać linek, aby nie oddziaływały one ujemnie na słupki narożne lub bramowe.</w:t>
      </w:r>
    </w:p>
    <w:p w14:paraId="08FA41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Siatkę metalową przymocowuje się do słupków końcowych, narożnych i bramowych za pomocą prętów płaskich lub zaokrąglonych lub w inny sposób zaakceptowany przez Inżyniera. Siatkę napina się w sposób podobny do napinania linek i przymocowuje się (np. kawałkami ocynkowanego drutu co 50 do 70 cm) do linek. Górną krawędź siatki metalowej należy łączyć z linką zaginając na niej poszczególne druty siatki. Siatka powinna być napięta sztywno, jednak tak, aby nie ulegały zniekształceniu jej oczka.</w:t>
      </w:r>
    </w:p>
    <w:p w14:paraId="03B78E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Siatkę z tworzywa sztucznego przymocowuje się do słupków tak jak siatkę metalową, a do linek - zwykle kawałkami ocynkowanego drutu. Po akceptacji Inżyniera, siatka z tworzywa sztucznego może być przymocowana tylko do dwóch linek: górnej i dolnej.</w:t>
      </w:r>
    </w:p>
    <w:p w14:paraId="33DA053F" w14:textId="77777777" w:rsidR="0084667E" w:rsidRPr="0084667E" w:rsidRDefault="0084667E" w:rsidP="0084667E">
      <w:pPr>
        <w:rPr>
          <w:rFonts w:ascii="Times New Roman" w:hAnsi="Times New Roman" w:cs="Times New Roman"/>
          <w:color w:val="000000" w:themeColor="text1"/>
        </w:rPr>
      </w:pPr>
    </w:p>
    <w:p w14:paraId="4E08185A"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5.8. Wykonanie siatki w ramach</w:t>
      </w:r>
    </w:p>
    <w:p w14:paraId="279B261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Jeśli dokumentacja projektowa lub SST nie podaje inaczej, to siatka powinna być umieszczona w ramach z kątownika (np. o wymiarach 45 x 45 x 5 mm lub 50 x 50 x 6 mm) lub innego kształtownika zaakceptowanego przez Inżyniera.</w:t>
      </w:r>
    </w:p>
    <w:p w14:paraId="061006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Zaleca się stosowanie jednakowych odległości między słupkami, w celu zachowania możliwie jednego wymiaru ramy. Krótsze ramy można wykonać przy narożnikach i bramach. Górne krawędzie ram ogrodzenia powinny być zawsze poziome.</w:t>
      </w:r>
    </w:p>
    <w:p w14:paraId="2FE2FD1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Prześwity między ramą a słupkiem nie powinny być większe niż 8 do 10 cm.</w:t>
      </w:r>
    </w:p>
    <w:p w14:paraId="3214EBF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Ramy z siatką umieszcza się między słupkami i przymocowuje do słupków w sposób zgodny z dokumentacją projektową, SST lub wskazaniami Inżyniera (przykłady mocowania ram do słupków podano w załączniku 11.4). W celu uniknięcia wydłużenia lub kurczenia się ram pod wpływem temperatury zaleca się mocować ramy do słupków za pomocą śrub i płaskowników z otworami podłużnymi.</w:t>
      </w:r>
    </w:p>
    <w:p w14:paraId="67AC7568" w14:textId="77777777" w:rsidR="0084667E" w:rsidRPr="0084667E" w:rsidRDefault="0084667E" w:rsidP="0084667E">
      <w:pPr>
        <w:rPr>
          <w:rFonts w:ascii="Times New Roman" w:hAnsi="Times New Roman" w:cs="Times New Roman"/>
          <w:color w:val="000000" w:themeColor="text1"/>
        </w:rPr>
      </w:pPr>
    </w:p>
    <w:p w14:paraId="5E211675"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5.9. Wykonanie spawanych złącz elementów ogrodzenia</w:t>
      </w:r>
    </w:p>
    <w:p w14:paraId="366774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Złącza spawane elementów ogrodzenia powinny odpowiadać wymaganiom PN-M-69011 [27].</w:t>
      </w:r>
    </w:p>
    <w:p w14:paraId="39DEBF8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Wytrzymałość zmęczeniowa spoin powinna wynosić od 19 do 32 MPa. Odchyłki wymiarów spoin nie powinny przekraczać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0,5 mm dla grubości spoiny do 6 mm i </w:t>
      </w:r>
      <w:r w:rsidRPr="0084667E">
        <w:rPr>
          <w:rFonts w:ascii="Times New Roman" w:hAnsi="Times New Roman" w:cs="Times New Roman"/>
          <w:color w:val="000000" w:themeColor="text1"/>
        </w:rPr>
        <w:sym w:font="Symbol" w:char="00B1"/>
      </w:r>
      <w:r w:rsidRPr="0084667E">
        <w:rPr>
          <w:rFonts w:ascii="Times New Roman" w:hAnsi="Times New Roman" w:cs="Times New Roman"/>
          <w:color w:val="000000" w:themeColor="text1"/>
        </w:rPr>
        <w:t xml:space="preserve"> 1,0 mm dla spoiny powyżej 6 mm.</w:t>
      </w:r>
    </w:p>
    <w:p w14:paraId="31655D1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Odstęp, w złączach zakładkowych i nakładkowych, pomiędzy przylegającymi do siebie płaszczyznami nie powinien być większy niż 1 mm.</w:t>
      </w:r>
    </w:p>
    <w:p w14:paraId="18B192D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Złącza spawane nie powinny mieć wad większych niż podane w tablicy 16. Inżynier może dopuścić wady większe niż podane w tablicy 16 jeśli uzna, że nie mają one zasadniczego wpływu na cechy eksploatacyjne ogrodzenia.</w:t>
      </w:r>
    </w:p>
    <w:p w14:paraId="6F5B77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16. Dopuszczalne wymiary wad w złączach spawanych, wg PN-M-69775 [29]</w:t>
      </w:r>
    </w:p>
    <w:tbl>
      <w:tblPr>
        <w:tblW w:w="0" w:type="auto"/>
        <w:jc w:val="center"/>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181"/>
        <w:gridCol w:w="3329"/>
      </w:tblGrid>
      <w:tr w:rsidR="0084667E" w:rsidRPr="0084667E" w14:paraId="63565010" w14:textId="77777777" w:rsidTr="0084667E">
        <w:trPr>
          <w:jc w:val="center"/>
        </w:trPr>
        <w:tc>
          <w:tcPr>
            <w:tcW w:w="4181" w:type="dxa"/>
            <w:tcBorders>
              <w:top w:val="single" w:sz="6" w:space="0" w:color="auto"/>
              <w:left w:val="single" w:sz="6" w:space="0" w:color="auto"/>
              <w:bottom w:val="double" w:sz="6" w:space="0" w:color="auto"/>
              <w:right w:val="single" w:sz="6" w:space="0" w:color="auto"/>
            </w:tcBorders>
            <w:noWrap/>
            <w:hideMark/>
          </w:tcPr>
          <w:p w14:paraId="2315C5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Rodzaj wady</w:t>
            </w:r>
          </w:p>
        </w:tc>
        <w:tc>
          <w:tcPr>
            <w:tcW w:w="3329" w:type="dxa"/>
            <w:tcBorders>
              <w:top w:val="single" w:sz="6" w:space="0" w:color="auto"/>
              <w:left w:val="single" w:sz="6" w:space="0" w:color="auto"/>
              <w:bottom w:val="double" w:sz="6" w:space="0" w:color="auto"/>
              <w:right w:val="single" w:sz="6" w:space="0" w:color="auto"/>
            </w:tcBorders>
            <w:noWrap/>
            <w:hideMark/>
          </w:tcPr>
          <w:p w14:paraId="155119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Dopuszczalny wymiar wady, mm</w:t>
            </w:r>
          </w:p>
        </w:tc>
      </w:tr>
      <w:tr w:rsidR="0084667E" w:rsidRPr="0084667E" w14:paraId="1396664A" w14:textId="77777777" w:rsidTr="0084667E">
        <w:trPr>
          <w:jc w:val="center"/>
        </w:trPr>
        <w:tc>
          <w:tcPr>
            <w:tcW w:w="4181" w:type="dxa"/>
            <w:tcBorders>
              <w:top w:val="nil"/>
              <w:left w:val="single" w:sz="6" w:space="0" w:color="auto"/>
              <w:bottom w:val="single" w:sz="6" w:space="0" w:color="auto"/>
              <w:right w:val="single" w:sz="6" w:space="0" w:color="auto"/>
            </w:tcBorders>
            <w:noWrap/>
            <w:hideMark/>
          </w:tcPr>
          <w:p w14:paraId="014A6A2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Brak przetopu</w:t>
            </w:r>
          </w:p>
          <w:p w14:paraId="1ED81D9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Podtopienie lica</w:t>
            </w:r>
          </w:p>
          <w:p w14:paraId="63F2CF4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Porowatość</w:t>
            </w:r>
          </w:p>
          <w:p w14:paraId="7507352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Krater</w:t>
            </w:r>
          </w:p>
          <w:p w14:paraId="308E93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Wklęśnięcie lica</w:t>
            </w:r>
          </w:p>
          <w:p w14:paraId="68C7E9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Uszkodzenie mechaniczne</w:t>
            </w:r>
          </w:p>
          <w:p w14:paraId="5860186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Różnica wysokości sąsiednich wgłębień</w:t>
            </w:r>
          </w:p>
          <w:p w14:paraId="799558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i wypukłości lica</w:t>
            </w:r>
          </w:p>
        </w:tc>
        <w:tc>
          <w:tcPr>
            <w:tcW w:w="3329" w:type="dxa"/>
            <w:tcBorders>
              <w:top w:val="nil"/>
              <w:left w:val="single" w:sz="6" w:space="0" w:color="auto"/>
              <w:bottom w:val="single" w:sz="6" w:space="0" w:color="auto"/>
              <w:right w:val="single" w:sz="6" w:space="0" w:color="auto"/>
            </w:tcBorders>
            <w:noWrap/>
            <w:hideMark/>
          </w:tcPr>
          <w:p w14:paraId="71813B5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w:t>
            </w:r>
          </w:p>
          <w:p w14:paraId="05CE37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w:t>
            </w:r>
          </w:p>
          <w:p w14:paraId="533E5F3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p w14:paraId="1AD7112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w:t>
            </w:r>
          </w:p>
          <w:p w14:paraId="47BAC98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w:t>
            </w:r>
          </w:p>
          <w:p w14:paraId="63D24C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w:t>
            </w:r>
          </w:p>
          <w:p w14:paraId="15D1CD39" w14:textId="77777777" w:rsidR="0084667E" w:rsidRPr="0084667E" w:rsidRDefault="0084667E" w:rsidP="0084667E">
            <w:pPr>
              <w:rPr>
                <w:rFonts w:ascii="Times New Roman" w:hAnsi="Times New Roman" w:cs="Times New Roman"/>
                <w:color w:val="000000" w:themeColor="text1"/>
              </w:rPr>
            </w:pPr>
          </w:p>
          <w:p w14:paraId="2CBAC14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tc>
      </w:tr>
    </w:tbl>
    <w:p w14:paraId="0BDEEB05" w14:textId="77777777" w:rsidR="0084667E" w:rsidRPr="0084667E" w:rsidRDefault="0084667E" w:rsidP="0084667E">
      <w:pPr>
        <w:rPr>
          <w:rFonts w:ascii="Times New Roman" w:hAnsi="Times New Roman" w:cs="Times New Roman"/>
          <w:color w:val="000000" w:themeColor="text1"/>
        </w:rPr>
      </w:pPr>
    </w:p>
    <w:p w14:paraId="01EAD2E5"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5.10. Wykonanie ogrodzenia z prefabrykatów żelbetowych</w:t>
      </w:r>
    </w:p>
    <w:p w14:paraId="28A957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Deski z prefabrykatów żelbetowych, bez względu na konfigurację terenu, powinny być ułożone poziomo. Jeśli nie ma możliwości utrzymania ogrodzenia w poziomie na całej długości, należy zastosować stopnie w ogrodzeniu. Ogrodzenie można uszczelnić od dołu wkopując w ziemię </w:t>
      </w:r>
      <w:r w:rsidRPr="0084667E">
        <w:rPr>
          <w:rFonts w:ascii="Times New Roman" w:hAnsi="Times New Roman" w:cs="Times New Roman"/>
          <w:color w:val="000000" w:themeColor="text1"/>
        </w:rPr>
        <w:lastRenderedPageBreak/>
        <w:t>deskę ogrodzenia na głębokość od 10 do 20 cm. Przy narożnikach i bramach, gdy przęsło ogrodzenia może być krótsze, należy deski odpowiednio przyciąć lub ustawić je pionowo.</w:t>
      </w:r>
    </w:p>
    <w:p w14:paraId="039D57E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rowki w słupkach żelbetowych wykonane są niedokładnie (zwłaszcza ich głębokość), po akceptacji Inżyniera, można po założeniu deski do poprzedniego słupka dostawiać kolejno następne słupki umocowując je w gruncie w trakcie stawiania ogrodzenia.</w:t>
      </w:r>
    </w:p>
    <w:p w14:paraId="464187B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Jeśli dokumentacja projektowa lub SST nie podaje inaczej, to deski należy połączyć ze słupkami zaprawą cementową o wytrzymałości na ściskanie min. R</w:t>
      </w:r>
      <w:r w:rsidRPr="0084667E">
        <w:rPr>
          <w:rFonts w:ascii="Times New Roman" w:hAnsi="Times New Roman" w:cs="Times New Roman"/>
          <w:color w:val="000000" w:themeColor="text1"/>
          <w:vertAlign w:val="subscript"/>
        </w:rPr>
        <w:t>28</w:t>
      </w:r>
      <w:r w:rsidRPr="0084667E">
        <w:rPr>
          <w:rFonts w:ascii="Times New Roman" w:hAnsi="Times New Roman" w:cs="Times New Roman"/>
          <w:color w:val="000000" w:themeColor="text1"/>
        </w:rPr>
        <w:t xml:space="preserve"> = 12 MPa, pozostawiając co trzecie lub czwarte przęsło nie usztywnione jako dylatację.</w:t>
      </w:r>
    </w:p>
    <w:p w14:paraId="5AFF5E2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(Przykłady wykonania ogrodzenia z różnych rodzajów desek pełnych i ażurowych podano w załączniku 11.2).</w:t>
      </w:r>
    </w:p>
    <w:p w14:paraId="11CCCC20" w14:textId="77777777" w:rsidR="0084667E" w:rsidRPr="0084667E" w:rsidRDefault="0084667E" w:rsidP="0084667E">
      <w:pPr>
        <w:rPr>
          <w:rFonts w:ascii="Times New Roman" w:hAnsi="Times New Roman" w:cs="Times New Roman"/>
          <w:color w:val="000000" w:themeColor="text1"/>
        </w:rPr>
      </w:pPr>
    </w:p>
    <w:p w14:paraId="78BFB10D"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5.11. Wykonanie bram i furtek</w:t>
      </w:r>
    </w:p>
    <w:p w14:paraId="6CF8403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Bramy i furtki należy wykonać zgodnie z dokumentacją projektową lub SST, a w przypadku braku wystarczających ustaleń ich lokalizację, konstrukcję i wymiary ustala Inżynier.</w:t>
      </w:r>
    </w:p>
    <w:p w14:paraId="0AC4B85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Zaleca się wykonanie bram i furtek z kątowników (np. o wymiarach 45 x 45 x 5 mm lub 50 x 50 x 6 mm) lub innych kształtowników z wypełnieniem ram siatkami metalowymi (przykład podano w załączniku 11.1 pkt 11.1.5).</w:t>
      </w:r>
    </w:p>
    <w:p w14:paraId="37E03E7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Każda brama i furtka powinna być kompletna z niezbędnym wyposażeniem jak zawiasy, rygle, zamki itp.</w:t>
      </w:r>
    </w:p>
    <w:p w14:paraId="30C92DCD" w14:textId="77777777" w:rsidR="0084667E" w:rsidRPr="0084667E" w:rsidRDefault="0084667E" w:rsidP="0084667E">
      <w:pPr>
        <w:rPr>
          <w:rFonts w:ascii="Times New Roman" w:hAnsi="Times New Roman" w:cs="Times New Roman"/>
          <w:color w:val="000000" w:themeColor="text1"/>
        </w:rPr>
      </w:pPr>
    </w:p>
    <w:p w14:paraId="30EEF1C2"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5.12. Roboty utrzymaniowe przy ogrodzeniach</w:t>
      </w:r>
    </w:p>
    <w:p w14:paraId="59BD629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5.12.1. </w:t>
      </w:r>
      <w:r w:rsidRPr="0084667E">
        <w:rPr>
          <w:rFonts w:ascii="Times New Roman" w:hAnsi="Times New Roman" w:cs="Times New Roman"/>
          <w:color w:val="000000" w:themeColor="text1"/>
        </w:rPr>
        <w:t>Malowanie ogrodzeń metalowych</w:t>
      </w:r>
    </w:p>
    <w:p w14:paraId="517CF1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Ocynkowaną siatkę, słupki i inne elementy metalowe ogrodzenia należy malować pierwszy raz po zaobserwowaniu pojawiania się rdzy, a następnie przeciętnie co 4 do 5 lat w celu zabezpieczenia stali przed korozją.</w:t>
      </w:r>
    </w:p>
    <w:p w14:paraId="4141459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Zaleca się przeprowadzać malowanie w okresie od maja do września, wyłącznie w dni pogodne, przy zalecanej temperaturze powietrza od 15 do 20</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C; nie należy malować pędzlem lub wałkiem w temperaturze poniżej +5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C, jak również malować metodą natryskową w temperaturze poniżej +15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C oraz podczas występującej mgły i rosy.</w:t>
      </w:r>
    </w:p>
    <w:p w14:paraId="0017F4C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Należy przestrzegać następujących zasad przy malowaniu ogrodzeń:</w:t>
      </w:r>
    </w:p>
    <w:p w14:paraId="32150806"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z powierzchni stali należy usunąć bardzo starannie pył, kurz, pleśnie, tłuszcz, rdzę, zgorzelinę, ew. starą, łuszczącą się farbę i inne zabrudzenia, zmniejszające przyczepność farby do podłoża; przez zmywanie, usuwanie przy użyciu szczotek stalowych, odrdzewiaczy chemicznych, materiałów ściernych, piaskowanie, odpalanie, ługowanie lub przy zastosowaniu innych środków, zgodnie z wymaganiami PN-H-97051 [24] i PN-ISO-8501-1 [36],</w:t>
      </w:r>
    </w:p>
    <w:p w14:paraId="6BE19057"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przed malowaniem należy wypełnić wgłębienia i rysy na powierzchniach za pomocą kitów lub szpachlówek ogólnego stosowania, a następnie - wygładzić i zeszlifować podłoże pod farbę,</w:t>
      </w:r>
    </w:p>
    <w:p w14:paraId="476B4FFE"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do malowania można stosować farby ogólnego stosowania przeznaczone do użytku zewnętrznego, dobrej jakości, z nie przekroczonym okresem gwarancji, jako:</w:t>
      </w:r>
    </w:p>
    <w:p w14:paraId="7AE89CCF" w14:textId="77777777" w:rsidR="0084667E" w:rsidRPr="0084667E" w:rsidRDefault="0084667E" w:rsidP="00904E6C">
      <w:pPr>
        <w:numPr>
          <w:ilvl w:val="0"/>
          <w:numId w:val="419"/>
        </w:numPr>
        <w:rPr>
          <w:rFonts w:ascii="Times New Roman" w:hAnsi="Times New Roman" w:cs="Times New Roman"/>
          <w:color w:val="000000" w:themeColor="text1"/>
        </w:rPr>
      </w:pPr>
      <w:r w:rsidRPr="0084667E">
        <w:rPr>
          <w:rFonts w:ascii="Times New Roman" w:hAnsi="Times New Roman" w:cs="Times New Roman"/>
          <w:color w:val="000000" w:themeColor="text1"/>
        </w:rPr>
        <w:t>a) farby do gruntowania przeciwrdzewnego (farby i lakiery przeciwkorozyjne),</w:t>
      </w:r>
    </w:p>
    <w:p w14:paraId="48D4B3B9" w14:textId="77777777" w:rsidR="0084667E" w:rsidRPr="0084667E" w:rsidRDefault="0084667E" w:rsidP="00904E6C">
      <w:pPr>
        <w:numPr>
          <w:ilvl w:val="0"/>
          <w:numId w:val="419"/>
        </w:num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b) farby nawierzchniowe (np. lakiery, emalie, wyroby ftalowe, ftalowo-styrenowe, akrylowe, itp.)</w:t>
      </w:r>
    </w:p>
    <w:p w14:paraId="22FFAA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oraz</w:t>
      </w:r>
    </w:p>
    <w:p w14:paraId="45327419" w14:textId="77777777" w:rsidR="0084667E" w:rsidRPr="0084667E" w:rsidRDefault="0084667E" w:rsidP="00904E6C">
      <w:pPr>
        <w:numPr>
          <w:ilvl w:val="0"/>
          <w:numId w:val="420"/>
        </w:numPr>
        <w:rPr>
          <w:rFonts w:ascii="Times New Roman" w:hAnsi="Times New Roman" w:cs="Times New Roman"/>
          <w:color w:val="000000" w:themeColor="text1"/>
        </w:rPr>
      </w:pPr>
      <w:r w:rsidRPr="0084667E">
        <w:rPr>
          <w:rFonts w:ascii="Times New Roman" w:hAnsi="Times New Roman" w:cs="Times New Roman"/>
          <w:color w:val="000000" w:themeColor="text1"/>
        </w:rPr>
        <w:t>c) rozcieńczalniki, zalecone przez producenta stosowanej farby,</w:t>
      </w:r>
    </w:p>
    <w:p w14:paraId="3B9CB4AE"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farbę dłużej przechowywaną należy przygotować do malowania przez usunięcie „kożucha” (zestalonej substancji błonotwórczej na powierzchni farby), dokładne wymieszanie (połączenie lżejszych i cięższych składników farby), rozcieńczenie zbyt zgęstniałej farby, ew. przecedzenie (usunięcie nierozmieszanych resztek osadu i innych zanieczyszczeń),</w:t>
      </w:r>
    </w:p>
    <w:p w14:paraId="05CC49A3"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malowanie można przeprowadzać pędzlami, wałkami malarskimi lub ew. metodą natryskową (pistoletami elektrycznymi, urządzeniami kompresorowymi itp.),</w:t>
      </w:r>
    </w:p>
    <w:p w14:paraId="09319E34"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z zasady malowanie należy wykonać dwuwarstwowo: farbą do gruntowania i farbą nawierzchniową, przy czym każdą następną warstwę można nałożyć po całkowitym wyschnięciu warstwy poprzedniej.</w:t>
      </w:r>
    </w:p>
    <w:p w14:paraId="4F8ED5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Malowanie powinno odpowiadać wymaganiom PN-H-97053 [25].</w:t>
      </w:r>
    </w:p>
    <w:p w14:paraId="35B0F4C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Rodzaj farby oraz liczbę jej warstw zastosowanych przy malowaniu określają SST lub Inżynier na wniosek Wykonawcy.</w:t>
      </w:r>
    </w:p>
    <w:p w14:paraId="60AB6B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Należy zwracać uwagę na dokładne pokrycie farbą miejsc stykania się słupka metalowego z betonem fundamentu, ze względu na najszybsze niszczenie się farby w tych miejscach i pojawianie się rdzawych zacieków sygnalizujących korozję słupka.</w:t>
      </w:r>
    </w:p>
    <w:p w14:paraId="2B52AA4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Zaleca się stosowanie farb możliwie jak najmniej szkodliwych dla zdrowia ludzi i środowiska, z niską zawartością m.in. niearomatycznych rozpuszczalników. Przy stosowaniu farb nieznanego pochodzenia Wykonawca przedstawi do akceptacji Inżyniera badania na zawartość szkodliwych składników (np. trującego toluenu jako rozpuszczalnika).</w:t>
      </w:r>
    </w:p>
    <w:p w14:paraId="1D5C333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Wykonawca nie dopuści do skażenia farbami wód powierzchniowych i gruntowych oraz kanalizacji. Zlewki poprodukcyjne, powstające przy myciu urządzeń i pędzli oraz z samej farby, należy usuwać do izolowanych zbiorników, w celu ich naturalnej lub sztucznej neutralizacji i detoksykacji.</w:t>
      </w:r>
    </w:p>
    <w:p w14:paraId="7525F7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5.12.2. </w:t>
      </w:r>
      <w:r w:rsidRPr="0084667E">
        <w:rPr>
          <w:rFonts w:ascii="Times New Roman" w:hAnsi="Times New Roman" w:cs="Times New Roman"/>
          <w:color w:val="000000" w:themeColor="text1"/>
        </w:rPr>
        <w:t>Naprawa ogrodzeń</w:t>
      </w:r>
    </w:p>
    <w:p w14:paraId="4C84D7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Naprawa ogrodzeń może polegać na wymianie elementów zniszczonych na nowe lub na doprowadzeniu starych elementów do stanu właściwego dla całościowych funkcji ogrodzenia.</w:t>
      </w:r>
    </w:p>
    <w:p w14:paraId="1F508CF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Zakres napraw ogrodzenia powinien być określony w dokumentacji projektowej, SST lub wytycznych Zamawiającego.</w:t>
      </w:r>
    </w:p>
    <w:p w14:paraId="703C748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elementy przewidziane do powtórnego wykorzystania powinny być demontowane bez powodowania zbędnych uszkodzeń.</w:t>
      </w:r>
    </w:p>
    <w:p w14:paraId="5A507ED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Naprawione fragmenty ogrodzenia nie powinny w zasadzie różnić się konstrukcją i wyglądem od pozostałych odcinków, chyba że naprawę wykonuje się jako tymczasową lub Zamawiający celowo wprowadza nowe materiały i rozwiązania konstrukcyjne.</w:t>
      </w:r>
    </w:p>
    <w:p w14:paraId="5D1E15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 xml:space="preserve">Zniszczenia lub wybrzuszenia siatki stalowej lub siatki z tworzywa sztucznego należy naprawić przez usunięcie uszkodzonego odcinka i wstawienie nowego, łącząc starą i nową siatkę z zasady spiralami wyplecionymi z siatki stalowej. Podobnie należy postąpić przy wymianie </w:t>
      </w:r>
      <w:r w:rsidRPr="0084667E">
        <w:rPr>
          <w:rFonts w:ascii="Times New Roman" w:hAnsi="Times New Roman" w:cs="Times New Roman"/>
          <w:color w:val="000000" w:themeColor="text1"/>
        </w:rPr>
        <w:lastRenderedPageBreak/>
        <w:t>zniszczonych pojedynczych spiral siatki, które należy zastąpić nowymi. Rozpinanie nowych odcinków siatki należy wykonać zgodnie z zaleceniami punktu 5.7.</w:t>
      </w:r>
    </w:p>
    <w:p w14:paraId="6623409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Uszkodzone lub wygięte słupki stalowe należy albo zastąpić nowymi słupkami, a przy mniejszych uszkodzeniach - wyprostować przez uderzanie młotkiem, stosując odpowiednie przykładki drewniane od strony wygięcia.</w:t>
      </w:r>
    </w:p>
    <w:p w14:paraId="717123F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Siatki w ramach, uszkodzone w niewielkim stopniu, można naprawić przez wymontowanie całego przęsła i dokonanie naprawy w warsztacie. Siatki w ramach, uszkodzone w znacznym stopniu, powinny być zastąpione nowymi przęsłami.</w:t>
      </w:r>
    </w:p>
    <w:p w14:paraId="1C7C948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Ubytki w betonowych lub żelbetowych słupkach, fundamentach i prefabrykatach należy uzupełnić zaprawą cementową po uprzednim oczyszczeniu zabrudzeń i okruszyn lub skuciu miejsc zastarzałych do uzyskania czystego betonu. Szczeliny powstałe np. wskutek nierównomiernego osiadania lub innych przyczyn, należy zalać rzadką zaprawą cementową po uprzednim, dokładnym usunięciu zanieczyszczeń. W przypadku zerwania zbrojenia, należy wzmocnić je prętami dodatkowymi, łącząc ze zbrojeniem starym po stworzeniu haków i okręceniu drutem miękkim oraz wypełnieniu strzemionami. Mieszankę betonową należy układać małymi porcjami i zagęszczać ją, a po stwardnieniu betonu połączenie starego i nowego betonu zatrzeć packą.</w:t>
      </w:r>
    </w:p>
    <w:p w14:paraId="725B50C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bezużyteczne (zniszczone) elementy ogrodzeń, o ile zgodnie z SST nie stają się własnością Wykonawcy, powinny być odwiezione na miejsce określone w SST lub wskazane przez Inżyniera. Elementy i materiały, które stają się własnością Wykonawcy, powinny być usunięte z terenu budowy.</w:t>
      </w:r>
    </w:p>
    <w:p w14:paraId="343658DA" w14:textId="77777777" w:rsidR="0084667E" w:rsidRPr="0084667E" w:rsidRDefault="0084667E" w:rsidP="0084667E">
      <w:pPr>
        <w:rPr>
          <w:rFonts w:ascii="Times New Roman" w:hAnsi="Times New Roman" w:cs="Times New Roman"/>
          <w:color w:val="000000" w:themeColor="text1"/>
        </w:rPr>
      </w:pPr>
    </w:p>
    <w:p w14:paraId="23FB8188" w14:textId="77777777" w:rsidR="0084667E" w:rsidRPr="0084667E" w:rsidRDefault="0084667E" w:rsidP="0084667E">
      <w:pPr>
        <w:rPr>
          <w:rFonts w:ascii="Times New Roman" w:hAnsi="Times New Roman" w:cs="Times New Roman"/>
          <w:b/>
          <w:color w:val="000000" w:themeColor="text1"/>
        </w:rPr>
      </w:pPr>
      <w:bookmarkStart w:id="871" w:name="_Toc421594984"/>
      <w:bookmarkStart w:id="872" w:name="_Toc507909784"/>
      <w:bookmarkStart w:id="873" w:name="_Toc507909891"/>
      <w:r w:rsidRPr="0084667E">
        <w:rPr>
          <w:rFonts w:ascii="Times New Roman" w:hAnsi="Times New Roman" w:cs="Times New Roman"/>
          <w:b/>
          <w:color w:val="000000" w:themeColor="text1"/>
        </w:rPr>
        <w:t>6. KONTROLA JAKOŚCI ROBÓT</w:t>
      </w:r>
      <w:bookmarkEnd w:id="871"/>
      <w:bookmarkEnd w:id="872"/>
      <w:bookmarkEnd w:id="873"/>
    </w:p>
    <w:p w14:paraId="02A50C30"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6.1. Ogólne zasady kontroli jakości robót</w:t>
      </w:r>
    </w:p>
    <w:p w14:paraId="10D12F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zasady kontroli jakości robót podano w ST D-00.00.00 „Wymagania ogólne” pkt 6.</w:t>
      </w:r>
    </w:p>
    <w:p w14:paraId="441380F2" w14:textId="77777777" w:rsidR="0084667E" w:rsidRPr="0084667E" w:rsidRDefault="0084667E" w:rsidP="0084667E">
      <w:pPr>
        <w:rPr>
          <w:rFonts w:ascii="Times New Roman" w:hAnsi="Times New Roman" w:cs="Times New Roman"/>
          <w:color w:val="000000" w:themeColor="text1"/>
        </w:rPr>
      </w:pPr>
    </w:p>
    <w:p w14:paraId="3B469330"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6.2. Badania przed przystąpieniem do robót</w:t>
      </w:r>
    </w:p>
    <w:p w14:paraId="1D89790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Przed przystąpieniem do robót Wykonawca powinien uzyskać od producentów zaświadczenie o jakości (atesty) oraz wykonać badania materiałów przeznaczonych do wykonania robót i przedstawić ich wyniki Inżynierowi w celu akceptacji materiałów, zgodnie z wymaganiami określonymi w punkcie 2.3.</w:t>
      </w:r>
    </w:p>
    <w:p w14:paraId="3DF493D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Do materiałów, których producenci są zobowiązani (przez właściwe normy PN i BN) dostarczyć zaświadczenie o jakości (atesty) należą:</w:t>
      </w:r>
    </w:p>
    <w:p w14:paraId="6AD7EBC7"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siatki ogrodzeniowe,</w:t>
      </w:r>
    </w:p>
    <w:p w14:paraId="787D213C"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liny stalowe,</w:t>
      </w:r>
    </w:p>
    <w:p w14:paraId="7370E305"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rury i kształtowniki na słupki,</w:t>
      </w:r>
    </w:p>
    <w:p w14:paraId="4CC22A21"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drut spawalniczy,</w:t>
      </w:r>
    </w:p>
    <w:p w14:paraId="4FD722CE"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pręty zbrojeniowe,</w:t>
      </w:r>
    </w:p>
    <w:p w14:paraId="0B5F2B7B"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prefabrykowane elementy ogrodzeń żelbetowych.</w:t>
      </w:r>
    </w:p>
    <w:p w14:paraId="5D13BD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ab/>
        <w:t>Do materiałów, których badania powinien przeprowadzić Wykonawca należą materiały do wykonania fundamentów betonowych „na mokro”. Uwzględniając nieskomplikowany charakter robót fundamentowych, na wniosek Wykonawcy, Inżynier może zwolnić go z potrzeby wykonania badań materiałów dla tych robót.</w:t>
      </w:r>
    </w:p>
    <w:p w14:paraId="5961D984" w14:textId="77777777" w:rsidR="0084667E" w:rsidRPr="0084667E" w:rsidRDefault="0084667E" w:rsidP="0084667E">
      <w:pPr>
        <w:rPr>
          <w:rFonts w:ascii="Times New Roman" w:hAnsi="Times New Roman" w:cs="Times New Roman"/>
          <w:color w:val="000000" w:themeColor="text1"/>
        </w:rPr>
      </w:pPr>
    </w:p>
    <w:p w14:paraId="19E27419"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6.3. Badania w czasie wykonywania robót</w:t>
      </w:r>
    </w:p>
    <w:p w14:paraId="1F8CA01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6.3.1. </w:t>
      </w:r>
      <w:r w:rsidRPr="0084667E">
        <w:rPr>
          <w:rFonts w:ascii="Times New Roman" w:hAnsi="Times New Roman" w:cs="Times New Roman"/>
          <w:color w:val="000000" w:themeColor="text1"/>
        </w:rPr>
        <w:t>Badania materiałów w czasie wykonywania robót</w:t>
      </w:r>
    </w:p>
    <w:p w14:paraId="70E5CD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materiały dostarczone na budowę z zaświadczeniem o jakości (atestem) producenta powinny być sprawdzone w zakresie powierzchni wyrobu i jego wymiarów.</w:t>
      </w:r>
    </w:p>
    <w:p w14:paraId="3AFDDE4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Częstotliwość badań i ocena ich wyników powinna być zgodna z zaleceniami tablicy 17.</w:t>
      </w:r>
    </w:p>
    <w:p w14:paraId="3844AE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Tablica 17. Częstotliwość badań przy sprawdzeniu powierzchni i wymiarów wyrobów dostarczonych przez producenta</w:t>
      </w:r>
    </w:p>
    <w:tbl>
      <w:tblPr>
        <w:tblW w:w="0" w:type="auto"/>
        <w:tblCellMar>
          <w:left w:w="70" w:type="dxa"/>
          <w:right w:w="70" w:type="dxa"/>
        </w:tblCellMar>
        <w:tblLook w:val="04A0" w:firstRow="1" w:lastRow="0" w:firstColumn="1" w:lastColumn="0" w:noHBand="0" w:noVBand="1"/>
      </w:tblPr>
      <w:tblGrid>
        <w:gridCol w:w="496"/>
        <w:gridCol w:w="1417"/>
        <w:gridCol w:w="1559"/>
        <w:gridCol w:w="2410"/>
        <w:gridCol w:w="1630"/>
      </w:tblGrid>
      <w:tr w:rsidR="0084667E" w:rsidRPr="0084667E" w14:paraId="139830E1" w14:textId="77777777" w:rsidTr="0084667E">
        <w:tc>
          <w:tcPr>
            <w:tcW w:w="496" w:type="dxa"/>
            <w:tcBorders>
              <w:top w:val="single" w:sz="6" w:space="0" w:color="auto"/>
              <w:left w:val="single" w:sz="6" w:space="0" w:color="auto"/>
              <w:bottom w:val="double" w:sz="6" w:space="0" w:color="auto"/>
              <w:right w:val="single" w:sz="6" w:space="0" w:color="auto"/>
            </w:tcBorders>
            <w:noWrap/>
            <w:hideMark/>
          </w:tcPr>
          <w:p w14:paraId="3DD99A4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Lp.</w:t>
            </w:r>
          </w:p>
        </w:tc>
        <w:tc>
          <w:tcPr>
            <w:tcW w:w="1417" w:type="dxa"/>
            <w:tcBorders>
              <w:top w:val="single" w:sz="6" w:space="0" w:color="auto"/>
              <w:left w:val="single" w:sz="6" w:space="0" w:color="auto"/>
              <w:bottom w:val="nil"/>
              <w:right w:val="single" w:sz="6" w:space="0" w:color="auto"/>
            </w:tcBorders>
            <w:noWrap/>
            <w:hideMark/>
          </w:tcPr>
          <w:p w14:paraId="60018C8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Rodzaj badania</w:t>
            </w:r>
          </w:p>
        </w:tc>
        <w:tc>
          <w:tcPr>
            <w:tcW w:w="1559" w:type="dxa"/>
            <w:tcBorders>
              <w:top w:val="single" w:sz="6" w:space="0" w:color="auto"/>
              <w:left w:val="single" w:sz="6" w:space="0" w:color="auto"/>
              <w:bottom w:val="nil"/>
              <w:right w:val="single" w:sz="6" w:space="0" w:color="auto"/>
            </w:tcBorders>
            <w:noWrap/>
            <w:hideMark/>
          </w:tcPr>
          <w:p w14:paraId="36783FD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Liczba badań</w:t>
            </w:r>
          </w:p>
        </w:tc>
        <w:tc>
          <w:tcPr>
            <w:tcW w:w="2410" w:type="dxa"/>
            <w:tcBorders>
              <w:top w:val="single" w:sz="6" w:space="0" w:color="auto"/>
              <w:left w:val="single" w:sz="6" w:space="0" w:color="auto"/>
              <w:bottom w:val="double" w:sz="6" w:space="0" w:color="auto"/>
              <w:right w:val="single" w:sz="6" w:space="0" w:color="auto"/>
            </w:tcBorders>
            <w:noWrap/>
            <w:hideMark/>
          </w:tcPr>
          <w:p w14:paraId="3E35715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Opis badań</w:t>
            </w:r>
          </w:p>
        </w:tc>
        <w:tc>
          <w:tcPr>
            <w:tcW w:w="1630" w:type="dxa"/>
            <w:tcBorders>
              <w:top w:val="single" w:sz="6" w:space="0" w:color="auto"/>
              <w:left w:val="single" w:sz="6" w:space="0" w:color="auto"/>
              <w:bottom w:val="nil"/>
              <w:right w:val="single" w:sz="6" w:space="0" w:color="auto"/>
            </w:tcBorders>
            <w:noWrap/>
            <w:hideMark/>
          </w:tcPr>
          <w:p w14:paraId="234B1CA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Ocena wyników badań</w:t>
            </w:r>
          </w:p>
        </w:tc>
      </w:tr>
      <w:tr w:rsidR="0084667E" w:rsidRPr="0084667E" w14:paraId="44BC6C3E" w14:textId="77777777" w:rsidTr="0084667E">
        <w:tc>
          <w:tcPr>
            <w:tcW w:w="496" w:type="dxa"/>
            <w:tcBorders>
              <w:top w:val="nil"/>
              <w:left w:val="single" w:sz="6" w:space="0" w:color="auto"/>
              <w:bottom w:val="nil"/>
              <w:right w:val="nil"/>
            </w:tcBorders>
            <w:noWrap/>
            <w:hideMark/>
          </w:tcPr>
          <w:p w14:paraId="5097F04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w:t>
            </w:r>
          </w:p>
        </w:tc>
        <w:tc>
          <w:tcPr>
            <w:tcW w:w="1417" w:type="dxa"/>
            <w:tcBorders>
              <w:top w:val="double" w:sz="6" w:space="0" w:color="auto"/>
              <w:left w:val="single" w:sz="6" w:space="0" w:color="auto"/>
              <w:bottom w:val="single" w:sz="6" w:space="0" w:color="auto"/>
              <w:right w:val="nil"/>
            </w:tcBorders>
            <w:noWrap/>
            <w:hideMark/>
          </w:tcPr>
          <w:p w14:paraId="6FE95A4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Sprawdzenie powierzchni</w:t>
            </w:r>
          </w:p>
        </w:tc>
        <w:tc>
          <w:tcPr>
            <w:tcW w:w="1559" w:type="dxa"/>
            <w:vMerge w:val="restart"/>
            <w:tcBorders>
              <w:top w:val="double" w:sz="6" w:space="0" w:color="auto"/>
              <w:left w:val="single" w:sz="6" w:space="0" w:color="auto"/>
              <w:bottom w:val="single" w:sz="6" w:space="0" w:color="auto"/>
              <w:right w:val="single" w:sz="4" w:space="0" w:color="auto"/>
            </w:tcBorders>
            <w:noWrap/>
            <w:hideMark/>
          </w:tcPr>
          <w:p w14:paraId="663A815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od 5 do 10 badań z wybranych losowo elementów w każdej dostarczanej partii wyrobów liczącej do 1000 elementów</w:t>
            </w:r>
          </w:p>
        </w:tc>
        <w:tc>
          <w:tcPr>
            <w:tcW w:w="2410" w:type="dxa"/>
            <w:tcBorders>
              <w:top w:val="double" w:sz="6" w:space="0" w:color="auto"/>
              <w:left w:val="single" w:sz="4" w:space="0" w:color="auto"/>
              <w:bottom w:val="single" w:sz="4" w:space="0" w:color="auto"/>
              <w:right w:val="single" w:sz="4" w:space="0" w:color="auto"/>
            </w:tcBorders>
            <w:noWrap/>
            <w:hideMark/>
          </w:tcPr>
          <w:p w14:paraId="6D8084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Powierzchnię zbadać nie uzbrojonym okiem. Do ew. sprawdzenia głębokości</w:t>
            </w:r>
          </w:p>
          <w:p w14:paraId="76738E0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wad użyć dostępnych narzędzi (np. liniałów z czujnikiem, suwmiarek, mikrometrów, itp.)</w:t>
            </w:r>
          </w:p>
        </w:tc>
        <w:tc>
          <w:tcPr>
            <w:tcW w:w="1630" w:type="dxa"/>
            <w:vMerge w:val="restart"/>
            <w:tcBorders>
              <w:top w:val="double" w:sz="6" w:space="0" w:color="auto"/>
              <w:left w:val="single" w:sz="4" w:space="0" w:color="auto"/>
              <w:bottom w:val="single" w:sz="6" w:space="0" w:color="auto"/>
              <w:right w:val="single" w:sz="6" w:space="0" w:color="auto"/>
            </w:tcBorders>
            <w:noWrap/>
            <w:hideMark/>
          </w:tcPr>
          <w:p w14:paraId="4A1C8F9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Wyniki powinny być zgodne z wymaganiami punktu 2.3.</w:t>
            </w:r>
          </w:p>
        </w:tc>
      </w:tr>
      <w:tr w:rsidR="0084667E" w:rsidRPr="0084667E" w14:paraId="266A4BEA" w14:textId="77777777" w:rsidTr="0084667E">
        <w:tc>
          <w:tcPr>
            <w:tcW w:w="496" w:type="dxa"/>
            <w:tcBorders>
              <w:top w:val="single" w:sz="6" w:space="0" w:color="auto"/>
              <w:left w:val="single" w:sz="6" w:space="0" w:color="auto"/>
              <w:bottom w:val="single" w:sz="6" w:space="0" w:color="auto"/>
              <w:right w:val="single" w:sz="6" w:space="0" w:color="auto"/>
            </w:tcBorders>
            <w:noWrap/>
            <w:hideMark/>
          </w:tcPr>
          <w:p w14:paraId="0B9153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w:t>
            </w:r>
          </w:p>
        </w:tc>
        <w:tc>
          <w:tcPr>
            <w:tcW w:w="1417" w:type="dxa"/>
            <w:tcBorders>
              <w:top w:val="nil"/>
              <w:left w:val="nil"/>
              <w:bottom w:val="single" w:sz="6" w:space="0" w:color="auto"/>
              <w:right w:val="nil"/>
            </w:tcBorders>
            <w:noWrap/>
            <w:hideMark/>
          </w:tcPr>
          <w:p w14:paraId="6144D7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Sprawdzenie wymiarów</w:t>
            </w:r>
          </w:p>
        </w:tc>
        <w:tc>
          <w:tcPr>
            <w:tcW w:w="0" w:type="auto"/>
            <w:vMerge/>
            <w:tcBorders>
              <w:top w:val="double" w:sz="6" w:space="0" w:color="auto"/>
              <w:left w:val="single" w:sz="6" w:space="0" w:color="auto"/>
              <w:bottom w:val="single" w:sz="6" w:space="0" w:color="auto"/>
              <w:right w:val="single" w:sz="4" w:space="0" w:color="auto"/>
            </w:tcBorders>
            <w:vAlign w:val="center"/>
            <w:hideMark/>
          </w:tcPr>
          <w:p w14:paraId="2904F75F" w14:textId="77777777" w:rsidR="0084667E" w:rsidRPr="0084667E" w:rsidRDefault="0084667E" w:rsidP="0084667E">
            <w:pPr>
              <w:rPr>
                <w:rFonts w:ascii="Times New Roman" w:hAnsi="Times New Roman" w:cs="Times New Roman"/>
                <w:color w:val="000000" w:themeColor="text1"/>
              </w:rPr>
            </w:pPr>
          </w:p>
        </w:tc>
        <w:tc>
          <w:tcPr>
            <w:tcW w:w="2410" w:type="dxa"/>
            <w:tcBorders>
              <w:top w:val="single" w:sz="4" w:space="0" w:color="auto"/>
              <w:left w:val="single" w:sz="4" w:space="0" w:color="auto"/>
              <w:bottom w:val="single" w:sz="4" w:space="0" w:color="auto"/>
              <w:right w:val="single" w:sz="4" w:space="0" w:color="auto"/>
            </w:tcBorders>
            <w:noWrap/>
            <w:hideMark/>
          </w:tcPr>
          <w:p w14:paraId="3E92D32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Przeprowadzić uniwersalnymi przyrządami pomiarowymi lub sprawdzianami</w:t>
            </w:r>
          </w:p>
        </w:tc>
        <w:tc>
          <w:tcPr>
            <w:tcW w:w="0" w:type="auto"/>
            <w:vMerge/>
            <w:tcBorders>
              <w:top w:val="double" w:sz="6" w:space="0" w:color="auto"/>
              <w:left w:val="single" w:sz="4" w:space="0" w:color="auto"/>
              <w:bottom w:val="single" w:sz="6" w:space="0" w:color="auto"/>
              <w:right w:val="single" w:sz="6" w:space="0" w:color="auto"/>
            </w:tcBorders>
            <w:vAlign w:val="center"/>
            <w:hideMark/>
          </w:tcPr>
          <w:p w14:paraId="21BB3844" w14:textId="77777777" w:rsidR="0084667E" w:rsidRPr="0084667E" w:rsidRDefault="0084667E" w:rsidP="0084667E">
            <w:pPr>
              <w:rPr>
                <w:rFonts w:ascii="Times New Roman" w:hAnsi="Times New Roman" w:cs="Times New Roman"/>
                <w:color w:val="000000" w:themeColor="text1"/>
              </w:rPr>
            </w:pPr>
          </w:p>
        </w:tc>
      </w:tr>
    </w:tbl>
    <w:p w14:paraId="56EF2739" w14:textId="77777777" w:rsidR="0084667E" w:rsidRPr="0084667E" w:rsidRDefault="0084667E" w:rsidP="0084667E">
      <w:pPr>
        <w:rPr>
          <w:rFonts w:ascii="Times New Roman" w:hAnsi="Times New Roman" w:cs="Times New Roman"/>
          <w:color w:val="000000" w:themeColor="text1"/>
        </w:rPr>
      </w:pPr>
    </w:p>
    <w:p w14:paraId="2FC0A00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 przypadkach budzących wątpliwości można zlecić uprawnionej jednostce zbadanie właściwości dostarczonych wyrobów i materiałów w zakresie wymagań podanych w punkcie 2.3.</w:t>
      </w:r>
    </w:p>
    <w:p w14:paraId="0BC823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6.3.2. </w:t>
      </w:r>
      <w:r w:rsidRPr="0084667E">
        <w:rPr>
          <w:rFonts w:ascii="Times New Roman" w:hAnsi="Times New Roman" w:cs="Times New Roman"/>
          <w:color w:val="000000" w:themeColor="text1"/>
        </w:rPr>
        <w:t>Kontrola w czasie wykonywania ogrodzenia</w:t>
      </w:r>
    </w:p>
    <w:p w14:paraId="17F69DB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 czasie wykonywania ogrodzenia należy zbadać:</w:t>
      </w:r>
    </w:p>
    <w:p w14:paraId="6B0E55F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zgodność wykonania ogrodzenia z dokumentacją projektową (lokalizacja, wymiary),</w:t>
      </w:r>
    </w:p>
    <w:p w14:paraId="2003E92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zachowanie dopuszczalnych odchyłek wymiarów, zgodnie z punktem 2.3,</w:t>
      </w:r>
    </w:p>
    <w:p w14:paraId="5115291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prawidłowość wykonania dołów pod słupki, zgodnie z punktem 5.3,</w:t>
      </w:r>
    </w:p>
    <w:p w14:paraId="33D6CEC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 poprawność wykonania fundamentów pod słupki, zgodnie z punktem 5.4,</w:t>
      </w:r>
    </w:p>
    <w:p w14:paraId="52C72CD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e) poprawność ustawienia słupków, zgodnie z punktem 5.5 i 5.6,</w:t>
      </w:r>
    </w:p>
    <w:p w14:paraId="3E10F7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f) prawidłowość wykonania siatki ogrodzeniowej, zgodnie z punktem 5.7 lub 5.8, względnie wykonania ogrodzenia z prefabrykatów żelbetowych, zgodnie z punktem 5.10,</w:t>
      </w:r>
    </w:p>
    <w:p w14:paraId="2BE81B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g) poprawność wykonania bram i furtek, zgodnie z punktem 5.11.</w:t>
      </w:r>
    </w:p>
    <w:p w14:paraId="0286CF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 przypadku wykonania spawanych złącz elementów ogrodzenia:</w:t>
      </w:r>
    </w:p>
    <w:p w14:paraId="08D3D88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przed oględzinami, spoinę i przylegające do niej elementy łączone (od 10 do 20 mm z każdej strony) należy dokładnie oczyścić z żużla, zgorzeliny, odprysków, rdzy, farb i innych zanieczyszczeń utrudniających prowadzenie obserwacji i pomiarów,</w:t>
      </w:r>
    </w:p>
    <w:p w14:paraId="4226FAF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oględziny złączy należy przeprowadzić wizualnie z ewentualnym użyciem lupy o powiększeniu od 2 do 4 razy; do pomiarów spoin powinny być stosowane wzorniki, przymiary oraz uniwersalne spoinomierze,</w:t>
      </w:r>
    </w:p>
    <w:p w14:paraId="6C7644C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 w przypadkach wątpliwych można zlecić uprawnionej jednostce zbadanie wytrzymałości zmęczeniowej spoin, zgodnie z PN-M-06515 [26],</w:t>
      </w:r>
    </w:p>
    <w:p w14:paraId="1039C1F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 złącza o wadach większych niż dopuszczalne powinny być naprawione powtórnym spawaniem.</w:t>
      </w:r>
    </w:p>
    <w:p w14:paraId="12D3E134" w14:textId="77777777" w:rsidR="0084667E" w:rsidRPr="0084667E" w:rsidRDefault="0084667E" w:rsidP="0084667E">
      <w:pPr>
        <w:rPr>
          <w:rFonts w:ascii="Times New Roman" w:hAnsi="Times New Roman" w:cs="Times New Roman"/>
          <w:color w:val="000000" w:themeColor="text1"/>
        </w:rPr>
      </w:pPr>
    </w:p>
    <w:p w14:paraId="657336A5"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6.4. Zasady postępowania z wadliwie wykonanymi elementami robót</w:t>
      </w:r>
    </w:p>
    <w:p w14:paraId="10043E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materiały nie spełniające wymagań ustalonych w odpowiednich punktach ST zostaną przez Inżyniera odrzucone.</w:t>
      </w:r>
    </w:p>
    <w:p w14:paraId="0DF0809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Wszystkie elementy lub odcinki ogrodzenia, które wykazują odstępstwa od postanowień ST zostaną rozebrane i ponownie wykonane na koszt Wykonawcy.</w:t>
      </w:r>
    </w:p>
    <w:p w14:paraId="5E8117A9" w14:textId="77777777" w:rsidR="0084667E" w:rsidRPr="0084667E" w:rsidRDefault="0084667E" w:rsidP="0084667E">
      <w:pPr>
        <w:rPr>
          <w:rFonts w:ascii="Times New Roman" w:hAnsi="Times New Roman" w:cs="Times New Roman"/>
          <w:color w:val="000000" w:themeColor="text1"/>
        </w:rPr>
      </w:pPr>
    </w:p>
    <w:p w14:paraId="19759832" w14:textId="77777777" w:rsidR="0084667E" w:rsidRPr="00DF0205" w:rsidRDefault="0084667E" w:rsidP="0084667E">
      <w:pPr>
        <w:rPr>
          <w:rFonts w:ascii="Times New Roman" w:hAnsi="Times New Roman" w:cs="Times New Roman"/>
          <w:b/>
          <w:smallCaps/>
          <w:color w:val="000000" w:themeColor="text1"/>
        </w:rPr>
      </w:pPr>
      <w:r w:rsidRPr="00DF0205">
        <w:rPr>
          <w:rFonts w:ascii="Times New Roman" w:hAnsi="Times New Roman" w:cs="Times New Roman"/>
          <w:b/>
          <w:smallCaps/>
          <w:color w:val="000000" w:themeColor="text1"/>
        </w:rPr>
        <w:t>7. obmiar robót</w:t>
      </w:r>
    </w:p>
    <w:p w14:paraId="4F5C7BEC"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7.1. Ogólne zasady obmiaru robót</w:t>
      </w:r>
    </w:p>
    <w:p w14:paraId="2A0AEAB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zasady obmiaru robót podano w ST D-00.00.00 „Wymagania ogólne” pkt 7.</w:t>
      </w:r>
    </w:p>
    <w:p w14:paraId="7FDA7FF5" w14:textId="77777777" w:rsidR="0084667E" w:rsidRPr="0084667E" w:rsidRDefault="0084667E" w:rsidP="0084667E">
      <w:pPr>
        <w:rPr>
          <w:rFonts w:ascii="Times New Roman" w:hAnsi="Times New Roman" w:cs="Times New Roman"/>
          <w:color w:val="000000" w:themeColor="text1"/>
        </w:rPr>
      </w:pPr>
    </w:p>
    <w:p w14:paraId="7C6BDD4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7.2. Jednostka obmiarowa</w:t>
      </w:r>
    </w:p>
    <w:p w14:paraId="5114CF9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Jednostką obmiarową ogrodzenia jest m (metr).</w:t>
      </w:r>
    </w:p>
    <w:p w14:paraId="266DF7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Obmiar polega na określeniu rzeczywistej długości ogrodzenia, łącznie z bramami i furtkami.</w:t>
      </w:r>
    </w:p>
    <w:p w14:paraId="63AC9ED1" w14:textId="77777777" w:rsidR="0084667E" w:rsidRPr="0084667E" w:rsidRDefault="0084667E" w:rsidP="0084667E">
      <w:pPr>
        <w:rPr>
          <w:rFonts w:ascii="Times New Roman" w:hAnsi="Times New Roman" w:cs="Times New Roman"/>
          <w:color w:val="000000" w:themeColor="text1"/>
        </w:rPr>
      </w:pPr>
    </w:p>
    <w:p w14:paraId="7055AEFC" w14:textId="77777777" w:rsidR="0084667E" w:rsidRPr="00DF0205" w:rsidRDefault="0084667E" w:rsidP="0084667E">
      <w:pPr>
        <w:rPr>
          <w:rFonts w:ascii="Times New Roman" w:hAnsi="Times New Roman" w:cs="Times New Roman"/>
          <w:b/>
          <w:smallCaps/>
          <w:color w:val="000000" w:themeColor="text1"/>
        </w:rPr>
      </w:pPr>
      <w:r w:rsidRPr="00DF0205">
        <w:rPr>
          <w:rFonts w:ascii="Times New Roman" w:hAnsi="Times New Roman" w:cs="Times New Roman"/>
          <w:b/>
          <w:smallCaps/>
          <w:color w:val="000000" w:themeColor="text1"/>
        </w:rPr>
        <w:t>8. odbiór robót</w:t>
      </w:r>
    </w:p>
    <w:p w14:paraId="2226EB7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zasady odbioru robót podano w ST D-00.00.00 „Wymagania ogólne” pkt 8.</w:t>
      </w:r>
    </w:p>
    <w:p w14:paraId="4A23051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Roboty uznaje się za wykonane zgodnie z dokumentacją projektową, SST i wymaganiami Inżyniera, jeżeli wszystkie pomiary i badania z zachowaniem tolerancji według pkt 6 dały wyniki pozytywne.</w:t>
      </w:r>
    </w:p>
    <w:p w14:paraId="3C886382" w14:textId="77777777" w:rsidR="0084667E" w:rsidRPr="0084667E" w:rsidRDefault="0084667E" w:rsidP="0084667E">
      <w:pPr>
        <w:rPr>
          <w:rFonts w:ascii="Times New Roman" w:hAnsi="Times New Roman" w:cs="Times New Roman"/>
          <w:color w:val="000000" w:themeColor="text1"/>
        </w:rPr>
      </w:pPr>
    </w:p>
    <w:p w14:paraId="575E459F" w14:textId="77777777" w:rsidR="0084667E" w:rsidRPr="00DF0205" w:rsidRDefault="0084667E" w:rsidP="0084667E">
      <w:pPr>
        <w:rPr>
          <w:rFonts w:ascii="Times New Roman" w:hAnsi="Times New Roman" w:cs="Times New Roman"/>
          <w:b/>
          <w:smallCaps/>
          <w:color w:val="000000" w:themeColor="text1"/>
        </w:rPr>
      </w:pPr>
      <w:r w:rsidRPr="00DF0205">
        <w:rPr>
          <w:rFonts w:ascii="Times New Roman" w:hAnsi="Times New Roman" w:cs="Times New Roman"/>
          <w:b/>
          <w:smallCaps/>
          <w:color w:val="000000" w:themeColor="text1"/>
        </w:rPr>
        <w:t>9. podstawa płatności</w:t>
      </w:r>
    </w:p>
    <w:p w14:paraId="56A1C4F8"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9.1. Ogólne ustalenia dotyczące podstawy płatności</w:t>
      </w:r>
    </w:p>
    <w:p w14:paraId="170E40A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Ogólne ustalenia dotyczące podstawy płatności podano w ST D-00.00.00 „Wymagania ogólne” pkt 9.</w:t>
      </w:r>
    </w:p>
    <w:p w14:paraId="18D20E7F" w14:textId="77777777" w:rsidR="0084667E" w:rsidRPr="0084667E" w:rsidRDefault="0084667E" w:rsidP="0084667E">
      <w:pPr>
        <w:rPr>
          <w:rFonts w:ascii="Times New Roman" w:hAnsi="Times New Roman" w:cs="Times New Roman"/>
          <w:color w:val="000000" w:themeColor="text1"/>
        </w:rPr>
      </w:pPr>
    </w:p>
    <w:p w14:paraId="4D82E5D8"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9.2. Cena jednostki obmiarowej</w:t>
      </w:r>
    </w:p>
    <w:p w14:paraId="31B862C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Cena 1 m ogrodzenia obejmuje:</w:t>
      </w:r>
    </w:p>
    <w:p w14:paraId="09B2B8A0"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prace pomiarowe i roboty przygotowawcze,</w:t>
      </w:r>
    </w:p>
    <w:p w14:paraId="2861926A"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dostarczenie na miejsce wbudowania elementów konstrukcji ogrodzenia oraz materiałów pomocniczych,</w:t>
      </w:r>
    </w:p>
    <w:p w14:paraId="423AC081"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ustawienie ogrodzenia w sposób zapewniający stabilność,</w:t>
      </w:r>
    </w:p>
    <w:p w14:paraId="62F7E017"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uporządkowanie terenu,</w:t>
      </w:r>
    </w:p>
    <w:p w14:paraId="5A5CBA48" w14:textId="77777777" w:rsidR="0084667E" w:rsidRPr="0084667E" w:rsidRDefault="0084667E" w:rsidP="0084667E">
      <w:pPr>
        <w:numPr>
          <w:ilvl w:val="0"/>
          <w:numId w:val="23"/>
        </w:numPr>
        <w:rPr>
          <w:rFonts w:ascii="Times New Roman" w:hAnsi="Times New Roman" w:cs="Times New Roman"/>
          <w:color w:val="000000" w:themeColor="text1"/>
        </w:rPr>
      </w:pPr>
      <w:r w:rsidRPr="0084667E">
        <w:rPr>
          <w:rFonts w:ascii="Times New Roman" w:hAnsi="Times New Roman" w:cs="Times New Roman"/>
          <w:color w:val="000000" w:themeColor="text1"/>
        </w:rPr>
        <w:t>- przeprowadzenie badań i pomiarów kontrolnych.</w:t>
      </w:r>
    </w:p>
    <w:p w14:paraId="32633386" w14:textId="77777777" w:rsidR="0084667E" w:rsidRPr="0084667E" w:rsidRDefault="0084667E" w:rsidP="0084667E">
      <w:pPr>
        <w:rPr>
          <w:rFonts w:ascii="Times New Roman" w:hAnsi="Times New Roman" w:cs="Times New Roman"/>
          <w:color w:val="000000" w:themeColor="text1"/>
        </w:rPr>
      </w:pPr>
    </w:p>
    <w:p w14:paraId="22BC6D94" w14:textId="77777777" w:rsidR="0084667E" w:rsidRPr="00DF0205" w:rsidRDefault="0084667E" w:rsidP="0084667E">
      <w:pPr>
        <w:rPr>
          <w:rFonts w:ascii="Times New Roman" w:hAnsi="Times New Roman" w:cs="Times New Roman"/>
          <w:b/>
          <w:smallCaps/>
          <w:color w:val="000000" w:themeColor="text1"/>
        </w:rPr>
      </w:pPr>
      <w:bookmarkStart w:id="874" w:name="_Toc421594988"/>
      <w:bookmarkStart w:id="875" w:name="_Toc507909788"/>
      <w:bookmarkStart w:id="876" w:name="_Toc507909895"/>
      <w:r w:rsidRPr="00DF0205">
        <w:rPr>
          <w:rFonts w:ascii="Times New Roman" w:hAnsi="Times New Roman" w:cs="Times New Roman"/>
          <w:b/>
          <w:smallCaps/>
          <w:color w:val="000000" w:themeColor="text1"/>
        </w:rPr>
        <w:t>10. przepisy związane</w:t>
      </w:r>
      <w:bookmarkEnd w:id="874"/>
      <w:bookmarkEnd w:id="875"/>
      <w:bookmarkEnd w:id="876"/>
    </w:p>
    <w:p w14:paraId="31C48EB3"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Normy</w:t>
      </w:r>
    </w:p>
    <w:tbl>
      <w:tblPr>
        <w:tblW w:w="0" w:type="auto"/>
        <w:tblCellMar>
          <w:left w:w="70" w:type="dxa"/>
          <w:right w:w="70" w:type="dxa"/>
        </w:tblCellMar>
        <w:tblLook w:val="04A0" w:firstRow="1" w:lastRow="0" w:firstColumn="1" w:lastColumn="0" w:noHBand="0" w:noVBand="1"/>
      </w:tblPr>
      <w:tblGrid>
        <w:gridCol w:w="496"/>
        <w:gridCol w:w="1984"/>
        <w:gridCol w:w="6159"/>
      </w:tblGrid>
      <w:tr w:rsidR="0084667E" w:rsidRPr="0084667E" w14:paraId="1730B921" w14:textId="77777777" w:rsidTr="0084667E">
        <w:tc>
          <w:tcPr>
            <w:tcW w:w="496" w:type="dxa"/>
            <w:hideMark/>
          </w:tcPr>
          <w:p w14:paraId="5CA32AE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w:t>
            </w:r>
          </w:p>
        </w:tc>
        <w:tc>
          <w:tcPr>
            <w:tcW w:w="1984" w:type="dxa"/>
            <w:hideMark/>
          </w:tcPr>
          <w:p w14:paraId="7AB139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PN-B-03264</w:t>
            </w:r>
          </w:p>
        </w:tc>
        <w:tc>
          <w:tcPr>
            <w:tcW w:w="6159" w:type="dxa"/>
            <w:hideMark/>
          </w:tcPr>
          <w:p w14:paraId="7BFF962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Konstrukcje betonowe żelbetowe i sprężone. Obliczenia statyczne i projektowanie</w:t>
            </w:r>
          </w:p>
        </w:tc>
      </w:tr>
      <w:tr w:rsidR="0084667E" w:rsidRPr="0084667E" w14:paraId="084C2BCD" w14:textId="77777777" w:rsidTr="0084667E">
        <w:tc>
          <w:tcPr>
            <w:tcW w:w="496" w:type="dxa"/>
            <w:hideMark/>
          </w:tcPr>
          <w:p w14:paraId="433AE1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w:t>
            </w:r>
          </w:p>
        </w:tc>
        <w:tc>
          <w:tcPr>
            <w:tcW w:w="1984" w:type="dxa"/>
            <w:hideMark/>
          </w:tcPr>
          <w:p w14:paraId="44F58C3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PN-B-06250</w:t>
            </w:r>
          </w:p>
        </w:tc>
        <w:tc>
          <w:tcPr>
            <w:tcW w:w="6159" w:type="dxa"/>
            <w:hideMark/>
          </w:tcPr>
          <w:p w14:paraId="1B11789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Beton zwykły</w:t>
            </w:r>
          </w:p>
        </w:tc>
      </w:tr>
      <w:tr w:rsidR="0084667E" w:rsidRPr="0084667E" w14:paraId="0DAF04A3" w14:textId="77777777" w:rsidTr="0084667E">
        <w:tc>
          <w:tcPr>
            <w:tcW w:w="496" w:type="dxa"/>
            <w:hideMark/>
          </w:tcPr>
          <w:p w14:paraId="6D38FD0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w:t>
            </w:r>
          </w:p>
        </w:tc>
        <w:tc>
          <w:tcPr>
            <w:tcW w:w="1984" w:type="dxa"/>
            <w:hideMark/>
          </w:tcPr>
          <w:p w14:paraId="3E4F360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PN-B-06251</w:t>
            </w:r>
          </w:p>
        </w:tc>
        <w:tc>
          <w:tcPr>
            <w:tcW w:w="6159" w:type="dxa"/>
            <w:hideMark/>
          </w:tcPr>
          <w:p w14:paraId="7FD79D0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Roboty betonowe i żelbetowe. Wymagania techniczne</w:t>
            </w:r>
          </w:p>
        </w:tc>
      </w:tr>
      <w:tr w:rsidR="0084667E" w:rsidRPr="0084667E" w14:paraId="4BB40D0C" w14:textId="77777777" w:rsidTr="0084667E">
        <w:tc>
          <w:tcPr>
            <w:tcW w:w="496" w:type="dxa"/>
            <w:hideMark/>
          </w:tcPr>
          <w:p w14:paraId="0E51899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w:t>
            </w:r>
          </w:p>
        </w:tc>
        <w:tc>
          <w:tcPr>
            <w:tcW w:w="1984" w:type="dxa"/>
            <w:hideMark/>
          </w:tcPr>
          <w:p w14:paraId="6918AF1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PN-B-06712</w:t>
            </w:r>
          </w:p>
        </w:tc>
        <w:tc>
          <w:tcPr>
            <w:tcW w:w="6159" w:type="dxa"/>
            <w:hideMark/>
          </w:tcPr>
          <w:p w14:paraId="7302C10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Kruszywa mineralne do betonu</w:t>
            </w:r>
          </w:p>
        </w:tc>
      </w:tr>
      <w:tr w:rsidR="0084667E" w:rsidRPr="0084667E" w14:paraId="7FF4064D" w14:textId="77777777" w:rsidTr="0084667E">
        <w:tc>
          <w:tcPr>
            <w:tcW w:w="496" w:type="dxa"/>
            <w:hideMark/>
          </w:tcPr>
          <w:p w14:paraId="556567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w:t>
            </w:r>
          </w:p>
        </w:tc>
        <w:tc>
          <w:tcPr>
            <w:tcW w:w="1984" w:type="dxa"/>
            <w:hideMark/>
          </w:tcPr>
          <w:p w14:paraId="2E43EA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PN-B-23010</w:t>
            </w:r>
          </w:p>
        </w:tc>
        <w:tc>
          <w:tcPr>
            <w:tcW w:w="6159" w:type="dxa"/>
            <w:hideMark/>
          </w:tcPr>
          <w:p w14:paraId="7E9046A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Domieszki do betonu. Klasyfikacja i określenia</w:t>
            </w:r>
          </w:p>
        </w:tc>
      </w:tr>
      <w:tr w:rsidR="0084667E" w:rsidRPr="0084667E" w14:paraId="2D43CADE" w14:textId="77777777" w:rsidTr="0084667E">
        <w:tc>
          <w:tcPr>
            <w:tcW w:w="496" w:type="dxa"/>
            <w:hideMark/>
          </w:tcPr>
          <w:p w14:paraId="4FA2C5A9"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6.</w:t>
            </w:r>
          </w:p>
        </w:tc>
        <w:tc>
          <w:tcPr>
            <w:tcW w:w="1984" w:type="dxa"/>
            <w:hideMark/>
          </w:tcPr>
          <w:p w14:paraId="3285D0D1"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PN-B-19701</w:t>
            </w:r>
          </w:p>
        </w:tc>
        <w:tc>
          <w:tcPr>
            <w:tcW w:w="6159" w:type="dxa"/>
            <w:hideMark/>
          </w:tcPr>
          <w:p w14:paraId="52A8B56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Cement. Cement powszechnego użytku. Skład, wymagania i ocena zgodności</w:t>
            </w:r>
          </w:p>
        </w:tc>
      </w:tr>
      <w:tr w:rsidR="0084667E" w:rsidRPr="0084667E" w14:paraId="26B9826A" w14:textId="77777777" w:rsidTr="0084667E">
        <w:tc>
          <w:tcPr>
            <w:tcW w:w="496" w:type="dxa"/>
            <w:hideMark/>
          </w:tcPr>
          <w:p w14:paraId="1CCA851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7.</w:t>
            </w:r>
          </w:p>
        </w:tc>
        <w:tc>
          <w:tcPr>
            <w:tcW w:w="1984" w:type="dxa"/>
            <w:hideMark/>
          </w:tcPr>
          <w:p w14:paraId="205F653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PN-B-32250</w:t>
            </w:r>
          </w:p>
        </w:tc>
        <w:tc>
          <w:tcPr>
            <w:tcW w:w="6159" w:type="dxa"/>
            <w:hideMark/>
          </w:tcPr>
          <w:p w14:paraId="06B9F35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Materiały budowlane. Woda do betonów i zapraw</w:t>
            </w:r>
          </w:p>
        </w:tc>
      </w:tr>
      <w:tr w:rsidR="0084667E" w:rsidRPr="0084667E" w14:paraId="5A6F7EF8" w14:textId="77777777" w:rsidTr="0084667E">
        <w:tc>
          <w:tcPr>
            <w:tcW w:w="496" w:type="dxa"/>
            <w:hideMark/>
          </w:tcPr>
          <w:p w14:paraId="35CCD14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8.</w:t>
            </w:r>
          </w:p>
        </w:tc>
        <w:tc>
          <w:tcPr>
            <w:tcW w:w="1984" w:type="dxa"/>
            <w:hideMark/>
          </w:tcPr>
          <w:p w14:paraId="0D84A60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PN-H-04623</w:t>
            </w:r>
          </w:p>
        </w:tc>
        <w:tc>
          <w:tcPr>
            <w:tcW w:w="6159" w:type="dxa"/>
            <w:hideMark/>
          </w:tcPr>
          <w:p w14:paraId="34E1EDE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Ochrona przed korozją. Pomiar grubości powłok metalowych metodami nieniszczącymi</w:t>
            </w:r>
          </w:p>
        </w:tc>
      </w:tr>
      <w:tr w:rsidR="0084667E" w:rsidRPr="0084667E" w14:paraId="4DF693C6" w14:textId="77777777" w:rsidTr="0084667E">
        <w:tc>
          <w:tcPr>
            <w:tcW w:w="496" w:type="dxa"/>
            <w:hideMark/>
          </w:tcPr>
          <w:p w14:paraId="0266CC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9.</w:t>
            </w:r>
          </w:p>
        </w:tc>
        <w:tc>
          <w:tcPr>
            <w:tcW w:w="1984" w:type="dxa"/>
            <w:hideMark/>
          </w:tcPr>
          <w:p w14:paraId="3CC802B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PN-H-04651</w:t>
            </w:r>
          </w:p>
        </w:tc>
        <w:tc>
          <w:tcPr>
            <w:tcW w:w="6159" w:type="dxa"/>
            <w:hideMark/>
          </w:tcPr>
          <w:p w14:paraId="601CDA7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Ochrona przed korozją. Klasyfikacja i określenie agresywności korozyjnej środowisk</w:t>
            </w:r>
          </w:p>
        </w:tc>
      </w:tr>
      <w:tr w:rsidR="0084667E" w:rsidRPr="0084667E" w14:paraId="4F55C372" w14:textId="77777777" w:rsidTr="0084667E">
        <w:tc>
          <w:tcPr>
            <w:tcW w:w="496" w:type="dxa"/>
            <w:hideMark/>
          </w:tcPr>
          <w:p w14:paraId="078FEC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10.</w:t>
            </w:r>
          </w:p>
        </w:tc>
        <w:tc>
          <w:tcPr>
            <w:tcW w:w="1984" w:type="dxa"/>
            <w:hideMark/>
          </w:tcPr>
          <w:p w14:paraId="377B13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PN-H-74219</w:t>
            </w:r>
          </w:p>
        </w:tc>
        <w:tc>
          <w:tcPr>
            <w:tcW w:w="6159" w:type="dxa"/>
            <w:hideMark/>
          </w:tcPr>
          <w:p w14:paraId="079DE48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Rury stalowe bez szwu walcowane na gorąco ogólnego zastosowania</w:t>
            </w:r>
          </w:p>
        </w:tc>
      </w:tr>
      <w:tr w:rsidR="0084667E" w:rsidRPr="0084667E" w14:paraId="524F6491" w14:textId="77777777" w:rsidTr="0084667E">
        <w:tc>
          <w:tcPr>
            <w:tcW w:w="496" w:type="dxa"/>
            <w:hideMark/>
          </w:tcPr>
          <w:p w14:paraId="2837DE8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11.</w:t>
            </w:r>
          </w:p>
        </w:tc>
        <w:tc>
          <w:tcPr>
            <w:tcW w:w="1984" w:type="dxa"/>
            <w:hideMark/>
          </w:tcPr>
          <w:p w14:paraId="0260D36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PN-H-74220</w:t>
            </w:r>
          </w:p>
        </w:tc>
        <w:tc>
          <w:tcPr>
            <w:tcW w:w="6159" w:type="dxa"/>
            <w:hideMark/>
          </w:tcPr>
          <w:p w14:paraId="579A377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Rury stalowe bez szwu ciągnione i walcowane na zimno ogólnego przeznaczenia</w:t>
            </w:r>
          </w:p>
        </w:tc>
      </w:tr>
      <w:tr w:rsidR="0084667E" w:rsidRPr="0084667E" w14:paraId="5A8C8912" w14:textId="77777777" w:rsidTr="0084667E">
        <w:tc>
          <w:tcPr>
            <w:tcW w:w="496" w:type="dxa"/>
            <w:hideMark/>
          </w:tcPr>
          <w:p w14:paraId="4AD1FB5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12.</w:t>
            </w:r>
          </w:p>
        </w:tc>
        <w:tc>
          <w:tcPr>
            <w:tcW w:w="1984" w:type="dxa"/>
            <w:hideMark/>
          </w:tcPr>
          <w:p w14:paraId="74A361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PN-H-82200</w:t>
            </w:r>
          </w:p>
        </w:tc>
        <w:tc>
          <w:tcPr>
            <w:tcW w:w="6159" w:type="dxa"/>
            <w:hideMark/>
          </w:tcPr>
          <w:p w14:paraId="3AD3631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Cynk</w:t>
            </w:r>
          </w:p>
        </w:tc>
      </w:tr>
      <w:tr w:rsidR="0084667E" w:rsidRPr="0084667E" w14:paraId="424787EF" w14:textId="77777777" w:rsidTr="0084667E">
        <w:tc>
          <w:tcPr>
            <w:tcW w:w="496" w:type="dxa"/>
            <w:hideMark/>
          </w:tcPr>
          <w:p w14:paraId="5C7368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13.</w:t>
            </w:r>
          </w:p>
        </w:tc>
        <w:tc>
          <w:tcPr>
            <w:tcW w:w="1984" w:type="dxa"/>
            <w:hideMark/>
          </w:tcPr>
          <w:p w14:paraId="526CC0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PN-H-84018</w:t>
            </w:r>
          </w:p>
        </w:tc>
        <w:tc>
          <w:tcPr>
            <w:tcW w:w="6159" w:type="dxa"/>
            <w:hideMark/>
          </w:tcPr>
          <w:p w14:paraId="312A63E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niskostopowa o podwyższonej wytrzymałości. Gatunki</w:t>
            </w:r>
          </w:p>
        </w:tc>
      </w:tr>
      <w:tr w:rsidR="0084667E" w:rsidRPr="0084667E" w14:paraId="16907511" w14:textId="77777777" w:rsidTr="0084667E">
        <w:tc>
          <w:tcPr>
            <w:tcW w:w="496" w:type="dxa"/>
            <w:hideMark/>
          </w:tcPr>
          <w:p w14:paraId="4D36AEB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14.</w:t>
            </w:r>
          </w:p>
        </w:tc>
        <w:tc>
          <w:tcPr>
            <w:tcW w:w="1984" w:type="dxa"/>
            <w:hideMark/>
          </w:tcPr>
          <w:p w14:paraId="45D8B87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PN-H-84019</w:t>
            </w:r>
          </w:p>
        </w:tc>
        <w:tc>
          <w:tcPr>
            <w:tcW w:w="6159" w:type="dxa"/>
            <w:hideMark/>
          </w:tcPr>
          <w:p w14:paraId="262939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niestopowa do utwardzania powierzchniowego i ulepszania cieplnego. Gatunki</w:t>
            </w:r>
          </w:p>
        </w:tc>
      </w:tr>
      <w:tr w:rsidR="0084667E" w:rsidRPr="0084667E" w14:paraId="5BCAB880" w14:textId="77777777" w:rsidTr="0084667E">
        <w:tc>
          <w:tcPr>
            <w:tcW w:w="496" w:type="dxa"/>
            <w:hideMark/>
          </w:tcPr>
          <w:p w14:paraId="3EE7C72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15.</w:t>
            </w:r>
          </w:p>
        </w:tc>
        <w:tc>
          <w:tcPr>
            <w:tcW w:w="1984" w:type="dxa"/>
            <w:hideMark/>
          </w:tcPr>
          <w:p w14:paraId="5CD0AD1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PN-H-84020</w:t>
            </w:r>
          </w:p>
        </w:tc>
        <w:tc>
          <w:tcPr>
            <w:tcW w:w="6159" w:type="dxa"/>
            <w:hideMark/>
          </w:tcPr>
          <w:p w14:paraId="4C8D177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niestopowa konstrukcyjna ogólnego przeznaczenia. Gatunki</w:t>
            </w:r>
          </w:p>
        </w:tc>
      </w:tr>
      <w:tr w:rsidR="0084667E" w:rsidRPr="0084667E" w14:paraId="1C3A486B" w14:textId="77777777" w:rsidTr="0084667E">
        <w:tc>
          <w:tcPr>
            <w:tcW w:w="496" w:type="dxa"/>
            <w:hideMark/>
          </w:tcPr>
          <w:p w14:paraId="0B14F9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16.</w:t>
            </w:r>
          </w:p>
        </w:tc>
        <w:tc>
          <w:tcPr>
            <w:tcW w:w="1984" w:type="dxa"/>
            <w:hideMark/>
          </w:tcPr>
          <w:p w14:paraId="3EA6B07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PN-H-84023-07</w:t>
            </w:r>
          </w:p>
        </w:tc>
        <w:tc>
          <w:tcPr>
            <w:tcW w:w="6159" w:type="dxa"/>
            <w:hideMark/>
          </w:tcPr>
          <w:p w14:paraId="1BCCD5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określonego zastosowania. Stal na rury. Gatunki</w:t>
            </w:r>
          </w:p>
        </w:tc>
      </w:tr>
      <w:tr w:rsidR="0084667E" w:rsidRPr="0084667E" w14:paraId="5BA61A17" w14:textId="77777777" w:rsidTr="0084667E">
        <w:tc>
          <w:tcPr>
            <w:tcW w:w="496" w:type="dxa"/>
            <w:hideMark/>
          </w:tcPr>
          <w:p w14:paraId="02F8EDD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17.</w:t>
            </w:r>
          </w:p>
        </w:tc>
        <w:tc>
          <w:tcPr>
            <w:tcW w:w="1984" w:type="dxa"/>
            <w:hideMark/>
          </w:tcPr>
          <w:p w14:paraId="22CA0B9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PN-H-84030-02</w:t>
            </w:r>
          </w:p>
        </w:tc>
        <w:tc>
          <w:tcPr>
            <w:tcW w:w="6159" w:type="dxa"/>
            <w:hideMark/>
          </w:tcPr>
          <w:p w14:paraId="3C2B13D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stopowa konstrukcyjna. Stal do nawęglania. Gatunki</w:t>
            </w:r>
          </w:p>
        </w:tc>
      </w:tr>
      <w:tr w:rsidR="0084667E" w:rsidRPr="0084667E" w14:paraId="03FB6F3A" w14:textId="77777777" w:rsidTr="0084667E">
        <w:tc>
          <w:tcPr>
            <w:tcW w:w="496" w:type="dxa"/>
            <w:hideMark/>
          </w:tcPr>
          <w:p w14:paraId="0E43DA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18.</w:t>
            </w:r>
          </w:p>
        </w:tc>
        <w:tc>
          <w:tcPr>
            <w:tcW w:w="1984" w:type="dxa"/>
            <w:hideMark/>
          </w:tcPr>
          <w:p w14:paraId="5C22E4F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PN-H-93010</w:t>
            </w:r>
          </w:p>
        </w:tc>
        <w:tc>
          <w:tcPr>
            <w:tcW w:w="6159" w:type="dxa"/>
            <w:hideMark/>
          </w:tcPr>
          <w:p w14:paraId="41B626C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Kształtowniki walcowane na gorąco</w:t>
            </w:r>
          </w:p>
        </w:tc>
      </w:tr>
      <w:tr w:rsidR="0084667E" w:rsidRPr="0084667E" w14:paraId="5D558A70" w14:textId="77777777" w:rsidTr="0084667E">
        <w:tc>
          <w:tcPr>
            <w:tcW w:w="496" w:type="dxa"/>
            <w:hideMark/>
          </w:tcPr>
          <w:p w14:paraId="5FE6B4F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19.</w:t>
            </w:r>
          </w:p>
        </w:tc>
        <w:tc>
          <w:tcPr>
            <w:tcW w:w="1984" w:type="dxa"/>
            <w:hideMark/>
          </w:tcPr>
          <w:p w14:paraId="30BA8B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PN-H-93401</w:t>
            </w:r>
          </w:p>
        </w:tc>
        <w:tc>
          <w:tcPr>
            <w:tcW w:w="6159" w:type="dxa"/>
            <w:hideMark/>
          </w:tcPr>
          <w:p w14:paraId="7F96F58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walcowana. Kątowniki równoramienne</w:t>
            </w:r>
          </w:p>
        </w:tc>
      </w:tr>
      <w:tr w:rsidR="0084667E" w:rsidRPr="0084667E" w14:paraId="2B0518E9" w14:textId="77777777" w:rsidTr="0084667E">
        <w:tc>
          <w:tcPr>
            <w:tcW w:w="496" w:type="dxa"/>
            <w:hideMark/>
          </w:tcPr>
          <w:p w14:paraId="35ACE19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20.</w:t>
            </w:r>
          </w:p>
        </w:tc>
        <w:tc>
          <w:tcPr>
            <w:tcW w:w="1984" w:type="dxa"/>
            <w:hideMark/>
          </w:tcPr>
          <w:p w14:paraId="44578E8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PN-H-93402</w:t>
            </w:r>
          </w:p>
        </w:tc>
        <w:tc>
          <w:tcPr>
            <w:tcW w:w="6159" w:type="dxa"/>
            <w:hideMark/>
          </w:tcPr>
          <w:p w14:paraId="6E04037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Kątowniki nierównoramienne stalowe walcowane na gorąco</w:t>
            </w:r>
          </w:p>
        </w:tc>
      </w:tr>
      <w:tr w:rsidR="0084667E" w:rsidRPr="0084667E" w14:paraId="3809CB63" w14:textId="77777777" w:rsidTr="0084667E">
        <w:tc>
          <w:tcPr>
            <w:tcW w:w="496" w:type="dxa"/>
            <w:hideMark/>
          </w:tcPr>
          <w:p w14:paraId="7D997D1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21.</w:t>
            </w:r>
          </w:p>
        </w:tc>
        <w:tc>
          <w:tcPr>
            <w:tcW w:w="1984" w:type="dxa"/>
            <w:hideMark/>
          </w:tcPr>
          <w:p w14:paraId="046071B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PN-H-93403</w:t>
            </w:r>
          </w:p>
        </w:tc>
        <w:tc>
          <w:tcPr>
            <w:tcW w:w="6159" w:type="dxa"/>
            <w:hideMark/>
          </w:tcPr>
          <w:p w14:paraId="02F6258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Ceowniki walcowane. Wymiary</w:t>
            </w:r>
          </w:p>
        </w:tc>
      </w:tr>
      <w:tr w:rsidR="0084667E" w:rsidRPr="0084667E" w14:paraId="46AF7114" w14:textId="77777777" w:rsidTr="0084667E">
        <w:tc>
          <w:tcPr>
            <w:tcW w:w="496" w:type="dxa"/>
            <w:hideMark/>
          </w:tcPr>
          <w:p w14:paraId="6ACC62A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22.</w:t>
            </w:r>
          </w:p>
        </w:tc>
        <w:tc>
          <w:tcPr>
            <w:tcW w:w="1984" w:type="dxa"/>
            <w:hideMark/>
          </w:tcPr>
          <w:p w14:paraId="3DF2127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PN-H-93406</w:t>
            </w:r>
          </w:p>
        </w:tc>
        <w:tc>
          <w:tcPr>
            <w:tcW w:w="6159" w:type="dxa"/>
            <w:hideMark/>
          </w:tcPr>
          <w:p w14:paraId="0ABB18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Teowniki walcowane na gorąco</w:t>
            </w:r>
          </w:p>
        </w:tc>
      </w:tr>
      <w:tr w:rsidR="0084667E" w:rsidRPr="0084667E" w14:paraId="7A441B15" w14:textId="77777777" w:rsidTr="0084667E">
        <w:tc>
          <w:tcPr>
            <w:tcW w:w="496" w:type="dxa"/>
            <w:hideMark/>
          </w:tcPr>
          <w:p w14:paraId="5391F53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23.</w:t>
            </w:r>
          </w:p>
        </w:tc>
        <w:tc>
          <w:tcPr>
            <w:tcW w:w="1984" w:type="dxa"/>
            <w:hideMark/>
          </w:tcPr>
          <w:p w14:paraId="217A11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PN-H-93407</w:t>
            </w:r>
          </w:p>
        </w:tc>
        <w:tc>
          <w:tcPr>
            <w:tcW w:w="6159" w:type="dxa"/>
            <w:hideMark/>
          </w:tcPr>
          <w:p w14:paraId="62F8B4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Stal. Dwuteowniki walcowane na gorąco</w:t>
            </w:r>
          </w:p>
        </w:tc>
      </w:tr>
      <w:tr w:rsidR="0084667E" w:rsidRPr="0084667E" w14:paraId="440F3EFA" w14:textId="77777777" w:rsidTr="0084667E">
        <w:tc>
          <w:tcPr>
            <w:tcW w:w="496" w:type="dxa"/>
            <w:hideMark/>
          </w:tcPr>
          <w:p w14:paraId="21CFF8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24.</w:t>
            </w:r>
          </w:p>
        </w:tc>
        <w:tc>
          <w:tcPr>
            <w:tcW w:w="1984" w:type="dxa"/>
            <w:hideMark/>
          </w:tcPr>
          <w:p w14:paraId="42749B2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PN-H-97051</w:t>
            </w:r>
          </w:p>
        </w:tc>
        <w:tc>
          <w:tcPr>
            <w:tcW w:w="6159" w:type="dxa"/>
            <w:hideMark/>
          </w:tcPr>
          <w:p w14:paraId="0E71EF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Ochrona przed korozją. Przygotowanie powierzchni stali, staliwa i żeliwa do malowania. Ogólne wytyczne</w:t>
            </w:r>
          </w:p>
        </w:tc>
      </w:tr>
      <w:tr w:rsidR="0084667E" w:rsidRPr="0084667E" w14:paraId="4BF2D07F" w14:textId="77777777" w:rsidTr="0084667E">
        <w:tc>
          <w:tcPr>
            <w:tcW w:w="496" w:type="dxa"/>
            <w:hideMark/>
          </w:tcPr>
          <w:p w14:paraId="17EFE6C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25.</w:t>
            </w:r>
          </w:p>
        </w:tc>
        <w:tc>
          <w:tcPr>
            <w:tcW w:w="1984" w:type="dxa"/>
            <w:hideMark/>
          </w:tcPr>
          <w:p w14:paraId="6974E74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PN-H-97053</w:t>
            </w:r>
          </w:p>
        </w:tc>
        <w:tc>
          <w:tcPr>
            <w:tcW w:w="6159" w:type="dxa"/>
            <w:hideMark/>
          </w:tcPr>
          <w:p w14:paraId="44D8CB0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Ochrona przed korozją. Malowanie konstrukcji stalowych. Ogólne wytyczne</w:t>
            </w:r>
          </w:p>
        </w:tc>
      </w:tr>
      <w:tr w:rsidR="0084667E" w:rsidRPr="0084667E" w14:paraId="43852ABD" w14:textId="77777777" w:rsidTr="0084667E">
        <w:tc>
          <w:tcPr>
            <w:tcW w:w="496" w:type="dxa"/>
            <w:hideMark/>
          </w:tcPr>
          <w:p w14:paraId="3D356E0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26.</w:t>
            </w:r>
          </w:p>
        </w:tc>
        <w:tc>
          <w:tcPr>
            <w:tcW w:w="1984" w:type="dxa"/>
            <w:hideMark/>
          </w:tcPr>
          <w:p w14:paraId="45C9FC5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PN-M-06515</w:t>
            </w:r>
          </w:p>
        </w:tc>
        <w:tc>
          <w:tcPr>
            <w:tcW w:w="6159" w:type="dxa"/>
            <w:hideMark/>
          </w:tcPr>
          <w:p w14:paraId="70E2AF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Dźwignice. Ogólne zasady projektowania stalowych ustrojów nośnych</w:t>
            </w:r>
          </w:p>
        </w:tc>
      </w:tr>
      <w:tr w:rsidR="0084667E" w:rsidRPr="0084667E" w14:paraId="5D8C3031" w14:textId="77777777" w:rsidTr="0084667E">
        <w:tc>
          <w:tcPr>
            <w:tcW w:w="496" w:type="dxa"/>
            <w:hideMark/>
          </w:tcPr>
          <w:p w14:paraId="66C55B5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27.</w:t>
            </w:r>
          </w:p>
        </w:tc>
        <w:tc>
          <w:tcPr>
            <w:tcW w:w="1984" w:type="dxa"/>
            <w:hideMark/>
          </w:tcPr>
          <w:p w14:paraId="3C4D174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PN-M-69011</w:t>
            </w:r>
          </w:p>
        </w:tc>
        <w:tc>
          <w:tcPr>
            <w:tcW w:w="6159" w:type="dxa"/>
            <w:hideMark/>
          </w:tcPr>
          <w:p w14:paraId="7482EB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Spawalnictwo. Złącza spawane w konstrukcjach spawanych. Podział i wymagania</w:t>
            </w:r>
          </w:p>
        </w:tc>
      </w:tr>
      <w:tr w:rsidR="0084667E" w:rsidRPr="0084667E" w14:paraId="658ED197" w14:textId="77777777" w:rsidTr="0084667E">
        <w:tc>
          <w:tcPr>
            <w:tcW w:w="496" w:type="dxa"/>
            <w:hideMark/>
          </w:tcPr>
          <w:p w14:paraId="6621A6B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28.</w:t>
            </w:r>
          </w:p>
        </w:tc>
        <w:tc>
          <w:tcPr>
            <w:tcW w:w="1984" w:type="dxa"/>
            <w:hideMark/>
          </w:tcPr>
          <w:p w14:paraId="3406597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PN-M-69420</w:t>
            </w:r>
          </w:p>
        </w:tc>
        <w:tc>
          <w:tcPr>
            <w:tcW w:w="6159" w:type="dxa"/>
            <w:hideMark/>
          </w:tcPr>
          <w:p w14:paraId="72A2AB3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Spawalnictwo. Druty lite do spawania i napawania stali</w:t>
            </w:r>
          </w:p>
        </w:tc>
      </w:tr>
      <w:tr w:rsidR="0084667E" w:rsidRPr="0084667E" w14:paraId="21BDFAA2" w14:textId="77777777" w:rsidTr="0084667E">
        <w:tc>
          <w:tcPr>
            <w:tcW w:w="496" w:type="dxa"/>
            <w:hideMark/>
          </w:tcPr>
          <w:p w14:paraId="330B76A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29.</w:t>
            </w:r>
          </w:p>
        </w:tc>
        <w:tc>
          <w:tcPr>
            <w:tcW w:w="1984" w:type="dxa"/>
            <w:hideMark/>
          </w:tcPr>
          <w:p w14:paraId="59D4CF7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PN-M-69775</w:t>
            </w:r>
          </w:p>
        </w:tc>
        <w:tc>
          <w:tcPr>
            <w:tcW w:w="6159" w:type="dxa"/>
            <w:hideMark/>
          </w:tcPr>
          <w:p w14:paraId="54281BC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Spawalnictwo. Wadliwość złączy spawanych. Oznaczanie klasy wadliwości na podstawie oględzin zewnętrznych</w:t>
            </w:r>
          </w:p>
        </w:tc>
      </w:tr>
      <w:tr w:rsidR="0084667E" w:rsidRPr="0084667E" w14:paraId="0E1EB5A2" w14:textId="77777777" w:rsidTr="0084667E">
        <w:tc>
          <w:tcPr>
            <w:tcW w:w="496" w:type="dxa"/>
            <w:hideMark/>
          </w:tcPr>
          <w:p w14:paraId="1044D6D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30.</w:t>
            </w:r>
          </w:p>
        </w:tc>
        <w:tc>
          <w:tcPr>
            <w:tcW w:w="1984" w:type="dxa"/>
            <w:hideMark/>
          </w:tcPr>
          <w:p w14:paraId="3BF1F21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PN-M-80006</w:t>
            </w:r>
          </w:p>
        </w:tc>
        <w:tc>
          <w:tcPr>
            <w:tcW w:w="6159" w:type="dxa"/>
            <w:hideMark/>
          </w:tcPr>
          <w:p w14:paraId="4BE0E7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Zanurzeniowe powłoki cynkowe na drutach stalowych. Badania</w:t>
            </w:r>
          </w:p>
        </w:tc>
      </w:tr>
      <w:tr w:rsidR="0084667E" w:rsidRPr="0084667E" w14:paraId="15356D89" w14:textId="77777777" w:rsidTr="0084667E">
        <w:tc>
          <w:tcPr>
            <w:tcW w:w="496" w:type="dxa"/>
            <w:hideMark/>
          </w:tcPr>
          <w:p w14:paraId="4B2AB2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31.</w:t>
            </w:r>
          </w:p>
        </w:tc>
        <w:tc>
          <w:tcPr>
            <w:tcW w:w="1984" w:type="dxa"/>
            <w:hideMark/>
          </w:tcPr>
          <w:p w14:paraId="401F65A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PN-M-80026</w:t>
            </w:r>
          </w:p>
        </w:tc>
        <w:tc>
          <w:tcPr>
            <w:tcW w:w="6159" w:type="dxa"/>
            <w:hideMark/>
          </w:tcPr>
          <w:p w14:paraId="0F8C521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Druty okrągłe ze stali niskowęglowej ogólnego przeznaczenia</w:t>
            </w:r>
          </w:p>
        </w:tc>
      </w:tr>
      <w:tr w:rsidR="0084667E" w:rsidRPr="0084667E" w14:paraId="7B64CFE8" w14:textId="77777777" w:rsidTr="0084667E">
        <w:tc>
          <w:tcPr>
            <w:tcW w:w="496" w:type="dxa"/>
            <w:hideMark/>
          </w:tcPr>
          <w:p w14:paraId="3DB7D0F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32.</w:t>
            </w:r>
          </w:p>
        </w:tc>
        <w:tc>
          <w:tcPr>
            <w:tcW w:w="1984" w:type="dxa"/>
            <w:hideMark/>
          </w:tcPr>
          <w:p w14:paraId="4FD7CC4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PN-M-80201</w:t>
            </w:r>
          </w:p>
        </w:tc>
        <w:tc>
          <w:tcPr>
            <w:tcW w:w="6159" w:type="dxa"/>
            <w:hideMark/>
          </w:tcPr>
          <w:p w14:paraId="24C3822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Liny stalowe z drutu okrągłego. Wymagania i badania</w:t>
            </w:r>
          </w:p>
        </w:tc>
      </w:tr>
      <w:tr w:rsidR="0084667E" w:rsidRPr="0084667E" w14:paraId="6298B8D9" w14:textId="77777777" w:rsidTr="0084667E">
        <w:tc>
          <w:tcPr>
            <w:tcW w:w="496" w:type="dxa"/>
            <w:hideMark/>
          </w:tcPr>
          <w:p w14:paraId="6588EAE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33.</w:t>
            </w:r>
          </w:p>
        </w:tc>
        <w:tc>
          <w:tcPr>
            <w:tcW w:w="1984" w:type="dxa"/>
            <w:hideMark/>
          </w:tcPr>
          <w:p w14:paraId="50A8378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PN-M-80202</w:t>
            </w:r>
          </w:p>
        </w:tc>
        <w:tc>
          <w:tcPr>
            <w:tcW w:w="6159" w:type="dxa"/>
            <w:hideMark/>
          </w:tcPr>
          <w:p w14:paraId="6066CB7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Liny stalowe 1 x 7</w:t>
            </w:r>
          </w:p>
        </w:tc>
      </w:tr>
      <w:tr w:rsidR="0084667E" w:rsidRPr="0084667E" w14:paraId="455703A7" w14:textId="77777777" w:rsidTr="0084667E">
        <w:tc>
          <w:tcPr>
            <w:tcW w:w="496" w:type="dxa"/>
            <w:hideMark/>
          </w:tcPr>
          <w:p w14:paraId="17F839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34.</w:t>
            </w:r>
          </w:p>
        </w:tc>
        <w:tc>
          <w:tcPr>
            <w:tcW w:w="1984" w:type="dxa"/>
            <w:hideMark/>
          </w:tcPr>
          <w:p w14:paraId="28B511E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PN-M-82054</w:t>
            </w:r>
          </w:p>
        </w:tc>
        <w:tc>
          <w:tcPr>
            <w:tcW w:w="6159" w:type="dxa"/>
            <w:hideMark/>
          </w:tcPr>
          <w:p w14:paraId="457C1C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Śruby, wkręty i nakrętki stalowe ogólnego przeznaczenia. Ogólne wymagania i badania</w:t>
            </w:r>
          </w:p>
        </w:tc>
      </w:tr>
      <w:tr w:rsidR="0084667E" w:rsidRPr="0084667E" w14:paraId="793107FA" w14:textId="77777777" w:rsidTr="0084667E">
        <w:tc>
          <w:tcPr>
            <w:tcW w:w="496" w:type="dxa"/>
            <w:hideMark/>
          </w:tcPr>
          <w:p w14:paraId="3633E84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35.</w:t>
            </w:r>
          </w:p>
        </w:tc>
        <w:tc>
          <w:tcPr>
            <w:tcW w:w="1984" w:type="dxa"/>
            <w:hideMark/>
          </w:tcPr>
          <w:p w14:paraId="0063822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PN-M-82054-03</w:t>
            </w:r>
          </w:p>
        </w:tc>
        <w:tc>
          <w:tcPr>
            <w:tcW w:w="6159" w:type="dxa"/>
            <w:hideMark/>
          </w:tcPr>
          <w:p w14:paraId="0484E42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Śruby, wkręty i nakrętki. Własności mechaniczne śrub i wkrętów</w:t>
            </w:r>
          </w:p>
        </w:tc>
      </w:tr>
      <w:tr w:rsidR="0084667E" w:rsidRPr="0084667E" w14:paraId="424989CB" w14:textId="77777777" w:rsidTr="0084667E">
        <w:tc>
          <w:tcPr>
            <w:tcW w:w="496" w:type="dxa"/>
            <w:hideMark/>
          </w:tcPr>
          <w:p w14:paraId="690BF44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36.</w:t>
            </w:r>
          </w:p>
        </w:tc>
        <w:tc>
          <w:tcPr>
            <w:tcW w:w="1984" w:type="dxa"/>
            <w:hideMark/>
          </w:tcPr>
          <w:p w14:paraId="0AA7DFA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PN-ISO-8501-1</w:t>
            </w:r>
          </w:p>
        </w:tc>
        <w:tc>
          <w:tcPr>
            <w:tcW w:w="6159" w:type="dxa"/>
            <w:hideMark/>
          </w:tcPr>
          <w:p w14:paraId="653BCD8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Przygotowanie podłoży stalowych przed nakładaniem farb i podobnych produktów. Stopnie skorodowania i stopnie przygotowania nie zabezpieczonych podłoży stalowych oraz podłoży stalowych po całkowitym usunięciu wcześniej nałożonych powłok</w:t>
            </w:r>
          </w:p>
        </w:tc>
      </w:tr>
      <w:tr w:rsidR="0084667E" w:rsidRPr="0084667E" w14:paraId="583278EB" w14:textId="77777777" w:rsidTr="0084667E">
        <w:tc>
          <w:tcPr>
            <w:tcW w:w="496" w:type="dxa"/>
            <w:hideMark/>
          </w:tcPr>
          <w:p w14:paraId="1A37F5F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37.</w:t>
            </w:r>
          </w:p>
        </w:tc>
        <w:tc>
          <w:tcPr>
            <w:tcW w:w="1984" w:type="dxa"/>
            <w:hideMark/>
          </w:tcPr>
          <w:p w14:paraId="6FE471B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BN-73/0658-01</w:t>
            </w:r>
          </w:p>
        </w:tc>
        <w:tc>
          <w:tcPr>
            <w:tcW w:w="6159" w:type="dxa"/>
            <w:hideMark/>
          </w:tcPr>
          <w:p w14:paraId="29EBDAB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Rury stalowe profilowe ciągnione na zimno. Wymiary</w:t>
            </w:r>
          </w:p>
        </w:tc>
      </w:tr>
      <w:tr w:rsidR="0084667E" w:rsidRPr="0084667E" w14:paraId="08384299" w14:textId="77777777" w:rsidTr="0084667E">
        <w:tc>
          <w:tcPr>
            <w:tcW w:w="496" w:type="dxa"/>
            <w:hideMark/>
          </w:tcPr>
          <w:p w14:paraId="2355B26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38.</w:t>
            </w:r>
          </w:p>
        </w:tc>
        <w:tc>
          <w:tcPr>
            <w:tcW w:w="1984" w:type="dxa"/>
            <w:hideMark/>
          </w:tcPr>
          <w:p w14:paraId="29AADE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BN-89/1076-02</w:t>
            </w:r>
          </w:p>
        </w:tc>
        <w:tc>
          <w:tcPr>
            <w:tcW w:w="6159" w:type="dxa"/>
            <w:hideMark/>
          </w:tcPr>
          <w:p w14:paraId="1B2226D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Ochrona przez korozją. Powłoki metalizacyjne cynkowe i aluminiowe na konstrukcjach stalowych, staliwnych i żeliwnych. Wymagania i badania</w:t>
            </w:r>
          </w:p>
        </w:tc>
      </w:tr>
      <w:tr w:rsidR="0084667E" w:rsidRPr="0084667E" w14:paraId="00B9AE54" w14:textId="77777777" w:rsidTr="0084667E">
        <w:tc>
          <w:tcPr>
            <w:tcW w:w="496" w:type="dxa"/>
            <w:hideMark/>
          </w:tcPr>
          <w:p w14:paraId="715FA82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39.</w:t>
            </w:r>
          </w:p>
        </w:tc>
        <w:tc>
          <w:tcPr>
            <w:tcW w:w="1984" w:type="dxa"/>
            <w:hideMark/>
          </w:tcPr>
          <w:p w14:paraId="7DC3697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BN-69/5018-01</w:t>
            </w:r>
          </w:p>
        </w:tc>
        <w:tc>
          <w:tcPr>
            <w:tcW w:w="6159" w:type="dxa"/>
            <w:hideMark/>
          </w:tcPr>
          <w:p w14:paraId="4CB2C1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Drut kolczasty</w:t>
            </w:r>
          </w:p>
        </w:tc>
      </w:tr>
      <w:tr w:rsidR="0084667E" w:rsidRPr="0084667E" w14:paraId="369D6269" w14:textId="77777777" w:rsidTr="0084667E">
        <w:tc>
          <w:tcPr>
            <w:tcW w:w="496" w:type="dxa"/>
            <w:hideMark/>
          </w:tcPr>
          <w:p w14:paraId="6E61724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40.</w:t>
            </w:r>
          </w:p>
        </w:tc>
        <w:tc>
          <w:tcPr>
            <w:tcW w:w="1984" w:type="dxa"/>
            <w:hideMark/>
          </w:tcPr>
          <w:p w14:paraId="2B69FC9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BN-83/5032-02</w:t>
            </w:r>
          </w:p>
        </w:tc>
        <w:tc>
          <w:tcPr>
            <w:tcW w:w="6159" w:type="dxa"/>
            <w:hideMark/>
          </w:tcPr>
          <w:p w14:paraId="1C0CEA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Siatki metalowe. Siatki plecione ślimakowe</w:t>
            </w:r>
          </w:p>
        </w:tc>
      </w:tr>
      <w:tr w:rsidR="0084667E" w:rsidRPr="0084667E" w14:paraId="5924F4D0" w14:textId="77777777" w:rsidTr="0084667E">
        <w:tc>
          <w:tcPr>
            <w:tcW w:w="496" w:type="dxa"/>
            <w:hideMark/>
          </w:tcPr>
          <w:p w14:paraId="4ED527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lastRenderedPageBreak/>
              <w:t>41.</w:t>
            </w:r>
          </w:p>
        </w:tc>
        <w:tc>
          <w:tcPr>
            <w:tcW w:w="1984" w:type="dxa"/>
            <w:hideMark/>
          </w:tcPr>
          <w:p w14:paraId="625CB6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BN-80/6366-02</w:t>
            </w:r>
          </w:p>
        </w:tc>
        <w:tc>
          <w:tcPr>
            <w:tcW w:w="6159" w:type="dxa"/>
            <w:hideMark/>
          </w:tcPr>
          <w:p w14:paraId="19D9F1F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Siatki bezwęzełkowe ciężkie z polietylenu</w:t>
            </w:r>
          </w:p>
        </w:tc>
      </w:tr>
      <w:tr w:rsidR="0084667E" w:rsidRPr="0084667E" w14:paraId="1E65F96F" w14:textId="77777777" w:rsidTr="0084667E">
        <w:tc>
          <w:tcPr>
            <w:tcW w:w="496" w:type="dxa"/>
            <w:hideMark/>
          </w:tcPr>
          <w:p w14:paraId="79D0A61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42.</w:t>
            </w:r>
          </w:p>
        </w:tc>
        <w:tc>
          <w:tcPr>
            <w:tcW w:w="1984" w:type="dxa"/>
            <w:hideMark/>
          </w:tcPr>
          <w:p w14:paraId="54812B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BN-88/6731-08</w:t>
            </w:r>
          </w:p>
        </w:tc>
        <w:tc>
          <w:tcPr>
            <w:tcW w:w="6159" w:type="dxa"/>
            <w:hideMark/>
          </w:tcPr>
          <w:p w14:paraId="7A7966B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Cement. Transport i przechowywanie</w:t>
            </w:r>
          </w:p>
        </w:tc>
      </w:tr>
      <w:tr w:rsidR="0084667E" w:rsidRPr="0084667E" w14:paraId="1F884976" w14:textId="77777777" w:rsidTr="0084667E">
        <w:tc>
          <w:tcPr>
            <w:tcW w:w="496" w:type="dxa"/>
            <w:hideMark/>
          </w:tcPr>
          <w:p w14:paraId="491EDC7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43.</w:t>
            </w:r>
          </w:p>
        </w:tc>
        <w:tc>
          <w:tcPr>
            <w:tcW w:w="1984" w:type="dxa"/>
            <w:hideMark/>
          </w:tcPr>
          <w:p w14:paraId="3FFD4DA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BN-70/6744-03</w:t>
            </w:r>
          </w:p>
        </w:tc>
        <w:tc>
          <w:tcPr>
            <w:tcW w:w="6159" w:type="dxa"/>
            <w:hideMark/>
          </w:tcPr>
          <w:p w14:paraId="7397BF0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Prefabrykowane elementy ogrodzeń żelbetowych.</w:t>
            </w:r>
          </w:p>
        </w:tc>
      </w:tr>
    </w:tbl>
    <w:p w14:paraId="4A76E625"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 xml:space="preserve"> Inne dokumenty</w:t>
      </w:r>
    </w:p>
    <w:p w14:paraId="4E67EEB6" w14:textId="77777777" w:rsidR="0084667E" w:rsidRPr="0084667E" w:rsidRDefault="0084667E" w:rsidP="00904E6C">
      <w:pPr>
        <w:numPr>
          <w:ilvl w:val="0"/>
          <w:numId w:val="421"/>
        </w:numPr>
        <w:rPr>
          <w:rFonts w:ascii="Times New Roman" w:hAnsi="Times New Roman" w:cs="Times New Roman"/>
          <w:color w:val="000000" w:themeColor="text1"/>
        </w:rPr>
      </w:pPr>
      <w:r w:rsidRPr="0084667E">
        <w:rPr>
          <w:rFonts w:ascii="Times New Roman" w:hAnsi="Times New Roman" w:cs="Times New Roman"/>
          <w:color w:val="000000" w:themeColor="text1"/>
        </w:rPr>
        <w:t xml:space="preserve"> Katalog powtarzalnych elementów drogowych, CBPBDiM „Transprojekt” Warszawa 1979-1982</w:t>
      </w:r>
    </w:p>
    <w:p w14:paraId="043D8AB9" w14:textId="77777777" w:rsidR="0084667E" w:rsidRPr="0084667E" w:rsidRDefault="0084667E" w:rsidP="00904E6C">
      <w:pPr>
        <w:numPr>
          <w:ilvl w:val="0"/>
          <w:numId w:val="421"/>
        </w:numPr>
        <w:rPr>
          <w:rFonts w:ascii="Times New Roman" w:hAnsi="Times New Roman" w:cs="Times New Roman"/>
          <w:color w:val="000000" w:themeColor="text1"/>
        </w:rPr>
      </w:pPr>
      <w:r w:rsidRPr="0084667E">
        <w:rPr>
          <w:rFonts w:ascii="Times New Roman" w:hAnsi="Times New Roman" w:cs="Times New Roman"/>
          <w:color w:val="000000" w:themeColor="text1"/>
        </w:rPr>
        <w:t xml:space="preserve"> Wytyczne stosowania ogrodzeń drogowych (projekt). CBPBDiM „Transprojekt” Warszawa 1990.</w:t>
      </w:r>
    </w:p>
    <w:p w14:paraId="47FF7D13" w14:textId="77777777" w:rsidR="0084667E" w:rsidRPr="0084667E" w:rsidRDefault="0084667E" w:rsidP="0084667E">
      <w:pPr>
        <w:rPr>
          <w:rFonts w:ascii="Times New Roman" w:hAnsi="Times New Roman" w:cs="Times New Roman"/>
          <w:color w:val="000000" w:themeColor="text1"/>
        </w:rPr>
      </w:pPr>
    </w:p>
    <w:p w14:paraId="2F6E1FA4" w14:textId="77777777" w:rsidR="0084667E" w:rsidRPr="0084667E" w:rsidRDefault="0084667E" w:rsidP="0084667E">
      <w:pPr>
        <w:rPr>
          <w:rFonts w:ascii="Times New Roman" w:hAnsi="Times New Roman" w:cs="Times New Roman"/>
          <w:b/>
          <w:color w:val="000000" w:themeColor="text1"/>
          <w:lang w:val="en-GB"/>
        </w:rPr>
      </w:pPr>
      <w:bookmarkStart w:id="877" w:name="_Toc507909896"/>
      <w:bookmarkStart w:id="878" w:name="_Toc421594989"/>
      <w:bookmarkStart w:id="879" w:name="_Toc507909789"/>
      <w:r w:rsidRPr="0084667E">
        <w:rPr>
          <w:rFonts w:ascii="Times New Roman" w:hAnsi="Times New Roman" w:cs="Times New Roman"/>
          <w:b/>
          <w:color w:val="000000" w:themeColor="text1"/>
          <w:lang w:val="en-GB"/>
        </w:rPr>
        <w:t>11. załączniki.</w:t>
      </w:r>
      <w:bookmarkEnd w:id="877"/>
    </w:p>
    <w:p w14:paraId="2EC092F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Przykładowe rozwiązania wybranych</w:t>
      </w:r>
      <w:bookmarkEnd w:id="878"/>
      <w:bookmarkEnd w:id="879"/>
      <w:r w:rsidRPr="0084667E">
        <w:rPr>
          <w:rFonts w:ascii="Times New Roman" w:hAnsi="Times New Roman" w:cs="Times New Roman"/>
          <w:color w:val="000000" w:themeColor="text1"/>
        </w:rPr>
        <w:t xml:space="preserve"> KONSTRUKCJI ROZWIĄZAŃ</w:t>
      </w:r>
    </w:p>
    <w:p w14:paraId="2CD31D5F"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11.1. Przykłady ogrodzeń z siatek metalowych</w:t>
      </w:r>
    </w:p>
    <w:p w14:paraId="3A1A80D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11.1.1. </w:t>
      </w:r>
      <w:r w:rsidRPr="0084667E">
        <w:rPr>
          <w:rFonts w:ascii="Times New Roman" w:hAnsi="Times New Roman" w:cs="Times New Roman"/>
          <w:color w:val="000000" w:themeColor="text1"/>
        </w:rPr>
        <w:t>Siatki z drutami pionowymi i poziomymi, o zmiennych wymiarach oczek (wg WSOD [45])</w:t>
      </w:r>
    </w:p>
    <w:p w14:paraId="25CE260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ogrodzenie chroniące przed drobną zwierzyną, bydłem domowym i sarnami</w:t>
      </w:r>
    </w:p>
    <w:p w14:paraId="7094C309" w14:textId="77777777" w:rsidR="0084667E" w:rsidRPr="0084667E" w:rsidRDefault="0084667E" w:rsidP="0084667E">
      <w:pPr>
        <w:rPr>
          <w:rFonts w:ascii="Times New Roman" w:hAnsi="Times New Roman" w:cs="Times New Roman"/>
          <w:color w:val="000000" w:themeColor="text1"/>
        </w:rPr>
      </w:pPr>
    </w:p>
    <w:p w14:paraId="160B25D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inline distT="0" distB="0" distL="0" distR="0" wp14:anchorId="460A2BFF" wp14:editId="460A43E9">
            <wp:extent cx="1924050" cy="2466975"/>
            <wp:effectExtent l="0" t="0" r="0" b="9525"/>
            <wp:docPr id="5516" name="Obraz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24050" cy="2466975"/>
                    </a:xfrm>
                    <a:prstGeom prst="rect">
                      <a:avLst/>
                    </a:prstGeom>
                    <a:noFill/>
                    <a:ln>
                      <a:noFill/>
                    </a:ln>
                  </pic:spPr>
                </pic:pic>
              </a:graphicData>
            </a:graphic>
          </wp:inline>
        </w:drawing>
      </w:r>
    </w:p>
    <w:p w14:paraId="44B73611" w14:textId="77777777" w:rsidR="0084667E" w:rsidRPr="0084667E" w:rsidRDefault="0084667E" w:rsidP="0084667E">
      <w:pPr>
        <w:rPr>
          <w:rFonts w:ascii="Times New Roman" w:hAnsi="Times New Roman" w:cs="Times New Roman"/>
          <w:color w:val="000000" w:themeColor="text1"/>
        </w:rPr>
      </w:pPr>
    </w:p>
    <w:p w14:paraId="43A21446" w14:textId="77777777" w:rsidR="0084667E" w:rsidRPr="0084667E" w:rsidRDefault="0084667E" w:rsidP="0084667E">
      <w:pPr>
        <w:rPr>
          <w:rFonts w:ascii="Times New Roman" w:hAnsi="Times New Roman" w:cs="Times New Roman"/>
          <w:color w:val="000000" w:themeColor="text1"/>
        </w:rPr>
      </w:pPr>
    </w:p>
    <w:p w14:paraId="3BF0A31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ogrodzenie chroniące przed drobną zwierzyną i jeleniami lub danielami</w:t>
      </w:r>
    </w:p>
    <w:p w14:paraId="19AC6A4B" w14:textId="77777777" w:rsidR="0084667E" w:rsidRPr="0084667E" w:rsidRDefault="0084667E" w:rsidP="0084667E">
      <w:pPr>
        <w:rPr>
          <w:rFonts w:ascii="Times New Roman" w:hAnsi="Times New Roman" w:cs="Times New Roman"/>
          <w:color w:val="000000" w:themeColor="text1"/>
        </w:rPr>
      </w:pPr>
    </w:p>
    <w:p w14:paraId="06766BAF" w14:textId="77777777" w:rsidR="0084667E" w:rsidRPr="0084667E" w:rsidRDefault="0084667E" w:rsidP="0084667E">
      <w:pPr>
        <w:rPr>
          <w:rFonts w:ascii="Times New Roman" w:hAnsi="Times New Roman" w:cs="Times New Roman"/>
          <w:b/>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694080" behindDoc="0" locked="0" layoutInCell="1" allowOverlap="0" wp14:anchorId="26310836" wp14:editId="6DCBFF33">
            <wp:simplePos x="0" y="0"/>
            <wp:positionH relativeFrom="column">
              <wp:align>center</wp:align>
            </wp:positionH>
            <wp:positionV relativeFrom="paragraph">
              <wp:align>top</wp:align>
            </wp:positionV>
            <wp:extent cx="3781425" cy="3286125"/>
            <wp:effectExtent l="0" t="0" r="9525" b="9525"/>
            <wp:wrapTopAndBottom/>
            <wp:docPr id="56423" name="Obraz 5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81425" cy="3286125"/>
                    </a:xfrm>
                    <a:prstGeom prst="rect">
                      <a:avLst/>
                    </a:prstGeom>
                    <a:noFill/>
                  </pic:spPr>
                </pic:pic>
              </a:graphicData>
            </a:graphic>
            <wp14:sizeRelH relativeFrom="page">
              <wp14:pctWidth>0</wp14:pctWidth>
            </wp14:sizeRelH>
            <wp14:sizeRelV relativeFrom="page">
              <wp14:pctHeight>0</wp14:pctHeight>
            </wp14:sizeRelV>
          </wp:anchor>
        </w:drawing>
      </w:r>
    </w:p>
    <w:p w14:paraId="080DC10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11.1.2.</w:t>
      </w:r>
      <w:r w:rsidRPr="0084667E">
        <w:rPr>
          <w:rFonts w:ascii="Times New Roman" w:hAnsi="Times New Roman" w:cs="Times New Roman"/>
          <w:color w:val="000000" w:themeColor="text1"/>
        </w:rPr>
        <w:t xml:space="preserve"> Rodzaje siatek metalowych o jednakowych oczkach</w:t>
      </w:r>
    </w:p>
    <w:p w14:paraId="12B35369" w14:textId="77777777" w:rsidR="0084667E" w:rsidRPr="0084667E" w:rsidRDefault="0084667E" w:rsidP="00904E6C">
      <w:pPr>
        <w:numPr>
          <w:ilvl w:val="0"/>
          <w:numId w:val="422"/>
        </w:numPr>
        <w:rPr>
          <w:rFonts w:ascii="Times New Roman" w:hAnsi="Times New Roman" w:cs="Times New Roman"/>
          <w:color w:val="000000" w:themeColor="text1"/>
        </w:rPr>
      </w:pPr>
      <w:r w:rsidRPr="0084667E">
        <w:rPr>
          <w:rFonts w:ascii="Times New Roman" w:hAnsi="Times New Roman" w:cs="Times New Roman"/>
          <w:color w:val="000000" w:themeColor="text1"/>
        </w:rPr>
        <w:t>a) siatka pleciona ślimakowa,</w:t>
      </w:r>
    </w:p>
    <w:p w14:paraId="04938E28" w14:textId="77777777" w:rsidR="0084667E" w:rsidRPr="0084667E" w:rsidRDefault="0084667E" w:rsidP="00904E6C">
      <w:pPr>
        <w:numPr>
          <w:ilvl w:val="0"/>
          <w:numId w:val="422"/>
        </w:numPr>
        <w:rPr>
          <w:rFonts w:ascii="Times New Roman" w:hAnsi="Times New Roman" w:cs="Times New Roman"/>
          <w:color w:val="000000" w:themeColor="text1"/>
        </w:rPr>
      </w:pPr>
      <w:r w:rsidRPr="0084667E">
        <w:rPr>
          <w:rFonts w:ascii="Times New Roman" w:hAnsi="Times New Roman" w:cs="Times New Roman"/>
          <w:color w:val="000000" w:themeColor="text1"/>
        </w:rPr>
        <w:t>b) siatka zwijana z drutu,</w:t>
      </w:r>
    </w:p>
    <w:p w14:paraId="2BC1520D" w14:textId="77777777" w:rsidR="0084667E" w:rsidRPr="0084667E" w:rsidRDefault="0084667E" w:rsidP="00904E6C">
      <w:pPr>
        <w:numPr>
          <w:ilvl w:val="0"/>
          <w:numId w:val="422"/>
        </w:numPr>
        <w:rPr>
          <w:rFonts w:ascii="Times New Roman" w:hAnsi="Times New Roman" w:cs="Times New Roman"/>
          <w:color w:val="000000" w:themeColor="text1"/>
        </w:rPr>
      </w:pPr>
      <w:r w:rsidRPr="0084667E">
        <w:rPr>
          <w:rFonts w:ascii="Times New Roman" w:hAnsi="Times New Roman" w:cs="Times New Roman"/>
          <w:color w:val="000000" w:themeColor="text1"/>
        </w:rPr>
        <w:t>c) siatka o splocie tkackim,</w:t>
      </w:r>
    </w:p>
    <w:p w14:paraId="32757512" w14:textId="77777777" w:rsidR="0084667E" w:rsidRPr="0084667E" w:rsidRDefault="0084667E" w:rsidP="00904E6C">
      <w:pPr>
        <w:numPr>
          <w:ilvl w:val="0"/>
          <w:numId w:val="422"/>
        </w:numPr>
        <w:rPr>
          <w:rFonts w:ascii="Times New Roman" w:hAnsi="Times New Roman" w:cs="Times New Roman"/>
          <w:color w:val="000000" w:themeColor="text1"/>
        </w:rPr>
      </w:pPr>
      <w:r w:rsidRPr="0084667E">
        <w:rPr>
          <w:rFonts w:ascii="Times New Roman" w:hAnsi="Times New Roman" w:cs="Times New Roman"/>
          <w:color w:val="000000" w:themeColor="text1"/>
        </w:rPr>
        <w:t>d) siatka jednolita z ciętej blachy stalowej</w:t>
      </w:r>
    </w:p>
    <w:p w14:paraId="5F18FDCB" w14:textId="77777777" w:rsidR="0084667E" w:rsidRPr="0084667E" w:rsidRDefault="0084667E" w:rsidP="0084667E">
      <w:pPr>
        <w:rPr>
          <w:rFonts w:ascii="Times New Roman" w:hAnsi="Times New Roman" w:cs="Times New Roman"/>
          <w:color w:val="000000" w:themeColor="text1"/>
        </w:rPr>
      </w:pPr>
    </w:p>
    <w:p w14:paraId="5CCD2E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b)</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c)</w:t>
      </w: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tab/>
        <w:t>d)</w:t>
      </w:r>
    </w:p>
    <w:p w14:paraId="4689A1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695104" behindDoc="0" locked="0" layoutInCell="1" allowOverlap="0" wp14:anchorId="2F3B907D" wp14:editId="296DA126">
            <wp:simplePos x="0" y="0"/>
            <wp:positionH relativeFrom="column">
              <wp:align>center</wp:align>
            </wp:positionH>
            <wp:positionV relativeFrom="paragraph">
              <wp:align>top</wp:align>
            </wp:positionV>
            <wp:extent cx="4648200" cy="1238250"/>
            <wp:effectExtent l="0" t="0" r="0" b="0"/>
            <wp:wrapTopAndBottom/>
            <wp:docPr id="56422" name="Obraz 5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48200" cy="1238250"/>
                    </a:xfrm>
                    <a:prstGeom prst="rect">
                      <a:avLst/>
                    </a:prstGeom>
                    <a:noFill/>
                  </pic:spPr>
                </pic:pic>
              </a:graphicData>
            </a:graphic>
            <wp14:sizeRelH relativeFrom="page">
              <wp14:pctWidth>0</wp14:pctWidth>
            </wp14:sizeRelH>
            <wp14:sizeRelV relativeFrom="page">
              <wp14:pctHeight>0</wp14:pctHeight>
            </wp14:sizeRelV>
          </wp:anchor>
        </w:drawing>
      </w:r>
    </w:p>
    <w:p w14:paraId="29101C5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11.1.3. </w:t>
      </w:r>
      <w:r w:rsidRPr="0084667E">
        <w:rPr>
          <w:rFonts w:ascii="Times New Roman" w:hAnsi="Times New Roman" w:cs="Times New Roman"/>
          <w:color w:val="000000" w:themeColor="text1"/>
        </w:rPr>
        <w:t>Ogrodzenie z siatki plecionej ślimakowej na linkach stalowych (wg KPED [44])</w:t>
      </w:r>
    </w:p>
    <w:p w14:paraId="6A1B4523" w14:textId="77777777" w:rsidR="0084667E" w:rsidRPr="0084667E" w:rsidRDefault="0084667E" w:rsidP="0084667E">
      <w:pPr>
        <w:rPr>
          <w:rFonts w:ascii="Times New Roman" w:hAnsi="Times New Roman" w:cs="Times New Roman"/>
          <w:color w:val="000000" w:themeColor="text1"/>
        </w:rPr>
      </w:pPr>
    </w:p>
    <w:p w14:paraId="3338374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696128" behindDoc="0" locked="0" layoutInCell="1" allowOverlap="0" wp14:anchorId="205DAC7E" wp14:editId="4253F1BC">
            <wp:simplePos x="0" y="0"/>
            <wp:positionH relativeFrom="column">
              <wp:align>center</wp:align>
            </wp:positionH>
            <wp:positionV relativeFrom="paragraph">
              <wp:align>top</wp:align>
            </wp:positionV>
            <wp:extent cx="4705350" cy="2190750"/>
            <wp:effectExtent l="0" t="0" r="0" b="0"/>
            <wp:wrapTopAndBottom/>
            <wp:docPr id="56421" name="Obraz 5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705350" cy="2190750"/>
                    </a:xfrm>
                    <a:prstGeom prst="rect">
                      <a:avLst/>
                    </a:prstGeom>
                    <a:noFill/>
                  </pic:spPr>
                </pic:pic>
              </a:graphicData>
            </a:graphic>
            <wp14:sizeRelH relativeFrom="page">
              <wp14:pctWidth>0</wp14:pctWidth>
            </wp14:sizeRelH>
            <wp14:sizeRelV relativeFrom="page">
              <wp14:pctHeight>0</wp14:pctHeight>
            </wp14:sizeRelV>
          </wp:anchor>
        </w:drawing>
      </w:r>
    </w:p>
    <w:p w14:paraId="0EAD069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11.1.4. </w:t>
      </w:r>
      <w:r w:rsidRPr="0084667E">
        <w:rPr>
          <w:rFonts w:ascii="Times New Roman" w:hAnsi="Times New Roman" w:cs="Times New Roman"/>
          <w:color w:val="000000" w:themeColor="text1"/>
        </w:rPr>
        <w:t>Ogrodzenie z siatki plecionej ślimakowej w ramach stalowych z kątownika (wg KPED [44])</w:t>
      </w:r>
    </w:p>
    <w:p w14:paraId="1EE2B55C" w14:textId="77777777" w:rsidR="0084667E" w:rsidRPr="0084667E" w:rsidRDefault="0084667E" w:rsidP="0084667E">
      <w:pPr>
        <w:rPr>
          <w:rFonts w:ascii="Times New Roman" w:hAnsi="Times New Roman" w:cs="Times New Roman"/>
          <w:color w:val="000000" w:themeColor="text1"/>
        </w:rPr>
      </w:pPr>
    </w:p>
    <w:p w14:paraId="7A54507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697152" behindDoc="0" locked="0" layoutInCell="1" allowOverlap="0" wp14:anchorId="0B273692" wp14:editId="5E6E237A">
            <wp:simplePos x="0" y="0"/>
            <wp:positionH relativeFrom="column">
              <wp:align>center</wp:align>
            </wp:positionH>
            <wp:positionV relativeFrom="paragraph">
              <wp:align>top</wp:align>
            </wp:positionV>
            <wp:extent cx="4724400" cy="2476500"/>
            <wp:effectExtent l="0" t="0" r="0" b="0"/>
            <wp:wrapTopAndBottom/>
            <wp:docPr id="56420" name="Obraz 56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24400" cy="2476500"/>
                    </a:xfrm>
                    <a:prstGeom prst="rect">
                      <a:avLst/>
                    </a:prstGeom>
                    <a:noFill/>
                  </pic:spPr>
                </pic:pic>
              </a:graphicData>
            </a:graphic>
            <wp14:sizeRelH relativeFrom="page">
              <wp14:pctWidth>0</wp14:pctWidth>
            </wp14:sizeRelH>
            <wp14:sizeRelV relativeFrom="page">
              <wp14:pctHeight>0</wp14:pctHeight>
            </wp14:sizeRelV>
          </wp:anchor>
        </w:drawing>
      </w:r>
    </w:p>
    <w:p w14:paraId="0FA0522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11.1.5. </w:t>
      </w:r>
      <w:r w:rsidRPr="0084667E">
        <w:rPr>
          <w:rFonts w:ascii="Times New Roman" w:hAnsi="Times New Roman" w:cs="Times New Roman"/>
          <w:color w:val="000000" w:themeColor="text1"/>
        </w:rPr>
        <w:t>Brama i furtka w ogrodzeniu drogowym (wg KPED [44])</w:t>
      </w:r>
    </w:p>
    <w:p w14:paraId="147C897F" w14:textId="77777777" w:rsidR="0084667E" w:rsidRPr="0084667E" w:rsidRDefault="0084667E" w:rsidP="0084667E">
      <w:pPr>
        <w:rPr>
          <w:rFonts w:ascii="Times New Roman" w:hAnsi="Times New Roman" w:cs="Times New Roman"/>
          <w:color w:val="000000" w:themeColor="text1"/>
        </w:rPr>
      </w:pPr>
    </w:p>
    <w:p w14:paraId="08B3932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698176" behindDoc="0" locked="0" layoutInCell="1" allowOverlap="0" wp14:anchorId="1A5500D7" wp14:editId="108877F1">
            <wp:simplePos x="0" y="0"/>
            <wp:positionH relativeFrom="column">
              <wp:align>center</wp:align>
            </wp:positionH>
            <wp:positionV relativeFrom="paragraph">
              <wp:align>top</wp:align>
            </wp:positionV>
            <wp:extent cx="4714875" cy="2381250"/>
            <wp:effectExtent l="0" t="0" r="9525" b="0"/>
            <wp:wrapTopAndBottom/>
            <wp:docPr id="56419" name="Obraz 56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14875" cy="2381250"/>
                    </a:xfrm>
                    <a:prstGeom prst="rect">
                      <a:avLst/>
                    </a:prstGeom>
                    <a:noFill/>
                  </pic:spPr>
                </pic:pic>
              </a:graphicData>
            </a:graphic>
            <wp14:sizeRelH relativeFrom="page">
              <wp14:pctWidth>0</wp14:pctWidth>
            </wp14:sizeRelH>
            <wp14:sizeRelV relativeFrom="page">
              <wp14:pctHeight>0</wp14:pctHeight>
            </wp14:sizeRelV>
          </wp:anchor>
        </w:drawing>
      </w:r>
    </w:p>
    <w:p w14:paraId="6C1FD8C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lastRenderedPageBreak/>
        <w:t xml:space="preserve">11.1.6. </w:t>
      </w:r>
      <w:r w:rsidRPr="0084667E">
        <w:rPr>
          <w:rFonts w:ascii="Times New Roman" w:hAnsi="Times New Roman" w:cs="Times New Roman"/>
          <w:color w:val="000000" w:themeColor="text1"/>
        </w:rPr>
        <w:t>Dodatkowe urządzenia w ogrodzeniach (wg WSOD [45])</w:t>
      </w:r>
    </w:p>
    <w:p w14:paraId="1CCB9C24" w14:textId="77777777" w:rsidR="0084667E" w:rsidRPr="0084667E" w:rsidRDefault="0084667E" w:rsidP="0084667E">
      <w:pPr>
        <w:rPr>
          <w:rFonts w:ascii="Times New Roman" w:hAnsi="Times New Roman" w:cs="Times New Roman"/>
          <w:color w:val="000000" w:themeColor="text1"/>
        </w:rPr>
      </w:pPr>
    </w:p>
    <w:p w14:paraId="4A31C8C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699200" behindDoc="0" locked="0" layoutInCell="1" allowOverlap="0" wp14:anchorId="139D7E99" wp14:editId="2CE60CDE">
            <wp:simplePos x="0" y="0"/>
            <wp:positionH relativeFrom="column">
              <wp:align>center</wp:align>
            </wp:positionH>
            <wp:positionV relativeFrom="paragraph">
              <wp:align>top</wp:align>
            </wp:positionV>
            <wp:extent cx="3086100" cy="2352675"/>
            <wp:effectExtent l="0" t="0" r="0" b="9525"/>
            <wp:wrapTopAndBottom/>
            <wp:docPr id="56418" name="Obraz 5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86100" cy="2352675"/>
                    </a:xfrm>
                    <a:prstGeom prst="rect">
                      <a:avLst/>
                    </a:prstGeom>
                    <a:noFill/>
                  </pic:spPr>
                </pic:pic>
              </a:graphicData>
            </a:graphic>
            <wp14:sizeRelH relativeFrom="page">
              <wp14:pctWidth>0</wp14:pctWidth>
            </wp14:sizeRelH>
            <wp14:sizeRelV relativeFrom="page">
              <wp14:pctHeight>0</wp14:pctHeight>
            </wp14:sizeRelV>
          </wp:anchor>
        </w:drawing>
      </w:r>
    </w:p>
    <w:p w14:paraId="72EF460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linka z drutu kolczastego na terenach hodowlanych i wypasu zwierząt domowych</w:t>
      </w:r>
    </w:p>
    <w:p w14:paraId="605DE03E" w14:textId="77777777" w:rsidR="0084667E" w:rsidRPr="0084667E" w:rsidRDefault="0084667E" w:rsidP="0084667E">
      <w:pPr>
        <w:rPr>
          <w:rFonts w:ascii="Times New Roman" w:hAnsi="Times New Roman" w:cs="Times New Roman"/>
          <w:color w:val="000000" w:themeColor="text1"/>
        </w:rPr>
      </w:pPr>
    </w:p>
    <w:p w14:paraId="0C708D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0224" behindDoc="0" locked="0" layoutInCell="1" allowOverlap="0" wp14:anchorId="6E9D473E" wp14:editId="560F8820">
            <wp:simplePos x="0" y="0"/>
            <wp:positionH relativeFrom="column">
              <wp:align>center</wp:align>
            </wp:positionH>
            <wp:positionV relativeFrom="paragraph">
              <wp:align>top</wp:align>
            </wp:positionV>
            <wp:extent cx="3257550" cy="2486025"/>
            <wp:effectExtent l="0" t="0" r="0" b="9525"/>
            <wp:wrapTopAndBottom/>
            <wp:docPr id="56417" name="Obraz 5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57550" cy="2486025"/>
                    </a:xfrm>
                    <a:prstGeom prst="rect">
                      <a:avLst/>
                    </a:prstGeom>
                    <a:noFill/>
                  </pic:spPr>
                </pic:pic>
              </a:graphicData>
            </a:graphic>
            <wp14:sizeRelH relativeFrom="page">
              <wp14:pctWidth>0</wp14:pctWidth>
            </wp14:sizeRelH>
            <wp14:sizeRelV relativeFrom="page">
              <wp14:pctHeight>0</wp14:pctHeight>
            </wp14:sizeRelV>
          </wp:anchor>
        </w:drawing>
      </w:r>
    </w:p>
    <w:p w14:paraId="54FCE52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ogrodzenie w strefach migracji zwierząt o znacznej skoczności</w:t>
      </w:r>
    </w:p>
    <w:p w14:paraId="04F0411F" w14:textId="77777777" w:rsidR="0084667E" w:rsidRPr="0084667E" w:rsidRDefault="0084667E" w:rsidP="0084667E">
      <w:pPr>
        <w:rPr>
          <w:rFonts w:ascii="Times New Roman" w:hAnsi="Times New Roman" w:cs="Times New Roman"/>
          <w:color w:val="000000" w:themeColor="text1"/>
        </w:rPr>
      </w:pPr>
    </w:p>
    <w:p w14:paraId="0FFEF2F8" w14:textId="77777777" w:rsidR="0084667E" w:rsidRPr="0084667E" w:rsidRDefault="0084667E" w:rsidP="0084667E">
      <w:pPr>
        <w:rPr>
          <w:rFonts w:ascii="Times New Roman" w:hAnsi="Times New Roman" w:cs="Times New Roman"/>
          <w:color w:val="000000" w:themeColor="text1"/>
        </w:rPr>
      </w:pPr>
    </w:p>
    <w:p w14:paraId="42BBCA1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11.1.7. </w:t>
      </w:r>
      <w:r w:rsidRPr="0084667E">
        <w:rPr>
          <w:rFonts w:ascii="Times New Roman" w:hAnsi="Times New Roman" w:cs="Times New Roman"/>
          <w:color w:val="000000" w:themeColor="text1"/>
        </w:rPr>
        <w:t>Przykłady zabezpieczenia ogrodzenia nad rowami lub kanałami wodnymi, uniemożliwiające przedostawanie się dzieci i zwierząt na drogę i pozwalające na przepływ odpadków z wodą</w:t>
      </w:r>
    </w:p>
    <w:tbl>
      <w:tblPr>
        <w:tblW w:w="0" w:type="auto"/>
        <w:jc w:val="center"/>
        <w:tblCellMar>
          <w:left w:w="70" w:type="dxa"/>
          <w:right w:w="70" w:type="dxa"/>
        </w:tblCellMar>
        <w:tblLook w:val="04A0" w:firstRow="1" w:lastRow="0" w:firstColumn="1" w:lastColumn="0" w:noHBand="0" w:noVBand="1"/>
      </w:tblPr>
      <w:tblGrid>
        <w:gridCol w:w="3755"/>
        <w:gridCol w:w="3755"/>
      </w:tblGrid>
      <w:tr w:rsidR="0084667E" w:rsidRPr="0084667E" w14:paraId="1D3AD859" w14:textId="77777777" w:rsidTr="0084667E">
        <w:trPr>
          <w:jc w:val="center"/>
        </w:trPr>
        <w:tc>
          <w:tcPr>
            <w:tcW w:w="3755" w:type="dxa"/>
            <w:hideMark/>
          </w:tcPr>
          <w:p w14:paraId="3945B95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 zabezpieczenie z drutu kolczastego</w:t>
            </w:r>
          </w:p>
        </w:tc>
        <w:tc>
          <w:tcPr>
            <w:tcW w:w="3755" w:type="dxa"/>
            <w:hideMark/>
          </w:tcPr>
          <w:p w14:paraId="42E318C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b) zabezpieczenie w postaci klapy na zawiasie, samoczynnie odchylającej się pod naciskiem przepływających odpadków lub podnoszonej przez pracowników obsługi</w:t>
            </w:r>
          </w:p>
        </w:tc>
      </w:tr>
      <w:tr w:rsidR="0084667E" w:rsidRPr="0084667E" w14:paraId="229EFC5F" w14:textId="77777777" w:rsidTr="0084667E">
        <w:trPr>
          <w:jc w:val="center"/>
        </w:trPr>
        <w:tc>
          <w:tcPr>
            <w:tcW w:w="3755" w:type="dxa"/>
            <w:hideMark/>
          </w:tcPr>
          <w:p w14:paraId="758A95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inline distT="0" distB="0" distL="0" distR="0" wp14:anchorId="2CB30588" wp14:editId="02BADF27">
                  <wp:extent cx="2009775" cy="1095375"/>
                  <wp:effectExtent l="0" t="0" r="9525" b="9525"/>
                  <wp:docPr id="5515" name="Obraz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09775" cy="1095375"/>
                          </a:xfrm>
                          <a:prstGeom prst="rect">
                            <a:avLst/>
                          </a:prstGeom>
                          <a:noFill/>
                          <a:ln>
                            <a:noFill/>
                          </a:ln>
                        </pic:spPr>
                      </pic:pic>
                    </a:graphicData>
                  </a:graphic>
                </wp:inline>
              </w:drawing>
            </w:r>
          </w:p>
          <w:p w14:paraId="6093D1FC" w14:textId="77777777" w:rsidR="0084667E" w:rsidRPr="0084667E" w:rsidRDefault="0084667E" w:rsidP="0084667E">
            <w:pPr>
              <w:rPr>
                <w:rFonts w:ascii="Times New Roman" w:hAnsi="Times New Roman" w:cs="Times New Roman"/>
                <w:color w:val="000000" w:themeColor="text1"/>
              </w:rPr>
            </w:pPr>
          </w:p>
        </w:tc>
        <w:tc>
          <w:tcPr>
            <w:tcW w:w="3755" w:type="dxa"/>
            <w:hideMark/>
          </w:tcPr>
          <w:p w14:paraId="21EBAAC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inline distT="0" distB="0" distL="0" distR="0" wp14:anchorId="617E51D4" wp14:editId="4129FC25">
                  <wp:extent cx="2009775" cy="1095375"/>
                  <wp:effectExtent l="0" t="0" r="9525" b="9525"/>
                  <wp:docPr id="5514" name="Obraz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1095375"/>
                          </a:xfrm>
                          <a:prstGeom prst="rect">
                            <a:avLst/>
                          </a:prstGeom>
                          <a:noFill/>
                          <a:ln>
                            <a:noFill/>
                          </a:ln>
                        </pic:spPr>
                      </pic:pic>
                    </a:graphicData>
                  </a:graphic>
                </wp:inline>
              </w:drawing>
            </w:r>
          </w:p>
          <w:p w14:paraId="690291C4" w14:textId="77777777" w:rsidR="0084667E" w:rsidRPr="0084667E" w:rsidRDefault="0084667E" w:rsidP="0084667E">
            <w:pPr>
              <w:rPr>
                <w:rFonts w:ascii="Times New Roman" w:hAnsi="Times New Roman" w:cs="Times New Roman"/>
                <w:color w:val="000000" w:themeColor="text1"/>
              </w:rPr>
            </w:pPr>
          </w:p>
        </w:tc>
      </w:tr>
    </w:tbl>
    <w:p w14:paraId="48449F2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 dodatkowe druty kolczaste pod ogrodzeniem</w:t>
      </w:r>
    </w:p>
    <w:p w14:paraId="0B998D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 prześwit około 15 cm</w:t>
      </w:r>
    </w:p>
    <w:p w14:paraId="1CE6AE3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 klapa</w:t>
      </w:r>
    </w:p>
    <w:p w14:paraId="58B73EA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 zawiasa (pręt)</w:t>
      </w:r>
    </w:p>
    <w:p w14:paraId="08EAE3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5 - ogrodzenie drogi</w:t>
      </w:r>
    </w:p>
    <w:p w14:paraId="361F1D59"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11.2. Przykłady ogrodzeń z prefabrykowanych elementów żelbetowych</w:t>
      </w:r>
    </w:p>
    <w:p w14:paraId="62B5BC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11.2.1. </w:t>
      </w:r>
      <w:r w:rsidRPr="0084667E">
        <w:rPr>
          <w:rFonts w:ascii="Times New Roman" w:hAnsi="Times New Roman" w:cs="Times New Roman"/>
          <w:color w:val="000000" w:themeColor="text1"/>
        </w:rPr>
        <w:t>Kształt i wymiary desek elementów ogrodzeń żelbetowych (wg BN-70/6744-03 [43])</w:t>
      </w:r>
    </w:p>
    <w:p w14:paraId="7109391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Deska pełna 202 x 30 x 5 cm</w:t>
      </w:r>
    </w:p>
    <w:p w14:paraId="09E035B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1248" behindDoc="0" locked="0" layoutInCell="1" allowOverlap="0" wp14:anchorId="56CBE27D" wp14:editId="4C42FE7E">
            <wp:simplePos x="0" y="0"/>
            <wp:positionH relativeFrom="column">
              <wp:align>center</wp:align>
            </wp:positionH>
            <wp:positionV relativeFrom="paragraph">
              <wp:align>top</wp:align>
            </wp:positionV>
            <wp:extent cx="3267075" cy="762000"/>
            <wp:effectExtent l="0" t="0" r="9525" b="0"/>
            <wp:wrapTopAndBottom/>
            <wp:docPr id="56416" name="Obraz 5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67075" cy="762000"/>
                    </a:xfrm>
                    <a:prstGeom prst="rect">
                      <a:avLst/>
                    </a:prstGeom>
                    <a:noFill/>
                  </pic:spPr>
                </pic:pic>
              </a:graphicData>
            </a:graphic>
            <wp14:sizeRelH relativeFrom="page">
              <wp14:pctWidth>0</wp14:pctWidth>
            </wp14:sizeRelH>
            <wp14:sizeRelV relativeFrom="page">
              <wp14:pctHeight>0</wp14:pctHeight>
            </wp14:sizeRelV>
          </wp:anchor>
        </w:drawing>
      </w:r>
    </w:p>
    <w:p w14:paraId="7979B22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Deska ażurowa prosta 202 x 90 x 5 cm</w:t>
      </w:r>
    </w:p>
    <w:p w14:paraId="4CB55C7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2272" behindDoc="0" locked="0" layoutInCell="1" allowOverlap="0" wp14:anchorId="70C6EE78" wp14:editId="2422206F">
            <wp:simplePos x="0" y="0"/>
            <wp:positionH relativeFrom="column">
              <wp:align>center</wp:align>
            </wp:positionH>
            <wp:positionV relativeFrom="paragraph">
              <wp:align>top</wp:align>
            </wp:positionV>
            <wp:extent cx="3267075" cy="1638300"/>
            <wp:effectExtent l="0" t="0" r="9525" b="0"/>
            <wp:wrapTopAndBottom/>
            <wp:docPr id="5535" name="Obraz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67075" cy="1638300"/>
                    </a:xfrm>
                    <a:prstGeom prst="rect">
                      <a:avLst/>
                    </a:prstGeom>
                    <a:noFill/>
                  </pic:spPr>
                </pic:pic>
              </a:graphicData>
            </a:graphic>
            <wp14:sizeRelH relativeFrom="page">
              <wp14:pctWidth>0</wp14:pctWidth>
            </wp14:sizeRelH>
            <wp14:sizeRelV relativeFrom="page">
              <wp14:pctHeight>0</wp14:pctHeight>
            </wp14:sizeRelV>
          </wp:anchor>
        </w:drawing>
      </w:r>
    </w:p>
    <w:p w14:paraId="64A9EFD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Deska ażurowa prosta 202 x 60 x 5 cm</w:t>
      </w:r>
    </w:p>
    <w:p w14:paraId="6663E3E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3296" behindDoc="0" locked="0" layoutInCell="1" allowOverlap="0" wp14:anchorId="09873D04" wp14:editId="76E0AB8C">
            <wp:simplePos x="0" y="0"/>
            <wp:positionH relativeFrom="column">
              <wp:align>center</wp:align>
            </wp:positionH>
            <wp:positionV relativeFrom="paragraph">
              <wp:align>top</wp:align>
            </wp:positionV>
            <wp:extent cx="3267075" cy="1362075"/>
            <wp:effectExtent l="0" t="0" r="9525" b="9525"/>
            <wp:wrapTopAndBottom/>
            <wp:docPr id="5534" name="Obraz 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67075" cy="1362075"/>
                    </a:xfrm>
                    <a:prstGeom prst="rect">
                      <a:avLst/>
                    </a:prstGeom>
                    <a:noFill/>
                  </pic:spPr>
                </pic:pic>
              </a:graphicData>
            </a:graphic>
            <wp14:sizeRelH relativeFrom="page">
              <wp14:pctWidth>0</wp14:pctWidth>
            </wp14:sizeRelH>
            <wp14:sizeRelV relativeFrom="page">
              <wp14:pctHeight>0</wp14:pctHeight>
            </wp14:sizeRelV>
          </wp:anchor>
        </w:drawing>
      </w:r>
    </w:p>
    <w:p w14:paraId="212BD17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Deska ażurowa krzyżulcowa 202 x 60 x 5 cm</w:t>
      </w:r>
    </w:p>
    <w:p w14:paraId="291092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704320" behindDoc="0" locked="0" layoutInCell="1" allowOverlap="0" wp14:anchorId="400ECB6A" wp14:editId="36806648">
            <wp:simplePos x="0" y="0"/>
            <wp:positionH relativeFrom="column">
              <wp:align>center</wp:align>
            </wp:positionH>
            <wp:positionV relativeFrom="paragraph">
              <wp:align>top</wp:align>
            </wp:positionV>
            <wp:extent cx="3267075" cy="1400175"/>
            <wp:effectExtent l="0" t="0" r="9525" b="9525"/>
            <wp:wrapTopAndBottom/>
            <wp:docPr id="5533" name="Obraz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67075" cy="1400175"/>
                    </a:xfrm>
                    <a:prstGeom prst="rect">
                      <a:avLst/>
                    </a:prstGeom>
                    <a:noFill/>
                  </pic:spPr>
                </pic:pic>
              </a:graphicData>
            </a:graphic>
            <wp14:sizeRelH relativeFrom="page">
              <wp14:pctWidth>0</wp14:pctWidth>
            </wp14:sizeRelH>
            <wp14:sizeRelV relativeFrom="page">
              <wp14:pctHeight>0</wp14:pctHeight>
            </wp14:sizeRelV>
          </wp:anchor>
        </w:drawing>
      </w:r>
    </w:p>
    <w:p w14:paraId="7BDCE65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Deska ażurowa kombinowana 202 x 90 x 5 cm</w:t>
      </w:r>
    </w:p>
    <w:p w14:paraId="647D7AF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5344" behindDoc="0" locked="0" layoutInCell="1" allowOverlap="0" wp14:anchorId="667E6507" wp14:editId="40E89A9E">
            <wp:simplePos x="0" y="0"/>
            <wp:positionH relativeFrom="column">
              <wp:align>center</wp:align>
            </wp:positionH>
            <wp:positionV relativeFrom="paragraph">
              <wp:align>top</wp:align>
            </wp:positionV>
            <wp:extent cx="3267075" cy="1600200"/>
            <wp:effectExtent l="0" t="0" r="9525" b="0"/>
            <wp:wrapTopAndBottom/>
            <wp:docPr id="5532" name="Obraz 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67075" cy="1600200"/>
                    </a:xfrm>
                    <a:prstGeom prst="rect">
                      <a:avLst/>
                    </a:prstGeom>
                    <a:noFill/>
                  </pic:spPr>
                </pic:pic>
              </a:graphicData>
            </a:graphic>
            <wp14:sizeRelH relativeFrom="page">
              <wp14:pctWidth>0</wp14:pctWidth>
            </wp14:sizeRelH>
            <wp14:sizeRelV relativeFrom="page">
              <wp14:pctHeight>0</wp14:pctHeight>
            </wp14:sizeRelV>
          </wp:anchor>
        </w:drawing>
      </w:r>
    </w:p>
    <w:p w14:paraId="3CE303D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11.2.2. </w:t>
      </w:r>
      <w:r w:rsidRPr="0084667E">
        <w:rPr>
          <w:rFonts w:ascii="Times New Roman" w:hAnsi="Times New Roman" w:cs="Times New Roman"/>
          <w:color w:val="000000" w:themeColor="text1"/>
        </w:rPr>
        <w:t>Kształt i wymiary żelbetowych słupów ogrodzeń (wg BN-70/6744-03 [43])</w:t>
      </w:r>
    </w:p>
    <w:p w14:paraId="6C16113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Słup dla ogrodzeń o wysokości 2,10 m</w:t>
      </w:r>
    </w:p>
    <w:p w14:paraId="25A0205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6368" behindDoc="0" locked="0" layoutInCell="1" allowOverlap="0" wp14:anchorId="246DB886" wp14:editId="1D0AC307">
            <wp:simplePos x="0" y="0"/>
            <wp:positionH relativeFrom="column">
              <wp:align>center</wp:align>
            </wp:positionH>
            <wp:positionV relativeFrom="paragraph">
              <wp:align>top</wp:align>
            </wp:positionV>
            <wp:extent cx="3267075" cy="1600200"/>
            <wp:effectExtent l="0" t="0" r="9525" b="0"/>
            <wp:wrapTopAndBottom/>
            <wp:docPr id="5531" name="Obraz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67075" cy="1600200"/>
                    </a:xfrm>
                    <a:prstGeom prst="rect">
                      <a:avLst/>
                    </a:prstGeom>
                    <a:noFill/>
                  </pic:spPr>
                </pic:pic>
              </a:graphicData>
            </a:graphic>
            <wp14:sizeRelH relativeFrom="page">
              <wp14:pctWidth>0</wp14:pctWidth>
            </wp14:sizeRelH>
            <wp14:sizeRelV relativeFrom="page">
              <wp14:pctHeight>0</wp14:pctHeight>
            </wp14:sizeRelV>
          </wp:anchor>
        </w:drawing>
      </w:r>
    </w:p>
    <w:p w14:paraId="0B06431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Słup dla ogrodzeń o wysokości 1,80 m</w:t>
      </w:r>
    </w:p>
    <w:p w14:paraId="0A49734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7392" behindDoc="0" locked="0" layoutInCell="1" allowOverlap="0" wp14:anchorId="3BADD665" wp14:editId="5A557F8A">
            <wp:simplePos x="0" y="0"/>
            <wp:positionH relativeFrom="column">
              <wp:align>center</wp:align>
            </wp:positionH>
            <wp:positionV relativeFrom="paragraph">
              <wp:align>top</wp:align>
            </wp:positionV>
            <wp:extent cx="3267075" cy="1524000"/>
            <wp:effectExtent l="0" t="0" r="9525" b="0"/>
            <wp:wrapTopAndBottom/>
            <wp:docPr id="5530" name="Obraz 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67075" cy="1524000"/>
                    </a:xfrm>
                    <a:prstGeom prst="rect">
                      <a:avLst/>
                    </a:prstGeom>
                    <a:noFill/>
                  </pic:spPr>
                </pic:pic>
              </a:graphicData>
            </a:graphic>
            <wp14:sizeRelH relativeFrom="page">
              <wp14:pctWidth>0</wp14:pctWidth>
            </wp14:sizeRelH>
            <wp14:sizeRelV relativeFrom="page">
              <wp14:pctHeight>0</wp14:pctHeight>
            </wp14:sizeRelV>
          </wp:anchor>
        </w:drawing>
      </w:r>
    </w:p>
    <w:p w14:paraId="3ED7FFB3"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Słup dla ogrodzeń o wysokości 1,50 m</w:t>
      </w:r>
    </w:p>
    <w:p w14:paraId="7F79438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708416" behindDoc="0" locked="0" layoutInCell="1" allowOverlap="0" wp14:anchorId="7803A704" wp14:editId="0357CCB9">
            <wp:simplePos x="0" y="0"/>
            <wp:positionH relativeFrom="column">
              <wp:align>center</wp:align>
            </wp:positionH>
            <wp:positionV relativeFrom="paragraph">
              <wp:align>top</wp:align>
            </wp:positionV>
            <wp:extent cx="3267075" cy="1524000"/>
            <wp:effectExtent l="0" t="0" r="9525" b="0"/>
            <wp:wrapTopAndBottom/>
            <wp:docPr id="5529" name="Obraz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67075" cy="1524000"/>
                    </a:xfrm>
                    <a:prstGeom prst="rect">
                      <a:avLst/>
                    </a:prstGeom>
                    <a:noFill/>
                  </pic:spPr>
                </pic:pic>
              </a:graphicData>
            </a:graphic>
            <wp14:sizeRelH relativeFrom="page">
              <wp14:pctWidth>0</wp14:pctWidth>
            </wp14:sizeRelH>
            <wp14:sizeRelV relativeFrom="page">
              <wp14:pctHeight>0</wp14:pctHeight>
            </wp14:sizeRelV>
          </wp:anchor>
        </w:drawing>
      </w:r>
    </w:p>
    <w:p w14:paraId="6A1F7EA8"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Słup dla ogrodzeń o wysokości zmiennej, szczegół przekroju poprzecznego słupa</w:t>
      </w:r>
    </w:p>
    <w:p w14:paraId="554AE84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09440" behindDoc="0" locked="0" layoutInCell="1" allowOverlap="0" wp14:anchorId="77A86D5D" wp14:editId="25067233">
            <wp:simplePos x="0" y="0"/>
            <wp:positionH relativeFrom="column">
              <wp:align>center</wp:align>
            </wp:positionH>
            <wp:positionV relativeFrom="paragraph">
              <wp:align>top</wp:align>
            </wp:positionV>
            <wp:extent cx="3267075" cy="2162175"/>
            <wp:effectExtent l="0" t="0" r="9525" b="9525"/>
            <wp:wrapTopAndBottom/>
            <wp:docPr id="5528" name="Obraz 5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67075" cy="2162175"/>
                    </a:xfrm>
                    <a:prstGeom prst="rect">
                      <a:avLst/>
                    </a:prstGeom>
                    <a:noFill/>
                  </pic:spPr>
                </pic:pic>
              </a:graphicData>
            </a:graphic>
            <wp14:sizeRelH relativeFrom="page">
              <wp14:pctWidth>0</wp14:pctWidth>
            </wp14:sizeRelH>
            <wp14:sizeRelV relativeFrom="page">
              <wp14:pctHeight>0</wp14:pctHeight>
            </wp14:sizeRelV>
          </wp:anchor>
        </w:drawing>
      </w:r>
    </w:p>
    <w:p w14:paraId="35BE695A" w14:textId="77777777" w:rsidR="0084667E" w:rsidRPr="0084667E" w:rsidRDefault="0084667E" w:rsidP="0084667E">
      <w:pPr>
        <w:rPr>
          <w:rFonts w:ascii="Times New Roman" w:hAnsi="Times New Roman" w:cs="Times New Roman"/>
          <w:b/>
          <w:color w:val="000000" w:themeColor="text1"/>
        </w:rPr>
      </w:pPr>
    </w:p>
    <w:p w14:paraId="64DC6EF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11.2.3. </w:t>
      </w:r>
      <w:r w:rsidRPr="0084667E">
        <w:rPr>
          <w:rFonts w:ascii="Times New Roman" w:hAnsi="Times New Roman" w:cs="Times New Roman"/>
          <w:color w:val="000000" w:themeColor="text1"/>
        </w:rPr>
        <w:t>Przykłady ogrodzeń z prefabrykatów żelbetowych, składane z różnych rodzajów desek pełnych i ażurowych (wg M.Bosakirski, J.M.Łobocki: Ogrodzenia, „Arkady” Warszawa, 1990</w:t>
      </w:r>
    </w:p>
    <w:p w14:paraId="77991E2A" w14:textId="77777777" w:rsidR="0084667E" w:rsidRPr="0084667E" w:rsidRDefault="0084667E" w:rsidP="0084667E">
      <w:pPr>
        <w:rPr>
          <w:rFonts w:ascii="Times New Roman" w:hAnsi="Times New Roman" w:cs="Times New Roman"/>
          <w:color w:val="000000" w:themeColor="text1"/>
        </w:rPr>
      </w:pPr>
    </w:p>
    <w:p w14:paraId="482732C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Wariant 1</w:t>
      </w:r>
    </w:p>
    <w:p w14:paraId="22D50B4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0464" behindDoc="0" locked="0" layoutInCell="1" allowOverlap="0" wp14:anchorId="0E916D40" wp14:editId="0AA98957">
            <wp:simplePos x="0" y="0"/>
            <wp:positionH relativeFrom="column">
              <wp:align>center</wp:align>
            </wp:positionH>
            <wp:positionV relativeFrom="paragraph">
              <wp:align>top</wp:align>
            </wp:positionV>
            <wp:extent cx="3086100" cy="1943100"/>
            <wp:effectExtent l="0" t="0" r="0" b="0"/>
            <wp:wrapTopAndBottom/>
            <wp:docPr id="5527" name="Obraz 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86100" cy="1943100"/>
                    </a:xfrm>
                    <a:prstGeom prst="rect">
                      <a:avLst/>
                    </a:prstGeom>
                    <a:noFill/>
                  </pic:spPr>
                </pic:pic>
              </a:graphicData>
            </a:graphic>
            <wp14:sizeRelH relativeFrom="page">
              <wp14:pctWidth>0</wp14:pctWidth>
            </wp14:sizeRelH>
            <wp14:sizeRelV relativeFrom="page">
              <wp14:pctHeight>0</wp14:pctHeight>
            </wp14:sizeRelV>
          </wp:anchor>
        </w:drawing>
      </w:r>
    </w:p>
    <w:p w14:paraId="621ED26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Wariant 2</w:t>
      </w:r>
    </w:p>
    <w:p w14:paraId="537B707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711488" behindDoc="0" locked="0" layoutInCell="1" allowOverlap="0" wp14:anchorId="60F0D33C" wp14:editId="2EE7B8CE">
            <wp:simplePos x="0" y="0"/>
            <wp:positionH relativeFrom="column">
              <wp:align>center</wp:align>
            </wp:positionH>
            <wp:positionV relativeFrom="paragraph">
              <wp:align>top</wp:align>
            </wp:positionV>
            <wp:extent cx="3086100" cy="1962150"/>
            <wp:effectExtent l="0" t="0" r="0" b="0"/>
            <wp:wrapTopAndBottom/>
            <wp:docPr id="5526" name="Obraz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86100" cy="1962150"/>
                    </a:xfrm>
                    <a:prstGeom prst="rect">
                      <a:avLst/>
                    </a:prstGeom>
                    <a:noFill/>
                  </pic:spPr>
                </pic:pic>
              </a:graphicData>
            </a:graphic>
            <wp14:sizeRelH relativeFrom="page">
              <wp14:pctWidth>0</wp14:pctWidth>
            </wp14:sizeRelH>
            <wp14:sizeRelV relativeFrom="page">
              <wp14:pctHeight>0</wp14:pctHeight>
            </wp14:sizeRelV>
          </wp:anchor>
        </w:drawing>
      </w:r>
    </w:p>
    <w:p w14:paraId="41959EE1"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Wariant 3</w:t>
      </w:r>
    </w:p>
    <w:p w14:paraId="23FCF2E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2512" behindDoc="0" locked="0" layoutInCell="1" allowOverlap="0" wp14:anchorId="068D3CDF" wp14:editId="01D6F7A9">
            <wp:simplePos x="0" y="0"/>
            <wp:positionH relativeFrom="column">
              <wp:align>center</wp:align>
            </wp:positionH>
            <wp:positionV relativeFrom="paragraph">
              <wp:align>top</wp:align>
            </wp:positionV>
            <wp:extent cx="3086100" cy="1752600"/>
            <wp:effectExtent l="0" t="0" r="0" b="0"/>
            <wp:wrapTopAndBottom/>
            <wp:docPr id="5525" name="Obraz 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86100" cy="1752600"/>
                    </a:xfrm>
                    <a:prstGeom prst="rect">
                      <a:avLst/>
                    </a:prstGeom>
                    <a:noFill/>
                  </pic:spPr>
                </pic:pic>
              </a:graphicData>
            </a:graphic>
            <wp14:sizeRelH relativeFrom="page">
              <wp14:pctWidth>0</wp14:pctWidth>
            </wp14:sizeRelH>
            <wp14:sizeRelV relativeFrom="page">
              <wp14:pctHeight>0</wp14:pctHeight>
            </wp14:sizeRelV>
          </wp:anchor>
        </w:drawing>
      </w:r>
    </w:p>
    <w:p w14:paraId="3A008275"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Uwaga: deska najniższa jest częściowo wkopana w grunt</w:t>
      </w:r>
    </w:p>
    <w:p w14:paraId="40998EDB"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11.3. Przykłady wzmocnienia słupków narożnych i bramowych - słupkami wspierającymi i bloczkami oporowymi</w:t>
      </w:r>
    </w:p>
    <w:p w14:paraId="5E0A44E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11.3.1. </w:t>
      </w:r>
      <w:r w:rsidRPr="0084667E">
        <w:rPr>
          <w:rFonts w:ascii="Times New Roman" w:hAnsi="Times New Roman" w:cs="Times New Roman"/>
          <w:color w:val="000000" w:themeColor="text1"/>
        </w:rPr>
        <w:t>Metalowe słupki wspierające</w:t>
      </w:r>
    </w:p>
    <w:p w14:paraId="4B02D1A6" w14:textId="77777777" w:rsidR="0084667E" w:rsidRPr="0084667E" w:rsidRDefault="0084667E" w:rsidP="00904E6C">
      <w:pPr>
        <w:numPr>
          <w:ilvl w:val="0"/>
          <w:numId w:val="423"/>
        </w:numPr>
        <w:rPr>
          <w:rFonts w:ascii="Times New Roman" w:hAnsi="Times New Roman" w:cs="Times New Roman"/>
          <w:color w:val="000000" w:themeColor="text1"/>
        </w:rPr>
      </w:pPr>
      <w:r w:rsidRPr="0084667E">
        <w:rPr>
          <w:rFonts w:ascii="Times New Roman" w:hAnsi="Times New Roman" w:cs="Times New Roman"/>
          <w:color w:val="000000" w:themeColor="text1"/>
        </w:rPr>
        <w:t>a) słupek wspierający w ciągu ogrodzenia (wg P.Głowacki, A.Niemirski: Ogrodzenia, murki, PWRiL, Warszawa 1986)</w:t>
      </w:r>
    </w:p>
    <w:p w14:paraId="4631A4D2" w14:textId="77777777" w:rsidR="0084667E" w:rsidRPr="0084667E" w:rsidRDefault="0084667E" w:rsidP="0084667E">
      <w:pPr>
        <w:rPr>
          <w:rFonts w:ascii="Times New Roman" w:hAnsi="Times New Roman" w:cs="Times New Roman"/>
          <w:color w:val="000000" w:themeColor="text1"/>
        </w:rPr>
      </w:pPr>
    </w:p>
    <w:p w14:paraId="798CEC1F"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3536" behindDoc="0" locked="0" layoutInCell="1" allowOverlap="0" wp14:anchorId="0367795C" wp14:editId="2CE5AAD2">
            <wp:simplePos x="0" y="0"/>
            <wp:positionH relativeFrom="column">
              <wp:align>center</wp:align>
            </wp:positionH>
            <wp:positionV relativeFrom="paragraph">
              <wp:align>top</wp:align>
            </wp:positionV>
            <wp:extent cx="3990975" cy="2143125"/>
            <wp:effectExtent l="0" t="0" r="9525" b="9525"/>
            <wp:wrapTopAndBottom/>
            <wp:docPr id="5524" name="Obraz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90975" cy="2143125"/>
                    </a:xfrm>
                    <a:prstGeom prst="rect">
                      <a:avLst/>
                    </a:prstGeom>
                    <a:noFill/>
                  </pic:spPr>
                </pic:pic>
              </a:graphicData>
            </a:graphic>
            <wp14:sizeRelH relativeFrom="page">
              <wp14:pctWidth>0</wp14:pctWidth>
            </wp14:sizeRelH>
            <wp14:sizeRelV relativeFrom="page">
              <wp14:pctHeight>0</wp14:pctHeight>
            </wp14:sizeRelV>
          </wp:anchor>
        </w:drawing>
      </w:r>
    </w:p>
    <w:p w14:paraId="2E4B4751" w14:textId="77777777" w:rsidR="0084667E" w:rsidRPr="0084667E" w:rsidRDefault="0084667E" w:rsidP="00904E6C">
      <w:pPr>
        <w:numPr>
          <w:ilvl w:val="0"/>
          <w:numId w:val="423"/>
        </w:num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lastRenderedPageBreak/>
        <w:t>b) słupki wspierające narożne (wg Virginia Department of Highways: Road design and standards, 1973)</w:t>
      </w:r>
    </w:p>
    <w:p w14:paraId="18FBB131" w14:textId="77777777" w:rsidR="0084667E" w:rsidRPr="0084667E" w:rsidRDefault="0084667E" w:rsidP="0084667E">
      <w:pPr>
        <w:rPr>
          <w:rFonts w:ascii="Times New Roman" w:hAnsi="Times New Roman" w:cs="Times New Roman"/>
          <w:color w:val="000000" w:themeColor="text1"/>
          <w:lang w:val="en-US"/>
        </w:rPr>
      </w:pPr>
    </w:p>
    <w:p w14:paraId="0AC95236"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noProof/>
          <w:color w:val="000000" w:themeColor="text1"/>
          <w:lang w:eastAsia="pl-PL"/>
        </w:rPr>
        <w:drawing>
          <wp:anchor distT="0" distB="0" distL="114300" distR="114300" simplePos="0" relativeHeight="251714560" behindDoc="0" locked="0" layoutInCell="1" allowOverlap="0" wp14:anchorId="3978D9D9" wp14:editId="71F3B14C">
            <wp:simplePos x="0" y="0"/>
            <wp:positionH relativeFrom="column">
              <wp:align>center</wp:align>
            </wp:positionH>
            <wp:positionV relativeFrom="paragraph">
              <wp:align>top</wp:align>
            </wp:positionV>
            <wp:extent cx="3810000" cy="2714625"/>
            <wp:effectExtent l="0" t="0" r="0" b="9525"/>
            <wp:wrapTopAndBottom/>
            <wp:docPr id="5523" name="Obraz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10000" cy="2714625"/>
                    </a:xfrm>
                    <a:prstGeom prst="rect">
                      <a:avLst/>
                    </a:prstGeom>
                    <a:noFill/>
                  </pic:spPr>
                </pic:pic>
              </a:graphicData>
            </a:graphic>
            <wp14:sizeRelH relativeFrom="page">
              <wp14:pctWidth>0</wp14:pctWidth>
            </wp14:sizeRelH>
            <wp14:sizeRelV relativeFrom="page">
              <wp14:pctHeight>0</wp14:pctHeight>
            </wp14:sizeRelV>
          </wp:anchor>
        </w:drawing>
      </w:r>
    </w:p>
    <w:p w14:paraId="686397F0" w14:textId="77777777" w:rsidR="0084667E" w:rsidRPr="0084667E" w:rsidRDefault="0084667E" w:rsidP="00904E6C">
      <w:pPr>
        <w:numPr>
          <w:ilvl w:val="0"/>
          <w:numId w:val="423"/>
        </w:num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 xml:space="preserve">c) </w:t>
      </w:r>
      <w:r w:rsidRPr="0084667E">
        <w:rPr>
          <w:rFonts w:ascii="Times New Roman" w:hAnsi="Times New Roman" w:cs="Times New Roman"/>
          <w:color w:val="000000" w:themeColor="text1"/>
        </w:rPr>
        <w:t xml:space="preserve">słupki wspierające w ciągu ogrodzenia </w:t>
      </w:r>
      <w:r w:rsidRPr="0084667E">
        <w:rPr>
          <w:rFonts w:ascii="Times New Roman" w:hAnsi="Times New Roman" w:cs="Times New Roman"/>
          <w:color w:val="000000" w:themeColor="text1"/>
          <w:lang w:val="en-US"/>
        </w:rPr>
        <w:t>(wg Virginia Department of Highways: Road design and standards, 1973)</w:t>
      </w:r>
    </w:p>
    <w:p w14:paraId="4FC8C67A" w14:textId="77777777" w:rsidR="0084667E" w:rsidRPr="0084667E" w:rsidRDefault="0084667E" w:rsidP="0084667E">
      <w:pPr>
        <w:rPr>
          <w:rFonts w:ascii="Times New Roman" w:hAnsi="Times New Roman" w:cs="Times New Roman"/>
          <w:color w:val="000000" w:themeColor="text1"/>
          <w:lang w:val="en-US"/>
        </w:rPr>
      </w:pPr>
    </w:p>
    <w:p w14:paraId="64730C9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5584" behindDoc="0" locked="0" layoutInCell="1" allowOverlap="0" wp14:anchorId="75A75F69" wp14:editId="0F635D01">
            <wp:simplePos x="0" y="0"/>
            <wp:positionH relativeFrom="column">
              <wp:align>center</wp:align>
            </wp:positionH>
            <wp:positionV relativeFrom="paragraph">
              <wp:align>top</wp:align>
            </wp:positionV>
            <wp:extent cx="4695825" cy="1838325"/>
            <wp:effectExtent l="0" t="0" r="9525" b="9525"/>
            <wp:wrapTopAndBottom/>
            <wp:docPr id="5522" name="Obraz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5825" cy="1838325"/>
                    </a:xfrm>
                    <a:prstGeom prst="rect">
                      <a:avLst/>
                    </a:prstGeom>
                    <a:noFill/>
                  </pic:spPr>
                </pic:pic>
              </a:graphicData>
            </a:graphic>
            <wp14:sizeRelH relativeFrom="page">
              <wp14:pctWidth>0</wp14:pctWidth>
            </wp14:sizeRelH>
            <wp14:sizeRelV relativeFrom="page">
              <wp14:pctHeight>0</wp14:pctHeight>
            </wp14:sizeRelV>
          </wp:anchor>
        </w:drawing>
      </w:r>
    </w:p>
    <w:p w14:paraId="2CB5CCC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Uwaga: słupki zastrzałowe stosuje się co ok. 150 m lub gdy zmiana poziomu terenu wynosi</w:t>
      </w:r>
    </w:p>
    <w:p w14:paraId="557DA75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r>
      <w:r w:rsidRPr="0084667E">
        <w:rPr>
          <w:rFonts w:ascii="Times New Roman" w:hAnsi="Times New Roman" w:cs="Times New Roman"/>
          <w:color w:val="000000" w:themeColor="text1"/>
        </w:rPr>
        <w:sym w:font="Symbol" w:char="003E"/>
      </w:r>
      <w:r w:rsidRPr="0084667E">
        <w:rPr>
          <w:rFonts w:ascii="Times New Roman" w:hAnsi="Times New Roman" w:cs="Times New Roman"/>
          <w:color w:val="000000" w:themeColor="text1"/>
        </w:rPr>
        <w:t xml:space="preserve"> 15</w:t>
      </w:r>
      <w:r w:rsidRPr="0084667E">
        <w:rPr>
          <w:rFonts w:ascii="Times New Roman" w:hAnsi="Times New Roman" w:cs="Times New Roman"/>
          <w:color w:val="000000" w:themeColor="text1"/>
          <w:vertAlign w:val="superscript"/>
        </w:rPr>
        <w:t>o</w:t>
      </w:r>
      <w:r w:rsidRPr="0084667E">
        <w:rPr>
          <w:rFonts w:ascii="Times New Roman" w:hAnsi="Times New Roman" w:cs="Times New Roman"/>
          <w:color w:val="000000" w:themeColor="text1"/>
        </w:rPr>
        <w:t>. Na terenach występowania zwierzyny zaleca się stosowanie słupków</w:t>
      </w:r>
    </w:p>
    <w:p w14:paraId="50888AA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ab/>
        <w:t>zastrzałowych co ok. 50 m.</w:t>
      </w:r>
    </w:p>
    <w:p w14:paraId="213C9D7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11.3.2. </w:t>
      </w:r>
      <w:r w:rsidRPr="0084667E">
        <w:rPr>
          <w:rFonts w:ascii="Times New Roman" w:hAnsi="Times New Roman" w:cs="Times New Roman"/>
          <w:color w:val="000000" w:themeColor="text1"/>
        </w:rPr>
        <w:t>Wzmocnienie słupków żelbetowych (wg M.Bosakirski, J.M.Łobocki: Ogrodzenia, „Arkady”, Warszawa 1990)</w:t>
      </w:r>
    </w:p>
    <w:p w14:paraId="2D717B74" w14:textId="77777777" w:rsidR="0084667E" w:rsidRPr="0084667E" w:rsidRDefault="0084667E" w:rsidP="0084667E">
      <w:pPr>
        <w:rPr>
          <w:rFonts w:ascii="Times New Roman" w:hAnsi="Times New Roman" w:cs="Times New Roman"/>
          <w:color w:val="000000" w:themeColor="text1"/>
        </w:rPr>
      </w:pPr>
    </w:p>
    <w:p w14:paraId="7599E4D5" w14:textId="77777777" w:rsidR="0084667E" w:rsidRPr="0084667E" w:rsidRDefault="0084667E" w:rsidP="00904E6C">
      <w:pPr>
        <w:numPr>
          <w:ilvl w:val="0"/>
          <w:numId w:val="424"/>
        </w:numPr>
        <w:tabs>
          <w:tab w:val="num" w:pos="567"/>
        </w:tabs>
        <w:rPr>
          <w:rFonts w:ascii="Times New Roman" w:hAnsi="Times New Roman" w:cs="Times New Roman"/>
          <w:color w:val="000000" w:themeColor="text1"/>
        </w:rPr>
      </w:pPr>
      <w:r w:rsidRPr="0084667E">
        <w:rPr>
          <w:rFonts w:ascii="Times New Roman" w:hAnsi="Times New Roman" w:cs="Times New Roman"/>
          <w:color w:val="000000" w:themeColor="text1"/>
        </w:rPr>
        <w:t>a) żelbetowy słupek wspierający</w:t>
      </w:r>
    </w:p>
    <w:p w14:paraId="2BECBB76" w14:textId="77777777" w:rsidR="0084667E" w:rsidRPr="0084667E" w:rsidRDefault="0084667E" w:rsidP="0084667E">
      <w:pPr>
        <w:rPr>
          <w:rFonts w:ascii="Times New Roman" w:hAnsi="Times New Roman" w:cs="Times New Roman"/>
          <w:color w:val="000000" w:themeColor="text1"/>
        </w:rPr>
      </w:pPr>
    </w:p>
    <w:p w14:paraId="33E06FEA"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lastRenderedPageBreak/>
        <w:drawing>
          <wp:anchor distT="0" distB="0" distL="114300" distR="114300" simplePos="0" relativeHeight="251716608" behindDoc="0" locked="0" layoutInCell="1" allowOverlap="0" wp14:anchorId="0C29FDA2" wp14:editId="13892529">
            <wp:simplePos x="0" y="0"/>
            <wp:positionH relativeFrom="column">
              <wp:align>left</wp:align>
            </wp:positionH>
            <wp:positionV relativeFrom="paragraph">
              <wp:align>top</wp:align>
            </wp:positionV>
            <wp:extent cx="2371725" cy="1809750"/>
            <wp:effectExtent l="0" t="0" r="9525" b="0"/>
            <wp:wrapTopAndBottom/>
            <wp:docPr id="5521" name="Obraz 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71725" cy="1809750"/>
                    </a:xfrm>
                    <a:prstGeom prst="rect">
                      <a:avLst/>
                    </a:prstGeom>
                    <a:noFill/>
                  </pic:spPr>
                </pic:pic>
              </a:graphicData>
            </a:graphic>
            <wp14:sizeRelH relativeFrom="page">
              <wp14:pctWidth>0</wp14:pctWidth>
            </wp14:sizeRelH>
            <wp14:sizeRelV relativeFrom="page">
              <wp14:pctHeight>0</wp14:pctHeight>
            </wp14:sizeRelV>
          </wp:anchor>
        </w:drawing>
      </w:r>
    </w:p>
    <w:p w14:paraId="443239E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 słupek żelbetowy wspierający</w:t>
      </w:r>
    </w:p>
    <w:p w14:paraId="55E3265B"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 naciąg z linki stalowej</w:t>
      </w:r>
    </w:p>
    <w:p w14:paraId="0643650D"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 linki usztywniające siatkę</w:t>
      </w:r>
    </w:p>
    <w:p w14:paraId="62885E1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 oparcie słupka wspierającego</w:t>
      </w:r>
      <w:r w:rsidRPr="0084667E">
        <w:rPr>
          <w:rFonts w:ascii="Times New Roman" w:hAnsi="Times New Roman" w:cs="Times New Roman"/>
          <w:color w:val="000000" w:themeColor="text1"/>
        </w:rPr>
        <w:br/>
      </w:r>
    </w:p>
    <w:p w14:paraId="248E854E" w14:textId="77777777" w:rsidR="0084667E" w:rsidRPr="0084667E" w:rsidRDefault="0084667E" w:rsidP="00904E6C">
      <w:pPr>
        <w:numPr>
          <w:ilvl w:val="0"/>
          <w:numId w:val="424"/>
        </w:numPr>
        <w:rPr>
          <w:rFonts w:ascii="Times New Roman" w:hAnsi="Times New Roman" w:cs="Times New Roman"/>
          <w:color w:val="000000" w:themeColor="text1"/>
        </w:rPr>
      </w:pPr>
      <w:r w:rsidRPr="0084667E">
        <w:rPr>
          <w:rFonts w:ascii="Times New Roman" w:hAnsi="Times New Roman" w:cs="Times New Roman"/>
          <w:color w:val="000000" w:themeColor="text1"/>
        </w:rPr>
        <w:t>wzmocnienie narożnego słupka ogrodzenia z prefabrykatów żelbetowych za pomocą bloczków oporowych</w:t>
      </w:r>
    </w:p>
    <w:p w14:paraId="0A9CB8DD" w14:textId="77777777" w:rsidR="0084667E" w:rsidRPr="0084667E" w:rsidRDefault="0084667E" w:rsidP="0084667E">
      <w:pPr>
        <w:rPr>
          <w:rFonts w:ascii="Times New Roman" w:hAnsi="Times New Roman" w:cs="Times New Roman"/>
          <w:color w:val="000000" w:themeColor="text1"/>
        </w:rPr>
      </w:pPr>
    </w:p>
    <w:p w14:paraId="396C9A4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7632" behindDoc="0" locked="0" layoutInCell="1" allowOverlap="0" wp14:anchorId="4461FF51" wp14:editId="06F22BDB">
            <wp:simplePos x="0" y="0"/>
            <wp:positionH relativeFrom="column">
              <wp:align>left</wp:align>
            </wp:positionH>
            <wp:positionV relativeFrom="paragraph">
              <wp:align>top</wp:align>
            </wp:positionV>
            <wp:extent cx="2009775" cy="2628900"/>
            <wp:effectExtent l="0" t="0" r="9525" b="0"/>
            <wp:wrapTopAndBottom/>
            <wp:docPr id="5520" name="Obraz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09775" cy="2628900"/>
                    </a:xfrm>
                    <a:prstGeom prst="rect">
                      <a:avLst/>
                    </a:prstGeom>
                    <a:noFill/>
                  </pic:spPr>
                </pic:pic>
              </a:graphicData>
            </a:graphic>
            <wp14:sizeRelH relativeFrom="page">
              <wp14:pctWidth>0</wp14:pctWidth>
            </wp14:sizeRelH>
            <wp14:sizeRelV relativeFrom="page">
              <wp14:pctHeight>0</wp14:pctHeight>
            </wp14:sizeRelV>
          </wp:anchor>
        </w:drawing>
      </w:r>
    </w:p>
    <w:p w14:paraId="16666A49"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1 - słupek żelbetowy</w:t>
      </w:r>
    </w:p>
    <w:p w14:paraId="72082E9C"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2 - bloczki oporowe</w:t>
      </w:r>
    </w:p>
    <w:p w14:paraId="3EF10A70"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3 - podkład pod słupek</w:t>
      </w:r>
    </w:p>
    <w:p w14:paraId="402A369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4 - deski żelbetowe ogrodzenia</w:t>
      </w:r>
    </w:p>
    <w:p w14:paraId="2E7D18C5" w14:textId="77777777" w:rsidR="0084667E" w:rsidRPr="0084667E" w:rsidRDefault="0084667E" w:rsidP="0084667E">
      <w:pPr>
        <w:rPr>
          <w:rFonts w:ascii="Times New Roman" w:hAnsi="Times New Roman" w:cs="Times New Roman"/>
          <w:color w:val="000000" w:themeColor="text1"/>
        </w:rPr>
      </w:pPr>
    </w:p>
    <w:p w14:paraId="102C1636" w14:textId="77777777" w:rsidR="0084667E" w:rsidRPr="0084667E" w:rsidRDefault="0084667E" w:rsidP="0084667E">
      <w:pPr>
        <w:rPr>
          <w:rFonts w:ascii="Times New Roman" w:hAnsi="Times New Roman" w:cs="Times New Roman"/>
          <w:b/>
          <w:color w:val="000000" w:themeColor="text1"/>
          <w:u w:val="single"/>
        </w:rPr>
      </w:pPr>
      <w:r w:rsidRPr="0084667E">
        <w:rPr>
          <w:rFonts w:ascii="Times New Roman" w:hAnsi="Times New Roman" w:cs="Times New Roman"/>
          <w:b/>
          <w:color w:val="000000" w:themeColor="text1"/>
          <w:u w:val="single"/>
        </w:rPr>
        <w:t>11.4. Przykłady mocowania ram z siatką do słupków ogrodzeniowych</w:t>
      </w:r>
    </w:p>
    <w:p w14:paraId="065CC487"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color w:val="000000" w:themeColor="text1"/>
        </w:rPr>
        <w:t>(wg M.Bosakirski, J.M.Łobocki: Ogrodzenia, „Arkady”, Warszawa 1990)</w:t>
      </w:r>
    </w:p>
    <w:p w14:paraId="2FEC1748" w14:textId="77777777" w:rsidR="0084667E" w:rsidRPr="0084667E" w:rsidRDefault="0084667E" w:rsidP="0084667E">
      <w:pPr>
        <w:rPr>
          <w:rFonts w:ascii="Times New Roman" w:hAnsi="Times New Roman" w:cs="Times New Roman"/>
          <w:color w:val="000000" w:themeColor="text1"/>
        </w:rPr>
      </w:pPr>
    </w:p>
    <w:p w14:paraId="0F45ED64"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11.4.1. </w:t>
      </w:r>
      <w:r w:rsidRPr="0084667E">
        <w:rPr>
          <w:rFonts w:ascii="Times New Roman" w:hAnsi="Times New Roman" w:cs="Times New Roman"/>
          <w:color w:val="000000" w:themeColor="text1"/>
        </w:rPr>
        <w:t>Przykłady mocowania ram z siatką do słupków metalowych</w:t>
      </w:r>
    </w:p>
    <w:p w14:paraId="08B0CCB4" w14:textId="77777777" w:rsidR="0084667E" w:rsidRPr="0084667E" w:rsidRDefault="0084667E" w:rsidP="00904E6C">
      <w:pPr>
        <w:numPr>
          <w:ilvl w:val="0"/>
          <w:numId w:val="425"/>
        </w:numPr>
        <w:rPr>
          <w:rFonts w:ascii="Times New Roman" w:hAnsi="Times New Roman" w:cs="Times New Roman"/>
          <w:color w:val="000000" w:themeColor="text1"/>
        </w:rPr>
      </w:pPr>
      <w:r w:rsidRPr="0084667E">
        <w:rPr>
          <w:rFonts w:ascii="Times New Roman" w:hAnsi="Times New Roman" w:cs="Times New Roman"/>
          <w:color w:val="000000" w:themeColor="text1"/>
        </w:rPr>
        <w:t>a) za pomocą śrub</w:t>
      </w:r>
    </w:p>
    <w:p w14:paraId="01A9D1C9" w14:textId="77777777" w:rsidR="0084667E" w:rsidRPr="0084667E" w:rsidRDefault="0084667E" w:rsidP="0084667E">
      <w:pPr>
        <w:rPr>
          <w:rFonts w:ascii="Times New Roman" w:hAnsi="Times New Roman" w:cs="Times New Roman"/>
          <w:color w:val="000000" w:themeColor="text1"/>
        </w:rPr>
      </w:pPr>
    </w:p>
    <w:p w14:paraId="6AE1CEEE"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8656" behindDoc="0" locked="0" layoutInCell="1" allowOverlap="0" wp14:anchorId="7479FC09" wp14:editId="5037C7A0">
            <wp:simplePos x="0" y="0"/>
            <wp:positionH relativeFrom="column">
              <wp:align>center</wp:align>
            </wp:positionH>
            <wp:positionV relativeFrom="paragraph">
              <wp:align>top</wp:align>
            </wp:positionV>
            <wp:extent cx="4705350" cy="3819525"/>
            <wp:effectExtent l="0" t="0" r="0" b="9525"/>
            <wp:wrapTopAndBottom/>
            <wp:docPr id="5519" name="Obraz 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705350" cy="3819525"/>
                    </a:xfrm>
                    <a:prstGeom prst="rect">
                      <a:avLst/>
                    </a:prstGeom>
                    <a:noFill/>
                  </pic:spPr>
                </pic:pic>
              </a:graphicData>
            </a:graphic>
            <wp14:sizeRelH relativeFrom="page">
              <wp14:pctWidth>0</wp14:pctWidth>
            </wp14:sizeRelH>
            <wp14:sizeRelV relativeFrom="page">
              <wp14:pctHeight>0</wp14:pctHeight>
            </wp14:sizeRelV>
          </wp:anchor>
        </w:drawing>
      </w:r>
    </w:p>
    <w:p w14:paraId="73CC622A" w14:textId="77777777" w:rsidR="0084667E" w:rsidRPr="0084667E" w:rsidRDefault="0084667E" w:rsidP="0084667E">
      <w:pPr>
        <w:rPr>
          <w:rFonts w:ascii="Times New Roman" w:hAnsi="Times New Roman" w:cs="Times New Roman"/>
          <w:color w:val="000000" w:themeColor="text1"/>
        </w:rPr>
      </w:pPr>
    </w:p>
    <w:p w14:paraId="02DEEB9C" w14:textId="77777777" w:rsidR="0084667E" w:rsidRPr="0084667E" w:rsidRDefault="0084667E" w:rsidP="00904E6C">
      <w:pPr>
        <w:numPr>
          <w:ilvl w:val="0"/>
          <w:numId w:val="425"/>
        </w:numPr>
        <w:rPr>
          <w:rFonts w:ascii="Times New Roman" w:hAnsi="Times New Roman" w:cs="Times New Roman"/>
          <w:color w:val="000000" w:themeColor="text1"/>
        </w:rPr>
      </w:pPr>
      <w:r w:rsidRPr="0084667E">
        <w:rPr>
          <w:rFonts w:ascii="Times New Roman" w:hAnsi="Times New Roman" w:cs="Times New Roman"/>
          <w:color w:val="000000" w:themeColor="text1"/>
        </w:rPr>
        <w:t>b) za pomocą przyspawanych płaskowników</w:t>
      </w:r>
    </w:p>
    <w:p w14:paraId="3D016702" w14:textId="77777777" w:rsidR="0084667E" w:rsidRPr="0084667E" w:rsidRDefault="0084667E" w:rsidP="0084667E">
      <w:pPr>
        <w:rPr>
          <w:rFonts w:ascii="Times New Roman" w:hAnsi="Times New Roman" w:cs="Times New Roman"/>
          <w:color w:val="000000" w:themeColor="text1"/>
        </w:rPr>
      </w:pPr>
    </w:p>
    <w:p w14:paraId="79D99F6D" w14:textId="77777777" w:rsidR="0084667E" w:rsidRPr="0084667E" w:rsidRDefault="0084667E" w:rsidP="0084667E">
      <w:pPr>
        <w:rPr>
          <w:rFonts w:ascii="Times New Roman" w:hAnsi="Times New Roman" w:cs="Times New Roman"/>
          <w:color w:val="000000" w:themeColor="text1"/>
        </w:rPr>
      </w:pPr>
    </w:p>
    <w:p w14:paraId="2CC6186D" w14:textId="77777777" w:rsidR="0084667E" w:rsidRPr="0084667E" w:rsidRDefault="0084667E" w:rsidP="0084667E">
      <w:pPr>
        <w:rPr>
          <w:rFonts w:ascii="Times New Roman" w:hAnsi="Times New Roman" w:cs="Times New Roman"/>
          <w:b/>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19680" behindDoc="1" locked="0" layoutInCell="1" allowOverlap="0" wp14:anchorId="15CBB6D0" wp14:editId="330E8CAE">
            <wp:simplePos x="0" y="0"/>
            <wp:positionH relativeFrom="column">
              <wp:posOffset>274320</wp:posOffset>
            </wp:positionH>
            <wp:positionV relativeFrom="paragraph">
              <wp:posOffset>8255</wp:posOffset>
            </wp:positionV>
            <wp:extent cx="4705350" cy="2486025"/>
            <wp:effectExtent l="0" t="0" r="0" b="9525"/>
            <wp:wrapTight wrapText="bothSides">
              <wp:wrapPolygon edited="0">
                <wp:start x="0" y="0"/>
                <wp:lineTo x="0" y="21517"/>
                <wp:lineTo x="21513" y="21517"/>
                <wp:lineTo x="21513" y="0"/>
                <wp:lineTo x="0" y="0"/>
              </wp:wrapPolygon>
            </wp:wrapTight>
            <wp:docPr id="5518" name="Obraz 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05350" cy="2486025"/>
                    </a:xfrm>
                    <a:prstGeom prst="rect">
                      <a:avLst/>
                    </a:prstGeom>
                    <a:noFill/>
                  </pic:spPr>
                </pic:pic>
              </a:graphicData>
            </a:graphic>
            <wp14:sizeRelH relativeFrom="page">
              <wp14:pctWidth>0</wp14:pctWidth>
            </wp14:sizeRelH>
            <wp14:sizeRelV relativeFrom="page">
              <wp14:pctHeight>0</wp14:pctHeight>
            </wp14:sizeRelV>
          </wp:anchor>
        </w:drawing>
      </w:r>
    </w:p>
    <w:p w14:paraId="46A3E2F1" w14:textId="77777777" w:rsidR="0084667E" w:rsidRPr="0084667E" w:rsidRDefault="0084667E" w:rsidP="0084667E">
      <w:pPr>
        <w:rPr>
          <w:rFonts w:ascii="Times New Roman" w:hAnsi="Times New Roman" w:cs="Times New Roman"/>
          <w:b/>
          <w:color w:val="000000" w:themeColor="text1"/>
        </w:rPr>
      </w:pPr>
    </w:p>
    <w:p w14:paraId="18460D1F" w14:textId="77777777" w:rsidR="0084667E" w:rsidRPr="0084667E" w:rsidRDefault="0084667E" w:rsidP="0084667E">
      <w:pPr>
        <w:rPr>
          <w:rFonts w:ascii="Times New Roman" w:hAnsi="Times New Roman" w:cs="Times New Roman"/>
          <w:b/>
          <w:color w:val="000000" w:themeColor="text1"/>
        </w:rPr>
      </w:pPr>
    </w:p>
    <w:p w14:paraId="5272225F" w14:textId="77777777" w:rsidR="0084667E" w:rsidRPr="0084667E" w:rsidRDefault="0084667E" w:rsidP="0084667E">
      <w:pPr>
        <w:rPr>
          <w:rFonts w:ascii="Times New Roman" w:hAnsi="Times New Roman" w:cs="Times New Roman"/>
          <w:b/>
          <w:color w:val="000000" w:themeColor="text1"/>
        </w:rPr>
      </w:pPr>
    </w:p>
    <w:p w14:paraId="7F9D749E" w14:textId="77777777" w:rsidR="0084667E" w:rsidRPr="0084667E" w:rsidRDefault="0084667E" w:rsidP="0084667E">
      <w:pPr>
        <w:rPr>
          <w:rFonts w:ascii="Times New Roman" w:hAnsi="Times New Roman" w:cs="Times New Roman"/>
          <w:b/>
          <w:color w:val="000000" w:themeColor="text1"/>
        </w:rPr>
      </w:pPr>
    </w:p>
    <w:p w14:paraId="568FD6FF" w14:textId="77777777" w:rsidR="0084667E" w:rsidRPr="0084667E" w:rsidRDefault="0084667E" w:rsidP="0084667E">
      <w:pPr>
        <w:rPr>
          <w:rFonts w:ascii="Times New Roman" w:hAnsi="Times New Roman" w:cs="Times New Roman"/>
          <w:b/>
          <w:color w:val="000000" w:themeColor="text1"/>
        </w:rPr>
      </w:pPr>
    </w:p>
    <w:p w14:paraId="6737C961" w14:textId="77777777" w:rsidR="0084667E" w:rsidRPr="0084667E" w:rsidRDefault="0084667E" w:rsidP="0084667E">
      <w:pPr>
        <w:rPr>
          <w:rFonts w:ascii="Times New Roman" w:hAnsi="Times New Roman" w:cs="Times New Roman"/>
          <w:b/>
          <w:color w:val="000000" w:themeColor="text1"/>
        </w:rPr>
      </w:pPr>
    </w:p>
    <w:p w14:paraId="623578C9" w14:textId="77777777" w:rsidR="0084667E" w:rsidRPr="0084667E" w:rsidRDefault="0084667E" w:rsidP="0084667E">
      <w:pPr>
        <w:rPr>
          <w:rFonts w:ascii="Times New Roman" w:hAnsi="Times New Roman" w:cs="Times New Roman"/>
          <w:b/>
          <w:color w:val="000000" w:themeColor="text1"/>
        </w:rPr>
      </w:pPr>
    </w:p>
    <w:p w14:paraId="38679C19" w14:textId="77777777" w:rsidR="0084667E" w:rsidRPr="0084667E" w:rsidRDefault="0084667E" w:rsidP="0084667E">
      <w:pPr>
        <w:rPr>
          <w:rFonts w:ascii="Times New Roman" w:hAnsi="Times New Roman" w:cs="Times New Roman"/>
          <w:b/>
          <w:color w:val="000000" w:themeColor="text1"/>
        </w:rPr>
      </w:pPr>
    </w:p>
    <w:p w14:paraId="79DC4631" w14:textId="77777777" w:rsidR="0084667E" w:rsidRPr="0084667E" w:rsidRDefault="0084667E" w:rsidP="0084667E">
      <w:pPr>
        <w:rPr>
          <w:rFonts w:ascii="Times New Roman" w:hAnsi="Times New Roman" w:cs="Times New Roman"/>
          <w:b/>
          <w:color w:val="000000" w:themeColor="text1"/>
        </w:rPr>
      </w:pPr>
    </w:p>
    <w:p w14:paraId="127DC136"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b/>
          <w:color w:val="000000" w:themeColor="text1"/>
        </w:rPr>
        <w:t xml:space="preserve">11.4.2. </w:t>
      </w:r>
      <w:r w:rsidRPr="0084667E">
        <w:rPr>
          <w:rFonts w:ascii="Times New Roman" w:hAnsi="Times New Roman" w:cs="Times New Roman"/>
          <w:color w:val="000000" w:themeColor="text1"/>
        </w:rPr>
        <w:t>Przykłady mocowania ram z siatką do słupków betonowych</w:t>
      </w:r>
    </w:p>
    <w:p w14:paraId="7D69EE62" w14:textId="77777777" w:rsidR="0084667E" w:rsidRPr="0084667E" w:rsidRDefault="0084667E" w:rsidP="0084667E">
      <w:pPr>
        <w:rPr>
          <w:rFonts w:ascii="Times New Roman" w:hAnsi="Times New Roman" w:cs="Times New Roman"/>
          <w:color w:val="000000" w:themeColor="text1"/>
        </w:rPr>
      </w:pPr>
      <w:r w:rsidRPr="0084667E">
        <w:rPr>
          <w:rFonts w:ascii="Times New Roman" w:hAnsi="Times New Roman" w:cs="Times New Roman"/>
          <w:noProof/>
          <w:color w:val="000000" w:themeColor="text1"/>
          <w:lang w:eastAsia="pl-PL"/>
        </w:rPr>
        <w:drawing>
          <wp:anchor distT="0" distB="0" distL="114300" distR="114300" simplePos="0" relativeHeight="251720704" behindDoc="1" locked="0" layoutInCell="1" allowOverlap="0" wp14:anchorId="4A9BCC77" wp14:editId="31B976C7">
            <wp:simplePos x="0" y="0"/>
            <wp:positionH relativeFrom="column">
              <wp:posOffset>1193800</wp:posOffset>
            </wp:positionH>
            <wp:positionV relativeFrom="line">
              <wp:posOffset>155575</wp:posOffset>
            </wp:positionV>
            <wp:extent cx="3657600" cy="3552825"/>
            <wp:effectExtent l="0" t="0" r="0" b="9525"/>
            <wp:wrapTight wrapText="bothSides">
              <wp:wrapPolygon edited="0">
                <wp:start x="0" y="0"/>
                <wp:lineTo x="0" y="21542"/>
                <wp:lineTo x="21488" y="21542"/>
                <wp:lineTo x="21488" y="0"/>
                <wp:lineTo x="0" y="0"/>
              </wp:wrapPolygon>
            </wp:wrapTight>
            <wp:docPr id="5517" name="Obraz 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657600" cy="3552825"/>
                    </a:xfrm>
                    <a:prstGeom prst="rect">
                      <a:avLst/>
                    </a:prstGeom>
                    <a:noFill/>
                  </pic:spPr>
                </pic:pic>
              </a:graphicData>
            </a:graphic>
            <wp14:sizeRelH relativeFrom="page">
              <wp14:pctWidth>0</wp14:pctWidth>
            </wp14:sizeRelH>
            <wp14:sizeRelV relativeFrom="page">
              <wp14:pctHeight>0</wp14:pctHeight>
            </wp14:sizeRelV>
          </wp:anchor>
        </w:drawing>
      </w:r>
    </w:p>
    <w:p w14:paraId="63EB2786" w14:textId="77777777" w:rsidR="0084667E" w:rsidRPr="0084667E" w:rsidRDefault="0084667E" w:rsidP="0084667E">
      <w:pPr>
        <w:rPr>
          <w:rFonts w:ascii="Times New Roman" w:hAnsi="Times New Roman" w:cs="Times New Roman"/>
          <w:color w:val="000000" w:themeColor="text1"/>
        </w:rPr>
      </w:pPr>
    </w:p>
    <w:p w14:paraId="4F583EAF"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wariant 1</w:t>
      </w:r>
    </w:p>
    <w:p w14:paraId="076994D9" w14:textId="77777777" w:rsidR="0084667E" w:rsidRPr="0084667E" w:rsidRDefault="0084667E" w:rsidP="0084667E">
      <w:pPr>
        <w:rPr>
          <w:rFonts w:ascii="Times New Roman" w:hAnsi="Times New Roman" w:cs="Times New Roman"/>
          <w:color w:val="000000" w:themeColor="text1"/>
          <w:lang w:val="en-US"/>
        </w:rPr>
      </w:pPr>
    </w:p>
    <w:p w14:paraId="787FF111" w14:textId="77777777" w:rsidR="0084667E" w:rsidRPr="0084667E" w:rsidRDefault="0084667E" w:rsidP="0084667E">
      <w:pPr>
        <w:rPr>
          <w:rFonts w:ascii="Times New Roman" w:hAnsi="Times New Roman" w:cs="Times New Roman"/>
          <w:color w:val="000000" w:themeColor="text1"/>
          <w:lang w:val="en-US"/>
        </w:rPr>
      </w:pPr>
    </w:p>
    <w:p w14:paraId="5F5007C5" w14:textId="77777777" w:rsidR="0084667E" w:rsidRPr="0084667E" w:rsidRDefault="0084667E" w:rsidP="0084667E">
      <w:pPr>
        <w:rPr>
          <w:rFonts w:ascii="Times New Roman" w:hAnsi="Times New Roman" w:cs="Times New Roman"/>
          <w:color w:val="000000" w:themeColor="text1"/>
          <w:lang w:val="en-US"/>
        </w:rPr>
      </w:pPr>
    </w:p>
    <w:p w14:paraId="1C46EE4E" w14:textId="77777777" w:rsidR="0084667E" w:rsidRPr="0084667E" w:rsidRDefault="0084667E" w:rsidP="0084667E">
      <w:pPr>
        <w:rPr>
          <w:rFonts w:ascii="Times New Roman" w:hAnsi="Times New Roman" w:cs="Times New Roman"/>
          <w:color w:val="000000" w:themeColor="text1"/>
          <w:lang w:val="en-US"/>
        </w:rPr>
      </w:pPr>
    </w:p>
    <w:p w14:paraId="6830E2BA"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wariant 2</w:t>
      </w:r>
    </w:p>
    <w:p w14:paraId="3676E2D8" w14:textId="77777777" w:rsidR="0084667E" w:rsidRPr="0084667E" w:rsidRDefault="0084667E" w:rsidP="0084667E">
      <w:pPr>
        <w:rPr>
          <w:rFonts w:ascii="Times New Roman" w:hAnsi="Times New Roman" w:cs="Times New Roman"/>
          <w:color w:val="000000" w:themeColor="text1"/>
          <w:lang w:val="en-US"/>
        </w:rPr>
      </w:pPr>
    </w:p>
    <w:p w14:paraId="09E95A2E" w14:textId="77777777" w:rsidR="0084667E" w:rsidRPr="0084667E" w:rsidRDefault="0084667E" w:rsidP="0084667E">
      <w:pPr>
        <w:rPr>
          <w:rFonts w:ascii="Times New Roman" w:hAnsi="Times New Roman" w:cs="Times New Roman"/>
          <w:color w:val="000000" w:themeColor="text1"/>
          <w:lang w:val="en-US"/>
        </w:rPr>
      </w:pPr>
    </w:p>
    <w:p w14:paraId="583544CA" w14:textId="77777777" w:rsidR="0084667E" w:rsidRPr="0084667E" w:rsidRDefault="0084667E" w:rsidP="0084667E">
      <w:pPr>
        <w:rPr>
          <w:rFonts w:ascii="Times New Roman" w:hAnsi="Times New Roman" w:cs="Times New Roman"/>
          <w:color w:val="000000" w:themeColor="text1"/>
          <w:lang w:val="en-US"/>
        </w:rPr>
      </w:pPr>
    </w:p>
    <w:p w14:paraId="0E9CEE6D" w14:textId="77777777" w:rsidR="0084667E" w:rsidRPr="0084667E" w:rsidRDefault="0084667E" w:rsidP="0084667E">
      <w:pPr>
        <w:rPr>
          <w:rFonts w:ascii="Times New Roman" w:hAnsi="Times New Roman" w:cs="Times New Roman"/>
          <w:color w:val="000000" w:themeColor="text1"/>
          <w:lang w:val="en-US"/>
        </w:rPr>
      </w:pPr>
      <w:r w:rsidRPr="0084667E">
        <w:rPr>
          <w:rFonts w:ascii="Times New Roman" w:hAnsi="Times New Roman" w:cs="Times New Roman"/>
          <w:color w:val="000000" w:themeColor="text1"/>
          <w:lang w:val="en-US"/>
        </w:rPr>
        <w:t>wariant 3</w:t>
      </w:r>
    </w:p>
    <w:p w14:paraId="3573746F" w14:textId="77777777" w:rsidR="0084667E" w:rsidRPr="0084667E" w:rsidRDefault="0084667E" w:rsidP="0084667E">
      <w:pPr>
        <w:rPr>
          <w:rFonts w:ascii="Times New Roman" w:hAnsi="Times New Roman" w:cs="Times New Roman"/>
          <w:color w:val="000000" w:themeColor="text1"/>
          <w:lang w:val="en-US"/>
        </w:rPr>
      </w:pPr>
    </w:p>
    <w:p w14:paraId="29469FF1" w14:textId="77777777" w:rsidR="0084667E" w:rsidRPr="0084667E" w:rsidRDefault="0084667E" w:rsidP="0084667E">
      <w:pPr>
        <w:rPr>
          <w:rFonts w:ascii="Times New Roman" w:hAnsi="Times New Roman" w:cs="Times New Roman"/>
          <w:b/>
          <w:color w:val="000000" w:themeColor="text1"/>
          <w:lang w:val="en-US"/>
        </w:rPr>
      </w:pPr>
    </w:p>
    <w:p w14:paraId="15729D52" w14:textId="77777777" w:rsidR="0084667E" w:rsidRPr="0084667E" w:rsidRDefault="0084667E" w:rsidP="0084667E">
      <w:pPr>
        <w:rPr>
          <w:rFonts w:ascii="Times New Roman" w:hAnsi="Times New Roman" w:cs="Times New Roman"/>
          <w:b/>
          <w:color w:val="000000" w:themeColor="text1"/>
          <w:lang w:val="en-US"/>
        </w:rPr>
      </w:pPr>
    </w:p>
    <w:p w14:paraId="690A122D" w14:textId="77777777" w:rsidR="0084667E" w:rsidRPr="0084667E" w:rsidRDefault="0084667E" w:rsidP="0084667E">
      <w:pPr>
        <w:rPr>
          <w:rFonts w:ascii="Times New Roman" w:hAnsi="Times New Roman" w:cs="Times New Roman"/>
          <w:b/>
          <w:color w:val="000000" w:themeColor="text1"/>
          <w:lang w:val="en-US"/>
        </w:rPr>
      </w:pPr>
    </w:p>
    <w:p w14:paraId="42683BD0" w14:textId="77777777" w:rsidR="0084667E" w:rsidRPr="0084667E" w:rsidRDefault="0084667E" w:rsidP="0084667E">
      <w:pPr>
        <w:rPr>
          <w:rFonts w:ascii="Times New Roman" w:hAnsi="Times New Roman" w:cs="Times New Roman"/>
          <w:b/>
          <w:color w:val="000000" w:themeColor="text1"/>
          <w:lang w:val="en-US"/>
        </w:rPr>
      </w:pPr>
    </w:p>
    <w:p w14:paraId="33CB70E2" w14:textId="77777777" w:rsidR="0084667E" w:rsidRPr="0084667E" w:rsidRDefault="0084667E" w:rsidP="0084667E">
      <w:pPr>
        <w:rPr>
          <w:rFonts w:ascii="Times New Roman" w:hAnsi="Times New Roman" w:cs="Times New Roman"/>
          <w:b/>
          <w:color w:val="000000" w:themeColor="text1"/>
          <w:lang w:val="en-US"/>
        </w:rPr>
      </w:pPr>
    </w:p>
    <w:p w14:paraId="1EB64B2C" w14:textId="77777777" w:rsidR="0084667E" w:rsidRPr="0084667E" w:rsidRDefault="0084667E" w:rsidP="0084667E">
      <w:pPr>
        <w:rPr>
          <w:rFonts w:ascii="Times New Roman" w:hAnsi="Times New Roman" w:cs="Times New Roman"/>
          <w:b/>
          <w:color w:val="000000" w:themeColor="text1"/>
          <w:lang w:val="en-US"/>
        </w:rPr>
      </w:pPr>
    </w:p>
    <w:p w14:paraId="526E8BE2" w14:textId="77777777" w:rsidR="0084667E" w:rsidRPr="0084667E" w:rsidRDefault="0084667E" w:rsidP="0084667E">
      <w:pPr>
        <w:rPr>
          <w:rFonts w:ascii="Times New Roman" w:hAnsi="Times New Roman" w:cs="Times New Roman"/>
          <w:b/>
          <w:color w:val="000000" w:themeColor="text1"/>
          <w:lang w:val="en-US"/>
        </w:rPr>
      </w:pPr>
    </w:p>
    <w:p w14:paraId="75F94014" w14:textId="77777777" w:rsidR="0084667E" w:rsidRPr="0084667E" w:rsidRDefault="0084667E" w:rsidP="0084667E">
      <w:pPr>
        <w:rPr>
          <w:rFonts w:ascii="Times New Roman" w:hAnsi="Times New Roman" w:cs="Times New Roman"/>
          <w:b/>
          <w:color w:val="000000" w:themeColor="text1"/>
          <w:lang w:val="en-US"/>
        </w:rPr>
      </w:pPr>
    </w:p>
    <w:p w14:paraId="761C3D71" w14:textId="77777777" w:rsidR="0084667E" w:rsidRPr="0084667E" w:rsidRDefault="0084667E" w:rsidP="0084667E">
      <w:pPr>
        <w:rPr>
          <w:rFonts w:ascii="Times New Roman" w:hAnsi="Times New Roman" w:cs="Times New Roman"/>
          <w:b/>
          <w:color w:val="000000" w:themeColor="text1"/>
          <w:lang w:val="en-US"/>
        </w:rPr>
      </w:pPr>
    </w:p>
    <w:p w14:paraId="346E13C2" w14:textId="77777777" w:rsidR="0084667E" w:rsidRPr="0084667E" w:rsidRDefault="0084667E" w:rsidP="0084667E">
      <w:pPr>
        <w:rPr>
          <w:rFonts w:ascii="Times New Roman" w:hAnsi="Times New Roman" w:cs="Times New Roman"/>
          <w:b/>
          <w:color w:val="000000" w:themeColor="text1"/>
          <w:lang w:val="en-US"/>
        </w:rPr>
      </w:pPr>
    </w:p>
    <w:p w14:paraId="7DF8CF1E" w14:textId="77777777" w:rsidR="0084667E" w:rsidRPr="0084667E" w:rsidRDefault="0084667E" w:rsidP="0084667E">
      <w:pPr>
        <w:rPr>
          <w:rFonts w:ascii="Times New Roman" w:hAnsi="Times New Roman" w:cs="Times New Roman"/>
          <w:b/>
          <w:color w:val="000000" w:themeColor="text1"/>
          <w:lang w:val="en-US"/>
        </w:rPr>
      </w:pPr>
    </w:p>
    <w:p w14:paraId="4D2EA357" w14:textId="77777777" w:rsidR="0084667E" w:rsidRPr="0084667E" w:rsidRDefault="0084667E" w:rsidP="0084667E">
      <w:pPr>
        <w:rPr>
          <w:rFonts w:ascii="Times New Roman" w:hAnsi="Times New Roman" w:cs="Times New Roman"/>
          <w:b/>
          <w:color w:val="000000" w:themeColor="text1"/>
          <w:lang w:val="en-US"/>
        </w:rPr>
      </w:pPr>
    </w:p>
    <w:p w14:paraId="113D1ABF" w14:textId="77777777" w:rsidR="0084667E" w:rsidRPr="0084667E" w:rsidRDefault="0084667E" w:rsidP="0084667E">
      <w:pPr>
        <w:rPr>
          <w:rFonts w:ascii="Times New Roman" w:hAnsi="Times New Roman" w:cs="Times New Roman"/>
          <w:b/>
          <w:color w:val="000000" w:themeColor="text1"/>
          <w:lang w:val="en-US"/>
        </w:rPr>
      </w:pPr>
    </w:p>
    <w:p w14:paraId="7037D891" w14:textId="77777777" w:rsidR="0084667E" w:rsidRPr="0084667E" w:rsidRDefault="0084667E" w:rsidP="0084667E">
      <w:pPr>
        <w:rPr>
          <w:rFonts w:ascii="Times New Roman" w:hAnsi="Times New Roman" w:cs="Times New Roman"/>
          <w:b/>
          <w:color w:val="000000" w:themeColor="text1"/>
          <w:lang w:val="en-US"/>
        </w:rPr>
      </w:pPr>
    </w:p>
    <w:p w14:paraId="297C21F2" w14:textId="77777777" w:rsidR="0084667E" w:rsidRPr="0084667E" w:rsidRDefault="0084667E" w:rsidP="0084667E">
      <w:pPr>
        <w:rPr>
          <w:rFonts w:ascii="Times New Roman" w:hAnsi="Times New Roman" w:cs="Times New Roman"/>
          <w:b/>
          <w:color w:val="000000" w:themeColor="text1"/>
          <w:lang w:val="en-US"/>
        </w:rPr>
      </w:pPr>
      <w:r w:rsidRPr="0084667E">
        <w:rPr>
          <w:rFonts w:ascii="Times New Roman" w:hAnsi="Times New Roman" w:cs="Times New Roman"/>
          <w:b/>
          <w:color w:val="000000" w:themeColor="text1"/>
          <w:lang w:val="en-US"/>
        </w:rPr>
        <w:br w:type="page"/>
      </w:r>
    </w:p>
    <w:p w14:paraId="1A2F10B7" w14:textId="77777777" w:rsidR="00CC4443" w:rsidRPr="001667DB" w:rsidRDefault="00CC4443" w:rsidP="00577746">
      <w:pPr>
        <w:ind w:left="2124" w:hanging="2124"/>
        <w:jc w:val="both"/>
        <w:rPr>
          <w:rFonts w:ascii="Times New Roman" w:hAnsi="Times New Roman" w:cs="Times New Roman"/>
          <w:color w:val="000000" w:themeColor="text1"/>
        </w:rPr>
      </w:pPr>
      <w:r w:rsidRPr="00326BBF">
        <w:rPr>
          <w:rFonts w:ascii="Times New Roman" w:hAnsi="Times New Roman" w:cs="Times New Roman"/>
          <w:b/>
          <w:color w:val="000000" w:themeColor="text1"/>
          <w:lang w:val="en-US"/>
        </w:rPr>
        <w:lastRenderedPageBreak/>
        <w:t xml:space="preserve">D.08.01.01b.  </w:t>
      </w:r>
      <w:r w:rsidRPr="00326BBF">
        <w:rPr>
          <w:rFonts w:ascii="Times New Roman" w:hAnsi="Times New Roman" w:cs="Times New Roman"/>
          <w:b/>
          <w:color w:val="000000" w:themeColor="text1"/>
          <w:lang w:val="en-US"/>
        </w:rPr>
        <w:tab/>
      </w:r>
      <w:r w:rsidRPr="001667DB">
        <w:rPr>
          <w:rFonts w:ascii="Times New Roman" w:hAnsi="Times New Roman" w:cs="Times New Roman"/>
          <w:b/>
          <w:color w:val="000000" w:themeColor="text1"/>
        </w:rPr>
        <w:t>USTAWIENIE  KRAWĘŻNIKÓW  BETONOWYCH</w:t>
      </w:r>
    </w:p>
    <w:p w14:paraId="1AA1011E" w14:textId="77777777" w:rsidR="00CC4443" w:rsidRPr="001667DB" w:rsidRDefault="00CC4443" w:rsidP="00904E6C">
      <w:pPr>
        <w:pStyle w:val="Nagwek1"/>
        <w:numPr>
          <w:ilvl w:val="0"/>
          <w:numId w:val="417"/>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WSTĘP</w:t>
      </w:r>
    </w:p>
    <w:p w14:paraId="2DB49E10" w14:textId="77777777" w:rsidR="00CC4443" w:rsidRPr="001667DB" w:rsidRDefault="00CC4443" w:rsidP="00577746">
      <w:pPr>
        <w:jc w:val="both"/>
        <w:rPr>
          <w:rFonts w:ascii="Times New Roman" w:hAnsi="Times New Roman" w:cs="Times New Roman"/>
          <w:color w:val="000000" w:themeColor="text1"/>
        </w:rPr>
      </w:pPr>
    </w:p>
    <w:p w14:paraId="05208E34"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Przedmiot ST</w:t>
      </w:r>
    </w:p>
    <w:p w14:paraId="4CFC11D1" w14:textId="77777777" w:rsidR="00CC4443" w:rsidRPr="001667DB" w:rsidRDefault="00CC4443" w:rsidP="00577746">
      <w:pPr>
        <w:jc w:val="both"/>
        <w:rPr>
          <w:rFonts w:ascii="Times New Roman" w:hAnsi="Times New Roman" w:cs="Times New Roman"/>
          <w:color w:val="000000" w:themeColor="text1"/>
        </w:rPr>
      </w:pPr>
    </w:p>
    <w:p w14:paraId="7D44703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Przedmiotem niniejszej specyfikacji technicznej (ST) są wymagania dotyczące wykonania i odbioru robót związanych z ustawieniem krawężników betonowych wraz z wykonaniem ław w ramach realizacji zadania: </w:t>
      </w:r>
      <w:r w:rsidR="00576B4E" w:rsidRPr="00FD3B41">
        <w:rPr>
          <w:rFonts w:ascii="Times New Roman" w:hAnsi="Times New Roman" w:cs="Times New Roman"/>
          <w:b/>
          <w:color w:val="000000" w:themeColor="text1"/>
        </w:rPr>
        <w:t>„Rozbudowa drogi wojewódzkiej nr 461 w m. Dąbrówka Łubniańska i Łubniany” – Etap I ( km od 9+741,88 do 10+371,13)</w:t>
      </w:r>
    </w:p>
    <w:p w14:paraId="4591E065"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Zakres stosowania ST</w:t>
      </w:r>
    </w:p>
    <w:p w14:paraId="085A6A9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Specyfikacje Techniczne stanowią część Dokumentów Przetargowych i Kontraktowych i należy je stosować w zlecaniu i wykonaniu robót opisanych w podpunkcie 1.1.</w:t>
      </w:r>
    </w:p>
    <w:p w14:paraId="0FB906C5"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Zakres robót objętych ST</w:t>
      </w:r>
    </w:p>
    <w:p w14:paraId="48455F19" w14:textId="77777777" w:rsidR="00CC4443" w:rsidRPr="001667DB" w:rsidRDefault="00CC4443" w:rsidP="00577746">
      <w:pPr>
        <w:jc w:val="both"/>
        <w:rPr>
          <w:rFonts w:ascii="Times New Roman" w:hAnsi="Times New Roman" w:cs="Times New Roman"/>
          <w:color w:val="000000" w:themeColor="text1"/>
        </w:rPr>
      </w:pPr>
    </w:p>
    <w:p w14:paraId="285E3061"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Zakres robót obejmuje:</w:t>
      </w:r>
    </w:p>
    <w:p w14:paraId="4072BB1A" w14:textId="77777777" w:rsidR="00CC4443" w:rsidRPr="001667DB" w:rsidRDefault="00CC4443" w:rsidP="00904E6C">
      <w:pPr>
        <w:numPr>
          <w:ilvl w:val="0"/>
          <w:numId w:val="274"/>
        </w:numPr>
        <w:tabs>
          <w:tab w:val="left" w:pos="851"/>
          <w:tab w:val="left" w:pos="1134"/>
          <w:tab w:val="left" w:pos="1701"/>
        </w:tabs>
        <w:suppressAutoHyphens/>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ustawienie krawężników betonowych 20x30x100 cm na ławie betonowej C16/20,</w:t>
      </w:r>
    </w:p>
    <w:p w14:paraId="0C80A153" w14:textId="77777777" w:rsidR="00CC4443" w:rsidRPr="001667DB" w:rsidRDefault="00CC4443" w:rsidP="00904E6C">
      <w:pPr>
        <w:numPr>
          <w:ilvl w:val="0"/>
          <w:numId w:val="274"/>
        </w:numPr>
        <w:tabs>
          <w:tab w:val="left" w:pos="851"/>
          <w:tab w:val="left" w:pos="1134"/>
          <w:tab w:val="left" w:pos="1701"/>
        </w:tabs>
        <w:suppressAutoHyphens/>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ustawienie krawężników betonowych najazdowych 22x20x100 cm na ławie betonowej C16/20.</w:t>
      </w:r>
    </w:p>
    <w:p w14:paraId="3DB9AE91"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dokumentacja Projektową.</w:t>
      </w:r>
    </w:p>
    <w:p w14:paraId="176ABA1C"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Określenia podstawowe</w:t>
      </w:r>
    </w:p>
    <w:p w14:paraId="747277F2" w14:textId="77777777" w:rsidR="00CC4443" w:rsidRPr="001667DB" w:rsidRDefault="00CC4443" w:rsidP="00577746">
      <w:pPr>
        <w:jc w:val="both"/>
        <w:rPr>
          <w:rFonts w:ascii="Times New Roman" w:hAnsi="Times New Roman" w:cs="Times New Roman"/>
          <w:color w:val="000000" w:themeColor="text1"/>
        </w:rPr>
      </w:pPr>
    </w:p>
    <w:p w14:paraId="66706C75" w14:textId="77777777" w:rsidR="00CC4443" w:rsidRPr="001667DB" w:rsidRDefault="00CC4443" w:rsidP="00577746">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1.4.1. Krawężnik betonowy</w:t>
      </w:r>
      <w:r w:rsidRPr="001667DB">
        <w:rPr>
          <w:rFonts w:ascii="Times New Roman" w:hAnsi="Times New Roman" w:cs="Times New Roman"/>
          <w:color w:val="000000" w:themeColor="text1"/>
        </w:rPr>
        <w:t xml:space="preserve"> – prefabrykat betonowy, przeznaczony do oddzielenia powierzchni znajdujących się na tym samym poziomie lub na różnych poziomach stosowany: a) w celu ograniczania lub wyznaczania granicy rzeczywistej lub wizualnej, b) jako kanały odpływowe, oddzielnie lub w połączeniu z innymi krawężnikami, c) jako oddzielenie pomiędzy powierzchniami poddanymi różnym rodzajom ruchu drogowego.</w:t>
      </w:r>
      <w:r w:rsidRPr="001667DB">
        <w:rPr>
          <w:rFonts w:ascii="Times New Roman" w:hAnsi="Times New Roman" w:cs="Times New Roman"/>
          <w:b/>
          <w:color w:val="000000" w:themeColor="text1"/>
        </w:rPr>
        <w:t xml:space="preserve"> </w:t>
      </w:r>
    </w:p>
    <w:p w14:paraId="01FDB3E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1.4.2. Wymiar nominalny</w:t>
      </w:r>
      <w:r w:rsidRPr="001667DB">
        <w:rPr>
          <w:rFonts w:ascii="Times New Roman" w:hAnsi="Times New Roman" w:cs="Times New Roman"/>
          <w:color w:val="000000" w:themeColor="text1"/>
        </w:rPr>
        <w:t xml:space="preserve"> – wymiar krawężnika określony w celu jego wykonania, któremu powinien odpowiadać wymiar rzeczywisty w określonych granicach dopuszczalnych odchyłek.</w:t>
      </w:r>
    </w:p>
    <w:p w14:paraId="7CEC4264"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1.4.3. </w:t>
      </w:r>
      <w:r w:rsidRPr="001667DB">
        <w:rPr>
          <w:rFonts w:ascii="Times New Roman" w:hAnsi="Times New Roman" w:cs="Times New Roman"/>
          <w:color w:val="000000" w:themeColor="text1"/>
        </w:rPr>
        <w:t>Pozostałe określenia podstawowe są zgodne z obowiązującymi, odpowiednimi polskimi normami i z definicjami podanymi w ST D-00.00.00 „Wymagania ogólne”[1] pkt 1.4.</w:t>
      </w:r>
    </w:p>
    <w:p w14:paraId="0EBBF87C"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robót</w:t>
      </w:r>
    </w:p>
    <w:p w14:paraId="5C3864B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[1] pkt 1.5.</w:t>
      </w:r>
    </w:p>
    <w:p w14:paraId="7A7CBF1B" w14:textId="77777777" w:rsidR="00CC4443" w:rsidRPr="001667DB" w:rsidRDefault="00CC4443" w:rsidP="00904E6C">
      <w:pPr>
        <w:pStyle w:val="Nagwek1"/>
        <w:numPr>
          <w:ilvl w:val="0"/>
          <w:numId w:val="417"/>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bookmarkStart w:id="880" w:name="_2._MATERIA%C5%81Y_1"/>
      <w:bookmarkEnd w:id="880"/>
      <w:r w:rsidRPr="001667DB">
        <w:rPr>
          <w:color w:val="000000" w:themeColor="text1"/>
          <w:sz w:val="22"/>
          <w:szCs w:val="22"/>
        </w:rPr>
        <w:t>MATERIAŁY</w:t>
      </w:r>
    </w:p>
    <w:p w14:paraId="1EBC6DF7"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materiałów</w:t>
      </w:r>
    </w:p>
    <w:p w14:paraId="3DD359A6" w14:textId="77777777" w:rsidR="00CC4443" w:rsidRPr="001667DB" w:rsidRDefault="00CC4443" w:rsidP="00577746">
      <w:pPr>
        <w:jc w:val="both"/>
        <w:rPr>
          <w:rFonts w:ascii="Times New Roman" w:hAnsi="Times New Roman" w:cs="Times New Roman"/>
          <w:color w:val="000000" w:themeColor="text1"/>
        </w:rPr>
      </w:pPr>
    </w:p>
    <w:p w14:paraId="702302A1"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0A28C5B7" w14:textId="77777777" w:rsidR="00CC4443" w:rsidRPr="001667DB" w:rsidRDefault="00CC4443" w:rsidP="00577746">
      <w:pPr>
        <w:jc w:val="both"/>
        <w:rPr>
          <w:rFonts w:ascii="Times New Roman" w:hAnsi="Times New Roman" w:cs="Times New Roman"/>
          <w:color w:val="000000" w:themeColor="text1"/>
        </w:rPr>
      </w:pPr>
    </w:p>
    <w:p w14:paraId="5935AE42" w14:textId="77777777" w:rsidR="00CC4443" w:rsidRPr="001667DB" w:rsidRDefault="00CC4443" w:rsidP="00904E6C">
      <w:pPr>
        <w:pStyle w:val="Nagwek2"/>
        <w:numPr>
          <w:ilvl w:val="1"/>
          <w:numId w:val="417"/>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Materiały do wykonania robót</w:t>
      </w:r>
    </w:p>
    <w:p w14:paraId="7B6AFD54" w14:textId="77777777" w:rsidR="00CC4443" w:rsidRPr="001667DB" w:rsidRDefault="00CC4443" w:rsidP="00577746">
      <w:pPr>
        <w:jc w:val="both"/>
        <w:rPr>
          <w:rFonts w:ascii="Times New Roman" w:hAnsi="Times New Roman" w:cs="Times New Roman"/>
          <w:color w:val="000000" w:themeColor="text1"/>
        </w:rPr>
      </w:pPr>
    </w:p>
    <w:p w14:paraId="52857A2C" w14:textId="77777777" w:rsidR="00CC4443" w:rsidRPr="001667DB" w:rsidRDefault="00CC4443" w:rsidP="00577746">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2.2.1. </w:t>
      </w:r>
      <w:r w:rsidRPr="001667DB">
        <w:rPr>
          <w:rFonts w:ascii="Times New Roman" w:hAnsi="Times New Roman" w:cs="Times New Roman"/>
          <w:color w:val="000000" w:themeColor="text1"/>
        </w:rPr>
        <w:t>Zgodność materiałów z dokumentacją projektową</w:t>
      </w:r>
    </w:p>
    <w:p w14:paraId="65ACD129" w14:textId="77777777" w:rsidR="00CC4443" w:rsidRPr="001667DB" w:rsidRDefault="00CC4443" w:rsidP="00577746">
      <w:pPr>
        <w:spacing w:after="12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Materiały do wykonania robót powinny być zgodne z ustaleniami dokumentacji projektowej lub ST.</w:t>
      </w:r>
    </w:p>
    <w:p w14:paraId="31E0F04E" w14:textId="77777777" w:rsidR="00CC4443" w:rsidRPr="001667DB" w:rsidRDefault="00CC4443" w:rsidP="00577746">
      <w:pPr>
        <w:spacing w:after="120"/>
        <w:ind w:firstLine="708"/>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Można stosować jedynie materiały dopuszczone do stosowania na podstawie ustawy o wyrobach budowlanych [11], dla których Wykonawca przedstawi deklarację właściwości użytkowych wydaną przez producenta potwierdzającą przydatność materiału do zastosowania wynikającego z dokumentacji projektowej i ST. </w:t>
      </w:r>
    </w:p>
    <w:p w14:paraId="1D6FB515" w14:textId="77777777" w:rsidR="00CC4443" w:rsidRPr="001667DB" w:rsidRDefault="00CC4443" w:rsidP="00577746">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2.2.2. </w:t>
      </w:r>
      <w:r w:rsidRPr="001667DB">
        <w:rPr>
          <w:rFonts w:ascii="Times New Roman" w:hAnsi="Times New Roman" w:cs="Times New Roman"/>
          <w:color w:val="000000" w:themeColor="text1"/>
        </w:rPr>
        <w:t>Stosowane materiały</w:t>
      </w:r>
    </w:p>
    <w:p w14:paraId="6182AAD0"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ustawianiu krawężników na ławach należy stosować następujące materiały:</w:t>
      </w:r>
    </w:p>
    <w:p w14:paraId="6CDFD2A3" w14:textId="77777777" w:rsidR="00CC4443" w:rsidRPr="001667DB" w:rsidRDefault="00CC4443" w:rsidP="00904E6C">
      <w:pPr>
        <w:numPr>
          <w:ilvl w:val="0"/>
          <w:numId w:val="351"/>
        </w:numPr>
        <w:tabs>
          <w:tab w:val="left" w:pos="851"/>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krawężniki betonowe,</w:t>
      </w:r>
    </w:p>
    <w:p w14:paraId="61A0B8B0" w14:textId="77777777" w:rsidR="00CC4443" w:rsidRPr="001667DB" w:rsidRDefault="00CC4443" w:rsidP="00904E6C">
      <w:pPr>
        <w:numPr>
          <w:ilvl w:val="0"/>
          <w:numId w:val="351"/>
        </w:numPr>
        <w:tabs>
          <w:tab w:val="left" w:pos="851"/>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piasek na podsypkę i do zapraw,</w:t>
      </w:r>
    </w:p>
    <w:p w14:paraId="6DDA3358" w14:textId="77777777" w:rsidR="00CC4443" w:rsidRPr="001667DB" w:rsidRDefault="00CC4443" w:rsidP="00904E6C">
      <w:pPr>
        <w:numPr>
          <w:ilvl w:val="0"/>
          <w:numId w:val="351"/>
        </w:numPr>
        <w:tabs>
          <w:tab w:val="left" w:pos="851"/>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cement do podsypki i do zapraw,</w:t>
      </w:r>
    </w:p>
    <w:p w14:paraId="66F09706" w14:textId="77777777" w:rsidR="00CC4443" w:rsidRPr="001667DB" w:rsidRDefault="00CC4443" w:rsidP="00904E6C">
      <w:pPr>
        <w:numPr>
          <w:ilvl w:val="0"/>
          <w:numId w:val="351"/>
        </w:numPr>
        <w:tabs>
          <w:tab w:val="left" w:pos="851"/>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wodę,</w:t>
      </w:r>
    </w:p>
    <w:p w14:paraId="36DEBC4A" w14:textId="77777777" w:rsidR="00CC4443" w:rsidRPr="001667DB" w:rsidRDefault="00CC4443" w:rsidP="00904E6C">
      <w:pPr>
        <w:numPr>
          <w:ilvl w:val="0"/>
          <w:numId w:val="351"/>
        </w:numPr>
        <w:tabs>
          <w:tab w:val="left" w:pos="851"/>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materiały do wykonania ławy.</w:t>
      </w:r>
    </w:p>
    <w:p w14:paraId="19EA2712"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2.2.3. </w:t>
      </w:r>
      <w:r w:rsidRPr="001667DB">
        <w:rPr>
          <w:rFonts w:ascii="Times New Roman" w:hAnsi="Times New Roman" w:cs="Times New Roman"/>
          <w:color w:val="000000" w:themeColor="text1"/>
        </w:rPr>
        <w:t>Krawężniki betonowe</w:t>
      </w:r>
    </w:p>
    <w:p w14:paraId="46E99C41" w14:textId="77777777" w:rsidR="00CC4443" w:rsidRPr="001667DB" w:rsidRDefault="00CC4443" w:rsidP="00577746">
      <w:pPr>
        <w:spacing w:before="120" w:after="120"/>
        <w:jc w:val="both"/>
        <w:rPr>
          <w:rFonts w:ascii="Times New Roman" w:hAnsi="Times New Roman" w:cs="Times New Roman"/>
          <w:color w:val="000000" w:themeColor="text1"/>
        </w:rPr>
      </w:pPr>
      <w:r w:rsidRPr="001667DB">
        <w:rPr>
          <w:rFonts w:ascii="Times New Roman" w:hAnsi="Times New Roman" w:cs="Times New Roman"/>
          <w:color w:val="000000" w:themeColor="text1"/>
        </w:rPr>
        <w:t>2.2.3.1. Wymagania ogólne wobec krawężników</w:t>
      </w:r>
    </w:p>
    <w:p w14:paraId="0B1C44BB"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Krawężniki betonowe mogą mieć następujące cechy charakterystyczne:</w:t>
      </w:r>
    </w:p>
    <w:p w14:paraId="5685689D" w14:textId="77777777" w:rsidR="00CC4443" w:rsidRPr="001667DB" w:rsidRDefault="00CC4443" w:rsidP="00904E6C">
      <w:pPr>
        <w:numPr>
          <w:ilvl w:val="0"/>
          <w:numId w:val="250"/>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 może być produkowany:</w:t>
      </w:r>
    </w:p>
    <w:p w14:paraId="570B2F18" w14:textId="77777777" w:rsidR="00CC4443" w:rsidRPr="001667DB" w:rsidRDefault="00CC4443" w:rsidP="00904E6C">
      <w:pPr>
        <w:numPr>
          <w:ilvl w:val="1"/>
          <w:numId w:val="256"/>
        </w:numPr>
        <w:tabs>
          <w:tab w:val="left" w:pos="567"/>
        </w:tabs>
        <w:suppressAutoHyphens/>
        <w:overflowPunct w:val="0"/>
        <w:autoSpaceDE w:val="0"/>
        <w:spacing w:after="0" w:line="240" w:lineRule="auto"/>
        <w:ind w:hanging="680"/>
        <w:jc w:val="both"/>
        <w:rPr>
          <w:rFonts w:ascii="Times New Roman" w:hAnsi="Times New Roman" w:cs="Times New Roman"/>
          <w:color w:val="000000" w:themeColor="text1"/>
        </w:rPr>
      </w:pPr>
      <w:r w:rsidRPr="001667DB">
        <w:rPr>
          <w:rFonts w:ascii="Times New Roman" w:hAnsi="Times New Roman" w:cs="Times New Roman"/>
          <w:color w:val="000000" w:themeColor="text1"/>
        </w:rPr>
        <w:t>z jednego rodzaju betonu,</w:t>
      </w:r>
    </w:p>
    <w:p w14:paraId="631A8050" w14:textId="77777777" w:rsidR="00CC4443" w:rsidRPr="001667DB" w:rsidRDefault="00CC4443" w:rsidP="00904E6C">
      <w:pPr>
        <w:numPr>
          <w:ilvl w:val="1"/>
          <w:numId w:val="256"/>
        </w:numPr>
        <w:tabs>
          <w:tab w:val="left" w:pos="567"/>
        </w:tabs>
        <w:suppressAutoHyphens/>
        <w:overflowPunct w:val="0"/>
        <w:autoSpaceDE w:val="0"/>
        <w:spacing w:after="0" w:line="240" w:lineRule="auto"/>
        <w:ind w:left="567"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z różnych betonów zastosowanych w warstwie konstrukcyjnej oraz w warstwie ścieralnej (która na całej powierzchni deklarowanej przez producenta jako powierzchnia widoczna powinna mieć minimalną grubość 4 mm),</w:t>
      </w:r>
    </w:p>
    <w:p w14:paraId="0AB959AD"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skośne krawędzie krawężnika powyżej 2 mm powinny być określone jako fazowane, z wymiarami deklarowanymi przez producenta,</w:t>
      </w:r>
    </w:p>
    <w:p w14:paraId="03B208CF"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 może mieć profile funkcjonalne i/lub dekoracyjne (których nie uwzględnia się przy określaniu wymiarów nominalnych krawężnika); zalecana długość prostego odcinka krawężnika wraz ze złączem wynosi 1000 mm,</w:t>
      </w:r>
    </w:p>
    <w:p w14:paraId="6008A133"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powierzchnia krawężnika może być obrabiana, poddana dodatkowej obróbce lub obróbce chemicznej,</w:t>
      </w:r>
    </w:p>
    <w:p w14:paraId="461CFD9D"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płaszczyzny czołowe krawężników mogą być proste lub ukształtowane w sposób ułatwiający układanie lub ryglowanie (przykłady w zał. 1),</w:t>
      </w:r>
    </w:p>
    <w:p w14:paraId="613A52F0"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krawężniki łukowe mogą być wykonane jako wypukłe lub wklęsłe (przykłady w zał. 2),</w:t>
      </w:r>
    </w:p>
    <w:p w14:paraId="158CB867" w14:textId="77777777" w:rsidR="00CC4443" w:rsidRPr="001667DB" w:rsidRDefault="00CC4443" w:rsidP="00904E6C">
      <w:pPr>
        <w:numPr>
          <w:ilvl w:val="0"/>
          <w:numId w:val="256"/>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rozróżnia się dwa typy krawężników (przykłady w zał. 3):</w:t>
      </w:r>
    </w:p>
    <w:p w14:paraId="528AFA85" w14:textId="77777777" w:rsidR="00CC4443" w:rsidRPr="001667DB" w:rsidRDefault="00CC4443" w:rsidP="00904E6C">
      <w:pPr>
        <w:numPr>
          <w:ilvl w:val="1"/>
          <w:numId w:val="256"/>
        </w:numPr>
        <w:tabs>
          <w:tab w:val="left" w:pos="567"/>
        </w:tabs>
        <w:suppressAutoHyphens/>
        <w:overflowPunct w:val="0"/>
        <w:autoSpaceDE w:val="0"/>
        <w:spacing w:after="0" w:line="240" w:lineRule="auto"/>
        <w:ind w:left="567"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uliczne, do oddzielenia powierzchni znajdujących się na różnych poziomach (np. jezdni i chodnika),</w:t>
      </w:r>
    </w:p>
    <w:p w14:paraId="38B99583" w14:textId="77777777" w:rsidR="00CC4443" w:rsidRPr="001667DB" w:rsidRDefault="00CC4443" w:rsidP="00904E6C">
      <w:pPr>
        <w:numPr>
          <w:ilvl w:val="1"/>
          <w:numId w:val="256"/>
        </w:numPr>
        <w:tabs>
          <w:tab w:val="left" w:pos="567"/>
        </w:tabs>
        <w:suppressAutoHyphens/>
        <w:overflowPunct w:val="0"/>
        <w:autoSpaceDE w:val="0"/>
        <w:spacing w:after="0" w:line="240" w:lineRule="auto"/>
        <w:ind w:left="567"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drogowe, do oddzielenia powierzchni znajdujących się na tym samym poziomie (np. jezdni i pobocza).</w:t>
      </w:r>
    </w:p>
    <w:p w14:paraId="42A98A39" w14:textId="77777777" w:rsidR="00CC4443" w:rsidRPr="001667DB" w:rsidRDefault="00CC4443" w:rsidP="00577746">
      <w:pPr>
        <w:spacing w:before="120" w:after="120"/>
        <w:jc w:val="both"/>
        <w:rPr>
          <w:rFonts w:ascii="Times New Roman" w:hAnsi="Times New Roman" w:cs="Times New Roman"/>
          <w:color w:val="000000" w:themeColor="text1"/>
        </w:rPr>
      </w:pPr>
      <w:r w:rsidRPr="001667DB">
        <w:rPr>
          <w:rFonts w:ascii="Times New Roman" w:hAnsi="Times New Roman" w:cs="Times New Roman"/>
          <w:color w:val="000000" w:themeColor="text1"/>
        </w:rPr>
        <w:t>2.2.3.2. Wymagania techniczne wobec krawężników</w:t>
      </w:r>
    </w:p>
    <w:p w14:paraId="7D28790E"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Wymagania techniczne stawiane krawężnikom betonowym określa PN-EN 1340 [5] w sposób przedstawiony w tablicy 1.</w:t>
      </w:r>
    </w:p>
    <w:p w14:paraId="14B911D0" w14:textId="77777777" w:rsidR="00CC4443" w:rsidRPr="001667DB" w:rsidRDefault="00CC4443" w:rsidP="00577746">
      <w:pPr>
        <w:jc w:val="both"/>
        <w:rPr>
          <w:rFonts w:ascii="Times New Roman" w:hAnsi="Times New Roman" w:cs="Times New Roman"/>
          <w:color w:val="000000" w:themeColor="text1"/>
        </w:rPr>
      </w:pPr>
    </w:p>
    <w:p w14:paraId="1AED18A1" w14:textId="77777777" w:rsidR="00CC4443" w:rsidRPr="001667DB" w:rsidRDefault="00CC4443" w:rsidP="00577746">
      <w:pPr>
        <w:spacing w:after="120"/>
        <w:ind w:left="992" w:hanging="992"/>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1. Wymagania wobec krawężnika betonowego, ustalone w PN-EN 1340 [5]  do stosowania w warunkach kontaktu z solą odladzającą w warunkach mrozu</w:t>
      </w:r>
    </w:p>
    <w:tbl>
      <w:tblPr>
        <w:tblW w:w="9925" w:type="dxa"/>
        <w:tblInd w:w="-5" w:type="dxa"/>
        <w:tblLayout w:type="fixed"/>
        <w:tblLook w:val="0000" w:firstRow="0" w:lastRow="0" w:firstColumn="0" w:lastColumn="0" w:noHBand="0" w:noVBand="0"/>
      </w:tblPr>
      <w:tblGrid>
        <w:gridCol w:w="514"/>
        <w:gridCol w:w="239"/>
        <w:gridCol w:w="2558"/>
        <w:gridCol w:w="222"/>
        <w:gridCol w:w="17"/>
        <w:gridCol w:w="1222"/>
        <w:gridCol w:w="824"/>
        <w:gridCol w:w="201"/>
        <w:gridCol w:w="21"/>
        <w:gridCol w:w="17"/>
        <w:gridCol w:w="1316"/>
        <w:gridCol w:w="630"/>
        <w:gridCol w:w="2129"/>
        <w:gridCol w:w="15"/>
      </w:tblGrid>
      <w:tr w:rsidR="00CC4443" w:rsidRPr="001667DB" w14:paraId="1B8F5A8C" w14:textId="77777777" w:rsidTr="00CC4443">
        <w:tc>
          <w:tcPr>
            <w:tcW w:w="514" w:type="dxa"/>
            <w:tcBorders>
              <w:top w:val="single" w:sz="4" w:space="0" w:color="000000"/>
              <w:left w:val="single" w:sz="4" w:space="0" w:color="000000"/>
              <w:bottom w:val="single" w:sz="4" w:space="0" w:color="000000"/>
            </w:tcBorders>
            <w:shd w:val="clear" w:color="auto" w:fill="auto"/>
          </w:tcPr>
          <w:p w14:paraId="14D69795" w14:textId="77777777" w:rsidR="00CC4443" w:rsidRPr="001667DB" w:rsidRDefault="00CC4443">
            <w:pPr>
              <w:overflowPunct w:val="0"/>
              <w:autoSpaceDE w:val="0"/>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Lp.</w:t>
            </w:r>
          </w:p>
        </w:tc>
        <w:tc>
          <w:tcPr>
            <w:tcW w:w="3019" w:type="dxa"/>
            <w:gridSpan w:val="3"/>
            <w:tcBorders>
              <w:top w:val="single" w:sz="4" w:space="0" w:color="000000"/>
              <w:left w:val="single" w:sz="4" w:space="0" w:color="000000"/>
              <w:bottom w:val="single" w:sz="4" w:space="0" w:color="000000"/>
            </w:tcBorders>
            <w:shd w:val="clear" w:color="auto" w:fill="auto"/>
          </w:tcPr>
          <w:p w14:paraId="0781E05C" w14:textId="77777777" w:rsidR="00CC4443" w:rsidRPr="001667DB" w:rsidRDefault="00CC4443">
            <w:pPr>
              <w:overflowPunct w:val="0"/>
              <w:autoSpaceDE w:val="0"/>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Cecha</w:t>
            </w:r>
          </w:p>
        </w:tc>
        <w:tc>
          <w:tcPr>
            <w:tcW w:w="1239" w:type="dxa"/>
            <w:gridSpan w:val="2"/>
            <w:tcBorders>
              <w:top w:val="single" w:sz="4" w:space="0" w:color="000000"/>
              <w:left w:val="single" w:sz="4" w:space="0" w:color="000000"/>
              <w:bottom w:val="single" w:sz="4" w:space="0" w:color="000000"/>
            </w:tcBorders>
            <w:shd w:val="clear" w:color="auto" w:fill="auto"/>
          </w:tcPr>
          <w:p w14:paraId="1C88E9DD" w14:textId="77777777" w:rsidR="00CC4443" w:rsidRPr="001667DB" w:rsidRDefault="00CC4443">
            <w:pPr>
              <w:overflowPunct w:val="0"/>
              <w:autoSpaceDE w:val="0"/>
              <w:spacing w:before="60" w:after="60"/>
              <w:rPr>
                <w:rFonts w:ascii="Times New Roman" w:hAnsi="Times New Roman" w:cs="Times New Roman"/>
                <w:color w:val="000000" w:themeColor="text1"/>
              </w:rPr>
            </w:pPr>
            <w:r w:rsidRPr="001667DB">
              <w:rPr>
                <w:rFonts w:ascii="Times New Roman" w:hAnsi="Times New Roman" w:cs="Times New Roman"/>
                <w:color w:val="000000" w:themeColor="text1"/>
              </w:rPr>
              <w:t>Załącznik</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4B807EDA" w14:textId="77777777" w:rsidR="00CC4443" w:rsidRPr="001667DB" w:rsidRDefault="00CC4443">
            <w:pPr>
              <w:overflowPunct w:val="0"/>
              <w:autoSpaceDE w:val="0"/>
              <w:spacing w:before="60" w:after="60"/>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Wymagania</w:t>
            </w:r>
          </w:p>
        </w:tc>
      </w:tr>
      <w:tr w:rsidR="00CC4443" w:rsidRPr="001667DB" w14:paraId="41B894C0" w14:textId="77777777" w:rsidTr="00CC4443">
        <w:tc>
          <w:tcPr>
            <w:tcW w:w="514" w:type="dxa"/>
            <w:tcBorders>
              <w:top w:val="single" w:sz="4" w:space="0" w:color="000000"/>
              <w:left w:val="single" w:sz="4" w:space="0" w:color="000000"/>
              <w:bottom w:val="single" w:sz="4" w:space="0" w:color="000000"/>
            </w:tcBorders>
            <w:shd w:val="clear" w:color="auto" w:fill="auto"/>
          </w:tcPr>
          <w:p w14:paraId="65916F2B"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9411" w:type="dxa"/>
            <w:gridSpan w:val="13"/>
            <w:tcBorders>
              <w:top w:val="single" w:sz="4" w:space="0" w:color="000000"/>
              <w:left w:val="single" w:sz="4" w:space="0" w:color="000000"/>
              <w:bottom w:val="single" w:sz="4" w:space="0" w:color="000000"/>
              <w:right w:val="single" w:sz="4" w:space="0" w:color="000000"/>
            </w:tcBorders>
            <w:shd w:val="clear" w:color="auto" w:fill="auto"/>
          </w:tcPr>
          <w:p w14:paraId="1762BB4F"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Kształt i wymiary</w:t>
            </w:r>
          </w:p>
        </w:tc>
      </w:tr>
      <w:tr w:rsidR="00CC4443" w:rsidRPr="001667DB" w14:paraId="740F016B" w14:textId="77777777" w:rsidTr="00CC4443">
        <w:tc>
          <w:tcPr>
            <w:tcW w:w="514" w:type="dxa"/>
            <w:tcBorders>
              <w:top w:val="single" w:sz="4" w:space="0" w:color="000000"/>
              <w:left w:val="single" w:sz="4" w:space="0" w:color="000000"/>
              <w:bottom w:val="single" w:sz="4" w:space="0" w:color="000000"/>
            </w:tcBorders>
            <w:shd w:val="clear" w:color="auto" w:fill="auto"/>
          </w:tcPr>
          <w:p w14:paraId="612F556D"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1.1</w:t>
            </w:r>
          </w:p>
        </w:tc>
        <w:tc>
          <w:tcPr>
            <w:tcW w:w="3019" w:type="dxa"/>
            <w:gridSpan w:val="3"/>
            <w:tcBorders>
              <w:top w:val="single" w:sz="4" w:space="0" w:color="000000"/>
              <w:left w:val="single" w:sz="4" w:space="0" w:color="000000"/>
              <w:bottom w:val="single" w:sz="4" w:space="0" w:color="000000"/>
            </w:tcBorders>
            <w:shd w:val="clear" w:color="auto" w:fill="auto"/>
          </w:tcPr>
          <w:p w14:paraId="6FED21F8"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dopuszczalnych odchyłek od wymiarów nominalnych, z dokładnością do milimetra</w:t>
            </w:r>
          </w:p>
        </w:tc>
        <w:tc>
          <w:tcPr>
            <w:tcW w:w="1239" w:type="dxa"/>
            <w:gridSpan w:val="2"/>
            <w:tcBorders>
              <w:top w:val="single" w:sz="4" w:space="0" w:color="000000"/>
              <w:left w:val="single" w:sz="4" w:space="0" w:color="000000"/>
              <w:bottom w:val="single" w:sz="4" w:space="0" w:color="000000"/>
            </w:tcBorders>
            <w:shd w:val="clear" w:color="auto" w:fill="auto"/>
          </w:tcPr>
          <w:p w14:paraId="773D0C18"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7C05EF39"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Długość: ± 1%, ≥ 4 mm i ≤ 10 mm</w:t>
            </w:r>
          </w:p>
          <w:p w14:paraId="0AB75D50"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Inne wymiary z wyjątkiem promienia:</w:t>
            </w:r>
          </w:p>
          <w:p w14:paraId="3783866D"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dla powierzchni: ± 3%, ≥ 3 mm, ≤ 5 mm,</w:t>
            </w:r>
          </w:p>
          <w:p w14:paraId="4BC8DE8F"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dla innych części: ± 5%, ≥ 3 mm,  ≤ 10 mm</w:t>
            </w:r>
          </w:p>
        </w:tc>
      </w:tr>
      <w:tr w:rsidR="00CC4443" w:rsidRPr="001667DB" w14:paraId="24201D79" w14:textId="77777777" w:rsidTr="00CC4443">
        <w:tc>
          <w:tcPr>
            <w:tcW w:w="514" w:type="dxa"/>
            <w:tcBorders>
              <w:top w:val="single" w:sz="4" w:space="0" w:color="000000"/>
              <w:left w:val="single" w:sz="4" w:space="0" w:color="000000"/>
              <w:bottom w:val="single" w:sz="4" w:space="0" w:color="000000"/>
            </w:tcBorders>
            <w:shd w:val="clear" w:color="auto" w:fill="auto"/>
          </w:tcPr>
          <w:p w14:paraId="7EB64E2B"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3019" w:type="dxa"/>
            <w:gridSpan w:val="3"/>
            <w:tcBorders>
              <w:top w:val="single" w:sz="4" w:space="0" w:color="000000"/>
              <w:left w:val="single" w:sz="4" w:space="0" w:color="000000"/>
              <w:bottom w:val="single" w:sz="4" w:space="0" w:color="000000"/>
            </w:tcBorders>
            <w:shd w:val="clear" w:color="auto" w:fill="auto"/>
          </w:tcPr>
          <w:p w14:paraId="32E1C1D5"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Dopuszczalne odchyłki od płaskości i prostoliniowości, dla długości pomiarowej         300 mm</w:t>
            </w:r>
          </w:p>
          <w:p w14:paraId="19D5C5BF" w14:textId="77777777" w:rsidR="00CC4443" w:rsidRPr="001667DB" w:rsidRDefault="00CC4443">
            <w:pPr>
              <w:jc w:val="right"/>
              <w:rPr>
                <w:rFonts w:ascii="Times New Roman" w:hAnsi="Times New Roman" w:cs="Times New Roman"/>
                <w:color w:val="000000" w:themeColor="text1"/>
              </w:rPr>
            </w:pPr>
            <w:r w:rsidRPr="001667DB">
              <w:rPr>
                <w:rFonts w:ascii="Times New Roman" w:hAnsi="Times New Roman" w:cs="Times New Roman"/>
                <w:color w:val="000000" w:themeColor="text1"/>
              </w:rPr>
              <w:t>400 mm</w:t>
            </w:r>
          </w:p>
          <w:p w14:paraId="39100129" w14:textId="77777777" w:rsidR="00CC4443" w:rsidRPr="001667DB" w:rsidRDefault="00CC4443">
            <w:pPr>
              <w:jc w:val="right"/>
              <w:rPr>
                <w:rFonts w:ascii="Times New Roman" w:hAnsi="Times New Roman" w:cs="Times New Roman"/>
                <w:color w:val="000000" w:themeColor="text1"/>
              </w:rPr>
            </w:pPr>
            <w:r w:rsidRPr="001667DB">
              <w:rPr>
                <w:rFonts w:ascii="Times New Roman" w:hAnsi="Times New Roman" w:cs="Times New Roman"/>
                <w:color w:val="000000" w:themeColor="text1"/>
              </w:rPr>
              <w:t>500 mm</w:t>
            </w:r>
          </w:p>
          <w:p w14:paraId="36095464"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800 mm</w:t>
            </w:r>
          </w:p>
        </w:tc>
        <w:tc>
          <w:tcPr>
            <w:tcW w:w="1239" w:type="dxa"/>
            <w:gridSpan w:val="2"/>
            <w:tcBorders>
              <w:top w:val="single" w:sz="4" w:space="0" w:color="000000"/>
              <w:left w:val="single" w:sz="4" w:space="0" w:color="000000"/>
              <w:bottom w:val="single" w:sz="4" w:space="0" w:color="000000"/>
            </w:tcBorders>
            <w:shd w:val="clear" w:color="auto" w:fill="auto"/>
          </w:tcPr>
          <w:p w14:paraId="1EF759A5"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1236D634" w14:textId="77777777" w:rsidR="00CC4443" w:rsidRPr="001667DB" w:rsidRDefault="00CC4443">
            <w:pPr>
              <w:snapToGrid w:val="0"/>
              <w:rPr>
                <w:rFonts w:ascii="Times New Roman" w:hAnsi="Times New Roman" w:cs="Times New Roman"/>
                <w:color w:val="000000" w:themeColor="text1"/>
              </w:rPr>
            </w:pPr>
          </w:p>
          <w:p w14:paraId="5CC43266" w14:textId="77777777" w:rsidR="00CC4443" w:rsidRPr="001667DB" w:rsidRDefault="00CC4443">
            <w:pPr>
              <w:rPr>
                <w:rFonts w:ascii="Times New Roman" w:hAnsi="Times New Roman" w:cs="Times New Roman"/>
                <w:color w:val="000000" w:themeColor="text1"/>
              </w:rPr>
            </w:pPr>
          </w:p>
          <w:p w14:paraId="6DCE6505"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1,5 mm</w:t>
            </w:r>
          </w:p>
          <w:p w14:paraId="22065539"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2,0 mm</w:t>
            </w:r>
          </w:p>
          <w:p w14:paraId="68002E77"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 2,5 mm</w:t>
            </w:r>
          </w:p>
          <w:p w14:paraId="6A03855D"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4,0 mm</w:t>
            </w:r>
          </w:p>
        </w:tc>
      </w:tr>
      <w:tr w:rsidR="00CC4443" w:rsidRPr="001667DB" w14:paraId="0ECEA882" w14:textId="77777777" w:rsidTr="00CC4443">
        <w:tc>
          <w:tcPr>
            <w:tcW w:w="514" w:type="dxa"/>
            <w:tcBorders>
              <w:top w:val="single" w:sz="4" w:space="0" w:color="000000"/>
              <w:left w:val="single" w:sz="4" w:space="0" w:color="000000"/>
              <w:bottom w:val="single" w:sz="4" w:space="0" w:color="000000"/>
            </w:tcBorders>
            <w:shd w:val="clear" w:color="auto" w:fill="auto"/>
          </w:tcPr>
          <w:p w14:paraId="7F1778E1"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9411" w:type="dxa"/>
            <w:gridSpan w:val="13"/>
            <w:tcBorders>
              <w:top w:val="single" w:sz="4" w:space="0" w:color="000000"/>
              <w:left w:val="single" w:sz="4" w:space="0" w:color="000000"/>
              <w:bottom w:val="single" w:sz="4" w:space="0" w:color="000000"/>
              <w:right w:val="single" w:sz="4" w:space="0" w:color="000000"/>
            </w:tcBorders>
            <w:shd w:val="clear" w:color="auto" w:fill="auto"/>
          </w:tcPr>
          <w:p w14:paraId="42854C58"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Właściwości fizyczne i mechaniczne</w:t>
            </w:r>
          </w:p>
        </w:tc>
      </w:tr>
      <w:tr w:rsidR="00CC4443" w:rsidRPr="001667DB" w14:paraId="72C2F99E" w14:textId="77777777" w:rsidTr="00CC4443">
        <w:tc>
          <w:tcPr>
            <w:tcW w:w="514" w:type="dxa"/>
            <w:tcBorders>
              <w:top w:val="single" w:sz="4" w:space="0" w:color="000000"/>
              <w:left w:val="single" w:sz="4" w:space="0" w:color="000000"/>
              <w:bottom w:val="single" w:sz="4" w:space="0" w:color="000000"/>
            </w:tcBorders>
            <w:shd w:val="clear" w:color="auto" w:fill="auto"/>
          </w:tcPr>
          <w:p w14:paraId="29234338"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2797" w:type="dxa"/>
            <w:gridSpan w:val="2"/>
            <w:tcBorders>
              <w:top w:val="single" w:sz="4" w:space="0" w:color="000000"/>
              <w:left w:val="single" w:sz="4" w:space="0" w:color="000000"/>
              <w:bottom w:val="single" w:sz="4" w:space="0" w:color="000000"/>
            </w:tcBorders>
            <w:shd w:val="clear" w:color="auto" w:fill="auto"/>
          </w:tcPr>
          <w:p w14:paraId="48D67377"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t>Odporność na zamrażanie/</w:t>
            </w:r>
          </w:p>
          <w:p w14:paraId="661877F1"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rozmrażanie z udziałem soli odladzających</w:t>
            </w:r>
          </w:p>
        </w:tc>
        <w:tc>
          <w:tcPr>
            <w:tcW w:w="1461" w:type="dxa"/>
            <w:gridSpan w:val="3"/>
            <w:tcBorders>
              <w:top w:val="single" w:sz="4" w:space="0" w:color="000000"/>
              <w:left w:val="single" w:sz="4" w:space="0" w:color="000000"/>
              <w:bottom w:val="single" w:sz="4" w:space="0" w:color="000000"/>
            </w:tcBorders>
            <w:shd w:val="clear" w:color="auto" w:fill="auto"/>
          </w:tcPr>
          <w:p w14:paraId="53BE3EFA"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D</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4482E246" w14:textId="77777777" w:rsidR="00CC4443" w:rsidRPr="001667DB" w:rsidRDefault="00CC4443">
            <w:pPr>
              <w:overflowPunct w:val="0"/>
              <w:autoSpaceDE w:val="0"/>
              <w:rPr>
                <w:rFonts w:ascii="Times New Roman" w:hAnsi="Times New Roman" w:cs="Times New Roman"/>
                <w:color w:val="000000" w:themeColor="text1"/>
                <w:vertAlign w:val="superscript"/>
              </w:rPr>
            </w:pPr>
            <w:r w:rsidRPr="001667DB">
              <w:rPr>
                <w:rFonts w:ascii="Times New Roman" w:hAnsi="Times New Roman" w:cs="Times New Roman"/>
                <w:color w:val="000000" w:themeColor="text1"/>
              </w:rPr>
              <w:t>Ubytek masy po badaniu: wartość średnia ≤ 1,0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przy czym każdy pojedynczy wynik &lt; 1,5 kg/m</w:t>
            </w:r>
            <w:r w:rsidRPr="001667DB">
              <w:rPr>
                <w:rFonts w:ascii="Times New Roman" w:hAnsi="Times New Roman" w:cs="Times New Roman"/>
                <w:color w:val="000000" w:themeColor="text1"/>
                <w:vertAlign w:val="superscript"/>
              </w:rPr>
              <w:t>2</w:t>
            </w:r>
          </w:p>
          <w:p w14:paraId="6C2F6F05"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(klasa 3, oznaczenie D)</w:t>
            </w:r>
          </w:p>
        </w:tc>
      </w:tr>
      <w:tr w:rsidR="00CC4443" w:rsidRPr="001667DB" w14:paraId="22936543" w14:textId="77777777" w:rsidTr="00CC4443">
        <w:tc>
          <w:tcPr>
            <w:tcW w:w="514" w:type="dxa"/>
            <w:vMerge w:val="restart"/>
            <w:tcBorders>
              <w:top w:val="single" w:sz="4" w:space="0" w:color="000000"/>
              <w:left w:val="single" w:sz="4" w:space="0" w:color="000000"/>
            </w:tcBorders>
            <w:shd w:val="clear" w:color="auto" w:fill="auto"/>
          </w:tcPr>
          <w:p w14:paraId="3CEF0455"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2.2</w:t>
            </w:r>
          </w:p>
        </w:tc>
        <w:tc>
          <w:tcPr>
            <w:tcW w:w="2797" w:type="dxa"/>
            <w:gridSpan w:val="2"/>
            <w:vMerge w:val="restart"/>
            <w:tcBorders>
              <w:top w:val="single" w:sz="4" w:space="0" w:color="000000"/>
              <w:left w:val="single" w:sz="4" w:space="0" w:color="000000"/>
            </w:tcBorders>
            <w:shd w:val="clear" w:color="auto" w:fill="auto"/>
          </w:tcPr>
          <w:p w14:paraId="3885F3F1"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Nasiąkliwość**</w:t>
            </w:r>
          </w:p>
        </w:tc>
        <w:tc>
          <w:tcPr>
            <w:tcW w:w="1461" w:type="dxa"/>
            <w:gridSpan w:val="3"/>
            <w:vMerge w:val="restart"/>
            <w:tcBorders>
              <w:top w:val="single" w:sz="4" w:space="0" w:color="000000"/>
              <w:left w:val="single" w:sz="4" w:space="0" w:color="000000"/>
            </w:tcBorders>
            <w:shd w:val="clear" w:color="auto" w:fill="auto"/>
          </w:tcPr>
          <w:p w14:paraId="05EC2DD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E</w:t>
            </w:r>
          </w:p>
        </w:tc>
        <w:tc>
          <w:tcPr>
            <w:tcW w:w="1025" w:type="dxa"/>
            <w:gridSpan w:val="2"/>
            <w:tcBorders>
              <w:top w:val="single" w:sz="4" w:space="0" w:color="000000"/>
              <w:left w:val="single" w:sz="4" w:space="0" w:color="000000"/>
              <w:bottom w:val="single" w:sz="4" w:space="0" w:color="000000"/>
              <w:right w:val="single" w:sz="4" w:space="0" w:color="auto"/>
            </w:tcBorders>
            <w:shd w:val="clear" w:color="auto" w:fill="auto"/>
          </w:tcPr>
          <w:p w14:paraId="50A71095"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tc>
        <w:tc>
          <w:tcPr>
            <w:tcW w:w="1984" w:type="dxa"/>
            <w:gridSpan w:val="4"/>
            <w:tcBorders>
              <w:top w:val="single" w:sz="4" w:space="0" w:color="000000"/>
              <w:left w:val="single" w:sz="4" w:space="0" w:color="auto"/>
              <w:bottom w:val="single" w:sz="4" w:space="0" w:color="000000"/>
              <w:right w:val="single" w:sz="4" w:space="0" w:color="auto"/>
            </w:tcBorders>
            <w:shd w:val="clear" w:color="auto" w:fill="auto"/>
          </w:tcPr>
          <w:p w14:paraId="3433F38E"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Oznacze-nie</w:t>
            </w:r>
          </w:p>
        </w:tc>
        <w:tc>
          <w:tcPr>
            <w:tcW w:w="2144" w:type="dxa"/>
            <w:gridSpan w:val="2"/>
            <w:tcBorders>
              <w:top w:val="single" w:sz="4" w:space="0" w:color="000000"/>
              <w:left w:val="single" w:sz="4" w:space="0" w:color="auto"/>
              <w:bottom w:val="single" w:sz="4" w:space="0" w:color="000000"/>
              <w:right w:val="single" w:sz="4" w:space="0" w:color="auto"/>
            </w:tcBorders>
            <w:shd w:val="clear" w:color="auto" w:fill="auto"/>
          </w:tcPr>
          <w:p w14:paraId="481356BE"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Nasiąkli-wość  </w:t>
            </w:r>
          </w:p>
          <w:p w14:paraId="28F38DCB"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 masy</w:t>
            </w:r>
          </w:p>
        </w:tc>
      </w:tr>
      <w:tr w:rsidR="00CC4443" w:rsidRPr="001667DB" w14:paraId="6A6789B3" w14:textId="77777777" w:rsidTr="00CC4443">
        <w:tc>
          <w:tcPr>
            <w:tcW w:w="514" w:type="dxa"/>
            <w:vMerge/>
            <w:tcBorders>
              <w:left w:val="single" w:sz="4" w:space="0" w:color="000000"/>
            </w:tcBorders>
            <w:shd w:val="clear" w:color="auto" w:fill="auto"/>
          </w:tcPr>
          <w:p w14:paraId="0BA07DE1" w14:textId="77777777" w:rsidR="00CC4443" w:rsidRPr="001667DB" w:rsidRDefault="00CC4443" w:rsidP="00CC4443">
            <w:pPr>
              <w:overflowPunct w:val="0"/>
              <w:autoSpaceDE w:val="0"/>
              <w:jc w:val="center"/>
              <w:rPr>
                <w:rFonts w:ascii="Times New Roman" w:hAnsi="Times New Roman" w:cs="Times New Roman"/>
                <w:color w:val="000000" w:themeColor="text1"/>
              </w:rPr>
            </w:pPr>
          </w:p>
        </w:tc>
        <w:tc>
          <w:tcPr>
            <w:tcW w:w="2797" w:type="dxa"/>
            <w:gridSpan w:val="2"/>
            <w:vMerge/>
            <w:tcBorders>
              <w:left w:val="single" w:sz="4" w:space="0" w:color="000000"/>
            </w:tcBorders>
            <w:shd w:val="clear" w:color="auto" w:fill="auto"/>
          </w:tcPr>
          <w:p w14:paraId="2709DF9B" w14:textId="77777777" w:rsidR="00CC4443" w:rsidRPr="001667DB" w:rsidRDefault="00CC4443" w:rsidP="00CC4443">
            <w:pPr>
              <w:rPr>
                <w:rFonts w:ascii="Times New Roman" w:hAnsi="Times New Roman" w:cs="Times New Roman"/>
                <w:color w:val="000000" w:themeColor="text1"/>
              </w:rPr>
            </w:pPr>
          </w:p>
        </w:tc>
        <w:tc>
          <w:tcPr>
            <w:tcW w:w="1461" w:type="dxa"/>
            <w:gridSpan w:val="3"/>
            <w:vMerge/>
            <w:tcBorders>
              <w:left w:val="single" w:sz="4" w:space="0" w:color="000000"/>
            </w:tcBorders>
            <w:shd w:val="clear" w:color="auto" w:fill="auto"/>
          </w:tcPr>
          <w:p w14:paraId="40D3FFFF" w14:textId="77777777" w:rsidR="00CC4443" w:rsidRPr="001667DB" w:rsidRDefault="00CC4443" w:rsidP="00CC4443">
            <w:pPr>
              <w:overflowPunct w:val="0"/>
              <w:autoSpaceDE w:val="0"/>
              <w:jc w:val="center"/>
              <w:rPr>
                <w:rFonts w:ascii="Times New Roman" w:hAnsi="Times New Roman" w:cs="Times New Roman"/>
                <w:color w:val="000000" w:themeColor="text1"/>
              </w:rPr>
            </w:pPr>
          </w:p>
        </w:tc>
        <w:tc>
          <w:tcPr>
            <w:tcW w:w="1025" w:type="dxa"/>
            <w:gridSpan w:val="2"/>
            <w:tcBorders>
              <w:top w:val="single" w:sz="4" w:space="0" w:color="000000"/>
              <w:left w:val="single" w:sz="4" w:space="0" w:color="000000"/>
              <w:bottom w:val="single" w:sz="4" w:space="0" w:color="000000"/>
              <w:right w:val="single" w:sz="4" w:space="0" w:color="auto"/>
            </w:tcBorders>
            <w:shd w:val="clear" w:color="auto" w:fill="auto"/>
          </w:tcPr>
          <w:p w14:paraId="2010A671"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984" w:type="dxa"/>
            <w:gridSpan w:val="4"/>
            <w:tcBorders>
              <w:top w:val="single" w:sz="4" w:space="0" w:color="000000"/>
              <w:left w:val="single" w:sz="4" w:space="0" w:color="auto"/>
              <w:bottom w:val="single" w:sz="4" w:space="0" w:color="000000"/>
              <w:right w:val="single" w:sz="4" w:space="0" w:color="auto"/>
            </w:tcBorders>
            <w:shd w:val="clear" w:color="auto" w:fill="auto"/>
          </w:tcPr>
          <w:p w14:paraId="39CDF77F"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A</w:t>
            </w:r>
          </w:p>
        </w:tc>
        <w:tc>
          <w:tcPr>
            <w:tcW w:w="2144" w:type="dxa"/>
            <w:gridSpan w:val="2"/>
            <w:tcBorders>
              <w:top w:val="single" w:sz="4" w:space="0" w:color="000000"/>
              <w:left w:val="single" w:sz="4" w:space="0" w:color="auto"/>
              <w:bottom w:val="single" w:sz="4" w:space="0" w:color="000000"/>
              <w:right w:val="single" w:sz="4" w:space="0" w:color="auto"/>
            </w:tcBorders>
            <w:shd w:val="clear" w:color="auto" w:fill="auto"/>
          </w:tcPr>
          <w:p w14:paraId="2D9C90B0"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nie określa się</w:t>
            </w:r>
          </w:p>
        </w:tc>
      </w:tr>
      <w:tr w:rsidR="00CC4443" w:rsidRPr="001667DB" w14:paraId="7F6336CE" w14:textId="77777777" w:rsidTr="00CC4443">
        <w:tc>
          <w:tcPr>
            <w:tcW w:w="514" w:type="dxa"/>
            <w:vMerge/>
            <w:tcBorders>
              <w:left w:val="single" w:sz="4" w:space="0" w:color="000000"/>
              <w:bottom w:val="single" w:sz="4" w:space="0" w:color="000000"/>
            </w:tcBorders>
            <w:shd w:val="clear" w:color="auto" w:fill="auto"/>
          </w:tcPr>
          <w:p w14:paraId="211A8919" w14:textId="77777777" w:rsidR="00CC4443" w:rsidRPr="001667DB" w:rsidRDefault="00CC4443" w:rsidP="00CC4443">
            <w:pPr>
              <w:overflowPunct w:val="0"/>
              <w:autoSpaceDE w:val="0"/>
              <w:jc w:val="center"/>
              <w:rPr>
                <w:rFonts w:ascii="Times New Roman" w:hAnsi="Times New Roman" w:cs="Times New Roman"/>
                <w:color w:val="000000" w:themeColor="text1"/>
              </w:rPr>
            </w:pPr>
          </w:p>
        </w:tc>
        <w:tc>
          <w:tcPr>
            <w:tcW w:w="2797" w:type="dxa"/>
            <w:gridSpan w:val="2"/>
            <w:vMerge/>
            <w:tcBorders>
              <w:left w:val="single" w:sz="4" w:space="0" w:color="000000"/>
              <w:bottom w:val="single" w:sz="4" w:space="0" w:color="000000"/>
            </w:tcBorders>
            <w:shd w:val="clear" w:color="auto" w:fill="auto"/>
          </w:tcPr>
          <w:p w14:paraId="120A3B3B" w14:textId="77777777" w:rsidR="00CC4443" w:rsidRPr="001667DB" w:rsidRDefault="00CC4443" w:rsidP="00CC4443">
            <w:pPr>
              <w:rPr>
                <w:rFonts w:ascii="Times New Roman" w:hAnsi="Times New Roman" w:cs="Times New Roman"/>
                <w:color w:val="000000" w:themeColor="text1"/>
              </w:rPr>
            </w:pPr>
          </w:p>
        </w:tc>
        <w:tc>
          <w:tcPr>
            <w:tcW w:w="1461" w:type="dxa"/>
            <w:gridSpan w:val="3"/>
            <w:vMerge/>
            <w:tcBorders>
              <w:left w:val="single" w:sz="4" w:space="0" w:color="000000"/>
              <w:bottom w:val="single" w:sz="4" w:space="0" w:color="000000"/>
            </w:tcBorders>
            <w:shd w:val="clear" w:color="auto" w:fill="auto"/>
          </w:tcPr>
          <w:p w14:paraId="2D8F1449" w14:textId="77777777" w:rsidR="00CC4443" w:rsidRPr="001667DB" w:rsidRDefault="00CC4443" w:rsidP="00CC4443">
            <w:pPr>
              <w:overflowPunct w:val="0"/>
              <w:autoSpaceDE w:val="0"/>
              <w:jc w:val="center"/>
              <w:rPr>
                <w:rFonts w:ascii="Times New Roman" w:hAnsi="Times New Roman" w:cs="Times New Roman"/>
                <w:color w:val="000000" w:themeColor="text1"/>
              </w:rPr>
            </w:pPr>
          </w:p>
        </w:tc>
        <w:tc>
          <w:tcPr>
            <w:tcW w:w="1025" w:type="dxa"/>
            <w:gridSpan w:val="2"/>
            <w:tcBorders>
              <w:top w:val="single" w:sz="4" w:space="0" w:color="000000"/>
              <w:left w:val="single" w:sz="4" w:space="0" w:color="000000"/>
              <w:bottom w:val="single" w:sz="4" w:space="0" w:color="000000"/>
              <w:right w:val="single" w:sz="4" w:space="0" w:color="auto"/>
            </w:tcBorders>
            <w:shd w:val="clear" w:color="auto" w:fill="auto"/>
          </w:tcPr>
          <w:p w14:paraId="650A03CB"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984" w:type="dxa"/>
            <w:gridSpan w:val="4"/>
            <w:tcBorders>
              <w:top w:val="single" w:sz="4" w:space="0" w:color="000000"/>
              <w:left w:val="single" w:sz="4" w:space="0" w:color="auto"/>
              <w:bottom w:val="single" w:sz="4" w:space="0" w:color="000000"/>
              <w:right w:val="single" w:sz="4" w:space="0" w:color="auto"/>
            </w:tcBorders>
            <w:shd w:val="clear" w:color="auto" w:fill="auto"/>
          </w:tcPr>
          <w:p w14:paraId="4C406354"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p>
        </w:tc>
        <w:tc>
          <w:tcPr>
            <w:tcW w:w="2144" w:type="dxa"/>
            <w:gridSpan w:val="2"/>
            <w:tcBorders>
              <w:top w:val="single" w:sz="4" w:space="0" w:color="000000"/>
              <w:left w:val="single" w:sz="4" w:space="0" w:color="auto"/>
              <w:bottom w:val="single" w:sz="4" w:space="0" w:color="000000"/>
              <w:right w:val="single" w:sz="4" w:space="0" w:color="auto"/>
            </w:tcBorders>
            <w:shd w:val="clear" w:color="auto" w:fill="auto"/>
          </w:tcPr>
          <w:p w14:paraId="5D2F6C8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 6</w:t>
            </w:r>
          </w:p>
        </w:tc>
      </w:tr>
      <w:tr w:rsidR="00CC4443" w:rsidRPr="001667DB" w14:paraId="6E83D16D" w14:textId="77777777" w:rsidTr="00CC4443">
        <w:tc>
          <w:tcPr>
            <w:tcW w:w="514" w:type="dxa"/>
            <w:tcBorders>
              <w:top w:val="single" w:sz="4" w:space="0" w:color="000000"/>
              <w:left w:val="single" w:sz="4" w:space="0" w:color="000000"/>
              <w:bottom w:val="single" w:sz="4" w:space="0" w:color="000000"/>
            </w:tcBorders>
            <w:shd w:val="clear" w:color="auto" w:fill="auto"/>
          </w:tcPr>
          <w:p w14:paraId="1C3A6CC8"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2.3</w:t>
            </w:r>
          </w:p>
        </w:tc>
        <w:tc>
          <w:tcPr>
            <w:tcW w:w="2797" w:type="dxa"/>
            <w:gridSpan w:val="2"/>
            <w:tcBorders>
              <w:top w:val="single" w:sz="4" w:space="0" w:color="000000"/>
              <w:left w:val="single" w:sz="4" w:space="0" w:color="000000"/>
              <w:bottom w:val="single" w:sz="4" w:space="0" w:color="000000"/>
            </w:tcBorders>
            <w:shd w:val="clear" w:color="auto" w:fill="auto"/>
          </w:tcPr>
          <w:p w14:paraId="086BF686"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Wytrzymałość na zginanie (Klasa wytrzymałości ustalona w dokumentacji projektowej lub przez Inżyniera)</w:t>
            </w:r>
          </w:p>
        </w:tc>
        <w:tc>
          <w:tcPr>
            <w:tcW w:w="1461" w:type="dxa"/>
            <w:gridSpan w:val="3"/>
            <w:tcBorders>
              <w:top w:val="single" w:sz="4" w:space="0" w:color="000000"/>
              <w:left w:val="single" w:sz="4" w:space="0" w:color="000000"/>
              <w:bottom w:val="single" w:sz="4" w:space="0" w:color="000000"/>
            </w:tcBorders>
            <w:shd w:val="clear" w:color="auto" w:fill="auto"/>
          </w:tcPr>
          <w:p w14:paraId="30DD1932"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F</w:t>
            </w:r>
          </w:p>
        </w:tc>
        <w:tc>
          <w:tcPr>
            <w:tcW w:w="1046" w:type="dxa"/>
            <w:gridSpan w:val="3"/>
            <w:tcBorders>
              <w:top w:val="single" w:sz="4" w:space="0" w:color="000000"/>
              <w:left w:val="single" w:sz="4" w:space="0" w:color="000000"/>
              <w:bottom w:val="single" w:sz="4" w:space="0" w:color="000000"/>
            </w:tcBorders>
            <w:shd w:val="clear" w:color="auto" w:fill="auto"/>
          </w:tcPr>
          <w:p w14:paraId="2D1C5494"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p w14:paraId="32E57B32"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wytrz.</w:t>
            </w:r>
          </w:p>
          <w:p w14:paraId="28B4074E"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p w14:paraId="1D890285"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p w14:paraId="2C327139"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963" w:type="dxa"/>
            <w:gridSpan w:val="3"/>
            <w:tcBorders>
              <w:top w:val="single" w:sz="4" w:space="0" w:color="000000"/>
              <w:left w:val="single" w:sz="4" w:space="0" w:color="000000"/>
              <w:bottom w:val="single" w:sz="4" w:space="0" w:color="000000"/>
            </w:tcBorders>
            <w:shd w:val="clear" w:color="auto" w:fill="auto"/>
          </w:tcPr>
          <w:p w14:paraId="262E676F" w14:textId="77777777" w:rsidR="00CC4443" w:rsidRPr="001667DB" w:rsidRDefault="00CC4443">
            <w:pPr>
              <w:ind w:left="13"/>
              <w:jc w:val="center"/>
              <w:rPr>
                <w:rFonts w:ascii="Times New Roman" w:hAnsi="Times New Roman" w:cs="Times New Roman"/>
                <w:color w:val="000000" w:themeColor="text1"/>
              </w:rPr>
            </w:pPr>
            <w:r w:rsidRPr="001667DB">
              <w:rPr>
                <w:rFonts w:ascii="Times New Roman" w:hAnsi="Times New Roman" w:cs="Times New Roman"/>
                <w:color w:val="000000" w:themeColor="text1"/>
              </w:rPr>
              <w:t>Charakterystyczna</w:t>
            </w:r>
          </w:p>
          <w:p w14:paraId="5D42CAFD" w14:textId="77777777" w:rsidR="00CC4443" w:rsidRPr="001667DB" w:rsidRDefault="00CC4443">
            <w:pPr>
              <w:ind w:left="13"/>
              <w:jc w:val="center"/>
              <w:rPr>
                <w:rFonts w:ascii="Times New Roman" w:hAnsi="Times New Roman" w:cs="Times New Roman"/>
                <w:color w:val="000000" w:themeColor="text1"/>
              </w:rPr>
            </w:pPr>
            <w:r w:rsidRPr="001667DB">
              <w:rPr>
                <w:rFonts w:ascii="Times New Roman" w:hAnsi="Times New Roman" w:cs="Times New Roman"/>
                <w:color w:val="000000" w:themeColor="text1"/>
              </w:rPr>
              <w:t>wytrzymałość, MPa</w:t>
            </w:r>
          </w:p>
          <w:p w14:paraId="6672388E" w14:textId="77777777" w:rsidR="00CC4443" w:rsidRPr="001667DB" w:rsidRDefault="00CC4443">
            <w:pPr>
              <w:ind w:left="13"/>
              <w:jc w:val="center"/>
              <w:rPr>
                <w:rFonts w:ascii="Times New Roman" w:hAnsi="Times New Roman" w:cs="Times New Roman"/>
                <w:color w:val="000000" w:themeColor="text1"/>
              </w:rPr>
            </w:pPr>
            <w:r w:rsidRPr="001667DB">
              <w:rPr>
                <w:rFonts w:ascii="Times New Roman" w:hAnsi="Times New Roman" w:cs="Times New Roman"/>
                <w:color w:val="000000" w:themeColor="text1"/>
              </w:rPr>
              <w:t>3,5</w:t>
            </w:r>
          </w:p>
          <w:p w14:paraId="46F087F6" w14:textId="77777777" w:rsidR="00CC4443" w:rsidRPr="001667DB" w:rsidRDefault="00CC4443">
            <w:pPr>
              <w:ind w:left="13"/>
              <w:jc w:val="center"/>
              <w:rPr>
                <w:rFonts w:ascii="Times New Roman" w:hAnsi="Times New Roman" w:cs="Times New Roman"/>
                <w:color w:val="000000" w:themeColor="text1"/>
              </w:rPr>
            </w:pPr>
            <w:r w:rsidRPr="001667DB">
              <w:rPr>
                <w:rFonts w:ascii="Times New Roman" w:hAnsi="Times New Roman" w:cs="Times New Roman"/>
                <w:color w:val="000000" w:themeColor="text1"/>
              </w:rPr>
              <w:t>5,0</w:t>
            </w:r>
          </w:p>
          <w:p w14:paraId="149CC32F" w14:textId="77777777" w:rsidR="00CC4443" w:rsidRPr="001667DB" w:rsidRDefault="00CC4443">
            <w:pPr>
              <w:overflowPunct w:val="0"/>
              <w:autoSpaceDE w:val="0"/>
              <w:ind w:left="13"/>
              <w:jc w:val="center"/>
              <w:rPr>
                <w:rFonts w:ascii="Times New Roman" w:hAnsi="Times New Roman" w:cs="Times New Roman"/>
                <w:color w:val="000000" w:themeColor="text1"/>
              </w:rPr>
            </w:pPr>
            <w:r w:rsidRPr="001667DB">
              <w:rPr>
                <w:rFonts w:ascii="Times New Roman" w:hAnsi="Times New Roman" w:cs="Times New Roman"/>
                <w:color w:val="000000" w:themeColor="text1"/>
              </w:rPr>
              <w:t>6,0</w:t>
            </w:r>
          </w:p>
        </w:tc>
        <w:tc>
          <w:tcPr>
            <w:tcW w:w="21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F89B3E" w14:textId="77777777" w:rsidR="00CC4443" w:rsidRPr="001667DB" w:rsidRDefault="00CC4443">
            <w:pPr>
              <w:ind w:left="33"/>
              <w:jc w:val="center"/>
              <w:rPr>
                <w:rFonts w:ascii="Times New Roman" w:hAnsi="Times New Roman" w:cs="Times New Roman"/>
                <w:color w:val="000000" w:themeColor="text1"/>
              </w:rPr>
            </w:pPr>
            <w:r w:rsidRPr="001667DB">
              <w:rPr>
                <w:rFonts w:ascii="Times New Roman" w:hAnsi="Times New Roman" w:cs="Times New Roman"/>
                <w:color w:val="000000" w:themeColor="text1"/>
              </w:rPr>
              <w:t>Każdy pojedynczy</w:t>
            </w:r>
          </w:p>
          <w:p w14:paraId="48688A11" w14:textId="77777777" w:rsidR="00CC4443" w:rsidRPr="001667DB" w:rsidRDefault="00CC4443">
            <w:pPr>
              <w:ind w:left="33"/>
              <w:jc w:val="center"/>
              <w:rPr>
                <w:rFonts w:ascii="Times New Roman" w:hAnsi="Times New Roman" w:cs="Times New Roman"/>
                <w:color w:val="000000" w:themeColor="text1"/>
              </w:rPr>
            </w:pPr>
            <w:r w:rsidRPr="001667DB">
              <w:rPr>
                <w:rFonts w:ascii="Times New Roman" w:hAnsi="Times New Roman" w:cs="Times New Roman"/>
                <w:color w:val="000000" w:themeColor="text1"/>
              </w:rPr>
              <w:t>wynik, MPa</w:t>
            </w:r>
          </w:p>
          <w:p w14:paraId="6D858145" w14:textId="77777777" w:rsidR="00CC4443" w:rsidRPr="001667DB" w:rsidRDefault="00CC4443">
            <w:pPr>
              <w:ind w:left="33"/>
              <w:jc w:val="center"/>
              <w:rPr>
                <w:rFonts w:ascii="Times New Roman" w:hAnsi="Times New Roman" w:cs="Times New Roman"/>
                <w:color w:val="000000" w:themeColor="text1"/>
              </w:rPr>
            </w:pPr>
            <w:r w:rsidRPr="001667DB">
              <w:rPr>
                <w:rFonts w:ascii="Times New Roman" w:hAnsi="Times New Roman" w:cs="Times New Roman"/>
                <w:color w:val="000000" w:themeColor="text1"/>
              </w:rPr>
              <w:t>&gt; 2,8</w:t>
            </w:r>
          </w:p>
          <w:p w14:paraId="35BD1EC4" w14:textId="77777777" w:rsidR="00CC4443" w:rsidRPr="001667DB" w:rsidRDefault="00CC4443">
            <w:pPr>
              <w:ind w:left="33"/>
              <w:jc w:val="center"/>
              <w:rPr>
                <w:rFonts w:ascii="Times New Roman" w:hAnsi="Times New Roman" w:cs="Times New Roman"/>
                <w:color w:val="000000" w:themeColor="text1"/>
              </w:rPr>
            </w:pPr>
            <w:r w:rsidRPr="001667DB">
              <w:rPr>
                <w:rFonts w:ascii="Times New Roman" w:hAnsi="Times New Roman" w:cs="Times New Roman"/>
                <w:color w:val="000000" w:themeColor="text1"/>
              </w:rPr>
              <w:t>&gt; 4,0</w:t>
            </w:r>
          </w:p>
          <w:p w14:paraId="335211DB" w14:textId="77777777" w:rsidR="00CC4443" w:rsidRPr="001667DB" w:rsidRDefault="00CC4443">
            <w:pPr>
              <w:overflowPunct w:val="0"/>
              <w:autoSpaceDE w:val="0"/>
              <w:ind w:left="33"/>
              <w:jc w:val="center"/>
              <w:rPr>
                <w:rFonts w:ascii="Times New Roman" w:hAnsi="Times New Roman" w:cs="Times New Roman"/>
                <w:color w:val="000000" w:themeColor="text1"/>
              </w:rPr>
            </w:pPr>
            <w:r w:rsidRPr="001667DB">
              <w:rPr>
                <w:rFonts w:ascii="Times New Roman" w:hAnsi="Times New Roman" w:cs="Times New Roman"/>
                <w:color w:val="000000" w:themeColor="text1"/>
              </w:rPr>
              <w:t>&gt; 4,8</w:t>
            </w:r>
          </w:p>
        </w:tc>
      </w:tr>
      <w:tr w:rsidR="00CC4443" w:rsidRPr="001667DB" w14:paraId="31D0356A" w14:textId="77777777" w:rsidTr="00CC4443">
        <w:tc>
          <w:tcPr>
            <w:tcW w:w="514" w:type="dxa"/>
            <w:tcBorders>
              <w:top w:val="single" w:sz="4" w:space="0" w:color="000000"/>
              <w:left w:val="single" w:sz="4" w:space="0" w:color="000000"/>
              <w:bottom w:val="single" w:sz="4" w:space="0" w:color="000000"/>
            </w:tcBorders>
            <w:shd w:val="clear" w:color="auto" w:fill="auto"/>
          </w:tcPr>
          <w:p w14:paraId="52063EC1"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2797" w:type="dxa"/>
            <w:gridSpan w:val="2"/>
            <w:tcBorders>
              <w:top w:val="single" w:sz="4" w:space="0" w:color="000000"/>
              <w:left w:val="single" w:sz="4" w:space="0" w:color="000000"/>
              <w:bottom w:val="single" w:sz="4" w:space="0" w:color="000000"/>
            </w:tcBorders>
            <w:shd w:val="clear" w:color="auto" w:fill="auto"/>
          </w:tcPr>
          <w:p w14:paraId="54A24B34"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Trwałość ze względu na wytrzymałość</w:t>
            </w:r>
          </w:p>
        </w:tc>
        <w:tc>
          <w:tcPr>
            <w:tcW w:w="1461" w:type="dxa"/>
            <w:gridSpan w:val="3"/>
            <w:tcBorders>
              <w:top w:val="single" w:sz="4" w:space="0" w:color="000000"/>
              <w:left w:val="single" w:sz="4" w:space="0" w:color="000000"/>
              <w:bottom w:val="single" w:sz="4" w:space="0" w:color="000000"/>
            </w:tcBorders>
            <w:shd w:val="clear" w:color="auto" w:fill="auto"/>
          </w:tcPr>
          <w:p w14:paraId="712BE29A"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F</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3BA1308C"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Krawężniki mają zadawalającą  trwałość (wytrzymałość) jeśli spełnione są wymagania pktu 2.2 oraz poddawane są normalnej konserwacji</w:t>
            </w:r>
          </w:p>
        </w:tc>
      </w:tr>
      <w:tr w:rsidR="00CC4443" w:rsidRPr="001667DB" w14:paraId="01710E39" w14:textId="77777777" w:rsidTr="00CC4443">
        <w:tc>
          <w:tcPr>
            <w:tcW w:w="514" w:type="dxa"/>
            <w:tcBorders>
              <w:top w:val="single" w:sz="4" w:space="0" w:color="000000"/>
              <w:left w:val="single" w:sz="4" w:space="0" w:color="000000"/>
              <w:bottom w:val="none" w:sz="0" w:space="0" w:color="000000"/>
            </w:tcBorders>
            <w:shd w:val="clear" w:color="auto" w:fill="auto"/>
          </w:tcPr>
          <w:p w14:paraId="1B9DF316"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2797" w:type="dxa"/>
            <w:gridSpan w:val="2"/>
            <w:tcBorders>
              <w:top w:val="single" w:sz="4" w:space="0" w:color="000000"/>
              <w:left w:val="single" w:sz="4" w:space="0" w:color="000000"/>
              <w:bottom w:val="none" w:sz="0" w:space="0" w:color="000000"/>
            </w:tcBorders>
            <w:shd w:val="clear" w:color="auto" w:fill="auto"/>
          </w:tcPr>
          <w:p w14:paraId="158342B9"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Odporność na ścieranie</w:t>
            </w:r>
          </w:p>
        </w:tc>
        <w:tc>
          <w:tcPr>
            <w:tcW w:w="1461" w:type="dxa"/>
            <w:gridSpan w:val="3"/>
            <w:tcBorders>
              <w:top w:val="single" w:sz="4" w:space="0" w:color="000000"/>
              <w:left w:val="single" w:sz="4" w:space="0" w:color="000000"/>
              <w:bottom w:val="none" w:sz="0" w:space="0" w:color="000000"/>
            </w:tcBorders>
            <w:shd w:val="clear" w:color="auto" w:fill="auto"/>
          </w:tcPr>
          <w:p w14:paraId="67A381BB"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G i H</w:t>
            </w:r>
          </w:p>
        </w:tc>
        <w:tc>
          <w:tcPr>
            <w:tcW w:w="824" w:type="dxa"/>
            <w:tcBorders>
              <w:top w:val="single" w:sz="4" w:space="0" w:color="000000"/>
              <w:left w:val="single" w:sz="4" w:space="0" w:color="000000"/>
              <w:bottom w:val="none" w:sz="0" w:space="0" w:color="000000"/>
            </w:tcBorders>
            <w:shd w:val="clear" w:color="auto" w:fill="auto"/>
          </w:tcPr>
          <w:p w14:paraId="06B4CA90" w14:textId="77777777" w:rsidR="00CC4443" w:rsidRPr="001667DB" w:rsidRDefault="00CC4443">
            <w:pPr>
              <w:overflowPunct w:val="0"/>
              <w:autoSpaceDE w:val="0"/>
              <w:snapToGrid w:val="0"/>
              <w:jc w:val="center"/>
              <w:rPr>
                <w:rFonts w:ascii="Times New Roman" w:hAnsi="Times New Roman" w:cs="Times New Roman"/>
                <w:color w:val="000000" w:themeColor="text1"/>
              </w:rPr>
            </w:pPr>
          </w:p>
        </w:tc>
        <w:tc>
          <w:tcPr>
            <w:tcW w:w="4329" w:type="dxa"/>
            <w:gridSpan w:val="7"/>
            <w:tcBorders>
              <w:top w:val="single" w:sz="4" w:space="0" w:color="000000"/>
              <w:left w:val="single" w:sz="4" w:space="0" w:color="000000"/>
              <w:bottom w:val="single" w:sz="4" w:space="0" w:color="000000"/>
              <w:right w:val="single" w:sz="4" w:space="0" w:color="000000"/>
            </w:tcBorders>
            <w:shd w:val="clear" w:color="auto" w:fill="auto"/>
          </w:tcPr>
          <w:p w14:paraId="60CBB1CE"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Odporność przy pomiarze na tarczy</w:t>
            </w:r>
          </w:p>
        </w:tc>
      </w:tr>
      <w:tr w:rsidR="00CC4443" w:rsidRPr="001667DB" w14:paraId="215E7E7A" w14:textId="77777777" w:rsidTr="00CC4443">
        <w:tc>
          <w:tcPr>
            <w:tcW w:w="514" w:type="dxa"/>
            <w:tcBorders>
              <w:top w:val="none" w:sz="0" w:space="0" w:color="000000"/>
              <w:left w:val="single" w:sz="4" w:space="0" w:color="000000"/>
              <w:bottom w:val="none" w:sz="0" w:space="0" w:color="000000"/>
            </w:tcBorders>
            <w:shd w:val="clear" w:color="auto" w:fill="auto"/>
          </w:tcPr>
          <w:p w14:paraId="693B40C6" w14:textId="77777777" w:rsidR="00CC4443" w:rsidRPr="001667DB" w:rsidRDefault="00CC4443">
            <w:pPr>
              <w:overflowPunct w:val="0"/>
              <w:autoSpaceDE w:val="0"/>
              <w:snapToGrid w:val="0"/>
              <w:jc w:val="center"/>
              <w:rPr>
                <w:rFonts w:ascii="Times New Roman" w:hAnsi="Times New Roman" w:cs="Times New Roman"/>
                <w:color w:val="000000" w:themeColor="text1"/>
              </w:rPr>
            </w:pPr>
          </w:p>
        </w:tc>
        <w:tc>
          <w:tcPr>
            <w:tcW w:w="2797" w:type="dxa"/>
            <w:gridSpan w:val="2"/>
            <w:tcBorders>
              <w:top w:val="none" w:sz="0" w:space="0" w:color="000000"/>
              <w:left w:val="single" w:sz="4" w:space="0" w:color="000000"/>
              <w:bottom w:val="none" w:sz="0" w:space="0" w:color="000000"/>
            </w:tcBorders>
            <w:shd w:val="clear" w:color="auto" w:fill="auto"/>
          </w:tcPr>
          <w:p w14:paraId="2130E23F"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(Klasa odporności ustalona w dokumentacji projektowej lub przez Inżyniera)</w:t>
            </w:r>
          </w:p>
        </w:tc>
        <w:tc>
          <w:tcPr>
            <w:tcW w:w="1461" w:type="dxa"/>
            <w:gridSpan w:val="3"/>
            <w:tcBorders>
              <w:top w:val="none" w:sz="0" w:space="0" w:color="000000"/>
              <w:left w:val="single" w:sz="4" w:space="0" w:color="000000"/>
              <w:bottom w:val="none" w:sz="0" w:space="0" w:color="000000"/>
            </w:tcBorders>
            <w:shd w:val="clear" w:color="auto" w:fill="auto"/>
          </w:tcPr>
          <w:p w14:paraId="6B64428E" w14:textId="77777777" w:rsidR="00CC4443" w:rsidRPr="001667DB" w:rsidRDefault="00CC4443">
            <w:pPr>
              <w:overflowPunct w:val="0"/>
              <w:autoSpaceDE w:val="0"/>
              <w:snapToGrid w:val="0"/>
              <w:rPr>
                <w:rFonts w:ascii="Times New Roman" w:hAnsi="Times New Roman" w:cs="Times New Roman"/>
                <w:color w:val="000000" w:themeColor="text1"/>
              </w:rPr>
            </w:pPr>
          </w:p>
        </w:tc>
        <w:tc>
          <w:tcPr>
            <w:tcW w:w="824" w:type="dxa"/>
            <w:tcBorders>
              <w:top w:val="none" w:sz="0" w:space="0" w:color="000000"/>
              <w:left w:val="single" w:sz="4" w:space="0" w:color="000000"/>
              <w:bottom w:val="single" w:sz="4" w:space="0" w:color="000000"/>
            </w:tcBorders>
            <w:shd w:val="clear" w:color="auto" w:fill="auto"/>
          </w:tcPr>
          <w:p w14:paraId="005A4038"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Klasa</w:t>
            </w:r>
          </w:p>
          <w:p w14:paraId="215E56EC"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odpor-</w:t>
            </w:r>
          </w:p>
          <w:p w14:paraId="3B396684"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ności</w:t>
            </w:r>
          </w:p>
        </w:tc>
        <w:tc>
          <w:tcPr>
            <w:tcW w:w="1555" w:type="dxa"/>
            <w:gridSpan w:val="4"/>
            <w:tcBorders>
              <w:top w:val="single" w:sz="4" w:space="0" w:color="000000"/>
              <w:left w:val="single" w:sz="4" w:space="0" w:color="000000"/>
              <w:bottom w:val="single" w:sz="4" w:space="0" w:color="000000"/>
            </w:tcBorders>
            <w:shd w:val="clear" w:color="auto" w:fill="auto"/>
          </w:tcPr>
          <w:p w14:paraId="241EA275"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szerokiej ściernej, wg zał. G normy – badanie podstawowe</w:t>
            </w:r>
          </w:p>
        </w:tc>
        <w:tc>
          <w:tcPr>
            <w:tcW w:w="2774" w:type="dxa"/>
            <w:gridSpan w:val="3"/>
            <w:tcBorders>
              <w:top w:val="single" w:sz="4" w:space="0" w:color="000000"/>
              <w:left w:val="single" w:sz="4" w:space="0" w:color="000000"/>
              <w:bottom w:val="single" w:sz="4" w:space="0" w:color="000000"/>
              <w:right w:val="single" w:sz="4" w:space="0" w:color="000000"/>
            </w:tcBorders>
            <w:shd w:val="clear" w:color="auto" w:fill="auto"/>
          </w:tcPr>
          <w:p w14:paraId="464B2770"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Böhmego,</w:t>
            </w:r>
          </w:p>
          <w:p w14:paraId="4C34D1B9"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wg zał. H normy – badanie alternatywne</w:t>
            </w:r>
          </w:p>
        </w:tc>
      </w:tr>
      <w:tr w:rsidR="00CC4443" w:rsidRPr="001667DB" w14:paraId="3E93D90C" w14:textId="77777777" w:rsidTr="00CC4443">
        <w:tc>
          <w:tcPr>
            <w:tcW w:w="514" w:type="dxa"/>
            <w:tcBorders>
              <w:top w:val="none" w:sz="0" w:space="0" w:color="000000"/>
              <w:left w:val="single" w:sz="4" w:space="0" w:color="000000"/>
              <w:bottom w:val="single" w:sz="4" w:space="0" w:color="000000"/>
            </w:tcBorders>
            <w:shd w:val="clear" w:color="auto" w:fill="auto"/>
          </w:tcPr>
          <w:p w14:paraId="4126C0BF" w14:textId="77777777" w:rsidR="00CC4443" w:rsidRPr="001667DB" w:rsidRDefault="00CC4443">
            <w:pPr>
              <w:overflowPunct w:val="0"/>
              <w:autoSpaceDE w:val="0"/>
              <w:snapToGrid w:val="0"/>
              <w:jc w:val="center"/>
              <w:rPr>
                <w:rFonts w:ascii="Times New Roman" w:hAnsi="Times New Roman" w:cs="Times New Roman"/>
                <w:color w:val="000000" w:themeColor="text1"/>
              </w:rPr>
            </w:pPr>
          </w:p>
        </w:tc>
        <w:tc>
          <w:tcPr>
            <w:tcW w:w="2797" w:type="dxa"/>
            <w:gridSpan w:val="2"/>
            <w:tcBorders>
              <w:top w:val="none" w:sz="0" w:space="0" w:color="000000"/>
              <w:left w:val="single" w:sz="4" w:space="0" w:color="000000"/>
              <w:bottom w:val="single" w:sz="4" w:space="0" w:color="000000"/>
            </w:tcBorders>
            <w:shd w:val="clear" w:color="auto" w:fill="auto"/>
          </w:tcPr>
          <w:p w14:paraId="06BD4298" w14:textId="77777777" w:rsidR="00CC4443" w:rsidRPr="001667DB" w:rsidRDefault="00CC4443">
            <w:pPr>
              <w:overflowPunct w:val="0"/>
              <w:autoSpaceDE w:val="0"/>
              <w:snapToGrid w:val="0"/>
              <w:rPr>
                <w:rFonts w:ascii="Times New Roman" w:hAnsi="Times New Roman" w:cs="Times New Roman"/>
                <w:color w:val="000000" w:themeColor="text1"/>
              </w:rPr>
            </w:pPr>
          </w:p>
        </w:tc>
        <w:tc>
          <w:tcPr>
            <w:tcW w:w="1461" w:type="dxa"/>
            <w:gridSpan w:val="3"/>
            <w:tcBorders>
              <w:top w:val="none" w:sz="0" w:space="0" w:color="000000"/>
              <w:left w:val="single" w:sz="4" w:space="0" w:color="000000"/>
              <w:bottom w:val="single" w:sz="4" w:space="0" w:color="000000"/>
            </w:tcBorders>
            <w:shd w:val="clear" w:color="auto" w:fill="auto"/>
          </w:tcPr>
          <w:p w14:paraId="25B08794" w14:textId="77777777" w:rsidR="00CC4443" w:rsidRPr="001667DB" w:rsidRDefault="00CC4443">
            <w:pPr>
              <w:overflowPunct w:val="0"/>
              <w:autoSpaceDE w:val="0"/>
              <w:snapToGrid w:val="0"/>
              <w:jc w:val="center"/>
              <w:rPr>
                <w:rFonts w:ascii="Times New Roman" w:hAnsi="Times New Roman" w:cs="Times New Roman"/>
                <w:color w:val="000000" w:themeColor="text1"/>
              </w:rPr>
            </w:pPr>
          </w:p>
        </w:tc>
        <w:tc>
          <w:tcPr>
            <w:tcW w:w="824" w:type="dxa"/>
            <w:tcBorders>
              <w:top w:val="single" w:sz="4" w:space="0" w:color="000000"/>
              <w:left w:val="single" w:sz="4" w:space="0" w:color="000000"/>
              <w:bottom w:val="single" w:sz="4" w:space="0" w:color="000000"/>
            </w:tcBorders>
            <w:shd w:val="clear" w:color="auto" w:fill="auto"/>
          </w:tcPr>
          <w:p w14:paraId="004E01C0"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p w14:paraId="4BA5D314"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w:t>
            </w:r>
          </w:p>
          <w:p w14:paraId="339F862D"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555" w:type="dxa"/>
            <w:gridSpan w:val="4"/>
            <w:tcBorders>
              <w:top w:val="single" w:sz="4" w:space="0" w:color="000000"/>
              <w:left w:val="single" w:sz="4" w:space="0" w:color="000000"/>
              <w:bottom w:val="single" w:sz="4" w:space="0" w:color="000000"/>
            </w:tcBorders>
            <w:shd w:val="clear" w:color="auto" w:fill="auto"/>
          </w:tcPr>
          <w:p w14:paraId="09EB4165"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Nie określa się</w:t>
            </w:r>
          </w:p>
          <w:p w14:paraId="21387963"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23 mm</w:t>
            </w:r>
          </w:p>
          <w:p w14:paraId="0E959F90" w14:textId="77777777" w:rsidR="00CC4443" w:rsidRPr="001667DB" w:rsidRDefault="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 20 mm</w:t>
            </w:r>
          </w:p>
        </w:tc>
        <w:tc>
          <w:tcPr>
            <w:tcW w:w="2774" w:type="dxa"/>
            <w:gridSpan w:val="3"/>
            <w:tcBorders>
              <w:top w:val="single" w:sz="4" w:space="0" w:color="000000"/>
              <w:left w:val="single" w:sz="4" w:space="0" w:color="000000"/>
              <w:bottom w:val="single" w:sz="4" w:space="0" w:color="000000"/>
              <w:right w:val="single" w:sz="4" w:space="0" w:color="000000"/>
            </w:tcBorders>
            <w:shd w:val="clear" w:color="auto" w:fill="auto"/>
          </w:tcPr>
          <w:p w14:paraId="1D170D90" w14:textId="77777777" w:rsidR="00CC4443" w:rsidRPr="001667DB" w:rsidRDefault="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Nie określa się</w:t>
            </w:r>
          </w:p>
          <w:p w14:paraId="18701446" w14:textId="77777777" w:rsidR="00CC4443" w:rsidRPr="001667DB" w:rsidRDefault="00CC4443">
            <w:pP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 20000 mm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/5000 mm</w:t>
            </w:r>
            <w:r w:rsidRPr="001667DB">
              <w:rPr>
                <w:rFonts w:ascii="Times New Roman" w:hAnsi="Times New Roman" w:cs="Times New Roman"/>
                <w:color w:val="000000" w:themeColor="text1"/>
                <w:vertAlign w:val="superscript"/>
              </w:rPr>
              <w:t>2</w:t>
            </w:r>
          </w:p>
          <w:p w14:paraId="1EC6756F"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18000 mm</w:t>
            </w:r>
            <w:r w:rsidRPr="001667DB">
              <w:rPr>
                <w:rFonts w:ascii="Times New Roman" w:hAnsi="Times New Roman" w:cs="Times New Roman"/>
                <w:color w:val="000000" w:themeColor="text1"/>
                <w:vertAlign w:val="superscript"/>
              </w:rPr>
              <w:t>3</w:t>
            </w:r>
            <w:r w:rsidRPr="001667DB">
              <w:rPr>
                <w:rFonts w:ascii="Times New Roman" w:hAnsi="Times New Roman" w:cs="Times New Roman"/>
                <w:color w:val="000000" w:themeColor="text1"/>
              </w:rPr>
              <w:t>/5000 mm</w:t>
            </w:r>
            <w:r w:rsidRPr="001667DB">
              <w:rPr>
                <w:rFonts w:ascii="Times New Roman" w:hAnsi="Times New Roman" w:cs="Times New Roman"/>
                <w:color w:val="000000" w:themeColor="text1"/>
                <w:vertAlign w:val="superscript"/>
              </w:rPr>
              <w:t>2</w:t>
            </w:r>
          </w:p>
        </w:tc>
      </w:tr>
      <w:tr w:rsidR="00CC4443" w:rsidRPr="001667DB" w14:paraId="3128E509" w14:textId="77777777" w:rsidTr="00CC4443">
        <w:tc>
          <w:tcPr>
            <w:tcW w:w="514" w:type="dxa"/>
            <w:tcBorders>
              <w:top w:val="single" w:sz="4" w:space="0" w:color="000000"/>
              <w:left w:val="single" w:sz="4" w:space="0" w:color="000000"/>
              <w:bottom w:val="single" w:sz="4" w:space="0" w:color="000000"/>
            </w:tcBorders>
            <w:shd w:val="clear" w:color="auto" w:fill="auto"/>
          </w:tcPr>
          <w:p w14:paraId="48FA8444"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2.6</w:t>
            </w:r>
          </w:p>
        </w:tc>
        <w:tc>
          <w:tcPr>
            <w:tcW w:w="2797" w:type="dxa"/>
            <w:gridSpan w:val="2"/>
            <w:tcBorders>
              <w:top w:val="single" w:sz="4" w:space="0" w:color="000000"/>
              <w:left w:val="single" w:sz="4" w:space="0" w:color="000000"/>
              <w:bottom w:val="single" w:sz="4" w:space="0" w:color="000000"/>
            </w:tcBorders>
            <w:shd w:val="clear" w:color="auto" w:fill="auto"/>
          </w:tcPr>
          <w:p w14:paraId="4DB0F58D"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Odporność na poślizg/</w:t>
            </w:r>
          </w:p>
          <w:p w14:paraId="18C8FBB1" w14:textId="77777777" w:rsidR="00CC4443" w:rsidRPr="001667DB" w:rsidRDefault="00CC4443" w:rsidP="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poślizgnięcie</w:t>
            </w:r>
          </w:p>
        </w:tc>
        <w:tc>
          <w:tcPr>
            <w:tcW w:w="1461" w:type="dxa"/>
            <w:gridSpan w:val="3"/>
            <w:tcBorders>
              <w:top w:val="single" w:sz="4" w:space="0" w:color="000000"/>
              <w:left w:val="single" w:sz="4" w:space="0" w:color="000000"/>
              <w:bottom w:val="single" w:sz="4" w:space="0" w:color="000000"/>
            </w:tcBorders>
            <w:shd w:val="clear" w:color="auto" w:fill="auto"/>
          </w:tcPr>
          <w:p w14:paraId="716C6421"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I</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664A33FB" w14:textId="77777777" w:rsidR="00CC4443" w:rsidRPr="001667DB" w:rsidRDefault="00CC4443" w:rsidP="00904E6C">
            <w:pPr>
              <w:numPr>
                <w:ilvl w:val="0"/>
                <w:numId w:val="264"/>
              </w:numPr>
              <w:tabs>
                <w:tab w:val="clear" w:pos="0"/>
              </w:tabs>
              <w:overflowPunct w:val="0"/>
              <w:autoSpaceDE w:val="0"/>
              <w:autoSpaceDN w:val="0"/>
              <w:adjustRightInd w:val="0"/>
              <w:spacing w:after="0" w:line="240" w:lineRule="auto"/>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jeśli górna powierzchnia krawężnika nie była szlifowana i/lub polerowana – zadowalająca odporność,</w:t>
            </w:r>
          </w:p>
          <w:p w14:paraId="47B916E6" w14:textId="77777777" w:rsidR="00CC4443" w:rsidRPr="001667DB" w:rsidRDefault="00CC4443" w:rsidP="00904E6C">
            <w:pPr>
              <w:numPr>
                <w:ilvl w:val="0"/>
                <w:numId w:val="264"/>
              </w:numPr>
              <w:tabs>
                <w:tab w:val="clear" w:pos="0"/>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jeśli wyjątkowo wymaga się podania wartości odporności na poślizg/poślizgnięcie – należy zadeklarować minimalną jej wartość pomierzoną wg zał. I normy (wahadłowym przyrzą-dem do badania tarcia),</w:t>
            </w:r>
          </w:p>
          <w:p w14:paraId="22B052EB" w14:textId="77777777" w:rsidR="00CC4443" w:rsidRPr="001667DB" w:rsidRDefault="00CC4443" w:rsidP="00904E6C">
            <w:pPr>
              <w:numPr>
                <w:ilvl w:val="0"/>
                <w:numId w:val="264"/>
              </w:numPr>
              <w:tabs>
                <w:tab w:val="clear" w:pos="0"/>
              </w:tabs>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trwałość odporności na poślizg/poślizgnięcie w normal-nych warunkach użytkowania krawężnika jest zadowalająca przez cały okres użytkowania, pod warunkiem właściwego utrzymywania i gdy na znacznej części nie zostało odsłonięte kruszywo podlegające intensyw-nemu polerowaniu</w:t>
            </w:r>
          </w:p>
          <w:p w14:paraId="6169C149"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wg GDDKiA wartość średnia USRW≥55</w:t>
            </w:r>
          </w:p>
        </w:tc>
      </w:tr>
      <w:tr w:rsidR="00CC4443" w:rsidRPr="001667DB" w14:paraId="5B4FEA1C" w14:textId="77777777" w:rsidTr="00CC4443">
        <w:tc>
          <w:tcPr>
            <w:tcW w:w="514" w:type="dxa"/>
            <w:tcBorders>
              <w:top w:val="single" w:sz="4" w:space="0" w:color="000000"/>
              <w:left w:val="single" w:sz="4" w:space="0" w:color="000000"/>
              <w:bottom w:val="single" w:sz="4" w:space="0" w:color="000000"/>
            </w:tcBorders>
            <w:shd w:val="clear" w:color="auto" w:fill="auto"/>
          </w:tcPr>
          <w:p w14:paraId="08E76A1B"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9411" w:type="dxa"/>
            <w:gridSpan w:val="13"/>
            <w:tcBorders>
              <w:top w:val="single" w:sz="4" w:space="0" w:color="000000"/>
              <w:left w:val="single" w:sz="4" w:space="0" w:color="000000"/>
              <w:bottom w:val="single" w:sz="4" w:space="0" w:color="000000"/>
              <w:right w:val="single" w:sz="4" w:space="0" w:color="000000"/>
            </w:tcBorders>
            <w:shd w:val="clear" w:color="auto" w:fill="auto"/>
          </w:tcPr>
          <w:p w14:paraId="30DE4D80" w14:textId="77777777" w:rsidR="00CC4443" w:rsidRPr="001667DB" w:rsidRDefault="00CC4443" w:rsidP="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Aspekty wizualne</w:t>
            </w:r>
          </w:p>
        </w:tc>
      </w:tr>
      <w:tr w:rsidR="00CC4443" w:rsidRPr="001667DB" w14:paraId="3D6EBC75" w14:textId="77777777" w:rsidTr="00CC4443">
        <w:tc>
          <w:tcPr>
            <w:tcW w:w="514" w:type="dxa"/>
            <w:tcBorders>
              <w:top w:val="single" w:sz="4" w:space="0" w:color="000000"/>
              <w:left w:val="single" w:sz="4" w:space="0" w:color="000000"/>
              <w:bottom w:val="single" w:sz="4" w:space="0" w:color="000000"/>
            </w:tcBorders>
            <w:shd w:val="clear" w:color="auto" w:fill="auto"/>
          </w:tcPr>
          <w:p w14:paraId="23D5205F"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3.1</w:t>
            </w:r>
          </w:p>
        </w:tc>
        <w:tc>
          <w:tcPr>
            <w:tcW w:w="2797" w:type="dxa"/>
            <w:gridSpan w:val="2"/>
            <w:tcBorders>
              <w:top w:val="single" w:sz="4" w:space="0" w:color="000000"/>
              <w:left w:val="single" w:sz="4" w:space="0" w:color="000000"/>
              <w:bottom w:val="single" w:sz="4" w:space="0" w:color="000000"/>
            </w:tcBorders>
            <w:shd w:val="clear" w:color="auto" w:fill="auto"/>
          </w:tcPr>
          <w:p w14:paraId="42479B14" w14:textId="77777777" w:rsidR="00CC4443" w:rsidRPr="001667DB" w:rsidRDefault="00CC4443" w:rsidP="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Wygląd</w:t>
            </w:r>
          </w:p>
        </w:tc>
        <w:tc>
          <w:tcPr>
            <w:tcW w:w="1461" w:type="dxa"/>
            <w:gridSpan w:val="3"/>
            <w:tcBorders>
              <w:top w:val="single" w:sz="4" w:space="0" w:color="000000"/>
              <w:left w:val="single" w:sz="4" w:space="0" w:color="000000"/>
              <w:bottom w:val="single" w:sz="4" w:space="0" w:color="000000"/>
            </w:tcBorders>
            <w:shd w:val="clear" w:color="auto" w:fill="auto"/>
          </w:tcPr>
          <w:p w14:paraId="50151B71"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J</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54CA9B56" w14:textId="77777777" w:rsidR="00CC4443" w:rsidRPr="001667DB" w:rsidRDefault="00CC4443" w:rsidP="00904E6C">
            <w:pPr>
              <w:numPr>
                <w:ilvl w:val="0"/>
                <w:numId w:val="257"/>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powierzchnia krawężnika nie powinna mieć rys i odprysków,</w:t>
            </w:r>
          </w:p>
          <w:p w14:paraId="7BB6118C" w14:textId="77777777" w:rsidR="00CC4443" w:rsidRPr="001667DB" w:rsidRDefault="00CC4443" w:rsidP="00904E6C">
            <w:pPr>
              <w:numPr>
                <w:ilvl w:val="0"/>
                <w:numId w:val="257"/>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nie dopuszcza się rozwarstwień w krawężnikach dwuwarstwowych</w:t>
            </w:r>
          </w:p>
          <w:p w14:paraId="12CC29DD" w14:textId="77777777" w:rsidR="00CC4443" w:rsidRPr="001667DB" w:rsidRDefault="00CC4443" w:rsidP="00904E6C">
            <w:pPr>
              <w:numPr>
                <w:ilvl w:val="0"/>
                <w:numId w:val="257"/>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ewentualne wykwity nie są uważane za istotne</w:t>
            </w:r>
          </w:p>
        </w:tc>
      </w:tr>
      <w:tr w:rsidR="00CC4443" w:rsidRPr="001667DB" w14:paraId="7392AE8E" w14:textId="77777777" w:rsidTr="00CC4443">
        <w:tc>
          <w:tcPr>
            <w:tcW w:w="514" w:type="dxa"/>
            <w:tcBorders>
              <w:top w:val="single" w:sz="4" w:space="0" w:color="000000"/>
              <w:left w:val="single" w:sz="4" w:space="0" w:color="000000"/>
              <w:bottom w:val="single" w:sz="4" w:space="0" w:color="000000"/>
            </w:tcBorders>
            <w:shd w:val="clear" w:color="auto" w:fill="auto"/>
          </w:tcPr>
          <w:p w14:paraId="5C409EAE"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tc>
        <w:tc>
          <w:tcPr>
            <w:tcW w:w="2797" w:type="dxa"/>
            <w:gridSpan w:val="2"/>
            <w:tcBorders>
              <w:top w:val="single" w:sz="4" w:space="0" w:color="000000"/>
              <w:left w:val="single" w:sz="4" w:space="0" w:color="000000"/>
              <w:bottom w:val="single" w:sz="4" w:space="0" w:color="000000"/>
            </w:tcBorders>
            <w:shd w:val="clear" w:color="auto" w:fill="auto"/>
          </w:tcPr>
          <w:p w14:paraId="361472AC" w14:textId="77777777" w:rsidR="00CC4443" w:rsidRPr="001667DB" w:rsidRDefault="00CC4443" w:rsidP="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Tekstura</w:t>
            </w:r>
          </w:p>
        </w:tc>
        <w:tc>
          <w:tcPr>
            <w:tcW w:w="1461" w:type="dxa"/>
            <w:gridSpan w:val="3"/>
            <w:tcBorders>
              <w:top w:val="single" w:sz="4" w:space="0" w:color="000000"/>
              <w:left w:val="single" w:sz="4" w:space="0" w:color="000000"/>
              <w:bottom w:val="single" w:sz="4" w:space="0" w:color="000000"/>
            </w:tcBorders>
            <w:shd w:val="clear" w:color="auto" w:fill="auto"/>
          </w:tcPr>
          <w:p w14:paraId="497FF4D2"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J</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4CDFE8F1" w14:textId="77777777" w:rsidR="00CC4443" w:rsidRPr="001667DB" w:rsidRDefault="00CC4443" w:rsidP="00904E6C">
            <w:pPr>
              <w:numPr>
                <w:ilvl w:val="0"/>
                <w:numId w:val="258"/>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krawężniki z powierzchnią o specjalnej teksturze – producent powinien określić rodzaj tekstury,</w:t>
            </w:r>
          </w:p>
          <w:p w14:paraId="44F8386C" w14:textId="77777777" w:rsidR="00CC4443" w:rsidRPr="001667DB" w:rsidRDefault="00CC4443" w:rsidP="00904E6C">
            <w:pPr>
              <w:numPr>
                <w:ilvl w:val="0"/>
                <w:numId w:val="258"/>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tekstura powinna być porównana z próbkami dostarczonymi przez producenta, zatwierdzonymi przez odbiorcę,</w:t>
            </w:r>
          </w:p>
          <w:p w14:paraId="01995D08" w14:textId="77777777" w:rsidR="00CC4443" w:rsidRPr="001667DB" w:rsidRDefault="00CC4443" w:rsidP="00904E6C">
            <w:pPr>
              <w:numPr>
                <w:ilvl w:val="0"/>
                <w:numId w:val="258"/>
              </w:numPr>
              <w:tabs>
                <w:tab w:val="clear" w:pos="340"/>
              </w:tabs>
              <w:suppressAutoHyphens/>
              <w:overflowPunct w:val="0"/>
              <w:autoSpaceDE w:val="0"/>
              <w:spacing w:after="0" w:line="240" w:lineRule="auto"/>
              <w:ind w:left="336" w:hanging="336"/>
              <w:rPr>
                <w:rFonts w:ascii="Times New Roman" w:hAnsi="Times New Roman" w:cs="Times New Roman"/>
                <w:color w:val="000000" w:themeColor="text1"/>
              </w:rPr>
            </w:pPr>
            <w:r w:rsidRPr="001667DB">
              <w:rPr>
                <w:rFonts w:ascii="Times New Roman" w:hAnsi="Times New Roman" w:cs="Times New Roman"/>
                <w:color w:val="000000" w:themeColor="text1"/>
              </w:rPr>
              <w:t>różnice w jednolitości tekstury, spowodowane nieuniknionymi zmianami we właściwości surowców i warunków twardnienia, nie są uważane za istotne</w:t>
            </w:r>
          </w:p>
        </w:tc>
      </w:tr>
      <w:tr w:rsidR="00CC4443" w:rsidRPr="001667DB" w14:paraId="1855E2CB" w14:textId="77777777" w:rsidTr="00CC4443">
        <w:tc>
          <w:tcPr>
            <w:tcW w:w="514" w:type="dxa"/>
            <w:tcBorders>
              <w:top w:val="single" w:sz="4" w:space="0" w:color="000000"/>
              <w:left w:val="single" w:sz="4" w:space="0" w:color="000000"/>
              <w:bottom w:val="single" w:sz="4" w:space="0" w:color="000000"/>
            </w:tcBorders>
            <w:shd w:val="clear" w:color="auto" w:fill="auto"/>
          </w:tcPr>
          <w:p w14:paraId="5D3F75B2"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2797" w:type="dxa"/>
            <w:gridSpan w:val="2"/>
            <w:tcBorders>
              <w:top w:val="single" w:sz="4" w:space="0" w:color="000000"/>
              <w:left w:val="single" w:sz="4" w:space="0" w:color="000000"/>
              <w:bottom w:val="single" w:sz="4" w:space="0" w:color="000000"/>
            </w:tcBorders>
            <w:shd w:val="clear" w:color="auto" w:fill="auto"/>
          </w:tcPr>
          <w:p w14:paraId="669319A2" w14:textId="77777777" w:rsidR="00CC4443" w:rsidRPr="001667DB" w:rsidRDefault="00CC4443" w:rsidP="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Zabarwienie</w:t>
            </w:r>
          </w:p>
        </w:tc>
        <w:tc>
          <w:tcPr>
            <w:tcW w:w="1461" w:type="dxa"/>
            <w:gridSpan w:val="3"/>
            <w:tcBorders>
              <w:top w:val="single" w:sz="4" w:space="0" w:color="000000"/>
              <w:left w:val="single" w:sz="4" w:space="0" w:color="000000"/>
              <w:bottom w:val="single" w:sz="4" w:space="0" w:color="000000"/>
            </w:tcBorders>
            <w:shd w:val="clear" w:color="auto" w:fill="auto"/>
          </w:tcPr>
          <w:p w14:paraId="344B523D" w14:textId="77777777" w:rsidR="00CC4443" w:rsidRPr="001667DB" w:rsidRDefault="00CC4443" w:rsidP="00CC4443">
            <w:pPr>
              <w:overflowPunct w:val="0"/>
              <w:autoSpaceDE w:val="0"/>
              <w:jc w:val="center"/>
              <w:rPr>
                <w:rFonts w:ascii="Times New Roman" w:hAnsi="Times New Roman" w:cs="Times New Roman"/>
                <w:color w:val="000000" w:themeColor="text1"/>
              </w:rPr>
            </w:pPr>
            <w:r w:rsidRPr="001667DB">
              <w:rPr>
                <w:rFonts w:ascii="Times New Roman" w:hAnsi="Times New Roman" w:cs="Times New Roman"/>
                <w:color w:val="000000" w:themeColor="text1"/>
              </w:rPr>
              <w:t>J</w:t>
            </w:r>
          </w:p>
        </w:tc>
        <w:tc>
          <w:tcPr>
            <w:tcW w:w="5153" w:type="dxa"/>
            <w:gridSpan w:val="8"/>
            <w:tcBorders>
              <w:top w:val="single" w:sz="4" w:space="0" w:color="000000"/>
              <w:left w:val="single" w:sz="4" w:space="0" w:color="000000"/>
              <w:bottom w:val="single" w:sz="4" w:space="0" w:color="000000"/>
              <w:right w:val="single" w:sz="4" w:space="0" w:color="000000"/>
            </w:tcBorders>
            <w:shd w:val="clear" w:color="auto" w:fill="auto"/>
          </w:tcPr>
          <w:p w14:paraId="489EC7B3" w14:textId="77777777" w:rsidR="00CC4443" w:rsidRPr="001667DB" w:rsidRDefault="00CC4443" w:rsidP="00904E6C">
            <w:pPr>
              <w:numPr>
                <w:ilvl w:val="0"/>
                <w:numId w:val="259"/>
              </w:numPr>
              <w:tabs>
                <w:tab w:val="left" w:pos="176"/>
              </w:tabs>
              <w:suppressAutoHyphens/>
              <w:overflowPunct w:val="0"/>
              <w:autoSpaceDE w:val="0"/>
              <w:spacing w:after="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barwiona może być warstwa ścieralna lub cały element,</w:t>
            </w:r>
          </w:p>
          <w:p w14:paraId="0E5FFA31" w14:textId="77777777" w:rsidR="00CC4443" w:rsidRPr="001667DB" w:rsidRDefault="00CC4443" w:rsidP="00904E6C">
            <w:pPr>
              <w:numPr>
                <w:ilvl w:val="0"/>
                <w:numId w:val="259"/>
              </w:numPr>
              <w:tabs>
                <w:tab w:val="left" w:pos="176"/>
              </w:tabs>
              <w:suppressAutoHyphens/>
              <w:overflowPunct w:val="0"/>
              <w:autoSpaceDE w:val="0"/>
              <w:spacing w:after="0" w:line="240" w:lineRule="auto"/>
              <w:ind w:left="176" w:hanging="176"/>
              <w:rPr>
                <w:rFonts w:ascii="Times New Roman" w:hAnsi="Times New Roman" w:cs="Times New Roman"/>
                <w:color w:val="000000" w:themeColor="text1"/>
              </w:rPr>
            </w:pPr>
            <w:r w:rsidRPr="001667DB">
              <w:rPr>
                <w:rFonts w:ascii="Times New Roman" w:hAnsi="Times New Roman" w:cs="Times New Roman"/>
                <w:color w:val="000000" w:themeColor="text1"/>
              </w:rPr>
              <w:t>zabarwienie powinno być porównane z próbkami dostarczonymi przez producenta, zatwierdzonymi przez odbiorcę,</w:t>
            </w:r>
          </w:p>
          <w:p w14:paraId="130DED50" w14:textId="77777777" w:rsidR="00CC4443" w:rsidRPr="001667DB" w:rsidRDefault="00CC4443" w:rsidP="00904E6C">
            <w:pPr>
              <w:numPr>
                <w:ilvl w:val="0"/>
                <w:numId w:val="259"/>
              </w:numPr>
              <w:tabs>
                <w:tab w:val="left" w:pos="176"/>
              </w:tabs>
              <w:suppressAutoHyphens/>
              <w:overflowPunct w:val="0"/>
              <w:autoSpaceDE w:val="0"/>
              <w:spacing w:after="0" w:line="240" w:lineRule="auto"/>
              <w:ind w:left="176" w:hanging="176"/>
              <w:rPr>
                <w:rFonts w:ascii="Times New Roman" w:hAnsi="Times New Roman" w:cs="Times New Roman"/>
                <w:color w:val="000000" w:themeColor="text1"/>
              </w:rPr>
            </w:pPr>
            <w:r w:rsidRPr="001667DB">
              <w:rPr>
                <w:rFonts w:ascii="Times New Roman" w:hAnsi="Times New Roman" w:cs="Times New Roman"/>
                <w:color w:val="000000" w:themeColor="text1"/>
              </w:rPr>
              <w:t>różnice w jednolitości zabarwienia, spowodowane nieuniknionymi zmianami właściwości surowców lub warunków dojrzewania betonu, nie są uważane za istotne</w:t>
            </w:r>
          </w:p>
        </w:tc>
      </w:tr>
      <w:tr w:rsidR="00CC4443" w:rsidRPr="001667DB" w14:paraId="78E315FE" w14:textId="77777777" w:rsidTr="00CC4443">
        <w:trPr>
          <w:gridAfter w:val="1"/>
          <w:wAfter w:w="15" w:type="dxa"/>
        </w:trPr>
        <w:tc>
          <w:tcPr>
            <w:tcW w:w="514" w:type="dxa"/>
            <w:shd w:val="clear" w:color="auto" w:fill="auto"/>
            <w:vAlign w:val="center"/>
          </w:tcPr>
          <w:p w14:paraId="31EA3939" w14:textId="77777777" w:rsidR="00CC4443" w:rsidRPr="001667DB" w:rsidRDefault="00CC4443" w:rsidP="00CC4443">
            <w:pPr>
              <w:snapToGrid w:val="0"/>
              <w:rPr>
                <w:rFonts w:ascii="Times New Roman" w:hAnsi="Times New Roman" w:cs="Times New Roman"/>
                <w:color w:val="000000" w:themeColor="text1"/>
              </w:rPr>
            </w:pPr>
          </w:p>
        </w:tc>
        <w:tc>
          <w:tcPr>
            <w:tcW w:w="239" w:type="dxa"/>
            <w:shd w:val="clear" w:color="auto" w:fill="auto"/>
            <w:vAlign w:val="center"/>
          </w:tcPr>
          <w:p w14:paraId="01A21162" w14:textId="77777777" w:rsidR="00CC4443" w:rsidRPr="001667DB" w:rsidRDefault="00CC4443" w:rsidP="00CC4443">
            <w:pPr>
              <w:snapToGrid w:val="0"/>
              <w:rPr>
                <w:rFonts w:ascii="Times New Roman" w:hAnsi="Times New Roman" w:cs="Times New Roman"/>
                <w:color w:val="000000" w:themeColor="text1"/>
              </w:rPr>
            </w:pPr>
          </w:p>
        </w:tc>
        <w:tc>
          <w:tcPr>
            <w:tcW w:w="2558" w:type="dxa"/>
            <w:shd w:val="clear" w:color="auto" w:fill="auto"/>
            <w:vAlign w:val="center"/>
          </w:tcPr>
          <w:p w14:paraId="41818FA1" w14:textId="77777777" w:rsidR="00CC4443" w:rsidRPr="001667DB" w:rsidRDefault="00CC4443" w:rsidP="00CC4443">
            <w:pPr>
              <w:snapToGrid w:val="0"/>
              <w:rPr>
                <w:rFonts w:ascii="Times New Roman" w:hAnsi="Times New Roman" w:cs="Times New Roman"/>
                <w:color w:val="000000" w:themeColor="text1"/>
              </w:rPr>
            </w:pPr>
          </w:p>
        </w:tc>
        <w:tc>
          <w:tcPr>
            <w:tcW w:w="239" w:type="dxa"/>
            <w:gridSpan w:val="2"/>
            <w:shd w:val="clear" w:color="auto" w:fill="auto"/>
            <w:vAlign w:val="center"/>
          </w:tcPr>
          <w:p w14:paraId="226FE1B7" w14:textId="77777777" w:rsidR="00CC4443" w:rsidRPr="001667DB" w:rsidRDefault="00CC4443" w:rsidP="00CC4443">
            <w:pPr>
              <w:snapToGrid w:val="0"/>
              <w:rPr>
                <w:rFonts w:ascii="Times New Roman" w:hAnsi="Times New Roman" w:cs="Times New Roman"/>
                <w:color w:val="000000" w:themeColor="text1"/>
              </w:rPr>
            </w:pPr>
          </w:p>
        </w:tc>
        <w:tc>
          <w:tcPr>
            <w:tcW w:w="1222" w:type="dxa"/>
            <w:shd w:val="clear" w:color="auto" w:fill="auto"/>
            <w:vAlign w:val="center"/>
          </w:tcPr>
          <w:p w14:paraId="393300B3" w14:textId="77777777" w:rsidR="00CC4443" w:rsidRPr="001667DB" w:rsidRDefault="00CC4443" w:rsidP="00CC4443">
            <w:pPr>
              <w:snapToGrid w:val="0"/>
              <w:rPr>
                <w:rFonts w:ascii="Times New Roman" w:hAnsi="Times New Roman" w:cs="Times New Roman"/>
                <w:color w:val="000000" w:themeColor="text1"/>
              </w:rPr>
            </w:pPr>
          </w:p>
        </w:tc>
        <w:tc>
          <w:tcPr>
            <w:tcW w:w="824" w:type="dxa"/>
            <w:shd w:val="clear" w:color="auto" w:fill="auto"/>
            <w:vAlign w:val="center"/>
          </w:tcPr>
          <w:p w14:paraId="74AE96FC" w14:textId="77777777" w:rsidR="00CC4443" w:rsidRPr="001667DB" w:rsidRDefault="00CC4443" w:rsidP="00CC4443">
            <w:pPr>
              <w:snapToGrid w:val="0"/>
              <w:rPr>
                <w:rFonts w:ascii="Times New Roman" w:hAnsi="Times New Roman" w:cs="Times New Roman"/>
                <w:color w:val="000000" w:themeColor="text1"/>
              </w:rPr>
            </w:pPr>
          </w:p>
        </w:tc>
        <w:tc>
          <w:tcPr>
            <w:tcW w:w="239" w:type="dxa"/>
            <w:gridSpan w:val="3"/>
            <w:shd w:val="clear" w:color="auto" w:fill="auto"/>
            <w:vAlign w:val="center"/>
          </w:tcPr>
          <w:p w14:paraId="68E33815" w14:textId="77777777" w:rsidR="00CC4443" w:rsidRPr="001667DB" w:rsidRDefault="00CC4443" w:rsidP="00CC4443">
            <w:pPr>
              <w:snapToGrid w:val="0"/>
              <w:rPr>
                <w:rFonts w:ascii="Times New Roman" w:hAnsi="Times New Roman" w:cs="Times New Roman"/>
                <w:color w:val="000000" w:themeColor="text1"/>
              </w:rPr>
            </w:pPr>
          </w:p>
        </w:tc>
        <w:tc>
          <w:tcPr>
            <w:tcW w:w="1316" w:type="dxa"/>
            <w:shd w:val="clear" w:color="auto" w:fill="auto"/>
            <w:vAlign w:val="center"/>
          </w:tcPr>
          <w:p w14:paraId="6FEB6541" w14:textId="77777777" w:rsidR="00CC4443" w:rsidRPr="001667DB" w:rsidRDefault="00CC4443" w:rsidP="00CC4443">
            <w:pPr>
              <w:snapToGrid w:val="0"/>
              <w:rPr>
                <w:rFonts w:ascii="Times New Roman" w:hAnsi="Times New Roman" w:cs="Times New Roman"/>
                <w:color w:val="000000" w:themeColor="text1"/>
              </w:rPr>
            </w:pPr>
          </w:p>
        </w:tc>
        <w:tc>
          <w:tcPr>
            <w:tcW w:w="630" w:type="dxa"/>
            <w:shd w:val="clear" w:color="auto" w:fill="auto"/>
            <w:vAlign w:val="center"/>
          </w:tcPr>
          <w:p w14:paraId="34985078" w14:textId="77777777" w:rsidR="00CC4443" w:rsidRPr="001667DB" w:rsidRDefault="00CC4443" w:rsidP="00CC4443">
            <w:pPr>
              <w:snapToGrid w:val="0"/>
              <w:rPr>
                <w:rFonts w:ascii="Times New Roman" w:hAnsi="Times New Roman" w:cs="Times New Roman"/>
                <w:color w:val="000000" w:themeColor="text1"/>
              </w:rPr>
            </w:pPr>
          </w:p>
        </w:tc>
        <w:tc>
          <w:tcPr>
            <w:tcW w:w="2129" w:type="dxa"/>
            <w:shd w:val="clear" w:color="auto" w:fill="auto"/>
            <w:vAlign w:val="center"/>
          </w:tcPr>
          <w:p w14:paraId="5253EE20" w14:textId="77777777" w:rsidR="00CC4443" w:rsidRPr="001667DB" w:rsidRDefault="00CC4443" w:rsidP="00CC4443">
            <w:pPr>
              <w:snapToGrid w:val="0"/>
              <w:rPr>
                <w:rFonts w:ascii="Times New Roman" w:hAnsi="Times New Roman" w:cs="Times New Roman"/>
                <w:color w:val="000000" w:themeColor="text1"/>
              </w:rPr>
            </w:pPr>
          </w:p>
        </w:tc>
      </w:tr>
    </w:tbl>
    <w:p w14:paraId="3ACF9F58"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parametry zalecone przez GDDKiA [10]</w:t>
      </w:r>
    </w:p>
    <w:p w14:paraId="4A20C65D"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wg GDDKiA: wartość średnia dla każdego krawężnika nie większa niż 5,0% (kryterium podwyższone) [10]</w:t>
      </w:r>
    </w:p>
    <w:p w14:paraId="6666BDFE"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 przypadku zastosowań krawężników betonowych na powierzchniach innych niż przewidziano w tablicy 1 (np. przy nawierzchniach wewnętrznych, nie narażonych na kontakt z solą odladzającą), wymagania wobec krawężników należy odpowiednio dostosować do ustaleń PN-EN 1340 [5].</w:t>
      </w:r>
    </w:p>
    <w:p w14:paraId="0E939BCF"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2.2.3.3. Składowanie krawężników</w:t>
      </w:r>
    </w:p>
    <w:p w14:paraId="4FCD0234" w14:textId="77777777" w:rsidR="00CC4443" w:rsidRPr="001667DB" w:rsidRDefault="00CC4443" w:rsidP="00577746">
      <w:pPr>
        <w:spacing w:before="120"/>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Krawężniki betonowe mogą być przechowywane na składowiskach otwartych, posegregowane według typów, rodzajów, kształtów, cech fizycznych i mechanicznych, wielkości, wyglądu itp.</w:t>
      </w:r>
    </w:p>
    <w:p w14:paraId="06DA72F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Krawężniki betonowe należy układać z zastosowaniem podkładek i przekładek drewnianych o wymiarach: grubość 2,5 cm, szerokość 5 cm, długości min. 5 cm większej od szerokości krawężnika.</w:t>
      </w:r>
    </w:p>
    <w:p w14:paraId="05791AB1" w14:textId="77777777" w:rsidR="00CC4443" w:rsidRPr="001667DB" w:rsidRDefault="00DB08A5" w:rsidP="00577746">
      <w:pPr>
        <w:pStyle w:val="Nagwek2"/>
        <w:ind w:left="851" w:hanging="1135"/>
        <w:jc w:val="both"/>
        <w:rPr>
          <w:color w:val="000000" w:themeColor="text1"/>
          <w:sz w:val="22"/>
          <w:szCs w:val="22"/>
        </w:rPr>
      </w:pPr>
      <w:r w:rsidRPr="001667DB">
        <w:rPr>
          <w:color w:val="000000" w:themeColor="text1"/>
          <w:sz w:val="22"/>
          <w:szCs w:val="22"/>
          <w:u w:val="none"/>
        </w:rPr>
        <w:tab/>
      </w:r>
      <w:r w:rsidR="00CC4443" w:rsidRPr="001667DB">
        <w:rPr>
          <w:color w:val="000000" w:themeColor="text1"/>
          <w:sz w:val="22"/>
          <w:szCs w:val="22"/>
        </w:rPr>
        <w:t xml:space="preserve">2.2.4. </w:t>
      </w:r>
      <w:r w:rsidR="00CC4443" w:rsidRPr="001667DB">
        <w:rPr>
          <w:b w:val="0"/>
          <w:color w:val="000000" w:themeColor="text1"/>
          <w:sz w:val="22"/>
          <w:szCs w:val="22"/>
        </w:rPr>
        <w:t>Materiały na podsypkę i do zapraw</w:t>
      </w:r>
    </w:p>
    <w:p w14:paraId="1201AB2E"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Jeśli dokumentacja projektowa lub ST nie ustala inaczej, to można zastosować podsypkę cementowo-piaskową oraz zaprawy z użyciem materiałów spełniających poniższe wymagania:</w:t>
      </w:r>
    </w:p>
    <w:p w14:paraId="6510C3FF" w14:textId="77777777" w:rsidR="00CC4443" w:rsidRPr="001667DB" w:rsidRDefault="00CC4443" w:rsidP="00904E6C">
      <w:pPr>
        <w:numPr>
          <w:ilvl w:val="0"/>
          <w:numId w:val="26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cement powszechnego użytku wg normy PN-EN-197-1 [8],</w:t>
      </w:r>
    </w:p>
    <w:p w14:paraId="4F3C07FE" w14:textId="77777777" w:rsidR="00CC4443" w:rsidRPr="001667DB" w:rsidRDefault="00CC4443" w:rsidP="00904E6C">
      <w:pPr>
        <w:numPr>
          <w:ilvl w:val="0"/>
          <w:numId w:val="26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drobne 0/2, 0/4 lub 0/5 wg normy PN-EN 13242 [5] kategorii uziarnienia G</w:t>
      </w:r>
      <w:r w:rsidRPr="001667DB">
        <w:rPr>
          <w:rFonts w:ascii="Times New Roman" w:hAnsi="Times New Roman" w:cs="Times New Roman"/>
          <w:color w:val="000000" w:themeColor="text1"/>
          <w:vertAlign w:val="subscript"/>
        </w:rPr>
        <w:t>F</w:t>
      </w:r>
      <w:r w:rsidRPr="001667DB">
        <w:rPr>
          <w:rFonts w:ascii="Times New Roman" w:hAnsi="Times New Roman" w:cs="Times New Roman"/>
          <w:color w:val="000000" w:themeColor="text1"/>
        </w:rPr>
        <w:t>85 i zawartości pyłów f</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w:t>
      </w:r>
    </w:p>
    <w:p w14:paraId="4D0B8CDD" w14:textId="77777777" w:rsidR="00CC4443" w:rsidRPr="001667DB" w:rsidRDefault="00CC4443" w:rsidP="00904E6C">
      <w:pPr>
        <w:numPr>
          <w:ilvl w:val="0"/>
          <w:numId w:val="26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kruszywo 1/4, 2/5 lub 2/8, wg normy PN-EN 13242 [5] kategorii uziarnienia G</w:t>
      </w:r>
      <w:r w:rsidRPr="001667DB">
        <w:rPr>
          <w:rFonts w:ascii="Times New Roman" w:hAnsi="Times New Roman" w:cs="Times New Roman"/>
          <w:color w:val="000000" w:themeColor="text1"/>
          <w:vertAlign w:val="subscript"/>
        </w:rPr>
        <w:t>C</w:t>
      </w:r>
      <w:r w:rsidRPr="001667DB">
        <w:rPr>
          <w:rFonts w:ascii="Times New Roman" w:hAnsi="Times New Roman" w:cs="Times New Roman"/>
          <w:color w:val="000000" w:themeColor="text1"/>
        </w:rPr>
        <w:t>80/20 i zawartości pyłów f</w:t>
      </w:r>
      <w:r w:rsidRPr="001667DB">
        <w:rPr>
          <w:rFonts w:ascii="Times New Roman" w:hAnsi="Times New Roman" w:cs="Times New Roman"/>
          <w:color w:val="000000" w:themeColor="text1"/>
          <w:vertAlign w:val="subscript"/>
        </w:rPr>
        <w:t>10</w:t>
      </w:r>
      <w:r w:rsidRPr="001667DB">
        <w:rPr>
          <w:rFonts w:ascii="Times New Roman" w:hAnsi="Times New Roman" w:cs="Times New Roman"/>
          <w:color w:val="000000" w:themeColor="text1"/>
        </w:rPr>
        <w:t>,</w:t>
      </w:r>
    </w:p>
    <w:p w14:paraId="4F27E236" w14:textId="77777777" w:rsidR="00CC4443" w:rsidRPr="001667DB" w:rsidRDefault="00CC4443" w:rsidP="00904E6C">
      <w:pPr>
        <w:numPr>
          <w:ilvl w:val="0"/>
          <w:numId w:val="265"/>
        </w:numPr>
        <w:overflowPunct w:val="0"/>
        <w:autoSpaceDE w:val="0"/>
        <w:autoSpaceDN w:val="0"/>
        <w:adjustRightInd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zaleca się stosować wodę pitną z wodociągu, która nie wymaga badań; w przypadku czerpania wody z innych źródeł, woda musi spełniać wymagania normy PN-EN 1008 [4].</w:t>
      </w:r>
    </w:p>
    <w:p w14:paraId="481E08FC" w14:textId="77777777" w:rsidR="00CC4443" w:rsidRPr="001667DB" w:rsidRDefault="00CC4443" w:rsidP="00904E6C">
      <w:pPr>
        <w:pStyle w:val="Nagwek2"/>
        <w:numPr>
          <w:ilvl w:val="2"/>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overflowPunct w:val="0"/>
        <w:autoSpaceDE w:val="0"/>
        <w:spacing w:before="120" w:line="240" w:lineRule="auto"/>
        <w:jc w:val="both"/>
        <w:rPr>
          <w:color w:val="000000" w:themeColor="text1"/>
          <w:sz w:val="22"/>
          <w:szCs w:val="22"/>
        </w:rPr>
      </w:pPr>
      <w:r w:rsidRPr="001667DB">
        <w:rPr>
          <w:b w:val="0"/>
          <w:color w:val="000000" w:themeColor="text1"/>
          <w:sz w:val="22"/>
          <w:szCs w:val="22"/>
        </w:rPr>
        <w:t>Materiały na ławy</w:t>
      </w:r>
    </w:p>
    <w:p w14:paraId="434B7D72"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wykonania ław pod krawężnik należy stosować, dla:</w:t>
      </w:r>
    </w:p>
    <w:p w14:paraId="42184658" w14:textId="77777777" w:rsidR="00CC4443" w:rsidRPr="001667DB" w:rsidRDefault="00CC4443" w:rsidP="00904E6C">
      <w:pPr>
        <w:numPr>
          <w:ilvl w:val="0"/>
          <w:numId w:val="261"/>
        </w:numPr>
        <w:tabs>
          <w:tab w:val="left" w:pos="284"/>
        </w:tabs>
        <w:suppressAutoHyphens/>
        <w:overflowPunct w:val="0"/>
        <w:autoSpaceDE w:val="0"/>
        <w:spacing w:before="120" w:after="12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ławy betonowej – beton klasy C12/15 wg PN-EN 206-1 [4], </w:t>
      </w:r>
    </w:p>
    <w:p w14:paraId="384F8632" w14:textId="77777777" w:rsidR="00CC4443" w:rsidRPr="001667DB" w:rsidRDefault="00CC4443" w:rsidP="00577746">
      <w:pPr>
        <w:overflowPunct w:val="0"/>
        <w:autoSpaceDE w:val="0"/>
        <w:spacing w:before="120" w:after="120"/>
        <w:ind w:left="284" w:hanging="284"/>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2.2.6. </w:t>
      </w:r>
      <w:r w:rsidRPr="001667DB">
        <w:rPr>
          <w:rFonts w:ascii="Times New Roman" w:hAnsi="Times New Roman" w:cs="Times New Roman"/>
          <w:color w:val="000000" w:themeColor="text1"/>
        </w:rPr>
        <w:t>Masa zalewowa w szczelinach ławy betonowej i spoinach krawężników</w:t>
      </w:r>
    </w:p>
    <w:p w14:paraId="5DDBF90A"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Do uszczelniania szczelin dylatacyjnych można stosować masy zalewowe stosowane na gorąco lub stosowane na zimno. Do spoin należy stosować masy o konsystencji nadającej się do wypełniania szczelin pionowych.</w:t>
      </w:r>
    </w:p>
    <w:p w14:paraId="5AEDDC68"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Masy zalewowe stosowane na gorąco powinny spełniać wymagania PN-EN 14188-1[6].</w:t>
      </w:r>
    </w:p>
    <w:p w14:paraId="722D7192"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Masy zalewowe stosowane na zimno powinny spełniać wymagania PN-EN 14188-2 [7].</w:t>
      </w:r>
    </w:p>
    <w:p w14:paraId="546AEE8A"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bookmarkStart w:id="881" w:name="_3._SPRZ%C4%98T"/>
      <w:bookmarkEnd w:id="881"/>
      <w:r w:rsidRPr="001667DB">
        <w:rPr>
          <w:color w:val="000000" w:themeColor="text1"/>
          <w:sz w:val="22"/>
          <w:szCs w:val="22"/>
        </w:rPr>
        <w:t>SPRZĘT</w:t>
      </w:r>
    </w:p>
    <w:p w14:paraId="254E11C1" w14:textId="77777777" w:rsidR="00CC4443" w:rsidRPr="001667DB" w:rsidRDefault="00CC4443" w:rsidP="00577746">
      <w:pPr>
        <w:pStyle w:val="Nagwek2"/>
        <w:ind w:left="851" w:hanging="851"/>
        <w:jc w:val="both"/>
        <w:rPr>
          <w:color w:val="000000" w:themeColor="text1"/>
          <w:sz w:val="22"/>
          <w:szCs w:val="22"/>
        </w:rPr>
      </w:pPr>
      <w:r w:rsidRPr="001667DB">
        <w:rPr>
          <w:color w:val="000000" w:themeColor="text1"/>
          <w:sz w:val="22"/>
          <w:szCs w:val="22"/>
        </w:rPr>
        <w:t>3.1. Ogólne wymagania dotyczące sprzętu</w:t>
      </w:r>
    </w:p>
    <w:p w14:paraId="3F0BE8FD" w14:textId="77777777" w:rsidR="00CC4443" w:rsidRPr="001667DB" w:rsidRDefault="00CC4443" w:rsidP="00577746">
      <w:pPr>
        <w:jc w:val="both"/>
        <w:rPr>
          <w:rFonts w:ascii="Times New Roman" w:hAnsi="Times New Roman" w:cs="Times New Roman"/>
          <w:color w:val="000000" w:themeColor="text1"/>
        </w:rPr>
      </w:pPr>
    </w:p>
    <w:p w14:paraId="46F5FD83"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wymagania dotyczące sprzętu podano w ST D-00.00.</w:t>
      </w:r>
      <w:r w:rsidR="00274AF9">
        <w:rPr>
          <w:rFonts w:ascii="Times New Roman" w:hAnsi="Times New Roman" w:cs="Times New Roman"/>
          <w:color w:val="000000" w:themeColor="text1"/>
        </w:rPr>
        <w:t xml:space="preserve">00 „Wymagania ogólne” [1] pkt </w:t>
      </w:r>
    </w:p>
    <w:p w14:paraId="660B6EFE"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p>
    <w:p w14:paraId="5FADEF65"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Sprzęt do wykonania robót</w:t>
      </w:r>
    </w:p>
    <w:p w14:paraId="2EC5EFD3"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Roboty wykonuje się ręcznie przy zastosowaniu:</w:t>
      </w:r>
    </w:p>
    <w:p w14:paraId="7A8E4E56" w14:textId="77777777" w:rsidR="00CC4443" w:rsidRPr="001667DB" w:rsidRDefault="00CC4443" w:rsidP="00904E6C">
      <w:pPr>
        <w:numPr>
          <w:ilvl w:val="0"/>
          <w:numId w:val="400"/>
        </w:numPr>
        <w:tabs>
          <w:tab w:val="right" w:leader="dot" w:pos="-1985"/>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betoniarek do wytwarzania betonu i zapraw oraz przygotowania podsypki cementowo-piaskowej,</w:t>
      </w:r>
    </w:p>
    <w:p w14:paraId="40602D88" w14:textId="77777777" w:rsidR="00CC4443" w:rsidRPr="001667DB" w:rsidRDefault="00CC4443" w:rsidP="00904E6C">
      <w:pPr>
        <w:numPr>
          <w:ilvl w:val="0"/>
          <w:numId w:val="400"/>
        </w:numPr>
        <w:tabs>
          <w:tab w:val="right" w:leader="dot" w:pos="-1985"/>
        </w:tabs>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wibratorów płytowych, ubijaków ręcznych lub mechanicznych.</w:t>
      </w:r>
    </w:p>
    <w:p w14:paraId="44BF90A6" w14:textId="77777777" w:rsidR="00CC4443" w:rsidRPr="001667DB" w:rsidRDefault="00CC4443" w:rsidP="00577746">
      <w:pPr>
        <w:tabs>
          <w:tab w:val="right" w:leader="dot" w:pos="-1985"/>
        </w:tabs>
        <w:overflowPunct w:val="0"/>
        <w:autoSpaceDE w:val="0"/>
        <w:ind w:left="284"/>
        <w:jc w:val="both"/>
        <w:rPr>
          <w:rFonts w:ascii="Times New Roman" w:hAnsi="Times New Roman" w:cs="Times New Roman"/>
          <w:color w:val="000000" w:themeColor="text1"/>
        </w:rPr>
      </w:pPr>
    </w:p>
    <w:p w14:paraId="041D0CC5"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TRANSPORT</w:t>
      </w:r>
    </w:p>
    <w:p w14:paraId="697F9A96" w14:textId="77777777" w:rsidR="00CC4443" w:rsidRPr="001667DB" w:rsidRDefault="00CC4443" w:rsidP="00577746">
      <w:pPr>
        <w:pStyle w:val="Nagwek2"/>
        <w:ind w:left="851" w:hanging="851"/>
        <w:jc w:val="both"/>
        <w:rPr>
          <w:color w:val="000000" w:themeColor="text1"/>
          <w:sz w:val="22"/>
          <w:szCs w:val="22"/>
        </w:rPr>
      </w:pPr>
      <w:r w:rsidRPr="001667DB">
        <w:rPr>
          <w:color w:val="000000" w:themeColor="text1"/>
          <w:sz w:val="22"/>
          <w:szCs w:val="22"/>
        </w:rPr>
        <w:t>4.1. Ogólne wymagania dotyczące transportu</w:t>
      </w:r>
    </w:p>
    <w:p w14:paraId="5F5A4F19"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Ogólne wymagania dotyczące transportu podano w ST D-00.00.00 „Wymagania ogólne” [1] pkt 4.</w:t>
      </w:r>
    </w:p>
    <w:p w14:paraId="26994D6C"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lastRenderedPageBreak/>
        <w:t>Transport krawężników</w:t>
      </w:r>
    </w:p>
    <w:p w14:paraId="623BEBD1"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Krawężniki betonowe mogą być przewożone dowolnymi środkami transportowymi.</w:t>
      </w:r>
    </w:p>
    <w:p w14:paraId="2FD2AAFC"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Krawężniki betonowe układać należy na środkach transportowych w pozycji pionowej z nachyleniem w kierunku jazdy.</w:t>
      </w:r>
    </w:p>
    <w:p w14:paraId="3FF65B44" w14:textId="77777777" w:rsidR="00CC4443" w:rsidRPr="001667DB" w:rsidRDefault="00CC4443" w:rsidP="00577746">
      <w:pPr>
        <w:tabs>
          <w:tab w:val="right" w:leader="dot" w:pos="-1985"/>
          <w:tab w:val="left" w:pos="284"/>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Krawężniki powinny być zabezpieczone przed przemieszczeniem się i uszkodzeniami w czasie transportu, a górna warstwa nie powinna wystawać poza ściany środka transportowego więcej niż 1/3 wysokości tej warstwy.</w:t>
      </w:r>
    </w:p>
    <w:p w14:paraId="691811BF"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Transport pozostałych materiałów</w:t>
      </w:r>
    </w:p>
    <w:p w14:paraId="5B6DC89E"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Cement w workach może być przewożony samochodami krytymi, wagonami towarowymi i innymi środkami transportu, w sposób nie powodujący uszkodzeń opakowania. Worki na paletach układa się po 5 warstw po 4 szt. w warstwie. Worki niespaletowane układa się na płask w wysokości do 10 warstw. Cement luzem przewozi się w zbiornikach (wagonach, samochodach), czystych i nie zanieczyszczanych podczas transportu. Środki transportu powinny być wyposażone we wsypy i urządzenia do wyładowania cementu.</w:t>
      </w:r>
    </w:p>
    <w:p w14:paraId="1DB6356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722ABE39"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Przy transporcie mieszanki betonowej należy zapewnić warunki zapewniające ochronę przed wysychaniem, wpływami atmosferycznymi i segregacją.</w:t>
      </w:r>
    </w:p>
    <w:p w14:paraId="6CD097C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Masę zalewową należy przewozić w fabrycznych opakowaniach, w warunkach zabezpieczających przed ich uszkodzeniem.</w:t>
      </w:r>
    </w:p>
    <w:p w14:paraId="195C807F" w14:textId="77777777" w:rsidR="00CC4443" w:rsidRPr="001667DB" w:rsidRDefault="00CC4443" w:rsidP="00577746">
      <w:pPr>
        <w:jc w:val="both"/>
        <w:rPr>
          <w:rFonts w:ascii="Times New Roman" w:hAnsi="Times New Roman" w:cs="Times New Roman"/>
          <w:color w:val="000000" w:themeColor="text1"/>
        </w:rPr>
      </w:pPr>
    </w:p>
    <w:p w14:paraId="0CBA46B5"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wykonanie robót</w:t>
      </w:r>
    </w:p>
    <w:p w14:paraId="61373491" w14:textId="77777777" w:rsidR="00CC4443" w:rsidRPr="001667DB" w:rsidRDefault="00CC4443" w:rsidP="00577746">
      <w:pPr>
        <w:pStyle w:val="Nagwek2"/>
        <w:tabs>
          <w:tab w:val="clear" w:pos="1155"/>
        </w:tabs>
        <w:jc w:val="both"/>
        <w:rPr>
          <w:color w:val="000000" w:themeColor="text1"/>
          <w:sz w:val="22"/>
          <w:szCs w:val="22"/>
        </w:rPr>
      </w:pPr>
      <w:r w:rsidRPr="001667DB">
        <w:rPr>
          <w:color w:val="000000" w:themeColor="text1"/>
          <w:sz w:val="22"/>
          <w:szCs w:val="22"/>
        </w:rPr>
        <w:t xml:space="preserve">5.1. </w:t>
      </w:r>
      <w:r w:rsidRPr="001667DB">
        <w:rPr>
          <w:color w:val="000000" w:themeColor="text1"/>
          <w:sz w:val="22"/>
          <w:szCs w:val="22"/>
        </w:rPr>
        <w:tab/>
        <w:t>Ogólne zasady wykonania robót</w:t>
      </w:r>
    </w:p>
    <w:p w14:paraId="1DE87BF7" w14:textId="77777777" w:rsidR="00CC4443" w:rsidRPr="001667DB" w:rsidRDefault="00CC4443" w:rsidP="00577746">
      <w:pPr>
        <w:jc w:val="both"/>
        <w:rPr>
          <w:rFonts w:ascii="Times New Roman" w:hAnsi="Times New Roman" w:cs="Times New Roman"/>
          <w:color w:val="000000" w:themeColor="text1"/>
        </w:rPr>
      </w:pPr>
    </w:p>
    <w:p w14:paraId="7AE86BAC"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[1] pkt 5.</w:t>
      </w:r>
    </w:p>
    <w:p w14:paraId="4177A77C"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Zasady wykonywania robót</w:t>
      </w:r>
    </w:p>
    <w:p w14:paraId="26611F95"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Sposób wykonania robót powinien być zgodny z dokumentacją projektową i ST. W przypadku braku wystarczających danych można korzystać z ustaleń podanych w niniejszej specyfikacji oraz z informacji podanych w załącznikach.</w:t>
      </w:r>
    </w:p>
    <w:p w14:paraId="7705614E"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Podstawowe czynności przy wykonywaniu robót obejmują:</w:t>
      </w:r>
    </w:p>
    <w:p w14:paraId="2472E6CC" w14:textId="77777777" w:rsidR="00CC4443" w:rsidRPr="001667DB" w:rsidRDefault="00CC4443" w:rsidP="00904E6C">
      <w:pPr>
        <w:numPr>
          <w:ilvl w:val="0"/>
          <w:numId w:val="26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przygotowawcze, </w:t>
      </w:r>
    </w:p>
    <w:p w14:paraId="670CE484" w14:textId="77777777" w:rsidR="00CC4443" w:rsidRPr="001667DB" w:rsidRDefault="00CC4443" w:rsidP="00904E6C">
      <w:pPr>
        <w:numPr>
          <w:ilvl w:val="0"/>
          <w:numId w:val="26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ławy,</w:t>
      </w:r>
    </w:p>
    <w:p w14:paraId="74A795EF" w14:textId="77777777" w:rsidR="00CC4443" w:rsidRPr="001667DB" w:rsidRDefault="00CC4443" w:rsidP="00904E6C">
      <w:pPr>
        <w:numPr>
          <w:ilvl w:val="0"/>
          <w:numId w:val="26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ustawienie krawężników,</w:t>
      </w:r>
    </w:p>
    <w:p w14:paraId="5C2FE6F0" w14:textId="77777777" w:rsidR="00CC4443" w:rsidRPr="001667DB" w:rsidRDefault="00CC4443" w:rsidP="00904E6C">
      <w:pPr>
        <w:numPr>
          <w:ilvl w:val="0"/>
          <w:numId w:val="26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wypełnienie spoin,</w:t>
      </w:r>
    </w:p>
    <w:p w14:paraId="34BB5B6E" w14:textId="77777777" w:rsidR="00CC4443" w:rsidRPr="001667DB" w:rsidRDefault="00CC4443" w:rsidP="00904E6C">
      <w:pPr>
        <w:numPr>
          <w:ilvl w:val="0"/>
          <w:numId w:val="26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w:t>
      </w:r>
    </w:p>
    <w:p w14:paraId="12AF676D" w14:textId="77777777" w:rsidR="00CC4443" w:rsidRPr="001667DB" w:rsidRDefault="00CC4443">
      <w:pPr>
        <w:overflowPunct w:val="0"/>
        <w:autoSpaceDE w:val="0"/>
        <w:ind w:left="283"/>
        <w:rPr>
          <w:rFonts w:ascii="Times New Roman" w:hAnsi="Times New Roman" w:cs="Times New Roman"/>
          <w:color w:val="000000" w:themeColor="text1"/>
        </w:rPr>
      </w:pPr>
    </w:p>
    <w:p w14:paraId="6E1F799E"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color w:val="000000" w:themeColor="text1"/>
          <w:sz w:val="22"/>
          <w:szCs w:val="22"/>
        </w:rPr>
      </w:pPr>
      <w:r w:rsidRPr="001667DB">
        <w:rPr>
          <w:color w:val="000000" w:themeColor="text1"/>
          <w:sz w:val="22"/>
          <w:szCs w:val="22"/>
        </w:rPr>
        <w:t>Roboty przygotowawcze</w:t>
      </w:r>
    </w:p>
    <w:p w14:paraId="48898501"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należy, na podstawie dokumentacji projektowej, ST lub wskazań Inżyniera:</w:t>
      </w:r>
    </w:p>
    <w:p w14:paraId="5EC052B3" w14:textId="77777777" w:rsidR="00CC4443" w:rsidRPr="001667DB" w:rsidRDefault="00CC4443" w:rsidP="00904E6C">
      <w:pPr>
        <w:numPr>
          <w:ilvl w:val="0"/>
          <w:numId w:val="25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ustalić lokalizację robót,</w:t>
      </w:r>
    </w:p>
    <w:p w14:paraId="133186FB" w14:textId="77777777" w:rsidR="00CC4443" w:rsidRPr="001667DB" w:rsidRDefault="00CC4443" w:rsidP="00904E6C">
      <w:pPr>
        <w:numPr>
          <w:ilvl w:val="0"/>
          <w:numId w:val="25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ustalić dane niezbędne do szczegółowego wytyczenia robót oraz ustalenia danych wysokościowych,</w:t>
      </w:r>
    </w:p>
    <w:p w14:paraId="6E13F883" w14:textId="77777777" w:rsidR="00CC4443" w:rsidRPr="001667DB" w:rsidRDefault="00CC4443" w:rsidP="00904E6C">
      <w:pPr>
        <w:numPr>
          <w:ilvl w:val="0"/>
          <w:numId w:val="25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usunąć przeszkody, np. słupki, pachołki, elementy dróg, ogrodzeń itd.</w:t>
      </w:r>
    </w:p>
    <w:p w14:paraId="0F31B5AD" w14:textId="77777777" w:rsidR="00CC4443" w:rsidRPr="001667DB" w:rsidRDefault="00CC4443" w:rsidP="00904E6C">
      <w:pPr>
        <w:numPr>
          <w:ilvl w:val="0"/>
          <w:numId w:val="25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ustalić materiały niezbędne do wykonania robót,</w:t>
      </w:r>
    </w:p>
    <w:p w14:paraId="01135989" w14:textId="77777777" w:rsidR="00CC4443" w:rsidRPr="001667DB" w:rsidRDefault="00CC4443" w:rsidP="00904E6C">
      <w:pPr>
        <w:numPr>
          <w:ilvl w:val="0"/>
          <w:numId w:val="252"/>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określić kolejność, sposób i termin wykonania robót.</w:t>
      </w:r>
    </w:p>
    <w:p w14:paraId="5E5E8C46" w14:textId="77777777" w:rsidR="00CC4443" w:rsidRPr="001667DB" w:rsidRDefault="00CC4443" w:rsidP="00577746">
      <w:pPr>
        <w:overflowPunct w:val="0"/>
        <w:autoSpaceDE w:val="0"/>
        <w:ind w:left="284"/>
        <w:jc w:val="both"/>
        <w:rPr>
          <w:rFonts w:ascii="Times New Roman" w:hAnsi="Times New Roman" w:cs="Times New Roman"/>
          <w:color w:val="000000" w:themeColor="text1"/>
        </w:rPr>
      </w:pPr>
    </w:p>
    <w:p w14:paraId="6C383969"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Wykonanie ławy</w:t>
      </w:r>
    </w:p>
    <w:p w14:paraId="43FF7099" w14:textId="77777777" w:rsidR="00CC4443" w:rsidRPr="001667DB" w:rsidRDefault="00CC4443" w:rsidP="00577746">
      <w:pPr>
        <w:spacing w:after="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5.4.1. </w:t>
      </w:r>
      <w:r w:rsidRPr="001667DB">
        <w:rPr>
          <w:rFonts w:ascii="Times New Roman" w:hAnsi="Times New Roman" w:cs="Times New Roman"/>
          <w:color w:val="000000" w:themeColor="text1"/>
        </w:rPr>
        <w:t>Koryto pod ławę</w:t>
      </w:r>
    </w:p>
    <w:p w14:paraId="398F765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Wymiary wykopu, stanowiącego koryto pod ławę, powinny odpowiadać wymiarom ławy w planie z uwzględnieniem w szerokości dna wykopu ew. konstrukcji szalunku.</w:t>
      </w:r>
    </w:p>
    <w:p w14:paraId="4FBCFDB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Wskaźnik zagęszczenia dna wykonanego koryta pod ławę powinien wynosić co najmniej 0,97 według normalnej metody Proctora.</w:t>
      </w:r>
    </w:p>
    <w:p w14:paraId="205E4234"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5.4.2. </w:t>
      </w:r>
      <w:r w:rsidRPr="001667DB">
        <w:rPr>
          <w:rFonts w:ascii="Times New Roman" w:hAnsi="Times New Roman" w:cs="Times New Roman"/>
          <w:color w:val="000000" w:themeColor="text1"/>
        </w:rPr>
        <w:t>Ława betonowa</w:t>
      </w:r>
    </w:p>
    <w:p w14:paraId="5B1E8DDF"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Ławę betonową zwykłą w gruntach spoistych wykonuje się bez szalowania, przy gruntach sypkich należy stosować szalowanie.</w:t>
      </w:r>
    </w:p>
    <w:p w14:paraId="3E357AB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Ławę betonową z oporem wykonuje się w szalowaniu. Beton rozścielony w szalowaniu lub bezpośrednio w korycie powinien być wyrównywany warstwami. Betonowanie ław należy wykonywać zgodnie z wymaganiami PN-63/B-06251 [7], przy czym należy stosować co 50 m szczeliny dylatacyjne wypełnione bitumiczną masą zalewową.</w:t>
      </w:r>
    </w:p>
    <w:p w14:paraId="24B12B4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Przykłady ław betonowych zwykłych i ław z oporem podaje załącznik 4.</w:t>
      </w:r>
    </w:p>
    <w:p w14:paraId="3BD6EFA1"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Ustawienie krawężników betonowych</w:t>
      </w:r>
    </w:p>
    <w:p w14:paraId="3FB3D858" w14:textId="77777777" w:rsidR="00CC4443" w:rsidRPr="001667DB" w:rsidRDefault="00CC4443" w:rsidP="00577746">
      <w:pPr>
        <w:ind w:left="540"/>
        <w:jc w:val="both"/>
        <w:rPr>
          <w:rFonts w:ascii="Times New Roman" w:hAnsi="Times New Roman" w:cs="Times New Roman"/>
          <w:color w:val="000000" w:themeColor="text1"/>
        </w:rPr>
      </w:pPr>
    </w:p>
    <w:p w14:paraId="717F6E2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5.5.1. </w:t>
      </w:r>
      <w:r w:rsidRPr="001667DB">
        <w:rPr>
          <w:rFonts w:ascii="Times New Roman" w:hAnsi="Times New Roman" w:cs="Times New Roman"/>
          <w:color w:val="000000" w:themeColor="text1"/>
        </w:rPr>
        <w:t>Zasady ustawiania krawężników</w:t>
      </w:r>
    </w:p>
    <w:p w14:paraId="40B295C1"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Światło (odległość górnej powierzchni krawężnika od jezdni) powinno być zgodne z ustaleniami dokumentacji projektowej, a w przypadku braku takich ustaleń powinno wynosić od 10 do 12 cm, a w przypadkach wyjątkowych (np. ze względu na „wyrobienie” ścieku)  może być zmniejszone do 6 cm lub zwiększone do 16 cm.</w:t>
      </w:r>
    </w:p>
    <w:p w14:paraId="1E27EC0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Zewnętrzna ściana krawężnika od strony chodnika powinna być po ustawieniu krawężnika obsypana piaskiem, żwirem, tłuczniem lub miejscowym gruntem przepuszczalnym, starannie ubitym.</w:t>
      </w:r>
    </w:p>
    <w:p w14:paraId="7C976784"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5.5.2. </w:t>
      </w:r>
      <w:r w:rsidRPr="001667DB">
        <w:rPr>
          <w:rFonts w:ascii="Times New Roman" w:hAnsi="Times New Roman" w:cs="Times New Roman"/>
          <w:color w:val="000000" w:themeColor="text1"/>
        </w:rPr>
        <w:t>Ustawienie krawężników na ławie żwirowej lub tłuczniowej</w:t>
      </w:r>
    </w:p>
    <w:p w14:paraId="576B2704"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Ustawianie krawężników na ławie żwirowej i tłuczniowej powinno być wykonywane na podsypce z piasku o grubości warstwy od 3 do 5 cm po zagęszczeniu.</w:t>
      </w:r>
    </w:p>
    <w:p w14:paraId="44C4AC3B"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5.5.3. </w:t>
      </w:r>
      <w:r w:rsidRPr="001667DB">
        <w:rPr>
          <w:rFonts w:ascii="Times New Roman" w:hAnsi="Times New Roman" w:cs="Times New Roman"/>
          <w:color w:val="000000" w:themeColor="text1"/>
        </w:rPr>
        <w:t>Ustawienie krawężników na ławie betonowej</w:t>
      </w:r>
    </w:p>
    <w:p w14:paraId="48101CDD"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Ustawianie krawężników na ławie betonowej wykonuje się  na podsypce z piasku lub na podsypce cementowo-piaskowej o grubości 3 do 5 cm po zagęszczeniu.</w:t>
      </w:r>
    </w:p>
    <w:p w14:paraId="2D30246D"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5.5.4. </w:t>
      </w:r>
      <w:r w:rsidRPr="001667DB">
        <w:rPr>
          <w:rFonts w:ascii="Times New Roman" w:hAnsi="Times New Roman" w:cs="Times New Roman"/>
          <w:color w:val="000000" w:themeColor="text1"/>
        </w:rPr>
        <w:t>Wypełnianie spoin</w:t>
      </w:r>
    </w:p>
    <w:p w14:paraId="2AF230C8"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Spoiny krawężników nie powinny przekraczać szerokości 1 cm. Spoiny należy wypełnić żwirem, piaskiem lub zaprawą cementowo-piaskową, przygotowaną w stosunku 1:2. Zalewanie spoin krawężników zaprawą cementowo-piaskową stosuje się wyłącznie do krawężników ustawionych na ławie betonowej.</w:t>
      </w:r>
    </w:p>
    <w:p w14:paraId="28463190"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Spoiny krawężników przed zalaniem zaprawą należy oczyścić i zmyć wodą. Dla zabezpieczenia przed wpływami temperatury krawężniki ustawione na podsypce cementowo-piaskowej i o spoinach zalanych zaprawą należy zalewać co 50 m bitumiczną masą zalewową nad szczeliną dylatacyjną ławy.</w:t>
      </w:r>
    </w:p>
    <w:p w14:paraId="27E8310A"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lastRenderedPageBreak/>
        <w:t>Roboty wykończeniowe</w:t>
      </w:r>
    </w:p>
    <w:p w14:paraId="11AE0A4D" w14:textId="77777777" w:rsidR="00CC4443" w:rsidRPr="001667DB" w:rsidRDefault="00CC4443" w:rsidP="00577746">
      <w:pPr>
        <w:ind w:left="540"/>
        <w:jc w:val="both"/>
        <w:rPr>
          <w:rFonts w:ascii="Times New Roman" w:hAnsi="Times New Roman" w:cs="Times New Roman"/>
          <w:color w:val="000000" w:themeColor="text1"/>
        </w:rPr>
      </w:pPr>
    </w:p>
    <w:p w14:paraId="5CCDF241"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wykończeniowe powinny być zgodne z dokumentacją projektową i ST. Do robót wykończeniowych należą prace związane z dostosowaniem wykonanych robót do istniejących warunków terenowych, takie jak:</w:t>
      </w:r>
    </w:p>
    <w:p w14:paraId="63D38FFD" w14:textId="77777777" w:rsidR="00CC4443" w:rsidRPr="001667DB" w:rsidRDefault="00CC4443" w:rsidP="00904E6C">
      <w:pPr>
        <w:numPr>
          <w:ilvl w:val="0"/>
          <w:numId w:val="255"/>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odtworzenie elementów czasowo usuniętych, </w:t>
      </w:r>
    </w:p>
    <w:p w14:paraId="4647B7B9" w14:textId="77777777" w:rsidR="00CC4443" w:rsidRPr="001667DB" w:rsidRDefault="00CC4443" w:rsidP="00904E6C">
      <w:pPr>
        <w:numPr>
          <w:ilvl w:val="0"/>
          <w:numId w:val="255"/>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porządkujące otoczenie terenu robót.</w:t>
      </w:r>
    </w:p>
    <w:p w14:paraId="486013BE" w14:textId="77777777" w:rsidR="00CC4443" w:rsidRPr="001667DB" w:rsidRDefault="00CC4443" w:rsidP="00577746">
      <w:pPr>
        <w:overflowPunct w:val="0"/>
        <w:autoSpaceDE w:val="0"/>
        <w:ind w:left="283"/>
        <w:jc w:val="both"/>
        <w:rPr>
          <w:rFonts w:ascii="Times New Roman" w:hAnsi="Times New Roman" w:cs="Times New Roman"/>
          <w:color w:val="000000" w:themeColor="text1"/>
        </w:rPr>
      </w:pPr>
    </w:p>
    <w:p w14:paraId="28E22A34"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KONTROLA JAKOŚCI ROBÓT</w:t>
      </w:r>
    </w:p>
    <w:p w14:paraId="0779DFFD" w14:textId="77777777" w:rsidR="00CC4443" w:rsidRPr="001667DB" w:rsidRDefault="00CC4443" w:rsidP="00577746">
      <w:pPr>
        <w:pStyle w:val="Nagwek2"/>
        <w:jc w:val="both"/>
        <w:rPr>
          <w:color w:val="000000" w:themeColor="text1"/>
          <w:sz w:val="22"/>
          <w:szCs w:val="22"/>
        </w:rPr>
      </w:pPr>
      <w:r w:rsidRPr="001667DB">
        <w:rPr>
          <w:color w:val="000000" w:themeColor="text1"/>
          <w:sz w:val="22"/>
          <w:szCs w:val="22"/>
        </w:rPr>
        <w:t>6.1. Ogólne zasady kontroli jakości robót</w:t>
      </w:r>
    </w:p>
    <w:p w14:paraId="6992B13E"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w:t>
      </w:r>
      <w:r w:rsidR="00274AF9">
        <w:rPr>
          <w:rFonts w:ascii="Times New Roman" w:hAnsi="Times New Roman" w:cs="Times New Roman"/>
          <w:color w:val="000000" w:themeColor="text1"/>
        </w:rPr>
        <w:t>00 „Wymagania ogólne” [1] pkt 6</w:t>
      </w:r>
    </w:p>
    <w:p w14:paraId="3BA68A8A"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Badania przed przystąpieniem do robót</w:t>
      </w:r>
    </w:p>
    <w:p w14:paraId="7F1DA300" w14:textId="77777777" w:rsidR="00CC4443" w:rsidRPr="001667DB" w:rsidRDefault="00CC4443" w:rsidP="00577746">
      <w:pPr>
        <w:ind w:left="540"/>
        <w:jc w:val="both"/>
        <w:rPr>
          <w:rFonts w:ascii="Times New Roman" w:hAnsi="Times New Roman" w:cs="Times New Roman"/>
          <w:color w:val="000000" w:themeColor="text1"/>
        </w:rPr>
      </w:pPr>
    </w:p>
    <w:p w14:paraId="2F03332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w:t>
      </w:r>
    </w:p>
    <w:p w14:paraId="28CE5E9F" w14:textId="77777777" w:rsidR="00CC4443" w:rsidRPr="001667DB" w:rsidRDefault="00CC4443" w:rsidP="00904E6C">
      <w:pPr>
        <w:numPr>
          <w:ilvl w:val="0"/>
          <w:numId w:val="25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uzyskać wymagane dokumenty, dopuszczające wyroby budowlane do obrotu i powszechnego stosowania (certyfikaty zgodności, deklaracje zgodności, ew. badania materiałów wykonane przez dostawców itp.),</w:t>
      </w:r>
    </w:p>
    <w:p w14:paraId="1010D27B" w14:textId="77777777" w:rsidR="00CC4443" w:rsidRPr="001667DB" w:rsidRDefault="00CC4443" w:rsidP="00904E6C">
      <w:pPr>
        <w:numPr>
          <w:ilvl w:val="0"/>
          <w:numId w:val="25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ew. wykonać własne badania właściwości materiałów przeznaczonych do wykonania robót, określone w pkcie 2 (tablicy 1),</w:t>
      </w:r>
    </w:p>
    <w:p w14:paraId="70676E8E" w14:textId="77777777" w:rsidR="00CC4443" w:rsidRPr="001667DB" w:rsidRDefault="00CC4443" w:rsidP="00904E6C">
      <w:pPr>
        <w:numPr>
          <w:ilvl w:val="0"/>
          <w:numId w:val="25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sprawdzić cechy zewnętrzne krawężników.</w:t>
      </w:r>
    </w:p>
    <w:p w14:paraId="4B092E6D"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Wszystkie dokumenty oraz wyniki badań Wykonawca przedstawia Inżynierowi do akceptacji.</w:t>
      </w:r>
    </w:p>
    <w:p w14:paraId="3A46FAB8"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Sprawdzenie wyglądu zewnętrznego krawężników należy przeprowadzić na podstawie oględzin elementu przez pomiar i ocenę uszkodzeń występujących na powierzchniach i krawędziach elementu zgodnie z wymaganiami tablicy 1 i ustaleniami PN-EN 1340 [5].</w:t>
      </w:r>
    </w:p>
    <w:p w14:paraId="500D26A1" w14:textId="77777777" w:rsidR="00CC4443" w:rsidRPr="001667DB" w:rsidRDefault="00CC4443" w:rsidP="00577746">
      <w:pPr>
        <w:ind w:firstLine="709"/>
        <w:jc w:val="both"/>
        <w:rPr>
          <w:rFonts w:ascii="Times New Roman" w:hAnsi="Times New Roman" w:cs="Times New Roman"/>
          <w:color w:val="000000" w:themeColor="text1"/>
        </w:rPr>
      </w:pPr>
      <w:r w:rsidRPr="001667DB">
        <w:rPr>
          <w:rFonts w:ascii="Times New Roman" w:hAnsi="Times New Roman" w:cs="Times New Roman"/>
          <w:color w:val="000000" w:themeColor="text1"/>
        </w:rPr>
        <w:t>Badania pozostałych materiałów stosowanych przy ustawianiu krawężników betonowych powinny obejmować właściwości, określone w normach podanych dla odpowiednich materiałów w pkt. 2.</w:t>
      </w:r>
    </w:p>
    <w:p w14:paraId="238FDAC3"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Badania w czasie robót</w:t>
      </w:r>
    </w:p>
    <w:p w14:paraId="60C8305F" w14:textId="77777777" w:rsidR="00CC4443" w:rsidRPr="001667DB" w:rsidRDefault="00CC4443" w:rsidP="00577746">
      <w:pPr>
        <w:ind w:left="540"/>
        <w:jc w:val="both"/>
        <w:rPr>
          <w:rFonts w:ascii="Times New Roman" w:hAnsi="Times New Roman" w:cs="Times New Roman"/>
          <w:color w:val="000000" w:themeColor="text1"/>
        </w:rPr>
      </w:pPr>
    </w:p>
    <w:p w14:paraId="7AF49BE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6.3.1. </w:t>
      </w:r>
      <w:r w:rsidRPr="001667DB">
        <w:rPr>
          <w:rFonts w:ascii="Times New Roman" w:hAnsi="Times New Roman" w:cs="Times New Roman"/>
          <w:color w:val="000000" w:themeColor="text1"/>
        </w:rPr>
        <w:t>Sprawdzenie koryta pod ławę</w:t>
      </w:r>
    </w:p>
    <w:p w14:paraId="150ED720"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Należy sprawdzać wymiary koryta oraz zagęszczenie podłoża na dnie wykopu.</w:t>
      </w:r>
    </w:p>
    <w:p w14:paraId="755F9C3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Tolerancja dla szerokości wykopu wynosi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 xml:space="preserve"> 2 cm. Zagęszczenie podłoża powinno być zgodne z pkt 5.4.1.</w:t>
      </w:r>
    </w:p>
    <w:p w14:paraId="6FF8257E"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6.3.2. </w:t>
      </w:r>
      <w:r w:rsidRPr="001667DB">
        <w:rPr>
          <w:rFonts w:ascii="Times New Roman" w:hAnsi="Times New Roman" w:cs="Times New Roman"/>
          <w:color w:val="000000" w:themeColor="text1"/>
        </w:rPr>
        <w:t>Sprawdzenie ław</w:t>
      </w:r>
    </w:p>
    <w:p w14:paraId="1DC35261" w14:textId="77777777" w:rsidR="00CC4443" w:rsidRPr="001667DB" w:rsidRDefault="00CC4443" w:rsidP="00577746">
      <w:pPr>
        <w:spacing w:before="120"/>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Przy wykonywaniu ław badaniu podlegają:</w:t>
      </w:r>
    </w:p>
    <w:p w14:paraId="693C1399" w14:textId="77777777" w:rsidR="00CC4443" w:rsidRPr="001667DB" w:rsidRDefault="00CC4443" w:rsidP="00577746">
      <w:pPr>
        <w:ind w:left="283" w:hanging="283"/>
        <w:jc w:val="both"/>
        <w:rPr>
          <w:rFonts w:ascii="Times New Roman" w:hAnsi="Times New Roman" w:cs="Times New Roman"/>
          <w:color w:val="000000" w:themeColor="text1"/>
        </w:rPr>
      </w:pPr>
      <w:r w:rsidRPr="001667DB">
        <w:rPr>
          <w:rFonts w:ascii="Times New Roman" w:hAnsi="Times New Roman" w:cs="Times New Roman"/>
          <w:color w:val="000000" w:themeColor="text1"/>
        </w:rPr>
        <w:t>a)   zgodność profilu podłużnego górnej powierzchni ław z dokumentacją projektową.</w:t>
      </w:r>
    </w:p>
    <w:p w14:paraId="40C8D5E9"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Profil podłużny górnej powierzchni ławy powinien być zgodny z projektowaną niweletą. Dopuszczalne odchylenia mogą wynosić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1 cm na każde 100 m ławy,</w:t>
      </w:r>
    </w:p>
    <w:p w14:paraId="73C312C0"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b)</w:t>
      </w:r>
      <w:r w:rsidRPr="001667DB">
        <w:rPr>
          <w:rFonts w:ascii="Times New Roman" w:hAnsi="Times New Roman" w:cs="Times New Roman"/>
          <w:color w:val="000000" w:themeColor="text1"/>
        </w:rPr>
        <w:tab/>
        <w:t>wymiary ław.</w:t>
      </w:r>
    </w:p>
    <w:p w14:paraId="1DB3380D"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Wymiary ław należy sprawdzić w dwóch dowolnie wybranych punktach na każde 100 m ławy. Tolerancje wymiarów wynoszą:</w:t>
      </w:r>
    </w:p>
    <w:p w14:paraId="7F7A1E90" w14:textId="77777777" w:rsidR="00CC4443" w:rsidRPr="001667DB" w:rsidRDefault="003C704A"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dla wysokości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 xml:space="preserve"> 10% wysokości projektowanej,</w:t>
      </w:r>
    </w:p>
    <w:p w14:paraId="0AF38456"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 dla szerokości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 xml:space="preserve"> 10% szerokości projektowanej,</w:t>
      </w:r>
    </w:p>
    <w:p w14:paraId="3B287AD5"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c)</w:t>
      </w:r>
      <w:r w:rsidRPr="001667DB">
        <w:rPr>
          <w:rFonts w:ascii="Times New Roman" w:hAnsi="Times New Roman" w:cs="Times New Roman"/>
          <w:color w:val="000000" w:themeColor="text1"/>
        </w:rPr>
        <w:tab/>
        <w:t>równość górnej powierzchni ław.</w:t>
      </w:r>
    </w:p>
    <w:p w14:paraId="1AFD21EF"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t>Równość górnej powierzchni ławy sprawdza się przez przyłożenie w dwóch punktach, na każde 100 m ławy, trzymetrowej łaty. Prześwit pomiędzy górną powierzchnią ławy i przyłożoną łatą nie może przekraczać 1 cm,</w:t>
      </w:r>
    </w:p>
    <w:p w14:paraId="7C0B9E85"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d)</w:t>
      </w:r>
      <w:r w:rsidRPr="001667DB">
        <w:rPr>
          <w:rFonts w:ascii="Times New Roman" w:hAnsi="Times New Roman" w:cs="Times New Roman"/>
          <w:color w:val="000000" w:themeColor="text1"/>
        </w:rPr>
        <w:tab/>
        <w:t>odchylenie linii ław od projektowanego kierunku.</w:t>
      </w:r>
    </w:p>
    <w:p w14:paraId="64CD4635" w14:textId="77777777" w:rsidR="00CC4443" w:rsidRPr="001667DB" w:rsidRDefault="00CC4443" w:rsidP="00577746">
      <w:pPr>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Dopuszczalne odchylenie linii ław od projektowanego kierunku nie może przekraczać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 xml:space="preserve"> 2 cm na każde 100 m wykonanej ławy.</w:t>
      </w:r>
    </w:p>
    <w:p w14:paraId="320B3CB1" w14:textId="77777777" w:rsidR="00CC4443" w:rsidRPr="001667DB" w:rsidRDefault="00CC4443" w:rsidP="00577746">
      <w:pPr>
        <w:spacing w:before="120"/>
        <w:ind w:left="284" w:hanging="284"/>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6.3.3. </w:t>
      </w:r>
      <w:r w:rsidRPr="001667DB">
        <w:rPr>
          <w:rFonts w:ascii="Times New Roman" w:hAnsi="Times New Roman" w:cs="Times New Roman"/>
          <w:color w:val="000000" w:themeColor="text1"/>
        </w:rPr>
        <w:t>Sprawdzenie ustawienia krawężników</w:t>
      </w:r>
    </w:p>
    <w:p w14:paraId="7424192E" w14:textId="77777777" w:rsidR="00CC4443" w:rsidRPr="001667DB" w:rsidRDefault="00CC4443" w:rsidP="00577746">
      <w:pPr>
        <w:spacing w:before="120"/>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Przy ustawianiu krawężników należy sprawdzać:</w:t>
      </w:r>
    </w:p>
    <w:p w14:paraId="27E6F379" w14:textId="77777777" w:rsidR="00CC4443" w:rsidRPr="001667DB" w:rsidRDefault="00CC4443" w:rsidP="00904E6C">
      <w:pPr>
        <w:numPr>
          <w:ilvl w:val="0"/>
          <w:numId w:val="26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dopuszczalne odchylenia linii krawężników w poziomie od linii projektowanej, które wynosi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 xml:space="preserve"> 1 cm na każde 100 m ustawionego krawężnika,</w:t>
      </w:r>
    </w:p>
    <w:p w14:paraId="621722E0" w14:textId="77777777" w:rsidR="00CC4443" w:rsidRPr="001667DB" w:rsidRDefault="00CC4443" w:rsidP="00904E6C">
      <w:pPr>
        <w:numPr>
          <w:ilvl w:val="0"/>
          <w:numId w:val="26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dopuszczalne odchylenie niwelety górnej płaszczyzny krawężnika od niwel</w:t>
      </w:r>
      <w:r w:rsidR="003C704A" w:rsidRPr="001667DB">
        <w:rPr>
          <w:rFonts w:ascii="Times New Roman" w:hAnsi="Times New Roman" w:cs="Times New Roman"/>
          <w:color w:val="000000" w:themeColor="text1"/>
        </w:rPr>
        <w:t xml:space="preserve">ety projektowanej, które wynosi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1 cm na każde 100 m ustawionego krawężnika,</w:t>
      </w:r>
    </w:p>
    <w:p w14:paraId="2CA1D4E0" w14:textId="77777777" w:rsidR="00CC4443" w:rsidRPr="001667DB" w:rsidRDefault="00CC4443" w:rsidP="00904E6C">
      <w:pPr>
        <w:numPr>
          <w:ilvl w:val="0"/>
          <w:numId w:val="26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równość górnej powierzchni krawężników, sprawdzane przez przyłożenie w dwóch punktach na każde 100 m krawężnika, trzymetrowej łaty, przy czym prześwit pomiędzy górną powierzchnią krawężnika i przyłożoną łatą nie może przekraczać       1 cm,</w:t>
      </w:r>
    </w:p>
    <w:p w14:paraId="5770659F" w14:textId="77777777" w:rsidR="00CC4443" w:rsidRPr="001667DB" w:rsidRDefault="00CC4443" w:rsidP="00904E6C">
      <w:pPr>
        <w:numPr>
          <w:ilvl w:val="0"/>
          <w:numId w:val="263"/>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dokładność wypełnienia spoin bada się co 10 metrów. Spoiny muszą być wypełnione całkowicie na pełną głębokość.</w:t>
      </w:r>
    </w:p>
    <w:p w14:paraId="0DF77336" w14:textId="77777777" w:rsidR="00CC4443" w:rsidRPr="001667DB" w:rsidRDefault="00CC4443" w:rsidP="00577746">
      <w:pPr>
        <w:overflowPunct w:val="0"/>
        <w:autoSpaceDE w:val="0"/>
        <w:ind w:left="397"/>
        <w:jc w:val="both"/>
        <w:rPr>
          <w:rFonts w:ascii="Times New Roman" w:hAnsi="Times New Roman" w:cs="Times New Roman"/>
          <w:color w:val="000000" w:themeColor="text1"/>
        </w:rPr>
      </w:pPr>
    </w:p>
    <w:p w14:paraId="690B880D"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bookmarkStart w:id="882" w:name="_7._OBMIAR_ROB%C3%93T"/>
      <w:bookmarkEnd w:id="882"/>
      <w:r w:rsidRPr="001667DB">
        <w:rPr>
          <w:color w:val="000000" w:themeColor="text1"/>
          <w:sz w:val="22"/>
          <w:szCs w:val="22"/>
        </w:rPr>
        <w:t>OBMIAR ROBÓT</w:t>
      </w:r>
    </w:p>
    <w:p w14:paraId="7A6F45B8" w14:textId="77777777" w:rsidR="00CC4443" w:rsidRPr="001667DB" w:rsidRDefault="00CC4443" w:rsidP="00577746">
      <w:pPr>
        <w:pStyle w:val="Nagwek2"/>
        <w:ind w:left="851"/>
        <w:jc w:val="both"/>
        <w:rPr>
          <w:color w:val="000000" w:themeColor="text1"/>
          <w:sz w:val="22"/>
          <w:szCs w:val="22"/>
        </w:rPr>
      </w:pPr>
      <w:r w:rsidRPr="001667DB">
        <w:rPr>
          <w:color w:val="000000" w:themeColor="text1"/>
          <w:sz w:val="22"/>
          <w:szCs w:val="22"/>
        </w:rPr>
        <w:t>7.1. Ogólne zasady obmiaru robót</w:t>
      </w:r>
    </w:p>
    <w:p w14:paraId="19D28C5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[1] pkt 7.</w:t>
      </w:r>
    </w:p>
    <w:p w14:paraId="3D5FDAF9"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Jednostka obmiarowa</w:t>
      </w:r>
    </w:p>
    <w:p w14:paraId="216060B8" w14:textId="77777777" w:rsidR="00CC4443" w:rsidRPr="001667DB" w:rsidRDefault="00CC4443" w:rsidP="00577746">
      <w:pPr>
        <w:ind w:left="540"/>
        <w:jc w:val="both"/>
        <w:rPr>
          <w:rFonts w:ascii="Times New Roman" w:hAnsi="Times New Roman" w:cs="Times New Roman"/>
          <w:color w:val="000000" w:themeColor="text1"/>
        </w:rPr>
      </w:pPr>
    </w:p>
    <w:p w14:paraId="096B39A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 (metr) ustawionego krawężnika.</w:t>
      </w:r>
    </w:p>
    <w:p w14:paraId="718F8818"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bookmarkStart w:id="883" w:name="_8._ODBI%C3%93R_ROB%C3%93T"/>
      <w:bookmarkEnd w:id="883"/>
      <w:r w:rsidRPr="001667DB">
        <w:rPr>
          <w:color w:val="000000" w:themeColor="text1"/>
          <w:sz w:val="22"/>
          <w:szCs w:val="22"/>
        </w:rPr>
        <w:t>ODBIÓR ROBÓT</w:t>
      </w:r>
    </w:p>
    <w:p w14:paraId="2A64E50D" w14:textId="77777777" w:rsidR="00CC4443" w:rsidRPr="001667DB" w:rsidRDefault="00CC4443" w:rsidP="00577746">
      <w:pPr>
        <w:pStyle w:val="Nagwek2"/>
        <w:ind w:left="851" w:hanging="851"/>
        <w:jc w:val="both"/>
        <w:rPr>
          <w:color w:val="000000" w:themeColor="text1"/>
          <w:sz w:val="22"/>
          <w:szCs w:val="22"/>
        </w:rPr>
      </w:pPr>
      <w:r w:rsidRPr="001667DB">
        <w:rPr>
          <w:color w:val="000000" w:themeColor="text1"/>
          <w:sz w:val="22"/>
          <w:szCs w:val="22"/>
        </w:rPr>
        <w:t>8.1. Ogólne zasady odbioru robót</w:t>
      </w:r>
    </w:p>
    <w:p w14:paraId="7BB3DF96"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odbioru robót podano w ST D-00.00.00 „Wymagania ogólne” [1] pkt 8.</w:t>
      </w:r>
    </w:p>
    <w:p w14:paraId="3E9582B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08C47ED3" w14:textId="77777777" w:rsidR="00CC4443" w:rsidRPr="001667DB" w:rsidRDefault="00CC4443" w:rsidP="00577746">
      <w:pPr>
        <w:jc w:val="both"/>
        <w:rPr>
          <w:rFonts w:ascii="Times New Roman" w:hAnsi="Times New Roman" w:cs="Times New Roman"/>
          <w:color w:val="000000" w:themeColor="text1"/>
        </w:rPr>
      </w:pPr>
    </w:p>
    <w:p w14:paraId="75421E0B"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Odbiór robót zanikających i ulegających zakryciu</w:t>
      </w:r>
    </w:p>
    <w:p w14:paraId="04879173"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Odbiorowi robót zanikających i ulegających zakryciu podlegają:</w:t>
      </w:r>
    </w:p>
    <w:p w14:paraId="5FE38938" w14:textId="77777777" w:rsidR="00CC4443" w:rsidRPr="001667DB" w:rsidRDefault="00577746" w:rsidP="00577746">
      <w:pPr>
        <w:ind w:left="283" w:hanging="283"/>
        <w:jc w:val="both"/>
        <w:rPr>
          <w:rFonts w:ascii="Times New Roman" w:hAnsi="Times New Roman" w:cs="Times New Roman"/>
          <w:color w:val="000000" w:themeColor="text1"/>
        </w:rPr>
      </w:pPr>
      <w:r>
        <w:rPr>
          <w:rFonts w:ascii="Times New Roman" w:hAnsi="Times New Roman" w:cs="Times New Roman"/>
          <w:color w:val="000000" w:themeColor="text1"/>
        </w:rPr>
        <w:lastRenderedPageBreak/>
        <w:t>-</w:t>
      </w:r>
      <w:r w:rsidR="00CC4443" w:rsidRPr="001667DB">
        <w:rPr>
          <w:rFonts w:ascii="Times New Roman" w:hAnsi="Times New Roman" w:cs="Times New Roman"/>
          <w:color w:val="000000" w:themeColor="text1"/>
        </w:rPr>
        <w:t>      wykonanie koryta pod ławę,</w:t>
      </w:r>
    </w:p>
    <w:p w14:paraId="37141C22" w14:textId="77777777" w:rsidR="00CC4443" w:rsidRPr="001667DB" w:rsidRDefault="00577746" w:rsidP="00577746">
      <w:pPr>
        <w:ind w:left="283" w:hanging="283"/>
        <w:jc w:val="both"/>
        <w:rPr>
          <w:rFonts w:ascii="Times New Roman" w:hAnsi="Times New Roman" w:cs="Times New Roman"/>
          <w:color w:val="000000" w:themeColor="text1"/>
        </w:rPr>
      </w:pPr>
      <w:r>
        <w:rPr>
          <w:rFonts w:ascii="Times New Roman" w:hAnsi="Times New Roman" w:cs="Times New Roman"/>
          <w:color w:val="000000" w:themeColor="text1"/>
        </w:rPr>
        <w:t>-</w:t>
      </w:r>
      <w:r w:rsidR="00CC4443" w:rsidRPr="001667DB">
        <w:rPr>
          <w:rFonts w:ascii="Times New Roman" w:hAnsi="Times New Roman" w:cs="Times New Roman"/>
          <w:color w:val="000000" w:themeColor="text1"/>
        </w:rPr>
        <w:t>      wykonanie ławy,</w:t>
      </w:r>
    </w:p>
    <w:p w14:paraId="198828AF" w14:textId="77777777" w:rsidR="00CC4443" w:rsidRPr="001667DB" w:rsidRDefault="00577746" w:rsidP="00577746">
      <w:pPr>
        <w:ind w:left="283" w:hanging="283"/>
        <w:jc w:val="both"/>
        <w:rPr>
          <w:rFonts w:ascii="Times New Roman" w:hAnsi="Times New Roman" w:cs="Times New Roman"/>
          <w:color w:val="000000" w:themeColor="text1"/>
        </w:rPr>
      </w:pPr>
      <w:r>
        <w:rPr>
          <w:rFonts w:ascii="Times New Roman" w:hAnsi="Times New Roman" w:cs="Times New Roman"/>
          <w:color w:val="000000" w:themeColor="text1"/>
        </w:rPr>
        <w:t>-</w:t>
      </w:r>
      <w:r w:rsidR="00CC4443" w:rsidRPr="001667DB">
        <w:rPr>
          <w:rFonts w:ascii="Times New Roman" w:hAnsi="Times New Roman" w:cs="Times New Roman"/>
          <w:color w:val="000000" w:themeColor="text1"/>
        </w:rPr>
        <w:t>      wykonanie podsypki.</w:t>
      </w:r>
    </w:p>
    <w:p w14:paraId="178D7D5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Odbiór tych robót powinien być zgodny z wymaganiami pktu 8.2 ST D-00.00.00 „Wymagania ogólne” [1] oraz niniejszej ST.</w:t>
      </w:r>
    </w:p>
    <w:p w14:paraId="2A0F570A" w14:textId="77777777" w:rsidR="00CC4443" w:rsidRPr="001667DB" w:rsidRDefault="00CC4443" w:rsidP="00577746">
      <w:pPr>
        <w:jc w:val="both"/>
        <w:rPr>
          <w:rFonts w:ascii="Times New Roman" w:hAnsi="Times New Roman" w:cs="Times New Roman"/>
          <w:color w:val="000000" w:themeColor="text1"/>
        </w:rPr>
      </w:pPr>
    </w:p>
    <w:p w14:paraId="298AF6F2"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bookmarkStart w:id="884" w:name="_9._PODSTAWA_P%C5%81ATNO%C5%9ACI"/>
      <w:bookmarkEnd w:id="884"/>
      <w:r w:rsidRPr="001667DB">
        <w:rPr>
          <w:color w:val="000000" w:themeColor="text1"/>
          <w:sz w:val="22"/>
          <w:szCs w:val="22"/>
        </w:rPr>
        <w:t>PODSTAWA PŁATNOŚCI</w:t>
      </w:r>
    </w:p>
    <w:p w14:paraId="5330735C" w14:textId="77777777" w:rsidR="00CC4443" w:rsidRPr="001667DB" w:rsidRDefault="00CC4443" w:rsidP="00577746">
      <w:pPr>
        <w:pStyle w:val="Nagwek2"/>
        <w:ind w:left="851"/>
        <w:jc w:val="both"/>
        <w:rPr>
          <w:color w:val="000000" w:themeColor="text1"/>
          <w:sz w:val="22"/>
          <w:szCs w:val="22"/>
        </w:rPr>
      </w:pPr>
      <w:r w:rsidRPr="001667DB">
        <w:rPr>
          <w:color w:val="000000" w:themeColor="text1"/>
          <w:sz w:val="22"/>
          <w:szCs w:val="22"/>
        </w:rPr>
        <w:t>9.1. Ogólne ustalenia dotyczące podstawy płatności</w:t>
      </w:r>
    </w:p>
    <w:p w14:paraId="04C67B46"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[1] pkt 9.</w:t>
      </w:r>
    </w:p>
    <w:p w14:paraId="4D73E0A7"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Cena jednostki obmiarowej</w:t>
      </w:r>
    </w:p>
    <w:p w14:paraId="717E57A8" w14:textId="77777777" w:rsidR="00CC4443" w:rsidRPr="001667DB" w:rsidRDefault="00CC4443" w:rsidP="00577746">
      <w:pPr>
        <w:ind w:left="540"/>
        <w:jc w:val="both"/>
        <w:rPr>
          <w:rFonts w:ascii="Times New Roman" w:hAnsi="Times New Roman" w:cs="Times New Roman"/>
          <w:color w:val="000000" w:themeColor="text1"/>
        </w:rPr>
      </w:pPr>
    </w:p>
    <w:p w14:paraId="16F5C4F1"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ustawienia 1 m krawężnika obejmuje:</w:t>
      </w:r>
    </w:p>
    <w:p w14:paraId="6D90FD3B"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6E4FBCAA"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oznakowanie robót,</w:t>
      </w:r>
    </w:p>
    <w:p w14:paraId="0405A5E5"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przygotowanie podłoża,</w:t>
      </w:r>
    </w:p>
    <w:p w14:paraId="67B9F777"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 i sprzętu,</w:t>
      </w:r>
    </w:p>
    <w:p w14:paraId="64576FB0"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koryta pod ławę,</w:t>
      </w:r>
    </w:p>
    <w:p w14:paraId="09649C84"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ławy z ewentualnym wykonaniem szalunku i zalaniem szczelin dylatacyjnych,</w:t>
      </w:r>
    </w:p>
    <w:p w14:paraId="73D524CE"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wykonanie podsypki,</w:t>
      </w:r>
    </w:p>
    <w:p w14:paraId="52F1DD29"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ustawienie krawężników z wypełnieniem spoin i zalaniem szczelin według wymagań dokumentacji projektowej, ST i specyfikacji technicznej,</w:t>
      </w:r>
    </w:p>
    <w:p w14:paraId="23BE3E25"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przeprowadzenie pomiarów i badań wymaganych w specyfikacji technicznej,</w:t>
      </w:r>
    </w:p>
    <w:p w14:paraId="5462D986" w14:textId="77777777" w:rsidR="00CC4443" w:rsidRPr="001667DB" w:rsidRDefault="00CC4443" w:rsidP="00904E6C">
      <w:pPr>
        <w:numPr>
          <w:ilvl w:val="0"/>
          <w:numId w:val="251"/>
        </w:numPr>
        <w:tabs>
          <w:tab w:val="clear" w:pos="720"/>
          <w:tab w:val="num" w:pos="284"/>
        </w:tabs>
        <w:suppressAutoHyphens/>
        <w:overflowPunct w:val="0"/>
        <w:autoSpaceDE w:val="0"/>
        <w:spacing w:after="0" w:line="240" w:lineRule="auto"/>
        <w:ind w:left="284" w:hanging="284"/>
        <w:jc w:val="both"/>
        <w:rPr>
          <w:rFonts w:ascii="Times New Roman" w:hAnsi="Times New Roman" w:cs="Times New Roman"/>
          <w:color w:val="000000" w:themeColor="text1"/>
        </w:rPr>
      </w:pPr>
      <w:r w:rsidRPr="001667DB">
        <w:rPr>
          <w:rFonts w:ascii="Times New Roman" w:hAnsi="Times New Roman" w:cs="Times New Roman"/>
          <w:color w:val="000000" w:themeColor="text1"/>
        </w:rPr>
        <w:t>odwiezienie sprzętu.</w:t>
      </w:r>
    </w:p>
    <w:p w14:paraId="6F3FB97A" w14:textId="77777777" w:rsidR="00CC4443" w:rsidRPr="001667DB" w:rsidRDefault="00CC4443" w:rsidP="00577746">
      <w:pPr>
        <w:overflowPunct w:val="0"/>
        <w:autoSpaceDE w:val="0"/>
        <w:ind w:left="284"/>
        <w:jc w:val="both"/>
        <w:rPr>
          <w:rFonts w:ascii="Times New Roman" w:hAnsi="Times New Roman" w:cs="Times New Roman"/>
          <w:color w:val="000000" w:themeColor="text1"/>
        </w:rPr>
      </w:pPr>
    </w:p>
    <w:p w14:paraId="7ABB6851" w14:textId="77777777" w:rsidR="00CC4443" w:rsidRPr="001667DB" w:rsidRDefault="00CC4443" w:rsidP="00904E6C">
      <w:pPr>
        <w:pStyle w:val="Nagwek2"/>
        <w:numPr>
          <w:ilvl w:val="1"/>
          <w:numId w:val="260"/>
        </w:numPr>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Sposób rozliczenia robót tymczasowych i prac towarzyszących</w:t>
      </w:r>
    </w:p>
    <w:p w14:paraId="029DD3F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robót określonych niniejszą ST obejmuje:</w:t>
      </w:r>
    </w:p>
    <w:p w14:paraId="7BD8FA19" w14:textId="77777777" w:rsidR="00CC4443" w:rsidRPr="001667DB" w:rsidRDefault="00CC4443" w:rsidP="00904E6C">
      <w:pPr>
        <w:numPr>
          <w:ilvl w:val="0"/>
          <w:numId w:val="255"/>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tymczasowe, które są potrzebne do wykonania robót podstawowych, ale nie są przekazywane Zamawiającemu i są usuwane po wykonaniu robót podstawowych,</w:t>
      </w:r>
    </w:p>
    <w:p w14:paraId="4DFF95B5" w14:textId="77777777" w:rsidR="00CC4443" w:rsidRPr="001667DB" w:rsidRDefault="00CC4443" w:rsidP="00904E6C">
      <w:pPr>
        <w:numPr>
          <w:ilvl w:val="0"/>
          <w:numId w:val="255"/>
        </w:numPr>
        <w:suppressAutoHyphens/>
        <w:overflowPunct w:val="0"/>
        <w:autoSpaceDE w:val="0"/>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prace towarzyszące, które są niezbędne do wykonania robót podstawowych, niezaliczane do robót tymczasowych, jak geodezyjne wytyczenie robót itd.</w:t>
      </w:r>
    </w:p>
    <w:p w14:paraId="611F1EA3" w14:textId="77777777" w:rsidR="00CC4443" w:rsidRPr="001667DB" w:rsidRDefault="00CC4443" w:rsidP="00577746">
      <w:pPr>
        <w:overflowPunct w:val="0"/>
        <w:autoSpaceDE w:val="0"/>
        <w:ind w:left="283"/>
        <w:jc w:val="both"/>
        <w:rPr>
          <w:rFonts w:ascii="Times New Roman" w:hAnsi="Times New Roman" w:cs="Times New Roman"/>
          <w:color w:val="000000" w:themeColor="text1"/>
        </w:rPr>
      </w:pPr>
    </w:p>
    <w:p w14:paraId="01E743E9" w14:textId="77777777" w:rsidR="00CC4443" w:rsidRPr="001667DB" w:rsidRDefault="00CC4443" w:rsidP="00904E6C">
      <w:pPr>
        <w:pStyle w:val="Nagwek1"/>
        <w:numPr>
          <w:ilvl w:val="0"/>
          <w:numId w:val="260"/>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przepisy związane</w:t>
      </w:r>
    </w:p>
    <w:p w14:paraId="2024FC51" w14:textId="77777777" w:rsidR="00CC4443" w:rsidRPr="001667DB" w:rsidRDefault="00CC4443" w:rsidP="00577746">
      <w:pPr>
        <w:pStyle w:val="Nagwek2"/>
        <w:ind w:left="851" w:hanging="851"/>
        <w:jc w:val="both"/>
        <w:rPr>
          <w:color w:val="000000" w:themeColor="text1"/>
          <w:sz w:val="22"/>
          <w:szCs w:val="22"/>
        </w:rPr>
      </w:pPr>
      <w:r w:rsidRPr="001667DB">
        <w:rPr>
          <w:color w:val="000000" w:themeColor="text1"/>
          <w:sz w:val="22"/>
          <w:szCs w:val="22"/>
        </w:rPr>
        <w:t>Ogólne specyfikacje techniczne (ST)</w:t>
      </w:r>
    </w:p>
    <w:p w14:paraId="45F06B85" w14:textId="77777777" w:rsidR="00CC4443" w:rsidRPr="001667DB" w:rsidRDefault="00CC4443" w:rsidP="00577746">
      <w:pPr>
        <w:jc w:val="both"/>
        <w:rPr>
          <w:rFonts w:ascii="Times New Roman" w:hAnsi="Times New Roman" w:cs="Times New Roman"/>
          <w:color w:val="000000" w:themeColor="text1"/>
        </w:rPr>
      </w:pPr>
    </w:p>
    <w:tbl>
      <w:tblPr>
        <w:tblW w:w="0" w:type="auto"/>
        <w:tblLayout w:type="fixed"/>
        <w:tblCellMar>
          <w:left w:w="70" w:type="dxa"/>
          <w:right w:w="70" w:type="dxa"/>
        </w:tblCellMar>
        <w:tblLook w:val="0000" w:firstRow="0" w:lastRow="0" w:firstColumn="0" w:lastColumn="0" w:noHBand="0" w:noVBand="0"/>
      </w:tblPr>
      <w:tblGrid>
        <w:gridCol w:w="637"/>
        <w:gridCol w:w="2127"/>
        <w:gridCol w:w="6448"/>
      </w:tblGrid>
      <w:tr w:rsidR="00CC4443" w:rsidRPr="001667DB" w14:paraId="5884EBF8" w14:textId="77777777">
        <w:tc>
          <w:tcPr>
            <w:tcW w:w="637" w:type="dxa"/>
            <w:shd w:val="clear" w:color="auto" w:fill="auto"/>
          </w:tcPr>
          <w:p w14:paraId="3359B1B9"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127" w:type="dxa"/>
            <w:shd w:val="clear" w:color="auto" w:fill="auto"/>
          </w:tcPr>
          <w:p w14:paraId="1303C8F9"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D- 00.00.00</w:t>
            </w:r>
          </w:p>
        </w:tc>
        <w:tc>
          <w:tcPr>
            <w:tcW w:w="6448" w:type="dxa"/>
            <w:shd w:val="clear" w:color="auto" w:fill="auto"/>
          </w:tcPr>
          <w:p w14:paraId="1341A5DE"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Wymagania ogólne</w:t>
            </w:r>
          </w:p>
        </w:tc>
      </w:tr>
      <w:tr w:rsidR="00CC4443" w:rsidRPr="001667DB" w14:paraId="2CCF9FF7" w14:textId="77777777">
        <w:tc>
          <w:tcPr>
            <w:tcW w:w="637" w:type="dxa"/>
            <w:shd w:val="clear" w:color="auto" w:fill="auto"/>
          </w:tcPr>
          <w:p w14:paraId="7E5D7D61"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2127" w:type="dxa"/>
            <w:shd w:val="clear" w:color="auto" w:fill="auto"/>
          </w:tcPr>
          <w:p w14:paraId="639FEED8"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D-05.03.04a</w:t>
            </w:r>
          </w:p>
        </w:tc>
        <w:tc>
          <w:tcPr>
            <w:tcW w:w="6448" w:type="dxa"/>
            <w:shd w:val="clear" w:color="auto" w:fill="auto"/>
          </w:tcPr>
          <w:p w14:paraId="099AB102"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Wypełnianie szczelin w nawierzchni z betonu cementowego</w:t>
            </w:r>
          </w:p>
          <w:p w14:paraId="0E8559B8" w14:textId="77777777" w:rsidR="00CC4443" w:rsidRPr="001667DB" w:rsidRDefault="00CC4443">
            <w:pPr>
              <w:overflowPunct w:val="0"/>
              <w:autoSpaceDE w:val="0"/>
              <w:rPr>
                <w:rFonts w:ascii="Times New Roman" w:hAnsi="Times New Roman" w:cs="Times New Roman"/>
                <w:color w:val="000000" w:themeColor="text1"/>
              </w:rPr>
            </w:pPr>
          </w:p>
        </w:tc>
      </w:tr>
    </w:tbl>
    <w:p w14:paraId="3438A272" w14:textId="77777777" w:rsidR="00CC4443" w:rsidRPr="001667DB" w:rsidRDefault="00CC4443" w:rsidP="00DB08A5">
      <w:pPr>
        <w:pStyle w:val="Nagwek2"/>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color w:val="000000" w:themeColor="text1"/>
          <w:sz w:val="22"/>
          <w:szCs w:val="22"/>
        </w:rPr>
      </w:pPr>
      <w:r w:rsidRPr="001667DB">
        <w:rPr>
          <w:color w:val="000000" w:themeColor="text1"/>
          <w:sz w:val="22"/>
          <w:szCs w:val="22"/>
        </w:rPr>
        <w:t>Normy</w:t>
      </w:r>
    </w:p>
    <w:p w14:paraId="7BBCAF79" w14:textId="77777777" w:rsidR="00CC4443" w:rsidRPr="001667DB" w:rsidRDefault="00CC4443">
      <w:pPr>
        <w:ind w:left="540"/>
        <w:rPr>
          <w:rFonts w:ascii="Times New Roman" w:hAnsi="Times New Roman" w:cs="Times New Roman"/>
          <w:color w:val="000000" w:themeColor="text1"/>
        </w:rPr>
      </w:pPr>
    </w:p>
    <w:tbl>
      <w:tblPr>
        <w:tblW w:w="0" w:type="auto"/>
        <w:tblLayout w:type="fixed"/>
        <w:tblLook w:val="0000" w:firstRow="0" w:lastRow="0" w:firstColumn="0" w:lastColumn="0" w:noHBand="0" w:noVBand="0"/>
      </w:tblPr>
      <w:tblGrid>
        <w:gridCol w:w="675"/>
        <w:gridCol w:w="2127"/>
        <w:gridCol w:w="6412"/>
      </w:tblGrid>
      <w:tr w:rsidR="00CC4443" w:rsidRPr="001667DB" w14:paraId="6F79309C" w14:textId="77777777">
        <w:tc>
          <w:tcPr>
            <w:tcW w:w="675" w:type="dxa"/>
            <w:shd w:val="clear" w:color="auto" w:fill="auto"/>
          </w:tcPr>
          <w:p w14:paraId="10A4C0C7"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3.</w:t>
            </w:r>
          </w:p>
        </w:tc>
        <w:tc>
          <w:tcPr>
            <w:tcW w:w="2127" w:type="dxa"/>
            <w:shd w:val="clear" w:color="auto" w:fill="auto"/>
          </w:tcPr>
          <w:p w14:paraId="1B8443AC"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197-1:2002</w:t>
            </w:r>
          </w:p>
        </w:tc>
        <w:tc>
          <w:tcPr>
            <w:tcW w:w="6412" w:type="dxa"/>
            <w:shd w:val="clear" w:color="auto" w:fill="auto"/>
          </w:tcPr>
          <w:p w14:paraId="3C24EBDC"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Cement. Część 1: Skład, wymagania i kryteria zgodności dotyczące cementu powszechnego użytku</w:t>
            </w:r>
          </w:p>
        </w:tc>
      </w:tr>
      <w:tr w:rsidR="00CC4443" w:rsidRPr="001667DB" w14:paraId="1981E429" w14:textId="77777777">
        <w:tc>
          <w:tcPr>
            <w:tcW w:w="675" w:type="dxa"/>
            <w:shd w:val="clear" w:color="auto" w:fill="auto"/>
          </w:tcPr>
          <w:p w14:paraId="174ABAC6"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2127" w:type="dxa"/>
            <w:shd w:val="clear" w:color="auto" w:fill="auto"/>
          </w:tcPr>
          <w:p w14:paraId="28EBF933"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206-1:2003</w:t>
            </w:r>
          </w:p>
        </w:tc>
        <w:tc>
          <w:tcPr>
            <w:tcW w:w="6412" w:type="dxa"/>
            <w:shd w:val="clear" w:color="auto" w:fill="auto"/>
          </w:tcPr>
          <w:p w14:paraId="7FC3E700"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Beton. Część 1: Wymagania, właściwości, produkcja i zgodność</w:t>
            </w:r>
          </w:p>
        </w:tc>
      </w:tr>
      <w:tr w:rsidR="00CC4443" w:rsidRPr="001667DB" w14:paraId="2DC47BAB" w14:textId="77777777">
        <w:tc>
          <w:tcPr>
            <w:tcW w:w="675" w:type="dxa"/>
            <w:shd w:val="clear" w:color="auto" w:fill="auto"/>
          </w:tcPr>
          <w:p w14:paraId="271AC7CC"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2127" w:type="dxa"/>
            <w:shd w:val="clear" w:color="auto" w:fill="auto"/>
          </w:tcPr>
          <w:p w14:paraId="496F9ADA"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lang w:val="en-US"/>
              </w:rPr>
              <w:t>PN-EN 1340:2003</w:t>
            </w:r>
          </w:p>
        </w:tc>
        <w:tc>
          <w:tcPr>
            <w:tcW w:w="6412" w:type="dxa"/>
            <w:shd w:val="clear" w:color="auto" w:fill="auto"/>
          </w:tcPr>
          <w:p w14:paraId="59946A72"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Krawężniki betonowe. Wymagania i metody badań.</w:t>
            </w:r>
          </w:p>
        </w:tc>
      </w:tr>
      <w:tr w:rsidR="00CC4443" w:rsidRPr="001667DB" w14:paraId="4A1BBE0C" w14:textId="77777777">
        <w:tc>
          <w:tcPr>
            <w:tcW w:w="675" w:type="dxa"/>
            <w:shd w:val="clear" w:color="auto" w:fill="auto"/>
          </w:tcPr>
          <w:p w14:paraId="65C92A4F"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2127" w:type="dxa"/>
            <w:shd w:val="clear" w:color="auto" w:fill="auto"/>
          </w:tcPr>
          <w:p w14:paraId="7168F4B5"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12620+A1:2010</w:t>
            </w:r>
          </w:p>
        </w:tc>
        <w:tc>
          <w:tcPr>
            <w:tcW w:w="6412" w:type="dxa"/>
            <w:shd w:val="clear" w:color="auto" w:fill="auto"/>
          </w:tcPr>
          <w:p w14:paraId="6280C60D"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betonu. </w:t>
            </w:r>
          </w:p>
          <w:p w14:paraId="013ADC22" w14:textId="77777777" w:rsidR="00CC4443" w:rsidRPr="001667DB" w:rsidRDefault="00CC4443">
            <w:pPr>
              <w:overflowPunct w:val="0"/>
              <w:autoSpaceDE w:val="0"/>
              <w:rPr>
                <w:rFonts w:ascii="Times New Roman" w:hAnsi="Times New Roman" w:cs="Times New Roman"/>
                <w:color w:val="000000" w:themeColor="text1"/>
              </w:rPr>
            </w:pPr>
          </w:p>
        </w:tc>
      </w:tr>
      <w:tr w:rsidR="00CC4443" w:rsidRPr="001667DB" w14:paraId="1AA6CBAD" w14:textId="77777777">
        <w:tc>
          <w:tcPr>
            <w:tcW w:w="675" w:type="dxa"/>
            <w:shd w:val="clear" w:color="auto" w:fill="auto"/>
          </w:tcPr>
          <w:p w14:paraId="2556A6F5"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2127" w:type="dxa"/>
            <w:shd w:val="clear" w:color="auto" w:fill="auto"/>
          </w:tcPr>
          <w:p w14:paraId="084FC6B8"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13139:2003/AC:2004</w:t>
            </w:r>
          </w:p>
        </w:tc>
        <w:tc>
          <w:tcPr>
            <w:tcW w:w="6412" w:type="dxa"/>
            <w:shd w:val="clear" w:color="auto" w:fill="auto"/>
          </w:tcPr>
          <w:p w14:paraId="77873FC8"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Kruszywa do zapraw</w:t>
            </w:r>
          </w:p>
        </w:tc>
      </w:tr>
      <w:tr w:rsidR="00CC4443" w:rsidRPr="001667DB" w14:paraId="4F2B7341" w14:textId="77777777">
        <w:tc>
          <w:tcPr>
            <w:tcW w:w="675" w:type="dxa"/>
            <w:shd w:val="clear" w:color="auto" w:fill="auto"/>
          </w:tcPr>
          <w:p w14:paraId="0BE0749B"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2127" w:type="dxa"/>
            <w:shd w:val="clear" w:color="auto" w:fill="auto"/>
          </w:tcPr>
          <w:p w14:paraId="3CE62019"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13043:2004/Ap1:2010</w:t>
            </w:r>
          </w:p>
        </w:tc>
        <w:tc>
          <w:tcPr>
            <w:tcW w:w="6412" w:type="dxa"/>
            <w:shd w:val="clear" w:color="auto" w:fill="auto"/>
          </w:tcPr>
          <w:p w14:paraId="636A24FD"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mieszanek bitumicznych i powierzchniowych utrwaleń stosowanych na drogach, lotniskach i innych powierzchniach przeznaczonych do ruchu. </w:t>
            </w:r>
          </w:p>
          <w:p w14:paraId="7A19E9CE" w14:textId="77777777" w:rsidR="00CC4443" w:rsidRPr="001667DB" w:rsidRDefault="00CC4443">
            <w:pPr>
              <w:overflowPunct w:val="0"/>
              <w:autoSpaceDE w:val="0"/>
              <w:rPr>
                <w:rFonts w:ascii="Times New Roman" w:hAnsi="Times New Roman" w:cs="Times New Roman"/>
                <w:color w:val="000000" w:themeColor="text1"/>
              </w:rPr>
            </w:pPr>
          </w:p>
        </w:tc>
      </w:tr>
      <w:tr w:rsidR="00CC4443" w:rsidRPr="001667DB" w14:paraId="138ED697" w14:textId="77777777">
        <w:tc>
          <w:tcPr>
            <w:tcW w:w="675" w:type="dxa"/>
            <w:shd w:val="clear" w:color="auto" w:fill="auto"/>
          </w:tcPr>
          <w:p w14:paraId="50F16259"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9.</w:t>
            </w:r>
          </w:p>
        </w:tc>
        <w:tc>
          <w:tcPr>
            <w:tcW w:w="2127" w:type="dxa"/>
            <w:shd w:val="clear" w:color="auto" w:fill="auto"/>
          </w:tcPr>
          <w:p w14:paraId="5756D316"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13242+A1:2010</w:t>
            </w:r>
          </w:p>
        </w:tc>
        <w:tc>
          <w:tcPr>
            <w:tcW w:w="6412" w:type="dxa"/>
            <w:shd w:val="clear" w:color="auto" w:fill="auto"/>
          </w:tcPr>
          <w:p w14:paraId="38ECDC44"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niezwiązanych i związanych hydraulicznie materiałów stosowanych w obiektach budowlanych i budownictwie drogowym. </w:t>
            </w:r>
          </w:p>
          <w:p w14:paraId="71CAFE68" w14:textId="77777777" w:rsidR="00CC4443" w:rsidRPr="001667DB" w:rsidRDefault="00CC4443">
            <w:pPr>
              <w:overflowPunct w:val="0"/>
              <w:autoSpaceDE w:val="0"/>
              <w:rPr>
                <w:rFonts w:ascii="Times New Roman" w:hAnsi="Times New Roman" w:cs="Times New Roman"/>
                <w:color w:val="000000" w:themeColor="text1"/>
              </w:rPr>
            </w:pPr>
          </w:p>
        </w:tc>
      </w:tr>
      <w:tr w:rsidR="00CC4443" w:rsidRPr="001667DB" w14:paraId="0D50B369" w14:textId="77777777">
        <w:tc>
          <w:tcPr>
            <w:tcW w:w="675" w:type="dxa"/>
            <w:shd w:val="clear" w:color="auto" w:fill="auto"/>
          </w:tcPr>
          <w:p w14:paraId="69CB2D9A"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2127" w:type="dxa"/>
            <w:shd w:val="clear" w:color="auto" w:fill="auto"/>
          </w:tcPr>
          <w:p w14:paraId="32A1697A"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1008:2004</w:t>
            </w:r>
          </w:p>
        </w:tc>
        <w:tc>
          <w:tcPr>
            <w:tcW w:w="6412" w:type="dxa"/>
            <w:shd w:val="clear" w:color="auto" w:fill="auto"/>
          </w:tcPr>
          <w:p w14:paraId="755842D0"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Woda zarobowa do betonu. Specyfikacja pobierania próbek, badanie ocena </w:t>
            </w:r>
          </w:p>
          <w:p w14:paraId="56080911"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przydatności wody zarobowej do betonu, w tym wody odzyskanej z procesów produkcji.</w:t>
            </w:r>
          </w:p>
        </w:tc>
      </w:tr>
      <w:tr w:rsidR="00CC4443" w:rsidRPr="001667DB" w14:paraId="4A5CE71F" w14:textId="77777777">
        <w:tc>
          <w:tcPr>
            <w:tcW w:w="675" w:type="dxa"/>
            <w:shd w:val="clear" w:color="auto" w:fill="auto"/>
          </w:tcPr>
          <w:p w14:paraId="6BFF7BA3"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11.</w:t>
            </w:r>
          </w:p>
        </w:tc>
        <w:tc>
          <w:tcPr>
            <w:tcW w:w="2127" w:type="dxa"/>
            <w:shd w:val="clear" w:color="auto" w:fill="auto"/>
          </w:tcPr>
          <w:p w14:paraId="43371AC5"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PN-63/B-06251</w:t>
            </w:r>
          </w:p>
        </w:tc>
        <w:tc>
          <w:tcPr>
            <w:tcW w:w="6412" w:type="dxa"/>
            <w:shd w:val="clear" w:color="auto" w:fill="auto"/>
          </w:tcPr>
          <w:p w14:paraId="340AC977"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Roboty betonowe i żelbetowe. </w:t>
            </w:r>
          </w:p>
          <w:p w14:paraId="1CDFA22A" w14:textId="77777777" w:rsidR="00CC4443" w:rsidRPr="001667DB" w:rsidRDefault="00CC4443">
            <w:pPr>
              <w:overflowPunct w:val="0"/>
              <w:autoSpaceDE w:val="0"/>
              <w:rPr>
                <w:rFonts w:ascii="Times New Roman" w:hAnsi="Times New Roman" w:cs="Times New Roman"/>
                <w:color w:val="000000" w:themeColor="text1"/>
              </w:rPr>
            </w:pPr>
          </w:p>
        </w:tc>
      </w:tr>
      <w:tr w:rsidR="00CC4443" w:rsidRPr="001667DB" w14:paraId="3F951727" w14:textId="77777777">
        <w:tc>
          <w:tcPr>
            <w:tcW w:w="675" w:type="dxa"/>
            <w:shd w:val="clear" w:color="auto" w:fill="auto"/>
          </w:tcPr>
          <w:p w14:paraId="691B5D23"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12.</w:t>
            </w:r>
          </w:p>
          <w:p w14:paraId="59D0EF7D"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13.</w:t>
            </w:r>
          </w:p>
          <w:p w14:paraId="3F807E34"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14.</w:t>
            </w:r>
          </w:p>
        </w:tc>
        <w:tc>
          <w:tcPr>
            <w:tcW w:w="2127" w:type="dxa"/>
            <w:shd w:val="clear" w:color="auto" w:fill="auto"/>
          </w:tcPr>
          <w:p w14:paraId="3F766B08" w14:textId="77777777" w:rsidR="00CC4443" w:rsidRPr="00326BBF" w:rsidRDefault="00CC4443">
            <w:pPr>
              <w:overflowPunct w:val="0"/>
              <w:autoSpaceDE w:val="0"/>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BN-88/6731-08</w:t>
            </w:r>
          </w:p>
          <w:p w14:paraId="3CF4D917" w14:textId="77777777" w:rsidR="00CC4443" w:rsidRPr="00326BBF" w:rsidRDefault="00CC4443">
            <w:pPr>
              <w:overflowPunct w:val="0"/>
              <w:autoSpaceDE w:val="0"/>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PN-EN 14188-1</w:t>
            </w:r>
          </w:p>
          <w:p w14:paraId="18391043" w14:textId="77777777" w:rsidR="00CC4443" w:rsidRPr="00326BBF" w:rsidRDefault="00CC4443">
            <w:pPr>
              <w:overflowPunct w:val="0"/>
              <w:autoSpaceDE w:val="0"/>
              <w:rPr>
                <w:rFonts w:ascii="Times New Roman" w:hAnsi="Times New Roman" w:cs="Times New Roman"/>
                <w:color w:val="000000" w:themeColor="text1"/>
                <w:lang w:val="en-US"/>
              </w:rPr>
            </w:pPr>
            <w:r w:rsidRPr="00326BBF">
              <w:rPr>
                <w:rFonts w:ascii="Times New Roman" w:hAnsi="Times New Roman" w:cs="Times New Roman"/>
                <w:color w:val="000000" w:themeColor="text1"/>
                <w:lang w:val="en-US"/>
              </w:rPr>
              <w:t>PN-EN 14188-2</w:t>
            </w:r>
          </w:p>
          <w:p w14:paraId="6031AA10" w14:textId="77777777" w:rsidR="00CC4443" w:rsidRPr="00326BBF" w:rsidRDefault="00CC4443">
            <w:pPr>
              <w:overflowPunct w:val="0"/>
              <w:autoSpaceDE w:val="0"/>
              <w:rPr>
                <w:rFonts w:ascii="Times New Roman" w:hAnsi="Times New Roman" w:cs="Times New Roman"/>
                <w:color w:val="000000" w:themeColor="text1"/>
                <w:lang w:val="en-US"/>
              </w:rPr>
            </w:pPr>
          </w:p>
        </w:tc>
        <w:tc>
          <w:tcPr>
            <w:tcW w:w="6412" w:type="dxa"/>
            <w:shd w:val="clear" w:color="auto" w:fill="auto"/>
          </w:tcPr>
          <w:p w14:paraId="6C560BD7"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Cement. Transport i przechowywanie</w:t>
            </w:r>
          </w:p>
          <w:p w14:paraId="3C1123C1"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Wypełniacz złączy i zalewy- Część 1: Specyfikacja zalew na gorąco</w:t>
            </w:r>
          </w:p>
          <w:p w14:paraId="78956546"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Wypełniacz złączy i zalewy- Część 2: Specyfikacja zalew na zimno</w:t>
            </w:r>
          </w:p>
          <w:p w14:paraId="165B172F" w14:textId="77777777" w:rsidR="00CC4443" w:rsidRPr="001667DB" w:rsidRDefault="00CC4443">
            <w:pPr>
              <w:overflowPunct w:val="0"/>
              <w:autoSpaceDE w:val="0"/>
              <w:rPr>
                <w:rFonts w:ascii="Times New Roman" w:hAnsi="Times New Roman" w:cs="Times New Roman"/>
                <w:color w:val="000000" w:themeColor="text1"/>
              </w:rPr>
            </w:pPr>
          </w:p>
        </w:tc>
      </w:tr>
      <w:tr w:rsidR="00CC4443" w:rsidRPr="001667DB" w14:paraId="625AFA00" w14:textId="77777777">
        <w:tc>
          <w:tcPr>
            <w:tcW w:w="675" w:type="dxa"/>
            <w:shd w:val="clear" w:color="auto" w:fill="auto"/>
          </w:tcPr>
          <w:p w14:paraId="55A60C08"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2127" w:type="dxa"/>
            <w:shd w:val="clear" w:color="auto" w:fill="auto"/>
          </w:tcPr>
          <w:p w14:paraId="5E287914"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PN-EN 13242+A1: 2010</w:t>
            </w:r>
          </w:p>
        </w:tc>
        <w:tc>
          <w:tcPr>
            <w:tcW w:w="6412" w:type="dxa"/>
            <w:shd w:val="clear" w:color="auto" w:fill="auto"/>
          </w:tcPr>
          <w:p w14:paraId="51B9DCDD" w14:textId="77777777" w:rsidR="00CC4443" w:rsidRPr="001667DB" w:rsidRDefault="00CC4443">
            <w:pPr>
              <w:overflowPunct w:val="0"/>
              <w:autoSpaceDE w:val="0"/>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niezwiązanych i związanych hydraulicznie materiałów stosowanych w obiektach budowlanych i budownictwie drogowym </w:t>
            </w:r>
          </w:p>
        </w:tc>
      </w:tr>
    </w:tbl>
    <w:p w14:paraId="5735CB88" w14:textId="77777777" w:rsidR="00CC4443" w:rsidRPr="001667DB" w:rsidRDefault="00CC4443" w:rsidP="00DB08A5">
      <w:pPr>
        <w:pStyle w:val="Nagwek2"/>
        <w:tabs>
          <w:tab w:val="clear" w:pos="-1725"/>
          <w:tab w:val="clear" w:pos="-1440"/>
          <w:tab w:val="clear" w:pos="-1005"/>
          <w:tab w:val="clear" w:pos="-720"/>
          <w:tab w:val="clear" w:pos="-285"/>
          <w:tab w:val="clear" w:pos="0"/>
          <w:tab w:val="clear" w:pos="284"/>
          <w:tab w:val="clear" w:pos="435"/>
          <w:tab w:val="clear" w:pos="567"/>
          <w:tab w:val="clear" w:pos="851"/>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114" w:after="114" w:line="240" w:lineRule="auto"/>
        <w:rPr>
          <w:color w:val="000000" w:themeColor="text1"/>
          <w:sz w:val="22"/>
          <w:szCs w:val="22"/>
        </w:rPr>
      </w:pPr>
      <w:r w:rsidRPr="001667DB">
        <w:rPr>
          <w:color w:val="000000" w:themeColor="text1"/>
          <w:sz w:val="22"/>
          <w:szCs w:val="22"/>
        </w:rPr>
        <w:t>Inne dokumenty</w:t>
      </w:r>
    </w:p>
    <w:p w14:paraId="45CE1213" w14:textId="77777777" w:rsidR="00CC4443" w:rsidRPr="001667DB" w:rsidRDefault="00CC4443">
      <w:pPr>
        <w:ind w:left="540"/>
        <w:rPr>
          <w:rFonts w:ascii="Times New Roman" w:hAnsi="Times New Roman" w:cs="Times New Roman"/>
          <w:color w:val="000000" w:themeColor="text1"/>
        </w:rPr>
      </w:pPr>
    </w:p>
    <w:tbl>
      <w:tblPr>
        <w:tblW w:w="9072" w:type="dxa"/>
        <w:tblInd w:w="142" w:type="dxa"/>
        <w:tblLayout w:type="fixed"/>
        <w:tblLook w:val="0000" w:firstRow="0" w:lastRow="0" w:firstColumn="0" w:lastColumn="0" w:noHBand="0" w:noVBand="0"/>
      </w:tblPr>
      <w:tblGrid>
        <w:gridCol w:w="533"/>
        <w:gridCol w:w="8539"/>
      </w:tblGrid>
      <w:tr w:rsidR="00CC4443" w:rsidRPr="001667DB" w14:paraId="08587C7A" w14:textId="77777777" w:rsidTr="00274AF9">
        <w:tc>
          <w:tcPr>
            <w:tcW w:w="533" w:type="dxa"/>
            <w:shd w:val="clear" w:color="auto" w:fill="auto"/>
          </w:tcPr>
          <w:p w14:paraId="0D982B70" w14:textId="77777777" w:rsidR="00CC4443" w:rsidRPr="001667DB" w:rsidRDefault="00CC4443">
            <w:pPr>
              <w:overflowPunct w:val="0"/>
              <w:autoSpaceDE w:val="0"/>
              <w:jc w:val="right"/>
              <w:rPr>
                <w:rFonts w:ascii="Times New Roman" w:hAnsi="Times New Roman" w:cs="Times New Roman"/>
                <w:color w:val="000000" w:themeColor="text1"/>
              </w:rPr>
            </w:pPr>
            <w:r w:rsidRPr="001667DB">
              <w:rPr>
                <w:rFonts w:ascii="Times New Roman" w:hAnsi="Times New Roman" w:cs="Times New Roman"/>
                <w:color w:val="000000" w:themeColor="text1"/>
              </w:rPr>
              <w:t>13.</w:t>
            </w:r>
          </w:p>
        </w:tc>
        <w:tc>
          <w:tcPr>
            <w:tcW w:w="8539" w:type="dxa"/>
            <w:shd w:val="clear" w:color="auto" w:fill="auto"/>
          </w:tcPr>
          <w:p w14:paraId="21C71492" w14:textId="77777777" w:rsidR="00CC4443"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Katalog szczegółów drogowych ulic, placów i parków miejskich, Centrum Techniki Budownictwa Komunalnego, Warszawa 1987</w:t>
            </w:r>
          </w:p>
          <w:p w14:paraId="6D6CF74F" w14:textId="77777777" w:rsidR="00274AF9" w:rsidRPr="001667DB" w:rsidRDefault="00274AF9" w:rsidP="00CC4443">
            <w:pPr>
              <w:rPr>
                <w:rFonts w:ascii="Times New Roman" w:hAnsi="Times New Roman" w:cs="Times New Roman"/>
                <w:color w:val="000000" w:themeColor="text1"/>
              </w:rPr>
            </w:pPr>
          </w:p>
        </w:tc>
      </w:tr>
    </w:tbl>
    <w:p w14:paraId="45AC01A7" w14:textId="77777777" w:rsidR="00CC4443" w:rsidRPr="00326BBF" w:rsidRDefault="00CC4443">
      <w:pPr>
        <w:pStyle w:val="Nagwek1"/>
        <w:pageBreakBefore/>
        <w:ind w:left="851" w:hanging="851"/>
        <w:rPr>
          <w:color w:val="000000" w:themeColor="text1"/>
          <w:sz w:val="22"/>
          <w:szCs w:val="22"/>
          <w:lang w:val="pl-PL"/>
        </w:rPr>
      </w:pPr>
      <w:r w:rsidRPr="00326BBF">
        <w:rPr>
          <w:color w:val="000000" w:themeColor="text1"/>
          <w:sz w:val="22"/>
          <w:szCs w:val="22"/>
          <w:lang w:val="pl-PL"/>
        </w:rPr>
        <w:lastRenderedPageBreak/>
        <w:t>11. ZAŁĄCZNIKI</w:t>
      </w:r>
    </w:p>
    <w:p w14:paraId="72C83962" w14:textId="77777777" w:rsidR="00CC4443" w:rsidRPr="001667DB" w:rsidRDefault="00CC4443" w:rsidP="00CC4443">
      <w:pPr>
        <w:spacing w:before="120" w:after="120"/>
        <w:jc w:val="center"/>
        <w:rPr>
          <w:rFonts w:ascii="Times New Roman" w:hAnsi="Times New Roman" w:cs="Times New Roman"/>
          <w:color w:val="000000" w:themeColor="text1"/>
        </w:rPr>
      </w:pPr>
      <w:r w:rsidRPr="001667DB">
        <w:rPr>
          <w:rFonts w:ascii="Times New Roman" w:hAnsi="Times New Roman" w:cs="Times New Roman"/>
          <w:color w:val="000000" w:themeColor="text1"/>
        </w:rPr>
        <w:t>GEOMETRIA   KRAWĘŻNIKÓW (wg [3])</w:t>
      </w:r>
    </w:p>
    <w:p w14:paraId="064E5D04" w14:textId="77777777" w:rsidR="00CC4443" w:rsidRPr="001667DB" w:rsidRDefault="00CC4443" w:rsidP="00CC4443">
      <w:pPr>
        <w:spacing w:before="120" w:after="120"/>
        <w:rPr>
          <w:rFonts w:ascii="Times New Roman" w:hAnsi="Times New Roman" w:cs="Times New Roman"/>
          <w:color w:val="000000" w:themeColor="text1"/>
        </w:rPr>
      </w:pPr>
      <w:r w:rsidRPr="001667DB">
        <w:rPr>
          <w:rFonts w:ascii="Times New Roman" w:hAnsi="Times New Roman" w:cs="Times New Roman"/>
          <w:color w:val="000000" w:themeColor="text1"/>
        </w:rPr>
        <w:t>1.1. Przykład kształtu krawężnika przeznaczonego do ryglowania</w:t>
      </w:r>
    </w:p>
    <w:p w14:paraId="07531209" w14:textId="77777777" w:rsidR="00CC4443" w:rsidRPr="001667DB" w:rsidRDefault="00CC4443" w:rsidP="00CC4443">
      <w:pPr>
        <w:rPr>
          <w:rFonts w:ascii="Times New Roman" w:hAnsi="Times New Roman" w:cs="Times New Roman"/>
          <w:color w:val="000000" w:themeColor="text1"/>
        </w:rPr>
      </w:pPr>
    </w:p>
    <w:p w14:paraId="18E7A3DC" w14:textId="77777777" w:rsidR="00CC4443" w:rsidRPr="001667DB" w:rsidRDefault="00AB678D" w:rsidP="00CC4443">
      <w:pPr>
        <w:jc w:val="center"/>
        <w:rPr>
          <w:rFonts w:ascii="Times New Roman" w:hAnsi="Times New Roman" w:cs="Times New Roman"/>
          <w:color w:val="000000" w:themeColor="text1"/>
        </w:rPr>
      </w:pPr>
      <w:r>
        <w:rPr>
          <w:rFonts w:ascii="Times New Roman" w:hAnsi="Times New Roman" w:cs="Times New Roman"/>
          <w:color w:val="000000" w:themeColor="text1"/>
        </w:rPr>
        <w:pict w14:anchorId="53F5827E">
          <v:shape id="_x0000_i1036" type="#_x0000_t75" style="width:309.75pt;height:129.75pt">
            <v:imagedata r:id="rId81" o:title="bz1_1"/>
          </v:shape>
        </w:pict>
      </w:r>
    </w:p>
    <w:p w14:paraId="0985F86E" w14:textId="77777777" w:rsidR="00CC4443" w:rsidRPr="001667DB" w:rsidRDefault="00CC4443" w:rsidP="00CC4443">
      <w:pPr>
        <w:rPr>
          <w:rFonts w:ascii="Times New Roman" w:hAnsi="Times New Roman" w:cs="Times New Roman"/>
          <w:color w:val="000000" w:themeColor="text1"/>
        </w:rPr>
      </w:pPr>
    </w:p>
    <w:p w14:paraId="73984EB4" w14:textId="77777777" w:rsidR="00CC4443" w:rsidRPr="001667DB" w:rsidRDefault="00CC4443" w:rsidP="00CC4443">
      <w:pPr>
        <w:rPr>
          <w:rFonts w:ascii="Times New Roman" w:hAnsi="Times New Roman" w:cs="Times New Roman"/>
          <w:color w:val="000000" w:themeColor="text1"/>
        </w:rPr>
      </w:pPr>
    </w:p>
    <w:p w14:paraId="351038D1" w14:textId="77777777" w:rsidR="00CC4443" w:rsidRPr="001667DB" w:rsidRDefault="00CC4443" w:rsidP="00CC4443">
      <w:pPr>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Oznaczenia: Y ≤ X – 3 mm i Z</w:t>
      </w:r>
      <w:r w:rsidRPr="001667DB">
        <w:rPr>
          <w:rFonts w:ascii="Times New Roman" w:hAnsi="Times New Roman" w:cs="Times New Roman"/>
          <w:color w:val="000000" w:themeColor="text1"/>
          <w:vertAlign w:val="subscript"/>
        </w:rPr>
        <w:t>Y</w:t>
      </w:r>
      <w:r w:rsidRPr="001667DB">
        <w:rPr>
          <w:rFonts w:ascii="Times New Roman" w:hAnsi="Times New Roman" w:cs="Times New Roman"/>
          <w:color w:val="000000" w:themeColor="text1"/>
        </w:rPr>
        <w:t xml:space="preserve"> ≤ Z</w:t>
      </w:r>
      <w:r w:rsidRPr="001667DB">
        <w:rPr>
          <w:rFonts w:ascii="Times New Roman" w:hAnsi="Times New Roman" w:cs="Times New Roman"/>
          <w:color w:val="000000" w:themeColor="text1"/>
          <w:vertAlign w:val="subscript"/>
        </w:rPr>
        <w:t>X</w:t>
      </w:r>
      <w:r w:rsidRPr="001667DB">
        <w:rPr>
          <w:rFonts w:ascii="Times New Roman" w:hAnsi="Times New Roman" w:cs="Times New Roman"/>
          <w:color w:val="000000" w:themeColor="text1"/>
        </w:rPr>
        <w:t xml:space="preserve"> – 3 mm,  X minimum: ≥ 1/5 </w:t>
      </w:r>
      <w:r w:rsidRPr="001667DB">
        <w:rPr>
          <w:rFonts w:ascii="Times New Roman" w:hAnsi="Times New Roman" w:cs="Times New Roman"/>
          <w:i/>
          <w:color w:val="000000" w:themeColor="text1"/>
        </w:rPr>
        <w:t>b</w:t>
      </w:r>
      <w:r w:rsidRPr="001667DB">
        <w:rPr>
          <w:rFonts w:ascii="Times New Roman" w:hAnsi="Times New Roman" w:cs="Times New Roman"/>
          <w:color w:val="000000" w:themeColor="text1"/>
        </w:rPr>
        <w:t xml:space="preserve"> i ≥ 20 mm,</w:t>
      </w:r>
      <w:r w:rsidRPr="001667DB">
        <w:rPr>
          <w:rFonts w:ascii="Times New Roman" w:hAnsi="Times New Roman" w:cs="Times New Roman"/>
          <w:color w:val="000000" w:themeColor="text1"/>
        </w:rPr>
        <w:br/>
        <w:t xml:space="preserve">X maximum: ≤ 1/3 </w:t>
      </w:r>
      <w:r w:rsidRPr="001667DB">
        <w:rPr>
          <w:rFonts w:ascii="Times New Roman" w:hAnsi="Times New Roman" w:cs="Times New Roman"/>
          <w:i/>
          <w:color w:val="000000" w:themeColor="text1"/>
        </w:rPr>
        <w:t>b</w:t>
      </w:r>
      <w:r w:rsidRPr="001667DB">
        <w:rPr>
          <w:rFonts w:ascii="Times New Roman" w:hAnsi="Times New Roman" w:cs="Times New Roman"/>
          <w:color w:val="000000" w:themeColor="text1"/>
        </w:rPr>
        <w:t xml:space="preserve"> i  ≤ 70 mm,  Z</w:t>
      </w:r>
      <w:r w:rsidRPr="001667DB">
        <w:rPr>
          <w:rFonts w:ascii="Times New Roman" w:hAnsi="Times New Roman" w:cs="Times New Roman"/>
          <w:color w:val="000000" w:themeColor="text1"/>
          <w:vertAlign w:val="subscript"/>
        </w:rPr>
        <w:t>Y</w:t>
      </w:r>
      <w:r w:rsidRPr="001667DB">
        <w:rPr>
          <w:rFonts w:ascii="Times New Roman" w:hAnsi="Times New Roman" w:cs="Times New Roman"/>
          <w:color w:val="000000" w:themeColor="text1"/>
        </w:rPr>
        <w:t xml:space="preserve"> maximum: Y/2, Tolerancja dla X i Z</w:t>
      </w:r>
      <w:r w:rsidRPr="001667DB">
        <w:rPr>
          <w:rFonts w:ascii="Times New Roman" w:hAnsi="Times New Roman" w:cs="Times New Roman"/>
          <w:color w:val="000000" w:themeColor="text1"/>
          <w:vertAlign w:val="subscript"/>
        </w:rPr>
        <w:t>X</w:t>
      </w:r>
      <w:r w:rsidRPr="001667DB">
        <w:rPr>
          <w:rFonts w:ascii="Times New Roman" w:hAnsi="Times New Roman" w:cs="Times New Roman"/>
          <w:color w:val="000000" w:themeColor="text1"/>
        </w:rPr>
        <w:t xml:space="preserve">   -1, +2 mm,  Tolerancja dla Y i Z</w:t>
      </w:r>
      <w:r w:rsidRPr="001667DB">
        <w:rPr>
          <w:rFonts w:ascii="Times New Roman" w:hAnsi="Times New Roman" w:cs="Times New Roman"/>
          <w:color w:val="000000" w:themeColor="text1"/>
          <w:vertAlign w:val="subscript"/>
        </w:rPr>
        <w:t>Y</w:t>
      </w:r>
      <w:r w:rsidRPr="001667DB">
        <w:rPr>
          <w:rFonts w:ascii="Times New Roman" w:hAnsi="Times New Roman" w:cs="Times New Roman"/>
          <w:color w:val="000000" w:themeColor="text1"/>
        </w:rPr>
        <w:t xml:space="preserve"> – 2, +1 mm,  L – Długość elementu krawężnika,  W</w:t>
      </w:r>
      <w:r w:rsidRPr="001667DB">
        <w:rPr>
          <w:rFonts w:ascii="Times New Roman" w:hAnsi="Times New Roman" w:cs="Times New Roman"/>
          <w:i/>
          <w:color w:val="000000" w:themeColor="text1"/>
        </w:rPr>
        <w:t xml:space="preserve"> –</w:t>
      </w:r>
      <w:r w:rsidRPr="001667DB">
        <w:rPr>
          <w:rFonts w:ascii="Times New Roman" w:hAnsi="Times New Roman" w:cs="Times New Roman"/>
          <w:color w:val="000000" w:themeColor="text1"/>
        </w:rPr>
        <w:t xml:space="preserve"> Szerokość elementu krawężnika</w:t>
      </w:r>
    </w:p>
    <w:p w14:paraId="4A607348" w14:textId="77777777" w:rsidR="00CC4443" w:rsidRPr="001667DB" w:rsidRDefault="00CC4443" w:rsidP="00CC4443">
      <w:pPr>
        <w:rPr>
          <w:rFonts w:ascii="Times New Roman" w:hAnsi="Times New Roman" w:cs="Times New Roman"/>
          <w:color w:val="000000" w:themeColor="text1"/>
        </w:rPr>
      </w:pPr>
    </w:p>
    <w:p w14:paraId="71336453"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1.2. Przykład wgłębienia lub wcięcia powierzchni czołowej w dolnej części krawężnika</w:t>
      </w:r>
    </w:p>
    <w:p w14:paraId="5B9CB5D1" w14:textId="77777777" w:rsidR="00CC4443" w:rsidRPr="001667DB" w:rsidRDefault="00CC4443" w:rsidP="00CC4443">
      <w:pPr>
        <w:rPr>
          <w:rFonts w:ascii="Times New Roman" w:hAnsi="Times New Roman" w:cs="Times New Roman"/>
          <w:color w:val="000000" w:themeColor="text1"/>
        </w:rPr>
      </w:pPr>
    </w:p>
    <w:p w14:paraId="25F801E6" w14:textId="77777777" w:rsidR="00CC4443" w:rsidRPr="001667DB" w:rsidRDefault="00AB678D" w:rsidP="00CC4443">
      <w:pPr>
        <w:jc w:val="center"/>
        <w:rPr>
          <w:rFonts w:ascii="Times New Roman" w:hAnsi="Times New Roman" w:cs="Times New Roman"/>
          <w:color w:val="000000" w:themeColor="text1"/>
        </w:rPr>
      </w:pPr>
      <w:r>
        <w:rPr>
          <w:rFonts w:ascii="Times New Roman" w:hAnsi="Times New Roman" w:cs="Times New Roman"/>
          <w:color w:val="000000" w:themeColor="text1"/>
        </w:rPr>
        <w:pict w14:anchorId="0C9BEE59">
          <v:shape id="_x0000_i1037" type="#_x0000_t75" style="width:158.25pt;height:165.75pt">
            <v:imagedata r:id="rId82" o:title="bz1_2"/>
          </v:shape>
        </w:pict>
      </w:r>
    </w:p>
    <w:p w14:paraId="366D8868" w14:textId="77777777" w:rsidR="00CC4443" w:rsidRPr="001667DB" w:rsidRDefault="00CC4443" w:rsidP="00CC4443">
      <w:pPr>
        <w:ind w:left="1134" w:hanging="1134"/>
        <w:rPr>
          <w:rFonts w:ascii="Times New Roman" w:hAnsi="Times New Roman" w:cs="Times New Roman"/>
          <w:color w:val="000000" w:themeColor="text1"/>
        </w:rPr>
      </w:pPr>
      <w:r w:rsidRPr="001667DB">
        <w:rPr>
          <w:rFonts w:ascii="Times New Roman" w:hAnsi="Times New Roman" w:cs="Times New Roman"/>
          <w:color w:val="000000" w:themeColor="text1"/>
        </w:rPr>
        <w:t>Oznaczenia:   H – Wysokość elementu krawężnika, h – wysokość wgłębienia lub wcięcia,       W – szerokość elementu krawężnika, L – długość elementu krawężnika,              l – długość wgłębienia lub wcięcia</w:t>
      </w:r>
    </w:p>
    <w:p w14:paraId="2316CBEF" w14:textId="77777777" w:rsidR="00CC4443" w:rsidRPr="001667DB" w:rsidRDefault="00CC4443" w:rsidP="00CC4443">
      <w:pPr>
        <w:jc w:val="right"/>
        <w:rPr>
          <w:rFonts w:ascii="Times New Roman" w:hAnsi="Times New Roman" w:cs="Times New Roman"/>
          <w:b/>
          <w:color w:val="000000" w:themeColor="text1"/>
        </w:rPr>
      </w:pPr>
    </w:p>
    <w:p w14:paraId="3C9A549C" w14:textId="77777777" w:rsidR="00CC4443" w:rsidRPr="001667DB" w:rsidRDefault="00CC4443" w:rsidP="00CC4443">
      <w:pPr>
        <w:rPr>
          <w:rFonts w:ascii="Times New Roman" w:hAnsi="Times New Roman" w:cs="Times New Roman"/>
          <w:b/>
          <w:color w:val="000000" w:themeColor="text1"/>
        </w:rPr>
      </w:pPr>
    </w:p>
    <w:p w14:paraId="07ACB4C6" w14:textId="77777777" w:rsidR="00CC4443" w:rsidRPr="001667DB" w:rsidRDefault="00CC4443" w:rsidP="00CC4443">
      <w:pPr>
        <w:rPr>
          <w:rFonts w:ascii="Times New Roman" w:hAnsi="Times New Roman" w:cs="Times New Roman"/>
          <w:b/>
          <w:color w:val="000000" w:themeColor="text1"/>
        </w:rPr>
      </w:pPr>
    </w:p>
    <w:p w14:paraId="079FCA14" w14:textId="77777777" w:rsidR="00CC4443" w:rsidRPr="001667DB" w:rsidRDefault="00CC4443" w:rsidP="00CC4443">
      <w:pPr>
        <w:rPr>
          <w:rFonts w:ascii="Times New Roman" w:hAnsi="Times New Roman" w:cs="Times New Roman"/>
          <w:b/>
          <w:color w:val="000000" w:themeColor="text1"/>
        </w:rPr>
      </w:pPr>
    </w:p>
    <w:p w14:paraId="181812F2" w14:textId="77777777" w:rsidR="00CC4443" w:rsidRPr="001667DB" w:rsidRDefault="00CC4443" w:rsidP="00CC4443">
      <w:pPr>
        <w:rPr>
          <w:rFonts w:ascii="Times New Roman" w:hAnsi="Times New Roman" w:cs="Times New Roman"/>
          <w:b/>
          <w:color w:val="000000" w:themeColor="text1"/>
        </w:rPr>
      </w:pPr>
    </w:p>
    <w:p w14:paraId="6E9B91CC" w14:textId="77777777" w:rsidR="00CC4443" w:rsidRPr="001667DB" w:rsidRDefault="00CC4443" w:rsidP="00CC4443">
      <w:pPr>
        <w:jc w:val="right"/>
        <w:rPr>
          <w:rFonts w:ascii="Times New Roman" w:hAnsi="Times New Roman" w:cs="Times New Roman"/>
          <w:b/>
          <w:color w:val="000000" w:themeColor="text1"/>
        </w:rPr>
      </w:pPr>
      <w:r w:rsidRPr="001667DB">
        <w:rPr>
          <w:rFonts w:ascii="Times New Roman" w:hAnsi="Times New Roman" w:cs="Times New Roman"/>
          <w:b/>
          <w:color w:val="000000" w:themeColor="text1"/>
        </w:rPr>
        <w:t>ZAŁĄCZNIK 2</w:t>
      </w:r>
    </w:p>
    <w:p w14:paraId="61352EAD" w14:textId="77777777" w:rsidR="00CC4443" w:rsidRPr="001667DB" w:rsidRDefault="00CC4443" w:rsidP="00CC4443">
      <w:pPr>
        <w:jc w:val="right"/>
        <w:rPr>
          <w:rFonts w:ascii="Times New Roman" w:hAnsi="Times New Roman" w:cs="Times New Roman"/>
          <w:b/>
          <w:color w:val="000000" w:themeColor="text1"/>
        </w:rPr>
      </w:pPr>
    </w:p>
    <w:p w14:paraId="504C8E85"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PRZYKŁADY  KRAWĘŻNIKÓW  ŁUKOWYCH (wg [3])</w:t>
      </w:r>
    </w:p>
    <w:p w14:paraId="24045ED5" w14:textId="77777777" w:rsidR="00CC4443" w:rsidRPr="001667DB" w:rsidRDefault="00CC4443" w:rsidP="00CC4443">
      <w:pPr>
        <w:jc w:val="center"/>
        <w:rPr>
          <w:rFonts w:ascii="Times New Roman" w:hAnsi="Times New Roman" w:cs="Times New Roman"/>
          <w:color w:val="000000" w:themeColor="text1"/>
        </w:rPr>
      </w:pPr>
    </w:p>
    <w:p w14:paraId="56B6D50A"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a) wklęsłego</w:t>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b) wypukłego</w:t>
      </w:r>
    </w:p>
    <w:p w14:paraId="3F17BB4C" w14:textId="77777777" w:rsidR="00CC4443" w:rsidRPr="001667DB" w:rsidRDefault="00CC4443" w:rsidP="00CC4443">
      <w:pPr>
        <w:rPr>
          <w:rFonts w:ascii="Times New Roman" w:hAnsi="Times New Roman" w:cs="Times New Roman"/>
          <w:color w:val="000000" w:themeColor="text1"/>
        </w:rPr>
      </w:pPr>
    </w:p>
    <w:p w14:paraId="0C792436" w14:textId="77777777" w:rsidR="00CC4443" w:rsidRPr="001667DB" w:rsidRDefault="00AB678D" w:rsidP="00CC4443">
      <w:pPr>
        <w:jc w:val="center"/>
        <w:rPr>
          <w:rFonts w:ascii="Times New Roman" w:hAnsi="Times New Roman" w:cs="Times New Roman"/>
          <w:color w:val="000000" w:themeColor="text1"/>
        </w:rPr>
      </w:pPr>
      <w:r>
        <w:rPr>
          <w:rFonts w:ascii="Times New Roman" w:hAnsi="Times New Roman" w:cs="Times New Roman"/>
          <w:color w:val="000000" w:themeColor="text1"/>
        </w:rPr>
        <w:pict w14:anchorId="55138640">
          <v:shape id="_x0000_i1038" type="#_x0000_t75" style="width:5in;height:2in">
            <v:imagedata r:id="rId83" o:title="bz2_1"/>
          </v:shape>
        </w:pict>
      </w:r>
    </w:p>
    <w:p w14:paraId="1E6ED7AD" w14:textId="77777777" w:rsidR="00CC4443" w:rsidRPr="001667DB" w:rsidRDefault="00CC4443" w:rsidP="00CC4443">
      <w:pPr>
        <w:rPr>
          <w:rFonts w:ascii="Times New Roman" w:hAnsi="Times New Roman" w:cs="Times New Roman"/>
          <w:color w:val="000000" w:themeColor="text1"/>
        </w:rPr>
      </w:pPr>
    </w:p>
    <w:p w14:paraId="1D54DA32"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Oznaczenia: 1 – Krawężnik, 2 – Jezdnia, 3 – Długość, 4 – Promień, 5 – Kanał odpływowy</w:t>
      </w:r>
    </w:p>
    <w:p w14:paraId="5B437B8A" w14:textId="77777777" w:rsidR="00CC4443" w:rsidRPr="001667DB" w:rsidRDefault="00CC4443" w:rsidP="00CC4443">
      <w:pPr>
        <w:rPr>
          <w:rFonts w:ascii="Times New Roman" w:hAnsi="Times New Roman" w:cs="Times New Roman"/>
          <w:color w:val="000000" w:themeColor="text1"/>
        </w:rPr>
      </w:pPr>
    </w:p>
    <w:p w14:paraId="46E752FF" w14:textId="77777777" w:rsidR="00CC4443" w:rsidRPr="001667DB" w:rsidRDefault="00CC4443" w:rsidP="00CC4443">
      <w:pPr>
        <w:jc w:val="right"/>
        <w:rPr>
          <w:rFonts w:ascii="Times New Roman" w:hAnsi="Times New Roman" w:cs="Times New Roman"/>
          <w:b/>
          <w:color w:val="000000" w:themeColor="text1"/>
        </w:rPr>
      </w:pPr>
      <w:r w:rsidRPr="001667DB">
        <w:rPr>
          <w:rFonts w:ascii="Times New Roman" w:hAnsi="Times New Roman" w:cs="Times New Roman"/>
          <w:b/>
          <w:color w:val="000000" w:themeColor="text1"/>
        </w:rPr>
        <w:t>ZAŁĄCZNIK 3</w:t>
      </w:r>
    </w:p>
    <w:p w14:paraId="3367CFC3" w14:textId="77777777" w:rsidR="00CC4443" w:rsidRPr="001667DB" w:rsidRDefault="00CC4443" w:rsidP="00CC4443">
      <w:pPr>
        <w:jc w:val="right"/>
        <w:rPr>
          <w:rFonts w:ascii="Times New Roman" w:hAnsi="Times New Roman" w:cs="Times New Roman"/>
          <w:b/>
          <w:color w:val="000000" w:themeColor="text1"/>
        </w:rPr>
      </w:pPr>
    </w:p>
    <w:p w14:paraId="309A3E7D"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PRZYKŁADY  KRAWĘŻNIKÓW  TYPU  ULICZNEGO  I  DROGOWEGO</w:t>
      </w:r>
    </w:p>
    <w:p w14:paraId="285C024D" w14:textId="77777777" w:rsidR="00CC4443" w:rsidRPr="001667DB" w:rsidRDefault="00CC4443" w:rsidP="00CC4443">
      <w:pPr>
        <w:jc w:val="center"/>
        <w:rPr>
          <w:rFonts w:ascii="Times New Roman" w:hAnsi="Times New Roman" w:cs="Times New Roman"/>
          <w:color w:val="000000" w:themeColor="text1"/>
        </w:rPr>
      </w:pPr>
    </w:p>
    <w:tbl>
      <w:tblPr>
        <w:tblW w:w="7659" w:type="dxa"/>
        <w:tblLook w:val="01E0" w:firstRow="1" w:lastRow="1" w:firstColumn="1" w:lastColumn="1" w:noHBand="0" w:noVBand="0"/>
      </w:tblPr>
      <w:tblGrid>
        <w:gridCol w:w="3696"/>
        <w:gridCol w:w="3963"/>
      </w:tblGrid>
      <w:tr w:rsidR="00CC4443" w:rsidRPr="001667DB" w14:paraId="67859D59" w14:textId="77777777" w:rsidTr="00CC4443">
        <w:tc>
          <w:tcPr>
            <w:tcW w:w="3750" w:type="dxa"/>
          </w:tcPr>
          <w:p w14:paraId="6CD102FC"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a) Krawężnik typu ulicznego</w:t>
            </w:r>
          </w:p>
          <w:p w14:paraId="296C7489" w14:textId="77777777" w:rsidR="00CC4443" w:rsidRPr="001667DB" w:rsidRDefault="00CC4443" w:rsidP="00CC4443">
            <w:pPr>
              <w:numPr>
                <w:ilvl w:val="12"/>
                <w:numId w:val="0"/>
              </w:numPr>
              <w:rPr>
                <w:rFonts w:ascii="Times New Roman" w:hAnsi="Times New Roman" w:cs="Times New Roman"/>
                <w:color w:val="000000" w:themeColor="text1"/>
              </w:rPr>
            </w:pPr>
          </w:p>
          <w:p w14:paraId="40BF7054" w14:textId="77777777" w:rsidR="00CC4443" w:rsidRPr="001667DB" w:rsidRDefault="00AB678D" w:rsidP="00CC4443">
            <w:pPr>
              <w:numPr>
                <w:ilvl w:val="12"/>
                <w:numId w:val="0"/>
              </w:numPr>
              <w:rPr>
                <w:rFonts w:ascii="Times New Roman" w:hAnsi="Times New Roman" w:cs="Times New Roman"/>
                <w:color w:val="000000" w:themeColor="text1"/>
              </w:rPr>
            </w:pPr>
            <w:r>
              <w:rPr>
                <w:rFonts w:ascii="Times New Roman" w:hAnsi="Times New Roman" w:cs="Times New Roman"/>
                <w:color w:val="000000" w:themeColor="text1"/>
              </w:rPr>
              <w:pict w14:anchorId="69122EBF">
                <v:shape id="_x0000_i1039" type="#_x0000_t75" style="width:172.5pt;height:93.75pt">
                  <v:imagedata r:id="rId84" o:title=""/>
                </v:shape>
              </w:pict>
            </w:r>
          </w:p>
          <w:p w14:paraId="0B452813" w14:textId="77777777" w:rsidR="00CC4443" w:rsidRPr="001667DB" w:rsidRDefault="00CC4443" w:rsidP="00CC4443">
            <w:pPr>
              <w:numPr>
                <w:ilvl w:val="12"/>
                <w:numId w:val="0"/>
              </w:numPr>
              <w:rPr>
                <w:rFonts w:ascii="Times New Roman" w:hAnsi="Times New Roman" w:cs="Times New Roman"/>
                <w:color w:val="000000" w:themeColor="text1"/>
              </w:rPr>
            </w:pPr>
          </w:p>
          <w:p w14:paraId="771F2768" w14:textId="77777777" w:rsidR="00CC4443" w:rsidRPr="001667DB" w:rsidRDefault="00CC4443" w:rsidP="00CC4443">
            <w:pPr>
              <w:rPr>
                <w:rFonts w:ascii="Times New Roman" w:hAnsi="Times New Roman" w:cs="Times New Roman"/>
                <w:color w:val="000000" w:themeColor="text1"/>
              </w:rPr>
            </w:pPr>
          </w:p>
        </w:tc>
        <w:tc>
          <w:tcPr>
            <w:tcW w:w="3909" w:type="dxa"/>
          </w:tcPr>
          <w:p w14:paraId="0137BE11" w14:textId="77777777" w:rsidR="00CC4443" w:rsidRPr="001667DB" w:rsidRDefault="00CC4443" w:rsidP="00CC4443">
            <w:pPr>
              <w:rPr>
                <w:rFonts w:ascii="Times New Roman" w:hAnsi="Times New Roman" w:cs="Times New Roman"/>
                <w:color w:val="000000" w:themeColor="text1"/>
              </w:rPr>
            </w:pPr>
            <w:r w:rsidRPr="001667DB">
              <w:rPr>
                <w:rFonts w:ascii="Times New Roman" w:hAnsi="Times New Roman" w:cs="Times New Roman"/>
                <w:color w:val="000000" w:themeColor="text1"/>
              </w:rPr>
              <w:t>b) Krawężniki typu drogowego</w:t>
            </w:r>
          </w:p>
          <w:p w14:paraId="52833A43" w14:textId="77777777" w:rsidR="00CC4443" w:rsidRPr="001667DB" w:rsidRDefault="00CC4443" w:rsidP="00CC4443">
            <w:pPr>
              <w:numPr>
                <w:ilvl w:val="12"/>
                <w:numId w:val="0"/>
              </w:numPr>
              <w:rPr>
                <w:rFonts w:ascii="Times New Roman" w:hAnsi="Times New Roman" w:cs="Times New Roman"/>
                <w:color w:val="000000" w:themeColor="text1"/>
              </w:rPr>
            </w:pPr>
          </w:p>
          <w:p w14:paraId="0F5EFD00" w14:textId="77777777" w:rsidR="00CC4443" w:rsidRPr="001667DB" w:rsidRDefault="00AB678D" w:rsidP="00CC4443">
            <w:pPr>
              <w:numPr>
                <w:ilvl w:val="12"/>
                <w:numId w:val="0"/>
              </w:numPr>
              <w:rPr>
                <w:rFonts w:ascii="Times New Roman" w:hAnsi="Times New Roman" w:cs="Times New Roman"/>
                <w:color w:val="000000" w:themeColor="text1"/>
              </w:rPr>
            </w:pPr>
            <w:r>
              <w:rPr>
                <w:rFonts w:ascii="Times New Roman" w:hAnsi="Times New Roman" w:cs="Times New Roman"/>
                <w:color w:val="000000" w:themeColor="text1"/>
              </w:rPr>
              <w:pict w14:anchorId="79984BFF">
                <v:shape id="_x0000_i1040" type="#_x0000_t75" style="width:187.5pt;height:101.25pt">
                  <v:imagedata r:id="rId85" o:title=""/>
                </v:shape>
              </w:pict>
            </w:r>
          </w:p>
          <w:p w14:paraId="4A1CB414" w14:textId="77777777" w:rsidR="00CC4443" w:rsidRPr="001667DB" w:rsidRDefault="00CC4443" w:rsidP="00CC4443">
            <w:pPr>
              <w:numPr>
                <w:ilvl w:val="12"/>
                <w:numId w:val="0"/>
              </w:numPr>
              <w:rPr>
                <w:rFonts w:ascii="Times New Roman" w:hAnsi="Times New Roman" w:cs="Times New Roman"/>
                <w:color w:val="000000" w:themeColor="text1"/>
              </w:rPr>
            </w:pPr>
            <w:r w:rsidRPr="001667DB">
              <w:rPr>
                <w:rFonts w:ascii="Times New Roman" w:hAnsi="Times New Roman" w:cs="Times New Roman"/>
                <w:color w:val="000000" w:themeColor="text1"/>
              </w:rPr>
              <w:t>krawężnik o przekroju prostokątnym</w:t>
            </w:r>
          </w:p>
          <w:p w14:paraId="4A353D41" w14:textId="77777777" w:rsidR="00CC4443" w:rsidRPr="001667DB" w:rsidRDefault="00CC4443" w:rsidP="00CC4443">
            <w:pPr>
              <w:numPr>
                <w:ilvl w:val="12"/>
                <w:numId w:val="0"/>
              </w:numPr>
              <w:rPr>
                <w:rFonts w:ascii="Times New Roman" w:hAnsi="Times New Roman" w:cs="Times New Roman"/>
                <w:color w:val="000000" w:themeColor="text1"/>
              </w:rPr>
            </w:pPr>
          </w:p>
          <w:p w14:paraId="777BC638" w14:textId="77777777" w:rsidR="00CC4443" w:rsidRPr="001667DB" w:rsidRDefault="00AB678D" w:rsidP="00CC4443">
            <w:pPr>
              <w:numPr>
                <w:ilvl w:val="12"/>
                <w:numId w:val="0"/>
              </w:numPr>
              <w:rPr>
                <w:rFonts w:ascii="Times New Roman" w:hAnsi="Times New Roman" w:cs="Times New Roman"/>
                <w:color w:val="000000" w:themeColor="text1"/>
              </w:rPr>
            </w:pPr>
            <w:r>
              <w:rPr>
                <w:rFonts w:ascii="Times New Roman" w:hAnsi="Times New Roman" w:cs="Times New Roman"/>
                <w:color w:val="000000" w:themeColor="text1"/>
              </w:rPr>
              <w:lastRenderedPageBreak/>
              <w:pict w14:anchorId="62A86414">
                <v:shape id="_x0000_i1041" type="#_x0000_t75" style="width:180pt;height:86.25pt">
                  <v:imagedata r:id="rId86" o:title=""/>
                </v:shape>
              </w:pict>
            </w:r>
          </w:p>
          <w:p w14:paraId="627049DA" w14:textId="77777777" w:rsidR="00CC4443" w:rsidRPr="001667DB" w:rsidRDefault="00CC4443" w:rsidP="00CC4443">
            <w:pPr>
              <w:numPr>
                <w:ilvl w:val="12"/>
                <w:numId w:val="0"/>
              </w:numPr>
              <w:rPr>
                <w:rFonts w:ascii="Times New Roman" w:hAnsi="Times New Roman" w:cs="Times New Roman"/>
                <w:color w:val="000000" w:themeColor="text1"/>
              </w:rPr>
            </w:pPr>
            <w:r w:rsidRPr="001667DB">
              <w:rPr>
                <w:rFonts w:ascii="Times New Roman" w:hAnsi="Times New Roman" w:cs="Times New Roman"/>
                <w:color w:val="000000" w:themeColor="text1"/>
              </w:rPr>
              <w:t>krawężnik wyspowy</w:t>
            </w:r>
          </w:p>
          <w:p w14:paraId="08CE259D" w14:textId="77777777" w:rsidR="00CC4443" w:rsidRPr="001667DB" w:rsidRDefault="00CC4443" w:rsidP="00CC4443">
            <w:pPr>
              <w:rPr>
                <w:rFonts w:ascii="Times New Roman" w:hAnsi="Times New Roman" w:cs="Times New Roman"/>
                <w:color w:val="000000" w:themeColor="text1"/>
              </w:rPr>
            </w:pPr>
          </w:p>
        </w:tc>
      </w:tr>
    </w:tbl>
    <w:p w14:paraId="0BF24AB5" w14:textId="77777777" w:rsidR="00CC4443" w:rsidRPr="001667DB" w:rsidRDefault="00CC4443" w:rsidP="00CC4443">
      <w:pPr>
        <w:spacing w:after="120"/>
        <w:rPr>
          <w:rFonts w:ascii="Times New Roman" w:hAnsi="Times New Roman" w:cs="Times New Roman"/>
          <w:color w:val="000000" w:themeColor="text1"/>
        </w:rPr>
      </w:pPr>
    </w:p>
    <w:p w14:paraId="6928C064" w14:textId="77777777" w:rsidR="00CC4443" w:rsidRPr="001667DB" w:rsidRDefault="00CC4443" w:rsidP="00CC4443">
      <w:pPr>
        <w:spacing w:after="120"/>
        <w:rPr>
          <w:rFonts w:ascii="Times New Roman" w:hAnsi="Times New Roman" w:cs="Times New Roman"/>
          <w:color w:val="000000" w:themeColor="text1"/>
        </w:rPr>
      </w:pPr>
      <w:r w:rsidRPr="001667DB">
        <w:rPr>
          <w:rFonts w:ascii="Times New Roman" w:hAnsi="Times New Roman" w:cs="Times New Roman"/>
          <w:color w:val="000000" w:themeColor="text1"/>
        </w:rPr>
        <w:t>Przykładowe wymiary krawężników</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709"/>
        <w:gridCol w:w="850"/>
        <w:gridCol w:w="851"/>
        <w:gridCol w:w="1134"/>
        <w:gridCol w:w="1134"/>
        <w:gridCol w:w="1134"/>
      </w:tblGrid>
      <w:tr w:rsidR="00CC4443" w:rsidRPr="001667DB" w14:paraId="409A8BF7" w14:textId="77777777" w:rsidTr="00CC4443">
        <w:tc>
          <w:tcPr>
            <w:tcW w:w="1276" w:type="dxa"/>
            <w:tcBorders>
              <w:bottom w:val="nil"/>
            </w:tcBorders>
          </w:tcPr>
          <w:p w14:paraId="5B69B6D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Typ </w:t>
            </w:r>
          </w:p>
        </w:tc>
        <w:tc>
          <w:tcPr>
            <w:tcW w:w="5812" w:type="dxa"/>
            <w:gridSpan w:val="6"/>
          </w:tcPr>
          <w:p w14:paraId="019808E9"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Wymiary krawężników, cm</w:t>
            </w:r>
          </w:p>
        </w:tc>
      </w:tr>
      <w:tr w:rsidR="00CC4443" w:rsidRPr="001667DB" w14:paraId="4DDF21C8" w14:textId="77777777" w:rsidTr="00CC4443">
        <w:tc>
          <w:tcPr>
            <w:tcW w:w="1276" w:type="dxa"/>
            <w:tcBorders>
              <w:top w:val="nil"/>
              <w:bottom w:val="double" w:sz="4" w:space="0" w:color="auto"/>
            </w:tcBorders>
          </w:tcPr>
          <w:p w14:paraId="03F85ADA"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krawężnika</w:t>
            </w:r>
          </w:p>
        </w:tc>
        <w:tc>
          <w:tcPr>
            <w:tcW w:w="709" w:type="dxa"/>
            <w:tcBorders>
              <w:bottom w:val="double" w:sz="4" w:space="0" w:color="auto"/>
            </w:tcBorders>
          </w:tcPr>
          <w:p w14:paraId="69C20D2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l</w:t>
            </w:r>
          </w:p>
        </w:tc>
        <w:tc>
          <w:tcPr>
            <w:tcW w:w="850" w:type="dxa"/>
            <w:tcBorders>
              <w:bottom w:val="double" w:sz="4" w:space="0" w:color="auto"/>
            </w:tcBorders>
          </w:tcPr>
          <w:p w14:paraId="547F4E3C"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p>
        </w:tc>
        <w:tc>
          <w:tcPr>
            <w:tcW w:w="851" w:type="dxa"/>
            <w:tcBorders>
              <w:bottom w:val="double" w:sz="4" w:space="0" w:color="auto"/>
            </w:tcBorders>
          </w:tcPr>
          <w:p w14:paraId="32E92F10"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tc>
        <w:tc>
          <w:tcPr>
            <w:tcW w:w="1134" w:type="dxa"/>
            <w:tcBorders>
              <w:bottom w:val="double" w:sz="4" w:space="0" w:color="auto"/>
            </w:tcBorders>
          </w:tcPr>
          <w:p w14:paraId="36BF356E"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1134" w:type="dxa"/>
            <w:tcBorders>
              <w:bottom w:val="double" w:sz="4" w:space="0" w:color="auto"/>
            </w:tcBorders>
          </w:tcPr>
          <w:p w14:paraId="607194C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d</w:t>
            </w:r>
          </w:p>
        </w:tc>
        <w:tc>
          <w:tcPr>
            <w:tcW w:w="1134" w:type="dxa"/>
            <w:tcBorders>
              <w:bottom w:val="double" w:sz="4" w:space="0" w:color="auto"/>
            </w:tcBorders>
          </w:tcPr>
          <w:p w14:paraId="00656BA4"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r</w:t>
            </w:r>
          </w:p>
        </w:tc>
      </w:tr>
      <w:tr w:rsidR="00CC4443" w:rsidRPr="001667DB" w14:paraId="1596FDE1" w14:textId="77777777" w:rsidTr="00CC4443">
        <w:tc>
          <w:tcPr>
            <w:tcW w:w="1276" w:type="dxa"/>
            <w:tcBorders>
              <w:top w:val="double" w:sz="4" w:space="0" w:color="auto"/>
            </w:tcBorders>
          </w:tcPr>
          <w:p w14:paraId="041FE023"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Uliczny</w:t>
            </w:r>
          </w:p>
        </w:tc>
        <w:tc>
          <w:tcPr>
            <w:tcW w:w="709" w:type="dxa"/>
            <w:tcBorders>
              <w:top w:val="double" w:sz="4" w:space="0" w:color="auto"/>
            </w:tcBorders>
          </w:tcPr>
          <w:p w14:paraId="55E63E7C" w14:textId="77777777" w:rsidR="00CC4443" w:rsidRPr="001667DB" w:rsidRDefault="00CC4443" w:rsidP="00CC4443">
            <w:p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850" w:type="dxa"/>
            <w:tcBorders>
              <w:top w:val="double" w:sz="4" w:space="0" w:color="auto"/>
            </w:tcBorders>
          </w:tcPr>
          <w:p w14:paraId="7CF7F57B"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p w14:paraId="4F91791A"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851" w:type="dxa"/>
            <w:tcBorders>
              <w:top w:val="double" w:sz="4" w:space="0" w:color="auto"/>
            </w:tcBorders>
          </w:tcPr>
          <w:p w14:paraId="1ADFB962"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30</w:t>
            </w:r>
          </w:p>
        </w:tc>
        <w:tc>
          <w:tcPr>
            <w:tcW w:w="1134" w:type="dxa"/>
            <w:tcBorders>
              <w:top w:val="double" w:sz="4" w:space="0" w:color="auto"/>
            </w:tcBorders>
          </w:tcPr>
          <w:p w14:paraId="13D79D6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min. 3</w:t>
            </w:r>
          </w:p>
          <w:p w14:paraId="51BE1FC1"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max. 7</w:t>
            </w:r>
          </w:p>
        </w:tc>
        <w:tc>
          <w:tcPr>
            <w:tcW w:w="1134" w:type="dxa"/>
            <w:tcBorders>
              <w:top w:val="double" w:sz="4" w:space="0" w:color="auto"/>
            </w:tcBorders>
          </w:tcPr>
          <w:p w14:paraId="05D516D1"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min. 12</w:t>
            </w:r>
          </w:p>
          <w:p w14:paraId="5AD91263"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max. 15</w:t>
            </w:r>
          </w:p>
        </w:tc>
        <w:tc>
          <w:tcPr>
            <w:tcW w:w="1134" w:type="dxa"/>
            <w:tcBorders>
              <w:top w:val="double" w:sz="4" w:space="0" w:color="auto"/>
            </w:tcBorders>
          </w:tcPr>
          <w:p w14:paraId="54A33E39" w14:textId="77777777" w:rsidR="00CC4443" w:rsidRPr="001667DB" w:rsidRDefault="00CC4443" w:rsidP="00CC4443">
            <w:pPr>
              <w:spacing w:before="120"/>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r w:rsidR="00CC4443" w:rsidRPr="001667DB" w14:paraId="2AFEA0BE" w14:textId="77777777" w:rsidTr="00CC4443">
        <w:tc>
          <w:tcPr>
            <w:tcW w:w="1276" w:type="dxa"/>
          </w:tcPr>
          <w:p w14:paraId="5C966D2A" w14:textId="77777777" w:rsidR="00CC4443" w:rsidRPr="001667DB" w:rsidRDefault="00CC4443" w:rsidP="00CC4443">
            <w:pPr>
              <w:jc w:val="center"/>
              <w:rPr>
                <w:rFonts w:ascii="Times New Roman" w:hAnsi="Times New Roman" w:cs="Times New Roman"/>
                <w:color w:val="000000" w:themeColor="text1"/>
              </w:rPr>
            </w:pPr>
          </w:p>
          <w:p w14:paraId="11E6C897"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Drogowy</w:t>
            </w:r>
          </w:p>
        </w:tc>
        <w:tc>
          <w:tcPr>
            <w:tcW w:w="709" w:type="dxa"/>
          </w:tcPr>
          <w:p w14:paraId="5DAA04A6" w14:textId="77777777" w:rsidR="00CC4443" w:rsidRPr="001667DB" w:rsidRDefault="00CC4443" w:rsidP="00CC4443">
            <w:pPr>
              <w:jc w:val="center"/>
              <w:rPr>
                <w:rFonts w:ascii="Times New Roman" w:hAnsi="Times New Roman" w:cs="Times New Roman"/>
                <w:color w:val="000000" w:themeColor="text1"/>
              </w:rPr>
            </w:pPr>
          </w:p>
          <w:p w14:paraId="5E812C32"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850" w:type="dxa"/>
          </w:tcPr>
          <w:p w14:paraId="1C89567A"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p w14:paraId="5BC757C4"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p w14:paraId="097EE50E"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851" w:type="dxa"/>
          </w:tcPr>
          <w:p w14:paraId="6425FE4F"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p w14:paraId="209A0DB1"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p w14:paraId="510C15D8"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1134" w:type="dxa"/>
          </w:tcPr>
          <w:p w14:paraId="57AED170" w14:textId="77777777" w:rsidR="00CC4443" w:rsidRPr="001667DB" w:rsidRDefault="00CC4443" w:rsidP="00CC4443">
            <w:pPr>
              <w:jc w:val="center"/>
              <w:rPr>
                <w:rFonts w:ascii="Times New Roman" w:hAnsi="Times New Roman" w:cs="Times New Roman"/>
                <w:color w:val="000000" w:themeColor="text1"/>
              </w:rPr>
            </w:pPr>
          </w:p>
          <w:p w14:paraId="68A5AAF3"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134" w:type="dxa"/>
          </w:tcPr>
          <w:p w14:paraId="369C1062" w14:textId="77777777" w:rsidR="00CC4443" w:rsidRPr="001667DB" w:rsidRDefault="00CC4443" w:rsidP="00CC4443">
            <w:pPr>
              <w:jc w:val="center"/>
              <w:rPr>
                <w:rFonts w:ascii="Times New Roman" w:hAnsi="Times New Roman" w:cs="Times New Roman"/>
                <w:color w:val="000000" w:themeColor="text1"/>
              </w:rPr>
            </w:pPr>
          </w:p>
          <w:p w14:paraId="1C2D4CDB"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1134" w:type="dxa"/>
          </w:tcPr>
          <w:p w14:paraId="10EA2B74" w14:textId="77777777" w:rsidR="00CC4443" w:rsidRPr="001667DB" w:rsidRDefault="00CC4443" w:rsidP="00CC4443">
            <w:pPr>
              <w:jc w:val="center"/>
              <w:rPr>
                <w:rFonts w:ascii="Times New Roman" w:hAnsi="Times New Roman" w:cs="Times New Roman"/>
                <w:color w:val="000000" w:themeColor="text1"/>
              </w:rPr>
            </w:pPr>
          </w:p>
          <w:p w14:paraId="0291B5F8"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r w:rsidR="00CC4443" w:rsidRPr="001667DB" w14:paraId="14007693" w14:textId="77777777" w:rsidTr="00CC4443">
        <w:tc>
          <w:tcPr>
            <w:tcW w:w="1276" w:type="dxa"/>
          </w:tcPr>
          <w:p w14:paraId="056974F7"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Drogowy</w:t>
            </w:r>
          </w:p>
        </w:tc>
        <w:tc>
          <w:tcPr>
            <w:tcW w:w="709" w:type="dxa"/>
          </w:tcPr>
          <w:p w14:paraId="39B8ED57"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100</w:t>
            </w:r>
          </w:p>
        </w:tc>
        <w:tc>
          <w:tcPr>
            <w:tcW w:w="850" w:type="dxa"/>
          </w:tcPr>
          <w:p w14:paraId="0675F2A2"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23</w:t>
            </w:r>
          </w:p>
          <w:p w14:paraId="75E9E406"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851" w:type="dxa"/>
          </w:tcPr>
          <w:p w14:paraId="28DDBCB5"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23</w:t>
            </w:r>
          </w:p>
          <w:p w14:paraId="5D9D2F6A"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1134" w:type="dxa"/>
          </w:tcPr>
          <w:p w14:paraId="7230D02B"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18</w:t>
            </w:r>
          </w:p>
          <w:p w14:paraId="55AEF995"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1134" w:type="dxa"/>
          </w:tcPr>
          <w:p w14:paraId="34A99BA0"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7,5</w:t>
            </w:r>
          </w:p>
          <w:p w14:paraId="69C42270"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134" w:type="dxa"/>
          </w:tcPr>
          <w:p w14:paraId="246A104F" w14:textId="77777777" w:rsidR="00CC4443" w:rsidRPr="001667DB" w:rsidRDefault="00CC4443" w:rsidP="00CC4443">
            <w:pPr>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bl>
    <w:p w14:paraId="70D1B101" w14:textId="77777777" w:rsidR="00CC4443" w:rsidRPr="001667DB" w:rsidRDefault="00CC4443" w:rsidP="00CC4443">
      <w:pPr>
        <w:jc w:val="right"/>
        <w:rPr>
          <w:rFonts w:ascii="Times New Roman" w:hAnsi="Times New Roman" w:cs="Times New Roman"/>
          <w:b/>
          <w:color w:val="000000" w:themeColor="text1"/>
        </w:rPr>
      </w:pPr>
    </w:p>
    <w:p w14:paraId="378057C5" w14:textId="77777777" w:rsidR="00CC4443" w:rsidRPr="001667DB" w:rsidRDefault="00CC4443" w:rsidP="00CC4443">
      <w:pPr>
        <w:jc w:val="right"/>
        <w:rPr>
          <w:rFonts w:ascii="Times New Roman" w:hAnsi="Times New Roman" w:cs="Times New Roman"/>
          <w:b/>
          <w:color w:val="000000" w:themeColor="text1"/>
        </w:rPr>
      </w:pPr>
    </w:p>
    <w:p w14:paraId="51B3E354" w14:textId="77777777" w:rsidR="00CC4443" w:rsidRPr="001667DB" w:rsidRDefault="00CC4443" w:rsidP="00CC4443">
      <w:pPr>
        <w:jc w:val="right"/>
        <w:rPr>
          <w:rFonts w:ascii="Times New Roman" w:hAnsi="Times New Roman" w:cs="Times New Roman"/>
          <w:b/>
          <w:color w:val="000000" w:themeColor="text1"/>
        </w:rPr>
      </w:pPr>
      <w:r w:rsidRPr="001667DB">
        <w:rPr>
          <w:rFonts w:ascii="Times New Roman" w:hAnsi="Times New Roman" w:cs="Times New Roman"/>
          <w:b/>
          <w:color w:val="000000" w:themeColor="text1"/>
        </w:rPr>
        <w:t>ZAŁĄCZNIK 4</w:t>
      </w:r>
    </w:p>
    <w:p w14:paraId="7D24E148" w14:textId="77777777" w:rsidR="00CC4443" w:rsidRPr="001667DB" w:rsidRDefault="00CC4443" w:rsidP="00CC4443">
      <w:pPr>
        <w:jc w:val="right"/>
        <w:rPr>
          <w:rFonts w:ascii="Times New Roman" w:hAnsi="Times New Roman" w:cs="Times New Roman"/>
          <w:b/>
          <w:color w:val="000000" w:themeColor="text1"/>
        </w:rPr>
      </w:pPr>
    </w:p>
    <w:p w14:paraId="0AE38A36" w14:textId="77777777" w:rsidR="00CC4443" w:rsidRPr="001667DB" w:rsidRDefault="00CC4443" w:rsidP="00CC4443">
      <w:pPr>
        <w:keepNext/>
        <w:spacing w:after="120"/>
        <w:jc w:val="center"/>
        <w:rPr>
          <w:rFonts w:ascii="Times New Roman" w:hAnsi="Times New Roman" w:cs="Times New Roman"/>
          <w:color w:val="000000" w:themeColor="text1"/>
          <w:spacing w:val="-8"/>
        </w:rPr>
      </w:pPr>
      <w:r w:rsidRPr="001667DB">
        <w:rPr>
          <w:rFonts w:ascii="Times New Roman" w:hAnsi="Times New Roman" w:cs="Times New Roman"/>
          <w:color w:val="000000" w:themeColor="text1"/>
          <w:spacing w:val="-8"/>
        </w:rPr>
        <w:lastRenderedPageBreak/>
        <w:t>PRZYKŁADY  USTAWIENIA  KRAWĘŻNIKÓW  BETONOWYCH  NA  ŁAWACH (wg [9])</w:t>
      </w:r>
    </w:p>
    <w:tbl>
      <w:tblPr>
        <w:tblW w:w="0" w:type="auto"/>
        <w:tblLook w:val="01E0" w:firstRow="1" w:lastRow="1" w:firstColumn="1" w:lastColumn="1" w:noHBand="0" w:noVBand="0"/>
      </w:tblPr>
      <w:tblGrid>
        <w:gridCol w:w="4361"/>
        <w:gridCol w:w="4394"/>
      </w:tblGrid>
      <w:tr w:rsidR="00CC4443" w:rsidRPr="001667DB" w14:paraId="442A5019" w14:textId="77777777" w:rsidTr="00CC4443">
        <w:trPr>
          <w:trHeight w:val="4776"/>
        </w:trPr>
        <w:tc>
          <w:tcPr>
            <w:tcW w:w="4361" w:type="dxa"/>
          </w:tcPr>
          <w:p w14:paraId="5639E141" w14:textId="77777777" w:rsidR="00CC4443" w:rsidRPr="001667DB" w:rsidRDefault="00CC4443" w:rsidP="00CC4443">
            <w:pPr>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a) Krawężnik typu ulicznego 20 × 30 cm na ławie betonowej z oporem</w:t>
            </w:r>
          </w:p>
          <w:p w14:paraId="058357D4" w14:textId="77777777" w:rsidR="00CC4443" w:rsidRPr="001667DB" w:rsidRDefault="00AB678D" w:rsidP="00CC4443">
            <w:pPr>
              <w:jc w:val="center"/>
              <w:rPr>
                <w:rFonts w:ascii="Times New Roman" w:hAnsi="Times New Roman" w:cs="Times New Roman"/>
                <w:color w:val="000000" w:themeColor="text1"/>
              </w:rPr>
            </w:pPr>
            <w:r>
              <w:rPr>
                <w:rFonts w:ascii="Times New Roman" w:hAnsi="Times New Roman" w:cs="Times New Roman"/>
                <w:color w:val="000000" w:themeColor="text1"/>
              </w:rPr>
              <w:pict w14:anchorId="71144993">
                <v:shape id="_x0000_i1042" type="#_x0000_t75" style="width:157.5pt;height:180.75pt">
                  <v:imagedata r:id="rId87" o:title="bz4_1"/>
                </v:shape>
              </w:pict>
            </w:r>
          </w:p>
          <w:p w14:paraId="1ACD11FF" w14:textId="77777777" w:rsidR="00CC4443" w:rsidRPr="001667DB" w:rsidRDefault="00CC4443" w:rsidP="00904E6C">
            <w:pPr>
              <w:numPr>
                <w:ilvl w:val="0"/>
                <w:numId w:val="266"/>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ciężki 20×30×100 cm</w:t>
            </w:r>
          </w:p>
          <w:p w14:paraId="48381D08" w14:textId="77777777" w:rsidR="00CC4443" w:rsidRPr="001667DB" w:rsidRDefault="00CC4443" w:rsidP="00904E6C">
            <w:pPr>
              <w:numPr>
                <w:ilvl w:val="0"/>
                <w:numId w:val="266"/>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cem.-piaskowa 1:4</w:t>
            </w:r>
          </w:p>
          <w:p w14:paraId="2BBE9AFE" w14:textId="77777777" w:rsidR="00CC4443" w:rsidRPr="001667DB" w:rsidRDefault="00CC4443" w:rsidP="00904E6C">
            <w:pPr>
              <w:numPr>
                <w:ilvl w:val="0"/>
                <w:numId w:val="266"/>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z betonu C12/15 lub C8/10</w:t>
            </w:r>
          </w:p>
          <w:p w14:paraId="4A4CC901" w14:textId="77777777" w:rsidR="00CC4443" w:rsidRPr="001667DB" w:rsidRDefault="00CC4443" w:rsidP="00CC4443">
            <w:pPr>
              <w:rPr>
                <w:rFonts w:ascii="Times New Roman" w:hAnsi="Times New Roman" w:cs="Times New Roman"/>
                <w:color w:val="000000" w:themeColor="text1"/>
              </w:rPr>
            </w:pPr>
          </w:p>
        </w:tc>
        <w:tc>
          <w:tcPr>
            <w:tcW w:w="4394" w:type="dxa"/>
          </w:tcPr>
          <w:p w14:paraId="7EC8172E" w14:textId="77777777" w:rsidR="00CC4443" w:rsidRPr="001667DB" w:rsidRDefault="00CC4443" w:rsidP="00CC4443">
            <w:pPr>
              <w:ind w:left="356" w:hanging="283"/>
              <w:rPr>
                <w:rFonts w:ascii="Times New Roman" w:hAnsi="Times New Roman" w:cs="Times New Roman"/>
                <w:color w:val="000000" w:themeColor="text1"/>
              </w:rPr>
            </w:pPr>
            <w:r w:rsidRPr="001667DB">
              <w:rPr>
                <w:rFonts w:ascii="Times New Roman" w:hAnsi="Times New Roman" w:cs="Times New Roman"/>
                <w:color w:val="000000" w:themeColor="text1"/>
              </w:rPr>
              <w:t>b) Krawężnik typu ulicznego 15 × 30 cm na ławie betonowej zwykłej</w:t>
            </w:r>
          </w:p>
          <w:p w14:paraId="5D2E4E86" w14:textId="77777777" w:rsidR="00CC4443" w:rsidRPr="001667DB" w:rsidRDefault="00AB678D" w:rsidP="00CC4443">
            <w:pPr>
              <w:jc w:val="center"/>
              <w:rPr>
                <w:rFonts w:ascii="Times New Roman" w:hAnsi="Times New Roman" w:cs="Times New Roman"/>
                <w:color w:val="000000" w:themeColor="text1"/>
              </w:rPr>
            </w:pPr>
            <w:r>
              <w:rPr>
                <w:rFonts w:ascii="Times New Roman" w:hAnsi="Times New Roman" w:cs="Times New Roman"/>
                <w:color w:val="000000" w:themeColor="text1"/>
              </w:rPr>
              <w:pict w14:anchorId="32578556">
                <v:shape id="_x0000_i1043" type="#_x0000_t75" style="width:2in;height:180pt">
                  <v:imagedata r:id="rId88" o:title="bz4_2"/>
                </v:shape>
              </w:pict>
            </w:r>
          </w:p>
          <w:p w14:paraId="54874C9C" w14:textId="77777777" w:rsidR="00CC4443" w:rsidRPr="001667DB" w:rsidRDefault="00CC4443" w:rsidP="00904E6C">
            <w:pPr>
              <w:numPr>
                <w:ilvl w:val="0"/>
                <w:numId w:val="267"/>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uliczny 15×30×100 cm</w:t>
            </w:r>
          </w:p>
          <w:p w14:paraId="6592E605" w14:textId="77777777" w:rsidR="00CC4443" w:rsidRPr="001667DB" w:rsidRDefault="00CC4443" w:rsidP="00904E6C">
            <w:pPr>
              <w:numPr>
                <w:ilvl w:val="0"/>
                <w:numId w:val="267"/>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cem.-piaskowa 1:4</w:t>
            </w:r>
          </w:p>
          <w:p w14:paraId="4F8F367E" w14:textId="77777777" w:rsidR="00CC4443" w:rsidRPr="001667DB" w:rsidRDefault="00CC4443" w:rsidP="00904E6C">
            <w:pPr>
              <w:numPr>
                <w:ilvl w:val="0"/>
                <w:numId w:val="267"/>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z betonu C12/15 lub C8/10</w:t>
            </w:r>
          </w:p>
        </w:tc>
      </w:tr>
    </w:tbl>
    <w:p w14:paraId="264F9E22" w14:textId="77777777" w:rsidR="00CC4443" w:rsidRPr="001667DB" w:rsidRDefault="00CC4443" w:rsidP="00CC4443">
      <w:pPr>
        <w:rPr>
          <w:rFonts w:ascii="Times New Roman" w:hAnsi="Times New Roman" w:cs="Times New Roman"/>
          <w:color w:val="000000" w:themeColor="text1"/>
        </w:rPr>
      </w:pPr>
    </w:p>
    <w:p w14:paraId="57724A07" w14:textId="77777777" w:rsidR="00CC4443" w:rsidRPr="001667DB" w:rsidRDefault="00CC4443" w:rsidP="00CC4443">
      <w:pPr>
        <w:rPr>
          <w:rFonts w:ascii="Times New Roman" w:hAnsi="Times New Roman" w:cs="Times New Roman"/>
          <w:color w:val="000000" w:themeColor="text1"/>
        </w:rPr>
      </w:pPr>
    </w:p>
    <w:p w14:paraId="568ED9EA" w14:textId="77777777" w:rsidR="00CC4443" w:rsidRPr="001667DB" w:rsidRDefault="00CC4443" w:rsidP="00CC4443">
      <w:pPr>
        <w:rPr>
          <w:rFonts w:ascii="Times New Roman" w:hAnsi="Times New Roman" w:cs="Times New Roman"/>
          <w:color w:val="000000" w:themeColor="text1"/>
        </w:rPr>
      </w:pPr>
    </w:p>
    <w:tbl>
      <w:tblPr>
        <w:tblW w:w="8897" w:type="dxa"/>
        <w:tblLook w:val="01E0" w:firstRow="1" w:lastRow="1" w:firstColumn="1" w:lastColumn="1" w:noHBand="0" w:noVBand="0"/>
      </w:tblPr>
      <w:tblGrid>
        <w:gridCol w:w="4503"/>
        <w:gridCol w:w="4394"/>
      </w:tblGrid>
      <w:tr w:rsidR="00CC4443" w:rsidRPr="001667DB" w14:paraId="42162311" w14:textId="77777777" w:rsidTr="00CC4443">
        <w:tc>
          <w:tcPr>
            <w:tcW w:w="4503" w:type="dxa"/>
          </w:tcPr>
          <w:p w14:paraId="414ACB03" w14:textId="77777777" w:rsidR="00CC4443" w:rsidRPr="001667DB" w:rsidRDefault="00CC4443" w:rsidP="00CC4443">
            <w:pPr>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c)  Krawężnik typu ulicznego 15 × 30 cm na ławie żwirowej</w:t>
            </w:r>
          </w:p>
          <w:p w14:paraId="6D5B063B" w14:textId="77777777" w:rsidR="00CC4443" w:rsidRPr="001667DB" w:rsidRDefault="00AB678D" w:rsidP="00CC4443">
            <w:pPr>
              <w:ind w:left="284" w:hanging="284"/>
              <w:rPr>
                <w:rFonts w:ascii="Times New Roman" w:hAnsi="Times New Roman" w:cs="Times New Roman"/>
                <w:color w:val="000000" w:themeColor="text1"/>
              </w:rPr>
            </w:pPr>
            <w:r>
              <w:rPr>
                <w:rFonts w:ascii="Times New Roman" w:hAnsi="Times New Roman" w:cs="Times New Roman"/>
                <w:color w:val="000000" w:themeColor="text1"/>
              </w:rPr>
              <w:pict w14:anchorId="62A314AC">
                <v:shape id="_x0000_i1044" type="#_x0000_t75" style="width:158.25pt;height:180pt">
                  <v:imagedata r:id="rId89" o:title="bz4_3"/>
                </v:shape>
              </w:pict>
            </w:r>
          </w:p>
          <w:p w14:paraId="580B04F6" w14:textId="77777777" w:rsidR="00CC4443" w:rsidRPr="001667DB" w:rsidRDefault="00CC4443" w:rsidP="00904E6C">
            <w:pPr>
              <w:numPr>
                <w:ilvl w:val="0"/>
                <w:numId w:val="268"/>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uliczny 15×30×100 cm</w:t>
            </w:r>
          </w:p>
          <w:p w14:paraId="39CA3134" w14:textId="77777777" w:rsidR="00CC4443" w:rsidRPr="001667DB" w:rsidRDefault="00CC4443" w:rsidP="00904E6C">
            <w:pPr>
              <w:numPr>
                <w:ilvl w:val="0"/>
                <w:numId w:val="268"/>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piaskowa lub cem.-piaskowa 1:4</w:t>
            </w:r>
          </w:p>
          <w:p w14:paraId="1CCE5795" w14:textId="77777777" w:rsidR="00CC4443" w:rsidRPr="001667DB" w:rsidRDefault="00CC4443" w:rsidP="00904E6C">
            <w:pPr>
              <w:numPr>
                <w:ilvl w:val="0"/>
                <w:numId w:val="268"/>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żwirowa</w:t>
            </w:r>
          </w:p>
          <w:p w14:paraId="3302B1BE" w14:textId="77777777" w:rsidR="00CC4443" w:rsidRPr="001667DB" w:rsidRDefault="00CC4443" w:rsidP="00CC4443">
            <w:pPr>
              <w:rPr>
                <w:rFonts w:ascii="Times New Roman" w:hAnsi="Times New Roman" w:cs="Times New Roman"/>
                <w:color w:val="000000" w:themeColor="text1"/>
              </w:rPr>
            </w:pPr>
          </w:p>
          <w:p w14:paraId="09698BDC" w14:textId="77777777" w:rsidR="00CC4443" w:rsidRPr="001667DB" w:rsidRDefault="00CC4443" w:rsidP="00CC4443">
            <w:pPr>
              <w:rPr>
                <w:rFonts w:ascii="Times New Roman" w:hAnsi="Times New Roman" w:cs="Times New Roman"/>
                <w:color w:val="000000" w:themeColor="text1"/>
              </w:rPr>
            </w:pPr>
          </w:p>
          <w:p w14:paraId="3127357D" w14:textId="77777777" w:rsidR="00CC4443" w:rsidRPr="001667DB" w:rsidRDefault="00CC4443" w:rsidP="00CC4443">
            <w:pPr>
              <w:rPr>
                <w:rFonts w:ascii="Times New Roman" w:hAnsi="Times New Roman" w:cs="Times New Roman"/>
                <w:color w:val="000000" w:themeColor="text1"/>
              </w:rPr>
            </w:pPr>
          </w:p>
        </w:tc>
        <w:tc>
          <w:tcPr>
            <w:tcW w:w="4394" w:type="dxa"/>
          </w:tcPr>
          <w:p w14:paraId="483BC996" w14:textId="77777777" w:rsidR="00CC4443" w:rsidRPr="001667DB" w:rsidRDefault="00CC4443" w:rsidP="00CC4443">
            <w:pPr>
              <w:ind w:left="214" w:hanging="214"/>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d) Krawężnik typu ulicznego 15 × 30 cm</w:t>
            </w:r>
            <w:r w:rsidRPr="001667DB">
              <w:rPr>
                <w:rFonts w:ascii="Times New Roman" w:hAnsi="Times New Roman" w:cs="Times New Roman"/>
                <w:color w:val="000000" w:themeColor="text1"/>
              </w:rPr>
              <w:br/>
              <w:t>na ławie tłuczniowej</w:t>
            </w:r>
          </w:p>
          <w:p w14:paraId="38B15CC7" w14:textId="77777777" w:rsidR="00CC4443" w:rsidRPr="001667DB" w:rsidRDefault="00AB678D" w:rsidP="00CC4443">
            <w:pPr>
              <w:ind w:left="214" w:hanging="214"/>
              <w:rPr>
                <w:rFonts w:ascii="Times New Roman" w:hAnsi="Times New Roman" w:cs="Times New Roman"/>
                <w:color w:val="000000" w:themeColor="text1"/>
              </w:rPr>
            </w:pPr>
            <w:r>
              <w:rPr>
                <w:rFonts w:ascii="Times New Roman" w:hAnsi="Times New Roman" w:cs="Times New Roman"/>
                <w:color w:val="000000" w:themeColor="text1"/>
              </w:rPr>
              <w:pict w14:anchorId="255D01EC">
                <v:shape id="_x0000_i1045" type="#_x0000_t75" style="width:165.75pt;height:180pt">
                  <v:imagedata r:id="rId90" o:title="bz4_4"/>
                </v:shape>
              </w:pict>
            </w:r>
          </w:p>
          <w:p w14:paraId="07411D9B" w14:textId="77777777" w:rsidR="00CC4443" w:rsidRPr="001667DB" w:rsidRDefault="00CC4443" w:rsidP="00904E6C">
            <w:pPr>
              <w:numPr>
                <w:ilvl w:val="0"/>
                <w:numId w:val="269"/>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uliczny 15×30×100 cm</w:t>
            </w:r>
          </w:p>
          <w:p w14:paraId="68197895" w14:textId="77777777" w:rsidR="00CC4443" w:rsidRPr="001667DB" w:rsidRDefault="00CC4443" w:rsidP="00904E6C">
            <w:pPr>
              <w:numPr>
                <w:ilvl w:val="0"/>
                <w:numId w:val="269"/>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piaskowa lub cem.-piaskowa 1:4</w:t>
            </w:r>
          </w:p>
          <w:p w14:paraId="3433CB97" w14:textId="77777777" w:rsidR="00CC4443" w:rsidRPr="001667DB" w:rsidRDefault="00CC4443" w:rsidP="00904E6C">
            <w:pPr>
              <w:numPr>
                <w:ilvl w:val="0"/>
                <w:numId w:val="269"/>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tłuczniowa</w:t>
            </w:r>
          </w:p>
        </w:tc>
      </w:tr>
      <w:tr w:rsidR="00CC4443" w:rsidRPr="001667DB" w14:paraId="3FCA3716" w14:textId="77777777" w:rsidTr="00CC44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03" w:type="dxa"/>
            <w:tcBorders>
              <w:top w:val="nil"/>
              <w:left w:val="nil"/>
              <w:bottom w:val="nil"/>
              <w:right w:val="nil"/>
            </w:tcBorders>
          </w:tcPr>
          <w:p w14:paraId="664C1A64" w14:textId="77777777" w:rsidR="00CC4443" w:rsidRPr="001667DB" w:rsidRDefault="00CC4443" w:rsidP="00CC4443">
            <w:pPr>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t>e)  Krawężnik typu drogowego 12 × 25 cm na ławie żwirowej lub tłuczniowej</w:t>
            </w:r>
          </w:p>
          <w:p w14:paraId="109D58A8" w14:textId="77777777" w:rsidR="00CC4443" w:rsidRPr="001667DB" w:rsidRDefault="00AB678D" w:rsidP="00CC4443">
            <w:pPr>
              <w:ind w:left="284" w:hanging="284"/>
              <w:rPr>
                <w:rFonts w:ascii="Times New Roman" w:hAnsi="Times New Roman" w:cs="Times New Roman"/>
                <w:color w:val="000000" w:themeColor="text1"/>
              </w:rPr>
            </w:pPr>
            <w:r>
              <w:rPr>
                <w:rFonts w:ascii="Times New Roman" w:hAnsi="Times New Roman" w:cs="Times New Roman"/>
                <w:color w:val="000000" w:themeColor="text1"/>
              </w:rPr>
              <w:pict w14:anchorId="7C1F82BD">
                <v:shape id="_x0000_i1046" type="#_x0000_t75" style="width:158.25pt;height:180pt">
                  <v:imagedata r:id="rId91" o:title="bz4_5"/>
                </v:shape>
              </w:pict>
            </w:r>
          </w:p>
          <w:p w14:paraId="7F5ECED6" w14:textId="77777777" w:rsidR="00CC4443" w:rsidRPr="001667DB" w:rsidRDefault="00CC4443" w:rsidP="00904E6C">
            <w:pPr>
              <w:numPr>
                <w:ilvl w:val="0"/>
                <w:numId w:val="270"/>
              </w:numPr>
              <w:overflowPunct w:val="0"/>
              <w:autoSpaceDE w:val="0"/>
              <w:autoSpaceDN w:val="0"/>
              <w:adjustRightInd w:val="0"/>
              <w:spacing w:after="0" w:line="240" w:lineRule="auto"/>
              <w:ind w:left="284"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drogowy 12×25×100 cm</w:t>
            </w:r>
          </w:p>
          <w:p w14:paraId="7331F594" w14:textId="77777777" w:rsidR="00CC4443" w:rsidRPr="001667DB" w:rsidRDefault="00CC4443" w:rsidP="00904E6C">
            <w:pPr>
              <w:numPr>
                <w:ilvl w:val="0"/>
                <w:numId w:val="270"/>
              </w:numPr>
              <w:overflowPunct w:val="0"/>
              <w:autoSpaceDE w:val="0"/>
              <w:autoSpaceDN w:val="0"/>
              <w:adjustRightInd w:val="0"/>
              <w:spacing w:after="0" w:line="240" w:lineRule="auto"/>
              <w:ind w:left="284"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z piasku</w:t>
            </w:r>
          </w:p>
          <w:p w14:paraId="5EA7291F" w14:textId="77777777" w:rsidR="00CC4443" w:rsidRPr="001667DB" w:rsidRDefault="00CC4443" w:rsidP="00904E6C">
            <w:pPr>
              <w:numPr>
                <w:ilvl w:val="0"/>
                <w:numId w:val="270"/>
              </w:numPr>
              <w:overflowPunct w:val="0"/>
              <w:autoSpaceDE w:val="0"/>
              <w:autoSpaceDN w:val="0"/>
              <w:adjustRightInd w:val="0"/>
              <w:spacing w:after="0" w:line="240" w:lineRule="auto"/>
              <w:ind w:left="284"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żwirowa lub tłuczniowa</w:t>
            </w:r>
          </w:p>
          <w:p w14:paraId="4DE17BED" w14:textId="77777777" w:rsidR="00CC4443" w:rsidRPr="001667DB" w:rsidRDefault="00CC4443" w:rsidP="00CC4443">
            <w:pPr>
              <w:ind w:left="284" w:hanging="284"/>
              <w:rPr>
                <w:rFonts w:ascii="Times New Roman" w:hAnsi="Times New Roman" w:cs="Times New Roman"/>
                <w:color w:val="000000" w:themeColor="text1"/>
              </w:rPr>
            </w:pPr>
          </w:p>
        </w:tc>
        <w:tc>
          <w:tcPr>
            <w:tcW w:w="4394" w:type="dxa"/>
            <w:tcBorders>
              <w:top w:val="nil"/>
              <w:left w:val="nil"/>
              <w:bottom w:val="nil"/>
              <w:right w:val="nil"/>
            </w:tcBorders>
          </w:tcPr>
          <w:p w14:paraId="5E5C21FD" w14:textId="77777777" w:rsidR="00CC4443" w:rsidRPr="001667DB" w:rsidRDefault="00CC4443" w:rsidP="00CC4443">
            <w:pPr>
              <w:ind w:left="214" w:hanging="214"/>
              <w:rPr>
                <w:rFonts w:ascii="Times New Roman" w:hAnsi="Times New Roman" w:cs="Times New Roman"/>
                <w:color w:val="000000" w:themeColor="text1"/>
              </w:rPr>
            </w:pPr>
            <w:r w:rsidRPr="001667DB">
              <w:rPr>
                <w:rFonts w:ascii="Times New Roman" w:hAnsi="Times New Roman" w:cs="Times New Roman"/>
                <w:color w:val="000000" w:themeColor="text1"/>
              </w:rPr>
              <w:t>f) Krawężnik typu drogowego 15 × 30 cm na ławie betonowej</w:t>
            </w:r>
          </w:p>
          <w:p w14:paraId="0F90E086" w14:textId="77777777" w:rsidR="00CC4443" w:rsidRPr="001667DB" w:rsidRDefault="00AB678D" w:rsidP="00CC4443">
            <w:pPr>
              <w:ind w:left="214" w:hanging="214"/>
              <w:rPr>
                <w:rFonts w:ascii="Times New Roman" w:hAnsi="Times New Roman" w:cs="Times New Roman"/>
                <w:color w:val="000000" w:themeColor="text1"/>
              </w:rPr>
            </w:pPr>
            <w:r>
              <w:rPr>
                <w:rFonts w:ascii="Times New Roman" w:hAnsi="Times New Roman" w:cs="Times New Roman"/>
                <w:color w:val="000000" w:themeColor="text1"/>
              </w:rPr>
              <w:pict w14:anchorId="5FE77BDA">
                <v:shape id="_x0000_i1047" type="#_x0000_t75" style="width:173.25pt;height:178.5pt">
                  <v:imagedata r:id="rId92" o:title="bz4_6"/>
                </v:shape>
              </w:pict>
            </w:r>
          </w:p>
          <w:p w14:paraId="44022096" w14:textId="77777777" w:rsidR="00CC4443" w:rsidRPr="001667DB" w:rsidRDefault="00CC4443" w:rsidP="00904E6C">
            <w:pPr>
              <w:numPr>
                <w:ilvl w:val="0"/>
                <w:numId w:val="271"/>
              </w:numPr>
              <w:overflowPunct w:val="0"/>
              <w:autoSpaceDE w:val="0"/>
              <w:autoSpaceDN w:val="0"/>
              <w:adjustRightInd w:val="0"/>
              <w:spacing w:after="0" w:line="240" w:lineRule="auto"/>
              <w:ind w:left="317"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typ drogowy 15×30×100 cm</w:t>
            </w:r>
          </w:p>
          <w:p w14:paraId="20A90544" w14:textId="77777777" w:rsidR="00CC4443" w:rsidRPr="001667DB" w:rsidRDefault="00CC4443" w:rsidP="00904E6C">
            <w:pPr>
              <w:numPr>
                <w:ilvl w:val="0"/>
                <w:numId w:val="271"/>
              </w:numPr>
              <w:overflowPunct w:val="0"/>
              <w:autoSpaceDE w:val="0"/>
              <w:autoSpaceDN w:val="0"/>
              <w:adjustRightInd w:val="0"/>
              <w:spacing w:after="0" w:line="240" w:lineRule="auto"/>
              <w:ind w:left="317"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cem.-piaskowa 1:4</w:t>
            </w:r>
          </w:p>
          <w:p w14:paraId="0F3BD554" w14:textId="77777777" w:rsidR="00CC4443" w:rsidRPr="001667DB" w:rsidRDefault="00CC4443" w:rsidP="00904E6C">
            <w:pPr>
              <w:numPr>
                <w:ilvl w:val="0"/>
                <w:numId w:val="271"/>
              </w:numPr>
              <w:overflowPunct w:val="0"/>
              <w:autoSpaceDE w:val="0"/>
              <w:autoSpaceDN w:val="0"/>
              <w:adjustRightInd w:val="0"/>
              <w:spacing w:after="0" w:line="240" w:lineRule="auto"/>
              <w:ind w:left="317" w:hanging="218"/>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z betonu C12/15 lub C8/10</w:t>
            </w:r>
          </w:p>
          <w:p w14:paraId="05739FE8" w14:textId="77777777" w:rsidR="00CC4443" w:rsidRPr="001667DB" w:rsidRDefault="00CC4443" w:rsidP="00CC4443">
            <w:pPr>
              <w:ind w:left="214" w:hanging="214"/>
              <w:rPr>
                <w:rFonts w:ascii="Times New Roman" w:hAnsi="Times New Roman" w:cs="Times New Roman"/>
                <w:color w:val="000000" w:themeColor="text1"/>
              </w:rPr>
            </w:pPr>
          </w:p>
        </w:tc>
      </w:tr>
    </w:tbl>
    <w:p w14:paraId="4BB01C7C" w14:textId="77777777" w:rsidR="00CC4443" w:rsidRPr="001667DB" w:rsidRDefault="00CC4443" w:rsidP="00CC4443">
      <w:pPr>
        <w:rPr>
          <w:rFonts w:ascii="Times New Roman" w:hAnsi="Times New Roman" w:cs="Times New Roman"/>
          <w:color w:val="000000" w:themeColor="text1"/>
        </w:rPr>
      </w:pPr>
    </w:p>
    <w:p w14:paraId="3E41A48D" w14:textId="77777777" w:rsidR="0028570B" w:rsidRPr="001667DB" w:rsidRDefault="0028570B" w:rsidP="00CC4443">
      <w:pPr>
        <w:rPr>
          <w:rFonts w:ascii="Times New Roman" w:hAnsi="Times New Roman" w:cs="Times New Roman"/>
          <w:color w:val="000000" w:themeColor="text1"/>
        </w:rPr>
      </w:pPr>
    </w:p>
    <w:p w14:paraId="77529773" w14:textId="77777777" w:rsidR="0028570B" w:rsidRPr="001667DB" w:rsidRDefault="0028570B" w:rsidP="00CC4443">
      <w:pPr>
        <w:rPr>
          <w:rFonts w:ascii="Times New Roman" w:hAnsi="Times New Roman" w:cs="Times New Roman"/>
          <w:color w:val="000000" w:themeColor="text1"/>
        </w:rPr>
      </w:pPr>
    </w:p>
    <w:p w14:paraId="36891C00" w14:textId="77777777" w:rsidR="0028570B" w:rsidRPr="001667DB" w:rsidRDefault="0028570B" w:rsidP="00CC4443">
      <w:pPr>
        <w:rPr>
          <w:rFonts w:ascii="Times New Roman" w:hAnsi="Times New Roman" w:cs="Times New Roman"/>
          <w:color w:val="000000" w:themeColor="text1"/>
        </w:rPr>
      </w:pPr>
    </w:p>
    <w:p w14:paraId="45040457" w14:textId="77777777" w:rsidR="0028570B" w:rsidRPr="001667DB" w:rsidRDefault="0028570B" w:rsidP="00CC4443">
      <w:pPr>
        <w:rPr>
          <w:rFonts w:ascii="Times New Roman" w:hAnsi="Times New Roman" w:cs="Times New Roman"/>
          <w:color w:val="000000" w:themeColor="text1"/>
        </w:rPr>
      </w:pPr>
    </w:p>
    <w:p w14:paraId="46275D5D" w14:textId="77777777" w:rsidR="0028570B" w:rsidRPr="001667DB" w:rsidRDefault="0028570B" w:rsidP="00CC4443">
      <w:pPr>
        <w:rPr>
          <w:rFonts w:ascii="Times New Roman" w:hAnsi="Times New Roman" w:cs="Times New Roman"/>
          <w:color w:val="000000" w:themeColor="text1"/>
        </w:rPr>
      </w:pPr>
    </w:p>
    <w:p w14:paraId="6F3597DE" w14:textId="77777777" w:rsidR="0028570B" w:rsidRPr="001667DB" w:rsidRDefault="0028570B" w:rsidP="00CC4443">
      <w:pPr>
        <w:rPr>
          <w:rFonts w:ascii="Times New Roman" w:hAnsi="Times New Roman" w:cs="Times New Roman"/>
          <w:color w:val="000000" w:themeColor="text1"/>
        </w:rPr>
      </w:pPr>
    </w:p>
    <w:p w14:paraId="76100CBE" w14:textId="77777777" w:rsidR="0028570B" w:rsidRPr="001667DB" w:rsidRDefault="0028570B" w:rsidP="00CC4443">
      <w:pPr>
        <w:rPr>
          <w:rFonts w:ascii="Times New Roman" w:hAnsi="Times New Roman" w:cs="Times New Roman"/>
          <w:color w:val="000000" w:themeColor="text1"/>
        </w:rPr>
      </w:pPr>
    </w:p>
    <w:p w14:paraId="60C5C0D8" w14:textId="77777777" w:rsidR="0028570B" w:rsidRPr="001667DB" w:rsidRDefault="0028570B" w:rsidP="00CC4443">
      <w:pPr>
        <w:rPr>
          <w:rFonts w:ascii="Times New Roman" w:hAnsi="Times New Roman" w:cs="Times New Roman"/>
          <w:color w:val="000000" w:themeColor="text1"/>
        </w:rPr>
      </w:pPr>
    </w:p>
    <w:p w14:paraId="1D8406FF" w14:textId="77777777" w:rsidR="0028570B" w:rsidRPr="001667DB" w:rsidRDefault="0028570B" w:rsidP="00CC4443">
      <w:pPr>
        <w:rPr>
          <w:rFonts w:ascii="Times New Roman" w:hAnsi="Times New Roman" w:cs="Times New Roman"/>
          <w:color w:val="000000" w:themeColor="text1"/>
        </w:rPr>
      </w:pPr>
    </w:p>
    <w:p w14:paraId="6D0D2705" w14:textId="77777777" w:rsidR="0028570B" w:rsidRPr="001667DB" w:rsidRDefault="0028570B" w:rsidP="00CC4443">
      <w:pPr>
        <w:rPr>
          <w:rFonts w:ascii="Times New Roman" w:hAnsi="Times New Roman" w:cs="Times New Roman"/>
          <w:color w:val="000000" w:themeColor="text1"/>
        </w:rPr>
      </w:pPr>
    </w:p>
    <w:p w14:paraId="2C9EE879" w14:textId="77777777" w:rsidR="0028570B" w:rsidRPr="001667DB" w:rsidRDefault="0028570B" w:rsidP="00CC4443">
      <w:pPr>
        <w:rPr>
          <w:rFonts w:ascii="Times New Roman" w:hAnsi="Times New Roman" w:cs="Times New Roman"/>
          <w:color w:val="000000" w:themeColor="text1"/>
        </w:rPr>
      </w:pPr>
    </w:p>
    <w:p w14:paraId="674934F5" w14:textId="77777777" w:rsidR="0028570B" w:rsidRPr="001667DB" w:rsidRDefault="0028570B" w:rsidP="00CC4443">
      <w:pPr>
        <w:rPr>
          <w:rFonts w:ascii="Times New Roman" w:hAnsi="Times New Roman" w:cs="Times New Roman"/>
          <w:color w:val="000000" w:themeColor="text1"/>
        </w:rPr>
      </w:pPr>
    </w:p>
    <w:p w14:paraId="7E819462" w14:textId="77777777" w:rsidR="0028570B" w:rsidRPr="001667DB" w:rsidRDefault="0028570B" w:rsidP="00CC4443">
      <w:pPr>
        <w:rPr>
          <w:rFonts w:ascii="Times New Roman" w:hAnsi="Times New Roman" w:cs="Times New Roman"/>
          <w:color w:val="000000" w:themeColor="text1"/>
        </w:rPr>
      </w:pPr>
    </w:p>
    <w:p w14:paraId="4C267DB2" w14:textId="77777777" w:rsidR="0028570B" w:rsidRPr="001667DB" w:rsidRDefault="0028570B" w:rsidP="00CC4443">
      <w:pPr>
        <w:rPr>
          <w:rFonts w:ascii="Times New Roman" w:hAnsi="Times New Roman" w:cs="Times New Roman"/>
          <w:color w:val="000000" w:themeColor="text1"/>
        </w:rPr>
      </w:pPr>
    </w:p>
    <w:p w14:paraId="7BB0E682" w14:textId="77777777" w:rsidR="0028570B" w:rsidRPr="001667DB" w:rsidRDefault="0028570B" w:rsidP="00CC4443">
      <w:pPr>
        <w:rPr>
          <w:rFonts w:ascii="Times New Roman" w:hAnsi="Times New Roman" w:cs="Times New Roman"/>
          <w:color w:val="000000" w:themeColor="text1"/>
        </w:rPr>
      </w:pPr>
    </w:p>
    <w:p w14:paraId="4C88090E" w14:textId="77777777" w:rsidR="0028570B" w:rsidRPr="001667DB" w:rsidRDefault="0028570B" w:rsidP="00CC4443">
      <w:pPr>
        <w:rPr>
          <w:rFonts w:ascii="Times New Roman" w:hAnsi="Times New Roman" w:cs="Times New Roman"/>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4394"/>
      </w:tblGrid>
      <w:tr w:rsidR="00CC4443" w:rsidRPr="001667DB" w14:paraId="24EEF07D" w14:textId="77777777" w:rsidTr="00CC4443">
        <w:tc>
          <w:tcPr>
            <w:tcW w:w="4503" w:type="dxa"/>
            <w:tcBorders>
              <w:top w:val="nil"/>
              <w:left w:val="nil"/>
              <w:bottom w:val="nil"/>
              <w:right w:val="nil"/>
            </w:tcBorders>
          </w:tcPr>
          <w:p w14:paraId="19D0336F" w14:textId="77777777" w:rsidR="00CC4443" w:rsidRPr="001667DB" w:rsidRDefault="00CC4443" w:rsidP="00CC4443">
            <w:pPr>
              <w:ind w:left="284" w:hanging="284"/>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g) Krawężnik typu ulicznego 20 × 30 cm ułożony na płask (np. przy wjeździe na chodnik, do bramy)</w:t>
            </w:r>
          </w:p>
          <w:p w14:paraId="6351D887" w14:textId="77777777" w:rsidR="00CC4443" w:rsidRPr="001667DB" w:rsidRDefault="00AB678D" w:rsidP="00CC4443">
            <w:pPr>
              <w:ind w:left="284" w:hanging="284"/>
              <w:rPr>
                <w:rFonts w:ascii="Times New Roman" w:hAnsi="Times New Roman" w:cs="Times New Roman"/>
                <w:color w:val="000000" w:themeColor="text1"/>
              </w:rPr>
            </w:pPr>
            <w:r>
              <w:rPr>
                <w:rFonts w:ascii="Times New Roman" w:hAnsi="Times New Roman" w:cs="Times New Roman"/>
                <w:color w:val="000000" w:themeColor="text1"/>
              </w:rPr>
              <w:pict w14:anchorId="4E874950">
                <v:shape id="_x0000_i1048" type="#_x0000_t75" style="width:173.25pt;height:158.25pt">
                  <v:imagedata r:id="rId93" o:title="bz4_7"/>
                </v:shape>
              </w:pict>
            </w:r>
          </w:p>
          <w:p w14:paraId="55EC9D84" w14:textId="77777777" w:rsidR="00CC4443" w:rsidRPr="001667DB" w:rsidRDefault="00CC4443" w:rsidP="00904E6C">
            <w:pPr>
              <w:numPr>
                <w:ilvl w:val="0"/>
                <w:numId w:val="272"/>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krawężnik  20×30×100 cm</w:t>
            </w:r>
          </w:p>
          <w:p w14:paraId="7163AF0F" w14:textId="77777777" w:rsidR="00CC4443" w:rsidRPr="001667DB" w:rsidRDefault="00CC4443" w:rsidP="00904E6C">
            <w:pPr>
              <w:numPr>
                <w:ilvl w:val="0"/>
                <w:numId w:val="272"/>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cem.-piaskowa 1:4</w:t>
            </w:r>
          </w:p>
          <w:p w14:paraId="183FD80D" w14:textId="77777777" w:rsidR="00CC4443" w:rsidRPr="001667DB" w:rsidRDefault="00CC4443" w:rsidP="00904E6C">
            <w:pPr>
              <w:numPr>
                <w:ilvl w:val="0"/>
                <w:numId w:val="272"/>
              </w:numPr>
              <w:overflowPunct w:val="0"/>
              <w:autoSpaceDE w:val="0"/>
              <w:autoSpaceDN w:val="0"/>
              <w:adjustRightInd w:val="0"/>
              <w:spacing w:after="0" w:line="240" w:lineRule="auto"/>
              <w:ind w:left="426"/>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z betonu C12/15 lub C8/10</w:t>
            </w:r>
          </w:p>
        </w:tc>
        <w:tc>
          <w:tcPr>
            <w:tcW w:w="4394" w:type="dxa"/>
            <w:tcBorders>
              <w:top w:val="nil"/>
              <w:left w:val="nil"/>
              <w:bottom w:val="nil"/>
              <w:right w:val="nil"/>
            </w:tcBorders>
          </w:tcPr>
          <w:p w14:paraId="6450191A" w14:textId="77777777" w:rsidR="00CC4443" w:rsidRPr="001667DB" w:rsidRDefault="00CC4443" w:rsidP="00CC4443">
            <w:pPr>
              <w:ind w:left="264" w:hanging="264"/>
              <w:rPr>
                <w:rFonts w:ascii="Times New Roman" w:hAnsi="Times New Roman" w:cs="Times New Roman"/>
                <w:color w:val="000000" w:themeColor="text1"/>
              </w:rPr>
            </w:pPr>
            <w:r w:rsidRPr="001667DB">
              <w:rPr>
                <w:rFonts w:ascii="Times New Roman" w:hAnsi="Times New Roman" w:cs="Times New Roman"/>
                <w:color w:val="000000" w:themeColor="text1"/>
              </w:rPr>
              <w:t>h) Krawężnik typu ulicznego, ze ściekiem betonowym, na ławie betonowej</w:t>
            </w:r>
          </w:p>
          <w:p w14:paraId="6FDFE4FE" w14:textId="77777777" w:rsidR="00CC4443" w:rsidRPr="001667DB" w:rsidRDefault="00CC4443" w:rsidP="00CC4443">
            <w:pPr>
              <w:ind w:left="264" w:hanging="264"/>
              <w:rPr>
                <w:rFonts w:ascii="Times New Roman" w:hAnsi="Times New Roman" w:cs="Times New Roman"/>
                <w:color w:val="000000" w:themeColor="text1"/>
              </w:rPr>
            </w:pPr>
          </w:p>
          <w:p w14:paraId="7B60C959" w14:textId="77777777" w:rsidR="00CC4443" w:rsidRPr="001667DB" w:rsidRDefault="00AB678D" w:rsidP="00CC4443">
            <w:pPr>
              <w:ind w:left="214" w:hanging="214"/>
              <w:rPr>
                <w:rFonts w:ascii="Times New Roman" w:hAnsi="Times New Roman" w:cs="Times New Roman"/>
                <w:color w:val="000000" w:themeColor="text1"/>
              </w:rPr>
            </w:pPr>
            <w:r>
              <w:rPr>
                <w:rFonts w:ascii="Times New Roman" w:hAnsi="Times New Roman" w:cs="Times New Roman"/>
                <w:color w:val="000000" w:themeColor="text1"/>
              </w:rPr>
              <w:pict w14:anchorId="37146A37">
                <v:shape id="_x0000_i1049" type="#_x0000_t75" style="width:180pt;height:138pt">
                  <v:imagedata r:id="rId94" o:title="bz4_8"/>
                </v:shape>
              </w:pict>
            </w:r>
          </w:p>
          <w:p w14:paraId="4B195CE2" w14:textId="77777777" w:rsidR="00CC4443" w:rsidRPr="001667DB" w:rsidRDefault="00CC4443" w:rsidP="00CC4443">
            <w:pPr>
              <w:ind w:left="214" w:hanging="214"/>
              <w:jc w:val="center"/>
              <w:rPr>
                <w:rFonts w:ascii="Times New Roman" w:hAnsi="Times New Roman" w:cs="Times New Roman"/>
                <w:color w:val="000000" w:themeColor="text1"/>
              </w:rPr>
            </w:pPr>
            <w:r w:rsidRPr="001667DB">
              <w:rPr>
                <w:rFonts w:ascii="Times New Roman" w:hAnsi="Times New Roman" w:cs="Times New Roman"/>
                <w:color w:val="000000" w:themeColor="text1"/>
              </w:rPr>
              <w:t>WYMIARY  UZUPEŁNIAJĄCE (alternatywne)</w:t>
            </w:r>
          </w:p>
          <w:tbl>
            <w:tblPr>
              <w:tblW w:w="3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4"/>
              <w:gridCol w:w="850"/>
              <w:gridCol w:w="436"/>
              <w:gridCol w:w="562"/>
              <w:gridCol w:w="516"/>
            </w:tblGrid>
            <w:tr w:rsidR="00CC4443" w:rsidRPr="001667DB" w14:paraId="20FDDA86" w14:textId="77777777" w:rsidTr="00CC4443">
              <w:trPr>
                <w:jc w:val="center"/>
              </w:trPr>
              <w:tc>
                <w:tcPr>
                  <w:tcW w:w="1936" w:type="dxa"/>
                  <w:gridSpan w:val="2"/>
                </w:tcPr>
                <w:p w14:paraId="270D2631" w14:textId="77777777" w:rsidR="00CC4443" w:rsidRPr="001667DB" w:rsidRDefault="00CC4443" w:rsidP="00CC4443">
                  <w:pPr>
                    <w:tabs>
                      <w:tab w:val="left" w:pos="3261"/>
                      <w:tab w:val="left" w:pos="3544"/>
                      <w:tab w:val="left" w:pos="3969"/>
                    </w:tabs>
                    <w:ind w:left="884" w:hanging="884"/>
                    <w:jc w:val="center"/>
                    <w:rPr>
                      <w:rFonts w:ascii="Times New Roman" w:hAnsi="Times New Roman" w:cs="Times New Roman"/>
                      <w:color w:val="000000" w:themeColor="text1"/>
                    </w:rPr>
                  </w:pPr>
                  <w:r w:rsidRPr="001667DB">
                    <w:rPr>
                      <w:rFonts w:ascii="Times New Roman" w:hAnsi="Times New Roman" w:cs="Times New Roman"/>
                      <w:color w:val="000000" w:themeColor="text1"/>
                    </w:rPr>
                    <w:t>krawężnik</w:t>
                  </w:r>
                </w:p>
              </w:tc>
              <w:tc>
                <w:tcPr>
                  <w:tcW w:w="426" w:type="dxa"/>
                </w:tcPr>
                <w:p w14:paraId="3E7EE258"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a</w:t>
                  </w:r>
                </w:p>
              </w:tc>
              <w:tc>
                <w:tcPr>
                  <w:tcW w:w="567" w:type="dxa"/>
                </w:tcPr>
                <w:p w14:paraId="24BE1AD2"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b</w:t>
                  </w:r>
                </w:p>
              </w:tc>
              <w:tc>
                <w:tcPr>
                  <w:tcW w:w="519" w:type="dxa"/>
                </w:tcPr>
                <w:p w14:paraId="2C179D64"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r>
            <w:tr w:rsidR="00CC4443" w:rsidRPr="001667DB" w14:paraId="104419BE" w14:textId="77777777" w:rsidTr="00CC4443">
              <w:trPr>
                <w:jc w:val="center"/>
              </w:trPr>
              <w:tc>
                <w:tcPr>
                  <w:tcW w:w="1084" w:type="dxa"/>
                  <w:tcBorders>
                    <w:bottom w:val="nil"/>
                  </w:tcBorders>
                </w:tcPr>
                <w:p w14:paraId="45B50E50"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betonowy</w:t>
                  </w:r>
                </w:p>
              </w:tc>
              <w:tc>
                <w:tcPr>
                  <w:tcW w:w="852" w:type="dxa"/>
                </w:tcPr>
                <w:p w14:paraId="4DF2DF6A"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20×30</w:t>
                  </w:r>
                </w:p>
              </w:tc>
              <w:tc>
                <w:tcPr>
                  <w:tcW w:w="426" w:type="dxa"/>
                </w:tcPr>
                <w:p w14:paraId="7971C2DE"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567" w:type="dxa"/>
                </w:tcPr>
                <w:p w14:paraId="1C4DA4EE"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19" w:type="dxa"/>
                </w:tcPr>
                <w:p w14:paraId="69BCEFB0"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r>
            <w:tr w:rsidR="00CC4443" w:rsidRPr="001667DB" w14:paraId="7142D266" w14:textId="77777777" w:rsidTr="00CC4443">
              <w:trPr>
                <w:jc w:val="center"/>
              </w:trPr>
              <w:tc>
                <w:tcPr>
                  <w:tcW w:w="1084" w:type="dxa"/>
                  <w:tcBorders>
                    <w:top w:val="nil"/>
                  </w:tcBorders>
                </w:tcPr>
                <w:p w14:paraId="1F9C4998"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p>
              </w:tc>
              <w:tc>
                <w:tcPr>
                  <w:tcW w:w="852" w:type="dxa"/>
                </w:tcPr>
                <w:p w14:paraId="49C00F34"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15×30</w:t>
                  </w:r>
                </w:p>
              </w:tc>
              <w:tc>
                <w:tcPr>
                  <w:tcW w:w="426" w:type="dxa"/>
                </w:tcPr>
                <w:p w14:paraId="68142690"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20</w:t>
                  </w:r>
                </w:p>
              </w:tc>
              <w:tc>
                <w:tcPr>
                  <w:tcW w:w="567" w:type="dxa"/>
                </w:tcPr>
                <w:p w14:paraId="681858FF"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15</w:t>
                  </w:r>
                </w:p>
              </w:tc>
              <w:tc>
                <w:tcPr>
                  <w:tcW w:w="519" w:type="dxa"/>
                </w:tcPr>
                <w:p w14:paraId="091B240E" w14:textId="77777777" w:rsidR="00CC4443" w:rsidRPr="001667DB" w:rsidRDefault="00CC4443" w:rsidP="00CC4443">
                  <w:pPr>
                    <w:tabs>
                      <w:tab w:val="left" w:pos="3261"/>
                      <w:tab w:val="left" w:pos="3544"/>
                      <w:tab w:val="left" w:pos="3969"/>
                    </w:tabs>
                    <w:jc w:val="center"/>
                    <w:rPr>
                      <w:rFonts w:ascii="Times New Roman" w:hAnsi="Times New Roman" w:cs="Times New Roman"/>
                      <w:color w:val="000000" w:themeColor="text1"/>
                    </w:rPr>
                  </w:pPr>
                  <w:r w:rsidRPr="001667DB">
                    <w:rPr>
                      <w:rFonts w:ascii="Times New Roman" w:hAnsi="Times New Roman" w:cs="Times New Roman"/>
                      <w:color w:val="000000" w:themeColor="text1"/>
                    </w:rPr>
                    <w:t>10</w:t>
                  </w:r>
                </w:p>
              </w:tc>
            </w:tr>
          </w:tbl>
          <w:p w14:paraId="2B8E7E6E" w14:textId="77777777" w:rsidR="00CC4443" w:rsidRPr="001667DB" w:rsidRDefault="00CC4443" w:rsidP="00CC4443">
            <w:pPr>
              <w:ind w:left="214" w:hanging="214"/>
              <w:rPr>
                <w:rFonts w:ascii="Times New Roman" w:hAnsi="Times New Roman" w:cs="Times New Roman"/>
                <w:color w:val="000000" w:themeColor="text1"/>
              </w:rPr>
            </w:pPr>
          </w:p>
          <w:p w14:paraId="149500AE" w14:textId="77777777" w:rsidR="00CC4443" w:rsidRPr="001667DB" w:rsidRDefault="00CC4443" w:rsidP="00904E6C">
            <w:pPr>
              <w:numPr>
                <w:ilvl w:val="0"/>
                <w:numId w:val="273"/>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krawężnik, typ uliczny </w:t>
            </w:r>
            <w:r w:rsidRPr="001667DB">
              <w:rPr>
                <w:rFonts w:ascii="Times New Roman" w:hAnsi="Times New Roman" w:cs="Times New Roman"/>
                <w:color w:val="000000" w:themeColor="text1"/>
              </w:rPr>
              <w:br/>
              <w:t>15(20)×30×100 cm</w:t>
            </w:r>
          </w:p>
          <w:p w14:paraId="3347C7F6" w14:textId="77777777" w:rsidR="00CC4443" w:rsidRPr="001667DB" w:rsidRDefault="00CC4443" w:rsidP="00904E6C">
            <w:pPr>
              <w:numPr>
                <w:ilvl w:val="0"/>
                <w:numId w:val="273"/>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ściek betonowy</w:t>
            </w:r>
          </w:p>
          <w:p w14:paraId="63CEFD69" w14:textId="77777777" w:rsidR="00CC4443" w:rsidRPr="001667DB" w:rsidRDefault="00CC4443" w:rsidP="00904E6C">
            <w:pPr>
              <w:numPr>
                <w:ilvl w:val="0"/>
                <w:numId w:val="273"/>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podsypka cem.-piaskowa 1:4</w:t>
            </w:r>
          </w:p>
          <w:p w14:paraId="16DC8535" w14:textId="77777777" w:rsidR="00CC4443" w:rsidRPr="001667DB" w:rsidRDefault="00CC4443" w:rsidP="00904E6C">
            <w:pPr>
              <w:numPr>
                <w:ilvl w:val="0"/>
                <w:numId w:val="273"/>
              </w:numPr>
              <w:overflowPunct w:val="0"/>
              <w:autoSpaceDE w:val="0"/>
              <w:autoSpaceDN w:val="0"/>
              <w:adjustRightInd w:val="0"/>
              <w:spacing w:after="0" w:line="240" w:lineRule="auto"/>
              <w:ind w:left="459"/>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ława z betonu C12/15 lub C8/10</w:t>
            </w:r>
          </w:p>
        </w:tc>
      </w:tr>
    </w:tbl>
    <w:p w14:paraId="7D8CA1A8" w14:textId="77777777" w:rsidR="00CC4443" w:rsidRPr="001667DB" w:rsidRDefault="00CC4443" w:rsidP="00CC4443">
      <w:pPr>
        <w:rPr>
          <w:rFonts w:ascii="Times New Roman" w:hAnsi="Times New Roman" w:cs="Times New Roman"/>
          <w:color w:val="000000" w:themeColor="text1"/>
        </w:rPr>
      </w:pPr>
    </w:p>
    <w:p w14:paraId="1722975B" w14:textId="77777777" w:rsidR="00CC4443" w:rsidRPr="001667DB" w:rsidRDefault="00CC4443" w:rsidP="00CC4443">
      <w:pPr>
        <w:rPr>
          <w:rFonts w:ascii="Times New Roman" w:hAnsi="Times New Roman" w:cs="Times New Roman"/>
          <w:color w:val="000000" w:themeColor="text1"/>
        </w:rPr>
      </w:pPr>
    </w:p>
    <w:p w14:paraId="25153223" w14:textId="77777777" w:rsidR="0028570B" w:rsidRPr="001667DB" w:rsidRDefault="0028570B" w:rsidP="00CC4443">
      <w:pPr>
        <w:rPr>
          <w:rFonts w:ascii="Times New Roman" w:hAnsi="Times New Roman" w:cs="Times New Roman"/>
          <w:color w:val="000000" w:themeColor="text1"/>
        </w:rPr>
      </w:pPr>
    </w:p>
    <w:p w14:paraId="39312568" w14:textId="77777777" w:rsidR="0028570B" w:rsidRPr="001667DB" w:rsidRDefault="0028570B" w:rsidP="00CC4443">
      <w:pPr>
        <w:rPr>
          <w:rFonts w:ascii="Times New Roman" w:hAnsi="Times New Roman" w:cs="Times New Roman"/>
          <w:color w:val="000000" w:themeColor="text1"/>
        </w:rPr>
      </w:pPr>
    </w:p>
    <w:p w14:paraId="2D74E591" w14:textId="77777777" w:rsidR="000D3174" w:rsidRDefault="000D3174">
      <w:pPr>
        <w:rPr>
          <w:rFonts w:ascii="Times New Roman" w:hAnsi="Times New Roman" w:cs="Times New Roman"/>
          <w:b/>
          <w:color w:val="000000" w:themeColor="text1"/>
        </w:rPr>
      </w:pPr>
    </w:p>
    <w:p w14:paraId="7897BCE5" w14:textId="77777777" w:rsidR="000D3174" w:rsidRDefault="000D3174">
      <w:pPr>
        <w:rPr>
          <w:rFonts w:ascii="Times New Roman" w:hAnsi="Times New Roman" w:cs="Times New Roman"/>
          <w:b/>
          <w:color w:val="000000" w:themeColor="text1"/>
        </w:rPr>
      </w:pPr>
    </w:p>
    <w:p w14:paraId="7036997F" w14:textId="77777777" w:rsidR="000D3174" w:rsidRDefault="000D3174">
      <w:pPr>
        <w:rPr>
          <w:rFonts w:ascii="Times New Roman" w:hAnsi="Times New Roman" w:cs="Times New Roman"/>
          <w:b/>
          <w:color w:val="000000" w:themeColor="text1"/>
        </w:rPr>
      </w:pPr>
    </w:p>
    <w:p w14:paraId="79AB8429" w14:textId="77777777" w:rsidR="000D3174" w:rsidRDefault="000D3174">
      <w:pPr>
        <w:rPr>
          <w:rFonts w:ascii="Times New Roman" w:hAnsi="Times New Roman" w:cs="Times New Roman"/>
          <w:b/>
          <w:color w:val="000000" w:themeColor="text1"/>
        </w:rPr>
      </w:pPr>
    </w:p>
    <w:p w14:paraId="43FA0FCE" w14:textId="77777777" w:rsidR="000D3174" w:rsidRDefault="000D3174">
      <w:pPr>
        <w:rPr>
          <w:rFonts w:ascii="Times New Roman" w:hAnsi="Times New Roman" w:cs="Times New Roman"/>
          <w:b/>
          <w:color w:val="000000" w:themeColor="text1"/>
        </w:rPr>
      </w:pPr>
    </w:p>
    <w:p w14:paraId="6B3D35DD" w14:textId="77777777" w:rsidR="000D3174" w:rsidRDefault="000D3174">
      <w:pPr>
        <w:rPr>
          <w:rFonts w:ascii="Times New Roman" w:hAnsi="Times New Roman" w:cs="Times New Roman"/>
          <w:b/>
          <w:color w:val="000000" w:themeColor="text1"/>
        </w:rPr>
      </w:pPr>
    </w:p>
    <w:p w14:paraId="26484BEF" w14:textId="77777777" w:rsidR="000D3174" w:rsidRDefault="000D3174">
      <w:pPr>
        <w:rPr>
          <w:rFonts w:ascii="Times New Roman" w:hAnsi="Times New Roman" w:cs="Times New Roman"/>
          <w:b/>
          <w:color w:val="000000" w:themeColor="text1"/>
        </w:rPr>
      </w:pPr>
    </w:p>
    <w:p w14:paraId="3E95D1FC" w14:textId="77777777" w:rsidR="000D3174" w:rsidRDefault="000D3174">
      <w:pPr>
        <w:rPr>
          <w:rFonts w:ascii="Times New Roman" w:hAnsi="Times New Roman" w:cs="Times New Roman"/>
          <w:b/>
          <w:color w:val="000000" w:themeColor="text1"/>
        </w:rPr>
      </w:pPr>
    </w:p>
    <w:p w14:paraId="14A5994D" w14:textId="77777777" w:rsidR="000D3174" w:rsidRDefault="000D3174">
      <w:pPr>
        <w:rPr>
          <w:rFonts w:ascii="Times New Roman" w:hAnsi="Times New Roman" w:cs="Times New Roman"/>
          <w:b/>
          <w:color w:val="000000" w:themeColor="text1"/>
        </w:rPr>
      </w:pPr>
    </w:p>
    <w:p w14:paraId="2FF6CFE7" w14:textId="77777777" w:rsidR="000D3174" w:rsidRDefault="000D3174">
      <w:pPr>
        <w:rPr>
          <w:rFonts w:ascii="Times New Roman" w:hAnsi="Times New Roman" w:cs="Times New Roman"/>
          <w:b/>
          <w:color w:val="000000" w:themeColor="text1"/>
        </w:rPr>
      </w:pPr>
    </w:p>
    <w:p w14:paraId="2A929BD9" w14:textId="77777777" w:rsidR="000D3174" w:rsidRPr="00291A00" w:rsidRDefault="000D3174" w:rsidP="000D3174">
      <w:pPr>
        <w:ind w:left="2124" w:hanging="2124"/>
        <w:rPr>
          <w:rFonts w:ascii="Times New Roman" w:hAnsi="Times New Roman" w:cs="Times New Roman"/>
        </w:rPr>
      </w:pPr>
      <w:r w:rsidRPr="00291A00">
        <w:rPr>
          <w:rFonts w:ascii="Times New Roman" w:hAnsi="Times New Roman" w:cs="Times New Roman"/>
          <w:b/>
        </w:rPr>
        <w:lastRenderedPageBreak/>
        <w:t>D.08.01.02a</w:t>
      </w:r>
      <w:r w:rsidRPr="00291A00">
        <w:rPr>
          <w:rFonts w:ascii="Times New Roman" w:hAnsi="Times New Roman" w:cs="Times New Roman"/>
          <w:b/>
        </w:rPr>
        <w:tab/>
        <w:t xml:space="preserve"> </w:t>
      </w:r>
      <w:r w:rsidRPr="00291A00">
        <w:rPr>
          <w:rFonts w:ascii="Times New Roman" w:hAnsi="Times New Roman" w:cs="Times New Roman"/>
          <w:b/>
        </w:rPr>
        <w:tab/>
        <w:t>USTAWIENIE  KRAWĘŻNIKÓW  KAMIENNYCH</w:t>
      </w:r>
    </w:p>
    <w:p w14:paraId="55719FE2" w14:textId="77777777" w:rsidR="000D3174" w:rsidRPr="00291A00" w:rsidRDefault="000D3174" w:rsidP="000D3174">
      <w:pPr>
        <w:ind w:left="2124" w:hanging="2124"/>
        <w:rPr>
          <w:rFonts w:ascii="Times New Roman" w:hAnsi="Times New Roman" w:cs="Times New Roman"/>
          <w:b/>
        </w:rPr>
      </w:pPr>
    </w:p>
    <w:p w14:paraId="030F88F5" w14:textId="77777777" w:rsidR="000D3174" w:rsidRPr="00291A00" w:rsidRDefault="000D3174" w:rsidP="00904E6C">
      <w:pPr>
        <w:pStyle w:val="Nagwek1"/>
        <w:numPr>
          <w:ilvl w:val="0"/>
          <w:numId w:val="254"/>
        </w:numPr>
        <w:tabs>
          <w:tab w:val="clear" w:pos="-1725"/>
          <w:tab w:val="clear" w:pos="-1440"/>
          <w:tab w:val="clear" w:pos="-1005"/>
          <w:tab w:val="clear" w:pos="-720"/>
          <w:tab w:val="clear" w:pos="-285"/>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291A00">
        <w:rPr>
          <w:sz w:val="22"/>
          <w:szCs w:val="22"/>
        </w:rPr>
        <w:t>WSTĘP</w:t>
      </w:r>
    </w:p>
    <w:p w14:paraId="0605C90B" w14:textId="77777777" w:rsidR="000D3174" w:rsidRPr="00291A00" w:rsidRDefault="000D3174" w:rsidP="00904E6C">
      <w:pPr>
        <w:pStyle w:val="Nagwek2"/>
        <w:numPr>
          <w:ilvl w:val="1"/>
          <w:numId w:val="254"/>
        </w:numPr>
        <w:tabs>
          <w:tab w:val="clear" w:pos="-1725"/>
          <w:tab w:val="clear" w:pos="-1440"/>
          <w:tab w:val="clear" w:pos="-1005"/>
          <w:tab w:val="clear" w:pos="-720"/>
          <w:tab w:val="clear" w:pos="-285"/>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sz w:val="22"/>
          <w:szCs w:val="22"/>
        </w:rPr>
      </w:pPr>
      <w:r w:rsidRPr="00291A00">
        <w:rPr>
          <w:sz w:val="22"/>
          <w:szCs w:val="22"/>
        </w:rPr>
        <w:t>Przedmiot ST</w:t>
      </w:r>
    </w:p>
    <w:p w14:paraId="26FE5AA8"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b/>
        </w:rPr>
        <w:tab/>
      </w:r>
      <w:r w:rsidRPr="00291A00">
        <w:rPr>
          <w:rFonts w:ascii="Times New Roman" w:hAnsi="Times New Roman" w:cs="Times New Roman"/>
        </w:rPr>
        <w:t>Przedmiotem niniejszej specyfikacji technicznej (ST) są wymagania dotyczące wykonania i odbioru robót związanych z ustawieniem krawężników kamiennych wraz z wykonaniem ław w związku z</w:t>
      </w:r>
      <w:r w:rsidRPr="00291A00">
        <w:rPr>
          <w:rFonts w:ascii="Times New Roman" w:hAnsi="Times New Roman" w:cs="Times New Roman"/>
          <w:b/>
          <w:bCs/>
        </w:rPr>
        <w:t xml:space="preserve"> </w:t>
      </w:r>
      <w:r w:rsidRPr="00D14932">
        <w:rPr>
          <w:rFonts w:ascii="Garamond" w:hAnsi="Garamond"/>
          <w:b/>
          <w:sz w:val="20"/>
          <w:szCs w:val="20"/>
        </w:rPr>
        <w:t>„</w:t>
      </w:r>
      <w:r w:rsidRPr="007970D8">
        <w:rPr>
          <w:rFonts w:ascii="Times New Roman" w:hAnsi="Times New Roman" w:cs="Times New Roman"/>
          <w:b/>
          <w:color w:val="000000" w:themeColor="text1"/>
        </w:rPr>
        <w:t>Rozbudowa drogi wojewódzkiej nr 461 w m. Dąbrówka Łubniańska i Łubniany” – Etap I ( km od 9+741,88 do 10+371,13)</w:t>
      </w:r>
    </w:p>
    <w:p w14:paraId="06E89739" w14:textId="77777777" w:rsidR="000D3174" w:rsidRPr="00291A00" w:rsidRDefault="00EF20E0" w:rsidP="00577746">
      <w:pPr>
        <w:pStyle w:val="Nagwek2"/>
        <w:ind w:left="851" w:hanging="851"/>
        <w:jc w:val="both"/>
        <w:rPr>
          <w:sz w:val="22"/>
          <w:szCs w:val="22"/>
        </w:rPr>
      </w:pPr>
      <w:r>
        <w:rPr>
          <w:sz w:val="22"/>
          <w:szCs w:val="22"/>
        </w:rPr>
        <w:t xml:space="preserve">1.2. Zakres stosowania </w:t>
      </w:r>
      <w:r w:rsidR="000D3174" w:rsidRPr="00291A00">
        <w:rPr>
          <w:sz w:val="22"/>
          <w:szCs w:val="22"/>
        </w:rPr>
        <w:t>ST</w:t>
      </w:r>
    </w:p>
    <w:p w14:paraId="23FE12C7" w14:textId="77777777" w:rsidR="000A4D82" w:rsidRPr="001667DB" w:rsidRDefault="000D3174" w:rsidP="00577746">
      <w:pPr>
        <w:jc w:val="both"/>
        <w:rPr>
          <w:rFonts w:ascii="Times New Roman" w:hAnsi="Times New Roman" w:cs="Times New Roman"/>
          <w:color w:val="000000" w:themeColor="text1"/>
        </w:rPr>
      </w:pPr>
      <w:r w:rsidRPr="00291A00">
        <w:rPr>
          <w:rFonts w:ascii="Times New Roman" w:hAnsi="Times New Roman" w:cs="Times New Roman"/>
          <w:b/>
        </w:rPr>
        <w:tab/>
      </w:r>
      <w:r w:rsidR="000A4D82" w:rsidRPr="001667DB">
        <w:rPr>
          <w:rFonts w:ascii="Times New Roman" w:hAnsi="Times New Roman" w:cs="Times New Roman"/>
          <w:color w:val="000000" w:themeColor="text1"/>
        </w:rPr>
        <w:tab/>
        <w:t>Zakres obejmuje:</w:t>
      </w:r>
    </w:p>
    <w:p w14:paraId="65232CCD" w14:textId="77777777" w:rsidR="000A4D82" w:rsidRPr="001667DB" w:rsidRDefault="000A4D82" w:rsidP="00904E6C">
      <w:pPr>
        <w:numPr>
          <w:ilvl w:val="0"/>
          <w:numId w:val="274"/>
        </w:numPr>
        <w:tabs>
          <w:tab w:val="left" w:pos="851"/>
          <w:tab w:val="left" w:pos="1134"/>
          <w:tab w:val="left" w:pos="1701"/>
        </w:tabs>
        <w:suppressAutoHyphens/>
        <w:spacing w:after="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ustawienie krawężników kamiennych</w:t>
      </w:r>
      <w:r w:rsidRPr="001667DB">
        <w:rPr>
          <w:rFonts w:ascii="Times New Roman" w:hAnsi="Times New Roman" w:cs="Times New Roman"/>
          <w:color w:val="000000" w:themeColor="text1"/>
        </w:rPr>
        <w:t xml:space="preserve"> 20x30x100 cm na ławie betonowej C16/20,</w:t>
      </w:r>
    </w:p>
    <w:p w14:paraId="117AA821" w14:textId="77777777" w:rsidR="000A4D82" w:rsidRPr="001667DB" w:rsidRDefault="000A4D82" w:rsidP="00904E6C">
      <w:pPr>
        <w:numPr>
          <w:ilvl w:val="0"/>
          <w:numId w:val="274"/>
        </w:numPr>
        <w:tabs>
          <w:tab w:val="left" w:pos="851"/>
          <w:tab w:val="left" w:pos="1134"/>
          <w:tab w:val="left" w:pos="1701"/>
        </w:tabs>
        <w:suppressAutoHyphens/>
        <w:spacing w:after="0"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ustawienie krawężników </w:t>
      </w:r>
      <w:r>
        <w:rPr>
          <w:rFonts w:ascii="Times New Roman" w:hAnsi="Times New Roman" w:cs="Times New Roman"/>
          <w:color w:val="000000" w:themeColor="text1"/>
        </w:rPr>
        <w:t>kamiennych</w:t>
      </w:r>
      <w:r w:rsidRPr="001667DB">
        <w:rPr>
          <w:rFonts w:ascii="Times New Roman" w:hAnsi="Times New Roman" w:cs="Times New Roman"/>
          <w:color w:val="000000" w:themeColor="text1"/>
        </w:rPr>
        <w:t xml:space="preserve"> najazdowych 22x20x100 cm na ławie betonowej C16/20.</w:t>
      </w:r>
    </w:p>
    <w:p w14:paraId="2990A825" w14:textId="77777777" w:rsidR="000A4D82" w:rsidRPr="001667DB" w:rsidRDefault="000A4D82"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dokumentacja Projektową.</w:t>
      </w:r>
    </w:p>
    <w:p w14:paraId="2D8F6916" w14:textId="77777777" w:rsidR="000D3174" w:rsidRPr="00291A00" w:rsidRDefault="000D3174" w:rsidP="00577746">
      <w:pPr>
        <w:jc w:val="both"/>
        <w:rPr>
          <w:rFonts w:ascii="Times New Roman" w:hAnsi="Times New Roman" w:cs="Times New Roman"/>
        </w:rPr>
      </w:pPr>
    </w:p>
    <w:p w14:paraId="71BF3C11" w14:textId="77777777" w:rsidR="000D3174" w:rsidRPr="00291A00" w:rsidRDefault="00EF20E0" w:rsidP="00577746">
      <w:pPr>
        <w:pStyle w:val="Nagwek2"/>
        <w:ind w:left="851" w:hanging="851"/>
        <w:jc w:val="both"/>
        <w:rPr>
          <w:sz w:val="22"/>
          <w:szCs w:val="22"/>
        </w:rPr>
      </w:pPr>
      <w:r>
        <w:rPr>
          <w:sz w:val="22"/>
          <w:szCs w:val="22"/>
        </w:rPr>
        <w:t xml:space="preserve">1.3. Zakres robót objętych </w:t>
      </w:r>
      <w:r w:rsidR="000D3174" w:rsidRPr="00291A00">
        <w:rPr>
          <w:sz w:val="22"/>
          <w:szCs w:val="22"/>
        </w:rPr>
        <w:t>ST</w:t>
      </w:r>
    </w:p>
    <w:p w14:paraId="50705887"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b/>
        </w:rPr>
        <w:tab/>
      </w:r>
      <w:r w:rsidRPr="00291A00">
        <w:rPr>
          <w:rFonts w:ascii="Times New Roman" w:hAnsi="Times New Roman" w:cs="Times New Roman"/>
        </w:rPr>
        <w:t>Ustalenia zawarte w niniejszej specyfikacji dotyczą zasad prowadzenia robót związanych z wykonaniem i odbiorem ustawienia krawężników kamiennych typu ulicznego i typu drogowego (wtopionych) na ławach betonowych, tłuczniowych, żwirowych.</w:t>
      </w:r>
    </w:p>
    <w:p w14:paraId="010112BB" w14:textId="77777777" w:rsidR="000D3174" w:rsidRPr="00291A00" w:rsidRDefault="000D3174" w:rsidP="00577746">
      <w:pPr>
        <w:pStyle w:val="Nagwek2"/>
        <w:jc w:val="both"/>
        <w:rPr>
          <w:sz w:val="22"/>
          <w:szCs w:val="22"/>
        </w:rPr>
      </w:pPr>
    </w:p>
    <w:p w14:paraId="213841B0" w14:textId="77777777" w:rsidR="000D3174" w:rsidRPr="00291A00" w:rsidRDefault="000D3174" w:rsidP="00577746">
      <w:pPr>
        <w:pStyle w:val="Nagwek2"/>
        <w:ind w:left="851" w:hanging="851"/>
        <w:jc w:val="both"/>
        <w:rPr>
          <w:sz w:val="22"/>
          <w:szCs w:val="22"/>
        </w:rPr>
      </w:pPr>
      <w:r w:rsidRPr="00291A00">
        <w:rPr>
          <w:sz w:val="22"/>
          <w:szCs w:val="22"/>
        </w:rPr>
        <w:t>1.4. Określenia podstawowe</w:t>
      </w:r>
    </w:p>
    <w:p w14:paraId="063CC7CC"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b/>
        </w:rPr>
        <w:t xml:space="preserve">1.4.1. </w:t>
      </w:r>
      <w:r w:rsidRPr="00291A00">
        <w:rPr>
          <w:rFonts w:ascii="Times New Roman" w:hAnsi="Times New Roman" w:cs="Times New Roman"/>
        </w:rPr>
        <w:t>Krawężnik kamienny – element kamienny, długości większej od 30 cm, powszechnie stosowany jako obramowanie drogi, chodnika, ścieżki.</w:t>
      </w:r>
    </w:p>
    <w:p w14:paraId="64C98754"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1.4.2. </w:t>
      </w:r>
      <w:r w:rsidRPr="00291A00">
        <w:rPr>
          <w:rFonts w:ascii="Times New Roman" w:hAnsi="Times New Roman" w:cs="Times New Roman"/>
        </w:rPr>
        <w:t>Powierzchnia z drobną fakturą – powierzchnia po obróbce pozwalającej na uzyskanie różnicy maksimum do 0,5 mm pomiędzy wypukłościami a wklęsłościami.</w:t>
      </w:r>
    </w:p>
    <w:p w14:paraId="22599C23"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1.4.3. </w:t>
      </w:r>
      <w:r w:rsidRPr="00291A00">
        <w:rPr>
          <w:rFonts w:ascii="Times New Roman" w:hAnsi="Times New Roman" w:cs="Times New Roman"/>
        </w:rPr>
        <w:t>Powierzchnia z grubą fakturą - powierzchnia po obróbce pozwalającej na uzyskanie różnicy  pomiędzy wypukłościami a wklęsłościami większej od 2 mm.</w:t>
      </w:r>
    </w:p>
    <w:p w14:paraId="62C7BB30"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1.4.4. </w:t>
      </w:r>
      <w:r w:rsidRPr="00291A00">
        <w:rPr>
          <w:rFonts w:ascii="Times New Roman" w:hAnsi="Times New Roman" w:cs="Times New Roman"/>
        </w:rPr>
        <w:t>Wymiar nominalny – każdy wymiar krawężnika, według specyfikacji.</w:t>
      </w:r>
    </w:p>
    <w:p w14:paraId="2364FD6D"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1.4.5. </w:t>
      </w:r>
      <w:r w:rsidRPr="00291A00">
        <w:rPr>
          <w:rFonts w:ascii="Times New Roman" w:hAnsi="Times New Roman" w:cs="Times New Roman"/>
        </w:rPr>
        <w:t xml:space="preserve"> Powierzchnia ciosana – powierzchnia nieobrobiona, taka jak po rozłupaniu.</w:t>
      </w:r>
    </w:p>
    <w:p w14:paraId="745B0208"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1.4.6. </w:t>
      </w:r>
      <w:r w:rsidRPr="00291A00">
        <w:rPr>
          <w:rFonts w:ascii="Times New Roman" w:hAnsi="Times New Roman" w:cs="Times New Roman"/>
        </w:rPr>
        <w:t>Obrabianie mechaniczne – wykończenie powierzchni z widocznymi śladami narzędzi, uzyskane z zastosowaniem obróbki mechanicznej.</w:t>
      </w:r>
    </w:p>
    <w:p w14:paraId="6269D907"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1.4.7. </w:t>
      </w:r>
      <w:r w:rsidRPr="00291A00">
        <w:rPr>
          <w:rFonts w:ascii="Times New Roman" w:hAnsi="Times New Roman" w:cs="Times New Roman"/>
        </w:rPr>
        <w:t>Pozostałe określenia podstawowe są zgodne z obowiązującymi, odpowiednimi polskimi normami i z definicjami podanymi w OST D-M-00.00.00 „Wymagania ogólne”[1] pkt 1.4.</w:t>
      </w:r>
    </w:p>
    <w:p w14:paraId="11B7BF95" w14:textId="77777777" w:rsidR="000D3174" w:rsidRPr="00291A00" w:rsidRDefault="000D3174" w:rsidP="00577746">
      <w:pPr>
        <w:pStyle w:val="Nagwek2"/>
        <w:ind w:left="851" w:hanging="851"/>
        <w:jc w:val="both"/>
        <w:rPr>
          <w:sz w:val="22"/>
          <w:szCs w:val="22"/>
        </w:rPr>
      </w:pPr>
      <w:r w:rsidRPr="00291A00">
        <w:rPr>
          <w:sz w:val="22"/>
          <w:szCs w:val="22"/>
        </w:rPr>
        <w:t>1.5. Ogólne wymagania dotyczące robót</w:t>
      </w:r>
    </w:p>
    <w:p w14:paraId="513D6908"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Ogólne wymagania dotyczące robót podano w OST D-M-00.00.00 „Wymagania ogólne” [1] pkt 1.5.</w:t>
      </w:r>
    </w:p>
    <w:p w14:paraId="3BF330B2" w14:textId="77777777" w:rsidR="000D3174" w:rsidRPr="00291A00" w:rsidRDefault="000D3174" w:rsidP="00577746">
      <w:pPr>
        <w:jc w:val="both"/>
        <w:rPr>
          <w:rFonts w:ascii="Times New Roman" w:hAnsi="Times New Roman" w:cs="Times New Roman"/>
        </w:rPr>
      </w:pPr>
    </w:p>
    <w:p w14:paraId="7B9FFFDE" w14:textId="77777777" w:rsidR="000D3174" w:rsidRPr="00291A00" w:rsidRDefault="000D3174" w:rsidP="00577746">
      <w:pPr>
        <w:pStyle w:val="Nagwek1"/>
        <w:ind w:left="851" w:hanging="851"/>
        <w:jc w:val="both"/>
        <w:rPr>
          <w:sz w:val="22"/>
          <w:szCs w:val="22"/>
        </w:rPr>
      </w:pPr>
      <w:bookmarkStart w:id="885" w:name="_2._MATERIAŁY_1"/>
      <w:bookmarkStart w:id="886" w:name="_Toc213130270"/>
      <w:bookmarkEnd w:id="885"/>
      <w:r w:rsidRPr="00291A00">
        <w:rPr>
          <w:sz w:val="22"/>
          <w:szCs w:val="22"/>
        </w:rPr>
        <w:lastRenderedPageBreak/>
        <w:t>2. MATERIAŁY</w:t>
      </w:r>
      <w:bookmarkEnd w:id="886"/>
    </w:p>
    <w:p w14:paraId="4427D45F" w14:textId="77777777" w:rsidR="000D3174" w:rsidRPr="00291A00" w:rsidRDefault="000D3174" w:rsidP="00577746">
      <w:pPr>
        <w:pStyle w:val="Nagwek2"/>
        <w:ind w:left="851" w:hanging="851"/>
        <w:jc w:val="both"/>
        <w:rPr>
          <w:sz w:val="22"/>
          <w:szCs w:val="22"/>
        </w:rPr>
      </w:pPr>
      <w:r w:rsidRPr="00291A00">
        <w:rPr>
          <w:sz w:val="22"/>
          <w:szCs w:val="22"/>
        </w:rPr>
        <w:t>2.1. Ogólne wymagania dotyczące materiałów</w:t>
      </w:r>
    </w:p>
    <w:p w14:paraId="470B0991"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Ogólne wymagania dotyczące materiałów, ich pozyskiwania i składowania, podano w ST D-M-00.00.00 „Wymagania ogólne” pkt 2.</w:t>
      </w:r>
    </w:p>
    <w:p w14:paraId="0D7ADD57" w14:textId="77777777" w:rsidR="000D3174" w:rsidRPr="00291A00" w:rsidRDefault="000D3174" w:rsidP="00577746">
      <w:pPr>
        <w:pStyle w:val="Nagwek2"/>
        <w:ind w:left="851" w:hanging="851"/>
        <w:jc w:val="both"/>
        <w:rPr>
          <w:sz w:val="22"/>
          <w:szCs w:val="22"/>
        </w:rPr>
      </w:pPr>
      <w:r w:rsidRPr="00291A00">
        <w:rPr>
          <w:sz w:val="22"/>
          <w:szCs w:val="22"/>
        </w:rPr>
        <w:t>2.2. Materiały do wykonania robót</w:t>
      </w:r>
    </w:p>
    <w:p w14:paraId="3D8A0808" w14:textId="77777777" w:rsidR="000D3174" w:rsidRPr="00291A00" w:rsidRDefault="000D3174" w:rsidP="00577746">
      <w:pPr>
        <w:spacing w:after="120"/>
        <w:jc w:val="both"/>
        <w:rPr>
          <w:rFonts w:ascii="Times New Roman" w:hAnsi="Times New Roman" w:cs="Times New Roman"/>
        </w:rPr>
      </w:pPr>
      <w:r w:rsidRPr="00291A00">
        <w:rPr>
          <w:rFonts w:ascii="Times New Roman" w:hAnsi="Times New Roman" w:cs="Times New Roman"/>
          <w:b/>
        </w:rPr>
        <w:t xml:space="preserve">2.2.1. </w:t>
      </w:r>
      <w:r w:rsidRPr="00291A00">
        <w:rPr>
          <w:rFonts w:ascii="Times New Roman" w:hAnsi="Times New Roman" w:cs="Times New Roman"/>
        </w:rPr>
        <w:t>Zgodność materiałów z dokumentacją projektową</w:t>
      </w:r>
    </w:p>
    <w:p w14:paraId="7362E1EF" w14:textId="77777777" w:rsidR="000D3174" w:rsidRPr="00291A00" w:rsidRDefault="000D3174" w:rsidP="00577746">
      <w:pPr>
        <w:spacing w:after="120"/>
        <w:jc w:val="both"/>
        <w:rPr>
          <w:rFonts w:ascii="Times New Roman" w:hAnsi="Times New Roman" w:cs="Times New Roman"/>
        </w:rPr>
      </w:pPr>
      <w:r w:rsidRPr="00291A00">
        <w:rPr>
          <w:rFonts w:ascii="Times New Roman" w:hAnsi="Times New Roman" w:cs="Times New Roman"/>
        </w:rPr>
        <w:tab/>
        <w:t>Materiały do wykonania robót powinny być zgodne z ustaleniami dokumentacji projektowej lub ST.</w:t>
      </w:r>
    </w:p>
    <w:p w14:paraId="33829585" w14:textId="77777777" w:rsidR="000D3174" w:rsidRPr="00291A00" w:rsidRDefault="000D3174" w:rsidP="00577746">
      <w:pPr>
        <w:spacing w:after="120"/>
        <w:jc w:val="both"/>
        <w:rPr>
          <w:rFonts w:ascii="Times New Roman" w:hAnsi="Times New Roman" w:cs="Times New Roman"/>
        </w:rPr>
      </w:pPr>
      <w:r w:rsidRPr="00291A00">
        <w:rPr>
          <w:rFonts w:ascii="Times New Roman" w:hAnsi="Times New Roman" w:cs="Times New Roman"/>
          <w:b/>
        </w:rPr>
        <w:t xml:space="preserve">2.2.2. </w:t>
      </w:r>
      <w:r w:rsidRPr="00291A00">
        <w:rPr>
          <w:rFonts w:ascii="Times New Roman" w:hAnsi="Times New Roman" w:cs="Times New Roman"/>
        </w:rPr>
        <w:t>Stosowane materiały</w:t>
      </w:r>
    </w:p>
    <w:p w14:paraId="33AEE75C"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Przy ustawianiu krawężników na ławach można stosować następujące materiały:</w:t>
      </w:r>
    </w:p>
    <w:p w14:paraId="57EE784E" w14:textId="77777777" w:rsidR="000D3174" w:rsidRPr="00291A00" w:rsidRDefault="000D3174" w:rsidP="00904E6C">
      <w:pPr>
        <w:numPr>
          <w:ilvl w:val="0"/>
          <w:numId w:val="401"/>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krawężniki kamienne,</w:t>
      </w:r>
    </w:p>
    <w:p w14:paraId="728A37E7" w14:textId="77777777" w:rsidR="000D3174" w:rsidRPr="00291A00" w:rsidRDefault="000D3174" w:rsidP="00904E6C">
      <w:pPr>
        <w:numPr>
          <w:ilvl w:val="0"/>
          <w:numId w:val="401"/>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piasek na podsypkę i do zapraw,</w:t>
      </w:r>
    </w:p>
    <w:p w14:paraId="3B8F8484" w14:textId="77777777" w:rsidR="000D3174" w:rsidRPr="00291A00" w:rsidRDefault="000D3174" w:rsidP="00904E6C">
      <w:pPr>
        <w:numPr>
          <w:ilvl w:val="0"/>
          <w:numId w:val="401"/>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cement do podsypki i do zapraw,</w:t>
      </w:r>
    </w:p>
    <w:p w14:paraId="0BDB8F80" w14:textId="77777777" w:rsidR="000D3174" w:rsidRPr="00291A00" w:rsidRDefault="000D3174" w:rsidP="00904E6C">
      <w:pPr>
        <w:numPr>
          <w:ilvl w:val="0"/>
          <w:numId w:val="401"/>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wodę,</w:t>
      </w:r>
    </w:p>
    <w:p w14:paraId="011CE949" w14:textId="77777777" w:rsidR="000D3174" w:rsidRPr="00291A00" w:rsidRDefault="000D3174" w:rsidP="00904E6C">
      <w:pPr>
        <w:numPr>
          <w:ilvl w:val="0"/>
          <w:numId w:val="401"/>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materiały do wykonania ławy.</w:t>
      </w:r>
    </w:p>
    <w:p w14:paraId="4D2E4972"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2.2.3. </w:t>
      </w:r>
      <w:r w:rsidRPr="00291A00">
        <w:rPr>
          <w:rFonts w:ascii="Times New Roman" w:hAnsi="Times New Roman" w:cs="Times New Roman"/>
        </w:rPr>
        <w:t>Krawężniki kamienne</w:t>
      </w:r>
    </w:p>
    <w:p w14:paraId="03C46F8A"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2.2.3.1. Wymagania ogólne wobec krawężników</w:t>
      </w:r>
    </w:p>
    <w:p w14:paraId="21F7A6E6" w14:textId="77777777" w:rsidR="000D3174" w:rsidRPr="00291A00" w:rsidRDefault="000D3174" w:rsidP="00904E6C">
      <w:pPr>
        <w:numPr>
          <w:ilvl w:val="0"/>
          <w:numId w:val="402"/>
        </w:numPr>
        <w:overflowPunct w:val="0"/>
        <w:autoSpaceDE w:val="0"/>
        <w:autoSpaceDN w:val="0"/>
        <w:adjustRightInd w:val="0"/>
        <w:spacing w:before="120" w:after="0" w:line="240" w:lineRule="auto"/>
        <w:jc w:val="both"/>
        <w:textAlignment w:val="baseline"/>
        <w:rPr>
          <w:rFonts w:ascii="Times New Roman" w:hAnsi="Times New Roman" w:cs="Times New Roman"/>
        </w:rPr>
      </w:pPr>
      <w:r w:rsidRPr="00291A00">
        <w:rPr>
          <w:rFonts w:ascii="Times New Roman" w:hAnsi="Times New Roman" w:cs="Times New Roman"/>
        </w:rPr>
        <w:t>jeśli nie ustalono inaczej, krawężniki powinny być dostarczane o długości 1 m,</w:t>
      </w:r>
    </w:p>
    <w:p w14:paraId="34CA8E03" w14:textId="77777777" w:rsidR="000D3174" w:rsidRPr="00291A00" w:rsidRDefault="000D3174" w:rsidP="00904E6C">
      <w:pPr>
        <w:numPr>
          <w:ilvl w:val="0"/>
          <w:numId w:val="402"/>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 przypadku krawężników łukowych długość jest dłuższym wymiarem; minimalna długość krawężników łukowych powinna wynosić 50 cm, długość maksymalną określa producent; krawężniki łukowe powinny być identyfikowane za pośrednictwem promienia powierzchni pionowej; długość całkowitą kilku krawężników łukowych należy mierzyć bez uwzględnienia spoin na krawędziach wspólnych powierzchni widocznych; końce krawężników łukowych powinny być zaokrąglone,</w:t>
      </w:r>
    </w:p>
    <w:p w14:paraId="59B6D55E" w14:textId="77777777" w:rsidR="000D3174" w:rsidRPr="00291A00" w:rsidRDefault="000D3174" w:rsidP="00904E6C">
      <w:pPr>
        <w:numPr>
          <w:ilvl w:val="0"/>
          <w:numId w:val="402"/>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ostre krawędzie krawężników mogą mieć fazy o nominalnych wymiarach pionowych i poziomych nie przekraczających 2 mm; wymiary większych faz, zaokrąglonych naroży lub skosów, jeśli są stosowane, powinny być określone przez dostawcę lub zamawiającego,</w:t>
      </w:r>
    </w:p>
    <w:p w14:paraId="56244D8A" w14:textId="77777777" w:rsidR="000D3174" w:rsidRPr="00291A00" w:rsidRDefault="000D3174" w:rsidP="00904E6C">
      <w:pPr>
        <w:numPr>
          <w:ilvl w:val="0"/>
          <w:numId w:val="402"/>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rozróżnia się różne kształty krawężników, np. prostokątne, skośne, podcięte, z fazą, zaokrąglone itp. (przykłady w zał. 1),</w:t>
      </w:r>
    </w:p>
    <w:p w14:paraId="49BF9188" w14:textId="77777777" w:rsidR="000D3174" w:rsidRPr="00291A00" w:rsidRDefault="000D3174" w:rsidP="00904E6C">
      <w:pPr>
        <w:numPr>
          <w:ilvl w:val="0"/>
          <w:numId w:val="402"/>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rozróżnia się dwa typy krawężników (przykłady w zał. 2):</w:t>
      </w:r>
    </w:p>
    <w:p w14:paraId="553EE58C" w14:textId="77777777" w:rsidR="000D3174" w:rsidRPr="00291A00" w:rsidRDefault="000D3174" w:rsidP="00904E6C">
      <w:pPr>
        <w:numPr>
          <w:ilvl w:val="1"/>
          <w:numId w:val="402"/>
        </w:numPr>
        <w:tabs>
          <w:tab w:val="clear" w:pos="1457"/>
          <w:tab w:val="num" w:pos="567"/>
        </w:tabs>
        <w:overflowPunct w:val="0"/>
        <w:autoSpaceDE w:val="0"/>
        <w:autoSpaceDN w:val="0"/>
        <w:adjustRightInd w:val="0"/>
        <w:spacing w:after="0" w:line="240" w:lineRule="auto"/>
        <w:ind w:left="567" w:hanging="283"/>
        <w:jc w:val="both"/>
        <w:textAlignment w:val="baseline"/>
        <w:rPr>
          <w:rFonts w:ascii="Times New Roman" w:hAnsi="Times New Roman" w:cs="Times New Roman"/>
        </w:rPr>
      </w:pPr>
      <w:r w:rsidRPr="00291A00">
        <w:rPr>
          <w:rFonts w:ascii="Times New Roman" w:hAnsi="Times New Roman" w:cs="Times New Roman"/>
        </w:rPr>
        <w:t>uliczne, do oddzielenia powierzchni znajdujących się na różnych poziomach (np. jezdni i chodnika),</w:t>
      </w:r>
    </w:p>
    <w:p w14:paraId="68F90F36" w14:textId="77777777" w:rsidR="000D3174" w:rsidRPr="00291A00" w:rsidRDefault="000D3174" w:rsidP="00904E6C">
      <w:pPr>
        <w:numPr>
          <w:ilvl w:val="1"/>
          <w:numId w:val="402"/>
        </w:numPr>
        <w:tabs>
          <w:tab w:val="clear" w:pos="1457"/>
          <w:tab w:val="num" w:pos="567"/>
        </w:tabs>
        <w:overflowPunct w:val="0"/>
        <w:autoSpaceDE w:val="0"/>
        <w:autoSpaceDN w:val="0"/>
        <w:adjustRightInd w:val="0"/>
        <w:spacing w:after="0" w:line="240" w:lineRule="auto"/>
        <w:ind w:left="567" w:hanging="283"/>
        <w:jc w:val="both"/>
        <w:textAlignment w:val="baseline"/>
        <w:rPr>
          <w:rFonts w:ascii="Times New Roman" w:hAnsi="Times New Roman" w:cs="Times New Roman"/>
        </w:rPr>
      </w:pPr>
      <w:r w:rsidRPr="00291A00">
        <w:rPr>
          <w:rFonts w:ascii="Times New Roman" w:hAnsi="Times New Roman" w:cs="Times New Roman"/>
        </w:rPr>
        <w:t>drogowe (wtopione), do oddzielenia powierzchni znajdujących się na tym samym poziomie (np. jezdni i pobocza),</w:t>
      </w:r>
    </w:p>
    <w:p w14:paraId="35C98547" w14:textId="77777777" w:rsidR="000D3174" w:rsidRPr="00291A00" w:rsidRDefault="000D3174" w:rsidP="00904E6C">
      <w:pPr>
        <w:numPr>
          <w:ilvl w:val="0"/>
          <w:numId w:val="40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na powierzchni czołowej krawężników nie powinno być otworów montażowych,</w:t>
      </w:r>
    </w:p>
    <w:p w14:paraId="0F0AB589" w14:textId="77777777" w:rsidR="000D3174" w:rsidRPr="00291A00" w:rsidRDefault="000D3174" w:rsidP="00904E6C">
      <w:pPr>
        <w:numPr>
          <w:ilvl w:val="0"/>
          <w:numId w:val="40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rozróżnia się różne klasy odnoszące się do określonych właściwości wyrobu, które ustala dokumentacja projektowa lub Inżynier.</w:t>
      </w:r>
    </w:p>
    <w:p w14:paraId="28E2F9D9" w14:textId="77777777" w:rsidR="000D3174" w:rsidRPr="00291A00" w:rsidRDefault="000D3174" w:rsidP="00577746">
      <w:pPr>
        <w:spacing w:before="120" w:after="120"/>
        <w:jc w:val="both"/>
        <w:rPr>
          <w:rFonts w:ascii="Times New Roman" w:hAnsi="Times New Roman" w:cs="Times New Roman"/>
        </w:rPr>
      </w:pPr>
      <w:r w:rsidRPr="00291A00">
        <w:rPr>
          <w:rFonts w:ascii="Times New Roman" w:hAnsi="Times New Roman" w:cs="Times New Roman"/>
        </w:rPr>
        <w:t>2.2.3.2. Wymagania techniczne wobec krawężników</w:t>
      </w:r>
    </w:p>
    <w:p w14:paraId="2697D2B3"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Wymagania techniczne stawiane krawężnikom kamiennym określa PN-EN 1343 [5] w sposób przedstawiony w tablicy 1.</w:t>
      </w:r>
    </w:p>
    <w:p w14:paraId="297AE0D7" w14:textId="77777777" w:rsidR="000D3174" w:rsidRPr="00291A00" w:rsidRDefault="000D3174" w:rsidP="00577746">
      <w:pPr>
        <w:spacing w:before="60"/>
        <w:jc w:val="both"/>
        <w:rPr>
          <w:rFonts w:ascii="Times New Roman" w:hAnsi="Times New Roman" w:cs="Times New Roman"/>
        </w:rPr>
      </w:pPr>
      <w:r w:rsidRPr="00291A00">
        <w:rPr>
          <w:rFonts w:ascii="Times New Roman" w:hAnsi="Times New Roman" w:cs="Times New Roman"/>
        </w:rPr>
        <w:t>Tablica 1. Wymagania wobec krawężnika kamiennego, ustalone w PN-EN 1343 [5] (Uwaga: Klasy poszczególnych parametrów powinny być ustalone w dokumentacji projektowej lub przez Inżyniera)</w:t>
      </w:r>
    </w:p>
    <w:tbl>
      <w:tblPr>
        <w:tblW w:w="8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193"/>
        <w:gridCol w:w="236"/>
        <w:gridCol w:w="3403"/>
        <w:gridCol w:w="132"/>
        <w:gridCol w:w="937"/>
        <w:gridCol w:w="61"/>
        <w:gridCol w:w="1060"/>
        <w:gridCol w:w="412"/>
        <w:gridCol w:w="536"/>
        <w:gridCol w:w="889"/>
      </w:tblGrid>
      <w:tr w:rsidR="000D3174" w:rsidRPr="00291A00" w14:paraId="14F0B20A" w14:textId="77777777" w:rsidTr="00585490">
        <w:trPr>
          <w:jc w:val="center"/>
        </w:trPr>
        <w:tc>
          <w:tcPr>
            <w:tcW w:w="503" w:type="dxa"/>
            <w:tcBorders>
              <w:bottom w:val="double" w:sz="4" w:space="0" w:color="auto"/>
            </w:tcBorders>
          </w:tcPr>
          <w:p w14:paraId="6A105A57" w14:textId="77777777" w:rsidR="000D3174" w:rsidRPr="00291A00" w:rsidRDefault="000D3174" w:rsidP="00585490">
            <w:pPr>
              <w:spacing w:before="60" w:after="60"/>
              <w:jc w:val="center"/>
              <w:rPr>
                <w:rFonts w:ascii="Times New Roman" w:hAnsi="Times New Roman" w:cs="Times New Roman"/>
              </w:rPr>
            </w:pPr>
            <w:r w:rsidRPr="00291A00">
              <w:rPr>
                <w:rFonts w:ascii="Times New Roman" w:hAnsi="Times New Roman" w:cs="Times New Roman"/>
              </w:rPr>
              <w:t>Lp.</w:t>
            </w:r>
          </w:p>
        </w:tc>
        <w:tc>
          <w:tcPr>
            <w:tcW w:w="4042" w:type="dxa"/>
            <w:gridSpan w:val="4"/>
            <w:tcBorders>
              <w:bottom w:val="double" w:sz="4" w:space="0" w:color="auto"/>
            </w:tcBorders>
          </w:tcPr>
          <w:p w14:paraId="1066AB54" w14:textId="77777777" w:rsidR="000D3174" w:rsidRPr="00291A00" w:rsidRDefault="000D3174" w:rsidP="00585490">
            <w:pPr>
              <w:spacing w:before="60" w:after="60"/>
              <w:jc w:val="center"/>
              <w:rPr>
                <w:rFonts w:ascii="Times New Roman" w:hAnsi="Times New Roman" w:cs="Times New Roman"/>
              </w:rPr>
            </w:pPr>
            <w:r w:rsidRPr="00291A00">
              <w:rPr>
                <w:rFonts w:ascii="Times New Roman" w:hAnsi="Times New Roman" w:cs="Times New Roman"/>
              </w:rPr>
              <w:t>Cecha</w:t>
            </w:r>
          </w:p>
        </w:tc>
        <w:tc>
          <w:tcPr>
            <w:tcW w:w="943" w:type="dxa"/>
            <w:tcBorders>
              <w:bottom w:val="double" w:sz="4" w:space="0" w:color="auto"/>
            </w:tcBorders>
          </w:tcPr>
          <w:p w14:paraId="4DC76252" w14:textId="77777777" w:rsidR="000D3174" w:rsidRPr="00291A00" w:rsidRDefault="000D3174" w:rsidP="00585490">
            <w:pPr>
              <w:spacing w:before="60" w:after="60"/>
              <w:jc w:val="center"/>
              <w:rPr>
                <w:rFonts w:ascii="Times New Roman" w:hAnsi="Times New Roman" w:cs="Times New Roman"/>
              </w:rPr>
            </w:pPr>
            <w:r w:rsidRPr="00291A00">
              <w:rPr>
                <w:rFonts w:ascii="Times New Roman" w:hAnsi="Times New Roman" w:cs="Times New Roman"/>
              </w:rPr>
              <w:t>Norma</w:t>
            </w:r>
          </w:p>
        </w:tc>
        <w:tc>
          <w:tcPr>
            <w:tcW w:w="2887" w:type="dxa"/>
            <w:gridSpan w:val="5"/>
            <w:tcBorders>
              <w:bottom w:val="double" w:sz="4" w:space="0" w:color="auto"/>
            </w:tcBorders>
          </w:tcPr>
          <w:p w14:paraId="7513D574" w14:textId="77777777" w:rsidR="000D3174" w:rsidRPr="00291A00" w:rsidRDefault="000D3174" w:rsidP="00585490">
            <w:pPr>
              <w:spacing w:before="60" w:after="60"/>
              <w:jc w:val="center"/>
              <w:rPr>
                <w:rFonts w:ascii="Times New Roman" w:hAnsi="Times New Roman" w:cs="Times New Roman"/>
              </w:rPr>
            </w:pPr>
            <w:r w:rsidRPr="00291A00">
              <w:rPr>
                <w:rFonts w:ascii="Times New Roman" w:hAnsi="Times New Roman" w:cs="Times New Roman"/>
              </w:rPr>
              <w:t>Wymagania</w:t>
            </w:r>
          </w:p>
        </w:tc>
      </w:tr>
      <w:tr w:rsidR="000D3174" w:rsidRPr="00291A00" w14:paraId="65AA9B16" w14:textId="77777777" w:rsidTr="00585490">
        <w:trPr>
          <w:trHeight w:val="213"/>
          <w:jc w:val="center"/>
        </w:trPr>
        <w:tc>
          <w:tcPr>
            <w:tcW w:w="503" w:type="dxa"/>
            <w:tcBorders>
              <w:top w:val="double" w:sz="4" w:space="0" w:color="auto"/>
            </w:tcBorders>
          </w:tcPr>
          <w:p w14:paraId="70EAD68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lastRenderedPageBreak/>
              <w:t>1</w:t>
            </w:r>
          </w:p>
        </w:tc>
        <w:tc>
          <w:tcPr>
            <w:tcW w:w="4042" w:type="dxa"/>
            <w:gridSpan w:val="4"/>
            <w:tcBorders>
              <w:top w:val="double" w:sz="4" w:space="0" w:color="auto"/>
            </w:tcBorders>
          </w:tcPr>
          <w:p w14:paraId="7C345839"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Dopuszczalne odchyłki, w mm</w:t>
            </w:r>
          </w:p>
          <w:p w14:paraId="7F296DA0"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a) całkowitej szerokości i wysokości</w:t>
            </w:r>
          </w:p>
        </w:tc>
        <w:tc>
          <w:tcPr>
            <w:tcW w:w="943" w:type="dxa"/>
            <w:vMerge w:val="restart"/>
            <w:tcBorders>
              <w:top w:val="double" w:sz="4" w:space="0" w:color="auto"/>
            </w:tcBorders>
          </w:tcPr>
          <w:p w14:paraId="735F9B1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PN-EN 1343,</w:t>
            </w:r>
          </w:p>
        </w:tc>
        <w:tc>
          <w:tcPr>
            <w:tcW w:w="1038" w:type="dxa"/>
            <w:gridSpan w:val="2"/>
            <w:vMerge w:val="restart"/>
            <w:tcBorders>
              <w:top w:val="double" w:sz="4" w:space="0" w:color="auto"/>
            </w:tcBorders>
            <w:vAlign w:val="center"/>
          </w:tcPr>
          <w:p w14:paraId="35CEC1D0"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Szerokość</w:t>
            </w:r>
          </w:p>
        </w:tc>
        <w:tc>
          <w:tcPr>
            <w:tcW w:w="1849" w:type="dxa"/>
            <w:gridSpan w:val="3"/>
            <w:tcBorders>
              <w:top w:val="double" w:sz="4" w:space="0" w:color="auto"/>
            </w:tcBorders>
          </w:tcPr>
          <w:p w14:paraId="57EE226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Wysokość</w:t>
            </w:r>
          </w:p>
        </w:tc>
      </w:tr>
      <w:tr w:rsidR="000D3174" w:rsidRPr="00291A00" w14:paraId="16A44F34" w14:textId="77777777" w:rsidTr="00585490">
        <w:trPr>
          <w:gridBefore w:val="2"/>
          <w:wBefore w:w="696" w:type="dxa"/>
          <w:trHeight w:val="147"/>
          <w:jc w:val="center"/>
        </w:trPr>
        <w:tc>
          <w:tcPr>
            <w:tcW w:w="236" w:type="dxa"/>
            <w:tcBorders>
              <w:bottom w:val="nil"/>
            </w:tcBorders>
          </w:tcPr>
          <w:p w14:paraId="5D0C9ABE" w14:textId="77777777" w:rsidR="000D3174" w:rsidRPr="00291A00" w:rsidRDefault="000D3174" w:rsidP="00585490">
            <w:pPr>
              <w:spacing w:before="60"/>
              <w:jc w:val="center"/>
              <w:rPr>
                <w:rFonts w:ascii="Times New Roman" w:hAnsi="Times New Roman" w:cs="Times New Roman"/>
              </w:rPr>
            </w:pPr>
          </w:p>
        </w:tc>
        <w:tc>
          <w:tcPr>
            <w:tcW w:w="3613" w:type="dxa"/>
            <w:gridSpan w:val="2"/>
            <w:tcBorders>
              <w:bottom w:val="nil"/>
            </w:tcBorders>
          </w:tcPr>
          <w:p w14:paraId="47995F9D" w14:textId="77777777" w:rsidR="000D3174" w:rsidRPr="00291A00" w:rsidRDefault="000D3174" w:rsidP="00585490">
            <w:pPr>
              <w:spacing w:before="60"/>
              <w:rPr>
                <w:rFonts w:ascii="Times New Roman" w:hAnsi="Times New Roman" w:cs="Times New Roman"/>
              </w:rPr>
            </w:pPr>
          </w:p>
        </w:tc>
        <w:tc>
          <w:tcPr>
            <w:tcW w:w="943" w:type="dxa"/>
            <w:vMerge/>
            <w:tcBorders>
              <w:bottom w:val="nil"/>
            </w:tcBorders>
          </w:tcPr>
          <w:p w14:paraId="61F5D5C9" w14:textId="77777777" w:rsidR="000D3174" w:rsidRPr="00291A00" w:rsidRDefault="000D3174" w:rsidP="00585490">
            <w:pPr>
              <w:spacing w:before="60"/>
              <w:jc w:val="center"/>
              <w:rPr>
                <w:rFonts w:ascii="Times New Roman" w:hAnsi="Times New Roman" w:cs="Times New Roman"/>
              </w:rPr>
            </w:pPr>
          </w:p>
        </w:tc>
        <w:tc>
          <w:tcPr>
            <w:tcW w:w="1038" w:type="dxa"/>
            <w:gridSpan w:val="2"/>
            <w:vMerge/>
            <w:tcBorders>
              <w:bottom w:val="single" w:sz="4" w:space="0" w:color="auto"/>
            </w:tcBorders>
          </w:tcPr>
          <w:p w14:paraId="2F17725D" w14:textId="77777777" w:rsidR="000D3174" w:rsidRPr="00291A00" w:rsidRDefault="000D3174" w:rsidP="00585490">
            <w:pPr>
              <w:rPr>
                <w:rFonts w:ascii="Times New Roman" w:hAnsi="Times New Roman" w:cs="Times New Roman"/>
              </w:rPr>
            </w:pPr>
          </w:p>
        </w:tc>
        <w:tc>
          <w:tcPr>
            <w:tcW w:w="959" w:type="dxa"/>
            <w:gridSpan w:val="2"/>
            <w:tcBorders>
              <w:top w:val="single" w:sz="4" w:space="0" w:color="auto"/>
              <w:bottom w:val="single" w:sz="4" w:space="0" w:color="auto"/>
            </w:tcBorders>
          </w:tcPr>
          <w:p w14:paraId="318B144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Klasa 1</w:t>
            </w:r>
          </w:p>
        </w:tc>
        <w:tc>
          <w:tcPr>
            <w:tcW w:w="890" w:type="dxa"/>
            <w:tcBorders>
              <w:top w:val="single" w:sz="4" w:space="0" w:color="auto"/>
              <w:bottom w:val="single" w:sz="4" w:space="0" w:color="auto"/>
            </w:tcBorders>
          </w:tcPr>
          <w:p w14:paraId="3F96C8D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Klasa 2</w:t>
            </w:r>
          </w:p>
        </w:tc>
      </w:tr>
      <w:tr w:rsidR="000D3174" w:rsidRPr="00291A00" w14:paraId="7702F4D6" w14:textId="77777777" w:rsidTr="00585490">
        <w:trPr>
          <w:trHeight w:val="111"/>
          <w:jc w:val="center"/>
        </w:trPr>
        <w:tc>
          <w:tcPr>
            <w:tcW w:w="503" w:type="dxa"/>
            <w:tcBorders>
              <w:top w:val="nil"/>
              <w:bottom w:val="nil"/>
            </w:tcBorders>
          </w:tcPr>
          <w:p w14:paraId="387F48F8"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061F2C16" w14:textId="77777777" w:rsidR="000D3174" w:rsidRPr="00291A00" w:rsidRDefault="000D3174" w:rsidP="00904E6C">
            <w:pPr>
              <w:numPr>
                <w:ilvl w:val="0"/>
                <w:numId w:val="40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pomiędzy dwoma powierzchniami ciosanymi</w:t>
            </w:r>
          </w:p>
        </w:tc>
        <w:tc>
          <w:tcPr>
            <w:tcW w:w="943" w:type="dxa"/>
            <w:tcBorders>
              <w:top w:val="nil"/>
              <w:bottom w:val="nil"/>
            </w:tcBorders>
          </w:tcPr>
          <w:p w14:paraId="74EB013C"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zał. A [5]</w:t>
            </w:r>
          </w:p>
        </w:tc>
        <w:tc>
          <w:tcPr>
            <w:tcW w:w="1038" w:type="dxa"/>
            <w:gridSpan w:val="2"/>
            <w:tcBorders>
              <w:top w:val="single" w:sz="4" w:space="0" w:color="auto"/>
              <w:bottom w:val="nil"/>
            </w:tcBorders>
          </w:tcPr>
          <w:p w14:paraId="769B524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w:t>
            </w:r>
          </w:p>
        </w:tc>
        <w:tc>
          <w:tcPr>
            <w:tcW w:w="959" w:type="dxa"/>
            <w:gridSpan w:val="2"/>
            <w:tcBorders>
              <w:top w:val="single" w:sz="4" w:space="0" w:color="auto"/>
              <w:bottom w:val="nil"/>
            </w:tcBorders>
          </w:tcPr>
          <w:p w14:paraId="3FB16FC0"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30</w:t>
            </w:r>
          </w:p>
        </w:tc>
        <w:tc>
          <w:tcPr>
            <w:tcW w:w="890" w:type="dxa"/>
            <w:tcBorders>
              <w:top w:val="single" w:sz="4" w:space="0" w:color="auto"/>
              <w:bottom w:val="nil"/>
            </w:tcBorders>
          </w:tcPr>
          <w:p w14:paraId="1518E481"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20</w:t>
            </w:r>
          </w:p>
        </w:tc>
      </w:tr>
      <w:tr w:rsidR="000D3174" w:rsidRPr="00291A00" w14:paraId="43173E61" w14:textId="77777777" w:rsidTr="00585490">
        <w:trPr>
          <w:trHeight w:val="203"/>
          <w:jc w:val="center"/>
        </w:trPr>
        <w:tc>
          <w:tcPr>
            <w:tcW w:w="503" w:type="dxa"/>
            <w:tcBorders>
              <w:top w:val="nil"/>
              <w:bottom w:val="nil"/>
            </w:tcBorders>
          </w:tcPr>
          <w:p w14:paraId="4777BCFD"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579A0A81" w14:textId="77777777" w:rsidR="000D3174" w:rsidRPr="00291A00" w:rsidRDefault="000D3174" w:rsidP="00904E6C">
            <w:pPr>
              <w:numPr>
                <w:ilvl w:val="0"/>
                <w:numId w:val="40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pomiędzy powierzchnią obrabianą i ciosaną</w:t>
            </w:r>
          </w:p>
        </w:tc>
        <w:tc>
          <w:tcPr>
            <w:tcW w:w="943" w:type="dxa"/>
            <w:tcBorders>
              <w:top w:val="nil"/>
              <w:bottom w:val="nil"/>
            </w:tcBorders>
          </w:tcPr>
          <w:p w14:paraId="4B91D379" w14:textId="77777777" w:rsidR="000D3174" w:rsidRPr="00291A00" w:rsidRDefault="000D3174" w:rsidP="00585490">
            <w:pPr>
              <w:jc w:val="center"/>
              <w:rPr>
                <w:rFonts w:ascii="Times New Roman" w:hAnsi="Times New Roman" w:cs="Times New Roman"/>
              </w:rPr>
            </w:pPr>
          </w:p>
        </w:tc>
        <w:tc>
          <w:tcPr>
            <w:tcW w:w="1038" w:type="dxa"/>
            <w:gridSpan w:val="2"/>
            <w:tcBorders>
              <w:top w:val="nil"/>
              <w:bottom w:val="nil"/>
            </w:tcBorders>
          </w:tcPr>
          <w:p w14:paraId="346AB64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w:t>
            </w:r>
          </w:p>
        </w:tc>
        <w:tc>
          <w:tcPr>
            <w:tcW w:w="959" w:type="dxa"/>
            <w:gridSpan w:val="2"/>
            <w:tcBorders>
              <w:top w:val="nil"/>
              <w:bottom w:val="nil"/>
            </w:tcBorders>
          </w:tcPr>
          <w:p w14:paraId="7CDF9C2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30</w:t>
            </w:r>
          </w:p>
        </w:tc>
        <w:tc>
          <w:tcPr>
            <w:tcW w:w="890" w:type="dxa"/>
            <w:tcBorders>
              <w:top w:val="nil"/>
              <w:bottom w:val="nil"/>
            </w:tcBorders>
          </w:tcPr>
          <w:p w14:paraId="2976869F"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20</w:t>
            </w:r>
          </w:p>
        </w:tc>
      </w:tr>
      <w:tr w:rsidR="000D3174" w:rsidRPr="00291A00" w14:paraId="33DE9E66" w14:textId="77777777" w:rsidTr="00585490">
        <w:trPr>
          <w:trHeight w:val="203"/>
          <w:jc w:val="center"/>
        </w:trPr>
        <w:tc>
          <w:tcPr>
            <w:tcW w:w="503" w:type="dxa"/>
            <w:tcBorders>
              <w:top w:val="nil"/>
              <w:bottom w:val="nil"/>
            </w:tcBorders>
          </w:tcPr>
          <w:p w14:paraId="6DC0E70D"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1C6CD96F" w14:textId="77777777" w:rsidR="000D3174" w:rsidRPr="00291A00" w:rsidRDefault="000D3174" w:rsidP="00904E6C">
            <w:pPr>
              <w:numPr>
                <w:ilvl w:val="0"/>
                <w:numId w:val="404"/>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pomiędzy dwoma powierzchniami obrabianymi</w:t>
            </w:r>
          </w:p>
        </w:tc>
        <w:tc>
          <w:tcPr>
            <w:tcW w:w="943" w:type="dxa"/>
            <w:tcBorders>
              <w:top w:val="nil"/>
              <w:bottom w:val="nil"/>
            </w:tcBorders>
          </w:tcPr>
          <w:p w14:paraId="16DE269B" w14:textId="77777777" w:rsidR="000D3174" w:rsidRPr="00291A00" w:rsidRDefault="000D3174" w:rsidP="00585490">
            <w:pPr>
              <w:jc w:val="center"/>
              <w:rPr>
                <w:rFonts w:ascii="Times New Roman" w:hAnsi="Times New Roman" w:cs="Times New Roman"/>
              </w:rPr>
            </w:pPr>
          </w:p>
        </w:tc>
        <w:tc>
          <w:tcPr>
            <w:tcW w:w="1038" w:type="dxa"/>
            <w:gridSpan w:val="2"/>
            <w:tcBorders>
              <w:top w:val="nil"/>
            </w:tcBorders>
          </w:tcPr>
          <w:p w14:paraId="637BD36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w:t>
            </w:r>
          </w:p>
        </w:tc>
        <w:tc>
          <w:tcPr>
            <w:tcW w:w="959" w:type="dxa"/>
            <w:gridSpan w:val="2"/>
            <w:tcBorders>
              <w:top w:val="nil"/>
            </w:tcBorders>
          </w:tcPr>
          <w:p w14:paraId="206956F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w:t>
            </w:r>
          </w:p>
        </w:tc>
        <w:tc>
          <w:tcPr>
            <w:tcW w:w="890" w:type="dxa"/>
            <w:tcBorders>
              <w:top w:val="nil"/>
            </w:tcBorders>
          </w:tcPr>
          <w:p w14:paraId="0439AE41"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w:t>
            </w:r>
          </w:p>
        </w:tc>
      </w:tr>
      <w:tr w:rsidR="000D3174" w:rsidRPr="00291A00" w14:paraId="052C47C8" w14:textId="77777777" w:rsidTr="00585490">
        <w:trPr>
          <w:trHeight w:val="223"/>
          <w:jc w:val="center"/>
        </w:trPr>
        <w:tc>
          <w:tcPr>
            <w:tcW w:w="503" w:type="dxa"/>
            <w:tcBorders>
              <w:top w:val="nil"/>
              <w:bottom w:val="nil"/>
            </w:tcBorders>
          </w:tcPr>
          <w:p w14:paraId="7E6F7E07"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1642BD9E"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b) na skosach krawężników z fazą, w mm</w:t>
            </w:r>
          </w:p>
        </w:tc>
        <w:tc>
          <w:tcPr>
            <w:tcW w:w="943" w:type="dxa"/>
            <w:tcBorders>
              <w:top w:val="nil"/>
              <w:bottom w:val="nil"/>
            </w:tcBorders>
          </w:tcPr>
          <w:p w14:paraId="19711F9B" w14:textId="77777777" w:rsidR="000D3174" w:rsidRPr="00291A00" w:rsidRDefault="000D3174" w:rsidP="00585490">
            <w:pPr>
              <w:jc w:val="center"/>
              <w:rPr>
                <w:rFonts w:ascii="Times New Roman" w:hAnsi="Times New Roman" w:cs="Times New Roman"/>
              </w:rPr>
            </w:pPr>
          </w:p>
        </w:tc>
        <w:tc>
          <w:tcPr>
            <w:tcW w:w="1451" w:type="dxa"/>
            <w:gridSpan w:val="3"/>
            <w:tcBorders>
              <w:top w:val="single" w:sz="4" w:space="0" w:color="auto"/>
              <w:bottom w:val="single" w:sz="4" w:space="0" w:color="auto"/>
            </w:tcBorders>
            <w:vAlign w:val="center"/>
          </w:tcPr>
          <w:p w14:paraId="23D6428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Klasa 1</w:t>
            </w:r>
          </w:p>
        </w:tc>
        <w:tc>
          <w:tcPr>
            <w:tcW w:w="1436" w:type="dxa"/>
            <w:gridSpan w:val="2"/>
            <w:tcBorders>
              <w:top w:val="single" w:sz="4" w:space="0" w:color="auto"/>
              <w:bottom w:val="single" w:sz="4" w:space="0" w:color="auto"/>
            </w:tcBorders>
            <w:vAlign w:val="center"/>
          </w:tcPr>
          <w:p w14:paraId="6DC3A20A"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Klasa 2</w:t>
            </w:r>
          </w:p>
        </w:tc>
      </w:tr>
      <w:tr w:rsidR="000D3174" w:rsidRPr="00291A00" w14:paraId="1C974EBC" w14:textId="77777777" w:rsidTr="00585490">
        <w:trPr>
          <w:trHeight w:val="81"/>
          <w:jc w:val="center"/>
        </w:trPr>
        <w:tc>
          <w:tcPr>
            <w:tcW w:w="503" w:type="dxa"/>
            <w:tcBorders>
              <w:top w:val="nil"/>
              <w:bottom w:val="nil"/>
            </w:tcBorders>
          </w:tcPr>
          <w:p w14:paraId="0ECA77BC"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086023FE" w14:textId="77777777" w:rsidR="000D3174" w:rsidRPr="00291A00" w:rsidRDefault="000D3174" w:rsidP="00904E6C">
            <w:pPr>
              <w:numPr>
                <w:ilvl w:val="0"/>
                <w:numId w:val="405"/>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powierzchnie piłowane</w:t>
            </w:r>
          </w:p>
        </w:tc>
        <w:tc>
          <w:tcPr>
            <w:tcW w:w="943" w:type="dxa"/>
            <w:tcBorders>
              <w:top w:val="nil"/>
              <w:bottom w:val="nil"/>
            </w:tcBorders>
          </w:tcPr>
          <w:p w14:paraId="6B517FB1" w14:textId="77777777" w:rsidR="000D3174" w:rsidRPr="00291A00" w:rsidRDefault="000D3174" w:rsidP="00585490">
            <w:pPr>
              <w:jc w:val="center"/>
              <w:rPr>
                <w:rFonts w:ascii="Times New Roman" w:hAnsi="Times New Roman" w:cs="Times New Roman"/>
              </w:rPr>
            </w:pPr>
          </w:p>
        </w:tc>
        <w:tc>
          <w:tcPr>
            <w:tcW w:w="1451" w:type="dxa"/>
            <w:gridSpan w:val="3"/>
            <w:tcBorders>
              <w:top w:val="single" w:sz="4" w:space="0" w:color="auto"/>
              <w:bottom w:val="nil"/>
            </w:tcBorders>
          </w:tcPr>
          <w:p w14:paraId="309CA0E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w:t>
            </w:r>
          </w:p>
        </w:tc>
        <w:tc>
          <w:tcPr>
            <w:tcW w:w="1436" w:type="dxa"/>
            <w:gridSpan w:val="2"/>
            <w:tcBorders>
              <w:top w:val="single" w:sz="4" w:space="0" w:color="auto"/>
              <w:bottom w:val="nil"/>
            </w:tcBorders>
          </w:tcPr>
          <w:p w14:paraId="03D4FA69"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2</w:t>
            </w:r>
          </w:p>
        </w:tc>
      </w:tr>
      <w:tr w:rsidR="000D3174" w:rsidRPr="00291A00" w14:paraId="4AB3FBCD" w14:textId="77777777" w:rsidTr="00585490">
        <w:trPr>
          <w:trHeight w:val="153"/>
          <w:jc w:val="center"/>
        </w:trPr>
        <w:tc>
          <w:tcPr>
            <w:tcW w:w="503" w:type="dxa"/>
            <w:tcBorders>
              <w:top w:val="nil"/>
              <w:bottom w:val="nil"/>
            </w:tcBorders>
          </w:tcPr>
          <w:p w14:paraId="73B44BCC"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66CCD894" w14:textId="77777777" w:rsidR="000D3174" w:rsidRPr="00291A00" w:rsidRDefault="000D3174" w:rsidP="00904E6C">
            <w:pPr>
              <w:numPr>
                <w:ilvl w:val="0"/>
                <w:numId w:val="405"/>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powierzchnie ciosane</w:t>
            </w:r>
          </w:p>
        </w:tc>
        <w:tc>
          <w:tcPr>
            <w:tcW w:w="943" w:type="dxa"/>
            <w:tcBorders>
              <w:top w:val="nil"/>
              <w:bottom w:val="nil"/>
            </w:tcBorders>
          </w:tcPr>
          <w:p w14:paraId="5B9D8F30" w14:textId="77777777" w:rsidR="000D3174" w:rsidRPr="00291A00" w:rsidRDefault="000D3174" w:rsidP="00585490">
            <w:pPr>
              <w:jc w:val="center"/>
              <w:rPr>
                <w:rFonts w:ascii="Times New Roman" w:hAnsi="Times New Roman" w:cs="Times New Roman"/>
              </w:rPr>
            </w:pPr>
          </w:p>
        </w:tc>
        <w:tc>
          <w:tcPr>
            <w:tcW w:w="1451" w:type="dxa"/>
            <w:gridSpan w:val="3"/>
            <w:tcBorders>
              <w:top w:val="nil"/>
              <w:bottom w:val="nil"/>
            </w:tcBorders>
          </w:tcPr>
          <w:p w14:paraId="468B141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15</w:t>
            </w:r>
          </w:p>
        </w:tc>
        <w:tc>
          <w:tcPr>
            <w:tcW w:w="1436" w:type="dxa"/>
            <w:gridSpan w:val="2"/>
            <w:tcBorders>
              <w:top w:val="nil"/>
              <w:bottom w:val="nil"/>
            </w:tcBorders>
          </w:tcPr>
          <w:p w14:paraId="608E35D4"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15</w:t>
            </w:r>
          </w:p>
        </w:tc>
      </w:tr>
      <w:tr w:rsidR="000D3174" w:rsidRPr="00291A00" w14:paraId="49E16EA6" w14:textId="77777777" w:rsidTr="00585490">
        <w:trPr>
          <w:trHeight w:val="185"/>
          <w:jc w:val="center"/>
        </w:trPr>
        <w:tc>
          <w:tcPr>
            <w:tcW w:w="503" w:type="dxa"/>
            <w:tcBorders>
              <w:top w:val="nil"/>
              <w:bottom w:val="nil"/>
            </w:tcBorders>
          </w:tcPr>
          <w:p w14:paraId="75CFD5FD"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4151480A" w14:textId="77777777" w:rsidR="000D3174" w:rsidRPr="00291A00" w:rsidRDefault="000D3174" w:rsidP="00904E6C">
            <w:pPr>
              <w:numPr>
                <w:ilvl w:val="0"/>
                <w:numId w:val="405"/>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powierzchnie obrabiane</w:t>
            </w:r>
          </w:p>
        </w:tc>
        <w:tc>
          <w:tcPr>
            <w:tcW w:w="943" w:type="dxa"/>
            <w:tcBorders>
              <w:top w:val="nil"/>
              <w:bottom w:val="nil"/>
            </w:tcBorders>
          </w:tcPr>
          <w:p w14:paraId="66458EA8" w14:textId="77777777" w:rsidR="000D3174" w:rsidRPr="00291A00" w:rsidRDefault="000D3174" w:rsidP="00585490">
            <w:pPr>
              <w:jc w:val="center"/>
              <w:rPr>
                <w:rFonts w:ascii="Times New Roman" w:hAnsi="Times New Roman" w:cs="Times New Roman"/>
              </w:rPr>
            </w:pPr>
          </w:p>
        </w:tc>
        <w:tc>
          <w:tcPr>
            <w:tcW w:w="1451" w:type="dxa"/>
            <w:gridSpan w:val="3"/>
            <w:tcBorders>
              <w:top w:val="nil"/>
              <w:bottom w:val="single" w:sz="4" w:space="0" w:color="auto"/>
            </w:tcBorders>
          </w:tcPr>
          <w:p w14:paraId="157EB9DF"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w:t>
            </w:r>
          </w:p>
        </w:tc>
        <w:tc>
          <w:tcPr>
            <w:tcW w:w="1436" w:type="dxa"/>
            <w:gridSpan w:val="2"/>
            <w:tcBorders>
              <w:top w:val="nil"/>
              <w:bottom w:val="single" w:sz="4" w:space="0" w:color="auto"/>
            </w:tcBorders>
          </w:tcPr>
          <w:p w14:paraId="39AD56A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w:t>
            </w:r>
          </w:p>
        </w:tc>
      </w:tr>
      <w:tr w:rsidR="000D3174" w:rsidRPr="00291A00" w14:paraId="25FDF86F" w14:textId="77777777" w:rsidTr="00585490">
        <w:trPr>
          <w:trHeight w:val="274"/>
          <w:jc w:val="center"/>
        </w:trPr>
        <w:tc>
          <w:tcPr>
            <w:tcW w:w="503" w:type="dxa"/>
            <w:tcBorders>
              <w:top w:val="nil"/>
              <w:bottom w:val="nil"/>
            </w:tcBorders>
          </w:tcPr>
          <w:p w14:paraId="685EC26D"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1655AD90" w14:textId="77777777" w:rsidR="000D3174" w:rsidRPr="00291A00" w:rsidRDefault="000D3174" w:rsidP="00585490">
            <w:pPr>
              <w:ind w:left="133" w:hanging="133"/>
              <w:rPr>
                <w:rFonts w:ascii="Times New Roman" w:hAnsi="Times New Roman" w:cs="Times New Roman"/>
              </w:rPr>
            </w:pPr>
            <w:r w:rsidRPr="00291A00">
              <w:rPr>
                <w:rFonts w:ascii="Times New Roman" w:hAnsi="Times New Roman" w:cs="Times New Roman"/>
              </w:rPr>
              <w:t>c) powierzchni czołowych krawężników prostych, w mm</w:t>
            </w:r>
          </w:p>
        </w:tc>
        <w:tc>
          <w:tcPr>
            <w:tcW w:w="943" w:type="dxa"/>
            <w:tcBorders>
              <w:top w:val="nil"/>
              <w:bottom w:val="nil"/>
            </w:tcBorders>
          </w:tcPr>
          <w:p w14:paraId="6FF0183E" w14:textId="77777777" w:rsidR="000D3174" w:rsidRPr="00291A00" w:rsidRDefault="000D3174" w:rsidP="00585490">
            <w:pPr>
              <w:jc w:val="center"/>
              <w:rPr>
                <w:rFonts w:ascii="Times New Roman" w:hAnsi="Times New Roman" w:cs="Times New Roman"/>
              </w:rPr>
            </w:pPr>
          </w:p>
        </w:tc>
        <w:tc>
          <w:tcPr>
            <w:tcW w:w="1451" w:type="dxa"/>
            <w:gridSpan w:val="3"/>
            <w:tcBorders>
              <w:top w:val="single" w:sz="4" w:space="0" w:color="auto"/>
            </w:tcBorders>
            <w:vAlign w:val="center"/>
          </w:tcPr>
          <w:p w14:paraId="68DF05CC"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ciosane</w:t>
            </w:r>
          </w:p>
        </w:tc>
        <w:tc>
          <w:tcPr>
            <w:tcW w:w="1436" w:type="dxa"/>
            <w:gridSpan w:val="2"/>
            <w:tcBorders>
              <w:top w:val="single" w:sz="4" w:space="0" w:color="auto"/>
            </w:tcBorders>
            <w:vAlign w:val="center"/>
          </w:tcPr>
          <w:p w14:paraId="4EEE45F0"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obrabiane</w:t>
            </w:r>
          </w:p>
        </w:tc>
      </w:tr>
      <w:tr w:rsidR="000D3174" w:rsidRPr="00291A00" w14:paraId="6C23392F" w14:textId="77777777" w:rsidTr="00585490">
        <w:trPr>
          <w:trHeight w:val="315"/>
          <w:jc w:val="center"/>
        </w:trPr>
        <w:tc>
          <w:tcPr>
            <w:tcW w:w="503" w:type="dxa"/>
            <w:tcBorders>
              <w:top w:val="nil"/>
              <w:bottom w:val="nil"/>
            </w:tcBorders>
          </w:tcPr>
          <w:p w14:paraId="1B30718D"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2C80DCAE" w14:textId="77777777" w:rsidR="000D3174" w:rsidRPr="00291A00" w:rsidRDefault="000D3174" w:rsidP="00904E6C">
            <w:pPr>
              <w:numPr>
                <w:ilvl w:val="0"/>
                <w:numId w:val="406"/>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prostoliniowość krawędzi równoległych do powierzchni górnej</w:t>
            </w:r>
          </w:p>
        </w:tc>
        <w:tc>
          <w:tcPr>
            <w:tcW w:w="943" w:type="dxa"/>
            <w:tcBorders>
              <w:top w:val="nil"/>
              <w:bottom w:val="nil"/>
            </w:tcBorders>
          </w:tcPr>
          <w:p w14:paraId="669ECA5D" w14:textId="77777777" w:rsidR="000D3174" w:rsidRPr="00291A00" w:rsidRDefault="000D3174" w:rsidP="00585490">
            <w:pPr>
              <w:jc w:val="center"/>
              <w:rPr>
                <w:rFonts w:ascii="Times New Roman" w:hAnsi="Times New Roman" w:cs="Times New Roman"/>
              </w:rPr>
            </w:pPr>
          </w:p>
        </w:tc>
        <w:tc>
          <w:tcPr>
            <w:tcW w:w="1451" w:type="dxa"/>
            <w:gridSpan w:val="3"/>
            <w:tcBorders>
              <w:top w:val="single" w:sz="4" w:space="0" w:color="auto"/>
              <w:bottom w:val="nil"/>
            </w:tcBorders>
          </w:tcPr>
          <w:p w14:paraId="74C632B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6</w:t>
            </w:r>
          </w:p>
        </w:tc>
        <w:tc>
          <w:tcPr>
            <w:tcW w:w="1436" w:type="dxa"/>
            <w:gridSpan w:val="2"/>
            <w:tcBorders>
              <w:top w:val="single" w:sz="4" w:space="0" w:color="auto"/>
              <w:bottom w:val="nil"/>
            </w:tcBorders>
          </w:tcPr>
          <w:p w14:paraId="72957E82"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w:t>
            </w:r>
          </w:p>
        </w:tc>
      </w:tr>
      <w:tr w:rsidR="000D3174" w:rsidRPr="00291A00" w14:paraId="72B05545" w14:textId="77777777" w:rsidTr="00585490">
        <w:trPr>
          <w:trHeight w:val="295"/>
          <w:jc w:val="center"/>
        </w:trPr>
        <w:tc>
          <w:tcPr>
            <w:tcW w:w="503" w:type="dxa"/>
            <w:tcBorders>
              <w:top w:val="nil"/>
              <w:bottom w:val="nil"/>
            </w:tcBorders>
          </w:tcPr>
          <w:p w14:paraId="1E55B8F0"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59A48236" w14:textId="77777777" w:rsidR="000D3174" w:rsidRPr="00291A00" w:rsidRDefault="000D3174" w:rsidP="00904E6C">
            <w:pPr>
              <w:numPr>
                <w:ilvl w:val="0"/>
                <w:numId w:val="406"/>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prostoliniowość krawędzi prostopadłych do powierzchni górnej, 3 mm  od góry</w:t>
            </w:r>
          </w:p>
        </w:tc>
        <w:tc>
          <w:tcPr>
            <w:tcW w:w="943" w:type="dxa"/>
            <w:tcBorders>
              <w:top w:val="nil"/>
              <w:bottom w:val="nil"/>
            </w:tcBorders>
          </w:tcPr>
          <w:p w14:paraId="17244635" w14:textId="77777777" w:rsidR="000D3174" w:rsidRPr="00291A00" w:rsidRDefault="000D3174" w:rsidP="00585490">
            <w:pPr>
              <w:jc w:val="center"/>
              <w:rPr>
                <w:rFonts w:ascii="Times New Roman" w:hAnsi="Times New Roman" w:cs="Times New Roman"/>
              </w:rPr>
            </w:pPr>
          </w:p>
        </w:tc>
        <w:tc>
          <w:tcPr>
            <w:tcW w:w="1451" w:type="dxa"/>
            <w:gridSpan w:val="3"/>
            <w:tcBorders>
              <w:top w:val="nil"/>
              <w:bottom w:val="nil"/>
            </w:tcBorders>
          </w:tcPr>
          <w:p w14:paraId="65A62B01"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6</w:t>
            </w:r>
          </w:p>
        </w:tc>
        <w:tc>
          <w:tcPr>
            <w:tcW w:w="1436" w:type="dxa"/>
            <w:gridSpan w:val="2"/>
            <w:tcBorders>
              <w:top w:val="nil"/>
              <w:bottom w:val="nil"/>
            </w:tcBorders>
          </w:tcPr>
          <w:p w14:paraId="32CCB7B4"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w:t>
            </w:r>
          </w:p>
        </w:tc>
      </w:tr>
      <w:tr w:rsidR="000D3174" w:rsidRPr="00291A00" w14:paraId="7C2C7ABA" w14:textId="77777777" w:rsidTr="00585490">
        <w:trPr>
          <w:trHeight w:val="315"/>
          <w:jc w:val="center"/>
        </w:trPr>
        <w:tc>
          <w:tcPr>
            <w:tcW w:w="503" w:type="dxa"/>
            <w:tcBorders>
              <w:top w:val="nil"/>
              <w:bottom w:val="nil"/>
            </w:tcBorders>
          </w:tcPr>
          <w:p w14:paraId="71C432F2"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0EE369EC" w14:textId="77777777" w:rsidR="000D3174" w:rsidRPr="00291A00" w:rsidRDefault="000D3174" w:rsidP="00904E6C">
            <w:pPr>
              <w:numPr>
                <w:ilvl w:val="0"/>
                <w:numId w:val="406"/>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prostopadłość pomiędzy powierzchniami górną  i czołową, gdy tworzą one kąt prosty</w:t>
            </w:r>
          </w:p>
        </w:tc>
        <w:tc>
          <w:tcPr>
            <w:tcW w:w="943" w:type="dxa"/>
            <w:tcBorders>
              <w:top w:val="nil"/>
              <w:bottom w:val="nil"/>
            </w:tcBorders>
          </w:tcPr>
          <w:p w14:paraId="45634DE3" w14:textId="77777777" w:rsidR="000D3174" w:rsidRPr="00291A00" w:rsidRDefault="000D3174" w:rsidP="00585490">
            <w:pPr>
              <w:jc w:val="center"/>
              <w:rPr>
                <w:rFonts w:ascii="Times New Roman" w:hAnsi="Times New Roman" w:cs="Times New Roman"/>
              </w:rPr>
            </w:pPr>
          </w:p>
        </w:tc>
        <w:tc>
          <w:tcPr>
            <w:tcW w:w="1451" w:type="dxa"/>
            <w:gridSpan w:val="3"/>
            <w:tcBorders>
              <w:top w:val="nil"/>
              <w:bottom w:val="nil"/>
            </w:tcBorders>
          </w:tcPr>
          <w:p w14:paraId="0DAFDE6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w:t>
            </w:r>
          </w:p>
        </w:tc>
        <w:tc>
          <w:tcPr>
            <w:tcW w:w="1436" w:type="dxa"/>
            <w:gridSpan w:val="2"/>
            <w:tcBorders>
              <w:top w:val="nil"/>
              <w:bottom w:val="nil"/>
            </w:tcBorders>
          </w:tcPr>
          <w:p w14:paraId="2EF4B0B9"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7</w:t>
            </w:r>
          </w:p>
        </w:tc>
      </w:tr>
      <w:tr w:rsidR="000D3174" w:rsidRPr="00291A00" w14:paraId="44831AA4" w14:textId="77777777" w:rsidTr="00585490">
        <w:trPr>
          <w:trHeight w:val="149"/>
          <w:jc w:val="center"/>
        </w:trPr>
        <w:tc>
          <w:tcPr>
            <w:tcW w:w="503" w:type="dxa"/>
            <w:tcBorders>
              <w:top w:val="nil"/>
              <w:bottom w:val="nil"/>
            </w:tcBorders>
          </w:tcPr>
          <w:p w14:paraId="516D2363"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62F36381" w14:textId="77777777" w:rsidR="000D3174" w:rsidRPr="00291A00" w:rsidRDefault="000D3174" w:rsidP="00904E6C">
            <w:pPr>
              <w:numPr>
                <w:ilvl w:val="0"/>
                <w:numId w:val="406"/>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nierówności górnej powierzchni</w:t>
            </w:r>
          </w:p>
        </w:tc>
        <w:tc>
          <w:tcPr>
            <w:tcW w:w="943" w:type="dxa"/>
            <w:tcBorders>
              <w:top w:val="nil"/>
              <w:bottom w:val="nil"/>
            </w:tcBorders>
          </w:tcPr>
          <w:p w14:paraId="2E3D4433" w14:textId="77777777" w:rsidR="000D3174" w:rsidRPr="00291A00" w:rsidRDefault="000D3174" w:rsidP="00585490">
            <w:pPr>
              <w:jc w:val="center"/>
              <w:rPr>
                <w:rFonts w:ascii="Times New Roman" w:hAnsi="Times New Roman" w:cs="Times New Roman"/>
              </w:rPr>
            </w:pPr>
          </w:p>
        </w:tc>
        <w:tc>
          <w:tcPr>
            <w:tcW w:w="1451" w:type="dxa"/>
            <w:gridSpan w:val="3"/>
            <w:tcBorders>
              <w:top w:val="nil"/>
              <w:bottom w:val="nil"/>
            </w:tcBorders>
          </w:tcPr>
          <w:p w14:paraId="7F6E276C"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w:t>
            </w:r>
          </w:p>
        </w:tc>
        <w:tc>
          <w:tcPr>
            <w:tcW w:w="1436" w:type="dxa"/>
            <w:gridSpan w:val="2"/>
            <w:tcBorders>
              <w:top w:val="nil"/>
              <w:bottom w:val="nil"/>
            </w:tcBorders>
          </w:tcPr>
          <w:p w14:paraId="3FEB64B4"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w:t>
            </w:r>
          </w:p>
        </w:tc>
      </w:tr>
      <w:tr w:rsidR="000D3174" w:rsidRPr="00291A00" w14:paraId="2BDB333D" w14:textId="77777777" w:rsidTr="00585490">
        <w:trPr>
          <w:trHeight w:val="335"/>
          <w:jc w:val="center"/>
        </w:trPr>
        <w:tc>
          <w:tcPr>
            <w:tcW w:w="503" w:type="dxa"/>
            <w:tcBorders>
              <w:top w:val="nil"/>
              <w:bottom w:val="nil"/>
            </w:tcBorders>
          </w:tcPr>
          <w:p w14:paraId="74A1E9D4" w14:textId="77777777" w:rsidR="000D3174" w:rsidRPr="00291A00" w:rsidRDefault="000D3174" w:rsidP="00585490">
            <w:pPr>
              <w:jc w:val="center"/>
              <w:rPr>
                <w:rFonts w:ascii="Times New Roman" w:hAnsi="Times New Roman" w:cs="Times New Roman"/>
              </w:rPr>
            </w:pPr>
          </w:p>
        </w:tc>
        <w:tc>
          <w:tcPr>
            <w:tcW w:w="4042" w:type="dxa"/>
            <w:gridSpan w:val="4"/>
            <w:tcBorders>
              <w:top w:val="nil"/>
              <w:bottom w:val="nil"/>
            </w:tcBorders>
          </w:tcPr>
          <w:p w14:paraId="02946B92" w14:textId="77777777" w:rsidR="000D3174" w:rsidRPr="00291A00" w:rsidRDefault="000D3174" w:rsidP="00904E6C">
            <w:pPr>
              <w:numPr>
                <w:ilvl w:val="0"/>
                <w:numId w:val="406"/>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prostopadłość pomiędzy powierzchnią górną              i powierzchnią tylną</w:t>
            </w:r>
          </w:p>
        </w:tc>
        <w:tc>
          <w:tcPr>
            <w:tcW w:w="943" w:type="dxa"/>
            <w:tcBorders>
              <w:top w:val="nil"/>
              <w:bottom w:val="nil"/>
            </w:tcBorders>
          </w:tcPr>
          <w:p w14:paraId="12EF75C4" w14:textId="77777777" w:rsidR="000D3174" w:rsidRPr="00291A00" w:rsidRDefault="000D3174" w:rsidP="00585490">
            <w:pPr>
              <w:jc w:val="center"/>
              <w:rPr>
                <w:rFonts w:ascii="Times New Roman" w:hAnsi="Times New Roman" w:cs="Times New Roman"/>
              </w:rPr>
            </w:pPr>
          </w:p>
        </w:tc>
        <w:tc>
          <w:tcPr>
            <w:tcW w:w="2887" w:type="dxa"/>
            <w:gridSpan w:val="5"/>
            <w:tcBorders>
              <w:top w:val="nil"/>
            </w:tcBorders>
          </w:tcPr>
          <w:p w14:paraId="07859CC0"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wszystkie krawężniki ± 5</w:t>
            </w:r>
          </w:p>
        </w:tc>
      </w:tr>
      <w:tr w:rsidR="000D3174" w:rsidRPr="00291A00" w14:paraId="3DD3D76A" w14:textId="77777777" w:rsidTr="00585490">
        <w:trPr>
          <w:trHeight w:val="1439"/>
          <w:jc w:val="center"/>
        </w:trPr>
        <w:tc>
          <w:tcPr>
            <w:tcW w:w="503" w:type="dxa"/>
            <w:tcBorders>
              <w:top w:val="nil"/>
            </w:tcBorders>
          </w:tcPr>
          <w:p w14:paraId="13497B90" w14:textId="77777777" w:rsidR="000D3174" w:rsidRPr="00291A00" w:rsidRDefault="000D3174" w:rsidP="00585490">
            <w:pPr>
              <w:spacing w:before="60"/>
              <w:jc w:val="center"/>
              <w:rPr>
                <w:rFonts w:ascii="Times New Roman" w:hAnsi="Times New Roman" w:cs="Times New Roman"/>
              </w:rPr>
            </w:pPr>
          </w:p>
        </w:tc>
        <w:tc>
          <w:tcPr>
            <w:tcW w:w="4042" w:type="dxa"/>
            <w:gridSpan w:val="4"/>
            <w:tcBorders>
              <w:top w:val="nil"/>
            </w:tcBorders>
          </w:tcPr>
          <w:p w14:paraId="0515F2F9" w14:textId="77777777" w:rsidR="000D3174" w:rsidRPr="00291A00" w:rsidRDefault="000D3174" w:rsidP="00585490">
            <w:pPr>
              <w:ind w:left="130" w:hanging="130"/>
              <w:rPr>
                <w:rFonts w:ascii="Times New Roman" w:hAnsi="Times New Roman" w:cs="Times New Roman"/>
              </w:rPr>
            </w:pPr>
            <w:r w:rsidRPr="00291A00">
              <w:rPr>
                <w:rFonts w:ascii="Times New Roman" w:hAnsi="Times New Roman" w:cs="Times New Roman"/>
              </w:rPr>
              <w:t>d) promień krawężników łukowych z powierzchnią ciosaną lub obrabianą, w porównaniu z powierzchnią po obróbce mechanicznej</w:t>
            </w:r>
          </w:p>
          <w:p w14:paraId="3616DBA7" w14:textId="77777777" w:rsidR="000D3174" w:rsidRPr="00291A00" w:rsidRDefault="000D3174" w:rsidP="00585490">
            <w:pPr>
              <w:ind w:left="130" w:hanging="130"/>
              <w:rPr>
                <w:rFonts w:ascii="Times New Roman" w:hAnsi="Times New Roman" w:cs="Times New Roman"/>
              </w:rPr>
            </w:pPr>
            <w:r w:rsidRPr="00291A00">
              <w:rPr>
                <w:rFonts w:ascii="Times New Roman" w:hAnsi="Times New Roman" w:cs="Times New Roman"/>
              </w:rPr>
              <w:t>e) nierówności (wypukłości i wklęsłości) powierzchni czołowej, w mm</w:t>
            </w:r>
          </w:p>
          <w:p w14:paraId="25F55B0E" w14:textId="77777777" w:rsidR="000D3174" w:rsidRPr="00291A00" w:rsidRDefault="000D3174" w:rsidP="00904E6C">
            <w:pPr>
              <w:numPr>
                <w:ilvl w:val="0"/>
                <w:numId w:val="407"/>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ciosanej</w:t>
            </w:r>
          </w:p>
          <w:p w14:paraId="50B2E334" w14:textId="77777777" w:rsidR="000D3174" w:rsidRPr="00291A00" w:rsidRDefault="000D3174" w:rsidP="00904E6C">
            <w:pPr>
              <w:numPr>
                <w:ilvl w:val="0"/>
                <w:numId w:val="407"/>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z grubą fakturą</w:t>
            </w:r>
          </w:p>
          <w:p w14:paraId="79C327CA" w14:textId="77777777" w:rsidR="000D3174" w:rsidRPr="00291A00" w:rsidRDefault="000D3174" w:rsidP="00904E6C">
            <w:pPr>
              <w:numPr>
                <w:ilvl w:val="0"/>
                <w:numId w:val="407"/>
              </w:numPr>
              <w:overflowPunct w:val="0"/>
              <w:autoSpaceDE w:val="0"/>
              <w:autoSpaceDN w:val="0"/>
              <w:adjustRightInd w:val="0"/>
              <w:spacing w:after="0" w:line="240" w:lineRule="auto"/>
              <w:textAlignment w:val="baseline"/>
              <w:rPr>
                <w:rFonts w:ascii="Times New Roman" w:hAnsi="Times New Roman" w:cs="Times New Roman"/>
              </w:rPr>
            </w:pPr>
            <w:r w:rsidRPr="00291A00">
              <w:rPr>
                <w:rFonts w:ascii="Times New Roman" w:hAnsi="Times New Roman" w:cs="Times New Roman"/>
              </w:rPr>
              <w:t>z drobną fakturą</w:t>
            </w:r>
          </w:p>
        </w:tc>
        <w:tc>
          <w:tcPr>
            <w:tcW w:w="943" w:type="dxa"/>
            <w:tcBorders>
              <w:top w:val="nil"/>
            </w:tcBorders>
          </w:tcPr>
          <w:p w14:paraId="4EDA71C9" w14:textId="77777777" w:rsidR="000D3174" w:rsidRPr="00291A00" w:rsidRDefault="000D3174" w:rsidP="00585490">
            <w:pPr>
              <w:jc w:val="center"/>
              <w:rPr>
                <w:rFonts w:ascii="Times New Roman" w:hAnsi="Times New Roman" w:cs="Times New Roman"/>
              </w:rPr>
            </w:pPr>
          </w:p>
        </w:tc>
        <w:tc>
          <w:tcPr>
            <w:tcW w:w="2887" w:type="dxa"/>
            <w:gridSpan w:val="5"/>
            <w:tcBorders>
              <w:top w:val="single" w:sz="4" w:space="0" w:color="auto"/>
            </w:tcBorders>
          </w:tcPr>
          <w:p w14:paraId="2D4BFA2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2% wartości zadeklarowanej</w:t>
            </w:r>
          </w:p>
          <w:p w14:paraId="56C92EC4" w14:textId="77777777" w:rsidR="000D3174" w:rsidRPr="00291A00" w:rsidRDefault="000D3174" w:rsidP="00585490">
            <w:pPr>
              <w:rPr>
                <w:rFonts w:ascii="Times New Roman" w:hAnsi="Times New Roman" w:cs="Times New Roman"/>
              </w:rPr>
            </w:pPr>
          </w:p>
          <w:p w14:paraId="7F140BA9" w14:textId="77777777" w:rsidR="000D3174" w:rsidRPr="00291A00" w:rsidRDefault="000D3174" w:rsidP="00585490">
            <w:pPr>
              <w:rPr>
                <w:rFonts w:ascii="Times New Roman" w:hAnsi="Times New Roman" w:cs="Times New Roman"/>
              </w:rPr>
            </w:pPr>
          </w:p>
          <w:p w14:paraId="3F105944" w14:textId="77777777" w:rsidR="000D3174" w:rsidRPr="00291A00" w:rsidRDefault="000D3174" w:rsidP="00585490">
            <w:pPr>
              <w:rPr>
                <w:rFonts w:ascii="Times New Roman" w:hAnsi="Times New Roman" w:cs="Times New Roman"/>
              </w:rPr>
            </w:pPr>
          </w:p>
          <w:p w14:paraId="713D5DBE" w14:textId="77777777" w:rsidR="000D3174" w:rsidRPr="00291A00" w:rsidRDefault="000D3174" w:rsidP="00585490">
            <w:pPr>
              <w:rPr>
                <w:rFonts w:ascii="Times New Roman" w:hAnsi="Times New Roman" w:cs="Times New Roman"/>
              </w:rPr>
            </w:pPr>
          </w:p>
          <w:p w14:paraId="5A422C45" w14:textId="77777777" w:rsidR="000D3174" w:rsidRPr="00291A00" w:rsidRDefault="000D3174" w:rsidP="00585490">
            <w:pPr>
              <w:rPr>
                <w:rFonts w:ascii="Times New Roman" w:hAnsi="Times New Roman" w:cs="Times New Roman"/>
              </w:rPr>
            </w:pPr>
          </w:p>
          <w:p w14:paraId="37A942C9"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+ 10,     – 15</w:t>
            </w:r>
          </w:p>
          <w:p w14:paraId="7373EC30"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5,     – 10</w:t>
            </w:r>
          </w:p>
          <w:p w14:paraId="4138DF1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   3,     –   3</w:t>
            </w:r>
          </w:p>
        </w:tc>
      </w:tr>
      <w:tr w:rsidR="000D3174" w:rsidRPr="00291A00" w14:paraId="77CA9A7F" w14:textId="77777777" w:rsidTr="00585490">
        <w:trPr>
          <w:jc w:val="center"/>
        </w:trPr>
        <w:tc>
          <w:tcPr>
            <w:tcW w:w="503" w:type="dxa"/>
          </w:tcPr>
          <w:p w14:paraId="02FBD7BA"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w:t>
            </w:r>
          </w:p>
        </w:tc>
        <w:tc>
          <w:tcPr>
            <w:tcW w:w="4042" w:type="dxa"/>
            <w:gridSpan w:val="4"/>
          </w:tcPr>
          <w:p w14:paraId="128FA25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Odporność na zamrażanie/rozmrażanie, przy liczbie cykli 48, dla klasy 1 (W przypadkach szczególnych zastosowań – norma dopuszcza inne rodzaje badań)</w:t>
            </w:r>
          </w:p>
        </w:tc>
        <w:tc>
          <w:tcPr>
            <w:tcW w:w="943" w:type="dxa"/>
          </w:tcPr>
          <w:p w14:paraId="2B54683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PN-EN 12371 [6]</w:t>
            </w:r>
          </w:p>
        </w:tc>
        <w:tc>
          <w:tcPr>
            <w:tcW w:w="2887" w:type="dxa"/>
            <w:gridSpan w:val="5"/>
          </w:tcPr>
          <w:p w14:paraId="602EA05B"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Odporne  (≤  20%  zmiany wytrzymałości na zginanie)</w:t>
            </w:r>
          </w:p>
        </w:tc>
      </w:tr>
      <w:tr w:rsidR="000D3174" w:rsidRPr="00291A00" w14:paraId="5D236645" w14:textId="77777777" w:rsidTr="00585490">
        <w:trPr>
          <w:jc w:val="center"/>
        </w:trPr>
        <w:tc>
          <w:tcPr>
            <w:tcW w:w="503" w:type="dxa"/>
          </w:tcPr>
          <w:p w14:paraId="3295F95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lastRenderedPageBreak/>
              <w:t>3</w:t>
            </w:r>
          </w:p>
        </w:tc>
        <w:tc>
          <w:tcPr>
            <w:tcW w:w="4042" w:type="dxa"/>
            <w:gridSpan w:val="4"/>
          </w:tcPr>
          <w:p w14:paraId="3E8C4F1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Wytrzymałość na zginanie, w MPa, powinna być zadeklarowana przez producenta, przy czym dla zastosowań na:</w:t>
            </w:r>
          </w:p>
          <w:p w14:paraId="27C3B559" w14:textId="77777777" w:rsidR="000D3174" w:rsidRPr="00291A00" w:rsidRDefault="000D3174" w:rsidP="00904E6C">
            <w:pPr>
              <w:numPr>
                <w:ilvl w:val="0"/>
                <w:numId w:val="408"/>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obszarach ruchu pieszego i rowerowego</w:t>
            </w:r>
          </w:p>
          <w:p w14:paraId="1A10D873" w14:textId="77777777" w:rsidR="000D3174" w:rsidRPr="00291A00" w:rsidRDefault="000D3174" w:rsidP="00904E6C">
            <w:pPr>
              <w:numPr>
                <w:ilvl w:val="0"/>
                <w:numId w:val="408"/>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obszarach dostępnych dla lekkich pojazdów i motocykli i sporadycznie dla samochodów; wjazd do garaży</w:t>
            </w:r>
          </w:p>
          <w:p w14:paraId="134C6156" w14:textId="77777777" w:rsidR="000D3174" w:rsidRPr="00291A00" w:rsidRDefault="000D3174" w:rsidP="00904E6C">
            <w:pPr>
              <w:numPr>
                <w:ilvl w:val="0"/>
                <w:numId w:val="408"/>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terenach spacerowych, placach targowych, sporadycznie użytkowanych przez pojazdy dostawcze i pogotowia</w:t>
            </w:r>
          </w:p>
          <w:p w14:paraId="743EE480" w14:textId="77777777" w:rsidR="000D3174" w:rsidRPr="00291A00" w:rsidRDefault="000D3174" w:rsidP="00904E6C">
            <w:pPr>
              <w:numPr>
                <w:ilvl w:val="0"/>
                <w:numId w:val="408"/>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obszarach ruchu pieszego często używanych przez samochody ciężarowe</w:t>
            </w:r>
          </w:p>
          <w:p w14:paraId="2BD0EE8C" w14:textId="77777777" w:rsidR="000D3174" w:rsidRPr="00291A00" w:rsidRDefault="000D3174" w:rsidP="00904E6C">
            <w:pPr>
              <w:numPr>
                <w:ilvl w:val="0"/>
                <w:numId w:val="408"/>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drogach i ulicach, stacjach benzynowych</w:t>
            </w:r>
          </w:p>
        </w:tc>
        <w:tc>
          <w:tcPr>
            <w:tcW w:w="943" w:type="dxa"/>
          </w:tcPr>
          <w:p w14:paraId="095C4801"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PN-EN 12372 [7],</w:t>
            </w:r>
          </w:p>
          <w:p w14:paraId="34430B5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PN-EN 1343,</w:t>
            </w:r>
          </w:p>
          <w:p w14:paraId="0B17765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zał. B [5]</w:t>
            </w:r>
          </w:p>
        </w:tc>
        <w:tc>
          <w:tcPr>
            <w:tcW w:w="2887" w:type="dxa"/>
            <w:gridSpan w:val="5"/>
          </w:tcPr>
          <w:p w14:paraId="1E2441C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Zalecone minimalne obciążenie niszczące, w kN</w:t>
            </w:r>
          </w:p>
          <w:p w14:paraId="6FFD068C" w14:textId="77777777" w:rsidR="000D3174" w:rsidRPr="00291A00" w:rsidRDefault="000D3174" w:rsidP="00585490">
            <w:pPr>
              <w:jc w:val="center"/>
              <w:rPr>
                <w:rFonts w:ascii="Times New Roman" w:hAnsi="Times New Roman" w:cs="Times New Roman"/>
              </w:rPr>
            </w:pPr>
          </w:p>
          <w:p w14:paraId="58F1281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3,5</w:t>
            </w:r>
          </w:p>
          <w:p w14:paraId="369BBE51"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6,0</w:t>
            </w:r>
          </w:p>
          <w:p w14:paraId="0FE0F99A" w14:textId="77777777" w:rsidR="000D3174" w:rsidRPr="00291A00" w:rsidRDefault="000D3174" w:rsidP="00585490">
            <w:pPr>
              <w:jc w:val="center"/>
              <w:rPr>
                <w:rFonts w:ascii="Times New Roman" w:hAnsi="Times New Roman" w:cs="Times New Roman"/>
              </w:rPr>
            </w:pPr>
          </w:p>
          <w:p w14:paraId="44D44A0F" w14:textId="77777777" w:rsidR="000D3174" w:rsidRPr="00291A00" w:rsidRDefault="000D3174" w:rsidP="00585490">
            <w:pPr>
              <w:jc w:val="center"/>
              <w:rPr>
                <w:rFonts w:ascii="Times New Roman" w:hAnsi="Times New Roman" w:cs="Times New Roman"/>
              </w:rPr>
            </w:pPr>
          </w:p>
          <w:p w14:paraId="1F29F55F"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9,0</w:t>
            </w:r>
          </w:p>
          <w:p w14:paraId="27B701C6" w14:textId="77777777" w:rsidR="000D3174" w:rsidRPr="00291A00" w:rsidRDefault="000D3174" w:rsidP="00585490">
            <w:pPr>
              <w:jc w:val="center"/>
              <w:rPr>
                <w:rFonts w:ascii="Times New Roman" w:hAnsi="Times New Roman" w:cs="Times New Roman"/>
              </w:rPr>
            </w:pPr>
          </w:p>
          <w:p w14:paraId="32CBCE9D" w14:textId="77777777" w:rsidR="000D3174" w:rsidRPr="00291A00" w:rsidRDefault="000D3174" w:rsidP="00585490">
            <w:pPr>
              <w:jc w:val="center"/>
              <w:rPr>
                <w:rFonts w:ascii="Times New Roman" w:hAnsi="Times New Roman" w:cs="Times New Roman"/>
              </w:rPr>
            </w:pPr>
          </w:p>
          <w:p w14:paraId="4FC2340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14,0</w:t>
            </w:r>
          </w:p>
          <w:p w14:paraId="6852C5F6" w14:textId="77777777" w:rsidR="000D3174" w:rsidRPr="00291A00" w:rsidRDefault="000D3174" w:rsidP="00585490">
            <w:pPr>
              <w:jc w:val="center"/>
              <w:rPr>
                <w:rFonts w:ascii="Times New Roman" w:hAnsi="Times New Roman" w:cs="Times New Roman"/>
              </w:rPr>
            </w:pPr>
          </w:p>
          <w:p w14:paraId="4A814AE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25,0</w:t>
            </w:r>
          </w:p>
        </w:tc>
      </w:tr>
      <w:tr w:rsidR="000D3174" w:rsidRPr="00291A00" w14:paraId="60ECD9F7" w14:textId="77777777" w:rsidTr="00585490">
        <w:trPr>
          <w:jc w:val="center"/>
        </w:trPr>
        <w:tc>
          <w:tcPr>
            <w:tcW w:w="503" w:type="dxa"/>
          </w:tcPr>
          <w:p w14:paraId="3217438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4</w:t>
            </w:r>
          </w:p>
        </w:tc>
        <w:tc>
          <w:tcPr>
            <w:tcW w:w="3907" w:type="dxa"/>
            <w:gridSpan w:val="3"/>
          </w:tcPr>
          <w:p w14:paraId="418753EF"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Wygląd</w:t>
            </w:r>
          </w:p>
        </w:tc>
        <w:tc>
          <w:tcPr>
            <w:tcW w:w="1113" w:type="dxa"/>
            <w:gridSpan w:val="3"/>
          </w:tcPr>
          <w:p w14:paraId="7FABDE3F"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PN-EN 1343 [5]</w:t>
            </w:r>
          </w:p>
        </w:tc>
        <w:tc>
          <w:tcPr>
            <w:tcW w:w="2852" w:type="dxa"/>
            <w:gridSpan w:val="4"/>
          </w:tcPr>
          <w:p w14:paraId="7F7A22B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 xml:space="preserve">1. Próbka odniesienia powinna poka-zywać wygląd gotowego wyrobu oraz dawać przybliżone pojęcie w odniesieniu do barwy, wzoru uży-lenia, struktury i wykończenia powierzchni </w:t>
            </w:r>
          </w:p>
          <w:p w14:paraId="0B922B2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 xml:space="preserve">2. Nasiąkliwość (w % masy), badana wg PN-EN 13755 [9], powinna być zadeklarowana przez producenta (np. 0,5÷3,0%) </w:t>
            </w:r>
          </w:p>
          <w:p w14:paraId="018D85CE"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 xml:space="preserve">3. Opis petrograficzny, wg PN-EN 12407 [8], powinien być dostarczony przez producenta </w:t>
            </w:r>
          </w:p>
          <w:p w14:paraId="2D52EA22"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4. Chemiczna obróbka powierzchni – stwierdzenie producenta/dostawcy czy wyrób był jej poddany i jaki był rodzaj obróbki</w:t>
            </w:r>
          </w:p>
        </w:tc>
      </w:tr>
    </w:tbl>
    <w:p w14:paraId="7972C63C" w14:textId="77777777" w:rsidR="000D3174" w:rsidRPr="00291A00" w:rsidRDefault="000D3174" w:rsidP="000D3174">
      <w:pPr>
        <w:rPr>
          <w:rFonts w:ascii="Times New Roman" w:hAnsi="Times New Roman" w:cs="Times New Roman"/>
        </w:rPr>
      </w:pPr>
    </w:p>
    <w:p w14:paraId="432BEABA" w14:textId="77777777" w:rsidR="000D3174" w:rsidRPr="00291A00" w:rsidRDefault="000D3174" w:rsidP="00577746">
      <w:pPr>
        <w:spacing w:after="120"/>
        <w:jc w:val="both"/>
        <w:rPr>
          <w:rFonts w:ascii="Times New Roman" w:hAnsi="Times New Roman" w:cs="Times New Roman"/>
        </w:rPr>
      </w:pPr>
      <w:r w:rsidRPr="00291A00">
        <w:rPr>
          <w:rFonts w:ascii="Times New Roman" w:hAnsi="Times New Roman" w:cs="Times New Roman"/>
        </w:rPr>
        <w:t>2.2.3.3. Przechowywanie krawężników</w:t>
      </w:r>
    </w:p>
    <w:p w14:paraId="06D8B006"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Krawężniki mogą być przechowywane na składowiskach otwartych, posegregowane wg typów, rodzajów, odmian i wielkości.</w:t>
      </w:r>
    </w:p>
    <w:p w14:paraId="41E59079"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Krawężniki uliczne  i drogowe typu „A” (patrz – zał. 2) należy układać na powierzchniach spodu, w szeregu, na podkładkach drewnianych.</w:t>
      </w:r>
    </w:p>
    <w:p w14:paraId="1EE457F0"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lastRenderedPageBreak/>
        <w:tab/>
        <w:t>Dopuszcza się składowanie krawężników prostych w kilku warstwach, przy zastosowaniu drewnianych podkładek pomiędzy poszczególnymi warstwami, przy czym suma wysokości warstw nie powinna przekraczać 1,2 m.</w:t>
      </w:r>
    </w:p>
    <w:p w14:paraId="390E4DD5"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Krawężnik drogowy rodzaju „B” dozwala się układać w stosy, bez przekładek drewnianych, przy czym wysokość stosów nie powinna przekraczać 1,4 m.</w:t>
      </w:r>
    </w:p>
    <w:p w14:paraId="74CCAE55" w14:textId="77777777" w:rsidR="000D3174" w:rsidRPr="00291A00" w:rsidRDefault="000D3174" w:rsidP="00577746">
      <w:pPr>
        <w:spacing w:before="120" w:after="120"/>
        <w:jc w:val="both"/>
        <w:rPr>
          <w:rFonts w:ascii="Times New Roman" w:hAnsi="Times New Roman" w:cs="Times New Roman"/>
        </w:rPr>
      </w:pPr>
      <w:r w:rsidRPr="00291A00">
        <w:rPr>
          <w:rFonts w:ascii="Times New Roman" w:hAnsi="Times New Roman" w:cs="Times New Roman"/>
          <w:b/>
        </w:rPr>
        <w:t xml:space="preserve">2.2.4. </w:t>
      </w:r>
      <w:r w:rsidRPr="00291A00">
        <w:rPr>
          <w:rFonts w:ascii="Times New Roman" w:hAnsi="Times New Roman" w:cs="Times New Roman"/>
        </w:rPr>
        <w:t>Materiały na podsypkę i do zapraw</w:t>
      </w:r>
    </w:p>
    <w:p w14:paraId="6B48D76E"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Jeśli dokumentacja projektowa lub ST nie ustala inaczej, to należy stosować następujące materiały:</w:t>
      </w:r>
    </w:p>
    <w:p w14:paraId="647D8E2C"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 na podsypkę piaskową</w:t>
      </w:r>
    </w:p>
    <w:p w14:paraId="3FC40786" w14:textId="77777777" w:rsidR="000D3174" w:rsidRPr="00291A00" w:rsidRDefault="000D3174" w:rsidP="00904E6C">
      <w:pPr>
        <w:numPr>
          <w:ilvl w:val="0"/>
          <w:numId w:val="409"/>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piasek naturalny wg PN-EN 13242:2004 [10],</w:t>
      </w:r>
    </w:p>
    <w:p w14:paraId="5E617BD7" w14:textId="77777777" w:rsidR="000D3174" w:rsidRPr="00291A00" w:rsidRDefault="000D3174" w:rsidP="00904E6C">
      <w:pPr>
        <w:numPr>
          <w:ilvl w:val="0"/>
          <w:numId w:val="409"/>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piasek łamany (0,075÷2) mm wg PN-EN 13242:2004 [10],</w:t>
      </w:r>
    </w:p>
    <w:p w14:paraId="5CD8D0FA"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b) na podsypkę cementowo-piaskową i do zapraw</w:t>
      </w:r>
    </w:p>
    <w:p w14:paraId="04D5F9EA" w14:textId="77777777" w:rsidR="000D3174" w:rsidRPr="00291A00" w:rsidRDefault="000D3174" w:rsidP="00904E6C">
      <w:pPr>
        <w:numPr>
          <w:ilvl w:val="0"/>
          <w:numId w:val="410"/>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mieszankę cementu i piasku: z piasku naturalnego spełniającego wymagania PN-EN 13242:2004 [10], cementu 32,5 spełniającego wymagania PN-EN 197-1:2002 [3] i wody odpowiadającej wymaganiom PN-EN 1008:2004 [11].</w:t>
      </w:r>
    </w:p>
    <w:p w14:paraId="1FE1397C"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14:paraId="1E671BB9"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Cement w workach, co najmniej trzywarstwowych, o masie np. 50 kg, można przechowywać do: a) 10 dni w miejscach zadaszonych na otwartym terenie o podłożu twardym i suchym, b) terminu trwałości, podanego przez producenta, w pomieszczeniach o szczelnym dachu i ścianach oraz podłogach suchych i czystych. Cement dostarczony na paletach magazynuje się razem z paletami, z dopuszczalną wysokością 3 szt. palet. Cement niespaletowany układa się w stosy płaskie o liczbie warstw 12 (dla worków trzywarstwowych).</w:t>
      </w:r>
    </w:p>
    <w:p w14:paraId="749F3B3B" w14:textId="77777777" w:rsidR="000D3174" w:rsidRPr="00291A00" w:rsidRDefault="000D3174" w:rsidP="00577746">
      <w:pPr>
        <w:spacing w:before="120" w:after="120"/>
        <w:jc w:val="both"/>
        <w:rPr>
          <w:rFonts w:ascii="Times New Roman" w:hAnsi="Times New Roman" w:cs="Times New Roman"/>
        </w:rPr>
      </w:pPr>
      <w:r w:rsidRPr="00291A00">
        <w:rPr>
          <w:rFonts w:ascii="Times New Roman" w:hAnsi="Times New Roman" w:cs="Times New Roman"/>
          <w:b/>
        </w:rPr>
        <w:t xml:space="preserve">2.2.5. </w:t>
      </w:r>
      <w:r w:rsidRPr="00291A00">
        <w:rPr>
          <w:rFonts w:ascii="Times New Roman" w:hAnsi="Times New Roman" w:cs="Times New Roman"/>
        </w:rPr>
        <w:t>Materiały na ławy</w:t>
      </w:r>
    </w:p>
    <w:p w14:paraId="1BB03B06"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Do wykonania ław pod krawężnik należy stosować, dla:</w:t>
      </w:r>
    </w:p>
    <w:p w14:paraId="52D520EE" w14:textId="77777777" w:rsidR="000D3174" w:rsidRPr="00291A00" w:rsidRDefault="000D3174" w:rsidP="00904E6C">
      <w:pPr>
        <w:numPr>
          <w:ilvl w:val="0"/>
          <w:numId w:val="411"/>
        </w:numPr>
        <w:tabs>
          <w:tab w:val="clear" w:pos="737"/>
          <w:tab w:val="num" w:pos="284"/>
        </w:tabs>
        <w:overflowPunct w:val="0"/>
        <w:autoSpaceDE w:val="0"/>
        <w:autoSpaceDN w:val="0"/>
        <w:adjustRightInd w:val="0"/>
        <w:spacing w:after="0" w:line="240" w:lineRule="auto"/>
        <w:ind w:left="284" w:hanging="284"/>
        <w:jc w:val="both"/>
        <w:textAlignment w:val="baseline"/>
        <w:rPr>
          <w:rFonts w:ascii="Times New Roman" w:hAnsi="Times New Roman" w:cs="Times New Roman"/>
        </w:rPr>
      </w:pPr>
      <w:r w:rsidRPr="00291A00">
        <w:rPr>
          <w:rFonts w:ascii="Times New Roman" w:hAnsi="Times New Roman" w:cs="Times New Roman"/>
        </w:rPr>
        <w:t xml:space="preserve">ławy betonowej – beton klasy C12/15 lub C8/10 wg PN-EN 206-1:2003 [4], </w:t>
      </w:r>
    </w:p>
    <w:p w14:paraId="555D3CCD" w14:textId="77777777" w:rsidR="000D3174" w:rsidRPr="00291A00" w:rsidRDefault="000D3174" w:rsidP="00904E6C">
      <w:pPr>
        <w:numPr>
          <w:ilvl w:val="0"/>
          <w:numId w:val="411"/>
        </w:numPr>
        <w:tabs>
          <w:tab w:val="clear" w:pos="737"/>
          <w:tab w:val="num" w:pos="284"/>
        </w:tabs>
        <w:overflowPunct w:val="0"/>
        <w:autoSpaceDE w:val="0"/>
        <w:autoSpaceDN w:val="0"/>
        <w:adjustRightInd w:val="0"/>
        <w:spacing w:after="0" w:line="240" w:lineRule="auto"/>
        <w:ind w:left="284" w:hanging="284"/>
        <w:jc w:val="both"/>
        <w:textAlignment w:val="baseline"/>
        <w:rPr>
          <w:rFonts w:ascii="Times New Roman" w:hAnsi="Times New Roman" w:cs="Times New Roman"/>
        </w:rPr>
      </w:pPr>
      <w:r w:rsidRPr="00291A00">
        <w:rPr>
          <w:rFonts w:ascii="Times New Roman" w:hAnsi="Times New Roman" w:cs="Times New Roman"/>
        </w:rPr>
        <w:t>ławy żwirowej – żwir odpowiadający wymaganiom PN-EN 13242:2004 [10],</w:t>
      </w:r>
    </w:p>
    <w:p w14:paraId="74F2655A" w14:textId="77777777" w:rsidR="000D3174" w:rsidRPr="00291A00" w:rsidRDefault="000D3174" w:rsidP="00904E6C">
      <w:pPr>
        <w:numPr>
          <w:ilvl w:val="0"/>
          <w:numId w:val="411"/>
        </w:numPr>
        <w:tabs>
          <w:tab w:val="clear" w:pos="737"/>
          <w:tab w:val="num" w:pos="284"/>
        </w:tabs>
        <w:overflowPunct w:val="0"/>
        <w:autoSpaceDE w:val="0"/>
        <w:autoSpaceDN w:val="0"/>
        <w:adjustRightInd w:val="0"/>
        <w:spacing w:after="0" w:line="240" w:lineRule="auto"/>
        <w:ind w:left="284" w:hanging="284"/>
        <w:jc w:val="both"/>
        <w:textAlignment w:val="baseline"/>
        <w:rPr>
          <w:rFonts w:ascii="Times New Roman" w:hAnsi="Times New Roman" w:cs="Times New Roman"/>
        </w:rPr>
      </w:pPr>
      <w:r w:rsidRPr="00291A00">
        <w:rPr>
          <w:rFonts w:ascii="Times New Roman" w:hAnsi="Times New Roman" w:cs="Times New Roman"/>
        </w:rPr>
        <w:t>ławy tłuczniowej – tłuczeń odpowiadający wymaganiom PN-EN 13242:2004 [10].</w:t>
      </w:r>
    </w:p>
    <w:p w14:paraId="12272895" w14:textId="77777777" w:rsidR="000D3174" w:rsidRPr="00291A00" w:rsidRDefault="000D3174" w:rsidP="00577746">
      <w:pPr>
        <w:spacing w:before="120" w:after="120"/>
        <w:jc w:val="both"/>
        <w:rPr>
          <w:rFonts w:ascii="Times New Roman" w:hAnsi="Times New Roman" w:cs="Times New Roman"/>
        </w:rPr>
      </w:pPr>
      <w:r w:rsidRPr="00291A00">
        <w:rPr>
          <w:rFonts w:ascii="Times New Roman" w:hAnsi="Times New Roman" w:cs="Times New Roman"/>
          <w:b/>
        </w:rPr>
        <w:t xml:space="preserve">2.2.6. </w:t>
      </w:r>
      <w:r w:rsidRPr="00291A00">
        <w:rPr>
          <w:rFonts w:ascii="Times New Roman" w:hAnsi="Times New Roman" w:cs="Times New Roman"/>
        </w:rPr>
        <w:t>Masa zalewowa w szczelinach ławy betonowej i spoinach krawężników</w:t>
      </w:r>
    </w:p>
    <w:p w14:paraId="034C8B6A"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Masa zalewowa, do wypełniania szczelin dylatacyjnych, powinna odpowiadać wymaganiom OST D-05.03.04a [2].</w:t>
      </w:r>
    </w:p>
    <w:p w14:paraId="2A8D0639" w14:textId="77777777" w:rsidR="000D3174" w:rsidRPr="00291A00" w:rsidRDefault="000D3174" w:rsidP="00577746">
      <w:pPr>
        <w:pStyle w:val="Nagwek1"/>
        <w:ind w:left="851" w:hanging="851"/>
        <w:jc w:val="both"/>
        <w:rPr>
          <w:sz w:val="22"/>
          <w:szCs w:val="22"/>
        </w:rPr>
      </w:pPr>
      <w:bookmarkStart w:id="887" w:name="_Toc213130271"/>
      <w:r w:rsidRPr="00291A00">
        <w:rPr>
          <w:sz w:val="22"/>
          <w:szCs w:val="22"/>
        </w:rPr>
        <w:t>3. SPRZĘT</w:t>
      </w:r>
      <w:bookmarkEnd w:id="887"/>
    </w:p>
    <w:p w14:paraId="7F3492B2" w14:textId="77777777" w:rsidR="000D3174" w:rsidRPr="00291A00" w:rsidRDefault="000D3174" w:rsidP="00577746">
      <w:pPr>
        <w:pStyle w:val="Nagwek2"/>
        <w:ind w:left="851" w:hanging="851"/>
        <w:jc w:val="both"/>
        <w:rPr>
          <w:sz w:val="22"/>
          <w:szCs w:val="22"/>
        </w:rPr>
      </w:pPr>
      <w:r w:rsidRPr="00291A00">
        <w:rPr>
          <w:sz w:val="22"/>
          <w:szCs w:val="22"/>
        </w:rPr>
        <w:t>3.1. Ogólne wymagania dotyczące sprzętu</w:t>
      </w:r>
    </w:p>
    <w:p w14:paraId="1EECAD47"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b/>
        </w:rPr>
        <w:tab/>
      </w:r>
      <w:r w:rsidRPr="00291A00">
        <w:rPr>
          <w:rFonts w:ascii="Times New Roman" w:hAnsi="Times New Roman" w:cs="Times New Roman"/>
          <w:b/>
        </w:rPr>
        <w:tab/>
      </w:r>
      <w:r w:rsidRPr="00291A00">
        <w:rPr>
          <w:rFonts w:ascii="Times New Roman" w:hAnsi="Times New Roman" w:cs="Times New Roman"/>
        </w:rPr>
        <w:t>Ogólne wymagania dotyczące sprzętu podano w ST D-M-00.00.00 „Wymagania ogólne” [1] pkt 3.</w:t>
      </w:r>
    </w:p>
    <w:p w14:paraId="78C044F2" w14:textId="77777777" w:rsidR="000D3174" w:rsidRPr="00291A00" w:rsidRDefault="000D3174" w:rsidP="00577746">
      <w:pPr>
        <w:pStyle w:val="Nagwek2"/>
        <w:ind w:left="851" w:hanging="851"/>
        <w:jc w:val="both"/>
        <w:rPr>
          <w:sz w:val="22"/>
          <w:szCs w:val="22"/>
        </w:rPr>
      </w:pPr>
      <w:r w:rsidRPr="00291A00">
        <w:rPr>
          <w:sz w:val="22"/>
          <w:szCs w:val="22"/>
        </w:rPr>
        <w:t>3.2. Sprzęt do wykonania robót</w:t>
      </w:r>
    </w:p>
    <w:p w14:paraId="0321F50C"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b/>
        </w:rPr>
        <w:tab/>
      </w:r>
      <w:r w:rsidRPr="00291A00">
        <w:rPr>
          <w:rFonts w:ascii="Times New Roman" w:hAnsi="Times New Roman" w:cs="Times New Roman"/>
          <w:b/>
        </w:rPr>
        <w:tab/>
      </w:r>
      <w:r w:rsidRPr="00291A00">
        <w:rPr>
          <w:rFonts w:ascii="Times New Roman" w:hAnsi="Times New Roman" w:cs="Times New Roman"/>
        </w:rPr>
        <w:t>Roboty wykonuje się ręcznie przy zastosowaniu:</w:t>
      </w:r>
    </w:p>
    <w:p w14:paraId="48C28E06" w14:textId="77777777" w:rsidR="000D3174" w:rsidRPr="00291A00" w:rsidRDefault="000D3174" w:rsidP="00904E6C">
      <w:pPr>
        <w:numPr>
          <w:ilvl w:val="0"/>
          <w:numId w:val="412"/>
        </w:numPr>
        <w:tabs>
          <w:tab w:val="right" w:leader="dot" w:pos="-1985"/>
          <w:tab w:val="left" w:pos="284"/>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betoniarek do wytwarzania betonu i zapraw oraz przygotowania podsypki cementowo-piaskowej,</w:t>
      </w:r>
    </w:p>
    <w:p w14:paraId="6ACF4CA7" w14:textId="77777777" w:rsidR="000D3174" w:rsidRPr="00291A00" w:rsidRDefault="000D3174" w:rsidP="00904E6C">
      <w:pPr>
        <w:numPr>
          <w:ilvl w:val="0"/>
          <w:numId w:val="412"/>
        </w:numPr>
        <w:tabs>
          <w:tab w:val="right" w:leader="dot" w:pos="-1985"/>
          <w:tab w:val="left" w:pos="284"/>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wibratorów płytowych, ubijaków ręcznych lub mechanicznych.</w:t>
      </w:r>
    </w:p>
    <w:p w14:paraId="2DBC96A9" w14:textId="77777777" w:rsidR="000D3174" w:rsidRPr="00291A00" w:rsidRDefault="000D3174" w:rsidP="00577746">
      <w:pPr>
        <w:pStyle w:val="Nagwek1"/>
        <w:ind w:left="851" w:hanging="851"/>
        <w:jc w:val="both"/>
        <w:rPr>
          <w:sz w:val="22"/>
          <w:szCs w:val="22"/>
        </w:rPr>
      </w:pPr>
      <w:bookmarkStart w:id="888" w:name="_4._TRANSPORT_1"/>
      <w:bookmarkStart w:id="889" w:name="_Toc213130272"/>
      <w:bookmarkEnd w:id="888"/>
    </w:p>
    <w:p w14:paraId="36EC8BC4" w14:textId="77777777" w:rsidR="000D3174" w:rsidRPr="00291A00" w:rsidRDefault="000D3174" w:rsidP="00577746">
      <w:pPr>
        <w:pStyle w:val="Nagwek1"/>
        <w:ind w:left="851" w:hanging="851"/>
        <w:jc w:val="both"/>
        <w:rPr>
          <w:sz w:val="22"/>
          <w:szCs w:val="22"/>
        </w:rPr>
      </w:pPr>
      <w:r w:rsidRPr="00291A00">
        <w:rPr>
          <w:sz w:val="22"/>
          <w:szCs w:val="22"/>
        </w:rPr>
        <w:t>4. TRANSPORT</w:t>
      </w:r>
      <w:bookmarkEnd w:id="889"/>
    </w:p>
    <w:p w14:paraId="2BBAA4CA" w14:textId="77777777" w:rsidR="000D3174" w:rsidRPr="00291A00" w:rsidRDefault="000D3174" w:rsidP="00577746">
      <w:pPr>
        <w:pStyle w:val="Nagwek2"/>
        <w:ind w:left="851" w:hanging="851"/>
        <w:jc w:val="both"/>
        <w:rPr>
          <w:sz w:val="22"/>
          <w:szCs w:val="22"/>
        </w:rPr>
      </w:pPr>
      <w:r w:rsidRPr="00291A00">
        <w:rPr>
          <w:sz w:val="22"/>
          <w:szCs w:val="22"/>
        </w:rPr>
        <w:t>4.1. Ogólne wymagania dotyczące transportu</w:t>
      </w:r>
    </w:p>
    <w:p w14:paraId="325090E8"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Ogólne wymagania dotyczące transportu podano w ST D-M-00.00.00 „Wymagania ogólne” [1] pkt 4.</w:t>
      </w:r>
    </w:p>
    <w:p w14:paraId="57D3DE9C" w14:textId="77777777" w:rsidR="000D3174" w:rsidRPr="00291A00" w:rsidRDefault="000D3174" w:rsidP="00577746">
      <w:pPr>
        <w:pStyle w:val="Nagwek2"/>
        <w:ind w:left="851" w:hanging="851"/>
        <w:jc w:val="both"/>
        <w:rPr>
          <w:sz w:val="22"/>
          <w:szCs w:val="22"/>
        </w:rPr>
      </w:pPr>
      <w:r w:rsidRPr="00291A00">
        <w:rPr>
          <w:sz w:val="22"/>
          <w:szCs w:val="22"/>
        </w:rPr>
        <w:t>4.2. Transport krawężników</w:t>
      </w:r>
    </w:p>
    <w:p w14:paraId="760FE7B3"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b/>
        </w:rPr>
        <w:tab/>
      </w:r>
      <w:r w:rsidRPr="00291A00">
        <w:rPr>
          <w:rFonts w:ascii="Times New Roman" w:hAnsi="Times New Roman" w:cs="Times New Roman"/>
          <w:b/>
        </w:rPr>
        <w:tab/>
      </w:r>
      <w:r w:rsidRPr="00291A00">
        <w:rPr>
          <w:rFonts w:ascii="Times New Roman" w:hAnsi="Times New Roman" w:cs="Times New Roman"/>
        </w:rPr>
        <w:t>Krawężniki kamienne mogą być przewożone dowolnymi środkami transportowymi.</w:t>
      </w:r>
    </w:p>
    <w:p w14:paraId="5B38C6D8"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Krawężniki należy układać na podkładach drewnianych, rzędami, długością w kierunku jazdy środka transportowego.</w:t>
      </w:r>
    </w:p>
    <w:p w14:paraId="2C314062"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Krawężnik uliczny oraz krawężnik drogowy rodzaju „A” (patrz zał. 2) może być przewożony tylko w jednej warstwie.</w:t>
      </w:r>
    </w:p>
    <w:p w14:paraId="787FC95D"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W celu zabezpieczenia powierzchni obrobionych przed bezpośrednim stykiem, należy je do transportu zabezpieczyć przekładkami splecionymi ze słomy lub wełny drzewnej, przy czym grubość tych przekładek nie powinna być mniejsza niż 5 cm.</w:t>
      </w:r>
    </w:p>
    <w:p w14:paraId="595CE5DA" w14:textId="77777777" w:rsidR="000D3174" w:rsidRPr="00291A00" w:rsidRDefault="000D3174" w:rsidP="00577746">
      <w:pPr>
        <w:tabs>
          <w:tab w:val="right" w:leader="dot" w:pos="-1985"/>
          <w:tab w:val="left" w:pos="284"/>
        </w:tabs>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Krawężniki drogowe rodzaju „B” można przewozić bez dodatkowego zabezpieczenia, układać w dwu lub więcej warstwach, nie wyżej jednak jak do wysokości ścian bocznych środka transportowego.</w:t>
      </w:r>
    </w:p>
    <w:p w14:paraId="5BEAB9C8" w14:textId="77777777" w:rsidR="000D3174" w:rsidRPr="00291A00" w:rsidRDefault="000D3174" w:rsidP="00577746">
      <w:pPr>
        <w:pStyle w:val="Nagwek2"/>
        <w:ind w:left="851" w:hanging="851"/>
        <w:jc w:val="both"/>
        <w:rPr>
          <w:sz w:val="22"/>
          <w:szCs w:val="22"/>
        </w:rPr>
      </w:pPr>
      <w:r w:rsidRPr="00291A00">
        <w:rPr>
          <w:sz w:val="22"/>
          <w:szCs w:val="22"/>
        </w:rPr>
        <w:t>4.3. Transport pozostałych materiałów</w:t>
      </w:r>
    </w:p>
    <w:p w14:paraId="56E60279"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50F9CD79"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Cement w workach może być przewożony samochodami krytymi, wagonami towarowymi i innymi środkami transportu, w sposób nie powodujący uszkodzeń opakowania. Worki przewożone na paletach układa się po 5 warstw worków, po 4 szt. w warstwie. Worki niespaletowane układa się na płask, przylegające do siebie, w równej wysokości do 10 warstw. Ładowanie i wyładowywanie zaleca się wykonywać za pomocą zmechanizowanych urządzeń do poziomego i pionowego przemieszczania ładunków.</w:t>
      </w:r>
    </w:p>
    <w:p w14:paraId="1A4C7BEB"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Masę zalewową należy pakować w bębny blaszane lub beczki drewniane. Transport powinien odbywać się w warunkach zabezpieczających przed uszkodzeniem bębnów i beczek.</w:t>
      </w:r>
    </w:p>
    <w:p w14:paraId="033A9B80" w14:textId="77777777" w:rsidR="000D3174" w:rsidRPr="00291A00" w:rsidRDefault="000D3174" w:rsidP="00577746">
      <w:pPr>
        <w:jc w:val="both"/>
        <w:rPr>
          <w:rFonts w:ascii="Times New Roman" w:hAnsi="Times New Roman" w:cs="Times New Roman"/>
        </w:rPr>
      </w:pPr>
    </w:p>
    <w:p w14:paraId="7A6C28A8" w14:textId="77777777" w:rsidR="000D3174" w:rsidRPr="00291A00" w:rsidRDefault="000D3174" w:rsidP="00577746">
      <w:pPr>
        <w:pStyle w:val="Nagwek1"/>
        <w:numPr>
          <w:ilvl w:val="12"/>
          <w:numId w:val="0"/>
        </w:numPr>
        <w:jc w:val="both"/>
        <w:rPr>
          <w:sz w:val="22"/>
          <w:szCs w:val="22"/>
        </w:rPr>
      </w:pPr>
      <w:bookmarkStart w:id="890" w:name="_Toc120590625"/>
      <w:bookmarkStart w:id="891" w:name="_Toc213130273"/>
      <w:r w:rsidRPr="00291A00">
        <w:rPr>
          <w:sz w:val="22"/>
          <w:szCs w:val="22"/>
        </w:rPr>
        <w:t xml:space="preserve">5. </w:t>
      </w:r>
      <w:bookmarkEnd w:id="890"/>
      <w:r w:rsidRPr="00291A00">
        <w:rPr>
          <w:sz w:val="22"/>
          <w:szCs w:val="22"/>
        </w:rPr>
        <w:t>WYKONANIE ROBÓT</w:t>
      </w:r>
      <w:bookmarkEnd w:id="891"/>
    </w:p>
    <w:p w14:paraId="2260A6DA" w14:textId="77777777" w:rsidR="000D3174" w:rsidRPr="00291A00" w:rsidRDefault="000D3174" w:rsidP="00577746">
      <w:pPr>
        <w:pStyle w:val="Nagwek2"/>
        <w:numPr>
          <w:ilvl w:val="12"/>
          <w:numId w:val="0"/>
        </w:numPr>
        <w:jc w:val="both"/>
        <w:rPr>
          <w:sz w:val="22"/>
          <w:szCs w:val="22"/>
        </w:rPr>
      </w:pPr>
      <w:r w:rsidRPr="00291A00">
        <w:rPr>
          <w:sz w:val="22"/>
          <w:szCs w:val="22"/>
        </w:rPr>
        <w:t>5.1. Ogólne zasady wykonania robót</w:t>
      </w:r>
    </w:p>
    <w:p w14:paraId="70EDC04D" w14:textId="77777777" w:rsidR="000D3174" w:rsidRPr="00291A00" w:rsidRDefault="000D3174" w:rsidP="00577746">
      <w:pPr>
        <w:numPr>
          <w:ilvl w:val="12"/>
          <w:numId w:val="0"/>
        </w:numPr>
        <w:jc w:val="both"/>
        <w:rPr>
          <w:rFonts w:ascii="Times New Roman" w:hAnsi="Times New Roman" w:cs="Times New Roman"/>
        </w:rPr>
      </w:pPr>
      <w:r w:rsidRPr="00291A00">
        <w:rPr>
          <w:rFonts w:ascii="Times New Roman" w:hAnsi="Times New Roman" w:cs="Times New Roman"/>
        </w:rPr>
        <w:tab/>
        <w:t>Ogólne z</w:t>
      </w:r>
      <w:r w:rsidR="00577746">
        <w:rPr>
          <w:rFonts w:ascii="Times New Roman" w:hAnsi="Times New Roman" w:cs="Times New Roman"/>
        </w:rPr>
        <w:t xml:space="preserve">asady wykonania robót podano w </w:t>
      </w:r>
      <w:r w:rsidRPr="00291A00">
        <w:rPr>
          <w:rFonts w:ascii="Times New Roman" w:hAnsi="Times New Roman" w:cs="Times New Roman"/>
        </w:rPr>
        <w:t>ST D-M-00.00.00 „Wymagania ogólne” [1] pkt 5.</w:t>
      </w:r>
    </w:p>
    <w:p w14:paraId="6BF73245" w14:textId="77777777" w:rsidR="000D3174" w:rsidRPr="00291A00" w:rsidRDefault="000D3174" w:rsidP="000D3174">
      <w:pPr>
        <w:pStyle w:val="Nagwek2"/>
        <w:ind w:left="851" w:hanging="851"/>
        <w:rPr>
          <w:sz w:val="22"/>
          <w:szCs w:val="22"/>
        </w:rPr>
      </w:pPr>
      <w:r w:rsidRPr="00291A00">
        <w:rPr>
          <w:sz w:val="22"/>
          <w:szCs w:val="22"/>
        </w:rPr>
        <w:t>5.2. Zasady wykonywania robót</w:t>
      </w:r>
    </w:p>
    <w:p w14:paraId="05507B47"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ab/>
        <w:t>Konstrukcja i sposób wykonania robót powinny być zgodne z dokumentacją projektową i ST. W przypadku braku wystarczających danych można korzystać z ustaleń podanych w niniejszej specyfikacji oraz z informacji podanych w załącznikach.</w:t>
      </w:r>
    </w:p>
    <w:p w14:paraId="7B961028"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lastRenderedPageBreak/>
        <w:tab/>
        <w:t>Podstawowe czynności przy wykonywaniu robót obejmują:</w:t>
      </w:r>
    </w:p>
    <w:p w14:paraId="46F6C5AB" w14:textId="77777777" w:rsidR="000D3174" w:rsidRPr="00291A00" w:rsidRDefault="000D3174" w:rsidP="00904E6C">
      <w:pPr>
        <w:numPr>
          <w:ilvl w:val="0"/>
          <w:numId w:val="93"/>
        </w:numPr>
        <w:overflowPunct w:val="0"/>
        <w:autoSpaceDE w:val="0"/>
        <w:autoSpaceDN w:val="0"/>
        <w:adjustRightInd w:val="0"/>
        <w:spacing w:after="0" w:line="240" w:lineRule="auto"/>
        <w:ind w:left="283" w:hanging="283"/>
        <w:jc w:val="both"/>
        <w:textAlignment w:val="baseline"/>
        <w:rPr>
          <w:rFonts w:ascii="Times New Roman" w:hAnsi="Times New Roman" w:cs="Times New Roman"/>
        </w:rPr>
      </w:pPr>
      <w:r w:rsidRPr="00291A00">
        <w:rPr>
          <w:rFonts w:ascii="Times New Roman" w:hAnsi="Times New Roman" w:cs="Times New Roman"/>
        </w:rPr>
        <w:t xml:space="preserve">roboty przygotowawcze, </w:t>
      </w:r>
    </w:p>
    <w:p w14:paraId="040A03C5" w14:textId="77777777" w:rsidR="000D3174" w:rsidRPr="00291A00" w:rsidRDefault="000D3174" w:rsidP="00904E6C">
      <w:pPr>
        <w:numPr>
          <w:ilvl w:val="0"/>
          <w:numId w:val="93"/>
        </w:numPr>
        <w:overflowPunct w:val="0"/>
        <w:autoSpaceDE w:val="0"/>
        <w:autoSpaceDN w:val="0"/>
        <w:adjustRightInd w:val="0"/>
        <w:spacing w:after="0" w:line="240" w:lineRule="auto"/>
        <w:ind w:left="283" w:hanging="283"/>
        <w:jc w:val="both"/>
        <w:textAlignment w:val="baseline"/>
        <w:rPr>
          <w:rFonts w:ascii="Times New Roman" w:hAnsi="Times New Roman" w:cs="Times New Roman"/>
        </w:rPr>
      </w:pPr>
      <w:r w:rsidRPr="00291A00">
        <w:rPr>
          <w:rFonts w:ascii="Times New Roman" w:hAnsi="Times New Roman" w:cs="Times New Roman"/>
        </w:rPr>
        <w:t>wykonanie ławy,</w:t>
      </w:r>
    </w:p>
    <w:p w14:paraId="0F3F5D75" w14:textId="77777777" w:rsidR="000D3174" w:rsidRPr="00291A00" w:rsidRDefault="000D3174" w:rsidP="00904E6C">
      <w:pPr>
        <w:numPr>
          <w:ilvl w:val="0"/>
          <w:numId w:val="93"/>
        </w:numPr>
        <w:overflowPunct w:val="0"/>
        <w:autoSpaceDE w:val="0"/>
        <w:autoSpaceDN w:val="0"/>
        <w:adjustRightInd w:val="0"/>
        <w:spacing w:after="0" w:line="240" w:lineRule="auto"/>
        <w:ind w:left="283" w:hanging="283"/>
        <w:jc w:val="both"/>
        <w:textAlignment w:val="baseline"/>
        <w:rPr>
          <w:rFonts w:ascii="Times New Roman" w:hAnsi="Times New Roman" w:cs="Times New Roman"/>
        </w:rPr>
      </w:pPr>
      <w:r w:rsidRPr="00291A00">
        <w:rPr>
          <w:rFonts w:ascii="Times New Roman" w:hAnsi="Times New Roman" w:cs="Times New Roman"/>
        </w:rPr>
        <w:t>ustawienie krawężników,</w:t>
      </w:r>
    </w:p>
    <w:p w14:paraId="0CF11086" w14:textId="77777777" w:rsidR="000D3174" w:rsidRPr="00291A00" w:rsidRDefault="000D3174" w:rsidP="00904E6C">
      <w:pPr>
        <w:numPr>
          <w:ilvl w:val="0"/>
          <w:numId w:val="93"/>
        </w:numPr>
        <w:overflowPunct w:val="0"/>
        <w:autoSpaceDE w:val="0"/>
        <w:autoSpaceDN w:val="0"/>
        <w:adjustRightInd w:val="0"/>
        <w:spacing w:after="0" w:line="240" w:lineRule="auto"/>
        <w:ind w:left="283" w:hanging="283"/>
        <w:jc w:val="both"/>
        <w:textAlignment w:val="baseline"/>
        <w:rPr>
          <w:rFonts w:ascii="Times New Roman" w:hAnsi="Times New Roman" w:cs="Times New Roman"/>
        </w:rPr>
      </w:pPr>
      <w:r w:rsidRPr="00291A00">
        <w:rPr>
          <w:rFonts w:ascii="Times New Roman" w:hAnsi="Times New Roman" w:cs="Times New Roman"/>
        </w:rPr>
        <w:t>wypełnienie spoin,</w:t>
      </w:r>
    </w:p>
    <w:p w14:paraId="17138EF1" w14:textId="77777777" w:rsidR="000D3174" w:rsidRPr="00291A00" w:rsidRDefault="000D3174" w:rsidP="00904E6C">
      <w:pPr>
        <w:numPr>
          <w:ilvl w:val="0"/>
          <w:numId w:val="93"/>
        </w:numPr>
        <w:overflowPunct w:val="0"/>
        <w:autoSpaceDE w:val="0"/>
        <w:autoSpaceDN w:val="0"/>
        <w:adjustRightInd w:val="0"/>
        <w:spacing w:after="0" w:line="240" w:lineRule="auto"/>
        <w:ind w:left="283" w:hanging="283"/>
        <w:jc w:val="both"/>
        <w:textAlignment w:val="baseline"/>
        <w:rPr>
          <w:rFonts w:ascii="Times New Roman" w:hAnsi="Times New Roman" w:cs="Times New Roman"/>
        </w:rPr>
      </w:pPr>
      <w:r w:rsidRPr="00291A00">
        <w:rPr>
          <w:rFonts w:ascii="Times New Roman" w:hAnsi="Times New Roman" w:cs="Times New Roman"/>
        </w:rPr>
        <w:t>roboty wykończeniowe.</w:t>
      </w:r>
    </w:p>
    <w:p w14:paraId="645F781C" w14:textId="77777777" w:rsidR="000D3174" w:rsidRPr="00291A00" w:rsidRDefault="000D3174" w:rsidP="00577746">
      <w:pPr>
        <w:pStyle w:val="Nagwek2"/>
        <w:ind w:left="851" w:hanging="851"/>
        <w:jc w:val="both"/>
        <w:rPr>
          <w:sz w:val="22"/>
          <w:szCs w:val="22"/>
        </w:rPr>
      </w:pPr>
      <w:r w:rsidRPr="00291A00">
        <w:rPr>
          <w:sz w:val="22"/>
          <w:szCs w:val="22"/>
        </w:rPr>
        <w:t>5.3. Roboty przygotowawcze</w:t>
      </w:r>
    </w:p>
    <w:p w14:paraId="3D8FABBB"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Przed przystąpieniem do robót należy, na podstawie dokumentacji projektowej,  ST lub wskazań Inżyniera:</w:t>
      </w:r>
    </w:p>
    <w:p w14:paraId="4BBBEB71" w14:textId="77777777" w:rsidR="000D3174" w:rsidRPr="00291A00" w:rsidRDefault="000D3174" w:rsidP="00904E6C">
      <w:pPr>
        <w:numPr>
          <w:ilvl w:val="0"/>
          <w:numId w:val="9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ustalić lokalizację robót,</w:t>
      </w:r>
    </w:p>
    <w:p w14:paraId="034424F9" w14:textId="77777777" w:rsidR="000D3174" w:rsidRPr="00291A00" w:rsidRDefault="000D3174" w:rsidP="00904E6C">
      <w:pPr>
        <w:numPr>
          <w:ilvl w:val="0"/>
          <w:numId w:val="9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ustalić dane niezbędne do szczegółowego wytyczenia robót oraz ustalenia danych wysokościowych,</w:t>
      </w:r>
    </w:p>
    <w:p w14:paraId="684B0C8B" w14:textId="77777777" w:rsidR="000D3174" w:rsidRPr="00291A00" w:rsidRDefault="000D3174" w:rsidP="00904E6C">
      <w:pPr>
        <w:numPr>
          <w:ilvl w:val="0"/>
          <w:numId w:val="9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usunąć przeszkody, np. słupki, pachołki, elementy dróg, ogrodzeń itd.</w:t>
      </w:r>
    </w:p>
    <w:p w14:paraId="222D1128" w14:textId="77777777" w:rsidR="000D3174" w:rsidRPr="00291A00" w:rsidRDefault="000D3174" w:rsidP="00904E6C">
      <w:pPr>
        <w:numPr>
          <w:ilvl w:val="0"/>
          <w:numId w:val="9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ustalić materiały niezbędne do wykonania robót,</w:t>
      </w:r>
    </w:p>
    <w:p w14:paraId="35F80226" w14:textId="77777777" w:rsidR="000D3174" w:rsidRPr="00291A00" w:rsidRDefault="000D3174" w:rsidP="00904E6C">
      <w:pPr>
        <w:numPr>
          <w:ilvl w:val="0"/>
          <w:numId w:val="9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określić kolejność, sposób i termin wykonania robót.</w:t>
      </w:r>
    </w:p>
    <w:p w14:paraId="067744C0" w14:textId="77777777" w:rsidR="000D3174" w:rsidRPr="00291A00" w:rsidRDefault="000D3174" w:rsidP="00577746">
      <w:pPr>
        <w:pStyle w:val="Nagwek2"/>
        <w:jc w:val="both"/>
        <w:rPr>
          <w:sz w:val="22"/>
          <w:szCs w:val="22"/>
        </w:rPr>
      </w:pPr>
      <w:r w:rsidRPr="00291A00">
        <w:rPr>
          <w:sz w:val="22"/>
          <w:szCs w:val="22"/>
        </w:rPr>
        <w:t>5.4. Wykonanie ławy</w:t>
      </w:r>
    </w:p>
    <w:p w14:paraId="28951E2B" w14:textId="77777777" w:rsidR="000D3174" w:rsidRPr="00291A00" w:rsidRDefault="000D3174" w:rsidP="00577746">
      <w:pPr>
        <w:spacing w:after="120"/>
        <w:jc w:val="both"/>
        <w:rPr>
          <w:rFonts w:ascii="Times New Roman" w:hAnsi="Times New Roman" w:cs="Times New Roman"/>
        </w:rPr>
      </w:pPr>
      <w:r w:rsidRPr="00291A00">
        <w:rPr>
          <w:rFonts w:ascii="Times New Roman" w:hAnsi="Times New Roman" w:cs="Times New Roman"/>
          <w:b/>
        </w:rPr>
        <w:t xml:space="preserve">5.4.1. </w:t>
      </w:r>
      <w:r w:rsidRPr="00291A00">
        <w:rPr>
          <w:rFonts w:ascii="Times New Roman" w:hAnsi="Times New Roman" w:cs="Times New Roman"/>
        </w:rPr>
        <w:t>Koryto pod ławę</w:t>
      </w:r>
    </w:p>
    <w:p w14:paraId="7BB315BC"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Wymiary wykopu, stanowiącego koryto pod ławę, powinny odpowiadać wymiarom ławy w planie z uwzględnieniem w szerokości dna wykopu ew. konstrukcji szalunku.</w:t>
      </w:r>
    </w:p>
    <w:p w14:paraId="2055BD64"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Wskaźnik zagęszczenia dna wykonanego koryta pod ławę powinien wynosić co najmniej 0,97 według normalnej metody Proctora.</w:t>
      </w:r>
    </w:p>
    <w:p w14:paraId="144F74FB"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5.4.2. </w:t>
      </w:r>
      <w:r w:rsidRPr="00291A00">
        <w:rPr>
          <w:rFonts w:ascii="Times New Roman" w:hAnsi="Times New Roman" w:cs="Times New Roman"/>
        </w:rPr>
        <w:t>Ława żwirowa</w:t>
      </w:r>
    </w:p>
    <w:p w14:paraId="474777E2" w14:textId="77777777" w:rsidR="000D3174" w:rsidRPr="00291A00" w:rsidRDefault="000D3174" w:rsidP="00577746">
      <w:pPr>
        <w:spacing w:before="120"/>
        <w:ind w:firstLine="709"/>
        <w:jc w:val="both"/>
        <w:rPr>
          <w:rFonts w:ascii="Times New Roman" w:hAnsi="Times New Roman" w:cs="Times New Roman"/>
        </w:rPr>
      </w:pPr>
      <w:r w:rsidRPr="00291A00">
        <w:rPr>
          <w:rFonts w:ascii="Times New Roman" w:hAnsi="Times New Roman" w:cs="Times New Roman"/>
        </w:rPr>
        <w:t>Ławę żwirową o wysokości do 10 cm wykonuje się jednowarstwowo przez zasypanie koryta żwirem i zagęszczenie go, polewając wodą.</w:t>
      </w:r>
    </w:p>
    <w:p w14:paraId="1BCEE382"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Ławy o wysokości powyżej 10 cm należy wykonywać dwuwarstwowo, starannie zagęszczając poszczególne warstwy.</w:t>
      </w:r>
    </w:p>
    <w:p w14:paraId="6AFAB3DD"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5.4.3. </w:t>
      </w:r>
      <w:r w:rsidRPr="00291A00">
        <w:rPr>
          <w:rFonts w:ascii="Times New Roman" w:hAnsi="Times New Roman" w:cs="Times New Roman"/>
        </w:rPr>
        <w:t>Ława tłuczniowa</w:t>
      </w:r>
    </w:p>
    <w:p w14:paraId="2ED3039F"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Ławę należy wykonywać przez zasypanie wykopu koryta tłuczniem.</w:t>
      </w:r>
    </w:p>
    <w:p w14:paraId="703EB89C"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Tłuczeń należy starannie ubić polewając wodą. Górną powierzchnię ławy tłuczniowej należy wyrównać klińcem i ostatecznie zagęścić.</w:t>
      </w:r>
    </w:p>
    <w:p w14:paraId="313D2E4F"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Przy grubości warstwy tłucznia w ławie wynoszącej powyżej 10 cm należy ławę wykonać dwuwarstwowo, starannie zagęszczając poszczególne warstwy.</w:t>
      </w:r>
    </w:p>
    <w:p w14:paraId="13266D6F"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5.4.4. </w:t>
      </w:r>
      <w:r w:rsidRPr="00291A00">
        <w:rPr>
          <w:rFonts w:ascii="Times New Roman" w:hAnsi="Times New Roman" w:cs="Times New Roman"/>
        </w:rPr>
        <w:t>Ława betonowa</w:t>
      </w:r>
    </w:p>
    <w:p w14:paraId="444101E8"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Ławę betonową zwykłą w gruntach spoistych wykonuje się bez szalowania, przy gruntach sypkich należy stosować szalowanie.</w:t>
      </w:r>
    </w:p>
    <w:p w14:paraId="0CF2FF2B"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Ławę betonową z oporem wykonuje się w szalowaniu. Beton rozścielony w szalowaniu lub bezpośrednio w korycie powinien być wyrównywany warstwami. Betonowanie ław należy wykonywać zgodnie z wymaganiami PN-EN 206-1:2003 [4] i PN-B-06265:2004 [12], przy czym należy stosować co 50 m szczeliny dylatacyjne wypełnione bitumiczną masą zalewową.</w:t>
      </w:r>
    </w:p>
    <w:p w14:paraId="6133DEF3"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Przykłady ław betonowych zwykłych i ław z oporem podaje załącznik 3.</w:t>
      </w:r>
    </w:p>
    <w:p w14:paraId="1DFCF150" w14:textId="77777777" w:rsidR="000D3174" w:rsidRPr="00291A00" w:rsidRDefault="000D3174" w:rsidP="00577746">
      <w:pPr>
        <w:pStyle w:val="Nagwek2"/>
        <w:ind w:left="851" w:hanging="851"/>
        <w:jc w:val="both"/>
        <w:rPr>
          <w:sz w:val="22"/>
          <w:szCs w:val="22"/>
        </w:rPr>
      </w:pPr>
      <w:r w:rsidRPr="00291A00">
        <w:rPr>
          <w:sz w:val="22"/>
          <w:szCs w:val="22"/>
        </w:rPr>
        <w:lastRenderedPageBreak/>
        <w:t>5.5. Ustawienie krawężników kamiennych</w:t>
      </w:r>
    </w:p>
    <w:p w14:paraId="0BC24629"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b/>
        </w:rPr>
        <w:t xml:space="preserve">5.5.1. </w:t>
      </w:r>
      <w:r w:rsidRPr="00291A00">
        <w:rPr>
          <w:rFonts w:ascii="Times New Roman" w:hAnsi="Times New Roman" w:cs="Times New Roman"/>
        </w:rPr>
        <w:t>Zasady ustawiania krawężników</w:t>
      </w:r>
    </w:p>
    <w:p w14:paraId="370A39EF"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Światło (odległość górnej powierzchni krawężnika od jezdni) powinno być zgodne z ustaleniami dokumentacji projektowej, a w przypadku braku takich ustaleń powinno wynosić od 10 do 12 cm, a w przypadkach wyjątkowych (np. ze względu na „wyrobienie” ścieku)  może być zmniejszone do 6 cm lub zwiększone do 16 cm.</w:t>
      </w:r>
    </w:p>
    <w:p w14:paraId="1E5D51A7"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Zewnętrzna ściana krawężnika od strony chodnika powinna być po ustawieniu krawężnika obsypana piaskiem, żwirem, tłuczniem lub miejscowym gruntem przepuszczalnym, starannie ubitym.</w:t>
      </w:r>
    </w:p>
    <w:p w14:paraId="7D12469C"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5.5.2. </w:t>
      </w:r>
      <w:r w:rsidRPr="00291A00">
        <w:rPr>
          <w:rFonts w:ascii="Times New Roman" w:hAnsi="Times New Roman" w:cs="Times New Roman"/>
        </w:rPr>
        <w:t>Ustawienie krawężników na ławie żwirowej lub tłuczniowej</w:t>
      </w:r>
    </w:p>
    <w:p w14:paraId="412BD1CC"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Ustawianie krawężników na ławie żwirowej i tłuczniowej powinno być wykonywane na podsypce z piasku o grubości warstwy od 3 do 5 cm po zagęszczeniu.</w:t>
      </w:r>
    </w:p>
    <w:p w14:paraId="491C5427"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5.5.3. </w:t>
      </w:r>
      <w:r w:rsidRPr="00291A00">
        <w:rPr>
          <w:rFonts w:ascii="Times New Roman" w:hAnsi="Times New Roman" w:cs="Times New Roman"/>
        </w:rPr>
        <w:t>Ustawienie krawężników na ławie betonowej</w:t>
      </w:r>
    </w:p>
    <w:p w14:paraId="5ED53C39"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Ustawianie krawężników na ławie betonowej wykonuje się  na podsypce z piasku lub na podsypce cementowo-piaskowej o grubości 3 do 5 cm po zagęszczeniu.</w:t>
      </w:r>
    </w:p>
    <w:p w14:paraId="357451AA"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5.5.4. </w:t>
      </w:r>
      <w:r w:rsidRPr="00291A00">
        <w:rPr>
          <w:rFonts w:ascii="Times New Roman" w:hAnsi="Times New Roman" w:cs="Times New Roman"/>
        </w:rPr>
        <w:t>Wypełnianie spoin</w:t>
      </w:r>
    </w:p>
    <w:p w14:paraId="4A6DC35E"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Spoiny krawężników nie powinny przekraczać szerokości 1 cm. Spoiny należy wypełnić żwirem, piaskiem lub zaprawą cementowo-piaskową, przygotowaną w stosunku 1:2. Zalewanie spoin krawężników zaprawą cementowo-piaskową stosuje się wyłącznie do krawężników ustawionych na ławie betonowej.</w:t>
      </w:r>
    </w:p>
    <w:p w14:paraId="6FECDA77"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Spoiny krawężników przed zalaniem zaprawą należy oczyścić i zmyć wodą. Dla zabezpieczenia przed wpływami temperatury krawężniki ustawione na podsypce cementowo-piaskowej i o spoinach zalanych zaprawą należy zalewać co 50 m bitumiczną masą zalewową nad szczeliną dylatacyjną ławy.</w:t>
      </w:r>
    </w:p>
    <w:p w14:paraId="6C8607F4" w14:textId="77777777" w:rsidR="000D3174" w:rsidRPr="00291A00" w:rsidRDefault="000D3174" w:rsidP="00577746">
      <w:pPr>
        <w:pStyle w:val="Nagwek2"/>
        <w:ind w:left="851" w:hanging="851"/>
        <w:jc w:val="both"/>
        <w:rPr>
          <w:sz w:val="22"/>
          <w:szCs w:val="22"/>
        </w:rPr>
      </w:pPr>
      <w:r w:rsidRPr="00291A00">
        <w:rPr>
          <w:sz w:val="22"/>
          <w:szCs w:val="22"/>
        </w:rPr>
        <w:t>5.6. Roboty wykończeniowe</w:t>
      </w:r>
    </w:p>
    <w:p w14:paraId="6CEC1E3D"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Roboty wykończeniowe powinny być zgodne z dokumentacją projektową i ST. Do robót wykończeniowych należą prace związane z dostosowaniem wykonanych robót do istniejących warunków terenowych, takie jak:</w:t>
      </w:r>
    </w:p>
    <w:p w14:paraId="3950FB14" w14:textId="77777777" w:rsidR="000D3174" w:rsidRPr="00291A00" w:rsidRDefault="000D3174" w:rsidP="00577746">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 xml:space="preserve">odtworzenie elementów czasowo usuniętych, </w:t>
      </w:r>
    </w:p>
    <w:p w14:paraId="72BCFDE9" w14:textId="77777777" w:rsidR="000D3174" w:rsidRPr="00291A00" w:rsidRDefault="000D3174" w:rsidP="00577746">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roboty porządkujące otoczenie terenu robót.</w:t>
      </w:r>
    </w:p>
    <w:p w14:paraId="5765D711" w14:textId="77777777" w:rsidR="000D3174" w:rsidRPr="00291A00" w:rsidRDefault="000D3174" w:rsidP="00577746">
      <w:pPr>
        <w:overflowPunct w:val="0"/>
        <w:autoSpaceDE w:val="0"/>
        <w:autoSpaceDN w:val="0"/>
        <w:adjustRightInd w:val="0"/>
        <w:ind w:left="283"/>
        <w:jc w:val="both"/>
        <w:textAlignment w:val="baseline"/>
        <w:rPr>
          <w:rFonts w:ascii="Times New Roman" w:hAnsi="Times New Roman" w:cs="Times New Roman"/>
        </w:rPr>
      </w:pPr>
    </w:p>
    <w:p w14:paraId="78F89817" w14:textId="77777777" w:rsidR="000D3174" w:rsidRPr="00291A00" w:rsidRDefault="000D3174" w:rsidP="00577746">
      <w:pPr>
        <w:pStyle w:val="Nagwek1"/>
        <w:ind w:left="851" w:hanging="851"/>
        <w:jc w:val="both"/>
        <w:rPr>
          <w:sz w:val="22"/>
          <w:szCs w:val="22"/>
        </w:rPr>
      </w:pPr>
      <w:bookmarkStart w:id="892" w:name="_Toc213130274"/>
      <w:r w:rsidRPr="00291A00">
        <w:rPr>
          <w:sz w:val="22"/>
          <w:szCs w:val="22"/>
        </w:rPr>
        <w:t>6. KONTROLA JAKOŚCI ROBÓT</w:t>
      </w:r>
      <w:bookmarkEnd w:id="892"/>
    </w:p>
    <w:p w14:paraId="73EFA04A" w14:textId="77777777" w:rsidR="000D3174" w:rsidRPr="00291A00" w:rsidRDefault="000D3174" w:rsidP="00577746">
      <w:pPr>
        <w:pStyle w:val="Nagwek2"/>
        <w:ind w:left="851" w:hanging="851"/>
        <w:jc w:val="both"/>
        <w:rPr>
          <w:sz w:val="22"/>
          <w:szCs w:val="22"/>
        </w:rPr>
      </w:pPr>
      <w:r w:rsidRPr="00291A00">
        <w:rPr>
          <w:sz w:val="22"/>
          <w:szCs w:val="22"/>
        </w:rPr>
        <w:t>6.1. Ogólne zasady kontroli jakości robót</w:t>
      </w:r>
    </w:p>
    <w:p w14:paraId="4AE5337D"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Ogólne zasady k</w:t>
      </w:r>
      <w:r w:rsidR="00577746">
        <w:rPr>
          <w:rFonts w:ascii="Times New Roman" w:hAnsi="Times New Roman" w:cs="Times New Roman"/>
        </w:rPr>
        <w:t xml:space="preserve">ontroli jakości robót podano w </w:t>
      </w:r>
      <w:r w:rsidRPr="00291A00">
        <w:rPr>
          <w:rFonts w:ascii="Times New Roman" w:hAnsi="Times New Roman" w:cs="Times New Roman"/>
        </w:rPr>
        <w:t>ST D-M-00.00.00 „Wymagania ogólne” [1] pkt 6.</w:t>
      </w:r>
    </w:p>
    <w:p w14:paraId="55F51EF2" w14:textId="77777777" w:rsidR="000D3174" w:rsidRPr="00291A00" w:rsidRDefault="000D3174" w:rsidP="00577746">
      <w:pPr>
        <w:pStyle w:val="Nagwek2"/>
        <w:ind w:left="851" w:hanging="851"/>
        <w:jc w:val="both"/>
        <w:rPr>
          <w:sz w:val="22"/>
          <w:szCs w:val="22"/>
        </w:rPr>
      </w:pPr>
      <w:r w:rsidRPr="00291A00">
        <w:rPr>
          <w:sz w:val="22"/>
          <w:szCs w:val="22"/>
        </w:rPr>
        <w:t>6.2. Badania przed przystąpieniem do robót</w:t>
      </w:r>
    </w:p>
    <w:p w14:paraId="37B11044"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Przed przystąpieniem do robót Wykonawca powinien:</w:t>
      </w:r>
    </w:p>
    <w:p w14:paraId="1EC9DF31" w14:textId="77777777" w:rsidR="000D3174" w:rsidRPr="00291A00" w:rsidRDefault="000D3174"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uzyskać wymagane dokumenty, dopuszczające wyroby budowlane do obrotu i powszechnego stosowania (certyfikaty zgodności, deklaracje zgodności, ew. badania materiałów wykonane przez dostawców itp.),</w:t>
      </w:r>
    </w:p>
    <w:p w14:paraId="41841026" w14:textId="77777777" w:rsidR="000D3174" w:rsidRPr="00291A00" w:rsidRDefault="000D3174"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lastRenderedPageBreak/>
        <w:t>ew. wykonać własne badania właściwości materiałów przeznaczonych do wykonania robót, określone w pkcie 2 (tablicy 1),</w:t>
      </w:r>
    </w:p>
    <w:p w14:paraId="026C683C" w14:textId="77777777" w:rsidR="000D3174" w:rsidRPr="00291A00" w:rsidRDefault="000D3174" w:rsidP="00904E6C">
      <w:pPr>
        <w:numPr>
          <w:ilvl w:val="0"/>
          <w:numId w:val="23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sprawdzić cechy zewnętrzne krawężników.</w:t>
      </w:r>
    </w:p>
    <w:p w14:paraId="13E784E4"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Wszystkie dokumenty oraz wyniki badań Wykonawca przedstawia Inżynierowi do akceptacji.</w:t>
      </w:r>
    </w:p>
    <w:p w14:paraId="33E1D00F"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Sprawdzenie wyglądu zewnętrznego krawężników należy przeprowadzić na podstawie oględzin elementu przez pomiar i ocenę uszkodzeń występujących na powierzchniach i krawędziach elementu zgodnie z wymaganiami tablicy 1 i ustaleniami PN-EN 1343:2003 [5].</w:t>
      </w:r>
    </w:p>
    <w:p w14:paraId="78F7A6E3" w14:textId="77777777" w:rsidR="000D3174" w:rsidRPr="00291A00" w:rsidRDefault="000D3174" w:rsidP="00577746">
      <w:pPr>
        <w:ind w:firstLine="709"/>
        <w:jc w:val="both"/>
        <w:rPr>
          <w:rFonts w:ascii="Times New Roman" w:hAnsi="Times New Roman" w:cs="Times New Roman"/>
        </w:rPr>
      </w:pPr>
      <w:r w:rsidRPr="00291A00">
        <w:rPr>
          <w:rFonts w:ascii="Times New Roman" w:hAnsi="Times New Roman" w:cs="Times New Roman"/>
        </w:rPr>
        <w:t>Badania pozostałych materiałów stosowanych przy ustawianiu krawężników kamiennych powinny obejmować właściwości, określone w normach podanych dla odpowiednich materiałów w pkcie 2.</w:t>
      </w:r>
    </w:p>
    <w:p w14:paraId="4FCA51B1" w14:textId="77777777" w:rsidR="000D3174" w:rsidRPr="00291A00" w:rsidRDefault="000D3174" w:rsidP="00577746">
      <w:pPr>
        <w:pStyle w:val="Nagwek2"/>
        <w:ind w:left="851" w:hanging="851"/>
        <w:jc w:val="both"/>
        <w:rPr>
          <w:sz w:val="22"/>
          <w:szCs w:val="22"/>
        </w:rPr>
      </w:pPr>
      <w:r w:rsidRPr="00291A00">
        <w:rPr>
          <w:sz w:val="22"/>
          <w:szCs w:val="22"/>
        </w:rPr>
        <w:t>6.3. Badania w czasie robót</w:t>
      </w:r>
    </w:p>
    <w:p w14:paraId="1FACDDA0"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b/>
        </w:rPr>
        <w:t xml:space="preserve">6.3.1. </w:t>
      </w:r>
      <w:r w:rsidRPr="00291A00">
        <w:rPr>
          <w:rFonts w:ascii="Times New Roman" w:hAnsi="Times New Roman" w:cs="Times New Roman"/>
        </w:rPr>
        <w:t>Sprawdzenie koryta pod ławę</w:t>
      </w:r>
    </w:p>
    <w:p w14:paraId="45BF134C"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Należy sprawdzać wymiary koryta oraz zagęszczenie podłoża na dnie wykopu.</w:t>
      </w:r>
    </w:p>
    <w:p w14:paraId="4E543216"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 xml:space="preserve">Tolerancja dla szerokości wykopu wynosi </w:t>
      </w:r>
      <w:r w:rsidRPr="00291A00">
        <w:rPr>
          <w:rFonts w:ascii="Times New Roman" w:hAnsi="Times New Roman" w:cs="Times New Roman"/>
        </w:rPr>
        <w:sym w:font="Symbol" w:char="00B1"/>
      </w:r>
      <w:r w:rsidRPr="00291A00">
        <w:rPr>
          <w:rFonts w:ascii="Times New Roman" w:hAnsi="Times New Roman" w:cs="Times New Roman"/>
        </w:rPr>
        <w:t xml:space="preserve"> 2 cm. Zagęszczenie podłoża powinno być zgodne z pkt 5.4.1.</w:t>
      </w:r>
    </w:p>
    <w:p w14:paraId="0F1249EA"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b/>
        </w:rPr>
        <w:t xml:space="preserve">6.3.2. </w:t>
      </w:r>
      <w:r w:rsidRPr="00291A00">
        <w:rPr>
          <w:rFonts w:ascii="Times New Roman" w:hAnsi="Times New Roman" w:cs="Times New Roman"/>
        </w:rPr>
        <w:t>Sprawdzenie ław</w:t>
      </w:r>
    </w:p>
    <w:p w14:paraId="4BAA5A44" w14:textId="77777777" w:rsidR="000D3174" w:rsidRPr="00291A00" w:rsidRDefault="000D3174" w:rsidP="00577746">
      <w:pPr>
        <w:spacing w:before="120"/>
        <w:jc w:val="both"/>
        <w:rPr>
          <w:rFonts w:ascii="Times New Roman" w:hAnsi="Times New Roman" w:cs="Times New Roman"/>
        </w:rPr>
      </w:pPr>
      <w:r w:rsidRPr="00291A00">
        <w:rPr>
          <w:rFonts w:ascii="Times New Roman" w:hAnsi="Times New Roman" w:cs="Times New Roman"/>
        </w:rPr>
        <w:tab/>
        <w:t>Przy wykonywaniu ław, badaniu podlegają:</w:t>
      </w:r>
    </w:p>
    <w:p w14:paraId="6155CEBF" w14:textId="77777777" w:rsidR="000D3174" w:rsidRPr="00291A00" w:rsidRDefault="000D3174" w:rsidP="00577746">
      <w:pPr>
        <w:ind w:left="283" w:hanging="283"/>
        <w:jc w:val="both"/>
        <w:rPr>
          <w:rFonts w:ascii="Times New Roman" w:hAnsi="Times New Roman" w:cs="Times New Roman"/>
        </w:rPr>
      </w:pPr>
      <w:r w:rsidRPr="00291A00">
        <w:rPr>
          <w:rFonts w:ascii="Times New Roman" w:hAnsi="Times New Roman" w:cs="Times New Roman"/>
        </w:rPr>
        <w:t>a)   zgodność profilu podłużnego górnej powierzchni ław z dokumentacją projektową.</w:t>
      </w:r>
    </w:p>
    <w:p w14:paraId="33E972BE"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 xml:space="preserve">Profil podłużny górnej powierzchni ławy powinien być zgodny z projektowaną niweletą. Dopuszczalne odchylenia mogą wynosić </w:t>
      </w:r>
      <w:r w:rsidRPr="00291A00">
        <w:rPr>
          <w:rFonts w:ascii="Times New Roman" w:hAnsi="Times New Roman" w:cs="Times New Roman"/>
        </w:rPr>
        <w:sym w:font="Symbol" w:char="00B1"/>
      </w:r>
      <w:r w:rsidRPr="00291A00">
        <w:rPr>
          <w:rFonts w:ascii="Times New Roman" w:hAnsi="Times New Roman" w:cs="Times New Roman"/>
        </w:rPr>
        <w:t xml:space="preserve"> 1 cm na każde 100 m ławy,</w:t>
      </w:r>
    </w:p>
    <w:p w14:paraId="1DE3B872"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b)</w:t>
      </w:r>
      <w:r w:rsidRPr="00291A00">
        <w:rPr>
          <w:rFonts w:ascii="Times New Roman" w:hAnsi="Times New Roman" w:cs="Times New Roman"/>
        </w:rPr>
        <w:tab/>
        <w:t>wymiary ław.</w:t>
      </w:r>
    </w:p>
    <w:p w14:paraId="4427A396"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Wymiary ław należy sprawdzić w dwóch dowolnie wybranych punktach na każde 100 m ławy. Tolerancje wymiarów wynoszą:</w:t>
      </w:r>
    </w:p>
    <w:p w14:paraId="3FBB97D8"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 xml:space="preserve">- dla wysokości  </w:t>
      </w:r>
      <w:r w:rsidRPr="00291A00">
        <w:rPr>
          <w:rFonts w:ascii="Times New Roman" w:hAnsi="Times New Roman" w:cs="Times New Roman"/>
        </w:rPr>
        <w:sym w:font="Symbol" w:char="00B1"/>
      </w:r>
      <w:r w:rsidRPr="00291A00">
        <w:rPr>
          <w:rFonts w:ascii="Times New Roman" w:hAnsi="Times New Roman" w:cs="Times New Roman"/>
        </w:rPr>
        <w:t xml:space="preserve"> 10% wysokości projektowanej,</w:t>
      </w:r>
    </w:p>
    <w:p w14:paraId="1ABD17F5"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 xml:space="preserve">- dla szerokości  </w:t>
      </w:r>
      <w:r w:rsidRPr="00291A00">
        <w:rPr>
          <w:rFonts w:ascii="Times New Roman" w:hAnsi="Times New Roman" w:cs="Times New Roman"/>
        </w:rPr>
        <w:sym w:font="Symbol" w:char="00B1"/>
      </w:r>
      <w:r w:rsidRPr="00291A00">
        <w:rPr>
          <w:rFonts w:ascii="Times New Roman" w:hAnsi="Times New Roman" w:cs="Times New Roman"/>
        </w:rPr>
        <w:t xml:space="preserve"> 10% szerokości projektowanej,</w:t>
      </w:r>
    </w:p>
    <w:p w14:paraId="634CC75A"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c)</w:t>
      </w:r>
      <w:r w:rsidRPr="00291A00">
        <w:rPr>
          <w:rFonts w:ascii="Times New Roman" w:hAnsi="Times New Roman" w:cs="Times New Roman"/>
        </w:rPr>
        <w:tab/>
        <w:t>równość górnej powierzchni ław.</w:t>
      </w:r>
    </w:p>
    <w:p w14:paraId="1388AE20"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Równość górnej powierzchni ławy sprawdza się przez przyłożenie w dwóch punktach, na każde 100 m ławy, trzymetrowej łaty. Prześwit pomiędzy górną powierzchnią ławy i przyłożoną łatą nie może przekraczać 1 cm,</w:t>
      </w:r>
    </w:p>
    <w:p w14:paraId="7D8CC0B6"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d)</w:t>
      </w:r>
      <w:r w:rsidRPr="00291A00">
        <w:rPr>
          <w:rFonts w:ascii="Times New Roman" w:hAnsi="Times New Roman" w:cs="Times New Roman"/>
        </w:rPr>
        <w:tab/>
        <w:t>zagęszczenie ław z kruszyw.</w:t>
      </w:r>
    </w:p>
    <w:p w14:paraId="1BCA0413"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Zagęszczenie ław bada się w dwóch przekrojach na każde 100 m. Ławy ze żwiru lub piasku nie mogą wykazywać śladu urządzenia zagęszczającego.</w:t>
      </w:r>
    </w:p>
    <w:p w14:paraId="300B0D6B"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Ławy z tłucznia, badane próbą wyjęcia poszczególnych ziarn tłucznia, nie powinny pozwalać na wyjęcie ziarna z ławy,</w:t>
      </w:r>
    </w:p>
    <w:p w14:paraId="330E8469"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e)</w:t>
      </w:r>
      <w:r w:rsidRPr="00291A00">
        <w:rPr>
          <w:rFonts w:ascii="Times New Roman" w:hAnsi="Times New Roman" w:cs="Times New Roman"/>
        </w:rPr>
        <w:tab/>
        <w:t>odchylenie linii ław od projektowanego kierunku.</w:t>
      </w:r>
    </w:p>
    <w:p w14:paraId="4EFA6F02" w14:textId="77777777" w:rsidR="000D3174" w:rsidRPr="00291A00" w:rsidRDefault="000D3174" w:rsidP="00577746">
      <w:pPr>
        <w:ind w:left="284" w:hanging="284"/>
        <w:jc w:val="both"/>
        <w:rPr>
          <w:rFonts w:ascii="Times New Roman" w:hAnsi="Times New Roman" w:cs="Times New Roman"/>
        </w:rPr>
      </w:pPr>
      <w:r w:rsidRPr="00291A00">
        <w:rPr>
          <w:rFonts w:ascii="Times New Roman" w:hAnsi="Times New Roman" w:cs="Times New Roman"/>
        </w:rPr>
        <w:tab/>
        <w:t xml:space="preserve">Dopuszczalne odchylenie linii ław od projektowanego kierunku nie może przekraczać  </w:t>
      </w:r>
      <w:r w:rsidRPr="00291A00">
        <w:rPr>
          <w:rFonts w:ascii="Times New Roman" w:hAnsi="Times New Roman" w:cs="Times New Roman"/>
        </w:rPr>
        <w:sym w:font="Symbol" w:char="00B1"/>
      </w:r>
      <w:r w:rsidRPr="00291A00">
        <w:rPr>
          <w:rFonts w:ascii="Times New Roman" w:hAnsi="Times New Roman" w:cs="Times New Roman"/>
        </w:rPr>
        <w:t xml:space="preserve"> 2 cm na każde 100 m wykonanej ławy.</w:t>
      </w:r>
    </w:p>
    <w:p w14:paraId="788188C6" w14:textId="77777777" w:rsidR="000D3174" w:rsidRPr="00291A00" w:rsidRDefault="000D3174" w:rsidP="00577746">
      <w:pPr>
        <w:spacing w:before="120"/>
        <w:ind w:left="284" w:hanging="284"/>
        <w:jc w:val="both"/>
        <w:rPr>
          <w:rFonts w:ascii="Times New Roman" w:hAnsi="Times New Roman" w:cs="Times New Roman"/>
        </w:rPr>
      </w:pPr>
      <w:r w:rsidRPr="00291A00">
        <w:rPr>
          <w:rFonts w:ascii="Times New Roman" w:hAnsi="Times New Roman" w:cs="Times New Roman"/>
          <w:b/>
        </w:rPr>
        <w:lastRenderedPageBreak/>
        <w:t xml:space="preserve">6.3.3. </w:t>
      </w:r>
      <w:r w:rsidRPr="00291A00">
        <w:rPr>
          <w:rFonts w:ascii="Times New Roman" w:hAnsi="Times New Roman" w:cs="Times New Roman"/>
        </w:rPr>
        <w:t>Sprawdzenie ustawienia krawężników</w:t>
      </w:r>
    </w:p>
    <w:p w14:paraId="1C690719" w14:textId="77777777" w:rsidR="000D3174" w:rsidRPr="00291A00" w:rsidRDefault="000D3174" w:rsidP="00577746">
      <w:pPr>
        <w:spacing w:before="120"/>
        <w:ind w:left="284" w:hanging="284"/>
        <w:jc w:val="both"/>
        <w:rPr>
          <w:rFonts w:ascii="Times New Roman" w:hAnsi="Times New Roman" w:cs="Times New Roman"/>
        </w:rPr>
      </w:pPr>
      <w:r w:rsidRPr="00291A00">
        <w:rPr>
          <w:rFonts w:ascii="Times New Roman" w:hAnsi="Times New Roman" w:cs="Times New Roman"/>
        </w:rPr>
        <w:tab/>
      </w:r>
      <w:r w:rsidRPr="00291A00">
        <w:rPr>
          <w:rFonts w:ascii="Times New Roman" w:hAnsi="Times New Roman" w:cs="Times New Roman"/>
        </w:rPr>
        <w:tab/>
        <w:t>Przy ustawianiu krawężników należy sprawdzać:</w:t>
      </w:r>
    </w:p>
    <w:p w14:paraId="0442049B" w14:textId="77777777" w:rsidR="000D3174" w:rsidRPr="00291A00" w:rsidRDefault="000D3174" w:rsidP="00904E6C">
      <w:pPr>
        <w:numPr>
          <w:ilvl w:val="0"/>
          <w:numId w:val="41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 xml:space="preserve">dopuszczalne odchylenia linii krawężników w poziomie od linii projektowanej, które wynosi </w:t>
      </w:r>
      <w:r w:rsidRPr="00291A00">
        <w:rPr>
          <w:rFonts w:ascii="Times New Roman" w:hAnsi="Times New Roman" w:cs="Times New Roman"/>
        </w:rPr>
        <w:sym w:font="Symbol" w:char="00B1"/>
      </w:r>
      <w:r w:rsidRPr="00291A00">
        <w:rPr>
          <w:rFonts w:ascii="Times New Roman" w:hAnsi="Times New Roman" w:cs="Times New Roman"/>
        </w:rPr>
        <w:t xml:space="preserve"> 1 cm na każde 100 m ustawionego krawężnika,</w:t>
      </w:r>
    </w:p>
    <w:p w14:paraId="73B75C76" w14:textId="77777777" w:rsidR="000D3174" w:rsidRPr="00291A00" w:rsidRDefault="000D3174" w:rsidP="00904E6C">
      <w:pPr>
        <w:numPr>
          <w:ilvl w:val="0"/>
          <w:numId w:val="41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 xml:space="preserve">dopuszczalne odchylenie niwelety górnej płaszczyzny krawężnika od niwelety projektowanej, które wynosi </w:t>
      </w:r>
      <w:r w:rsidRPr="00291A00">
        <w:rPr>
          <w:rFonts w:ascii="Times New Roman" w:hAnsi="Times New Roman" w:cs="Times New Roman"/>
        </w:rPr>
        <w:sym w:font="Symbol" w:char="00B1"/>
      </w:r>
      <w:r w:rsidRPr="00291A00">
        <w:rPr>
          <w:rFonts w:ascii="Times New Roman" w:hAnsi="Times New Roman" w:cs="Times New Roman"/>
        </w:rPr>
        <w:t xml:space="preserve"> 1 cm na każde 100 m ustawionego krawężnika,</w:t>
      </w:r>
    </w:p>
    <w:p w14:paraId="5C6316DF" w14:textId="77777777" w:rsidR="000D3174" w:rsidRPr="00291A00" w:rsidRDefault="000D3174" w:rsidP="00904E6C">
      <w:pPr>
        <w:numPr>
          <w:ilvl w:val="0"/>
          <w:numId w:val="41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równość górnej powierzchni krawężników, sprawdzane przez przyłożenie w dwóch punktach na każde 100 m krawężnika, trzymetrowej łaty, przy czym prześwit pomiędzy górną powierzchnią krawężnika i przyłożoną łatą nie może przekraczać 1 cm,</w:t>
      </w:r>
    </w:p>
    <w:p w14:paraId="60715A87" w14:textId="77777777" w:rsidR="000D3174" w:rsidRPr="00291A00" w:rsidRDefault="000D3174" w:rsidP="00904E6C">
      <w:pPr>
        <w:numPr>
          <w:ilvl w:val="0"/>
          <w:numId w:val="41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dokładność wypełnienia spoin bada się co 10 metrów. Spoiny muszą być wypełnione całkowicie na pełną głębokość.</w:t>
      </w:r>
    </w:p>
    <w:p w14:paraId="77AACDFF" w14:textId="77777777" w:rsidR="000D3174" w:rsidRPr="00291A00" w:rsidRDefault="000D3174" w:rsidP="00577746">
      <w:pPr>
        <w:pStyle w:val="Nagwek1"/>
        <w:ind w:left="851" w:hanging="851"/>
        <w:jc w:val="both"/>
        <w:rPr>
          <w:sz w:val="22"/>
          <w:szCs w:val="22"/>
        </w:rPr>
      </w:pPr>
      <w:bookmarkStart w:id="893" w:name="_7._OBMIAR_ROBÓT"/>
      <w:bookmarkStart w:id="894" w:name="_Toc428759427"/>
      <w:bookmarkStart w:id="895" w:name="_Toc213130275"/>
      <w:bookmarkEnd w:id="893"/>
      <w:r w:rsidRPr="00291A00">
        <w:rPr>
          <w:sz w:val="22"/>
          <w:szCs w:val="22"/>
        </w:rPr>
        <w:t>7. OBMIAR ROBÓT</w:t>
      </w:r>
      <w:bookmarkEnd w:id="894"/>
      <w:bookmarkEnd w:id="895"/>
    </w:p>
    <w:p w14:paraId="6EADB17C" w14:textId="77777777" w:rsidR="000D3174" w:rsidRPr="00291A00" w:rsidRDefault="000D3174" w:rsidP="00577746">
      <w:pPr>
        <w:pStyle w:val="Nagwek2"/>
        <w:ind w:left="851" w:hanging="851"/>
        <w:jc w:val="both"/>
        <w:rPr>
          <w:sz w:val="22"/>
          <w:szCs w:val="22"/>
        </w:rPr>
      </w:pPr>
    </w:p>
    <w:p w14:paraId="187EDA03" w14:textId="77777777" w:rsidR="000D3174" w:rsidRPr="00291A00" w:rsidRDefault="000D3174" w:rsidP="00577746">
      <w:pPr>
        <w:pStyle w:val="Nagwek2"/>
        <w:ind w:left="851" w:hanging="851"/>
        <w:jc w:val="both"/>
        <w:rPr>
          <w:sz w:val="22"/>
          <w:szCs w:val="22"/>
        </w:rPr>
      </w:pPr>
      <w:r w:rsidRPr="00291A00">
        <w:rPr>
          <w:sz w:val="22"/>
          <w:szCs w:val="22"/>
        </w:rPr>
        <w:t>7.1. Ogólne zasady obmiaru robót</w:t>
      </w:r>
    </w:p>
    <w:p w14:paraId="557E5139"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Ogólne</w:t>
      </w:r>
      <w:r w:rsidR="00577746">
        <w:rPr>
          <w:rFonts w:ascii="Times New Roman" w:hAnsi="Times New Roman" w:cs="Times New Roman"/>
        </w:rPr>
        <w:t xml:space="preserve"> zasady obmiaru robót podano w </w:t>
      </w:r>
      <w:r w:rsidRPr="00291A00">
        <w:rPr>
          <w:rFonts w:ascii="Times New Roman" w:hAnsi="Times New Roman" w:cs="Times New Roman"/>
        </w:rPr>
        <w:t>ST D-M-00.00.00 „Wymagania ogólne” [1] pkt 7.</w:t>
      </w:r>
    </w:p>
    <w:p w14:paraId="69FED105" w14:textId="77777777" w:rsidR="000D3174" w:rsidRPr="00291A00" w:rsidRDefault="000D3174" w:rsidP="00577746">
      <w:pPr>
        <w:pStyle w:val="Nagwek2"/>
        <w:ind w:left="851" w:hanging="851"/>
        <w:jc w:val="both"/>
        <w:rPr>
          <w:sz w:val="22"/>
          <w:szCs w:val="22"/>
        </w:rPr>
      </w:pPr>
    </w:p>
    <w:p w14:paraId="6FA59A6F" w14:textId="77777777" w:rsidR="000D3174" w:rsidRPr="00291A00" w:rsidRDefault="000D3174" w:rsidP="00577746">
      <w:pPr>
        <w:pStyle w:val="Nagwek2"/>
        <w:ind w:left="851" w:hanging="851"/>
        <w:jc w:val="both"/>
        <w:rPr>
          <w:sz w:val="22"/>
          <w:szCs w:val="22"/>
        </w:rPr>
      </w:pPr>
      <w:r w:rsidRPr="00291A00">
        <w:rPr>
          <w:sz w:val="22"/>
          <w:szCs w:val="22"/>
        </w:rPr>
        <w:t>7.2. Jednostka obmiarowa</w:t>
      </w:r>
    </w:p>
    <w:p w14:paraId="3F228A90"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Jednostką obmiarową jest m (metr) ustawionego krawężnika.</w:t>
      </w:r>
    </w:p>
    <w:p w14:paraId="2B2A8211" w14:textId="77777777" w:rsidR="000D3174" w:rsidRPr="00291A00" w:rsidRDefault="000D3174" w:rsidP="00577746">
      <w:pPr>
        <w:pStyle w:val="Nagwek1"/>
        <w:ind w:left="851" w:hanging="851"/>
        <w:jc w:val="both"/>
        <w:rPr>
          <w:sz w:val="22"/>
          <w:szCs w:val="22"/>
        </w:rPr>
      </w:pPr>
      <w:bookmarkStart w:id="896" w:name="_8._ODBIÓR_ROBÓT"/>
      <w:bookmarkStart w:id="897" w:name="_Toc428759428"/>
      <w:bookmarkStart w:id="898" w:name="_Toc213130276"/>
      <w:bookmarkEnd w:id="896"/>
    </w:p>
    <w:p w14:paraId="18CC9228" w14:textId="77777777" w:rsidR="000D3174" w:rsidRPr="00291A00" w:rsidRDefault="000D3174" w:rsidP="00577746">
      <w:pPr>
        <w:pStyle w:val="Nagwek1"/>
        <w:ind w:left="851" w:hanging="851"/>
        <w:jc w:val="both"/>
        <w:rPr>
          <w:sz w:val="22"/>
          <w:szCs w:val="22"/>
        </w:rPr>
      </w:pPr>
      <w:r w:rsidRPr="00291A00">
        <w:rPr>
          <w:sz w:val="22"/>
          <w:szCs w:val="22"/>
        </w:rPr>
        <w:t>8. ODBIÓR ROBÓT</w:t>
      </w:r>
      <w:bookmarkEnd w:id="897"/>
      <w:bookmarkEnd w:id="898"/>
    </w:p>
    <w:p w14:paraId="7B0FC30C" w14:textId="77777777" w:rsidR="000D3174" w:rsidRPr="00291A00" w:rsidRDefault="000D3174" w:rsidP="00577746">
      <w:pPr>
        <w:pStyle w:val="Nagwek2"/>
        <w:ind w:left="851" w:hanging="851"/>
        <w:jc w:val="both"/>
        <w:rPr>
          <w:sz w:val="22"/>
          <w:szCs w:val="22"/>
        </w:rPr>
      </w:pPr>
    </w:p>
    <w:p w14:paraId="26BA9E3E" w14:textId="77777777" w:rsidR="000D3174" w:rsidRPr="00291A00" w:rsidRDefault="000D3174" w:rsidP="00577746">
      <w:pPr>
        <w:pStyle w:val="Nagwek2"/>
        <w:ind w:left="851" w:hanging="851"/>
        <w:jc w:val="both"/>
        <w:rPr>
          <w:sz w:val="22"/>
          <w:szCs w:val="22"/>
        </w:rPr>
      </w:pPr>
      <w:r w:rsidRPr="00291A00">
        <w:rPr>
          <w:sz w:val="22"/>
          <w:szCs w:val="22"/>
        </w:rPr>
        <w:t>8.1. Ogólne zasady odbioru robót</w:t>
      </w:r>
    </w:p>
    <w:p w14:paraId="6055862A"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Ogólne</w:t>
      </w:r>
      <w:r w:rsidR="00577746">
        <w:rPr>
          <w:rFonts w:ascii="Times New Roman" w:hAnsi="Times New Roman" w:cs="Times New Roman"/>
        </w:rPr>
        <w:t xml:space="preserve"> zasady odbioru robót podano w </w:t>
      </w:r>
      <w:r w:rsidRPr="00291A00">
        <w:rPr>
          <w:rFonts w:ascii="Times New Roman" w:hAnsi="Times New Roman" w:cs="Times New Roman"/>
        </w:rPr>
        <w:t>ST D-M-00.00.00 „Wymagania ogólne” [1] pkt 8.</w:t>
      </w:r>
    </w:p>
    <w:p w14:paraId="4C08EAB3"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Roboty uznaje się za wykonane zgodnie z dokumentacją projektową, ST i wymaganiami Inżyniera, jeżeli wszystkie pomiary i badania z zachowaniem tolerancji wg pkt 6 dały wyniki pozytywne.</w:t>
      </w:r>
    </w:p>
    <w:p w14:paraId="0D20AF05" w14:textId="77777777" w:rsidR="000D3174" w:rsidRPr="00291A00" w:rsidRDefault="000D3174" w:rsidP="00577746">
      <w:pPr>
        <w:pStyle w:val="Nagwek2"/>
        <w:ind w:left="851" w:hanging="851"/>
        <w:jc w:val="both"/>
        <w:rPr>
          <w:sz w:val="22"/>
          <w:szCs w:val="22"/>
        </w:rPr>
      </w:pPr>
    </w:p>
    <w:p w14:paraId="39E70C10" w14:textId="77777777" w:rsidR="000D3174" w:rsidRPr="00291A00" w:rsidRDefault="000D3174" w:rsidP="00577746">
      <w:pPr>
        <w:pStyle w:val="Nagwek2"/>
        <w:ind w:left="851" w:hanging="851"/>
        <w:jc w:val="both"/>
        <w:rPr>
          <w:sz w:val="22"/>
          <w:szCs w:val="22"/>
        </w:rPr>
      </w:pPr>
      <w:r w:rsidRPr="00291A00">
        <w:rPr>
          <w:sz w:val="22"/>
          <w:szCs w:val="22"/>
        </w:rPr>
        <w:t>8.2. Odbiór robót zanikających i ulegających zakryciu</w:t>
      </w:r>
    </w:p>
    <w:p w14:paraId="6FC692F5"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Odbiorowi robót zanikających i ulegających zakryciu podlegają:</w:t>
      </w:r>
    </w:p>
    <w:p w14:paraId="3000B658" w14:textId="77777777" w:rsidR="000D3174" w:rsidRPr="00291A00" w:rsidRDefault="000D3174" w:rsidP="00904E6C">
      <w:pPr>
        <w:numPr>
          <w:ilvl w:val="0"/>
          <w:numId w:val="416"/>
        </w:numPr>
        <w:tabs>
          <w:tab w:val="left" w:pos="851"/>
          <w:tab w:val="left" w:pos="1134"/>
          <w:tab w:val="left" w:pos="1701"/>
        </w:tabs>
        <w:suppressAutoHyphens/>
        <w:spacing w:after="0" w:line="240" w:lineRule="auto"/>
        <w:jc w:val="both"/>
        <w:rPr>
          <w:rFonts w:ascii="Times New Roman" w:hAnsi="Times New Roman" w:cs="Times New Roman"/>
        </w:rPr>
      </w:pPr>
      <w:r w:rsidRPr="00291A00">
        <w:rPr>
          <w:rFonts w:ascii="Times New Roman" w:hAnsi="Times New Roman" w:cs="Times New Roman"/>
        </w:rPr>
        <w:t>wykonanie koryta pod ławę,</w:t>
      </w:r>
    </w:p>
    <w:p w14:paraId="266012D4" w14:textId="77777777" w:rsidR="000D3174" w:rsidRPr="00291A00" w:rsidRDefault="000D3174" w:rsidP="00904E6C">
      <w:pPr>
        <w:numPr>
          <w:ilvl w:val="0"/>
          <w:numId w:val="416"/>
        </w:numPr>
        <w:tabs>
          <w:tab w:val="left" w:pos="851"/>
          <w:tab w:val="left" w:pos="1134"/>
          <w:tab w:val="left" w:pos="1701"/>
        </w:tabs>
        <w:suppressAutoHyphens/>
        <w:spacing w:after="0" w:line="240" w:lineRule="auto"/>
        <w:jc w:val="both"/>
        <w:rPr>
          <w:rFonts w:ascii="Times New Roman" w:hAnsi="Times New Roman" w:cs="Times New Roman"/>
        </w:rPr>
      </w:pPr>
      <w:r w:rsidRPr="00291A00">
        <w:rPr>
          <w:rFonts w:ascii="Times New Roman" w:hAnsi="Times New Roman" w:cs="Times New Roman"/>
        </w:rPr>
        <w:t>wykonanie ławy,</w:t>
      </w:r>
    </w:p>
    <w:p w14:paraId="4EBF2615" w14:textId="77777777" w:rsidR="000D3174" w:rsidRPr="00291A00" w:rsidRDefault="000D3174" w:rsidP="00904E6C">
      <w:pPr>
        <w:numPr>
          <w:ilvl w:val="0"/>
          <w:numId w:val="416"/>
        </w:numPr>
        <w:tabs>
          <w:tab w:val="left" w:pos="851"/>
          <w:tab w:val="left" w:pos="1134"/>
          <w:tab w:val="left" w:pos="1701"/>
        </w:tabs>
        <w:suppressAutoHyphens/>
        <w:spacing w:after="0" w:line="240" w:lineRule="auto"/>
        <w:jc w:val="both"/>
        <w:rPr>
          <w:rFonts w:ascii="Times New Roman" w:hAnsi="Times New Roman" w:cs="Times New Roman"/>
        </w:rPr>
      </w:pPr>
      <w:r w:rsidRPr="00291A00">
        <w:rPr>
          <w:rFonts w:ascii="Times New Roman" w:hAnsi="Times New Roman" w:cs="Times New Roman"/>
        </w:rPr>
        <w:t>wykonanie podsypki.</w:t>
      </w:r>
    </w:p>
    <w:p w14:paraId="1624D005" w14:textId="77777777" w:rsidR="000D3174" w:rsidRPr="00291A00" w:rsidRDefault="000D3174" w:rsidP="00577746">
      <w:pPr>
        <w:jc w:val="both"/>
        <w:rPr>
          <w:rFonts w:ascii="Times New Roman" w:hAnsi="Times New Roman" w:cs="Times New Roman"/>
        </w:rPr>
      </w:pPr>
      <w:r w:rsidRPr="00291A00">
        <w:rPr>
          <w:rFonts w:ascii="Times New Roman" w:hAnsi="Times New Roman" w:cs="Times New Roman"/>
        </w:rPr>
        <w:tab/>
        <w:t>Odbiór tych robót powinien być zgodny z wymaganiami pktu 8.2 ST D-M-00.00.00 „Wymagan</w:t>
      </w:r>
      <w:r w:rsidR="00577746">
        <w:rPr>
          <w:rFonts w:ascii="Times New Roman" w:hAnsi="Times New Roman" w:cs="Times New Roman"/>
        </w:rPr>
        <w:t xml:space="preserve">ia ogólne” [1] oraz niniejszej </w:t>
      </w:r>
      <w:r w:rsidRPr="00291A00">
        <w:rPr>
          <w:rFonts w:ascii="Times New Roman" w:hAnsi="Times New Roman" w:cs="Times New Roman"/>
        </w:rPr>
        <w:t>ST.</w:t>
      </w:r>
    </w:p>
    <w:p w14:paraId="1D4D01DF" w14:textId="77777777" w:rsidR="000D3174" w:rsidRPr="00291A00" w:rsidRDefault="000D3174" w:rsidP="000D3174">
      <w:pPr>
        <w:pStyle w:val="Nagwek1"/>
        <w:ind w:left="851" w:hanging="851"/>
        <w:rPr>
          <w:sz w:val="22"/>
          <w:szCs w:val="22"/>
        </w:rPr>
      </w:pPr>
      <w:bookmarkStart w:id="899" w:name="_9._PODSTAWA_PŁATNOŚCI"/>
      <w:bookmarkStart w:id="900" w:name="_Toc428759429"/>
      <w:bookmarkStart w:id="901" w:name="_Toc213130277"/>
      <w:bookmarkEnd w:id="899"/>
    </w:p>
    <w:p w14:paraId="2E4D8860" w14:textId="77777777" w:rsidR="000D3174" w:rsidRPr="00291A00" w:rsidRDefault="000D3174" w:rsidP="000D3174">
      <w:pPr>
        <w:pStyle w:val="Nagwek1"/>
        <w:ind w:left="851" w:hanging="851"/>
        <w:rPr>
          <w:sz w:val="22"/>
          <w:szCs w:val="22"/>
        </w:rPr>
      </w:pPr>
      <w:r w:rsidRPr="00291A00">
        <w:rPr>
          <w:sz w:val="22"/>
          <w:szCs w:val="22"/>
        </w:rPr>
        <w:t>9. PODSTAWA PŁATNOŚCI</w:t>
      </w:r>
      <w:bookmarkEnd w:id="900"/>
      <w:bookmarkEnd w:id="901"/>
    </w:p>
    <w:p w14:paraId="6F75A5D6" w14:textId="77777777" w:rsidR="000D3174" w:rsidRPr="00291A00" w:rsidRDefault="000D3174" w:rsidP="000D3174">
      <w:pPr>
        <w:pStyle w:val="Nagwek2"/>
        <w:ind w:left="851" w:hanging="851"/>
        <w:rPr>
          <w:sz w:val="22"/>
          <w:szCs w:val="22"/>
        </w:rPr>
      </w:pPr>
      <w:r w:rsidRPr="00291A00">
        <w:rPr>
          <w:sz w:val="22"/>
          <w:szCs w:val="22"/>
        </w:rPr>
        <w:t>9.1. Ogólne ustalenia dotyczące podstawy płatności</w:t>
      </w:r>
    </w:p>
    <w:p w14:paraId="0F67F037"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ab/>
        <w:t>Ogólne ustalenia dotyczą</w:t>
      </w:r>
      <w:r w:rsidR="00577746">
        <w:rPr>
          <w:rFonts w:ascii="Times New Roman" w:hAnsi="Times New Roman" w:cs="Times New Roman"/>
        </w:rPr>
        <w:t xml:space="preserve">ce podstawy płatności podano w </w:t>
      </w:r>
      <w:r w:rsidRPr="00291A00">
        <w:rPr>
          <w:rFonts w:ascii="Times New Roman" w:hAnsi="Times New Roman" w:cs="Times New Roman"/>
        </w:rPr>
        <w:t>ST D-M-00.00.00  „Wymagania ogólne” [1] pkt 9.</w:t>
      </w:r>
    </w:p>
    <w:p w14:paraId="21772FFF" w14:textId="77777777" w:rsidR="000D3174" w:rsidRPr="00291A00" w:rsidRDefault="000D3174" w:rsidP="000D3174">
      <w:pPr>
        <w:pStyle w:val="Nagwek2"/>
        <w:ind w:left="851" w:hanging="851"/>
        <w:rPr>
          <w:sz w:val="22"/>
          <w:szCs w:val="22"/>
        </w:rPr>
      </w:pPr>
      <w:r w:rsidRPr="00291A00">
        <w:rPr>
          <w:sz w:val="22"/>
          <w:szCs w:val="22"/>
        </w:rPr>
        <w:t>9.2. Cena jednostki obmiarowej</w:t>
      </w:r>
    </w:p>
    <w:p w14:paraId="7478FE15"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ab/>
        <w:t>Cena ustawienia 1 m krawężnika obejmuje:</w:t>
      </w:r>
    </w:p>
    <w:p w14:paraId="60B87186"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prace pomiarowe i roboty przygotowawcze,</w:t>
      </w:r>
    </w:p>
    <w:p w14:paraId="1EE8124D"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oznakowanie robót,</w:t>
      </w:r>
    </w:p>
    <w:p w14:paraId="4812C7AC"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przygotowanie podłoża,</w:t>
      </w:r>
    </w:p>
    <w:p w14:paraId="1382F810"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dostarczenie materiałów i sprzętu,</w:t>
      </w:r>
    </w:p>
    <w:p w14:paraId="22734AD7"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wykonanie koryta pod ławę,</w:t>
      </w:r>
    </w:p>
    <w:p w14:paraId="3C0AE975"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wykonanie ławy z ewentualnym wykonaniem szalunku i zalaniem szczelin dylatacyjnych,</w:t>
      </w:r>
    </w:p>
    <w:p w14:paraId="09AAEEB2"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wykonanie podsypki,</w:t>
      </w:r>
    </w:p>
    <w:p w14:paraId="7D93D72F"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ustawienie krawężników z wypełnieniem spoin i zalaniem szczelin według wymagań dokumentacji projektowej, ST i specyfikacji technicznej,</w:t>
      </w:r>
    </w:p>
    <w:p w14:paraId="2BB332F1"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przeprowadzenie pomiarów i badań wymaganych w specyfikacji technicznej,</w:t>
      </w:r>
    </w:p>
    <w:p w14:paraId="14B60D9D" w14:textId="77777777" w:rsidR="000D3174" w:rsidRPr="00291A00" w:rsidRDefault="000D3174" w:rsidP="00904E6C">
      <w:pPr>
        <w:numPr>
          <w:ilvl w:val="0"/>
          <w:numId w:val="414"/>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odwiezienie sprzętu.</w:t>
      </w:r>
    </w:p>
    <w:p w14:paraId="2734ED25" w14:textId="77777777" w:rsidR="000D3174" w:rsidRPr="00291A00" w:rsidRDefault="000D3174" w:rsidP="000D3174">
      <w:pPr>
        <w:pStyle w:val="Nagwek2"/>
        <w:ind w:left="851" w:hanging="851"/>
        <w:rPr>
          <w:sz w:val="22"/>
          <w:szCs w:val="22"/>
        </w:rPr>
      </w:pPr>
      <w:r w:rsidRPr="00291A00">
        <w:rPr>
          <w:sz w:val="22"/>
          <w:szCs w:val="22"/>
        </w:rPr>
        <w:t>9.3. Sposób rozliczenia robót tymczasowych i prac towarzyszących</w:t>
      </w:r>
    </w:p>
    <w:p w14:paraId="347A6541"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ab/>
        <w:t>Cena wykonania ro</w:t>
      </w:r>
      <w:r w:rsidR="00577746">
        <w:rPr>
          <w:rFonts w:ascii="Times New Roman" w:hAnsi="Times New Roman" w:cs="Times New Roman"/>
        </w:rPr>
        <w:t xml:space="preserve">bót określonych niniejszą </w:t>
      </w:r>
      <w:r w:rsidRPr="00291A00">
        <w:rPr>
          <w:rFonts w:ascii="Times New Roman" w:hAnsi="Times New Roman" w:cs="Times New Roman"/>
        </w:rPr>
        <w:t>ST obejmuje:</w:t>
      </w:r>
    </w:p>
    <w:p w14:paraId="568B4D06" w14:textId="77777777" w:rsidR="000D3174" w:rsidRPr="00291A00" w:rsidRDefault="000D3174" w:rsidP="000D3174">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roboty tymczasowe, które są potrzebne do wykonania robót podstawowych, ale nie są przekazywane Zamawiającemu i są usuwane po wykonaniu robót podstawowych,</w:t>
      </w:r>
    </w:p>
    <w:p w14:paraId="3916B3ED" w14:textId="77777777" w:rsidR="000D3174" w:rsidRPr="00291A00" w:rsidRDefault="000D3174" w:rsidP="000D3174">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prace towarzyszące, które są niezbędne do wykonania robót podstawowych, niezaliczane do robót tymczasowych, jak geodezyjne wytyczenie robót itd.</w:t>
      </w:r>
    </w:p>
    <w:p w14:paraId="37014F49" w14:textId="77777777" w:rsidR="000D3174" w:rsidRPr="00291A00" w:rsidRDefault="000D3174" w:rsidP="000D3174">
      <w:pPr>
        <w:pStyle w:val="Nagwek1"/>
        <w:ind w:left="851" w:hanging="851"/>
        <w:rPr>
          <w:sz w:val="22"/>
          <w:szCs w:val="22"/>
        </w:rPr>
      </w:pPr>
      <w:bookmarkStart w:id="902" w:name="_Toc213130278"/>
    </w:p>
    <w:p w14:paraId="484B623C" w14:textId="77777777" w:rsidR="000D3174" w:rsidRPr="00291A00" w:rsidRDefault="000D3174" w:rsidP="000D3174">
      <w:pPr>
        <w:pStyle w:val="Nagwek1"/>
        <w:ind w:left="851" w:hanging="851"/>
        <w:rPr>
          <w:sz w:val="22"/>
          <w:szCs w:val="22"/>
        </w:rPr>
      </w:pPr>
      <w:r w:rsidRPr="00291A00">
        <w:rPr>
          <w:sz w:val="22"/>
          <w:szCs w:val="22"/>
        </w:rPr>
        <w:t>10. PRZEPISY ZWIĄZANE</w:t>
      </w:r>
      <w:bookmarkEnd w:id="902"/>
    </w:p>
    <w:p w14:paraId="0F0472EA" w14:textId="77777777" w:rsidR="000D3174" w:rsidRPr="00291A00" w:rsidRDefault="000D3174" w:rsidP="000D3174">
      <w:pPr>
        <w:pStyle w:val="Nagwek2"/>
        <w:ind w:left="851" w:hanging="851"/>
        <w:rPr>
          <w:sz w:val="22"/>
          <w:szCs w:val="22"/>
        </w:rPr>
      </w:pPr>
      <w:r w:rsidRPr="00291A00">
        <w:rPr>
          <w:sz w:val="22"/>
          <w:szCs w:val="22"/>
        </w:rPr>
        <w:t>10.1. Ogólne specyfikacje techniczne (OST)</w:t>
      </w:r>
    </w:p>
    <w:tbl>
      <w:tblPr>
        <w:tblW w:w="0" w:type="auto"/>
        <w:tblLayout w:type="fixed"/>
        <w:tblCellMar>
          <w:left w:w="70" w:type="dxa"/>
          <w:right w:w="70" w:type="dxa"/>
        </w:tblCellMar>
        <w:tblLook w:val="0000" w:firstRow="0" w:lastRow="0" w:firstColumn="0" w:lastColumn="0" w:noHBand="0" w:noVBand="0"/>
      </w:tblPr>
      <w:tblGrid>
        <w:gridCol w:w="637"/>
        <w:gridCol w:w="1843"/>
        <w:gridCol w:w="4961"/>
      </w:tblGrid>
      <w:tr w:rsidR="000D3174" w:rsidRPr="00291A00" w14:paraId="6B3BF70B" w14:textId="77777777" w:rsidTr="00585490">
        <w:tc>
          <w:tcPr>
            <w:tcW w:w="637" w:type="dxa"/>
          </w:tcPr>
          <w:p w14:paraId="38B929B0"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1.</w:t>
            </w:r>
          </w:p>
        </w:tc>
        <w:tc>
          <w:tcPr>
            <w:tcW w:w="1843" w:type="dxa"/>
          </w:tcPr>
          <w:p w14:paraId="328124FF"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D-M-00.00.00</w:t>
            </w:r>
          </w:p>
        </w:tc>
        <w:tc>
          <w:tcPr>
            <w:tcW w:w="4961" w:type="dxa"/>
          </w:tcPr>
          <w:p w14:paraId="1F751F3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Wymagania ogólne</w:t>
            </w:r>
          </w:p>
        </w:tc>
      </w:tr>
      <w:tr w:rsidR="000D3174" w:rsidRPr="00291A00" w14:paraId="6AD75042" w14:textId="77777777" w:rsidTr="00585490">
        <w:tc>
          <w:tcPr>
            <w:tcW w:w="637" w:type="dxa"/>
          </w:tcPr>
          <w:p w14:paraId="76814E50"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2.</w:t>
            </w:r>
          </w:p>
        </w:tc>
        <w:tc>
          <w:tcPr>
            <w:tcW w:w="1843" w:type="dxa"/>
          </w:tcPr>
          <w:p w14:paraId="59A653D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D-05.03.04a</w:t>
            </w:r>
          </w:p>
        </w:tc>
        <w:tc>
          <w:tcPr>
            <w:tcW w:w="4961" w:type="dxa"/>
          </w:tcPr>
          <w:p w14:paraId="5CEC286A"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Wypełnianie szczelin w nawierzchni z betonu cementowego</w:t>
            </w:r>
          </w:p>
        </w:tc>
      </w:tr>
    </w:tbl>
    <w:p w14:paraId="612EE770" w14:textId="77777777" w:rsidR="000D3174" w:rsidRPr="00291A00" w:rsidRDefault="000D3174" w:rsidP="000D3174">
      <w:pPr>
        <w:pStyle w:val="Nagwek2"/>
        <w:ind w:left="851" w:hanging="851"/>
        <w:rPr>
          <w:sz w:val="22"/>
          <w:szCs w:val="22"/>
        </w:rPr>
      </w:pPr>
      <w:r w:rsidRPr="00291A00">
        <w:rPr>
          <w:sz w:val="22"/>
          <w:szCs w:val="22"/>
        </w:rPr>
        <w:t>10.2. Normy</w:t>
      </w:r>
    </w:p>
    <w:tbl>
      <w:tblPr>
        <w:tblW w:w="7479" w:type="dxa"/>
        <w:tblLook w:val="01E0" w:firstRow="1" w:lastRow="1" w:firstColumn="1" w:lastColumn="1" w:noHBand="0" w:noVBand="0"/>
      </w:tblPr>
      <w:tblGrid>
        <w:gridCol w:w="675"/>
        <w:gridCol w:w="1843"/>
        <w:gridCol w:w="4961"/>
      </w:tblGrid>
      <w:tr w:rsidR="000D3174" w:rsidRPr="00291A00" w14:paraId="652575B9" w14:textId="77777777" w:rsidTr="00585490">
        <w:tc>
          <w:tcPr>
            <w:tcW w:w="675" w:type="dxa"/>
          </w:tcPr>
          <w:p w14:paraId="5F71B071"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3.</w:t>
            </w:r>
          </w:p>
        </w:tc>
        <w:tc>
          <w:tcPr>
            <w:tcW w:w="1843" w:type="dxa"/>
          </w:tcPr>
          <w:p w14:paraId="278AC97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197-1:2002</w:t>
            </w:r>
          </w:p>
        </w:tc>
        <w:tc>
          <w:tcPr>
            <w:tcW w:w="4961" w:type="dxa"/>
          </w:tcPr>
          <w:p w14:paraId="125F17E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Cement. Część 1: Skład, wymagania i kryteria zgodności dotyczące cementu powszechnego użytku</w:t>
            </w:r>
          </w:p>
        </w:tc>
      </w:tr>
      <w:tr w:rsidR="000D3174" w:rsidRPr="00291A00" w14:paraId="3DF638A6" w14:textId="77777777" w:rsidTr="00585490">
        <w:tc>
          <w:tcPr>
            <w:tcW w:w="675" w:type="dxa"/>
          </w:tcPr>
          <w:p w14:paraId="692234DD"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4.</w:t>
            </w:r>
          </w:p>
        </w:tc>
        <w:tc>
          <w:tcPr>
            <w:tcW w:w="1843" w:type="dxa"/>
          </w:tcPr>
          <w:p w14:paraId="6052E96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206-1:2003</w:t>
            </w:r>
          </w:p>
        </w:tc>
        <w:tc>
          <w:tcPr>
            <w:tcW w:w="4961" w:type="dxa"/>
          </w:tcPr>
          <w:p w14:paraId="67D05267"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Beton. Część 1: Wymagania, właściwości, produkcja i zgodność (W okresie przejściowym można stosować PN-B-06250:1988 Beton zwykły)</w:t>
            </w:r>
          </w:p>
        </w:tc>
      </w:tr>
      <w:tr w:rsidR="000D3174" w:rsidRPr="00291A00" w14:paraId="5CBD62B5" w14:textId="77777777" w:rsidTr="00585490">
        <w:tc>
          <w:tcPr>
            <w:tcW w:w="675" w:type="dxa"/>
          </w:tcPr>
          <w:p w14:paraId="29E7FC1E"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lastRenderedPageBreak/>
              <w:t>5.</w:t>
            </w:r>
          </w:p>
        </w:tc>
        <w:tc>
          <w:tcPr>
            <w:tcW w:w="1843" w:type="dxa"/>
          </w:tcPr>
          <w:p w14:paraId="43BFCD2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1343:2003</w:t>
            </w:r>
          </w:p>
        </w:tc>
        <w:tc>
          <w:tcPr>
            <w:tcW w:w="4961" w:type="dxa"/>
          </w:tcPr>
          <w:p w14:paraId="302D8112"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Krawężniki z kamienia naturalnego do zewnętrznych nawierzchni drogowych. Wymagania i metody badań</w:t>
            </w:r>
          </w:p>
        </w:tc>
      </w:tr>
      <w:tr w:rsidR="000D3174" w:rsidRPr="00291A00" w14:paraId="33127E0D" w14:textId="77777777" w:rsidTr="00585490">
        <w:tc>
          <w:tcPr>
            <w:tcW w:w="675" w:type="dxa"/>
          </w:tcPr>
          <w:p w14:paraId="6880AB6B"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6.</w:t>
            </w:r>
          </w:p>
        </w:tc>
        <w:tc>
          <w:tcPr>
            <w:tcW w:w="1843" w:type="dxa"/>
          </w:tcPr>
          <w:p w14:paraId="2B3D16C4"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12371:2002</w:t>
            </w:r>
          </w:p>
        </w:tc>
        <w:tc>
          <w:tcPr>
            <w:tcW w:w="4961" w:type="dxa"/>
          </w:tcPr>
          <w:p w14:paraId="619F3072" w14:textId="77777777" w:rsidR="000D3174" w:rsidRPr="00291A00" w:rsidRDefault="000D3174" w:rsidP="00585490">
            <w:pPr>
              <w:ind w:right="160"/>
              <w:rPr>
                <w:rFonts w:ascii="Times New Roman" w:hAnsi="Times New Roman" w:cs="Times New Roman"/>
              </w:rPr>
            </w:pPr>
            <w:r w:rsidRPr="00291A00">
              <w:rPr>
                <w:rFonts w:ascii="Times New Roman" w:hAnsi="Times New Roman" w:cs="Times New Roman"/>
              </w:rPr>
              <w:t>Metody badań kamienia naturalnego – Oznaczanie mrozoodporności</w:t>
            </w:r>
          </w:p>
        </w:tc>
      </w:tr>
      <w:tr w:rsidR="000D3174" w:rsidRPr="00291A00" w14:paraId="7B80FE6B" w14:textId="77777777" w:rsidTr="00585490">
        <w:tc>
          <w:tcPr>
            <w:tcW w:w="675" w:type="dxa"/>
          </w:tcPr>
          <w:p w14:paraId="677A7D21"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7.</w:t>
            </w:r>
          </w:p>
        </w:tc>
        <w:tc>
          <w:tcPr>
            <w:tcW w:w="1843" w:type="dxa"/>
          </w:tcPr>
          <w:p w14:paraId="611F54F8"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12372:2001</w:t>
            </w:r>
          </w:p>
        </w:tc>
        <w:tc>
          <w:tcPr>
            <w:tcW w:w="4961" w:type="dxa"/>
          </w:tcPr>
          <w:p w14:paraId="0A0BA336"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Metody badań kamienia naturalnego – Oznaczanie wytrzymałości na zginanie pod działaniem siły skupionej</w:t>
            </w:r>
          </w:p>
        </w:tc>
      </w:tr>
      <w:tr w:rsidR="000D3174" w:rsidRPr="00291A00" w14:paraId="14FBDD1B" w14:textId="77777777" w:rsidTr="00585490">
        <w:tc>
          <w:tcPr>
            <w:tcW w:w="675" w:type="dxa"/>
          </w:tcPr>
          <w:p w14:paraId="1EAD4ABB"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8.</w:t>
            </w:r>
          </w:p>
        </w:tc>
        <w:tc>
          <w:tcPr>
            <w:tcW w:w="1843" w:type="dxa"/>
          </w:tcPr>
          <w:p w14:paraId="7918A526"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12407:2001</w:t>
            </w:r>
          </w:p>
        </w:tc>
        <w:tc>
          <w:tcPr>
            <w:tcW w:w="4961" w:type="dxa"/>
          </w:tcPr>
          <w:p w14:paraId="41848C01"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Metody badań kamienia naturalnego – Badania petrograficzne</w:t>
            </w:r>
          </w:p>
        </w:tc>
      </w:tr>
      <w:tr w:rsidR="000D3174" w:rsidRPr="00291A00" w14:paraId="67961994" w14:textId="77777777" w:rsidTr="00585490">
        <w:tc>
          <w:tcPr>
            <w:tcW w:w="675" w:type="dxa"/>
          </w:tcPr>
          <w:p w14:paraId="1D5E0703"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9.</w:t>
            </w:r>
          </w:p>
        </w:tc>
        <w:tc>
          <w:tcPr>
            <w:tcW w:w="1843" w:type="dxa"/>
          </w:tcPr>
          <w:p w14:paraId="3B3FCC64"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13755:2002</w:t>
            </w:r>
          </w:p>
        </w:tc>
        <w:tc>
          <w:tcPr>
            <w:tcW w:w="4961" w:type="dxa"/>
          </w:tcPr>
          <w:p w14:paraId="1990EB0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Metody badań kamienia naturalnego – Oznaczanie nasiąkliwości przy ciśnieniu atmosferycznym</w:t>
            </w:r>
          </w:p>
        </w:tc>
      </w:tr>
      <w:tr w:rsidR="000D3174" w:rsidRPr="00291A00" w14:paraId="20AAE6B4" w14:textId="77777777" w:rsidTr="00585490">
        <w:tc>
          <w:tcPr>
            <w:tcW w:w="675" w:type="dxa"/>
          </w:tcPr>
          <w:p w14:paraId="04602407"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10.</w:t>
            </w:r>
          </w:p>
        </w:tc>
        <w:tc>
          <w:tcPr>
            <w:tcW w:w="1843" w:type="dxa"/>
          </w:tcPr>
          <w:p w14:paraId="7752CB2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13242:2004</w:t>
            </w:r>
          </w:p>
        </w:tc>
        <w:tc>
          <w:tcPr>
            <w:tcW w:w="4961" w:type="dxa"/>
          </w:tcPr>
          <w:p w14:paraId="3E4964C0"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Kruszywa dla niezwiązanych i związanych hydraulicznie materiałów stosowanych w obiektach budowlanych i budownictwie drogowym (W okresie przejściowym można stosować PN-B-11111:1996 Kruszywa mineralne. Kruszywa naturalne do nawierzchni drogowych. Żwir i mieszanka, PN-B-11112:1996 Kruszywa mineralne. Kruszywo łamane do nawierzchni drogowych, PN-B-11113:1996 Kruszywa mineralne. Kruszywa naturalne do nawierzchni drogowych. Piasek)</w:t>
            </w:r>
          </w:p>
        </w:tc>
      </w:tr>
      <w:tr w:rsidR="000D3174" w:rsidRPr="00291A00" w14:paraId="06363A83" w14:textId="77777777" w:rsidTr="00585490">
        <w:tc>
          <w:tcPr>
            <w:tcW w:w="675" w:type="dxa"/>
          </w:tcPr>
          <w:p w14:paraId="57614FC5"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11.</w:t>
            </w:r>
          </w:p>
        </w:tc>
        <w:tc>
          <w:tcPr>
            <w:tcW w:w="1843" w:type="dxa"/>
          </w:tcPr>
          <w:p w14:paraId="4B3E243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PN-EN 1008:2004</w:t>
            </w:r>
          </w:p>
        </w:tc>
        <w:tc>
          <w:tcPr>
            <w:tcW w:w="4961" w:type="dxa"/>
          </w:tcPr>
          <w:p w14:paraId="2A0112AD"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Woda zarobowa do betonu. Specyfikacja pobierania próbek, badanie i ocena przydatności wody zarobowej do betonu, w tym wody odzyskanej z procesów produkcji betonu</w:t>
            </w:r>
          </w:p>
        </w:tc>
      </w:tr>
      <w:tr w:rsidR="000D3174" w:rsidRPr="00291A00" w14:paraId="5129F929" w14:textId="77777777" w:rsidTr="00585490">
        <w:tc>
          <w:tcPr>
            <w:tcW w:w="675" w:type="dxa"/>
          </w:tcPr>
          <w:p w14:paraId="696F67E3"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12.</w:t>
            </w:r>
          </w:p>
        </w:tc>
        <w:tc>
          <w:tcPr>
            <w:tcW w:w="1843" w:type="dxa"/>
          </w:tcPr>
          <w:p w14:paraId="71F1676C"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PN-B-06265:2004</w:t>
            </w:r>
          </w:p>
        </w:tc>
        <w:tc>
          <w:tcPr>
            <w:tcW w:w="4961" w:type="dxa"/>
          </w:tcPr>
          <w:p w14:paraId="55199305"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Krajowe uzupełnienie PN-EN 206-1:2003 – Beton. Część 1: Wymagania, właściwości, produkcja i zgodność</w:t>
            </w:r>
          </w:p>
        </w:tc>
      </w:tr>
    </w:tbl>
    <w:p w14:paraId="52488BA3" w14:textId="77777777" w:rsidR="000D3174" w:rsidRPr="00291A00" w:rsidRDefault="000D3174" w:rsidP="000D3174">
      <w:pPr>
        <w:pStyle w:val="Nagwek2"/>
        <w:ind w:left="851" w:hanging="851"/>
        <w:rPr>
          <w:sz w:val="22"/>
          <w:szCs w:val="22"/>
        </w:rPr>
      </w:pPr>
    </w:p>
    <w:p w14:paraId="4421BBB7" w14:textId="77777777" w:rsidR="000D3174" w:rsidRPr="00291A00" w:rsidRDefault="000D3174" w:rsidP="000D3174">
      <w:pPr>
        <w:pStyle w:val="Nagwek2"/>
        <w:ind w:left="851" w:hanging="851"/>
        <w:rPr>
          <w:sz w:val="22"/>
          <w:szCs w:val="22"/>
        </w:rPr>
      </w:pPr>
      <w:r w:rsidRPr="00291A00">
        <w:rPr>
          <w:sz w:val="22"/>
          <w:szCs w:val="22"/>
        </w:rPr>
        <w:t>10.3. Inne dokumenty</w:t>
      </w:r>
    </w:p>
    <w:tbl>
      <w:tblPr>
        <w:tblW w:w="0" w:type="auto"/>
        <w:tblLook w:val="01E0" w:firstRow="1" w:lastRow="1" w:firstColumn="1" w:lastColumn="1" w:noHBand="0" w:noVBand="0"/>
      </w:tblPr>
      <w:tblGrid>
        <w:gridCol w:w="675"/>
        <w:gridCol w:w="6836"/>
      </w:tblGrid>
      <w:tr w:rsidR="000D3174" w:rsidRPr="00291A00" w14:paraId="5CA28934" w14:textId="77777777" w:rsidTr="00585490">
        <w:tc>
          <w:tcPr>
            <w:tcW w:w="675" w:type="dxa"/>
          </w:tcPr>
          <w:p w14:paraId="5D2B2A9A" w14:textId="77777777" w:rsidR="000D3174" w:rsidRPr="00291A00" w:rsidRDefault="000D3174" w:rsidP="00585490">
            <w:pPr>
              <w:jc w:val="right"/>
              <w:rPr>
                <w:rFonts w:ascii="Times New Roman" w:hAnsi="Times New Roman" w:cs="Times New Roman"/>
              </w:rPr>
            </w:pPr>
            <w:r w:rsidRPr="00291A00">
              <w:rPr>
                <w:rFonts w:ascii="Times New Roman" w:hAnsi="Times New Roman" w:cs="Times New Roman"/>
              </w:rPr>
              <w:t>13.</w:t>
            </w:r>
          </w:p>
        </w:tc>
        <w:tc>
          <w:tcPr>
            <w:tcW w:w="6836" w:type="dxa"/>
          </w:tcPr>
          <w:p w14:paraId="5C0E4EF4" w14:textId="77777777" w:rsidR="000D3174" w:rsidRPr="00291A00" w:rsidRDefault="000D3174" w:rsidP="00585490">
            <w:pPr>
              <w:ind w:left="34"/>
              <w:rPr>
                <w:rFonts w:ascii="Times New Roman" w:hAnsi="Times New Roman" w:cs="Times New Roman"/>
              </w:rPr>
            </w:pPr>
            <w:r w:rsidRPr="00291A00">
              <w:rPr>
                <w:rFonts w:ascii="Times New Roman" w:hAnsi="Times New Roman" w:cs="Times New Roman"/>
              </w:rPr>
              <w:t>Katalog szczegółów drogowych ulic, placów i parków miejskich, Centrum Techniki Budownictwa Komunalnego, Warszawa 1987</w:t>
            </w:r>
          </w:p>
          <w:p w14:paraId="2BF7CDE5" w14:textId="77777777" w:rsidR="000D3174" w:rsidRPr="00291A00" w:rsidRDefault="000D3174" w:rsidP="00585490">
            <w:pPr>
              <w:rPr>
                <w:rFonts w:ascii="Times New Roman" w:hAnsi="Times New Roman" w:cs="Times New Roman"/>
              </w:rPr>
            </w:pPr>
          </w:p>
        </w:tc>
      </w:tr>
    </w:tbl>
    <w:p w14:paraId="627686E0" w14:textId="77777777" w:rsidR="000D3174" w:rsidRPr="00291A00" w:rsidRDefault="000D3174" w:rsidP="000D3174">
      <w:pPr>
        <w:ind w:left="284"/>
        <w:rPr>
          <w:rFonts w:ascii="Times New Roman" w:hAnsi="Times New Roman" w:cs="Times New Roman"/>
        </w:rPr>
      </w:pPr>
    </w:p>
    <w:p w14:paraId="78212A4B" w14:textId="77777777" w:rsidR="000D3174" w:rsidRPr="00291A00" w:rsidRDefault="000D3174" w:rsidP="000D3174">
      <w:pPr>
        <w:rPr>
          <w:rFonts w:ascii="Times New Roman" w:hAnsi="Times New Roman" w:cs="Times New Roman"/>
        </w:rPr>
      </w:pPr>
    </w:p>
    <w:p w14:paraId="2B60872B" w14:textId="77777777" w:rsidR="000D3174" w:rsidRPr="00291A00" w:rsidRDefault="000D3174" w:rsidP="000D3174">
      <w:pPr>
        <w:pStyle w:val="Nagwek1"/>
        <w:ind w:left="851" w:hanging="851"/>
        <w:rPr>
          <w:sz w:val="22"/>
          <w:szCs w:val="22"/>
        </w:rPr>
      </w:pPr>
      <w:r w:rsidRPr="00291A00">
        <w:rPr>
          <w:sz w:val="22"/>
          <w:szCs w:val="22"/>
        </w:rPr>
        <w:br w:type="page"/>
      </w:r>
      <w:bookmarkStart w:id="903" w:name="_Toc213130279"/>
      <w:r w:rsidRPr="00291A00">
        <w:rPr>
          <w:sz w:val="22"/>
          <w:szCs w:val="22"/>
        </w:rPr>
        <w:lastRenderedPageBreak/>
        <w:t>11. ZAŁĄCZNIKI</w:t>
      </w:r>
      <w:bookmarkEnd w:id="903"/>
    </w:p>
    <w:p w14:paraId="312E4348" w14:textId="77777777" w:rsidR="000D3174" w:rsidRPr="00291A00" w:rsidRDefault="000D3174" w:rsidP="000D3174">
      <w:pPr>
        <w:spacing w:before="120" w:after="120"/>
        <w:jc w:val="right"/>
        <w:rPr>
          <w:rFonts w:ascii="Times New Roman" w:hAnsi="Times New Roman" w:cs="Times New Roman"/>
          <w:b/>
        </w:rPr>
      </w:pPr>
      <w:r w:rsidRPr="00291A00">
        <w:rPr>
          <w:rFonts w:ascii="Times New Roman" w:hAnsi="Times New Roman" w:cs="Times New Roman"/>
          <w:b/>
        </w:rPr>
        <w:t>ZAŁĄCZNIK 1</w:t>
      </w:r>
    </w:p>
    <w:p w14:paraId="56D7DFA5" w14:textId="77777777" w:rsidR="000D3174" w:rsidRPr="00291A00" w:rsidRDefault="000D3174" w:rsidP="000D3174">
      <w:pPr>
        <w:jc w:val="center"/>
        <w:rPr>
          <w:rFonts w:ascii="Times New Roman" w:hAnsi="Times New Roman" w:cs="Times New Roman"/>
        </w:rPr>
      </w:pPr>
      <w:r w:rsidRPr="00291A00">
        <w:rPr>
          <w:rFonts w:ascii="Times New Roman" w:hAnsi="Times New Roman" w:cs="Times New Roman"/>
        </w:rPr>
        <w:t>PRZYKŁADY   KSZTAŁTÓW   KRAWĘŻNIKÓW   KAMIENNYCH (wg [5])</w:t>
      </w:r>
    </w:p>
    <w:p w14:paraId="32ABA983" w14:textId="77777777" w:rsidR="000D3174" w:rsidRPr="00291A00" w:rsidRDefault="000D3174" w:rsidP="000D3174">
      <w:pPr>
        <w:rPr>
          <w:rFonts w:ascii="Times New Roman" w:hAnsi="Times New Roman" w:cs="Times New Roman"/>
        </w:rPr>
      </w:pPr>
    </w:p>
    <w:p w14:paraId="7E92E7FE" w14:textId="77777777" w:rsidR="000D3174" w:rsidRPr="00291A00" w:rsidRDefault="000D3174" w:rsidP="000D3174">
      <w:pPr>
        <w:jc w:val="center"/>
        <w:rPr>
          <w:rFonts w:ascii="Times New Roman" w:hAnsi="Times New Roman" w:cs="Times New Roman"/>
        </w:rPr>
      </w:pPr>
      <w:r w:rsidRPr="00291A00">
        <w:rPr>
          <w:rFonts w:ascii="Times New Roman" w:hAnsi="Times New Roman" w:cs="Times New Roman"/>
          <w:noProof/>
          <w:lang w:eastAsia="pl-PL"/>
        </w:rPr>
        <w:drawing>
          <wp:inline distT="0" distB="0" distL="0" distR="0" wp14:anchorId="253B85E4" wp14:editId="778C415C">
            <wp:extent cx="3590925" cy="3667125"/>
            <wp:effectExtent l="0" t="0" r="9525" b="9525"/>
            <wp:docPr id="9" name="Obraz 9" descr="z1_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1_1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90925" cy="3667125"/>
                    </a:xfrm>
                    <a:prstGeom prst="rect">
                      <a:avLst/>
                    </a:prstGeom>
                    <a:noFill/>
                    <a:ln>
                      <a:noFill/>
                    </a:ln>
                  </pic:spPr>
                </pic:pic>
              </a:graphicData>
            </a:graphic>
          </wp:inline>
        </w:drawing>
      </w:r>
    </w:p>
    <w:p w14:paraId="64DB0092" w14:textId="77777777" w:rsidR="000D3174" w:rsidRPr="00291A00" w:rsidRDefault="000D3174" w:rsidP="000D3174">
      <w:pPr>
        <w:rPr>
          <w:rFonts w:ascii="Times New Roman" w:hAnsi="Times New Roman" w:cs="Times New Roman"/>
        </w:rPr>
      </w:pPr>
    </w:p>
    <w:p w14:paraId="40B1C046" w14:textId="77777777" w:rsidR="000D3174" w:rsidRPr="00291A00" w:rsidRDefault="000D3174" w:rsidP="000D3174">
      <w:pPr>
        <w:ind w:left="142"/>
        <w:rPr>
          <w:rFonts w:ascii="Times New Roman" w:hAnsi="Times New Roman" w:cs="Times New Roman"/>
        </w:rPr>
      </w:pPr>
      <w:r w:rsidRPr="00291A00">
        <w:rPr>
          <w:rFonts w:ascii="Times New Roman" w:hAnsi="Times New Roman" w:cs="Times New Roman"/>
        </w:rPr>
        <w:t>Legenda:</w:t>
      </w:r>
    </w:p>
    <w:p w14:paraId="7E2A1218"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W takim narożniku może być faza lub zaokrąglenie</w:t>
      </w:r>
    </w:p>
    <w:p w14:paraId="2F052CAA"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Faza</w:t>
      </w:r>
    </w:p>
    <w:p w14:paraId="748F38AA"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Zaokrąglenie</w:t>
      </w:r>
    </w:p>
    <w:p w14:paraId="357DD9D4"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prostokątny</w:t>
      </w:r>
    </w:p>
    <w:p w14:paraId="381A6E76"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skośny</w:t>
      </w:r>
      <w:r w:rsidRPr="00291A00">
        <w:rPr>
          <w:rFonts w:ascii="Times New Roman" w:hAnsi="Times New Roman" w:cs="Times New Roman"/>
        </w:rPr>
        <w:tab/>
      </w:r>
    </w:p>
    <w:p w14:paraId="690C738A"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z fazą lub skosem</w:t>
      </w:r>
    </w:p>
    <w:p w14:paraId="1DB96AB3"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podcięty</w:t>
      </w:r>
    </w:p>
    <w:p w14:paraId="6D3F0847"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z fazą lub skośny</w:t>
      </w:r>
    </w:p>
    <w:p w14:paraId="262D6EED" w14:textId="77777777" w:rsidR="000D3174" w:rsidRPr="00291A00" w:rsidRDefault="000D3174" w:rsidP="00904E6C">
      <w:pPr>
        <w:numPr>
          <w:ilvl w:val="0"/>
          <w:numId w:val="415"/>
        </w:numPr>
        <w:tabs>
          <w:tab w:val="clear" w:pos="720"/>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Krawężnik zaokrąglony</w:t>
      </w:r>
    </w:p>
    <w:p w14:paraId="38053990" w14:textId="77777777" w:rsidR="000D3174" w:rsidRPr="00291A00" w:rsidRDefault="000D3174" w:rsidP="00904E6C">
      <w:pPr>
        <w:numPr>
          <w:ilvl w:val="0"/>
          <w:numId w:val="415"/>
        </w:numPr>
        <w:tabs>
          <w:tab w:val="clear" w:pos="720"/>
          <w:tab w:val="left" w:pos="-2694"/>
          <w:tab w:val="num" w:pos="567"/>
        </w:tabs>
        <w:overflowPunct w:val="0"/>
        <w:autoSpaceDE w:val="0"/>
        <w:autoSpaceDN w:val="0"/>
        <w:adjustRightInd w:val="0"/>
        <w:spacing w:after="0" w:line="240" w:lineRule="auto"/>
        <w:jc w:val="both"/>
        <w:textAlignment w:val="baseline"/>
        <w:rPr>
          <w:rFonts w:ascii="Times New Roman" w:hAnsi="Times New Roman" w:cs="Times New Roman"/>
        </w:rPr>
      </w:pPr>
      <w:r w:rsidRPr="00291A00">
        <w:rPr>
          <w:rFonts w:ascii="Times New Roman" w:hAnsi="Times New Roman" w:cs="Times New Roman"/>
        </w:rPr>
        <w:t>Powierzchnia czołowa</w:t>
      </w:r>
    </w:p>
    <w:p w14:paraId="3B7E1D62" w14:textId="77777777" w:rsidR="000D3174" w:rsidRPr="00291A00" w:rsidRDefault="000D3174" w:rsidP="000D3174">
      <w:pPr>
        <w:rPr>
          <w:rFonts w:ascii="Times New Roman" w:hAnsi="Times New Roman" w:cs="Times New Roman"/>
        </w:rPr>
      </w:pPr>
    </w:p>
    <w:p w14:paraId="703A0ACC" w14:textId="77777777" w:rsidR="000D3174" w:rsidRPr="00291A00" w:rsidRDefault="000D3174" w:rsidP="000D3174">
      <w:pPr>
        <w:rPr>
          <w:rFonts w:ascii="Times New Roman" w:hAnsi="Times New Roman" w:cs="Times New Roman"/>
        </w:rPr>
      </w:pPr>
    </w:p>
    <w:p w14:paraId="7DBD17E9" w14:textId="77777777" w:rsidR="000D3174" w:rsidRPr="00291A00" w:rsidRDefault="000D3174" w:rsidP="000D3174">
      <w:pPr>
        <w:rPr>
          <w:rFonts w:ascii="Times New Roman" w:hAnsi="Times New Roman" w:cs="Times New Roman"/>
        </w:rPr>
      </w:pPr>
    </w:p>
    <w:p w14:paraId="5A4B43BF" w14:textId="77777777" w:rsidR="000D3174" w:rsidRPr="00291A00" w:rsidRDefault="000D3174" w:rsidP="000D3174">
      <w:pPr>
        <w:rPr>
          <w:rFonts w:ascii="Times New Roman" w:hAnsi="Times New Roman" w:cs="Times New Roman"/>
        </w:rPr>
      </w:pPr>
    </w:p>
    <w:p w14:paraId="1472EB34" w14:textId="77777777" w:rsidR="000D3174" w:rsidRPr="00291A00" w:rsidRDefault="000D3174" w:rsidP="000D3174">
      <w:pPr>
        <w:rPr>
          <w:rFonts w:ascii="Times New Roman" w:hAnsi="Times New Roman" w:cs="Times New Roman"/>
        </w:rPr>
      </w:pPr>
    </w:p>
    <w:p w14:paraId="17B5E430" w14:textId="77777777" w:rsidR="000D3174" w:rsidRPr="00291A00" w:rsidRDefault="000D3174" w:rsidP="000D3174">
      <w:pPr>
        <w:rPr>
          <w:rFonts w:ascii="Times New Roman" w:hAnsi="Times New Roman" w:cs="Times New Roman"/>
        </w:rPr>
      </w:pPr>
    </w:p>
    <w:p w14:paraId="37FFC50D" w14:textId="77777777" w:rsidR="000D3174" w:rsidRPr="00291A00" w:rsidRDefault="000D3174" w:rsidP="000D3174">
      <w:pPr>
        <w:rPr>
          <w:rFonts w:ascii="Times New Roman" w:hAnsi="Times New Roman" w:cs="Times New Roman"/>
        </w:rPr>
      </w:pPr>
    </w:p>
    <w:p w14:paraId="6A3765BA" w14:textId="77777777" w:rsidR="000D3174" w:rsidRPr="00291A00" w:rsidRDefault="000D3174" w:rsidP="000D3174">
      <w:pPr>
        <w:rPr>
          <w:rFonts w:ascii="Times New Roman" w:hAnsi="Times New Roman" w:cs="Times New Roman"/>
        </w:rPr>
      </w:pPr>
    </w:p>
    <w:p w14:paraId="6A4680E3" w14:textId="77777777" w:rsidR="000D3174" w:rsidRPr="00291A00" w:rsidRDefault="000D3174" w:rsidP="000D3174">
      <w:pPr>
        <w:jc w:val="right"/>
        <w:rPr>
          <w:rFonts w:ascii="Times New Roman" w:hAnsi="Times New Roman" w:cs="Times New Roman"/>
          <w:b/>
        </w:rPr>
      </w:pPr>
      <w:r w:rsidRPr="00291A00">
        <w:rPr>
          <w:rFonts w:ascii="Times New Roman" w:hAnsi="Times New Roman" w:cs="Times New Roman"/>
          <w:b/>
        </w:rPr>
        <w:t>ZAŁĄCZNIK 2</w:t>
      </w:r>
    </w:p>
    <w:p w14:paraId="2DCB6905" w14:textId="77777777" w:rsidR="000D3174" w:rsidRPr="00291A00" w:rsidRDefault="000D3174" w:rsidP="000D3174">
      <w:pPr>
        <w:spacing w:before="120"/>
        <w:jc w:val="center"/>
        <w:rPr>
          <w:rFonts w:ascii="Times New Roman" w:hAnsi="Times New Roman" w:cs="Times New Roman"/>
        </w:rPr>
      </w:pPr>
      <w:r w:rsidRPr="00291A00">
        <w:rPr>
          <w:rFonts w:ascii="Times New Roman" w:hAnsi="Times New Roman" w:cs="Times New Roman"/>
        </w:rPr>
        <w:t xml:space="preserve">PRZYKŁADY  KRAWĘŻNIKÓW  KAMIENNYCH  TYPU  ULICZNEGO  </w:t>
      </w:r>
    </w:p>
    <w:p w14:paraId="6F88B583" w14:textId="77777777" w:rsidR="000D3174" w:rsidRPr="00291A00" w:rsidRDefault="000D3174" w:rsidP="000D3174">
      <w:pPr>
        <w:jc w:val="center"/>
        <w:rPr>
          <w:rFonts w:ascii="Times New Roman" w:hAnsi="Times New Roman" w:cs="Times New Roman"/>
        </w:rPr>
      </w:pPr>
      <w:r w:rsidRPr="00291A00">
        <w:rPr>
          <w:rFonts w:ascii="Times New Roman" w:hAnsi="Times New Roman" w:cs="Times New Roman"/>
        </w:rPr>
        <w:t>I  DROGOWEGO</w:t>
      </w:r>
    </w:p>
    <w:p w14:paraId="6AA8547B" w14:textId="77777777" w:rsidR="000D3174" w:rsidRPr="00291A00" w:rsidRDefault="000D3174" w:rsidP="000D3174">
      <w:pPr>
        <w:jc w:val="center"/>
        <w:rPr>
          <w:rFonts w:ascii="Times New Roman" w:hAnsi="Times New Roman" w:cs="Times New Roman"/>
        </w:rPr>
      </w:pPr>
      <w:r w:rsidRPr="00291A00">
        <w:rPr>
          <w:rFonts w:ascii="Times New Roman" w:hAnsi="Times New Roman" w:cs="Times New Roman"/>
        </w:rPr>
        <w:t>(wg BN-66/6775-01 Elementy kamienne. Krawężniki uliczne, mostowe i drogowe)</w:t>
      </w:r>
    </w:p>
    <w:p w14:paraId="56BDD01E" w14:textId="77777777" w:rsidR="000D3174" w:rsidRPr="00291A00" w:rsidRDefault="000D3174" w:rsidP="000D3174">
      <w:pPr>
        <w:rPr>
          <w:rFonts w:ascii="Times New Roman" w:hAnsi="Times New Roman" w:cs="Times New Roman"/>
        </w:rPr>
      </w:pPr>
    </w:p>
    <w:p w14:paraId="4AE5FC25"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a) Krawężniki typu ulicznego</w:t>
      </w:r>
    </w:p>
    <w:p w14:paraId="7406EAD5" w14:textId="77777777" w:rsidR="000D3174" w:rsidRPr="00291A00" w:rsidRDefault="000D3174" w:rsidP="000D3174">
      <w:pPr>
        <w:rPr>
          <w:rFonts w:ascii="Times New Roman" w:hAnsi="Times New Roman" w:cs="Times New Roman"/>
        </w:rPr>
      </w:pPr>
    </w:p>
    <w:tbl>
      <w:tblPr>
        <w:tblW w:w="0" w:type="auto"/>
        <w:tblLayout w:type="fixed"/>
        <w:tblLook w:val="01E0" w:firstRow="1" w:lastRow="1" w:firstColumn="1" w:lastColumn="1" w:noHBand="0" w:noVBand="0"/>
      </w:tblPr>
      <w:tblGrid>
        <w:gridCol w:w="3936"/>
        <w:gridCol w:w="3651"/>
      </w:tblGrid>
      <w:tr w:rsidR="000D3174" w:rsidRPr="00291A00" w14:paraId="1B083905" w14:textId="77777777" w:rsidTr="00585490">
        <w:trPr>
          <w:trHeight w:val="2667"/>
        </w:trPr>
        <w:tc>
          <w:tcPr>
            <w:tcW w:w="3936" w:type="dxa"/>
          </w:tcPr>
          <w:p w14:paraId="486BF3F3"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drawing>
                <wp:inline distT="0" distB="0" distL="0" distR="0" wp14:anchorId="5AB455D7" wp14:editId="534DF6D7">
                  <wp:extent cx="1962150" cy="1333500"/>
                  <wp:effectExtent l="0" t="0" r="0" b="0"/>
                  <wp:docPr id="8" name="Obraz 8" descr="z2_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2_1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62150" cy="1333500"/>
                          </a:xfrm>
                          <a:prstGeom prst="rect">
                            <a:avLst/>
                          </a:prstGeom>
                          <a:noFill/>
                          <a:ln>
                            <a:noFill/>
                          </a:ln>
                        </pic:spPr>
                      </pic:pic>
                    </a:graphicData>
                  </a:graphic>
                </wp:inline>
              </w:drawing>
            </w:r>
          </w:p>
          <w:p w14:paraId="707A93CE"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Krawężnik uliczny rodzaju A</w:t>
            </w:r>
          </w:p>
        </w:tc>
        <w:tc>
          <w:tcPr>
            <w:tcW w:w="3651" w:type="dxa"/>
          </w:tcPr>
          <w:p w14:paraId="29854092" w14:textId="77777777" w:rsidR="000D3174" w:rsidRPr="00291A00" w:rsidRDefault="000D3174" w:rsidP="00585490">
            <w:pPr>
              <w:spacing w:after="120"/>
              <w:jc w:val="center"/>
              <w:rPr>
                <w:rFonts w:ascii="Times New Roman" w:hAnsi="Times New Roman" w:cs="Times New Roman"/>
              </w:rPr>
            </w:pPr>
            <w:r w:rsidRPr="00291A00">
              <w:rPr>
                <w:rFonts w:ascii="Times New Roman" w:hAnsi="Times New Roman" w:cs="Times New Roman"/>
              </w:rPr>
              <w:t>Wymiary krawężników ulicznych</w:t>
            </w:r>
          </w:p>
          <w:tbl>
            <w:tblPr>
              <w:tblW w:w="3473" w:type="dxa"/>
              <w:tblInd w:w="28" w:type="dxa"/>
              <w:tblLayout w:type="fixed"/>
              <w:tblLook w:val="01E0" w:firstRow="1" w:lastRow="1" w:firstColumn="1" w:lastColumn="1" w:noHBand="0" w:noVBand="0"/>
            </w:tblPr>
            <w:tblGrid>
              <w:gridCol w:w="890"/>
              <w:gridCol w:w="709"/>
              <w:gridCol w:w="708"/>
              <w:gridCol w:w="567"/>
              <w:gridCol w:w="599"/>
            </w:tblGrid>
            <w:tr w:rsidR="000D3174" w:rsidRPr="00291A00" w14:paraId="62875EEC" w14:textId="77777777" w:rsidTr="00585490">
              <w:tc>
                <w:tcPr>
                  <w:tcW w:w="890" w:type="dxa"/>
                  <w:tcBorders>
                    <w:top w:val="single" w:sz="4" w:space="0" w:color="auto"/>
                    <w:left w:val="single" w:sz="4" w:space="0" w:color="auto"/>
                    <w:right w:val="single" w:sz="4" w:space="0" w:color="auto"/>
                  </w:tcBorders>
                </w:tcPr>
                <w:p w14:paraId="780AE8E4"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Wymiar</w:t>
                  </w:r>
                </w:p>
              </w:tc>
              <w:tc>
                <w:tcPr>
                  <w:tcW w:w="2583" w:type="dxa"/>
                  <w:gridSpan w:val="4"/>
                  <w:tcBorders>
                    <w:top w:val="single" w:sz="4" w:space="0" w:color="auto"/>
                    <w:left w:val="single" w:sz="4" w:space="0" w:color="auto"/>
                    <w:bottom w:val="single" w:sz="4" w:space="0" w:color="auto"/>
                    <w:right w:val="single" w:sz="4" w:space="0" w:color="auto"/>
                  </w:tcBorders>
                </w:tcPr>
                <w:p w14:paraId="55957A7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Rodzaj</w:t>
                  </w:r>
                </w:p>
              </w:tc>
            </w:tr>
            <w:tr w:rsidR="000D3174" w:rsidRPr="00291A00" w14:paraId="1D71C1C2" w14:textId="77777777" w:rsidTr="00585490">
              <w:tc>
                <w:tcPr>
                  <w:tcW w:w="890" w:type="dxa"/>
                  <w:tcBorders>
                    <w:left w:val="single" w:sz="4" w:space="0" w:color="auto"/>
                    <w:bottom w:val="double" w:sz="4" w:space="0" w:color="auto"/>
                    <w:right w:val="single" w:sz="4" w:space="0" w:color="auto"/>
                  </w:tcBorders>
                </w:tcPr>
                <w:p w14:paraId="7E517912"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 cm)</w:t>
                  </w:r>
                </w:p>
              </w:tc>
              <w:tc>
                <w:tcPr>
                  <w:tcW w:w="1417" w:type="dxa"/>
                  <w:gridSpan w:val="2"/>
                  <w:tcBorders>
                    <w:top w:val="single" w:sz="4" w:space="0" w:color="auto"/>
                    <w:left w:val="single" w:sz="4" w:space="0" w:color="auto"/>
                    <w:bottom w:val="double" w:sz="4" w:space="0" w:color="auto"/>
                    <w:right w:val="single" w:sz="4" w:space="0" w:color="auto"/>
                  </w:tcBorders>
                </w:tcPr>
                <w:p w14:paraId="169E929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A</w:t>
                  </w:r>
                </w:p>
              </w:tc>
              <w:tc>
                <w:tcPr>
                  <w:tcW w:w="1166" w:type="dxa"/>
                  <w:gridSpan w:val="2"/>
                  <w:tcBorders>
                    <w:top w:val="single" w:sz="4" w:space="0" w:color="auto"/>
                    <w:left w:val="single" w:sz="4" w:space="0" w:color="auto"/>
                    <w:bottom w:val="double" w:sz="4" w:space="0" w:color="auto"/>
                    <w:right w:val="single" w:sz="4" w:space="0" w:color="auto"/>
                  </w:tcBorders>
                </w:tcPr>
                <w:p w14:paraId="5C6B5A3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B</w:t>
                  </w:r>
                </w:p>
              </w:tc>
            </w:tr>
            <w:tr w:rsidR="000D3174" w:rsidRPr="00291A00" w14:paraId="4D231CDA" w14:textId="77777777" w:rsidTr="00585490">
              <w:tc>
                <w:tcPr>
                  <w:tcW w:w="890" w:type="dxa"/>
                  <w:tcBorders>
                    <w:top w:val="double" w:sz="4" w:space="0" w:color="auto"/>
                    <w:left w:val="single" w:sz="4" w:space="0" w:color="auto"/>
                    <w:bottom w:val="single" w:sz="4" w:space="0" w:color="auto"/>
                    <w:right w:val="single" w:sz="4" w:space="0" w:color="auto"/>
                  </w:tcBorders>
                </w:tcPr>
                <w:p w14:paraId="3023030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h</w:t>
                  </w:r>
                </w:p>
              </w:tc>
              <w:tc>
                <w:tcPr>
                  <w:tcW w:w="709" w:type="dxa"/>
                  <w:tcBorders>
                    <w:top w:val="double" w:sz="4" w:space="0" w:color="auto"/>
                    <w:left w:val="single" w:sz="4" w:space="0" w:color="auto"/>
                    <w:bottom w:val="single" w:sz="4" w:space="0" w:color="auto"/>
                    <w:right w:val="single" w:sz="4" w:space="0" w:color="auto"/>
                  </w:tcBorders>
                </w:tcPr>
                <w:p w14:paraId="4A37C4F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35</w:t>
                  </w:r>
                </w:p>
              </w:tc>
              <w:tc>
                <w:tcPr>
                  <w:tcW w:w="708" w:type="dxa"/>
                  <w:tcBorders>
                    <w:top w:val="double" w:sz="4" w:space="0" w:color="auto"/>
                    <w:left w:val="single" w:sz="4" w:space="0" w:color="auto"/>
                    <w:bottom w:val="single" w:sz="4" w:space="0" w:color="auto"/>
                    <w:right w:val="single" w:sz="4" w:space="0" w:color="auto"/>
                  </w:tcBorders>
                </w:tcPr>
                <w:p w14:paraId="588BEBA8"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25</w:t>
                  </w:r>
                </w:p>
              </w:tc>
              <w:tc>
                <w:tcPr>
                  <w:tcW w:w="567" w:type="dxa"/>
                  <w:tcBorders>
                    <w:top w:val="double" w:sz="4" w:space="0" w:color="auto"/>
                    <w:left w:val="single" w:sz="4" w:space="0" w:color="auto"/>
                    <w:bottom w:val="single" w:sz="4" w:space="0" w:color="auto"/>
                    <w:right w:val="single" w:sz="4" w:space="0" w:color="auto"/>
                  </w:tcBorders>
                </w:tcPr>
                <w:p w14:paraId="0ADC612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35</w:t>
                  </w:r>
                </w:p>
              </w:tc>
              <w:tc>
                <w:tcPr>
                  <w:tcW w:w="599" w:type="dxa"/>
                  <w:tcBorders>
                    <w:top w:val="double" w:sz="4" w:space="0" w:color="auto"/>
                    <w:left w:val="single" w:sz="4" w:space="0" w:color="auto"/>
                    <w:bottom w:val="single" w:sz="4" w:space="0" w:color="auto"/>
                    <w:right w:val="single" w:sz="4" w:space="0" w:color="auto"/>
                  </w:tcBorders>
                </w:tcPr>
                <w:p w14:paraId="4387D5D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25</w:t>
                  </w:r>
                </w:p>
              </w:tc>
            </w:tr>
            <w:tr w:rsidR="000D3174" w:rsidRPr="00291A00" w14:paraId="25457069" w14:textId="77777777" w:rsidTr="00585490">
              <w:tc>
                <w:tcPr>
                  <w:tcW w:w="890" w:type="dxa"/>
                  <w:tcBorders>
                    <w:top w:val="single" w:sz="4" w:space="0" w:color="auto"/>
                    <w:left w:val="single" w:sz="4" w:space="0" w:color="auto"/>
                    <w:bottom w:val="single" w:sz="4" w:space="0" w:color="auto"/>
                    <w:right w:val="single" w:sz="4" w:space="0" w:color="auto"/>
                  </w:tcBorders>
                </w:tcPr>
                <w:p w14:paraId="5716B42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b</w:t>
                  </w:r>
                </w:p>
              </w:tc>
              <w:tc>
                <w:tcPr>
                  <w:tcW w:w="709" w:type="dxa"/>
                  <w:tcBorders>
                    <w:top w:val="single" w:sz="4" w:space="0" w:color="auto"/>
                    <w:left w:val="single" w:sz="4" w:space="0" w:color="auto"/>
                    <w:bottom w:val="single" w:sz="4" w:space="0" w:color="auto"/>
                    <w:right w:val="single" w:sz="4" w:space="0" w:color="auto"/>
                  </w:tcBorders>
                </w:tcPr>
                <w:p w14:paraId="1D0B328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20</w:t>
                  </w:r>
                </w:p>
              </w:tc>
              <w:tc>
                <w:tcPr>
                  <w:tcW w:w="708" w:type="dxa"/>
                  <w:tcBorders>
                    <w:top w:val="single" w:sz="4" w:space="0" w:color="auto"/>
                    <w:left w:val="single" w:sz="4" w:space="0" w:color="auto"/>
                    <w:bottom w:val="single" w:sz="4" w:space="0" w:color="auto"/>
                    <w:right w:val="single" w:sz="4" w:space="0" w:color="auto"/>
                  </w:tcBorders>
                </w:tcPr>
                <w:p w14:paraId="519D9159"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20</w:t>
                  </w:r>
                </w:p>
              </w:tc>
              <w:tc>
                <w:tcPr>
                  <w:tcW w:w="567" w:type="dxa"/>
                  <w:tcBorders>
                    <w:top w:val="single" w:sz="4" w:space="0" w:color="auto"/>
                    <w:left w:val="single" w:sz="4" w:space="0" w:color="auto"/>
                    <w:bottom w:val="single" w:sz="4" w:space="0" w:color="auto"/>
                    <w:right w:val="single" w:sz="4" w:space="0" w:color="auto"/>
                  </w:tcBorders>
                </w:tcPr>
                <w:p w14:paraId="24DDE14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c>
                <w:tcPr>
                  <w:tcW w:w="599" w:type="dxa"/>
                  <w:tcBorders>
                    <w:top w:val="single" w:sz="4" w:space="0" w:color="auto"/>
                    <w:left w:val="single" w:sz="4" w:space="0" w:color="auto"/>
                    <w:bottom w:val="single" w:sz="4" w:space="0" w:color="auto"/>
                    <w:right w:val="single" w:sz="4" w:space="0" w:color="auto"/>
                  </w:tcBorders>
                </w:tcPr>
                <w:p w14:paraId="6F18CB8A"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r>
            <w:tr w:rsidR="000D3174" w:rsidRPr="00291A00" w14:paraId="4B0FBC33" w14:textId="77777777" w:rsidTr="00585490">
              <w:tc>
                <w:tcPr>
                  <w:tcW w:w="890" w:type="dxa"/>
                  <w:tcBorders>
                    <w:top w:val="single" w:sz="4" w:space="0" w:color="auto"/>
                    <w:left w:val="single" w:sz="4" w:space="0" w:color="auto"/>
                    <w:bottom w:val="single" w:sz="4" w:space="0" w:color="auto"/>
                    <w:right w:val="single" w:sz="4" w:space="0" w:color="auto"/>
                  </w:tcBorders>
                </w:tcPr>
                <w:p w14:paraId="73F6289C"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c</w:t>
                  </w:r>
                </w:p>
              </w:tc>
              <w:tc>
                <w:tcPr>
                  <w:tcW w:w="709" w:type="dxa"/>
                  <w:tcBorders>
                    <w:top w:val="single" w:sz="4" w:space="0" w:color="auto"/>
                    <w:left w:val="single" w:sz="4" w:space="0" w:color="auto"/>
                    <w:bottom w:val="single" w:sz="4" w:space="0" w:color="auto"/>
                    <w:right w:val="single" w:sz="4" w:space="0" w:color="auto"/>
                  </w:tcBorders>
                </w:tcPr>
                <w:p w14:paraId="4580D8EA"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4</w:t>
                  </w:r>
                </w:p>
              </w:tc>
              <w:tc>
                <w:tcPr>
                  <w:tcW w:w="708" w:type="dxa"/>
                  <w:tcBorders>
                    <w:top w:val="single" w:sz="4" w:space="0" w:color="auto"/>
                    <w:left w:val="single" w:sz="4" w:space="0" w:color="auto"/>
                    <w:bottom w:val="single" w:sz="4" w:space="0" w:color="auto"/>
                    <w:right w:val="single" w:sz="4" w:space="0" w:color="auto"/>
                  </w:tcBorders>
                </w:tcPr>
                <w:p w14:paraId="7B0E66B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4</w:t>
                  </w:r>
                </w:p>
              </w:tc>
              <w:tc>
                <w:tcPr>
                  <w:tcW w:w="567" w:type="dxa"/>
                  <w:tcBorders>
                    <w:top w:val="single" w:sz="4" w:space="0" w:color="auto"/>
                    <w:left w:val="single" w:sz="4" w:space="0" w:color="auto"/>
                    <w:bottom w:val="single" w:sz="4" w:space="0" w:color="auto"/>
                    <w:right w:val="single" w:sz="4" w:space="0" w:color="auto"/>
                  </w:tcBorders>
                </w:tcPr>
                <w:p w14:paraId="728869C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t>
                  </w:r>
                </w:p>
              </w:tc>
              <w:tc>
                <w:tcPr>
                  <w:tcW w:w="599" w:type="dxa"/>
                  <w:tcBorders>
                    <w:top w:val="single" w:sz="4" w:space="0" w:color="auto"/>
                    <w:left w:val="single" w:sz="4" w:space="0" w:color="auto"/>
                    <w:bottom w:val="single" w:sz="4" w:space="0" w:color="auto"/>
                    <w:right w:val="single" w:sz="4" w:space="0" w:color="auto"/>
                  </w:tcBorders>
                </w:tcPr>
                <w:p w14:paraId="764EE0B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t>
                  </w:r>
                </w:p>
              </w:tc>
            </w:tr>
            <w:tr w:rsidR="000D3174" w:rsidRPr="00291A00" w14:paraId="24285643" w14:textId="77777777" w:rsidTr="00585490">
              <w:tc>
                <w:tcPr>
                  <w:tcW w:w="890" w:type="dxa"/>
                  <w:tcBorders>
                    <w:top w:val="single" w:sz="4" w:space="0" w:color="auto"/>
                    <w:left w:val="single" w:sz="4" w:space="0" w:color="auto"/>
                    <w:bottom w:val="single" w:sz="4" w:space="0" w:color="auto"/>
                    <w:right w:val="single" w:sz="4" w:space="0" w:color="auto"/>
                  </w:tcBorders>
                </w:tcPr>
                <w:p w14:paraId="35B3C3C6"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d</w:t>
                  </w:r>
                </w:p>
              </w:tc>
              <w:tc>
                <w:tcPr>
                  <w:tcW w:w="709" w:type="dxa"/>
                  <w:tcBorders>
                    <w:top w:val="single" w:sz="4" w:space="0" w:color="auto"/>
                    <w:left w:val="single" w:sz="4" w:space="0" w:color="auto"/>
                    <w:bottom w:val="single" w:sz="4" w:space="0" w:color="auto"/>
                    <w:right w:val="single" w:sz="4" w:space="0" w:color="auto"/>
                  </w:tcBorders>
                </w:tcPr>
                <w:p w14:paraId="4C6A553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c>
                <w:tcPr>
                  <w:tcW w:w="708" w:type="dxa"/>
                  <w:tcBorders>
                    <w:top w:val="single" w:sz="4" w:space="0" w:color="auto"/>
                    <w:left w:val="single" w:sz="4" w:space="0" w:color="auto"/>
                    <w:bottom w:val="single" w:sz="4" w:space="0" w:color="auto"/>
                    <w:right w:val="single" w:sz="4" w:space="0" w:color="auto"/>
                  </w:tcBorders>
                </w:tcPr>
                <w:p w14:paraId="2653704D"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c>
                <w:tcPr>
                  <w:tcW w:w="567" w:type="dxa"/>
                  <w:tcBorders>
                    <w:top w:val="single" w:sz="4" w:space="0" w:color="auto"/>
                    <w:left w:val="single" w:sz="4" w:space="0" w:color="auto"/>
                    <w:bottom w:val="single" w:sz="4" w:space="0" w:color="auto"/>
                    <w:right w:val="single" w:sz="4" w:space="0" w:color="auto"/>
                  </w:tcBorders>
                </w:tcPr>
                <w:p w14:paraId="6A080D9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c>
                <w:tcPr>
                  <w:tcW w:w="599" w:type="dxa"/>
                  <w:tcBorders>
                    <w:top w:val="single" w:sz="4" w:space="0" w:color="auto"/>
                    <w:left w:val="single" w:sz="4" w:space="0" w:color="auto"/>
                    <w:bottom w:val="single" w:sz="4" w:space="0" w:color="auto"/>
                    <w:right w:val="single" w:sz="4" w:space="0" w:color="auto"/>
                  </w:tcBorders>
                </w:tcPr>
                <w:p w14:paraId="51FE4EF8"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15</w:t>
                  </w:r>
                </w:p>
              </w:tc>
            </w:tr>
            <w:tr w:rsidR="000D3174" w:rsidRPr="00291A00" w14:paraId="3A0BAABD" w14:textId="77777777" w:rsidTr="00585490">
              <w:tc>
                <w:tcPr>
                  <w:tcW w:w="890" w:type="dxa"/>
                  <w:tcBorders>
                    <w:top w:val="single" w:sz="4" w:space="0" w:color="auto"/>
                    <w:left w:val="single" w:sz="4" w:space="0" w:color="auto"/>
                    <w:bottom w:val="single" w:sz="4" w:space="0" w:color="auto"/>
                    <w:right w:val="single" w:sz="4" w:space="0" w:color="auto"/>
                  </w:tcBorders>
                </w:tcPr>
                <w:p w14:paraId="3A821DD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l</w:t>
                  </w:r>
                </w:p>
              </w:tc>
              <w:tc>
                <w:tcPr>
                  <w:tcW w:w="1417" w:type="dxa"/>
                  <w:gridSpan w:val="2"/>
                  <w:tcBorders>
                    <w:top w:val="single" w:sz="4" w:space="0" w:color="auto"/>
                    <w:left w:val="single" w:sz="4" w:space="0" w:color="auto"/>
                    <w:bottom w:val="single" w:sz="4" w:space="0" w:color="auto"/>
                    <w:right w:val="single" w:sz="4" w:space="0" w:color="auto"/>
                  </w:tcBorders>
                </w:tcPr>
                <w:p w14:paraId="2CBF57E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50</w:t>
                  </w:r>
                </w:p>
              </w:tc>
              <w:tc>
                <w:tcPr>
                  <w:tcW w:w="1166" w:type="dxa"/>
                  <w:gridSpan w:val="2"/>
                  <w:tcBorders>
                    <w:top w:val="single" w:sz="4" w:space="0" w:color="auto"/>
                    <w:left w:val="single" w:sz="4" w:space="0" w:color="auto"/>
                    <w:bottom w:val="single" w:sz="4" w:space="0" w:color="auto"/>
                    <w:right w:val="single" w:sz="4" w:space="0" w:color="auto"/>
                  </w:tcBorders>
                </w:tcPr>
                <w:p w14:paraId="439B5B5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od 50 do 200</w:t>
                  </w:r>
                </w:p>
              </w:tc>
            </w:tr>
          </w:tbl>
          <w:p w14:paraId="6CA1ECD9" w14:textId="77777777" w:rsidR="000D3174" w:rsidRPr="00291A00" w:rsidRDefault="000D3174" w:rsidP="00585490">
            <w:pPr>
              <w:rPr>
                <w:rFonts w:ascii="Times New Roman" w:hAnsi="Times New Roman" w:cs="Times New Roman"/>
              </w:rPr>
            </w:pPr>
          </w:p>
        </w:tc>
      </w:tr>
      <w:tr w:rsidR="000D3174" w:rsidRPr="00291A00" w14:paraId="3CA20190" w14:textId="77777777" w:rsidTr="00585490">
        <w:trPr>
          <w:trHeight w:val="2946"/>
        </w:trPr>
        <w:tc>
          <w:tcPr>
            <w:tcW w:w="3936" w:type="dxa"/>
          </w:tcPr>
          <w:p w14:paraId="258035C8"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drawing>
                <wp:inline distT="0" distB="0" distL="0" distR="0" wp14:anchorId="710378DC" wp14:editId="2D407933">
                  <wp:extent cx="2028825" cy="1438275"/>
                  <wp:effectExtent l="0" t="0" r="9525" b="9525"/>
                  <wp:docPr id="7" name="Obraz 7" descr="z2_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2_2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28825" cy="1438275"/>
                          </a:xfrm>
                          <a:prstGeom prst="rect">
                            <a:avLst/>
                          </a:prstGeom>
                          <a:noFill/>
                          <a:ln>
                            <a:noFill/>
                          </a:ln>
                        </pic:spPr>
                      </pic:pic>
                    </a:graphicData>
                  </a:graphic>
                </wp:inline>
              </w:drawing>
            </w:r>
          </w:p>
          <w:p w14:paraId="429BFFA4"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Krawężnik uliczny rodzaju B</w:t>
            </w:r>
          </w:p>
        </w:tc>
        <w:tc>
          <w:tcPr>
            <w:tcW w:w="3651" w:type="dxa"/>
          </w:tcPr>
          <w:p w14:paraId="75AB0314" w14:textId="77777777" w:rsidR="000D3174" w:rsidRPr="00291A00" w:rsidRDefault="000D3174" w:rsidP="00585490">
            <w:pPr>
              <w:rPr>
                <w:rFonts w:ascii="Times New Roman" w:hAnsi="Times New Roman" w:cs="Times New Roman"/>
              </w:rPr>
            </w:pPr>
          </w:p>
        </w:tc>
      </w:tr>
    </w:tbl>
    <w:p w14:paraId="2E22CF59" w14:textId="77777777" w:rsidR="000D3174" w:rsidRPr="00291A00" w:rsidRDefault="000D3174" w:rsidP="000D3174">
      <w:pPr>
        <w:rPr>
          <w:rFonts w:ascii="Times New Roman" w:hAnsi="Times New Roman" w:cs="Times New Roman"/>
        </w:rPr>
      </w:pPr>
      <w:r w:rsidRPr="00291A00">
        <w:rPr>
          <w:rFonts w:ascii="Times New Roman" w:hAnsi="Times New Roman" w:cs="Times New Roman"/>
        </w:rPr>
        <w:t>b) Krawężniki typu drogowego</w:t>
      </w:r>
    </w:p>
    <w:p w14:paraId="0879619A" w14:textId="77777777" w:rsidR="000D3174" w:rsidRPr="00291A00" w:rsidRDefault="000D3174" w:rsidP="000D3174">
      <w:pPr>
        <w:rPr>
          <w:rFonts w:ascii="Times New Roman" w:hAnsi="Times New Roman" w:cs="Times New Roman"/>
        </w:rPr>
      </w:pPr>
    </w:p>
    <w:tbl>
      <w:tblPr>
        <w:tblW w:w="0" w:type="auto"/>
        <w:tblLayout w:type="fixed"/>
        <w:tblLook w:val="01E0" w:firstRow="1" w:lastRow="1" w:firstColumn="1" w:lastColumn="1" w:noHBand="0" w:noVBand="0"/>
      </w:tblPr>
      <w:tblGrid>
        <w:gridCol w:w="3936"/>
        <w:gridCol w:w="3651"/>
      </w:tblGrid>
      <w:tr w:rsidR="000D3174" w:rsidRPr="00291A00" w14:paraId="5984D0F1" w14:textId="77777777" w:rsidTr="00585490">
        <w:trPr>
          <w:trHeight w:val="3099"/>
        </w:trPr>
        <w:tc>
          <w:tcPr>
            <w:tcW w:w="3936" w:type="dxa"/>
          </w:tcPr>
          <w:p w14:paraId="33A20360"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lastRenderedPageBreak/>
              <w:drawing>
                <wp:inline distT="0" distB="0" distL="0" distR="0" wp14:anchorId="1D7654F3" wp14:editId="5FA5A353">
                  <wp:extent cx="2171700" cy="1295400"/>
                  <wp:effectExtent l="0" t="0" r="0" b="0"/>
                  <wp:docPr id="6" name="Obraz 6" descr="z2_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2_3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71700" cy="1295400"/>
                          </a:xfrm>
                          <a:prstGeom prst="rect">
                            <a:avLst/>
                          </a:prstGeom>
                          <a:noFill/>
                          <a:ln>
                            <a:noFill/>
                          </a:ln>
                        </pic:spPr>
                      </pic:pic>
                    </a:graphicData>
                  </a:graphic>
                </wp:inline>
              </w:drawing>
            </w:r>
          </w:p>
          <w:p w14:paraId="696836B7"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 xml:space="preserve">Krawężnik drogowy rodzaju A </w:t>
            </w:r>
          </w:p>
        </w:tc>
        <w:tc>
          <w:tcPr>
            <w:tcW w:w="3651" w:type="dxa"/>
          </w:tcPr>
          <w:p w14:paraId="5E07F733" w14:textId="77777777" w:rsidR="000D3174" w:rsidRPr="00291A00" w:rsidRDefault="000D3174" w:rsidP="00585490">
            <w:pPr>
              <w:spacing w:after="120"/>
              <w:jc w:val="center"/>
              <w:rPr>
                <w:rFonts w:ascii="Times New Roman" w:hAnsi="Times New Roman" w:cs="Times New Roman"/>
              </w:rPr>
            </w:pPr>
          </w:p>
          <w:p w14:paraId="72A34EDE" w14:textId="77777777" w:rsidR="000D3174" w:rsidRPr="00291A00" w:rsidRDefault="000D3174" w:rsidP="00585490">
            <w:pPr>
              <w:spacing w:after="120"/>
              <w:jc w:val="center"/>
              <w:rPr>
                <w:rFonts w:ascii="Times New Roman" w:hAnsi="Times New Roman" w:cs="Times New Roman"/>
              </w:rPr>
            </w:pPr>
          </w:p>
          <w:p w14:paraId="7E1597B3" w14:textId="77777777" w:rsidR="000D3174" w:rsidRPr="00291A00" w:rsidRDefault="000D3174" w:rsidP="00585490">
            <w:pPr>
              <w:spacing w:after="120"/>
              <w:jc w:val="center"/>
              <w:rPr>
                <w:rFonts w:ascii="Times New Roman" w:hAnsi="Times New Roman" w:cs="Times New Roman"/>
              </w:rPr>
            </w:pPr>
            <w:r w:rsidRPr="00291A00">
              <w:rPr>
                <w:rFonts w:ascii="Times New Roman" w:hAnsi="Times New Roman" w:cs="Times New Roman"/>
              </w:rPr>
              <w:t>Wymiary krawężników drogowych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0"/>
              <w:gridCol w:w="1710"/>
            </w:tblGrid>
            <w:tr w:rsidR="000D3174" w:rsidRPr="00291A00" w14:paraId="6B05B31A" w14:textId="77777777" w:rsidTr="00585490">
              <w:tc>
                <w:tcPr>
                  <w:tcW w:w="1710" w:type="dxa"/>
                  <w:tcBorders>
                    <w:bottom w:val="double" w:sz="4" w:space="0" w:color="auto"/>
                  </w:tcBorders>
                </w:tcPr>
                <w:p w14:paraId="1D69B460"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Wymiar (cm)</w:t>
                  </w:r>
                </w:p>
              </w:tc>
              <w:tc>
                <w:tcPr>
                  <w:tcW w:w="1710" w:type="dxa"/>
                  <w:tcBorders>
                    <w:bottom w:val="double" w:sz="4" w:space="0" w:color="auto"/>
                  </w:tcBorders>
                </w:tcPr>
                <w:p w14:paraId="7B399493"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Rodzaj A i B</w:t>
                  </w:r>
                </w:p>
              </w:tc>
            </w:tr>
            <w:tr w:rsidR="000D3174" w:rsidRPr="00291A00" w14:paraId="52A4BB31" w14:textId="77777777" w:rsidTr="00585490">
              <w:tc>
                <w:tcPr>
                  <w:tcW w:w="1710" w:type="dxa"/>
                  <w:tcBorders>
                    <w:top w:val="double" w:sz="4" w:space="0" w:color="auto"/>
                  </w:tcBorders>
                </w:tcPr>
                <w:p w14:paraId="54B4D545"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h</w:t>
                  </w:r>
                </w:p>
              </w:tc>
              <w:tc>
                <w:tcPr>
                  <w:tcW w:w="1710" w:type="dxa"/>
                  <w:tcBorders>
                    <w:top w:val="double" w:sz="4" w:space="0" w:color="auto"/>
                  </w:tcBorders>
                </w:tcPr>
                <w:p w14:paraId="3866966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22</w:t>
                  </w:r>
                </w:p>
              </w:tc>
            </w:tr>
            <w:tr w:rsidR="000D3174" w:rsidRPr="00291A00" w14:paraId="6F783F3E" w14:textId="77777777" w:rsidTr="00585490">
              <w:tc>
                <w:tcPr>
                  <w:tcW w:w="1710" w:type="dxa"/>
                </w:tcPr>
                <w:p w14:paraId="14AE3579"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b</w:t>
                  </w:r>
                </w:p>
              </w:tc>
              <w:tc>
                <w:tcPr>
                  <w:tcW w:w="1710" w:type="dxa"/>
                </w:tcPr>
                <w:p w14:paraId="7A46214B"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11</w:t>
                  </w:r>
                </w:p>
              </w:tc>
            </w:tr>
            <w:tr w:rsidR="000D3174" w:rsidRPr="00291A00" w14:paraId="43568EA9" w14:textId="77777777" w:rsidTr="00585490">
              <w:tc>
                <w:tcPr>
                  <w:tcW w:w="1710" w:type="dxa"/>
                </w:tcPr>
                <w:p w14:paraId="731F173F"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l</w:t>
                  </w:r>
                </w:p>
              </w:tc>
              <w:tc>
                <w:tcPr>
                  <w:tcW w:w="1710" w:type="dxa"/>
                </w:tcPr>
                <w:p w14:paraId="0ACBB11E"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rPr>
                    <w:t>od 40 do 120</w:t>
                  </w:r>
                </w:p>
              </w:tc>
            </w:tr>
          </w:tbl>
          <w:p w14:paraId="6AABBD29" w14:textId="77777777" w:rsidR="000D3174" w:rsidRPr="00291A00" w:rsidRDefault="000D3174" w:rsidP="00585490">
            <w:pPr>
              <w:rPr>
                <w:rFonts w:ascii="Times New Roman" w:hAnsi="Times New Roman" w:cs="Times New Roman"/>
              </w:rPr>
            </w:pPr>
          </w:p>
        </w:tc>
      </w:tr>
      <w:tr w:rsidR="000D3174" w:rsidRPr="00291A00" w14:paraId="482C9821" w14:textId="77777777" w:rsidTr="00585490">
        <w:trPr>
          <w:trHeight w:val="2946"/>
        </w:trPr>
        <w:tc>
          <w:tcPr>
            <w:tcW w:w="3936" w:type="dxa"/>
          </w:tcPr>
          <w:p w14:paraId="5750A1D7"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drawing>
                <wp:inline distT="0" distB="0" distL="0" distR="0" wp14:anchorId="70779811" wp14:editId="3711BA1D">
                  <wp:extent cx="2133600" cy="1295400"/>
                  <wp:effectExtent l="0" t="0" r="0" b="0"/>
                  <wp:docPr id="5" name="Obraz 5" descr="z2_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z2_4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33600" cy="1295400"/>
                          </a:xfrm>
                          <a:prstGeom prst="rect">
                            <a:avLst/>
                          </a:prstGeom>
                          <a:noFill/>
                          <a:ln>
                            <a:noFill/>
                          </a:ln>
                        </pic:spPr>
                      </pic:pic>
                    </a:graphicData>
                  </a:graphic>
                </wp:inline>
              </w:drawing>
            </w:r>
          </w:p>
          <w:p w14:paraId="4B5D8B59"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Krawężnik drogowy rodzaju B</w:t>
            </w:r>
          </w:p>
        </w:tc>
        <w:tc>
          <w:tcPr>
            <w:tcW w:w="3651" w:type="dxa"/>
          </w:tcPr>
          <w:p w14:paraId="5EB7B1CB" w14:textId="77777777" w:rsidR="000D3174" w:rsidRPr="00291A00" w:rsidRDefault="000D3174" w:rsidP="00585490">
            <w:pPr>
              <w:rPr>
                <w:rFonts w:ascii="Times New Roman" w:hAnsi="Times New Roman" w:cs="Times New Roman"/>
              </w:rPr>
            </w:pPr>
          </w:p>
        </w:tc>
      </w:tr>
    </w:tbl>
    <w:p w14:paraId="71D50C97" w14:textId="77777777" w:rsidR="000D3174" w:rsidRPr="00291A00" w:rsidRDefault="000D3174" w:rsidP="000D3174">
      <w:pPr>
        <w:rPr>
          <w:rFonts w:ascii="Times New Roman" w:hAnsi="Times New Roman" w:cs="Times New Roman"/>
        </w:rPr>
      </w:pPr>
    </w:p>
    <w:p w14:paraId="1550FE8F" w14:textId="77777777" w:rsidR="000D3174" w:rsidRPr="00291A00" w:rsidRDefault="000D3174" w:rsidP="000D3174">
      <w:pPr>
        <w:jc w:val="right"/>
        <w:rPr>
          <w:rFonts w:ascii="Times New Roman" w:hAnsi="Times New Roman" w:cs="Times New Roman"/>
        </w:rPr>
      </w:pPr>
      <w:r w:rsidRPr="00291A00">
        <w:rPr>
          <w:rFonts w:ascii="Times New Roman" w:hAnsi="Times New Roman" w:cs="Times New Roman"/>
          <w:b/>
        </w:rPr>
        <w:t>ZAŁĄCZNIK 3</w:t>
      </w:r>
    </w:p>
    <w:p w14:paraId="5F42779C" w14:textId="77777777" w:rsidR="000D3174" w:rsidRPr="00291A00" w:rsidRDefault="000D3174" w:rsidP="000D3174">
      <w:pPr>
        <w:spacing w:before="120" w:after="120"/>
        <w:jc w:val="center"/>
        <w:rPr>
          <w:rFonts w:ascii="Times New Roman" w:hAnsi="Times New Roman" w:cs="Times New Roman"/>
        </w:rPr>
      </w:pPr>
      <w:r w:rsidRPr="00291A00">
        <w:rPr>
          <w:rFonts w:ascii="Times New Roman" w:hAnsi="Times New Roman" w:cs="Times New Roman"/>
        </w:rPr>
        <w:t>PRZYKŁADY  USTAWIENIA  KRAWĘŻNIKÓW  KAMIENNYCH  NA  ŁAWACH (wg [13])</w:t>
      </w:r>
    </w:p>
    <w:tbl>
      <w:tblPr>
        <w:tblW w:w="0" w:type="auto"/>
        <w:tblLook w:val="01E0" w:firstRow="1" w:lastRow="1" w:firstColumn="1" w:lastColumn="1" w:noHBand="0" w:noVBand="0"/>
      </w:tblPr>
      <w:tblGrid>
        <w:gridCol w:w="3755"/>
        <w:gridCol w:w="3819"/>
      </w:tblGrid>
      <w:tr w:rsidR="000D3174" w:rsidRPr="00291A00" w14:paraId="7EBA8E49" w14:textId="77777777" w:rsidTr="00585490">
        <w:tc>
          <w:tcPr>
            <w:tcW w:w="3755" w:type="dxa"/>
          </w:tcPr>
          <w:p w14:paraId="13F37657" w14:textId="77777777" w:rsidR="000D3174" w:rsidRPr="00291A00" w:rsidRDefault="000D3174" w:rsidP="00585490">
            <w:pPr>
              <w:ind w:left="284" w:hanging="284"/>
              <w:rPr>
                <w:rFonts w:ascii="Times New Roman" w:hAnsi="Times New Roman" w:cs="Times New Roman"/>
              </w:rPr>
            </w:pPr>
            <w:r w:rsidRPr="00291A00">
              <w:rPr>
                <w:rFonts w:ascii="Times New Roman" w:hAnsi="Times New Roman" w:cs="Times New Roman"/>
              </w:rPr>
              <w:t>a)  Krawężnik typu ulicznego 20 x 35 cm na ławie betonowej zwykłej</w:t>
            </w:r>
          </w:p>
          <w:p w14:paraId="7E0F92D6" w14:textId="77777777" w:rsidR="000D3174" w:rsidRPr="00291A00" w:rsidRDefault="000D3174" w:rsidP="00585490">
            <w:pPr>
              <w:ind w:left="284" w:hanging="284"/>
              <w:jc w:val="center"/>
              <w:rPr>
                <w:rFonts w:ascii="Times New Roman" w:hAnsi="Times New Roman" w:cs="Times New Roman"/>
              </w:rPr>
            </w:pPr>
            <w:r w:rsidRPr="00291A00">
              <w:rPr>
                <w:rFonts w:ascii="Times New Roman" w:hAnsi="Times New Roman" w:cs="Times New Roman"/>
                <w:noProof/>
                <w:lang w:eastAsia="pl-PL"/>
              </w:rPr>
              <w:drawing>
                <wp:inline distT="0" distB="0" distL="0" distR="0" wp14:anchorId="3E1DC0C7" wp14:editId="16796EC2">
                  <wp:extent cx="1752600" cy="2219325"/>
                  <wp:effectExtent l="0" t="0" r="0" b="9525"/>
                  <wp:docPr id="4" name="Obraz 4" descr="z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3_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752600" cy="2219325"/>
                          </a:xfrm>
                          <a:prstGeom prst="rect">
                            <a:avLst/>
                          </a:prstGeom>
                          <a:noFill/>
                          <a:ln>
                            <a:noFill/>
                          </a:ln>
                        </pic:spPr>
                      </pic:pic>
                    </a:graphicData>
                  </a:graphic>
                </wp:inline>
              </w:drawing>
            </w:r>
          </w:p>
          <w:p w14:paraId="36811487" w14:textId="77777777" w:rsidR="000D3174" w:rsidRPr="00291A00" w:rsidRDefault="000D3174" w:rsidP="00585490">
            <w:pPr>
              <w:ind w:left="284" w:hanging="284"/>
              <w:rPr>
                <w:rFonts w:ascii="Times New Roman" w:hAnsi="Times New Roman" w:cs="Times New Roman"/>
              </w:rPr>
            </w:pPr>
            <w:r w:rsidRPr="00291A00">
              <w:rPr>
                <w:rFonts w:ascii="Times New Roman" w:hAnsi="Times New Roman" w:cs="Times New Roman"/>
              </w:rPr>
              <w:t>1. krawężnik 20 x 35 x 50 ÷ 200 cm</w:t>
            </w:r>
          </w:p>
          <w:p w14:paraId="10FD5164" w14:textId="77777777" w:rsidR="000D3174" w:rsidRPr="00291A00" w:rsidRDefault="000D3174" w:rsidP="00585490">
            <w:pPr>
              <w:ind w:left="284" w:hanging="284"/>
              <w:rPr>
                <w:rFonts w:ascii="Times New Roman" w:hAnsi="Times New Roman" w:cs="Times New Roman"/>
              </w:rPr>
            </w:pPr>
            <w:r w:rsidRPr="00291A00">
              <w:rPr>
                <w:rFonts w:ascii="Times New Roman" w:hAnsi="Times New Roman" w:cs="Times New Roman"/>
              </w:rPr>
              <w:t>2. podsypka cem.-piaskowa 1:4</w:t>
            </w:r>
          </w:p>
          <w:p w14:paraId="612834B4" w14:textId="77777777" w:rsidR="000D3174" w:rsidRPr="00291A00" w:rsidRDefault="000D3174" w:rsidP="00585490">
            <w:pPr>
              <w:ind w:left="284" w:hanging="284"/>
              <w:rPr>
                <w:rFonts w:ascii="Times New Roman" w:hAnsi="Times New Roman" w:cs="Times New Roman"/>
              </w:rPr>
            </w:pPr>
            <w:r w:rsidRPr="00291A00">
              <w:rPr>
                <w:rFonts w:ascii="Times New Roman" w:hAnsi="Times New Roman" w:cs="Times New Roman"/>
              </w:rPr>
              <w:t>3. ława z betonu B10</w:t>
            </w:r>
          </w:p>
          <w:p w14:paraId="5E7AD340" w14:textId="77777777" w:rsidR="000D3174" w:rsidRPr="00291A00" w:rsidRDefault="000D3174" w:rsidP="00585490">
            <w:pPr>
              <w:ind w:left="284" w:hanging="284"/>
              <w:rPr>
                <w:rFonts w:ascii="Times New Roman" w:hAnsi="Times New Roman" w:cs="Times New Roman"/>
              </w:rPr>
            </w:pPr>
          </w:p>
          <w:p w14:paraId="290733BD" w14:textId="77777777" w:rsidR="000D3174" w:rsidRPr="00291A00" w:rsidRDefault="000D3174" w:rsidP="00585490">
            <w:pPr>
              <w:ind w:left="284" w:hanging="284"/>
              <w:rPr>
                <w:rFonts w:ascii="Times New Roman" w:hAnsi="Times New Roman" w:cs="Times New Roman"/>
              </w:rPr>
            </w:pPr>
          </w:p>
        </w:tc>
        <w:tc>
          <w:tcPr>
            <w:tcW w:w="3819" w:type="dxa"/>
          </w:tcPr>
          <w:p w14:paraId="1458AC4F" w14:textId="77777777" w:rsidR="000D3174" w:rsidRPr="00291A00" w:rsidRDefault="000D3174" w:rsidP="00585490">
            <w:pPr>
              <w:ind w:left="214" w:hanging="214"/>
              <w:rPr>
                <w:rFonts w:ascii="Times New Roman" w:hAnsi="Times New Roman" w:cs="Times New Roman"/>
              </w:rPr>
            </w:pPr>
            <w:r w:rsidRPr="00291A00">
              <w:rPr>
                <w:rFonts w:ascii="Times New Roman" w:hAnsi="Times New Roman" w:cs="Times New Roman"/>
              </w:rPr>
              <w:t>b) Krawężnik typu ulicznego 20 x 35 cm na ławie betonowej z oporem</w:t>
            </w:r>
          </w:p>
          <w:p w14:paraId="28D71397" w14:textId="77777777" w:rsidR="000D3174" w:rsidRPr="00291A00" w:rsidRDefault="000D3174" w:rsidP="00585490">
            <w:pPr>
              <w:jc w:val="center"/>
              <w:rPr>
                <w:rFonts w:ascii="Times New Roman" w:hAnsi="Times New Roman" w:cs="Times New Roman"/>
              </w:rPr>
            </w:pPr>
            <w:r w:rsidRPr="00291A00">
              <w:rPr>
                <w:rFonts w:ascii="Times New Roman" w:hAnsi="Times New Roman" w:cs="Times New Roman"/>
                <w:noProof/>
                <w:lang w:eastAsia="pl-PL"/>
              </w:rPr>
              <w:drawing>
                <wp:inline distT="0" distB="0" distL="0" distR="0" wp14:anchorId="4B9AC17F" wp14:editId="0AFE07BF">
                  <wp:extent cx="1704975" cy="2228850"/>
                  <wp:effectExtent l="0" t="0" r="9525" b="0"/>
                  <wp:docPr id="3" name="Obraz 3" descr="z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z3_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704975" cy="2228850"/>
                          </a:xfrm>
                          <a:prstGeom prst="rect">
                            <a:avLst/>
                          </a:prstGeom>
                          <a:noFill/>
                          <a:ln>
                            <a:noFill/>
                          </a:ln>
                        </pic:spPr>
                      </pic:pic>
                    </a:graphicData>
                  </a:graphic>
                </wp:inline>
              </w:drawing>
            </w:r>
          </w:p>
          <w:p w14:paraId="5E1746DE"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1. krawężnik 20 x 35 x 50 ÷ 200 cm</w:t>
            </w:r>
          </w:p>
          <w:p w14:paraId="3E06A9A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2. podsypka cem.-piaskowa 1:4</w:t>
            </w:r>
          </w:p>
          <w:p w14:paraId="20A696C7"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3. ława z betonu B10</w:t>
            </w:r>
          </w:p>
          <w:p w14:paraId="31F30B7D" w14:textId="77777777" w:rsidR="000D3174" w:rsidRPr="00291A00" w:rsidRDefault="000D3174" w:rsidP="00585490">
            <w:pPr>
              <w:rPr>
                <w:rFonts w:ascii="Times New Roman" w:hAnsi="Times New Roman" w:cs="Times New Roman"/>
              </w:rPr>
            </w:pPr>
          </w:p>
          <w:p w14:paraId="540C80EB" w14:textId="77777777" w:rsidR="000D3174" w:rsidRPr="00291A00" w:rsidRDefault="000D3174" w:rsidP="00585490">
            <w:pPr>
              <w:rPr>
                <w:rFonts w:ascii="Times New Roman" w:hAnsi="Times New Roman" w:cs="Times New Roman"/>
              </w:rPr>
            </w:pPr>
          </w:p>
        </w:tc>
      </w:tr>
      <w:tr w:rsidR="000D3174" w:rsidRPr="00291A00" w14:paraId="0A156019" w14:textId="77777777" w:rsidTr="00585490">
        <w:tc>
          <w:tcPr>
            <w:tcW w:w="3755" w:type="dxa"/>
          </w:tcPr>
          <w:p w14:paraId="55F17B55" w14:textId="77777777" w:rsidR="000D3174" w:rsidRPr="00291A00" w:rsidRDefault="000D3174" w:rsidP="00585490">
            <w:pPr>
              <w:ind w:left="227" w:hanging="227"/>
              <w:rPr>
                <w:rFonts w:ascii="Times New Roman" w:hAnsi="Times New Roman" w:cs="Times New Roman"/>
              </w:rPr>
            </w:pPr>
            <w:r w:rsidRPr="00291A00">
              <w:rPr>
                <w:rFonts w:ascii="Times New Roman" w:hAnsi="Times New Roman" w:cs="Times New Roman"/>
              </w:rPr>
              <w:lastRenderedPageBreak/>
              <w:t>c)  Krawężnik typu ulicznego 20 x 35 cm ułożony na płask (np. przy wjeździe na chodnik, do bramy)</w:t>
            </w:r>
          </w:p>
          <w:p w14:paraId="2C154C9D"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drawing>
                <wp:inline distT="0" distB="0" distL="0" distR="0" wp14:anchorId="4E7BDF5C" wp14:editId="0134B660">
                  <wp:extent cx="2162175" cy="1676400"/>
                  <wp:effectExtent l="0" t="0" r="9525" b="0"/>
                  <wp:docPr id="2" name="Obraz 2" descr="z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z3_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62175" cy="1676400"/>
                          </a:xfrm>
                          <a:prstGeom prst="rect">
                            <a:avLst/>
                          </a:prstGeom>
                          <a:noFill/>
                          <a:ln>
                            <a:noFill/>
                          </a:ln>
                        </pic:spPr>
                      </pic:pic>
                    </a:graphicData>
                  </a:graphic>
                </wp:inline>
              </w:drawing>
            </w:r>
          </w:p>
          <w:p w14:paraId="4828E99E" w14:textId="77777777" w:rsidR="000D3174" w:rsidRPr="00291A00" w:rsidRDefault="000D3174" w:rsidP="00585490">
            <w:pPr>
              <w:ind w:left="284" w:hanging="284"/>
              <w:rPr>
                <w:rFonts w:ascii="Times New Roman" w:hAnsi="Times New Roman" w:cs="Times New Roman"/>
              </w:rPr>
            </w:pPr>
            <w:r w:rsidRPr="00291A00">
              <w:rPr>
                <w:rFonts w:ascii="Times New Roman" w:hAnsi="Times New Roman" w:cs="Times New Roman"/>
              </w:rPr>
              <w:t>1.   krawężnik, typ uliczny kamienny</w:t>
            </w:r>
            <w:r w:rsidRPr="00291A00">
              <w:rPr>
                <w:rFonts w:ascii="Times New Roman" w:hAnsi="Times New Roman" w:cs="Times New Roman"/>
              </w:rPr>
              <w:br/>
              <w:t>20 x 35 x 50 ÷ 200 cm</w:t>
            </w:r>
          </w:p>
          <w:p w14:paraId="64973048"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2.   podsypka cem.-piaskowa 1:4</w:t>
            </w:r>
          </w:p>
          <w:p w14:paraId="17242ADA"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3.   ława z betonu B10</w:t>
            </w:r>
          </w:p>
          <w:p w14:paraId="618CA7DD" w14:textId="77777777" w:rsidR="000D3174" w:rsidRPr="00291A00" w:rsidRDefault="000D3174" w:rsidP="00585490">
            <w:pPr>
              <w:rPr>
                <w:rFonts w:ascii="Times New Roman" w:hAnsi="Times New Roman" w:cs="Times New Roman"/>
              </w:rPr>
            </w:pPr>
          </w:p>
        </w:tc>
        <w:tc>
          <w:tcPr>
            <w:tcW w:w="3819" w:type="dxa"/>
          </w:tcPr>
          <w:p w14:paraId="6C10ABBD" w14:textId="77777777" w:rsidR="000D3174" w:rsidRPr="00291A00" w:rsidRDefault="000D3174" w:rsidP="00585490">
            <w:pPr>
              <w:ind w:left="214" w:hanging="214"/>
              <w:rPr>
                <w:rFonts w:ascii="Times New Roman" w:hAnsi="Times New Roman" w:cs="Times New Roman"/>
              </w:rPr>
            </w:pPr>
            <w:r w:rsidRPr="00291A00">
              <w:rPr>
                <w:rFonts w:ascii="Times New Roman" w:hAnsi="Times New Roman" w:cs="Times New Roman"/>
              </w:rPr>
              <w:t>d) Krawężnik typu ulicznego, ze ściekiem betonowym, na ławie betonowej</w:t>
            </w:r>
          </w:p>
          <w:p w14:paraId="5699656C" w14:textId="77777777" w:rsidR="000D3174" w:rsidRPr="00291A00" w:rsidRDefault="000D3174" w:rsidP="00585490">
            <w:pPr>
              <w:rPr>
                <w:rFonts w:ascii="Times New Roman" w:hAnsi="Times New Roman" w:cs="Times New Roman"/>
              </w:rPr>
            </w:pPr>
          </w:p>
          <w:p w14:paraId="55D4D280" w14:textId="77777777" w:rsidR="000D3174" w:rsidRPr="00291A00" w:rsidRDefault="000D3174" w:rsidP="00585490">
            <w:pPr>
              <w:rPr>
                <w:rFonts w:ascii="Times New Roman" w:hAnsi="Times New Roman" w:cs="Times New Roman"/>
              </w:rPr>
            </w:pPr>
            <w:r w:rsidRPr="00291A00">
              <w:rPr>
                <w:rFonts w:ascii="Times New Roman" w:hAnsi="Times New Roman" w:cs="Times New Roman"/>
                <w:noProof/>
                <w:lang w:eastAsia="pl-PL"/>
              </w:rPr>
              <w:drawing>
                <wp:inline distT="0" distB="0" distL="0" distR="0" wp14:anchorId="5E452E35" wp14:editId="1F0A7CFA">
                  <wp:extent cx="2286000" cy="1666875"/>
                  <wp:effectExtent l="0" t="0" r="0" b="9525"/>
                  <wp:docPr id="1" name="Obraz 1" descr="z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z3_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286000" cy="1666875"/>
                          </a:xfrm>
                          <a:prstGeom prst="rect">
                            <a:avLst/>
                          </a:prstGeom>
                          <a:noFill/>
                          <a:ln>
                            <a:noFill/>
                          </a:ln>
                        </pic:spPr>
                      </pic:pic>
                    </a:graphicData>
                  </a:graphic>
                </wp:inline>
              </w:drawing>
            </w:r>
          </w:p>
          <w:p w14:paraId="609C526A" w14:textId="77777777" w:rsidR="000D3174" w:rsidRPr="00291A00" w:rsidRDefault="000D3174" w:rsidP="00585490">
            <w:pPr>
              <w:ind w:left="214" w:hanging="214"/>
              <w:rPr>
                <w:rFonts w:ascii="Times New Roman" w:hAnsi="Times New Roman" w:cs="Times New Roman"/>
              </w:rPr>
            </w:pPr>
            <w:r w:rsidRPr="00291A00">
              <w:rPr>
                <w:rFonts w:ascii="Times New Roman" w:hAnsi="Times New Roman" w:cs="Times New Roman"/>
              </w:rPr>
              <w:t>1.  krawężnik, typ uliczny</w:t>
            </w:r>
            <w:r w:rsidRPr="00291A00">
              <w:rPr>
                <w:rFonts w:ascii="Times New Roman" w:hAnsi="Times New Roman" w:cs="Times New Roman"/>
              </w:rPr>
              <w:br/>
              <w:t>15(20) x 30(35) x 200 cm</w:t>
            </w:r>
          </w:p>
          <w:p w14:paraId="68128525"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2.  ściek betonowy</w:t>
            </w:r>
          </w:p>
          <w:p w14:paraId="298AD813"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3.  podsypka cem.-piaskowa 1:4</w:t>
            </w:r>
          </w:p>
          <w:p w14:paraId="4E901F80" w14:textId="77777777" w:rsidR="000D3174" w:rsidRPr="00291A00" w:rsidRDefault="000D3174" w:rsidP="00585490">
            <w:pPr>
              <w:rPr>
                <w:rFonts w:ascii="Times New Roman" w:hAnsi="Times New Roman" w:cs="Times New Roman"/>
              </w:rPr>
            </w:pPr>
            <w:r w:rsidRPr="00291A00">
              <w:rPr>
                <w:rFonts w:ascii="Times New Roman" w:hAnsi="Times New Roman" w:cs="Times New Roman"/>
              </w:rPr>
              <w:t>4.  ława z betonu B10</w:t>
            </w:r>
          </w:p>
        </w:tc>
      </w:tr>
    </w:tbl>
    <w:p w14:paraId="71145674" w14:textId="77777777" w:rsidR="000D3174" w:rsidRPr="00291A00" w:rsidRDefault="000D3174" w:rsidP="000D3174">
      <w:pPr>
        <w:pStyle w:val="Nagwek2"/>
        <w:rPr>
          <w:sz w:val="22"/>
          <w:szCs w:val="22"/>
        </w:rPr>
      </w:pPr>
    </w:p>
    <w:p w14:paraId="344582E6" w14:textId="77777777" w:rsidR="000D3174" w:rsidRDefault="000D3174" w:rsidP="000D3174">
      <w:pPr>
        <w:rPr>
          <w:rFonts w:ascii="Times New Roman" w:hAnsi="Times New Roman" w:cs="Times New Roman"/>
          <w:color w:val="000000" w:themeColor="text1"/>
        </w:rPr>
      </w:pPr>
    </w:p>
    <w:p w14:paraId="69BB749D" w14:textId="77777777" w:rsidR="000D3174" w:rsidRDefault="000D3174">
      <w:pPr>
        <w:rPr>
          <w:rFonts w:ascii="Times New Roman" w:hAnsi="Times New Roman" w:cs="Times New Roman"/>
          <w:b/>
          <w:color w:val="000000" w:themeColor="text1"/>
        </w:rPr>
      </w:pPr>
      <w:r>
        <w:rPr>
          <w:rFonts w:ascii="Times New Roman" w:hAnsi="Times New Roman" w:cs="Times New Roman"/>
          <w:b/>
          <w:color w:val="000000" w:themeColor="text1"/>
        </w:rPr>
        <w:br w:type="page"/>
      </w:r>
    </w:p>
    <w:p w14:paraId="57759AA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lastRenderedPageBreak/>
        <w:t>D – 08.03.01</w:t>
      </w:r>
      <w:r w:rsidRPr="001667DB">
        <w:rPr>
          <w:rFonts w:ascii="Times New Roman" w:hAnsi="Times New Roman" w:cs="Times New Roman"/>
          <w:b/>
          <w:color w:val="000000" w:themeColor="text1"/>
        </w:rPr>
        <w:tab/>
      </w:r>
      <w:r w:rsidRPr="001667DB">
        <w:rPr>
          <w:rFonts w:ascii="Times New Roman" w:hAnsi="Times New Roman" w:cs="Times New Roman"/>
          <w:b/>
          <w:color w:val="000000" w:themeColor="text1"/>
        </w:rPr>
        <w:tab/>
        <w:t xml:space="preserve">BETONOWE OBRZEŻA CHODNIKOWE </w:t>
      </w:r>
    </w:p>
    <w:p w14:paraId="55BBD169" w14:textId="77777777" w:rsidR="00CC4443" w:rsidRPr="001667DB" w:rsidRDefault="00CC4443" w:rsidP="00904E6C">
      <w:pPr>
        <w:pStyle w:val="Nagwek1"/>
        <w:numPr>
          <w:ilvl w:val="0"/>
          <w:numId w:val="89"/>
        </w:numPr>
        <w:suppressAutoHyphens/>
        <w:jc w:val="both"/>
        <w:rPr>
          <w:color w:val="000000" w:themeColor="text1"/>
          <w:sz w:val="22"/>
          <w:szCs w:val="22"/>
        </w:rPr>
      </w:pPr>
      <w:r w:rsidRPr="001667DB">
        <w:rPr>
          <w:color w:val="000000" w:themeColor="text1"/>
          <w:sz w:val="22"/>
          <w:szCs w:val="22"/>
          <w:lang w:val="pl-PL"/>
        </w:rPr>
        <w:t>1.</w:t>
      </w:r>
      <w:r w:rsidRPr="001667DB">
        <w:rPr>
          <w:color w:val="000000" w:themeColor="text1"/>
          <w:sz w:val="22"/>
          <w:szCs w:val="22"/>
        </w:rPr>
        <w:t xml:space="preserve"> WSTęP</w:t>
      </w:r>
    </w:p>
    <w:p w14:paraId="215D9EEF"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Przedmiot ST</w:t>
      </w:r>
    </w:p>
    <w:p w14:paraId="1FA6FEFC" w14:textId="77777777" w:rsidR="00CC4443" w:rsidRPr="001667DB" w:rsidRDefault="00CC4443" w:rsidP="00577746">
      <w:pPr>
        <w:jc w:val="both"/>
        <w:rPr>
          <w:rFonts w:ascii="Times New Roman" w:hAnsi="Times New Roman" w:cs="Times New Roman"/>
          <w:b/>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Przedmiotem niniejszej specyfikacji technicznej (ST) są wymagania dotyczące wykonania i odbioru robót związanych z ustawieniem betonowego obrzeża chodnikowego i palisad betonowych w ramach realizacji zadania: </w:t>
      </w:r>
      <w:r w:rsidR="00576B4E" w:rsidRPr="00FD3B41">
        <w:rPr>
          <w:rFonts w:ascii="Times New Roman" w:hAnsi="Times New Roman" w:cs="Times New Roman"/>
          <w:b/>
          <w:color w:val="000000" w:themeColor="text1"/>
        </w:rPr>
        <w:t>„Rozbudowa drogi wojewódzkiej nr 461 w m. Dąbrówka Łubniańska i Łubniany” – Etap I ( km od 9+741,88 do 10+371,13)</w:t>
      </w:r>
    </w:p>
    <w:p w14:paraId="6490B9F3"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Zakres stosowania ST</w:t>
      </w:r>
    </w:p>
    <w:p w14:paraId="1F3A8628" w14:textId="77777777" w:rsidR="00CC4443" w:rsidRPr="001667DB" w:rsidRDefault="00CC4443" w:rsidP="00577746">
      <w:pPr>
        <w:spacing w:line="360" w:lineRule="auto"/>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Specyfikacje Techniczne stanowią część Dokumentów Przetargowych i Kontraktowych i należy je stosować w zlecaniu i wykonaniu robót opisanych w podpunkcie 1.1.</w:t>
      </w:r>
    </w:p>
    <w:p w14:paraId="23396F12"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Zakres robót objętych ST</w:t>
      </w:r>
    </w:p>
    <w:p w14:paraId="6D66C467" w14:textId="77777777" w:rsidR="00CC4443" w:rsidRPr="001667DB" w:rsidRDefault="00CC4443" w:rsidP="00577746">
      <w:pPr>
        <w:tabs>
          <w:tab w:val="left" w:pos="630"/>
        </w:tabs>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 xml:space="preserve">Ustalenia zawarte w niniejszej specyfikacji dotyczą zasad prowadzenia robót związanych z: </w:t>
      </w:r>
    </w:p>
    <w:p w14:paraId="1A898C78" w14:textId="77777777" w:rsidR="00CC4443" w:rsidRPr="001667DB" w:rsidRDefault="00CC4443" w:rsidP="00904E6C">
      <w:pPr>
        <w:numPr>
          <w:ilvl w:val="0"/>
          <w:numId w:val="277"/>
        </w:numPr>
        <w:tabs>
          <w:tab w:val="left" w:pos="-1725"/>
          <w:tab w:val="left" w:pos="-1440"/>
          <w:tab w:val="left" w:pos="-1005"/>
          <w:tab w:val="left" w:pos="-720"/>
          <w:tab w:val="left" w:pos="-285"/>
          <w:tab w:val="left" w:pos="0"/>
          <w:tab w:val="left" w:pos="284"/>
          <w:tab w:val="left" w:pos="435"/>
          <w:tab w:val="left" w:pos="567"/>
          <w:tab w:val="left" w:pos="630"/>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uppressAutoHyphens/>
        <w:spacing w:after="0" w:line="276" w:lineRule="auto"/>
        <w:ind w:left="714" w:hanging="357"/>
        <w:jc w:val="both"/>
        <w:rPr>
          <w:rFonts w:ascii="Times New Roman" w:hAnsi="Times New Roman" w:cs="Times New Roman"/>
          <w:color w:val="000000" w:themeColor="text1"/>
        </w:rPr>
      </w:pPr>
      <w:r w:rsidRPr="001667DB">
        <w:rPr>
          <w:rFonts w:ascii="Times New Roman" w:hAnsi="Times New Roman" w:cs="Times New Roman"/>
          <w:color w:val="000000" w:themeColor="text1"/>
        </w:rPr>
        <w:t>ustawieniem betonowego obrzeża chodnikowego  8x30x100 z betonu C25/30 na ławie betonowej z oporem wykonanej z betonu C16/20,</w:t>
      </w:r>
    </w:p>
    <w:p w14:paraId="29DEA48C" w14:textId="77777777" w:rsidR="00CC4443" w:rsidRPr="001667DB" w:rsidRDefault="00CC4443" w:rsidP="00577746">
      <w:pPr>
        <w:tabs>
          <w:tab w:val="left" w:pos="630"/>
        </w:tabs>
        <w:spacing w:line="276" w:lineRule="auto"/>
        <w:ind w:left="714"/>
        <w:jc w:val="both"/>
        <w:rPr>
          <w:rFonts w:ascii="Times New Roman" w:hAnsi="Times New Roman" w:cs="Times New Roman"/>
          <w:color w:val="000000" w:themeColor="text1"/>
        </w:rPr>
      </w:pPr>
    </w:p>
    <w:p w14:paraId="5D5B573D" w14:textId="77777777" w:rsidR="00CC4443" w:rsidRPr="001667DB" w:rsidRDefault="00CC4443" w:rsidP="00577746">
      <w:pPr>
        <w:tabs>
          <w:tab w:val="left" w:pos="630"/>
        </w:tabs>
        <w:spacing w:line="276" w:lineRule="auto"/>
        <w:ind w:left="357"/>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142EAAD6"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Określenia podstawowe</w:t>
      </w:r>
    </w:p>
    <w:p w14:paraId="5D5C87E4" w14:textId="77777777" w:rsidR="00CC4443" w:rsidRPr="001667DB" w:rsidRDefault="00A77494" w:rsidP="00577746">
      <w:pPr>
        <w:tabs>
          <w:tab w:val="left" w:pos="-1725"/>
          <w:tab w:val="left" w:pos="-1440"/>
          <w:tab w:val="left" w:pos="-1005"/>
          <w:tab w:val="left" w:pos="-720"/>
          <w:tab w:val="left" w:pos="-285"/>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uppressAutoHyphens/>
        <w:spacing w:before="120" w:after="0" w:line="360" w:lineRule="exact"/>
        <w:jc w:val="both"/>
        <w:rPr>
          <w:rFonts w:ascii="Times New Roman" w:hAnsi="Times New Roman" w:cs="Times New Roman"/>
          <w:color w:val="000000" w:themeColor="text1"/>
        </w:rPr>
      </w:pPr>
      <w:r w:rsidRPr="001667DB">
        <w:rPr>
          <w:rFonts w:ascii="Times New Roman" w:hAnsi="Times New Roman" w:cs="Times New Roman"/>
          <w:b/>
          <w:color w:val="000000" w:themeColor="text1"/>
        </w:rPr>
        <w:t>1.4.1</w:t>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Obrzeża chodnikowe - prefabrykowane belki betonowe rozgraniczające jednostronnie lub dwustronnie ciągi komunikacyjne od terenów nie przeznaczonych do komunikacji.</w:t>
      </w:r>
    </w:p>
    <w:p w14:paraId="41D61FDA"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 xml:space="preserve">1.4.2. </w:t>
      </w:r>
      <w:r w:rsidRPr="001667DB">
        <w:rPr>
          <w:rFonts w:ascii="Times New Roman" w:hAnsi="Times New Roman" w:cs="Times New Roman"/>
          <w:color w:val="000000" w:themeColor="text1"/>
        </w:rPr>
        <w:t>Pozostałe określenia podstawowe są zgodne z obowiązującymi, odpowiednimi polskimi normami i definicjami podanymi w ST D-00.00.00 „Wymagania ogólne” pkt 1.4.</w:t>
      </w:r>
    </w:p>
    <w:p w14:paraId="4E90C8DC"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robót</w:t>
      </w:r>
    </w:p>
    <w:p w14:paraId="23767185" w14:textId="77777777" w:rsidR="00CC4443" w:rsidRPr="001667DB" w:rsidRDefault="00CC4443" w:rsidP="00577746">
      <w:pPr>
        <w:tabs>
          <w:tab w:val="left" w:pos="630"/>
        </w:tabs>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robót podano w ST D-00.00.00 „Wymagania ogólne” pkt 1.5.</w:t>
      </w:r>
    </w:p>
    <w:p w14:paraId="11EDCDBE"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MATERIAłY</w:t>
      </w:r>
    </w:p>
    <w:p w14:paraId="6AFA9E01"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materiałów</w:t>
      </w:r>
    </w:p>
    <w:p w14:paraId="2B8C7E1B"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Ogólne wymagania dotyczące materiałów, ich pozyskiwania i składowania podano w ST D-00.00.00 „Wymagania ogólne” pkt 2.</w:t>
      </w:r>
    </w:p>
    <w:p w14:paraId="47CEA175"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Stosowane materiały</w:t>
      </w:r>
    </w:p>
    <w:p w14:paraId="5D14E290" w14:textId="77777777" w:rsidR="00CC4443" w:rsidRPr="001667DB" w:rsidRDefault="00CC4443" w:rsidP="00577746">
      <w:pPr>
        <w:spacing w:line="36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r>
      <w:r w:rsidRPr="001667DB">
        <w:rPr>
          <w:rFonts w:ascii="Times New Roman" w:hAnsi="Times New Roman" w:cs="Times New Roman"/>
          <w:color w:val="000000" w:themeColor="text1"/>
        </w:rPr>
        <w:tab/>
        <w:t>Wymagania techniczne stawiane betonowym obrzeżom chodnikowym</w:t>
      </w:r>
    </w:p>
    <w:p w14:paraId="05449F15"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techniczne stawiane betonowym obrzeżom chodnikowym  stosowanym do budowy dróg, ulic, itp. Określa norma  PN-EN 1340  w sposób przedstawiony w tablicy 1.</w:t>
      </w:r>
    </w:p>
    <w:p w14:paraId="3497AA44" w14:textId="77777777" w:rsidR="00CC4443" w:rsidRPr="001667DB" w:rsidRDefault="00CC4443" w:rsidP="00577746">
      <w:pPr>
        <w:spacing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Tablica 1.   Wymagania wobec obrzeży chodnikowych ustalone w normie PN-EN 1340 mających kontakt z solą odladzającą w warunkach mrozu</w:t>
      </w:r>
    </w:p>
    <w:tbl>
      <w:tblPr>
        <w:tblW w:w="9346" w:type="dxa"/>
        <w:tblLayout w:type="fixed"/>
        <w:tblCellMar>
          <w:left w:w="0" w:type="dxa"/>
          <w:right w:w="0" w:type="dxa"/>
        </w:tblCellMar>
        <w:tblLook w:val="0000" w:firstRow="0" w:lastRow="0" w:firstColumn="0" w:lastColumn="0" w:noHBand="0" w:noVBand="0"/>
      </w:tblPr>
      <w:tblGrid>
        <w:gridCol w:w="592"/>
        <w:gridCol w:w="2742"/>
        <w:gridCol w:w="436"/>
        <w:gridCol w:w="716"/>
        <w:gridCol w:w="1202"/>
        <w:gridCol w:w="1592"/>
        <w:gridCol w:w="7"/>
        <w:gridCol w:w="2059"/>
      </w:tblGrid>
      <w:tr w:rsidR="00CC4443" w:rsidRPr="001667DB" w14:paraId="68167DF7" w14:textId="77777777" w:rsidTr="00BE366B">
        <w:tc>
          <w:tcPr>
            <w:tcW w:w="592" w:type="dxa"/>
            <w:tcBorders>
              <w:top w:val="single" w:sz="8" w:space="0" w:color="000000"/>
              <w:left w:val="single" w:sz="8" w:space="0" w:color="000000"/>
              <w:bottom w:val="single" w:sz="8" w:space="0" w:color="000000"/>
            </w:tcBorders>
            <w:shd w:val="clear" w:color="auto" w:fill="auto"/>
            <w:vAlign w:val="center"/>
          </w:tcPr>
          <w:p w14:paraId="396BD10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eastAsia="Calibri" w:hAnsi="Times New Roman" w:cs="Times New Roman"/>
                <w:b/>
                <w:bCs/>
                <w:color w:val="000000" w:themeColor="text1"/>
              </w:rPr>
              <w:t> </w:t>
            </w:r>
            <w:r w:rsidRPr="001667DB">
              <w:rPr>
                <w:rFonts w:ascii="Times New Roman" w:hAnsi="Times New Roman" w:cs="Times New Roman"/>
                <w:color w:val="000000" w:themeColor="text1"/>
              </w:rPr>
              <w:t>Lp.</w:t>
            </w:r>
          </w:p>
        </w:tc>
        <w:tc>
          <w:tcPr>
            <w:tcW w:w="2742" w:type="dxa"/>
            <w:tcBorders>
              <w:top w:val="single" w:sz="8" w:space="0" w:color="000000"/>
              <w:left w:val="single" w:sz="8" w:space="0" w:color="000000"/>
              <w:bottom w:val="single" w:sz="8" w:space="0" w:color="000000"/>
            </w:tcBorders>
            <w:shd w:val="clear" w:color="auto" w:fill="auto"/>
            <w:vAlign w:val="center"/>
          </w:tcPr>
          <w:p w14:paraId="783F3A6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Cecha</w:t>
            </w:r>
          </w:p>
        </w:tc>
        <w:tc>
          <w:tcPr>
            <w:tcW w:w="1152" w:type="dxa"/>
            <w:gridSpan w:val="2"/>
            <w:tcBorders>
              <w:top w:val="single" w:sz="8" w:space="0" w:color="000000"/>
              <w:left w:val="single" w:sz="8" w:space="0" w:color="000000"/>
              <w:bottom w:val="single" w:sz="8" w:space="0" w:color="000000"/>
            </w:tcBorders>
            <w:shd w:val="clear" w:color="auto" w:fill="auto"/>
            <w:vAlign w:val="center"/>
          </w:tcPr>
          <w:p w14:paraId="2CB09674"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Metoda pomiaru w/g</w:t>
            </w:r>
          </w:p>
          <w:p w14:paraId="0D889E8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załącznika normy</w:t>
            </w:r>
          </w:p>
        </w:tc>
        <w:tc>
          <w:tcPr>
            <w:tcW w:w="4860" w:type="dxa"/>
            <w:gridSpan w:val="4"/>
            <w:tcBorders>
              <w:top w:val="single" w:sz="8" w:space="0" w:color="000000"/>
              <w:left w:val="single" w:sz="8" w:space="0" w:color="000000"/>
              <w:bottom w:val="single" w:sz="8" w:space="0" w:color="000000"/>
              <w:right w:val="single" w:sz="4" w:space="0" w:color="auto"/>
            </w:tcBorders>
            <w:shd w:val="clear" w:color="auto" w:fill="auto"/>
            <w:vAlign w:val="center"/>
          </w:tcPr>
          <w:p w14:paraId="4D379330"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Wymaganie</w:t>
            </w:r>
          </w:p>
        </w:tc>
      </w:tr>
      <w:tr w:rsidR="00CC4443" w:rsidRPr="001667DB" w14:paraId="07A2AA38" w14:textId="77777777" w:rsidTr="00BE366B">
        <w:tc>
          <w:tcPr>
            <w:tcW w:w="592" w:type="dxa"/>
            <w:tcBorders>
              <w:top w:val="none" w:sz="0" w:space="0" w:color="000000"/>
              <w:left w:val="single" w:sz="8" w:space="0" w:color="000000"/>
              <w:bottom w:val="single" w:sz="8" w:space="0" w:color="000000"/>
            </w:tcBorders>
            <w:shd w:val="clear" w:color="auto" w:fill="auto"/>
          </w:tcPr>
          <w:p w14:paraId="41EB4B4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2742" w:type="dxa"/>
            <w:tcBorders>
              <w:top w:val="none" w:sz="0" w:space="0" w:color="000000"/>
              <w:left w:val="single" w:sz="8" w:space="0" w:color="000000"/>
              <w:bottom w:val="single" w:sz="8" w:space="0" w:color="000000"/>
            </w:tcBorders>
            <w:shd w:val="clear" w:color="auto" w:fill="auto"/>
            <w:vAlign w:val="center"/>
          </w:tcPr>
          <w:p w14:paraId="7AB4388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152" w:type="dxa"/>
            <w:gridSpan w:val="2"/>
            <w:tcBorders>
              <w:top w:val="none" w:sz="0" w:space="0" w:color="000000"/>
              <w:left w:val="single" w:sz="8" w:space="0" w:color="000000"/>
              <w:bottom w:val="single" w:sz="8" w:space="0" w:color="000000"/>
            </w:tcBorders>
            <w:shd w:val="clear" w:color="auto" w:fill="auto"/>
          </w:tcPr>
          <w:p w14:paraId="6EEACE9E"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vAlign w:val="center"/>
          </w:tcPr>
          <w:p w14:paraId="4105693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r>
      <w:tr w:rsidR="00CC4443" w:rsidRPr="001667DB" w14:paraId="042BE3BF" w14:textId="77777777" w:rsidTr="00BE366B">
        <w:tc>
          <w:tcPr>
            <w:tcW w:w="592" w:type="dxa"/>
            <w:tcBorders>
              <w:top w:val="none" w:sz="0" w:space="0" w:color="000000"/>
              <w:left w:val="single" w:sz="8" w:space="0" w:color="000000"/>
              <w:bottom w:val="single" w:sz="8" w:space="0" w:color="000000"/>
            </w:tcBorders>
            <w:shd w:val="clear" w:color="auto" w:fill="auto"/>
          </w:tcPr>
          <w:p w14:paraId="0668D926"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8754" w:type="dxa"/>
            <w:gridSpan w:val="7"/>
            <w:tcBorders>
              <w:top w:val="none" w:sz="0" w:space="0" w:color="000000"/>
              <w:left w:val="single" w:sz="8" w:space="0" w:color="000000"/>
              <w:bottom w:val="single" w:sz="8" w:space="0" w:color="000000"/>
              <w:right w:val="single" w:sz="4" w:space="0" w:color="auto"/>
            </w:tcBorders>
            <w:shd w:val="clear" w:color="auto" w:fill="auto"/>
          </w:tcPr>
          <w:p w14:paraId="7F5F401F"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b/>
                <w:bCs/>
                <w:color w:val="000000" w:themeColor="text1"/>
              </w:rPr>
              <w:t>Kształt i wymiary</w:t>
            </w:r>
          </w:p>
        </w:tc>
      </w:tr>
      <w:tr w:rsidR="00CC4443" w:rsidRPr="001667DB" w14:paraId="1648D6EB" w14:textId="77777777" w:rsidTr="00BE366B">
        <w:tc>
          <w:tcPr>
            <w:tcW w:w="592" w:type="dxa"/>
            <w:tcBorders>
              <w:top w:val="none" w:sz="0" w:space="0" w:color="000000"/>
              <w:left w:val="single" w:sz="8" w:space="0" w:color="000000"/>
              <w:bottom w:val="single" w:sz="8" w:space="0" w:color="000000"/>
            </w:tcBorders>
            <w:shd w:val="clear" w:color="auto" w:fill="auto"/>
          </w:tcPr>
          <w:p w14:paraId="22CCBAE1"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1.1.</w:t>
            </w:r>
          </w:p>
        </w:tc>
        <w:tc>
          <w:tcPr>
            <w:tcW w:w="2742" w:type="dxa"/>
            <w:tcBorders>
              <w:top w:val="none" w:sz="0" w:space="0" w:color="000000"/>
              <w:left w:val="single" w:sz="8" w:space="0" w:color="000000"/>
              <w:bottom w:val="single" w:sz="8" w:space="0" w:color="000000"/>
            </w:tcBorders>
            <w:shd w:val="clear" w:color="auto" w:fill="auto"/>
          </w:tcPr>
          <w:p w14:paraId="232A0ED3"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Wartości dopuszczalnych odchyłek wymiarów nominalnych w mm zadeklarowanych przez producenta wynoszą :</w:t>
            </w:r>
          </w:p>
        </w:tc>
        <w:tc>
          <w:tcPr>
            <w:tcW w:w="1152" w:type="dxa"/>
            <w:gridSpan w:val="2"/>
            <w:tcBorders>
              <w:top w:val="none" w:sz="0" w:space="0" w:color="000000"/>
              <w:left w:val="single" w:sz="8" w:space="0" w:color="000000"/>
              <w:bottom w:val="single" w:sz="8" w:space="0" w:color="000000"/>
            </w:tcBorders>
            <w:shd w:val="clear" w:color="auto" w:fill="auto"/>
          </w:tcPr>
          <w:p w14:paraId="1F877A43"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2801" w:type="dxa"/>
            <w:gridSpan w:val="3"/>
            <w:tcBorders>
              <w:top w:val="none" w:sz="0" w:space="0" w:color="000000"/>
              <w:left w:val="single" w:sz="8" w:space="0" w:color="000000"/>
              <w:bottom w:val="single" w:sz="8" w:space="0" w:color="000000"/>
            </w:tcBorders>
            <w:shd w:val="clear" w:color="auto" w:fill="auto"/>
          </w:tcPr>
          <w:p w14:paraId="2B6A2C5D" w14:textId="77777777" w:rsidR="00CC4443" w:rsidRPr="001667DB" w:rsidRDefault="003C704A"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długości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 xml:space="preserve"> 1% z dokładnością do milimetra ,nie mniej niż 4 mm i nie więcej niż 10 mm </w:t>
            </w:r>
          </w:p>
          <w:p w14:paraId="2334C554" w14:textId="77777777" w:rsidR="00CC4443" w:rsidRPr="001667DB" w:rsidRDefault="003C704A"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Dla powierzchni </w:t>
            </w: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 xml:space="preserve"> 3% z dokładnością do milimetra ,nie mniej niż 3 mm i nie więcej niż 5 mm </w:t>
            </w:r>
          </w:p>
          <w:p w14:paraId="3A82DD51"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Dla innych części ( np. sz</w:t>
            </w:r>
            <w:r w:rsidR="003C704A" w:rsidRPr="001667DB">
              <w:rPr>
                <w:rFonts w:ascii="Times New Roman" w:hAnsi="Times New Roman" w:cs="Times New Roman"/>
                <w:color w:val="000000" w:themeColor="text1"/>
              </w:rPr>
              <w:t xml:space="preserve">erokość, wysokość ) </w:t>
            </w:r>
            <w:r w:rsidR="003C704A" w:rsidRPr="001667DB">
              <w:rPr>
                <w:rFonts w:ascii="Times New Roman" w:hAnsi="Times New Roman" w:cs="Times New Roman"/>
                <w:color w:val="000000" w:themeColor="text1"/>
              </w:rPr>
              <w:sym w:font="Symbol" w:char="F0B1"/>
            </w:r>
            <w:r w:rsidR="003C704A" w:rsidRPr="001667DB">
              <w:rPr>
                <w:rFonts w:ascii="Times New Roman" w:hAnsi="Times New Roman" w:cs="Times New Roman"/>
                <w:color w:val="000000" w:themeColor="text1"/>
              </w:rPr>
              <w:t xml:space="preserve"> </w:t>
            </w:r>
            <w:r w:rsidRPr="001667DB">
              <w:rPr>
                <w:rFonts w:ascii="Times New Roman" w:hAnsi="Times New Roman" w:cs="Times New Roman"/>
                <w:color w:val="000000" w:themeColor="text1"/>
              </w:rPr>
              <w:t xml:space="preserve"> 5% z dokładnością do milimetra ,nie mniej niż 3 mm i nie więcej niż 10 mm  </w:t>
            </w:r>
          </w:p>
        </w:tc>
        <w:tc>
          <w:tcPr>
            <w:tcW w:w="2059" w:type="dxa"/>
            <w:tcBorders>
              <w:top w:val="none" w:sz="0" w:space="0" w:color="000000"/>
              <w:left w:val="single" w:sz="8" w:space="0" w:color="000000"/>
              <w:bottom w:val="single" w:sz="8" w:space="0" w:color="000000"/>
              <w:right w:val="single" w:sz="4" w:space="0" w:color="auto"/>
            </w:tcBorders>
            <w:shd w:val="clear" w:color="auto" w:fill="auto"/>
          </w:tcPr>
          <w:p w14:paraId="49712FF0"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Różnica pomiędzy wynikami pomiarów tego samego wymiaru krawężnika nie powinna przekraczać 5 mm </w:t>
            </w:r>
          </w:p>
        </w:tc>
      </w:tr>
      <w:tr w:rsidR="00CC4443" w:rsidRPr="001667DB" w14:paraId="2563C226" w14:textId="77777777" w:rsidTr="00BE366B">
        <w:tc>
          <w:tcPr>
            <w:tcW w:w="592" w:type="dxa"/>
            <w:tcBorders>
              <w:top w:val="none" w:sz="0" w:space="0" w:color="000000"/>
              <w:left w:val="single" w:sz="8" w:space="0" w:color="000000"/>
              <w:bottom w:val="single" w:sz="8" w:space="0" w:color="000000"/>
            </w:tcBorders>
            <w:shd w:val="clear" w:color="auto" w:fill="auto"/>
          </w:tcPr>
          <w:p w14:paraId="0369A8D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1.2.</w:t>
            </w:r>
          </w:p>
        </w:tc>
        <w:tc>
          <w:tcPr>
            <w:tcW w:w="2742" w:type="dxa"/>
            <w:tcBorders>
              <w:top w:val="none" w:sz="0" w:space="0" w:color="000000"/>
              <w:left w:val="single" w:sz="8" w:space="0" w:color="000000"/>
              <w:bottom w:val="single" w:sz="8" w:space="0" w:color="000000"/>
            </w:tcBorders>
            <w:shd w:val="clear" w:color="auto" w:fill="auto"/>
          </w:tcPr>
          <w:p w14:paraId="077F5E82"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Dla powierzchni określonych jako płaskie i dla krawędzi określonych jako proste dopuszczalne odchyłki od płaskości i prostoliniowości wynoszą :</w:t>
            </w:r>
          </w:p>
          <w:p w14:paraId="3C595441"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Długość pomiarowa ( w mm )</w:t>
            </w:r>
          </w:p>
          <w:p w14:paraId="4A020FD7"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300 mm</w:t>
            </w:r>
          </w:p>
          <w:p w14:paraId="4C2676DC"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400 mm</w:t>
            </w:r>
          </w:p>
          <w:p w14:paraId="7AAAA1E5"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500 mm</w:t>
            </w:r>
          </w:p>
          <w:p w14:paraId="7F11D56F"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800 mm</w:t>
            </w:r>
          </w:p>
        </w:tc>
        <w:tc>
          <w:tcPr>
            <w:tcW w:w="1152" w:type="dxa"/>
            <w:gridSpan w:val="2"/>
            <w:tcBorders>
              <w:top w:val="none" w:sz="0" w:space="0" w:color="000000"/>
              <w:left w:val="single" w:sz="8" w:space="0" w:color="000000"/>
              <w:bottom w:val="single" w:sz="8" w:space="0" w:color="000000"/>
            </w:tcBorders>
            <w:shd w:val="clear" w:color="auto" w:fill="auto"/>
          </w:tcPr>
          <w:p w14:paraId="6A35FE4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C</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3468ECD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Dopuszczalna odchyłka płaskości i prostoliniowości (w mm)</w:t>
            </w:r>
          </w:p>
          <w:p w14:paraId="3852E865"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5FAA40EF"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2189ED4A"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4360E8E7"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77D3C885" w14:textId="77777777" w:rsidR="00CC4443" w:rsidRPr="001667DB" w:rsidRDefault="003C704A"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1,5</w:t>
            </w:r>
          </w:p>
          <w:p w14:paraId="12C09805" w14:textId="77777777" w:rsidR="00CC4443" w:rsidRPr="001667DB" w:rsidRDefault="003C704A"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2,0</w:t>
            </w:r>
          </w:p>
          <w:p w14:paraId="0194BB7B" w14:textId="77777777" w:rsidR="00CC4443" w:rsidRPr="001667DB" w:rsidRDefault="003C704A"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hAnsi="Times New Roman" w:cs="Times New Roman"/>
                <w:color w:val="000000" w:themeColor="text1"/>
              </w:rPr>
              <w:t>2,5</w:t>
            </w:r>
          </w:p>
          <w:p w14:paraId="41E911FC" w14:textId="77777777" w:rsidR="00CC4443" w:rsidRPr="001667DB" w:rsidRDefault="003C704A"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 xml:space="preserve"> </w:t>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4,0</w:t>
            </w:r>
          </w:p>
        </w:tc>
      </w:tr>
      <w:tr w:rsidR="00CC4443" w:rsidRPr="001667DB" w14:paraId="78215A7F" w14:textId="77777777" w:rsidTr="00BE366B">
        <w:tc>
          <w:tcPr>
            <w:tcW w:w="592" w:type="dxa"/>
            <w:tcBorders>
              <w:top w:val="none" w:sz="0" w:space="0" w:color="000000"/>
              <w:left w:val="single" w:sz="8" w:space="0" w:color="000000"/>
              <w:bottom w:val="single" w:sz="8" w:space="0" w:color="000000"/>
            </w:tcBorders>
            <w:shd w:val="clear" w:color="auto" w:fill="auto"/>
          </w:tcPr>
          <w:p w14:paraId="7F1BE353"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8754" w:type="dxa"/>
            <w:gridSpan w:val="7"/>
            <w:tcBorders>
              <w:top w:val="none" w:sz="0" w:space="0" w:color="000000"/>
              <w:left w:val="single" w:sz="8" w:space="0" w:color="000000"/>
              <w:bottom w:val="single" w:sz="8" w:space="0" w:color="000000"/>
              <w:right w:val="single" w:sz="4" w:space="0" w:color="auto"/>
            </w:tcBorders>
            <w:shd w:val="clear" w:color="auto" w:fill="auto"/>
          </w:tcPr>
          <w:p w14:paraId="6BECD7D8"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b/>
                <w:bCs/>
                <w:color w:val="000000" w:themeColor="text1"/>
              </w:rPr>
              <w:t>Właściwości fizyczne i mechaniczne</w:t>
            </w:r>
          </w:p>
        </w:tc>
      </w:tr>
      <w:tr w:rsidR="00CC4443" w:rsidRPr="001667DB" w14:paraId="6C5C57BB" w14:textId="77777777" w:rsidTr="00BE366B">
        <w:tc>
          <w:tcPr>
            <w:tcW w:w="592" w:type="dxa"/>
            <w:tcBorders>
              <w:top w:val="none" w:sz="0" w:space="0" w:color="000000"/>
              <w:left w:val="single" w:sz="8" w:space="0" w:color="000000"/>
              <w:bottom w:val="single" w:sz="8" w:space="0" w:color="000000"/>
            </w:tcBorders>
            <w:shd w:val="clear" w:color="auto" w:fill="auto"/>
          </w:tcPr>
          <w:p w14:paraId="3299C30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2.1.</w:t>
            </w:r>
          </w:p>
        </w:tc>
        <w:tc>
          <w:tcPr>
            <w:tcW w:w="2742" w:type="dxa"/>
            <w:tcBorders>
              <w:top w:val="none" w:sz="0" w:space="0" w:color="000000"/>
              <w:left w:val="single" w:sz="8" w:space="0" w:color="000000"/>
              <w:bottom w:val="single" w:sz="8" w:space="0" w:color="000000"/>
            </w:tcBorders>
            <w:shd w:val="clear" w:color="auto" w:fill="auto"/>
          </w:tcPr>
          <w:p w14:paraId="4FDBDE5A"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zamrażanie/rozmrażanie z udziałem soli odladzających (wg klasy 3, oznaczenie D)</w:t>
            </w:r>
          </w:p>
        </w:tc>
        <w:tc>
          <w:tcPr>
            <w:tcW w:w="1152" w:type="dxa"/>
            <w:gridSpan w:val="2"/>
            <w:tcBorders>
              <w:top w:val="none" w:sz="0" w:space="0" w:color="000000"/>
              <w:left w:val="single" w:sz="8" w:space="0" w:color="000000"/>
              <w:bottom w:val="single" w:sz="8" w:space="0" w:color="000000"/>
            </w:tcBorders>
            <w:shd w:val="clear" w:color="auto" w:fill="auto"/>
          </w:tcPr>
          <w:p w14:paraId="40EDF15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D</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035198B7"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Ubytek ma</w:t>
            </w:r>
            <w:r w:rsidR="00BE366B" w:rsidRPr="001667DB">
              <w:rPr>
                <w:rFonts w:ascii="Times New Roman" w:hAnsi="Times New Roman" w:cs="Times New Roman"/>
                <w:color w:val="000000" w:themeColor="text1"/>
              </w:rPr>
              <w:t xml:space="preserve">sy po badaniu: wartość średnia </w:t>
            </w:r>
            <w:r w:rsidRPr="001667DB">
              <w:rPr>
                <w:rFonts w:ascii="Times New Roman" w:hAnsi="Times New Roman" w:cs="Times New Roman"/>
                <w:color w:val="000000" w:themeColor="text1"/>
              </w:rPr>
              <w:t xml:space="preserve"> 1,0 kg/m</w:t>
            </w:r>
            <w:r w:rsidRPr="001667DB">
              <w:rPr>
                <w:rFonts w:ascii="Times New Roman" w:hAnsi="Times New Roman" w:cs="Times New Roman"/>
                <w:color w:val="000000" w:themeColor="text1"/>
                <w:vertAlign w:val="superscript"/>
              </w:rPr>
              <w:t>2</w:t>
            </w:r>
            <w:r w:rsidRPr="001667DB">
              <w:rPr>
                <w:rFonts w:ascii="Times New Roman" w:hAnsi="Times New Roman" w:cs="Times New Roman"/>
                <w:color w:val="000000" w:themeColor="text1"/>
              </w:rPr>
              <w:t>, prz</w:t>
            </w:r>
            <w:r w:rsidR="00BE366B" w:rsidRPr="001667DB">
              <w:rPr>
                <w:rFonts w:ascii="Times New Roman" w:hAnsi="Times New Roman" w:cs="Times New Roman"/>
                <w:color w:val="000000" w:themeColor="text1"/>
              </w:rPr>
              <w:t xml:space="preserve">y czym każdy pojedynczy wynik </w:t>
            </w:r>
            <w:r w:rsidR="00BE366B"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1,5 kg/m</w:t>
            </w:r>
            <w:r w:rsidRPr="001667DB">
              <w:rPr>
                <w:rFonts w:ascii="Times New Roman" w:hAnsi="Times New Roman" w:cs="Times New Roman"/>
                <w:color w:val="000000" w:themeColor="text1"/>
                <w:vertAlign w:val="superscript"/>
              </w:rPr>
              <w:t>2</w:t>
            </w:r>
          </w:p>
        </w:tc>
      </w:tr>
      <w:tr w:rsidR="00CC4443" w:rsidRPr="001667DB" w14:paraId="6E32EAC2" w14:textId="77777777" w:rsidTr="00BE366B">
        <w:tc>
          <w:tcPr>
            <w:tcW w:w="592" w:type="dxa"/>
            <w:tcBorders>
              <w:top w:val="none" w:sz="0" w:space="0" w:color="000000"/>
              <w:left w:val="single" w:sz="8" w:space="0" w:color="000000"/>
              <w:bottom w:val="single" w:sz="8" w:space="0" w:color="000000"/>
            </w:tcBorders>
            <w:shd w:val="clear" w:color="auto" w:fill="auto"/>
          </w:tcPr>
          <w:p w14:paraId="2D9E8411"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2.2.</w:t>
            </w:r>
          </w:p>
        </w:tc>
        <w:tc>
          <w:tcPr>
            <w:tcW w:w="2742" w:type="dxa"/>
            <w:tcBorders>
              <w:top w:val="none" w:sz="0" w:space="0" w:color="000000"/>
              <w:left w:val="single" w:sz="8" w:space="0" w:color="000000"/>
              <w:bottom w:val="single" w:sz="8" w:space="0" w:color="000000"/>
            </w:tcBorders>
            <w:shd w:val="clear" w:color="auto" w:fill="auto"/>
          </w:tcPr>
          <w:p w14:paraId="353D5692"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Wytrzymałość charakterystyczna na zginanie :</w:t>
            </w:r>
          </w:p>
        </w:tc>
        <w:tc>
          <w:tcPr>
            <w:tcW w:w="1152" w:type="dxa"/>
            <w:gridSpan w:val="2"/>
            <w:tcBorders>
              <w:top w:val="none" w:sz="0" w:space="0" w:color="000000"/>
              <w:left w:val="single" w:sz="8" w:space="0" w:color="000000"/>
              <w:bottom w:val="single" w:sz="8" w:space="0" w:color="000000"/>
            </w:tcBorders>
            <w:shd w:val="clear" w:color="auto" w:fill="auto"/>
          </w:tcPr>
          <w:p w14:paraId="0D2EE314"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F</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5ACA270B" w14:textId="77777777" w:rsidR="00BE366B" w:rsidRPr="001667DB" w:rsidRDefault="00BE366B" w:rsidP="00BE366B">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Wytrzymałość charakterystyczna na zginanie nie powinna być mniejsza niż wartość odpowiadającej danej klasie :</w:t>
            </w:r>
          </w:p>
          <w:p w14:paraId="1848B45B" w14:textId="77777777" w:rsidR="00BE366B" w:rsidRPr="001667DB" w:rsidRDefault="00BE366B" w:rsidP="00BE366B">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Klasa        Oznaczenie     Wytrzymałość         Wytrzymałość  </w:t>
            </w:r>
          </w:p>
          <w:p w14:paraId="383BB4FE" w14:textId="77777777" w:rsidR="00BE366B" w:rsidRPr="001667DB" w:rsidRDefault="00BE366B" w:rsidP="00BE366B">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charakterystyczna         minimalna</w:t>
            </w:r>
          </w:p>
          <w:p w14:paraId="659B3502" w14:textId="77777777" w:rsidR="00BE366B" w:rsidRPr="001667DB" w:rsidRDefault="00BE366B" w:rsidP="00BE366B">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r w:rsidRPr="001667DB">
              <w:rPr>
                <w:rFonts w:ascii="Times New Roman" w:eastAsia="Verdana" w:hAnsi="Times New Roman" w:cs="Times New Roman"/>
                <w:color w:val="000000" w:themeColor="text1"/>
              </w:rPr>
              <w:t xml:space="preserve"> </w:t>
            </w:r>
            <w:r w:rsidRPr="001667DB">
              <w:rPr>
                <w:rFonts w:ascii="Times New Roman" w:hAnsi="Times New Roman" w:cs="Times New Roman"/>
                <w:color w:val="000000" w:themeColor="text1"/>
              </w:rPr>
              <w:t>1                   S                        3,5                        2,8</w:t>
            </w:r>
          </w:p>
          <w:p w14:paraId="0E4D8B89" w14:textId="77777777" w:rsidR="00BE366B" w:rsidRPr="001667DB" w:rsidRDefault="00BE366B" w:rsidP="00BE366B">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r w:rsidRPr="001667DB">
              <w:rPr>
                <w:rFonts w:ascii="Times New Roman" w:eastAsia="Verdana" w:hAnsi="Times New Roman" w:cs="Times New Roman"/>
                <w:color w:val="000000" w:themeColor="text1"/>
              </w:rPr>
              <w:t xml:space="preserve"> </w:t>
            </w:r>
            <w:r w:rsidRPr="001667DB">
              <w:rPr>
                <w:rFonts w:ascii="Times New Roman" w:hAnsi="Times New Roman" w:cs="Times New Roman"/>
                <w:color w:val="000000" w:themeColor="text1"/>
              </w:rPr>
              <w:t>2                   T                        5,0                        4,0</w:t>
            </w:r>
          </w:p>
          <w:p w14:paraId="4FEEB945" w14:textId="77777777" w:rsidR="00BE366B" w:rsidRPr="001667DB" w:rsidRDefault="00BE366B" w:rsidP="00BE366B">
            <w:pPr>
              <w:rPr>
                <w:rFonts w:ascii="Times New Roman" w:hAnsi="Times New Roman" w:cs="Times New Roman"/>
                <w:color w:val="000000" w:themeColor="text1"/>
              </w:rPr>
            </w:pPr>
            <w:r w:rsidRPr="001667DB">
              <w:rPr>
                <w:rFonts w:ascii="Times New Roman" w:hAnsi="Times New Roman" w:cs="Times New Roman"/>
                <w:color w:val="000000" w:themeColor="text1"/>
              </w:rPr>
              <w:t>    </w:t>
            </w:r>
            <w:r w:rsidRPr="001667DB">
              <w:rPr>
                <w:rFonts w:ascii="Times New Roman" w:eastAsia="Verdana" w:hAnsi="Times New Roman" w:cs="Times New Roman"/>
                <w:color w:val="000000" w:themeColor="text1"/>
              </w:rPr>
              <w:t xml:space="preserve"> </w:t>
            </w:r>
            <w:r w:rsidRPr="001667DB">
              <w:rPr>
                <w:rFonts w:ascii="Times New Roman" w:hAnsi="Times New Roman" w:cs="Times New Roman"/>
                <w:color w:val="000000" w:themeColor="text1"/>
              </w:rPr>
              <w:t>3                   U                        6,0                        4,8</w:t>
            </w:r>
          </w:p>
          <w:p w14:paraId="1446763E" w14:textId="77777777" w:rsidR="00CC4443" w:rsidRPr="001667DB" w:rsidRDefault="00CC4443" w:rsidP="00CC4443">
            <w:pPr>
              <w:spacing w:before="20" w:after="20" w:line="240" w:lineRule="auto"/>
              <w:rPr>
                <w:rFonts w:ascii="Times New Roman" w:hAnsi="Times New Roman" w:cs="Times New Roman"/>
                <w:color w:val="000000" w:themeColor="text1"/>
              </w:rPr>
            </w:pPr>
          </w:p>
        </w:tc>
      </w:tr>
      <w:tr w:rsidR="00CC4443" w:rsidRPr="001667DB" w14:paraId="4D81949D" w14:textId="77777777" w:rsidTr="00BE366B">
        <w:tc>
          <w:tcPr>
            <w:tcW w:w="592" w:type="dxa"/>
            <w:tcBorders>
              <w:top w:val="none" w:sz="0" w:space="0" w:color="000000"/>
              <w:left w:val="single" w:sz="8" w:space="0" w:color="000000"/>
              <w:bottom w:val="single" w:sz="8" w:space="0" w:color="000000"/>
            </w:tcBorders>
            <w:shd w:val="clear" w:color="auto" w:fill="auto"/>
          </w:tcPr>
          <w:p w14:paraId="32650432"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2.3</w:t>
            </w:r>
          </w:p>
          <w:p w14:paraId="685EC568" w14:textId="77777777" w:rsidR="00CC4443" w:rsidRPr="001667DB" w:rsidRDefault="00CC4443" w:rsidP="00CC4443">
            <w:pPr>
              <w:spacing w:before="20" w:after="20" w:line="240" w:lineRule="auto"/>
              <w:rPr>
                <w:rFonts w:ascii="Times New Roman" w:hAnsi="Times New Roman" w:cs="Times New Roman"/>
                <w:color w:val="000000" w:themeColor="text1"/>
              </w:rPr>
            </w:pPr>
          </w:p>
          <w:p w14:paraId="16C81F6B"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w:t>
            </w:r>
          </w:p>
        </w:tc>
        <w:tc>
          <w:tcPr>
            <w:tcW w:w="2742" w:type="dxa"/>
            <w:tcBorders>
              <w:top w:val="none" w:sz="0" w:space="0" w:color="000000"/>
              <w:left w:val="single" w:sz="8" w:space="0" w:color="000000"/>
              <w:bottom w:val="single" w:sz="8" w:space="0" w:color="000000"/>
            </w:tcBorders>
            <w:shd w:val="clear" w:color="auto" w:fill="auto"/>
          </w:tcPr>
          <w:p w14:paraId="166A1049"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warunki atmosferyczne</w:t>
            </w:r>
          </w:p>
          <w:p w14:paraId="7DFF6DC6"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eastAsia="Verdana" w:hAnsi="Times New Roman" w:cs="Times New Roman"/>
                <w:color w:val="000000" w:themeColor="text1"/>
              </w:rPr>
              <w:t xml:space="preserve"> </w:t>
            </w:r>
            <w:r w:rsidRPr="001667DB">
              <w:rPr>
                <w:rFonts w:ascii="Times New Roman" w:hAnsi="Times New Roman" w:cs="Times New Roman"/>
                <w:color w:val="000000" w:themeColor="text1"/>
              </w:rPr>
              <w:t>–</w:t>
            </w:r>
            <w:r w:rsidRPr="001667DB">
              <w:rPr>
                <w:rFonts w:ascii="Times New Roman" w:eastAsia="Verdana" w:hAnsi="Times New Roman" w:cs="Times New Roman"/>
                <w:color w:val="000000" w:themeColor="text1"/>
              </w:rPr>
              <w:t xml:space="preserve"> </w:t>
            </w:r>
            <w:r w:rsidRPr="001667DB">
              <w:rPr>
                <w:rFonts w:ascii="Times New Roman" w:hAnsi="Times New Roman" w:cs="Times New Roman"/>
                <w:color w:val="000000" w:themeColor="text1"/>
              </w:rPr>
              <w:t xml:space="preserve">nasiąkliwość ( oznaczenie B ) </w:t>
            </w:r>
          </w:p>
        </w:tc>
        <w:tc>
          <w:tcPr>
            <w:tcW w:w="1152" w:type="dxa"/>
            <w:gridSpan w:val="2"/>
            <w:tcBorders>
              <w:top w:val="none" w:sz="0" w:space="0" w:color="000000"/>
              <w:left w:val="single" w:sz="8" w:space="0" w:color="000000"/>
              <w:bottom w:val="single" w:sz="8" w:space="0" w:color="000000"/>
            </w:tcBorders>
            <w:shd w:val="clear" w:color="auto" w:fill="auto"/>
          </w:tcPr>
          <w:p w14:paraId="4B233A0B" w14:textId="77777777" w:rsidR="00CC4443" w:rsidRPr="001667DB" w:rsidRDefault="00CC4443" w:rsidP="00CC4443">
            <w:pPr>
              <w:snapToGrid w:val="0"/>
              <w:spacing w:before="20" w:after="20" w:line="240" w:lineRule="auto"/>
              <w:jc w:val="center"/>
              <w:rPr>
                <w:rFonts w:ascii="Times New Roman" w:eastAsia="Calibri" w:hAnsi="Times New Roman" w:cs="Times New Roman"/>
                <w:color w:val="000000" w:themeColor="text1"/>
              </w:rPr>
            </w:pPr>
          </w:p>
          <w:p w14:paraId="21768E3E"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p>
          <w:p w14:paraId="5C3B969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eastAsia="Calibri" w:hAnsi="Times New Roman" w:cs="Times New Roman"/>
                <w:color w:val="000000" w:themeColor="text1"/>
              </w:rPr>
              <w:t>E</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tbl>
            <w:tblPr>
              <w:tblW w:w="0" w:type="auto"/>
              <w:tblLayout w:type="fixed"/>
              <w:tblLook w:val="0000" w:firstRow="0" w:lastRow="0" w:firstColumn="0" w:lastColumn="0" w:noHBand="0" w:noVBand="0"/>
            </w:tblPr>
            <w:tblGrid>
              <w:gridCol w:w="4223"/>
            </w:tblGrid>
            <w:tr w:rsidR="00CC4443" w:rsidRPr="001667DB" w14:paraId="3C803B0C" w14:textId="77777777">
              <w:trPr>
                <w:trHeight w:val="244"/>
              </w:trPr>
              <w:tc>
                <w:tcPr>
                  <w:tcW w:w="4223" w:type="dxa"/>
                  <w:shd w:val="clear" w:color="auto" w:fill="auto"/>
                </w:tcPr>
                <w:p w14:paraId="750E3124" w14:textId="77777777" w:rsidR="00CC4443" w:rsidRPr="001667DB" w:rsidRDefault="00CC4443" w:rsidP="00CC4443">
                  <w:pPr>
                    <w:autoSpaceDE w:val="0"/>
                    <w:spacing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Żadna z kostek nie powinna mieć nasiąkliwości większej niż 5% dla klasy 2 ( B )</w:t>
                  </w:r>
                </w:p>
              </w:tc>
            </w:tr>
          </w:tbl>
          <w:p w14:paraId="1E6616B3" w14:textId="77777777" w:rsidR="00CC4443" w:rsidRPr="001667DB" w:rsidRDefault="00CC4443" w:rsidP="00CC4443">
            <w:pPr>
              <w:spacing w:line="240" w:lineRule="auto"/>
              <w:rPr>
                <w:rFonts w:ascii="Times New Roman" w:hAnsi="Times New Roman" w:cs="Times New Roman"/>
                <w:color w:val="000000" w:themeColor="text1"/>
              </w:rPr>
            </w:pPr>
          </w:p>
        </w:tc>
      </w:tr>
      <w:tr w:rsidR="00CC4443" w:rsidRPr="001667DB" w14:paraId="5A228D50" w14:textId="77777777" w:rsidTr="00BE366B">
        <w:tblPrEx>
          <w:tblCellMar>
            <w:left w:w="108" w:type="dxa"/>
            <w:right w:w="108" w:type="dxa"/>
          </w:tblCellMar>
        </w:tblPrEx>
        <w:trPr>
          <w:trHeight w:val="135"/>
        </w:trPr>
        <w:tc>
          <w:tcPr>
            <w:tcW w:w="592" w:type="dxa"/>
            <w:vMerge w:val="restart"/>
            <w:tcBorders>
              <w:top w:val="none" w:sz="0" w:space="0" w:color="000000"/>
              <w:left w:val="single" w:sz="8" w:space="0" w:color="000000"/>
              <w:bottom w:val="single" w:sz="8" w:space="0" w:color="000000"/>
            </w:tcBorders>
            <w:shd w:val="clear" w:color="auto" w:fill="auto"/>
          </w:tcPr>
          <w:p w14:paraId="7F2F1EB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2.4.</w:t>
            </w:r>
          </w:p>
        </w:tc>
        <w:tc>
          <w:tcPr>
            <w:tcW w:w="2742" w:type="dxa"/>
            <w:vMerge w:val="restart"/>
            <w:tcBorders>
              <w:top w:val="none" w:sz="0" w:space="0" w:color="000000"/>
              <w:left w:val="single" w:sz="8" w:space="0" w:color="000000"/>
              <w:bottom w:val="single" w:sz="8" w:space="0" w:color="000000"/>
            </w:tcBorders>
            <w:shd w:val="clear" w:color="auto" w:fill="auto"/>
          </w:tcPr>
          <w:p w14:paraId="4DBAC1A7"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Odporność na ścieranie </w:t>
            </w:r>
          </w:p>
        </w:tc>
        <w:tc>
          <w:tcPr>
            <w:tcW w:w="436" w:type="dxa"/>
            <w:vMerge w:val="restart"/>
            <w:tcBorders>
              <w:top w:val="none" w:sz="0" w:space="0" w:color="000000"/>
              <w:left w:val="single" w:sz="8" w:space="0" w:color="000000"/>
              <w:bottom w:val="single" w:sz="8" w:space="0" w:color="000000"/>
            </w:tcBorders>
            <w:shd w:val="clear" w:color="auto" w:fill="auto"/>
          </w:tcPr>
          <w:p w14:paraId="10A3F5B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G i H</w:t>
            </w:r>
          </w:p>
        </w:tc>
        <w:tc>
          <w:tcPr>
            <w:tcW w:w="5576" w:type="dxa"/>
            <w:gridSpan w:val="5"/>
            <w:tcBorders>
              <w:top w:val="none" w:sz="0" w:space="0" w:color="000000"/>
              <w:left w:val="single" w:sz="8" w:space="0" w:color="000000"/>
              <w:bottom w:val="single" w:sz="8" w:space="0" w:color="000000"/>
              <w:right w:val="single" w:sz="4" w:space="0" w:color="auto"/>
            </w:tcBorders>
            <w:shd w:val="clear" w:color="auto" w:fill="auto"/>
          </w:tcPr>
          <w:p w14:paraId="7D16435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Pomiar wykonany na tarczy</w:t>
            </w:r>
          </w:p>
        </w:tc>
      </w:tr>
      <w:tr w:rsidR="00CC4443" w:rsidRPr="001667DB" w14:paraId="58D1C5BB" w14:textId="77777777" w:rsidTr="00BE366B">
        <w:tblPrEx>
          <w:tblCellMar>
            <w:left w:w="108" w:type="dxa"/>
            <w:right w:w="108" w:type="dxa"/>
          </w:tblCellMar>
        </w:tblPrEx>
        <w:trPr>
          <w:trHeight w:val="135"/>
        </w:trPr>
        <w:tc>
          <w:tcPr>
            <w:tcW w:w="592" w:type="dxa"/>
            <w:vMerge/>
            <w:tcBorders>
              <w:top w:val="none" w:sz="0" w:space="0" w:color="000000"/>
              <w:left w:val="single" w:sz="8" w:space="0" w:color="000000"/>
              <w:bottom w:val="single" w:sz="8" w:space="0" w:color="000000"/>
            </w:tcBorders>
            <w:shd w:val="clear" w:color="auto" w:fill="auto"/>
          </w:tcPr>
          <w:p w14:paraId="7A942A20"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2742" w:type="dxa"/>
            <w:vMerge/>
            <w:tcBorders>
              <w:top w:val="none" w:sz="0" w:space="0" w:color="000000"/>
              <w:left w:val="single" w:sz="8" w:space="0" w:color="000000"/>
              <w:bottom w:val="single" w:sz="8" w:space="0" w:color="000000"/>
            </w:tcBorders>
            <w:shd w:val="clear" w:color="auto" w:fill="auto"/>
          </w:tcPr>
          <w:p w14:paraId="2120F554"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436" w:type="dxa"/>
            <w:vMerge/>
            <w:tcBorders>
              <w:top w:val="none" w:sz="0" w:space="0" w:color="000000"/>
              <w:left w:val="single" w:sz="8" w:space="0" w:color="000000"/>
              <w:bottom w:val="single" w:sz="8" w:space="0" w:color="000000"/>
            </w:tcBorders>
            <w:shd w:val="clear" w:color="auto" w:fill="auto"/>
          </w:tcPr>
          <w:p w14:paraId="087059FB"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716" w:type="dxa"/>
            <w:tcBorders>
              <w:top w:val="none" w:sz="0" w:space="0" w:color="000000"/>
              <w:left w:val="single" w:sz="8" w:space="0" w:color="000000"/>
              <w:bottom w:val="single" w:sz="8" w:space="0" w:color="000000"/>
            </w:tcBorders>
            <w:shd w:val="clear" w:color="auto" w:fill="auto"/>
          </w:tcPr>
          <w:p w14:paraId="5938AA14"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Klasa</w:t>
            </w:r>
          </w:p>
          <w:p w14:paraId="6DE1AE6F"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tc>
        <w:tc>
          <w:tcPr>
            <w:tcW w:w="1202" w:type="dxa"/>
            <w:tcBorders>
              <w:top w:val="none" w:sz="0" w:space="0" w:color="000000"/>
              <w:left w:val="single" w:sz="8" w:space="0" w:color="000000"/>
              <w:bottom w:val="single" w:sz="8" w:space="0" w:color="000000"/>
            </w:tcBorders>
            <w:shd w:val="clear" w:color="auto" w:fill="auto"/>
          </w:tcPr>
          <w:p w14:paraId="05EDCB1E" w14:textId="77777777" w:rsidR="00CC4443" w:rsidRPr="001667DB" w:rsidRDefault="00CC4443" w:rsidP="00CC4443">
            <w:pPr>
              <w:spacing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Oznaczenie</w:t>
            </w:r>
          </w:p>
          <w:p w14:paraId="0E95FBDE"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tc>
        <w:tc>
          <w:tcPr>
            <w:tcW w:w="1592" w:type="dxa"/>
            <w:tcBorders>
              <w:top w:val="none" w:sz="0" w:space="0" w:color="000000"/>
              <w:left w:val="single" w:sz="8" w:space="0" w:color="000000"/>
              <w:bottom w:val="single" w:sz="8" w:space="0" w:color="000000"/>
            </w:tcBorders>
            <w:shd w:val="clear" w:color="auto" w:fill="auto"/>
          </w:tcPr>
          <w:p w14:paraId="2AEC2F71"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xml:space="preserve">szerokiej ściernej, wg zał. G </w:t>
            </w:r>
          </w:p>
          <w:p w14:paraId="41E4D9F1"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spacing w:val="-2"/>
              </w:rPr>
              <w:t>normy – badanie podstawowe</w:t>
            </w:r>
          </w:p>
        </w:tc>
        <w:tc>
          <w:tcPr>
            <w:tcW w:w="2066" w:type="dxa"/>
            <w:gridSpan w:val="2"/>
            <w:tcBorders>
              <w:top w:val="none" w:sz="0" w:space="0" w:color="000000"/>
              <w:left w:val="single" w:sz="8" w:space="0" w:color="000000"/>
              <w:bottom w:val="single" w:sz="8" w:space="0" w:color="000000"/>
              <w:right w:val="single" w:sz="4" w:space="0" w:color="auto"/>
            </w:tcBorders>
            <w:shd w:val="clear" w:color="auto" w:fill="auto"/>
          </w:tcPr>
          <w:p w14:paraId="0389CEDE"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Boehmego, wg zał. H normy – badanie alternatywne</w:t>
            </w:r>
          </w:p>
        </w:tc>
      </w:tr>
      <w:tr w:rsidR="00CC4443" w:rsidRPr="001667DB" w14:paraId="6559C045" w14:textId="77777777" w:rsidTr="00BE366B">
        <w:tblPrEx>
          <w:tblCellMar>
            <w:left w:w="108" w:type="dxa"/>
            <w:right w:w="108" w:type="dxa"/>
          </w:tblCellMar>
        </w:tblPrEx>
        <w:trPr>
          <w:trHeight w:val="261"/>
        </w:trPr>
        <w:tc>
          <w:tcPr>
            <w:tcW w:w="592" w:type="dxa"/>
            <w:vMerge/>
            <w:tcBorders>
              <w:top w:val="none" w:sz="0" w:space="0" w:color="000000"/>
              <w:left w:val="single" w:sz="8" w:space="0" w:color="000000"/>
              <w:bottom w:val="single" w:sz="8" w:space="0" w:color="000000"/>
            </w:tcBorders>
            <w:shd w:val="clear" w:color="auto" w:fill="auto"/>
          </w:tcPr>
          <w:p w14:paraId="029B81C9"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2742" w:type="dxa"/>
            <w:vMerge/>
            <w:tcBorders>
              <w:top w:val="none" w:sz="0" w:space="0" w:color="000000"/>
              <w:left w:val="single" w:sz="8" w:space="0" w:color="000000"/>
              <w:bottom w:val="single" w:sz="8" w:space="0" w:color="000000"/>
            </w:tcBorders>
            <w:shd w:val="clear" w:color="auto" w:fill="auto"/>
          </w:tcPr>
          <w:p w14:paraId="22CEB03F"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436" w:type="dxa"/>
            <w:vMerge/>
            <w:tcBorders>
              <w:top w:val="none" w:sz="0" w:space="0" w:color="000000"/>
              <w:left w:val="single" w:sz="8" w:space="0" w:color="000000"/>
              <w:bottom w:val="single" w:sz="8" w:space="0" w:color="000000"/>
            </w:tcBorders>
            <w:shd w:val="clear" w:color="auto" w:fill="auto"/>
          </w:tcPr>
          <w:p w14:paraId="6E4C2B84"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716" w:type="dxa"/>
            <w:tcBorders>
              <w:top w:val="none" w:sz="0" w:space="0" w:color="000000"/>
              <w:left w:val="single" w:sz="8" w:space="0" w:color="000000"/>
              <w:bottom w:val="single" w:sz="8" w:space="0" w:color="000000"/>
            </w:tcBorders>
            <w:shd w:val="clear" w:color="auto" w:fill="auto"/>
          </w:tcPr>
          <w:p w14:paraId="7B2E547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202" w:type="dxa"/>
            <w:tcBorders>
              <w:top w:val="none" w:sz="0" w:space="0" w:color="000000"/>
              <w:left w:val="single" w:sz="8" w:space="0" w:color="000000"/>
              <w:bottom w:val="single" w:sz="8" w:space="0" w:color="000000"/>
            </w:tcBorders>
            <w:shd w:val="clear" w:color="auto" w:fill="auto"/>
          </w:tcPr>
          <w:p w14:paraId="3B6C7B8E" w14:textId="77777777" w:rsidR="00CC4443" w:rsidRPr="001667DB" w:rsidRDefault="00CC4443" w:rsidP="00CC4443">
            <w:pPr>
              <w:spacing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F</w:t>
            </w:r>
          </w:p>
          <w:p w14:paraId="4BCCD452"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tc>
        <w:tc>
          <w:tcPr>
            <w:tcW w:w="1592" w:type="dxa"/>
            <w:tcBorders>
              <w:top w:val="none" w:sz="0" w:space="0" w:color="000000"/>
              <w:left w:val="single" w:sz="8" w:space="0" w:color="000000"/>
              <w:bottom w:val="single" w:sz="8" w:space="0" w:color="000000"/>
            </w:tcBorders>
            <w:shd w:val="clear" w:color="auto" w:fill="auto"/>
          </w:tcPr>
          <w:p w14:paraId="0BFA308C"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xml:space="preserve">Nie określa się </w:t>
            </w:r>
          </w:p>
        </w:tc>
        <w:tc>
          <w:tcPr>
            <w:tcW w:w="2066" w:type="dxa"/>
            <w:gridSpan w:val="2"/>
            <w:tcBorders>
              <w:top w:val="none" w:sz="0" w:space="0" w:color="000000"/>
              <w:left w:val="single" w:sz="8" w:space="0" w:color="000000"/>
              <w:bottom w:val="single" w:sz="8" w:space="0" w:color="000000"/>
              <w:right w:val="single" w:sz="4" w:space="0" w:color="auto"/>
            </w:tcBorders>
            <w:shd w:val="clear" w:color="auto" w:fill="auto"/>
          </w:tcPr>
          <w:p w14:paraId="18252DC6"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Nie określa się</w:t>
            </w:r>
          </w:p>
        </w:tc>
      </w:tr>
      <w:tr w:rsidR="00CC4443" w:rsidRPr="001667DB" w14:paraId="17F295F9" w14:textId="77777777" w:rsidTr="00BE366B">
        <w:tblPrEx>
          <w:tblCellMar>
            <w:left w:w="108" w:type="dxa"/>
            <w:right w:w="108" w:type="dxa"/>
          </w:tblCellMar>
        </w:tblPrEx>
        <w:trPr>
          <w:trHeight w:val="300"/>
        </w:trPr>
        <w:tc>
          <w:tcPr>
            <w:tcW w:w="592" w:type="dxa"/>
            <w:vMerge/>
            <w:tcBorders>
              <w:top w:val="none" w:sz="0" w:space="0" w:color="000000"/>
              <w:left w:val="single" w:sz="8" w:space="0" w:color="000000"/>
              <w:bottom w:val="single" w:sz="8" w:space="0" w:color="000000"/>
            </w:tcBorders>
            <w:shd w:val="clear" w:color="auto" w:fill="auto"/>
          </w:tcPr>
          <w:p w14:paraId="3F3211E0"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2742" w:type="dxa"/>
            <w:vMerge/>
            <w:tcBorders>
              <w:top w:val="none" w:sz="0" w:space="0" w:color="000000"/>
              <w:left w:val="single" w:sz="8" w:space="0" w:color="000000"/>
              <w:bottom w:val="single" w:sz="8" w:space="0" w:color="000000"/>
            </w:tcBorders>
            <w:shd w:val="clear" w:color="auto" w:fill="auto"/>
          </w:tcPr>
          <w:p w14:paraId="7EE48D0C"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436" w:type="dxa"/>
            <w:vMerge/>
            <w:tcBorders>
              <w:top w:val="none" w:sz="0" w:space="0" w:color="000000"/>
              <w:left w:val="single" w:sz="8" w:space="0" w:color="000000"/>
              <w:bottom w:val="single" w:sz="8" w:space="0" w:color="000000"/>
            </w:tcBorders>
            <w:shd w:val="clear" w:color="auto" w:fill="auto"/>
          </w:tcPr>
          <w:p w14:paraId="2103FAED"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716" w:type="dxa"/>
            <w:tcBorders>
              <w:top w:val="none" w:sz="0" w:space="0" w:color="000000"/>
              <w:left w:val="single" w:sz="8" w:space="0" w:color="000000"/>
              <w:bottom w:val="single" w:sz="8" w:space="0" w:color="000000"/>
            </w:tcBorders>
            <w:shd w:val="clear" w:color="auto" w:fill="auto"/>
          </w:tcPr>
          <w:p w14:paraId="30BE096D"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202" w:type="dxa"/>
            <w:tcBorders>
              <w:top w:val="none" w:sz="0" w:space="0" w:color="000000"/>
              <w:left w:val="single" w:sz="8" w:space="0" w:color="000000"/>
              <w:bottom w:val="single" w:sz="8" w:space="0" w:color="000000"/>
            </w:tcBorders>
            <w:shd w:val="clear" w:color="auto" w:fill="auto"/>
          </w:tcPr>
          <w:p w14:paraId="057C5E56"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H</w:t>
            </w:r>
          </w:p>
        </w:tc>
        <w:tc>
          <w:tcPr>
            <w:tcW w:w="1592" w:type="dxa"/>
            <w:tcBorders>
              <w:top w:val="none" w:sz="0" w:space="0" w:color="000000"/>
              <w:left w:val="single" w:sz="8" w:space="0" w:color="000000"/>
              <w:bottom w:val="single" w:sz="8" w:space="0" w:color="000000"/>
            </w:tcBorders>
            <w:shd w:val="clear" w:color="auto" w:fill="auto"/>
          </w:tcPr>
          <w:p w14:paraId="0F3BC484" w14:textId="77777777" w:rsidR="00CC4443" w:rsidRPr="001667DB" w:rsidRDefault="00BE366B"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23 mm</w:t>
            </w:r>
          </w:p>
        </w:tc>
        <w:tc>
          <w:tcPr>
            <w:tcW w:w="2066" w:type="dxa"/>
            <w:gridSpan w:val="2"/>
            <w:tcBorders>
              <w:top w:val="none" w:sz="0" w:space="0" w:color="000000"/>
              <w:left w:val="single" w:sz="8" w:space="0" w:color="000000"/>
              <w:bottom w:val="single" w:sz="8" w:space="0" w:color="000000"/>
              <w:right w:val="single" w:sz="4" w:space="0" w:color="auto"/>
            </w:tcBorders>
            <w:shd w:val="clear" w:color="auto" w:fill="auto"/>
          </w:tcPr>
          <w:p w14:paraId="02EEA312" w14:textId="77777777" w:rsidR="00CC4443" w:rsidRPr="001667DB" w:rsidRDefault="00BE366B"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20000 mm</w:t>
            </w:r>
            <w:r w:rsidR="00CC4443" w:rsidRPr="001667DB">
              <w:rPr>
                <w:rFonts w:ascii="Times New Roman" w:hAnsi="Times New Roman" w:cs="Times New Roman"/>
                <w:color w:val="000000" w:themeColor="text1"/>
                <w:vertAlign w:val="superscript"/>
              </w:rPr>
              <w:t>3</w:t>
            </w:r>
            <w:r w:rsidR="00CC4443" w:rsidRPr="001667DB">
              <w:rPr>
                <w:rFonts w:ascii="Times New Roman" w:hAnsi="Times New Roman" w:cs="Times New Roman"/>
                <w:color w:val="000000" w:themeColor="text1"/>
              </w:rPr>
              <w:t>/5000 mm</w:t>
            </w:r>
            <w:r w:rsidR="00CC4443" w:rsidRPr="001667DB">
              <w:rPr>
                <w:rFonts w:ascii="Times New Roman" w:hAnsi="Times New Roman" w:cs="Times New Roman"/>
                <w:color w:val="000000" w:themeColor="text1"/>
                <w:vertAlign w:val="superscript"/>
              </w:rPr>
              <w:t>2</w:t>
            </w:r>
          </w:p>
        </w:tc>
      </w:tr>
      <w:tr w:rsidR="00CC4443" w:rsidRPr="001667DB" w14:paraId="72E5C9BB" w14:textId="77777777" w:rsidTr="00BE366B">
        <w:tblPrEx>
          <w:tblCellMar>
            <w:left w:w="108" w:type="dxa"/>
            <w:right w:w="108" w:type="dxa"/>
          </w:tblCellMar>
        </w:tblPrEx>
        <w:trPr>
          <w:trHeight w:val="150"/>
        </w:trPr>
        <w:tc>
          <w:tcPr>
            <w:tcW w:w="592" w:type="dxa"/>
            <w:vMerge/>
            <w:tcBorders>
              <w:top w:val="none" w:sz="0" w:space="0" w:color="000000"/>
              <w:left w:val="single" w:sz="8" w:space="0" w:color="000000"/>
              <w:bottom w:val="single" w:sz="8" w:space="0" w:color="000000"/>
            </w:tcBorders>
            <w:shd w:val="clear" w:color="auto" w:fill="auto"/>
          </w:tcPr>
          <w:p w14:paraId="50704049"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2742" w:type="dxa"/>
            <w:vMerge/>
            <w:tcBorders>
              <w:top w:val="none" w:sz="0" w:space="0" w:color="000000"/>
              <w:left w:val="single" w:sz="8" w:space="0" w:color="000000"/>
              <w:bottom w:val="single" w:sz="8" w:space="0" w:color="000000"/>
            </w:tcBorders>
            <w:shd w:val="clear" w:color="auto" w:fill="auto"/>
          </w:tcPr>
          <w:p w14:paraId="7D5EFE4B"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436" w:type="dxa"/>
            <w:vMerge/>
            <w:tcBorders>
              <w:top w:val="none" w:sz="0" w:space="0" w:color="000000"/>
              <w:left w:val="single" w:sz="8" w:space="0" w:color="000000"/>
              <w:bottom w:val="single" w:sz="8" w:space="0" w:color="000000"/>
            </w:tcBorders>
            <w:shd w:val="clear" w:color="auto" w:fill="auto"/>
          </w:tcPr>
          <w:p w14:paraId="404E71EA" w14:textId="77777777" w:rsidR="00CC4443" w:rsidRPr="001667DB" w:rsidRDefault="00CC4443" w:rsidP="00CC4443">
            <w:pPr>
              <w:snapToGrid w:val="0"/>
              <w:spacing w:line="240" w:lineRule="auto"/>
              <w:rPr>
                <w:rFonts w:ascii="Times New Roman" w:eastAsia="Calibri" w:hAnsi="Times New Roman" w:cs="Times New Roman"/>
                <w:color w:val="000000" w:themeColor="text1"/>
              </w:rPr>
            </w:pPr>
          </w:p>
        </w:tc>
        <w:tc>
          <w:tcPr>
            <w:tcW w:w="716" w:type="dxa"/>
            <w:tcBorders>
              <w:top w:val="none" w:sz="0" w:space="0" w:color="000000"/>
              <w:left w:val="single" w:sz="8" w:space="0" w:color="000000"/>
              <w:bottom w:val="single" w:sz="8" w:space="0" w:color="000000"/>
            </w:tcBorders>
            <w:shd w:val="clear" w:color="auto" w:fill="auto"/>
          </w:tcPr>
          <w:p w14:paraId="1C7502C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202" w:type="dxa"/>
            <w:tcBorders>
              <w:top w:val="none" w:sz="0" w:space="0" w:color="000000"/>
              <w:left w:val="single" w:sz="8" w:space="0" w:color="000000"/>
              <w:bottom w:val="single" w:sz="8" w:space="0" w:color="000000"/>
            </w:tcBorders>
            <w:shd w:val="clear" w:color="auto" w:fill="auto"/>
          </w:tcPr>
          <w:p w14:paraId="4FF8BE9F"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I</w:t>
            </w:r>
          </w:p>
        </w:tc>
        <w:tc>
          <w:tcPr>
            <w:tcW w:w="1592" w:type="dxa"/>
            <w:tcBorders>
              <w:top w:val="none" w:sz="0" w:space="0" w:color="000000"/>
              <w:left w:val="single" w:sz="8" w:space="0" w:color="000000"/>
              <w:bottom w:val="single" w:sz="8" w:space="0" w:color="000000"/>
            </w:tcBorders>
            <w:shd w:val="clear" w:color="auto" w:fill="auto"/>
          </w:tcPr>
          <w:p w14:paraId="14B5BF4B" w14:textId="77777777" w:rsidR="00CC4443" w:rsidRPr="001667DB" w:rsidRDefault="00BE366B"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20 mm</w:t>
            </w:r>
          </w:p>
        </w:tc>
        <w:tc>
          <w:tcPr>
            <w:tcW w:w="2066" w:type="dxa"/>
            <w:gridSpan w:val="2"/>
            <w:tcBorders>
              <w:top w:val="none" w:sz="0" w:space="0" w:color="000000"/>
              <w:left w:val="single" w:sz="8" w:space="0" w:color="000000"/>
              <w:bottom w:val="single" w:sz="8" w:space="0" w:color="000000"/>
              <w:right w:val="single" w:sz="4" w:space="0" w:color="auto"/>
            </w:tcBorders>
            <w:shd w:val="clear" w:color="auto" w:fill="auto"/>
          </w:tcPr>
          <w:p w14:paraId="1B785872" w14:textId="77777777" w:rsidR="00CC4443" w:rsidRPr="001667DB" w:rsidRDefault="00BE366B"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sym w:font="Symbol" w:char="F0B1"/>
            </w:r>
            <w:r w:rsidR="00CC4443" w:rsidRPr="001667DB">
              <w:rPr>
                <w:rFonts w:ascii="Times New Roman" w:eastAsia="Verdana" w:hAnsi="Times New Roman" w:cs="Times New Roman"/>
                <w:color w:val="000000" w:themeColor="text1"/>
              </w:rPr>
              <w:t xml:space="preserve"> </w:t>
            </w:r>
            <w:r w:rsidR="00CC4443" w:rsidRPr="001667DB">
              <w:rPr>
                <w:rFonts w:ascii="Times New Roman" w:hAnsi="Times New Roman" w:cs="Times New Roman"/>
                <w:color w:val="000000" w:themeColor="text1"/>
              </w:rPr>
              <w:t>18000 mm</w:t>
            </w:r>
            <w:r w:rsidR="00CC4443" w:rsidRPr="001667DB">
              <w:rPr>
                <w:rFonts w:ascii="Times New Roman" w:hAnsi="Times New Roman" w:cs="Times New Roman"/>
                <w:color w:val="000000" w:themeColor="text1"/>
                <w:vertAlign w:val="superscript"/>
              </w:rPr>
              <w:t>3</w:t>
            </w:r>
            <w:r w:rsidR="00CC4443" w:rsidRPr="001667DB">
              <w:rPr>
                <w:rFonts w:ascii="Times New Roman" w:hAnsi="Times New Roman" w:cs="Times New Roman"/>
                <w:color w:val="000000" w:themeColor="text1"/>
              </w:rPr>
              <w:t>/5000 mm</w:t>
            </w:r>
            <w:r w:rsidR="00CC4443" w:rsidRPr="001667DB">
              <w:rPr>
                <w:rFonts w:ascii="Times New Roman" w:hAnsi="Times New Roman" w:cs="Times New Roman"/>
                <w:color w:val="000000" w:themeColor="text1"/>
                <w:vertAlign w:val="superscript"/>
              </w:rPr>
              <w:t>2</w:t>
            </w:r>
          </w:p>
        </w:tc>
      </w:tr>
      <w:tr w:rsidR="00CC4443" w:rsidRPr="001667DB" w14:paraId="421838EF" w14:textId="77777777" w:rsidTr="00BE366B">
        <w:tc>
          <w:tcPr>
            <w:tcW w:w="592" w:type="dxa"/>
            <w:tcBorders>
              <w:top w:val="none" w:sz="0" w:space="0" w:color="000000"/>
              <w:left w:val="single" w:sz="8" w:space="0" w:color="000000"/>
              <w:bottom w:val="single" w:sz="8" w:space="0" w:color="000000"/>
            </w:tcBorders>
            <w:shd w:val="clear" w:color="auto" w:fill="auto"/>
          </w:tcPr>
          <w:p w14:paraId="7478ED3D"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2.5.</w:t>
            </w:r>
          </w:p>
        </w:tc>
        <w:tc>
          <w:tcPr>
            <w:tcW w:w="2742" w:type="dxa"/>
            <w:tcBorders>
              <w:top w:val="none" w:sz="0" w:space="0" w:color="000000"/>
              <w:left w:val="single" w:sz="8" w:space="0" w:color="000000"/>
              <w:bottom w:val="single" w:sz="8" w:space="0" w:color="000000"/>
            </w:tcBorders>
            <w:shd w:val="clear" w:color="auto" w:fill="auto"/>
          </w:tcPr>
          <w:p w14:paraId="5E3222FC"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Odporność na poślizg/poślizgnięcie</w:t>
            </w:r>
          </w:p>
        </w:tc>
        <w:tc>
          <w:tcPr>
            <w:tcW w:w="1152" w:type="dxa"/>
            <w:gridSpan w:val="2"/>
            <w:tcBorders>
              <w:top w:val="none" w:sz="0" w:space="0" w:color="000000"/>
              <w:left w:val="single" w:sz="8" w:space="0" w:color="000000"/>
              <w:bottom w:val="single" w:sz="8" w:space="0" w:color="000000"/>
            </w:tcBorders>
            <w:shd w:val="clear" w:color="auto" w:fill="auto"/>
          </w:tcPr>
          <w:p w14:paraId="4475180E"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I</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5B28AA40"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a) jeśli wyjątkowo wymaga się podania wartości odporności na poślizg/poślizgniecie – należy zadeklarować minimalną jej wartość pomierzoną wg zał. I normy (wahadłowym przyrządem do badania tarcia)</w:t>
            </w:r>
          </w:p>
        </w:tc>
      </w:tr>
      <w:tr w:rsidR="00CC4443" w:rsidRPr="001667DB" w14:paraId="39C5A2DE" w14:textId="77777777" w:rsidTr="00BE366B">
        <w:tc>
          <w:tcPr>
            <w:tcW w:w="592" w:type="dxa"/>
            <w:tcBorders>
              <w:top w:val="none" w:sz="0" w:space="0" w:color="000000"/>
              <w:left w:val="single" w:sz="8" w:space="0" w:color="000000"/>
              <w:bottom w:val="single" w:sz="8" w:space="0" w:color="000000"/>
            </w:tcBorders>
            <w:shd w:val="clear" w:color="auto" w:fill="auto"/>
          </w:tcPr>
          <w:p w14:paraId="364D00F1"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8754" w:type="dxa"/>
            <w:gridSpan w:val="7"/>
            <w:tcBorders>
              <w:top w:val="none" w:sz="0" w:space="0" w:color="000000"/>
              <w:left w:val="single" w:sz="8" w:space="0" w:color="000000"/>
              <w:bottom w:val="single" w:sz="8" w:space="0" w:color="000000"/>
              <w:right w:val="single" w:sz="4" w:space="0" w:color="auto"/>
            </w:tcBorders>
            <w:shd w:val="clear" w:color="auto" w:fill="auto"/>
          </w:tcPr>
          <w:p w14:paraId="4329E867"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b/>
                <w:bCs/>
                <w:color w:val="000000" w:themeColor="text1"/>
              </w:rPr>
              <w:t>Aspekty wizualne</w:t>
            </w:r>
          </w:p>
        </w:tc>
      </w:tr>
      <w:tr w:rsidR="00CC4443" w:rsidRPr="001667DB" w14:paraId="4FC0A5E1" w14:textId="77777777" w:rsidTr="00BE366B">
        <w:tc>
          <w:tcPr>
            <w:tcW w:w="592" w:type="dxa"/>
            <w:tcBorders>
              <w:top w:val="none" w:sz="0" w:space="0" w:color="000000"/>
              <w:left w:val="single" w:sz="8" w:space="0" w:color="000000"/>
              <w:bottom w:val="single" w:sz="8" w:space="0" w:color="000000"/>
            </w:tcBorders>
            <w:shd w:val="clear" w:color="auto" w:fill="auto"/>
          </w:tcPr>
          <w:p w14:paraId="6E05E441"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3.1.</w:t>
            </w:r>
          </w:p>
        </w:tc>
        <w:tc>
          <w:tcPr>
            <w:tcW w:w="2742" w:type="dxa"/>
            <w:tcBorders>
              <w:top w:val="none" w:sz="0" w:space="0" w:color="000000"/>
              <w:left w:val="single" w:sz="8" w:space="0" w:color="000000"/>
              <w:bottom w:val="single" w:sz="8" w:space="0" w:color="000000"/>
            </w:tcBorders>
            <w:shd w:val="clear" w:color="auto" w:fill="auto"/>
          </w:tcPr>
          <w:p w14:paraId="731287FF"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Wygląd</w:t>
            </w:r>
          </w:p>
        </w:tc>
        <w:tc>
          <w:tcPr>
            <w:tcW w:w="1152" w:type="dxa"/>
            <w:gridSpan w:val="2"/>
            <w:tcBorders>
              <w:top w:val="none" w:sz="0" w:space="0" w:color="000000"/>
              <w:left w:val="single" w:sz="8" w:space="0" w:color="000000"/>
              <w:bottom w:val="single" w:sz="8" w:space="0" w:color="000000"/>
            </w:tcBorders>
            <w:shd w:val="clear" w:color="auto" w:fill="auto"/>
          </w:tcPr>
          <w:p w14:paraId="28F8418B"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56F7275E"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 xml:space="preserve">a) krawężnik nie powinna mieć rys, odprysków, rozwarstwień </w:t>
            </w:r>
          </w:p>
          <w:p w14:paraId="62AE31FD"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b) ewentualne wykwity nie są uważane za istotne</w:t>
            </w:r>
          </w:p>
        </w:tc>
      </w:tr>
      <w:tr w:rsidR="00CC4443" w:rsidRPr="001667DB" w14:paraId="70CA8A65" w14:textId="77777777" w:rsidTr="00BE366B">
        <w:tc>
          <w:tcPr>
            <w:tcW w:w="592" w:type="dxa"/>
            <w:tcBorders>
              <w:top w:val="none" w:sz="0" w:space="0" w:color="000000"/>
              <w:left w:val="single" w:sz="8" w:space="0" w:color="000000"/>
              <w:bottom w:val="single" w:sz="8" w:space="0" w:color="000000"/>
            </w:tcBorders>
            <w:shd w:val="clear" w:color="auto" w:fill="auto"/>
          </w:tcPr>
          <w:p w14:paraId="2CA882F4"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3.2.</w:t>
            </w:r>
          </w:p>
          <w:p w14:paraId="57B498CA"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46566888"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7BF4F980"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0014AA60"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3.3.</w:t>
            </w:r>
          </w:p>
        </w:tc>
        <w:tc>
          <w:tcPr>
            <w:tcW w:w="2742" w:type="dxa"/>
            <w:tcBorders>
              <w:top w:val="none" w:sz="0" w:space="0" w:color="000000"/>
              <w:left w:val="single" w:sz="8" w:space="0" w:color="000000"/>
              <w:bottom w:val="single" w:sz="8" w:space="0" w:color="000000"/>
            </w:tcBorders>
            <w:shd w:val="clear" w:color="auto" w:fill="auto"/>
          </w:tcPr>
          <w:p w14:paraId="33D8D68E"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Tekstura</w:t>
            </w:r>
          </w:p>
          <w:p w14:paraId="20ABC979"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795CFDCC"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7F8168F3"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 </w:t>
            </w:r>
          </w:p>
          <w:p w14:paraId="22A43D92" w14:textId="77777777" w:rsidR="00CC4443" w:rsidRPr="001667DB" w:rsidRDefault="00CC4443" w:rsidP="00CC4443">
            <w:pPr>
              <w:spacing w:before="20" w:after="20" w:line="240" w:lineRule="auto"/>
              <w:rPr>
                <w:rFonts w:ascii="Times New Roman" w:hAnsi="Times New Roman" w:cs="Times New Roman"/>
                <w:color w:val="000000" w:themeColor="text1"/>
              </w:rPr>
            </w:pPr>
            <w:r w:rsidRPr="001667DB">
              <w:rPr>
                <w:rFonts w:ascii="Times New Roman" w:hAnsi="Times New Roman" w:cs="Times New Roman"/>
                <w:color w:val="000000" w:themeColor="text1"/>
              </w:rPr>
              <w:t>Zabarwienie (barwiona może być warstwa ścieralna lub cały element)</w:t>
            </w:r>
          </w:p>
        </w:tc>
        <w:tc>
          <w:tcPr>
            <w:tcW w:w="1152" w:type="dxa"/>
            <w:gridSpan w:val="2"/>
            <w:tcBorders>
              <w:top w:val="none" w:sz="0" w:space="0" w:color="000000"/>
              <w:left w:val="single" w:sz="8" w:space="0" w:color="000000"/>
              <w:bottom w:val="single" w:sz="8" w:space="0" w:color="000000"/>
            </w:tcBorders>
            <w:shd w:val="clear" w:color="auto" w:fill="auto"/>
          </w:tcPr>
          <w:p w14:paraId="11DAD74B" w14:textId="77777777" w:rsidR="00CC4443" w:rsidRPr="001667DB" w:rsidRDefault="00CC4443" w:rsidP="00CC4443">
            <w:pPr>
              <w:spacing w:before="20" w:after="20" w:line="240" w:lineRule="auto"/>
              <w:jc w:val="center"/>
              <w:rPr>
                <w:rFonts w:ascii="Times New Roman" w:hAnsi="Times New Roman" w:cs="Times New Roman"/>
                <w:color w:val="000000" w:themeColor="text1"/>
              </w:rPr>
            </w:pPr>
            <w:r w:rsidRPr="001667DB">
              <w:rPr>
                <w:rFonts w:ascii="Times New Roman" w:hAnsi="Times New Roman" w:cs="Times New Roman"/>
                <w:color w:val="000000" w:themeColor="text1"/>
              </w:rPr>
              <w:t>J</w:t>
            </w:r>
          </w:p>
        </w:tc>
        <w:tc>
          <w:tcPr>
            <w:tcW w:w="4860" w:type="dxa"/>
            <w:gridSpan w:val="4"/>
            <w:tcBorders>
              <w:top w:val="none" w:sz="0" w:space="0" w:color="000000"/>
              <w:left w:val="single" w:sz="8" w:space="0" w:color="000000"/>
              <w:bottom w:val="single" w:sz="8" w:space="0" w:color="000000"/>
              <w:right w:val="single" w:sz="4" w:space="0" w:color="auto"/>
            </w:tcBorders>
            <w:shd w:val="clear" w:color="auto" w:fill="auto"/>
          </w:tcPr>
          <w:p w14:paraId="13821624"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a) krawężniki z powierzchnią o specjalnej teksturze – producent powinien opisać rodzaj tekstury,</w:t>
            </w:r>
          </w:p>
          <w:p w14:paraId="009817E8"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b) tekstura lub zabarwienie krawężnika powinno być porównane z próbką producenta, zatwierdzoną przez odbiorcę,</w:t>
            </w:r>
          </w:p>
          <w:p w14:paraId="65D9D4EE" w14:textId="77777777" w:rsidR="00CC4443" w:rsidRPr="001667DB" w:rsidRDefault="00CC4443" w:rsidP="00CC4443">
            <w:pPr>
              <w:spacing w:before="20" w:after="20" w:line="240" w:lineRule="auto"/>
              <w:ind w:left="256" w:hanging="256"/>
              <w:rPr>
                <w:rFonts w:ascii="Times New Roman" w:hAnsi="Times New Roman" w:cs="Times New Roman"/>
                <w:color w:val="000000" w:themeColor="text1"/>
              </w:rPr>
            </w:pPr>
            <w:r w:rsidRPr="001667DB">
              <w:rPr>
                <w:rFonts w:ascii="Times New Roman" w:hAnsi="Times New Roman" w:cs="Times New Roman"/>
                <w:color w:val="000000" w:themeColor="text1"/>
              </w:rPr>
              <w:t>c)  ewentualne różnice w jednolitości tekstury lub zabarwienia, spowodowane nieuniknionymi zmianami we właściwościach surowców i zmianach warunków twardnienia nie są uważane za istotne</w:t>
            </w:r>
          </w:p>
        </w:tc>
      </w:tr>
    </w:tbl>
    <w:p w14:paraId="252C4B7D"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 xml:space="preserve">Obrzeża mogą być produkowane z jednego rodzaju betonu lub warstwy ścieralnej i konstrukcyjnej wykonanych z różnych betonów .Jeżeli obrzeża produkowane są z warstwą ścieralną, to warstwa ta powinna mieć minimalną grubość 4 mm na całej powierzchni deklarowanej przez producenta jako powierzchnia widoczna. Skośne krawędzie powyżej 2 mm powinny być określone jako fazowane a wymiary deklarowane przez producenta. Przekroje poprzeczne i długości krawężników powinny zawierać normy krajowe.  </w:t>
      </w:r>
    </w:p>
    <w:p w14:paraId="2F58CB8F"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Wymagania dotyczące obrzeży betonowych zastosowanych w opracowaniu:</w:t>
      </w:r>
    </w:p>
    <w:p w14:paraId="7C85FBEC"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Odporność na zamrażanie/rozmrażanie – klasa 3 ( D )</w:t>
      </w:r>
    </w:p>
    <w:p w14:paraId="3B1E77CF"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 Wytrzymałość charakterystyczna na zginanie  - klasa 3 ( U ) </w:t>
      </w:r>
    </w:p>
    <w:p w14:paraId="1AE70968"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Nasiąkliwość – zgodnie z pismem powyżej  ( 5% )</w:t>
      </w:r>
    </w:p>
    <w:p w14:paraId="2C60A004"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Odporność na ścieranie – klasa 3 ( H )</w:t>
      </w:r>
    </w:p>
    <w:p w14:paraId="11E78D00"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Odporność na poślizg/poślizgnięcie –  minimalna wartość deklarowana</w:t>
      </w:r>
    </w:p>
    <w:p w14:paraId="7B1900C7"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Pozostałe parametry czyli kształt i wymiary oraz aspekty wizualne powinny odpowiadać wymaganiom wg tabeli jw. </w:t>
      </w:r>
    </w:p>
    <w:p w14:paraId="093FD2F3"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sprzętu</w:t>
      </w:r>
    </w:p>
    <w:p w14:paraId="708C631B"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sprzętu podano w ST D-00.00.00 „Wymagania ogólne” pkt 3.</w:t>
      </w:r>
    </w:p>
    <w:p w14:paraId="54C2F0CD"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Sprzęt do ustawiania obrzeży</w:t>
      </w:r>
    </w:p>
    <w:p w14:paraId="559CDB30"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wykonuje się ręcznie przy zastosowaniu drobnego sprzętu pomocniczego.</w:t>
      </w:r>
    </w:p>
    <w:p w14:paraId="7D919DCB"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lastRenderedPageBreak/>
        <w:t>transport</w:t>
      </w:r>
    </w:p>
    <w:p w14:paraId="565F8163"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wymagania dotyczące transportu</w:t>
      </w:r>
    </w:p>
    <w:p w14:paraId="28F38A8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wymagania dotyczące transportu podano w ST D-00.00.00 „Wymagania ogólne” pkt 4.</w:t>
      </w:r>
    </w:p>
    <w:p w14:paraId="22175064"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Transport obrzeży betonowych</w:t>
      </w:r>
    </w:p>
    <w:p w14:paraId="7373C7E5"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Betonowe obrzeża chodnikowe mogą być przewożone dowolnymi środkami transportu po osiągnięciu przez beton wytrzymałości minimum 0,7 wytrzymałości projektowanej.</w:t>
      </w:r>
    </w:p>
    <w:p w14:paraId="3BC8858B"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Obrzeża powinny być zabezpieczone przed przemieszczeniem się i uszkodzeniami w czasie transportu.</w:t>
      </w:r>
    </w:p>
    <w:p w14:paraId="16B7E7F6"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Transport pozostałych materiałów</w:t>
      </w:r>
    </w:p>
    <w:p w14:paraId="284A804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Transport pozostałych materiałów podano w ST D-08.01.01 „Krawężniki betonowe”.</w:t>
      </w:r>
    </w:p>
    <w:p w14:paraId="4D277783"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wykonanie robót</w:t>
      </w:r>
    </w:p>
    <w:p w14:paraId="7E20A903"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zasady wykonania robót</w:t>
      </w:r>
    </w:p>
    <w:p w14:paraId="4600E2C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wykonania robót podano w ST D-00.00.00 „Wymagania ogólne” pkt 5.</w:t>
      </w:r>
    </w:p>
    <w:p w14:paraId="2B08F4E4"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Wykonanie koryta</w:t>
      </w:r>
    </w:p>
    <w:p w14:paraId="11A78754"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Koryto pod podsypkę (ławę) należy wykonywać zgodnie z PN-B-06050 [1].</w:t>
      </w:r>
    </w:p>
    <w:p w14:paraId="62FF5357"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Wymiary wykopu powinny odpowiadać wymiarom ławy w planie z uwzględnieniem w szerokości dna wykopu ew. konstrukcji szalunku.</w:t>
      </w:r>
    </w:p>
    <w:p w14:paraId="782D28CA"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Podłoże lub podsypka (ława)</w:t>
      </w:r>
    </w:p>
    <w:p w14:paraId="7782B4B5"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Podłoże pod ustawienie obrzeża może stanowić rodzimy grunt piaszczysty lub podsypka (ława) ze żwiru lub piasku, o grubości warstwy od 3 do 5 cm po zagęszczeniu. Podsypkę (ławę) wykonuje się przez zasypanie koryta żwirem lub piaskiem i zagęszczenie z polewaniem wodą.</w:t>
      </w:r>
    </w:p>
    <w:p w14:paraId="6C5B702C"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Ustawienie betonowych obrzeży chodnikowych</w:t>
      </w:r>
    </w:p>
    <w:p w14:paraId="0AEB41E5"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Betonowe obrzeża chodnikowe należy ustawiać na wykonanym podłożu w miejscu i ze światłem (odległością górnej powierzchni obrzeża od ciągu komunikacyjnego) zgodnym z ustaleniami dokumentacji projektowej.</w:t>
      </w:r>
    </w:p>
    <w:p w14:paraId="7E4BB60B"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Zewnętrzna ściana obrzeża powinna być obsypana piaskiem, żwirem lub miejscowym gruntem przepuszczalnym, starannie ubitym.</w:t>
      </w:r>
    </w:p>
    <w:p w14:paraId="3993CB9E"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Spoiny nie powinny przekraczać szerokości 1 cm. Należy wypełnić je piaskiem lub zaprawą cementowo-piaskową w stosunku 1:2. Spoiny przed zalaniem należy oczyścić i zmyć wodą. Spoiny muszą być wypełnione całkowicie na pełną głębokość.</w:t>
      </w:r>
    </w:p>
    <w:p w14:paraId="75F73D8B"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kontrola  jakości  robót</w:t>
      </w:r>
    </w:p>
    <w:p w14:paraId="2900F2D6"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zasady kontroli jakości robót</w:t>
      </w:r>
    </w:p>
    <w:p w14:paraId="2470C09A"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kontroli jakości robót podano w ST D-00.00.00 „Wymagania ogólne” pkt 6.</w:t>
      </w:r>
    </w:p>
    <w:p w14:paraId="1499AB04"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Badania przed przystąpieniem do robót</w:t>
      </w:r>
    </w:p>
    <w:p w14:paraId="66426E79"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Przed przystąpieniem do robót Wykonawca powinien wykonać badania materiałów przeznaczonych do ustawienia betonowych obrzeży chodnikowych i przedstawić wyniki tych badań Inżynierowi do akceptacji.</w:t>
      </w:r>
    </w:p>
    <w:p w14:paraId="1D9516BD"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Sprawdzenie wyglądu zewnętrznego należy przeprowadzić na podstawie oględzin elementu przez pomiar i policzenie uszkodzeń występujących na powierzchniach i krawędziach elementu, zgodnie z wymaganiami tablicy 3. Pomiary długości i głębokości uszkodzeń należy wykonać za pomocą przymiaru stalowego lub suwmiarki z dokładnością do 1 mm, zgodnie z ustaleniami PN-B-10021 [4].</w:t>
      </w:r>
    </w:p>
    <w:p w14:paraId="7B961105"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ab/>
        <w:t>Sprawdzenie kształtu i wymiarów elementów należy przeprowadzić z dokładnością do 1 mm przy użyciu suwmiarki oraz przymiaru stalowego lub taśmy, zgodnie z wymaganiami tablicy 1 i 2. Sprawdzenie kątów prostych w narożach elementów wykonuje się przez przyłożenie kątownika do badanego naroża i zmierzenia odchyłek z dokładnością do 1 mm.</w:t>
      </w:r>
    </w:p>
    <w:p w14:paraId="4717EE24" w14:textId="77777777" w:rsidR="00CC4443" w:rsidRPr="001667DB" w:rsidRDefault="00CC4443" w:rsidP="00577746">
      <w:pPr>
        <w:spacing w:line="276"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ab/>
        <w:t>Badania pozostałych materiałów powinny obejmować wszystkie właściwości określone w normach podanych dla odpowiednich materiałów wymienionych w pkt 2.</w:t>
      </w:r>
    </w:p>
    <w:p w14:paraId="7C17C8B2"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Badania w czasie robót</w:t>
      </w:r>
    </w:p>
    <w:p w14:paraId="377B4AE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W czasie robót należy sprawdzać wykonanie:</w:t>
      </w:r>
    </w:p>
    <w:p w14:paraId="0FF54BAC" w14:textId="77777777" w:rsidR="00CC4443" w:rsidRPr="001667DB" w:rsidRDefault="00CC4443" w:rsidP="00904E6C">
      <w:pPr>
        <w:numPr>
          <w:ilvl w:val="0"/>
          <w:numId w:val="275"/>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koryta pod podsypkę (ławę) - zgodnie z wymaganiami pkt 5.2,</w:t>
      </w:r>
    </w:p>
    <w:p w14:paraId="5064D176" w14:textId="77777777" w:rsidR="00CC4443" w:rsidRPr="001667DB" w:rsidRDefault="00CC4443" w:rsidP="00904E6C">
      <w:pPr>
        <w:numPr>
          <w:ilvl w:val="0"/>
          <w:numId w:val="275"/>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podłoża z rodzimego gruntu piaszczystego lub podsypki (ławy) ze żwiru lub piasku - zgodnie z wymaganiami pkt 5.3,</w:t>
      </w:r>
    </w:p>
    <w:p w14:paraId="46C47CC0" w14:textId="77777777" w:rsidR="00CC4443" w:rsidRPr="001667DB" w:rsidRDefault="00CC4443" w:rsidP="00904E6C">
      <w:pPr>
        <w:numPr>
          <w:ilvl w:val="0"/>
          <w:numId w:val="275"/>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ustawienia betonowego obrzeża chodnikowego - zgodnie z wymaganiami pkt 5.4, przy dopuszczalnych odchyleniach:</w:t>
      </w:r>
    </w:p>
    <w:p w14:paraId="7AF2A644"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linii obrzeża w planie, które może wynosić </w:t>
      </w:r>
      <w:r w:rsidR="00BE366B"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2 cm na każde 100 m długości obrzeża,</w:t>
      </w:r>
    </w:p>
    <w:p w14:paraId="49E17AB6"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 xml:space="preserve">niwelety górnej płaszczyzny obrzeża , które może wynosić </w:t>
      </w:r>
      <w:r w:rsidR="00BE366B" w:rsidRPr="001667DB">
        <w:rPr>
          <w:rFonts w:ascii="Times New Roman" w:hAnsi="Times New Roman" w:cs="Times New Roman"/>
          <w:color w:val="000000" w:themeColor="text1"/>
        </w:rPr>
        <w:sym w:font="Symbol" w:char="F0B1"/>
      </w:r>
      <w:r w:rsidRPr="001667DB">
        <w:rPr>
          <w:rFonts w:ascii="Times New Roman" w:hAnsi="Times New Roman" w:cs="Times New Roman"/>
          <w:color w:val="000000" w:themeColor="text1"/>
        </w:rPr>
        <w:t>1 cm na każde 100 m długości obrzeża,</w:t>
      </w:r>
    </w:p>
    <w:p w14:paraId="6A2D6345"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wypełnienia spoin, sprawdzane co 10 metrów, które powinno wykazywać całkowite wypełnienie badanej spoiny na pełną głębokość.</w:t>
      </w:r>
    </w:p>
    <w:p w14:paraId="6A462F05"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obmiar robót</w:t>
      </w:r>
    </w:p>
    <w:p w14:paraId="2186D4AB"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zasady obmiaru robót</w:t>
      </w:r>
    </w:p>
    <w:p w14:paraId="4C9975A5"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zasady obmiaru robót podano w ST D-00.00.00 „Wymagania ogólne” pkt 7.</w:t>
      </w:r>
    </w:p>
    <w:p w14:paraId="36430665"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Jednostka obmiarowa</w:t>
      </w:r>
    </w:p>
    <w:p w14:paraId="44592729"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Jednostką obmiarową jest m (metr) ustawionego betonowego obrzeża chodnikowego.</w:t>
      </w:r>
    </w:p>
    <w:p w14:paraId="2B401AE6"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ODBIÓR ROBÓT</w:t>
      </w:r>
    </w:p>
    <w:p w14:paraId="5554BC93"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Ogólne zasady odbioru robót</w:t>
      </w:r>
    </w:p>
    <w:p w14:paraId="2ED3372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b/>
          <w:color w:val="000000" w:themeColor="text1"/>
        </w:rPr>
        <w:tab/>
      </w:r>
      <w:r w:rsidRPr="001667DB">
        <w:rPr>
          <w:rFonts w:ascii="Times New Roman" w:hAnsi="Times New Roman" w:cs="Times New Roman"/>
          <w:color w:val="000000" w:themeColor="text1"/>
        </w:rPr>
        <w:t>Ogólne zasady odbioru robót podano w ST D-00.00.00 „Wymagania ogólne” pkt 8.</w:t>
      </w:r>
    </w:p>
    <w:p w14:paraId="77F6E41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Roboty uznaje się za wykonane zgodnie z dokumentacją projektową, ST i wymaganiami Inżyniera, jeżeli wszystkie pomiary i badania z zachowaniem tolerancji wg pkt 6 dały wyniki pozytywne.</w:t>
      </w:r>
    </w:p>
    <w:p w14:paraId="559A721F"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Odbiór robót zanikających i ulegających zakryciu</w:t>
      </w:r>
    </w:p>
    <w:p w14:paraId="2118E8A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Odbiorowi robót zanikających i ulegających zakryciu podlegają:</w:t>
      </w:r>
    </w:p>
    <w:p w14:paraId="53A21CE4"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wykonane koryto,</w:t>
      </w:r>
    </w:p>
    <w:p w14:paraId="0D3B48F3"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wykonana podsypka.</w:t>
      </w:r>
    </w:p>
    <w:p w14:paraId="366A37E4" w14:textId="77777777" w:rsidR="00D4422D" w:rsidRPr="001667DB" w:rsidRDefault="00D4422D" w:rsidP="00577746">
      <w:pPr>
        <w:tabs>
          <w:tab w:val="left" w:pos="-1725"/>
          <w:tab w:val="left" w:pos="-1440"/>
          <w:tab w:val="left" w:pos="-1005"/>
          <w:tab w:val="left" w:pos="-720"/>
          <w:tab w:val="left" w:pos="-285"/>
        </w:tabs>
        <w:suppressAutoHyphens/>
        <w:overflowPunct w:val="0"/>
        <w:autoSpaceDE w:val="0"/>
        <w:spacing w:after="0" w:line="240" w:lineRule="auto"/>
        <w:ind w:left="283"/>
        <w:jc w:val="both"/>
        <w:textAlignment w:val="baseline"/>
        <w:rPr>
          <w:rFonts w:ascii="Times New Roman" w:hAnsi="Times New Roman" w:cs="Times New Roman"/>
          <w:color w:val="000000" w:themeColor="text1"/>
        </w:rPr>
      </w:pPr>
    </w:p>
    <w:p w14:paraId="23EF06B6"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PODSTAWA PłATNOści</w:t>
      </w:r>
    </w:p>
    <w:p w14:paraId="23E148A3" w14:textId="77777777" w:rsidR="00CC4443" w:rsidRPr="001667DB" w:rsidRDefault="00CC4443" w:rsidP="00904E6C">
      <w:pPr>
        <w:pStyle w:val="Nagwek2"/>
        <w:numPr>
          <w:ilvl w:val="1"/>
          <w:numId w:val="89"/>
        </w:numPr>
        <w:tabs>
          <w:tab w:val="clear" w:pos="0"/>
        </w:tabs>
        <w:suppressAutoHyphens/>
        <w:jc w:val="both"/>
        <w:rPr>
          <w:color w:val="000000" w:themeColor="text1"/>
          <w:sz w:val="22"/>
          <w:szCs w:val="22"/>
        </w:rPr>
      </w:pPr>
      <w:r w:rsidRPr="001667DB">
        <w:rPr>
          <w:color w:val="000000" w:themeColor="text1"/>
          <w:sz w:val="22"/>
          <w:szCs w:val="22"/>
          <w:u w:val="none"/>
        </w:rPr>
        <w:t>Ogólne ustalenia dotyczące podstawy płatności</w:t>
      </w:r>
    </w:p>
    <w:p w14:paraId="14AC6ADC"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Ogólne ustalenia dotyczące podstawy płatności podano w ST D-00.00.00 „Wymagania ogólne” pkt 9.</w:t>
      </w:r>
    </w:p>
    <w:p w14:paraId="358C4500" w14:textId="77777777" w:rsidR="00CC4443" w:rsidRPr="001667DB" w:rsidRDefault="00CC4443" w:rsidP="00904E6C">
      <w:pPr>
        <w:pStyle w:val="Nagwek2"/>
        <w:numPr>
          <w:ilvl w:val="1"/>
          <w:numId w:val="350"/>
        </w:numPr>
        <w:tabs>
          <w:tab w:val="clear" w:pos="-720"/>
          <w:tab w:val="clear" w:pos="0"/>
          <w:tab w:val="clear" w:pos="284"/>
          <w:tab w:val="clear" w:pos="435"/>
          <w:tab w:val="clear" w:pos="567"/>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Cena jednostki obmiarowej</w:t>
      </w:r>
    </w:p>
    <w:p w14:paraId="613FEAF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ab/>
        <w:t>Cena wykonania 1 m betonowego obrzeża chodnikowego obejmuje:</w:t>
      </w:r>
    </w:p>
    <w:p w14:paraId="6C26CB84"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prace pomiarowe i roboty przygotowawcze,</w:t>
      </w:r>
    </w:p>
    <w:p w14:paraId="275A7E77"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dostarczenie materiałów,</w:t>
      </w:r>
    </w:p>
    <w:p w14:paraId="55B26A47"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koryta,</w:t>
      </w:r>
    </w:p>
    <w:p w14:paraId="38A417D6"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rozścielenie i ubicie podsypki, lub wykonanie ławy z obustronnym oporem</w:t>
      </w:r>
    </w:p>
    <w:p w14:paraId="0A3331C1"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ustawienie obrzeża, lub palisady,</w:t>
      </w:r>
    </w:p>
    <w:p w14:paraId="690877C0"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wypełnienie spoin,</w:t>
      </w:r>
    </w:p>
    <w:p w14:paraId="04E6FB43"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lastRenderedPageBreak/>
        <w:t>obsypanie zewnętrznej ściany obrzeża,</w:t>
      </w:r>
    </w:p>
    <w:p w14:paraId="2C41EC25" w14:textId="77777777" w:rsidR="00CC4443" w:rsidRPr="001667DB" w:rsidRDefault="00CC4443" w:rsidP="00904E6C">
      <w:pPr>
        <w:numPr>
          <w:ilvl w:val="0"/>
          <w:numId w:val="276"/>
        </w:numPr>
        <w:tabs>
          <w:tab w:val="clear" w:pos="283"/>
          <w:tab w:val="left" w:pos="-1725"/>
          <w:tab w:val="left" w:pos="-1440"/>
          <w:tab w:val="left" w:pos="-1005"/>
          <w:tab w:val="left" w:pos="-720"/>
          <w:tab w:val="left" w:pos="-285"/>
        </w:tabs>
        <w:suppressAutoHyphens/>
        <w:overflowPunct w:val="0"/>
        <w:autoSpaceDE w:val="0"/>
        <w:spacing w:after="0" w:line="240" w:lineRule="auto"/>
        <w:jc w:val="both"/>
        <w:textAlignment w:val="baseline"/>
        <w:rPr>
          <w:rFonts w:ascii="Times New Roman" w:hAnsi="Times New Roman" w:cs="Times New Roman"/>
          <w:color w:val="000000" w:themeColor="text1"/>
        </w:rPr>
      </w:pPr>
      <w:r w:rsidRPr="001667DB">
        <w:rPr>
          <w:rFonts w:ascii="Times New Roman" w:hAnsi="Times New Roman" w:cs="Times New Roman"/>
          <w:color w:val="000000" w:themeColor="text1"/>
        </w:rPr>
        <w:t>wykonanie badań i pomiarów wymaganych w specyfikacji technicznej.</w:t>
      </w:r>
    </w:p>
    <w:p w14:paraId="780D00C2" w14:textId="77777777" w:rsidR="00CC4443" w:rsidRPr="001667DB" w:rsidRDefault="00CC4443" w:rsidP="00904E6C">
      <w:pPr>
        <w:pStyle w:val="Nagwek1"/>
        <w:numPr>
          <w:ilvl w:val="0"/>
          <w:numId w:val="350"/>
        </w:numPr>
        <w:tabs>
          <w:tab w:val="clear" w:pos="-720"/>
          <w:tab w:val="clear" w:pos="0"/>
          <w:tab w:val="clear" w:pos="284"/>
          <w:tab w:val="clear" w:pos="435"/>
          <w:tab w:val="clear" w:pos="1299"/>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both"/>
        <w:rPr>
          <w:color w:val="000000" w:themeColor="text1"/>
          <w:sz w:val="22"/>
          <w:szCs w:val="22"/>
        </w:rPr>
      </w:pPr>
      <w:r w:rsidRPr="001667DB">
        <w:rPr>
          <w:color w:val="000000" w:themeColor="text1"/>
          <w:sz w:val="22"/>
          <w:szCs w:val="22"/>
        </w:rPr>
        <w:t>przepisy związane</w:t>
      </w:r>
    </w:p>
    <w:p w14:paraId="25E310F5" w14:textId="77777777" w:rsidR="00CC4443" w:rsidRPr="001667DB" w:rsidRDefault="00CC4443" w:rsidP="00904E6C">
      <w:pPr>
        <w:pStyle w:val="Nagwek2"/>
        <w:numPr>
          <w:ilvl w:val="1"/>
          <w:numId w:val="89"/>
        </w:numPr>
        <w:tabs>
          <w:tab w:val="clear" w:pos="0"/>
        </w:tabs>
        <w:suppressAutoHyphens/>
        <w:jc w:val="both"/>
        <w:rPr>
          <w:color w:val="000000" w:themeColor="text1"/>
          <w:sz w:val="22"/>
          <w:szCs w:val="22"/>
        </w:rPr>
      </w:pPr>
      <w:r w:rsidRPr="001667DB">
        <w:rPr>
          <w:color w:val="000000" w:themeColor="text1"/>
          <w:sz w:val="22"/>
          <w:szCs w:val="22"/>
        </w:rPr>
        <w:t>Normy</w:t>
      </w:r>
    </w:p>
    <w:tbl>
      <w:tblPr>
        <w:tblW w:w="0" w:type="auto"/>
        <w:tblLayout w:type="fixed"/>
        <w:tblCellMar>
          <w:left w:w="70" w:type="dxa"/>
          <w:right w:w="70" w:type="dxa"/>
        </w:tblCellMar>
        <w:tblLook w:val="0000" w:firstRow="0" w:lastRow="0" w:firstColumn="0" w:lastColumn="0" w:noHBand="0" w:noVBand="0"/>
      </w:tblPr>
      <w:tblGrid>
        <w:gridCol w:w="664"/>
        <w:gridCol w:w="1772"/>
        <w:gridCol w:w="6055"/>
      </w:tblGrid>
      <w:tr w:rsidR="00CC4443" w:rsidRPr="001667DB" w14:paraId="4F873744" w14:textId="77777777">
        <w:trPr>
          <w:trHeight w:val="343"/>
        </w:trPr>
        <w:tc>
          <w:tcPr>
            <w:tcW w:w="664" w:type="dxa"/>
            <w:shd w:val="clear" w:color="auto" w:fill="auto"/>
          </w:tcPr>
          <w:p w14:paraId="130E51DC"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1.</w:t>
            </w:r>
          </w:p>
        </w:tc>
        <w:tc>
          <w:tcPr>
            <w:tcW w:w="1772" w:type="dxa"/>
            <w:shd w:val="clear" w:color="auto" w:fill="auto"/>
          </w:tcPr>
          <w:p w14:paraId="27672A0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PN-B-06050</w:t>
            </w:r>
          </w:p>
        </w:tc>
        <w:tc>
          <w:tcPr>
            <w:tcW w:w="6055" w:type="dxa"/>
            <w:shd w:val="clear" w:color="auto" w:fill="auto"/>
          </w:tcPr>
          <w:p w14:paraId="3BC35456"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Roboty ziemne budowlane</w:t>
            </w:r>
          </w:p>
        </w:tc>
      </w:tr>
      <w:tr w:rsidR="00CC4443" w:rsidRPr="001667DB" w14:paraId="39C1AE81" w14:textId="77777777">
        <w:trPr>
          <w:trHeight w:val="343"/>
        </w:trPr>
        <w:tc>
          <w:tcPr>
            <w:tcW w:w="664" w:type="dxa"/>
            <w:shd w:val="clear" w:color="auto" w:fill="auto"/>
          </w:tcPr>
          <w:p w14:paraId="1160053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2.</w:t>
            </w:r>
          </w:p>
        </w:tc>
        <w:tc>
          <w:tcPr>
            <w:tcW w:w="1772" w:type="dxa"/>
            <w:shd w:val="clear" w:color="auto" w:fill="auto"/>
          </w:tcPr>
          <w:p w14:paraId="2BB5F7B0"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PN-B-06250</w:t>
            </w:r>
          </w:p>
        </w:tc>
        <w:tc>
          <w:tcPr>
            <w:tcW w:w="6055" w:type="dxa"/>
            <w:shd w:val="clear" w:color="auto" w:fill="auto"/>
          </w:tcPr>
          <w:p w14:paraId="7EEBDE7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Beton zwykły</w:t>
            </w:r>
          </w:p>
        </w:tc>
      </w:tr>
      <w:tr w:rsidR="00CC4443" w:rsidRPr="001667DB" w14:paraId="44C7D31E" w14:textId="77777777">
        <w:trPr>
          <w:trHeight w:val="343"/>
        </w:trPr>
        <w:tc>
          <w:tcPr>
            <w:tcW w:w="664" w:type="dxa"/>
            <w:shd w:val="clear" w:color="auto" w:fill="auto"/>
          </w:tcPr>
          <w:p w14:paraId="565064B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3.</w:t>
            </w:r>
          </w:p>
        </w:tc>
        <w:tc>
          <w:tcPr>
            <w:tcW w:w="1772" w:type="dxa"/>
            <w:shd w:val="clear" w:color="auto" w:fill="auto"/>
          </w:tcPr>
          <w:p w14:paraId="65341F0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PN-B-06711</w:t>
            </w:r>
          </w:p>
        </w:tc>
        <w:tc>
          <w:tcPr>
            <w:tcW w:w="6055" w:type="dxa"/>
            <w:shd w:val="clear" w:color="auto" w:fill="auto"/>
          </w:tcPr>
          <w:p w14:paraId="1B98823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Kruszywo mineralne. Piasek do betonów i zapraw</w:t>
            </w:r>
          </w:p>
        </w:tc>
      </w:tr>
      <w:tr w:rsidR="00CC4443" w:rsidRPr="001667DB" w14:paraId="6B9BFC3E" w14:textId="77777777">
        <w:trPr>
          <w:trHeight w:val="699"/>
        </w:trPr>
        <w:tc>
          <w:tcPr>
            <w:tcW w:w="664" w:type="dxa"/>
            <w:shd w:val="clear" w:color="auto" w:fill="auto"/>
          </w:tcPr>
          <w:p w14:paraId="40FAF1A7"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4.</w:t>
            </w:r>
          </w:p>
        </w:tc>
        <w:tc>
          <w:tcPr>
            <w:tcW w:w="1772" w:type="dxa"/>
            <w:shd w:val="clear" w:color="auto" w:fill="auto"/>
          </w:tcPr>
          <w:p w14:paraId="76155FA4"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PN-B-10021</w:t>
            </w:r>
          </w:p>
        </w:tc>
        <w:tc>
          <w:tcPr>
            <w:tcW w:w="6055" w:type="dxa"/>
            <w:shd w:val="clear" w:color="auto" w:fill="auto"/>
          </w:tcPr>
          <w:p w14:paraId="2D031DD3"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Prefabrykaty budowlane z betonu. Metody pomiaru cech geometrycznych</w:t>
            </w:r>
          </w:p>
        </w:tc>
      </w:tr>
      <w:tr w:rsidR="00CC4443" w:rsidRPr="001667DB" w14:paraId="2E1054E3" w14:textId="77777777">
        <w:trPr>
          <w:trHeight w:val="699"/>
        </w:trPr>
        <w:tc>
          <w:tcPr>
            <w:tcW w:w="664" w:type="dxa"/>
            <w:shd w:val="clear" w:color="auto" w:fill="auto"/>
          </w:tcPr>
          <w:p w14:paraId="5A28D97F"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5.</w:t>
            </w:r>
          </w:p>
        </w:tc>
        <w:tc>
          <w:tcPr>
            <w:tcW w:w="1772" w:type="dxa"/>
            <w:shd w:val="clear" w:color="auto" w:fill="auto"/>
          </w:tcPr>
          <w:p w14:paraId="6C2CCA74" w14:textId="77777777" w:rsidR="00CC4443" w:rsidRPr="001667DB" w:rsidRDefault="00CC4443" w:rsidP="00577746">
            <w:pPr>
              <w:overflowPunct w:val="0"/>
              <w:autoSpaceDE w:val="0"/>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13242+A1:2010</w:t>
            </w:r>
            <w:r w:rsidRPr="001667DB">
              <w:rPr>
                <w:rFonts w:ascii="Times New Roman" w:hAnsi="Times New Roman" w:cs="Times New Roman"/>
                <w:b/>
                <w:color w:val="000000" w:themeColor="text1"/>
              </w:rPr>
              <w:t xml:space="preserve"> </w:t>
            </w:r>
          </w:p>
        </w:tc>
        <w:tc>
          <w:tcPr>
            <w:tcW w:w="6055" w:type="dxa"/>
            <w:shd w:val="clear" w:color="auto" w:fill="auto"/>
          </w:tcPr>
          <w:p w14:paraId="0D5FC4DF" w14:textId="77777777" w:rsidR="00CC4443" w:rsidRPr="001667DB" w:rsidRDefault="00CC4443" w:rsidP="00577746">
            <w:pPr>
              <w:spacing w:line="240" w:lineRule="auto"/>
              <w:jc w:val="both"/>
              <w:rPr>
                <w:rFonts w:ascii="Times New Roman" w:hAnsi="Times New Roman" w:cs="Times New Roman"/>
                <w:color w:val="000000" w:themeColor="text1"/>
              </w:rPr>
            </w:pPr>
            <w:r w:rsidRPr="001667DB">
              <w:rPr>
                <w:rFonts w:ascii="Times New Roman" w:hAnsi="Times New Roman" w:cs="Times New Roman"/>
                <w:color w:val="000000" w:themeColor="text1"/>
              </w:rPr>
              <w:t xml:space="preserve">Kruszywa do niezwiązanych i związanych hydraulicznie materiałów stosowanych w obiektach budowlanych i budownictwie drogowym </w:t>
            </w:r>
          </w:p>
        </w:tc>
      </w:tr>
      <w:tr w:rsidR="00CC4443" w:rsidRPr="001667DB" w14:paraId="6712DD8E" w14:textId="77777777">
        <w:trPr>
          <w:trHeight w:val="699"/>
        </w:trPr>
        <w:tc>
          <w:tcPr>
            <w:tcW w:w="664" w:type="dxa"/>
            <w:shd w:val="clear" w:color="auto" w:fill="auto"/>
          </w:tcPr>
          <w:p w14:paraId="439552F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6.</w:t>
            </w:r>
          </w:p>
        </w:tc>
        <w:tc>
          <w:tcPr>
            <w:tcW w:w="1772" w:type="dxa"/>
            <w:shd w:val="clear" w:color="auto" w:fill="auto"/>
          </w:tcPr>
          <w:p w14:paraId="529BD685"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PN-B-19701</w:t>
            </w:r>
          </w:p>
        </w:tc>
        <w:tc>
          <w:tcPr>
            <w:tcW w:w="6055" w:type="dxa"/>
            <w:shd w:val="clear" w:color="auto" w:fill="auto"/>
          </w:tcPr>
          <w:p w14:paraId="3F81868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Cement. Cement powszechnego użytku. Skład, wymagania i ocena zgodności</w:t>
            </w:r>
          </w:p>
        </w:tc>
      </w:tr>
      <w:tr w:rsidR="00CC4443" w:rsidRPr="001667DB" w14:paraId="07F9D692" w14:textId="77777777">
        <w:trPr>
          <w:trHeight w:val="699"/>
        </w:trPr>
        <w:tc>
          <w:tcPr>
            <w:tcW w:w="664" w:type="dxa"/>
            <w:shd w:val="clear" w:color="auto" w:fill="auto"/>
          </w:tcPr>
          <w:p w14:paraId="59CA7BBB"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7.</w:t>
            </w:r>
          </w:p>
        </w:tc>
        <w:tc>
          <w:tcPr>
            <w:tcW w:w="1772" w:type="dxa"/>
            <w:shd w:val="clear" w:color="auto" w:fill="auto"/>
          </w:tcPr>
          <w:p w14:paraId="47F9AB65"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BN-80/6775-03/01</w:t>
            </w:r>
          </w:p>
        </w:tc>
        <w:tc>
          <w:tcPr>
            <w:tcW w:w="6055" w:type="dxa"/>
            <w:shd w:val="clear" w:color="auto" w:fill="auto"/>
          </w:tcPr>
          <w:p w14:paraId="50312233"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Prefabrykaty budowlane z betonu. Elementy nawierzchni dróg, ulic, parkingów i torowisk tramwajowych. Wspólne wymagania i badania</w:t>
            </w:r>
          </w:p>
        </w:tc>
      </w:tr>
      <w:tr w:rsidR="00CC4443" w:rsidRPr="001667DB" w14:paraId="15079496" w14:textId="77777777">
        <w:trPr>
          <w:trHeight w:val="795"/>
        </w:trPr>
        <w:tc>
          <w:tcPr>
            <w:tcW w:w="664" w:type="dxa"/>
            <w:shd w:val="clear" w:color="auto" w:fill="auto"/>
          </w:tcPr>
          <w:p w14:paraId="16A962E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8.</w:t>
            </w:r>
          </w:p>
        </w:tc>
        <w:tc>
          <w:tcPr>
            <w:tcW w:w="1772" w:type="dxa"/>
            <w:shd w:val="clear" w:color="auto" w:fill="auto"/>
          </w:tcPr>
          <w:p w14:paraId="7B44E74D"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BN-80/6775-03/04</w:t>
            </w:r>
          </w:p>
        </w:tc>
        <w:tc>
          <w:tcPr>
            <w:tcW w:w="6055" w:type="dxa"/>
            <w:shd w:val="clear" w:color="auto" w:fill="auto"/>
          </w:tcPr>
          <w:p w14:paraId="1D6A6092"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Prefabrykaty budowlane z betonu. Elementy nawierzchni dróg, ulic, parkingów i torowisk tramwajowych. Krawężniki i obrzeża.</w:t>
            </w:r>
          </w:p>
        </w:tc>
      </w:tr>
      <w:tr w:rsidR="00CC4443" w:rsidRPr="001667DB" w14:paraId="12B39C66" w14:textId="77777777">
        <w:trPr>
          <w:trHeight w:val="510"/>
        </w:trPr>
        <w:tc>
          <w:tcPr>
            <w:tcW w:w="664" w:type="dxa"/>
            <w:shd w:val="clear" w:color="auto" w:fill="auto"/>
          </w:tcPr>
          <w:p w14:paraId="5EDC0646"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10</w:t>
            </w:r>
          </w:p>
        </w:tc>
        <w:tc>
          <w:tcPr>
            <w:tcW w:w="1772" w:type="dxa"/>
            <w:shd w:val="clear" w:color="auto" w:fill="auto"/>
          </w:tcPr>
          <w:p w14:paraId="39E985B8"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PN-EN 1340:2004</w:t>
            </w:r>
          </w:p>
        </w:tc>
        <w:tc>
          <w:tcPr>
            <w:tcW w:w="6055" w:type="dxa"/>
            <w:shd w:val="clear" w:color="auto" w:fill="auto"/>
          </w:tcPr>
          <w:p w14:paraId="4EBBB8F6" w14:textId="77777777" w:rsidR="00CC4443" w:rsidRPr="001667DB" w:rsidRDefault="00CC4443" w:rsidP="00577746">
            <w:pPr>
              <w:jc w:val="both"/>
              <w:rPr>
                <w:rFonts w:ascii="Times New Roman" w:hAnsi="Times New Roman" w:cs="Times New Roman"/>
                <w:color w:val="000000" w:themeColor="text1"/>
              </w:rPr>
            </w:pPr>
            <w:r w:rsidRPr="001667DB">
              <w:rPr>
                <w:rFonts w:ascii="Times New Roman" w:hAnsi="Times New Roman" w:cs="Times New Roman"/>
                <w:color w:val="000000" w:themeColor="text1"/>
              </w:rPr>
              <w:t>Krawężniki betonowe- wymagania i metody badań</w:t>
            </w:r>
          </w:p>
        </w:tc>
      </w:tr>
    </w:tbl>
    <w:p w14:paraId="0F839F2B" w14:textId="77777777" w:rsidR="00FB57E4" w:rsidRPr="001667DB" w:rsidRDefault="00FB57E4" w:rsidP="00577746">
      <w:pPr>
        <w:jc w:val="both"/>
        <w:rPr>
          <w:rFonts w:ascii="Times New Roman" w:hAnsi="Times New Roman" w:cs="Times New Roman"/>
          <w:color w:val="000000" w:themeColor="text1"/>
        </w:rPr>
      </w:pPr>
    </w:p>
    <w:p w14:paraId="477DEB3E" w14:textId="77777777" w:rsidR="00FB57E4" w:rsidRPr="001667DB" w:rsidRDefault="00FB57E4">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44B69352" w14:textId="77777777" w:rsidR="00CC4443" w:rsidRPr="001667DB" w:rsidRDefault="00CC4443" w:rsidP="00CC4443">
      <w:pPr>
        <w:overflowPunct w:val="0"/>
        <w:autoSpaceDE w:val="0"/>
        <w:autoSpaceDN w:val="0"/>
        <w:adjustRightInd w:val="0"/>
        <w:spacing w:after="0" w:line="360" w:lineRule="auto"/>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lastRenderedPageBreak/>
        <w:t>D - 09.01.01</w:t>
      </w:r>
      <w:r w:rsidRPr="001667DB">
        <w:rPr>
          <w:rFonts w:ascii="Times New Roman" w:eastAsia="Times New Roman" w:hAnsi="Times New Roman" w:cs="Times New Roman"/>
          <w:b/>
          <w:color w:val="000000" w:themeColor="text1"/>
          <w:lang w:eastAsia="pl-PL"/>
        </w:rPr>
        <w:tab/>
      </w:r>
      <w:r w:rsidRPr="001667DB">
        <w:rPr>
          <w:rFonts w:ascii="Times New Roman" w:eastAsia="Times New Roman" w:hAnsi="Times New Roman" w:cs="Times New Roman"/>
          <w:b/>
          <w:color w:val="000000" w:themeColor="text1"/>
          <w:lang w:eastAsia="pl-PL"/>
        </w:rPr>
        <w:tab/>
        <w:t>ZIELEŃ  DROGOWA </w:t>
      </w:r>
    </w:p>
    <w:p w14:paraId="2B3E9CEA" w14:textId="77777777" w:rsidR="00CC4443" w:rsidRPr="001667DB" w:rsidRDefault="00CC4443" w:rsidP="00CC4443">
      <w:pPr>
        <w:spacing w:after="0" w:line="360" w:lineRule="auto"/>
        <w:rPr>
          <w:rFonts w:ascii="Times New Roman" w:eastAsia="Times New Roman" w:hAnsi="Times New Roman" w:cs="Times New Roman"/>
          <w:color w:val="000000" w:themeColor="text1"/>
          <w:lang w:eastAsia="pl-PL"/>
        </w:rPr>
      </w:pPr>
    </w:p>
    <w:p w14:paraId="1C16749B" w14:textId="77777777" w:rsidR="00CC4443" w:rsidRPr="001667DB" w:rsidRDefault="00CC4443" w:rsidP="00CC4443">
      <w:pPr>
        <w:tabs>
          <w:tab w:val="left" w:pos="2520"/>
        </w:tabs>
        <w:spacing w:after="0" w:line="360" w:lineRule="auto"/>
        <w:rPr>
          <w:rFonts w:ascii="Times New Roman" w:eastAsia="Times New Roman" w:hAnsi="Times New Roman" w:cs="Times New Roman"/>
          <w:b/>
          <w:caps/>
          <w:color w:val="000000" w:themeColor="text1"/>
          <w:kern w:val="28"/>
          <w:lang w:eastAsia="pl-PL"/>
        </w:rPr>
      </w:pPr>
      <w:bookmarkStart w:id="904" w:name="_Toc428677173"/>
      <w:bookmarkStart w:id="905" w:name="_Toc501263799"/>
      <w:r w:rsidRPr="001667DB">
        <w:rPr>
          <w:rFonts w:ascii="Times New Roman" w:eastAsia="Times New Roman" w:hAnsi="Times New Roman" w:cs="Times New Roman"/>
          <w:b/>
          <w:caps/>
          <w:color w:val="000000" w:themeColor="text1"/>
          <w:kern w:val="28"/>
          <w:lang w:eastAsia="pl-PL"/>
        </w:rPr>
        <w:t>1. WSTĘP</w:t>
      </w:r>
      <w:bookmarkEnd w:id="904"/>
      <w:bookmarkEnd w:id="905"/>
      <w:r w:rsidRPr="001667DB">
        <w:rPr>
          <w:rFonts w:ascii="Times New Roman" w:eastAsia="Times New Roman" w:hAnsi="Times New Roman" w:cs="Times New Roman"/>
          <w:b/>
          <w:caps/>
          <w:color w:val="000000" w:themeColor="text1"/>
          <w:kern w:val="28"/>
          <w:lang w:eastAsia="pl-PL"/>
        </w:rPr>
        <w:t xml:space="preserve"> </w:t>
      </w:r>
    </w:p>
    <w:p w14:paraId="24842F9C"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1.1. Przedmiot ST</w:t>
      </w:r>
    </w:p>
    <w:p w14:paraId="7E232A37" w14:textId="77777777" w:rsidR="00CC4443" w:rsidRPr="001667DB" w:rsidRDefault="00CC4443" w:rsidP="00CC4443">
      <w:pPr>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Przedmiotem niniejszej specyfikacji technicznej (ST) są wymagania dotyczące wykonania i odbioru robót związanych z założeniem i pielęgnacją zieleni drogowej w związku z</w:t>
      </w:r>
      <w:r w:rsidRPr="001667DB">
        <w:rPr>
          <w:rFonts w:ascii="Times New Roman" w:eastAsia="Times New Roman" w:hAnsi="Times New Roman" w:cs="Times New Roman"/>
          <w:b/>
          <w:color w:val="000000" w:themeColor="text1"/>
          <w:lang w:eastAsia="pl-PL"/>
        </w:rPr>
        <w:t xml:space="preserve"> </w:t>
      </w:r>
      <w:r w:rsidR="00576B4E" w:rsidRPr="00FD3B41">
        <w:rPr>
          <w:rFonts w:ascii="Times New Roman" w:hAnsi="Times New Roman" w:cs="Times New Roman"/>
          <w:b/>
          <w:color w:val="000000" w:themeColor="text1"/>
        </w:rPr>
        <w:t>„Rozbudowa drogi wojewódzkiej nr 461 w m. Dąbrówka Łubniańska i Łubniany” – Etap I ( km od 9+741,88 do 10+371,13)</w:t>
      </w:r>
    </w:p>
    <w:p w14:paraId="2617892D"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1.2. Zakres stosowania ST</w:t>
      </w:r>
    </w:p>
    <w:p w14:paraId="6FF64D4D" w14:textId="77777777" w:rsidR="00CC4443" w:rsidRPr="001667DB" w:rsidRDefault="00CC4443" w:rsidP="00CC4443">
      <w:pPr>
        <w:overflowPunct w:val="0"/>
        <w:autoSpaceDE w:val="0"/>
        <w:autoSpaceDN w:val="0"/>
        <w:adjustRightInd w:val="0"/>
        <w:spacing w:after="0" w:line="360" w:lineRule="auto"/>
        <w:jc w:val="both"/>
        <w:rPr>
          <w:rFonts w:ascii="Times New Roman" w:hAnsi="Times New Roman" w:cs="Times New Roman"/>
          <w:color w:val="000000" w:themeColor="text1"/>
        </w:rPr>
      </w:pPr>
      <w:r w:rsidRPr="001667DB">
        <w:rPr>
          <w:rFonts w:ascii="Times New Roman" w:eastAsia="Times New Roman" w:hAnsi="Times New Roman" w:cs="Times New Roman"/>
          <w:b/>
          <w:color w:val="000000" w:themeColor="text1"/>
          <w:lang w:eastAsia="pl-PL"/>
        </w:rPr>
        <w:tab/>
      </w:r>
      <w:r w:rsidRPr="001667DB">
        <w:rPr>
          <w:rFonts w:ascii="Times New Roman" w:hAnsi="Times New Roman" w:cs="Times New Roman"/>
          <w:color w:val="000000" w:themeColor="text1"/>
        </w:rPr>
        <w:t>ST jest stosowana jako dokument przetargowy i kontraktowy przy zlecaniu i realizacji robót wymienionych w pkt.1.1.</w:t>
      </w:r>
    </w:p>
    <w:p w14:paraId="57006786"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b/>
          <w:color w:val="000000" w:themeColor="text1"/>
          <w:lang w:eastAsia="pl-PL"/>
        </w:rPr>
      </w:pPr>
    </w:p>
    <w:p w14:paraId="459076E4"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1.3. Zakres robót objętych ST</w:t>
      </w:r>
    </w:p>
    <w:p w14:paraId="522DE24B"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ab/>
      </w:r>
      <w:r w:rsidRPr="001667DB">
        <w:rPr>
          <w:rFonts w:ascii="Times New Roman" w:eastAsia="Times New Roman" w:hAnsi="Times New Roman" w:cs="Times New Roman"/>
          <w:color w:val="000000" w:themeColor="text1"/>
          <w:lang w:eastAsia="pl-PL"/>
        </w:rPr>
        <w:t>Ustalenia zawarte w niniejszej specyfikacji dotyczą zasad prowadzenia robót związanych z:</w:t>
      </w:r>
    </w:p>
    <w:p w14:paraId="454F2C71" w14:textId="77777777" w:rsidR="00CC4443" w:rsidRPr="001667DB" w:rsidRDefault="00A40F62" w:rsidP="00CC4443">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zakładaniem i pielęgnacją trawników na terenie płaskim i na skarpach</w:t>
      </w:r>
    </w:p>
    <w:p w14:paraId="0968B2B0" w14:textId="77777777" w:rsidR="00CC4443" w:rsidRPr="001667DB" w:rsidRDefault="00CC4443" w:rsidP="00CC4443">
      <w:pPr>
        <w:overflowPunct w:val="0"/>
        <w:autoSpaceDE w:val="0"/>
        <w:autoSpaceDN w:val="0"/>
        <w:adjustRightInd w:val="0"/>
        <w:spacing w:after="0" w:line="360" w:lineRule="auto"/>
        <w:ind w:left="283"/>
        <w:jc w:val="both"/>
        <w:rPr>
          <w:rFonts w:ascii="Times New Roman" w:hAnsi="Times New Roman" w:cs="Times New Roman"/>
          <w:color w:val="000000" w:themeColor="text1"/>
        </w:rPr>
      </w:pPr>
      <w:r w:rsidRPr="001667DB">
        <w:rPr>
          <w:rFonts w:ascii="Times New Roman" w:hAnsi="Times New Roman" w:cs="Times New Roman"/>
          <w:color w:val="000000" w:themeColor="text1"/>
        </w:rPr>
        <w:t>Zgodnie z Dokumentacją Projektową</w:t>
      </w:r>
    </w:p>
    <w:p w14:paraId="109BAFEE" w14:textId="77777777" w:rsidR="00CC4443" w:rsidRPr="001667DB" w:rsidRDefault="00CC4443" w:rsidP="00CC4443">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3FB8F475"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1.4. Określenia podstawowe</w:t>
      </w:r>
    </w:p>
    <w:p w14:paraId="358712C8"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1.4.1. Ziemia urodzajna</w:t>
      </w:r>
      <w:r w:rsidRPr="001667DB">
        <w:rPr>
          <w:rFonts w:ascii="Times New Roman" w:eastAsia="Times New Roman" w:hAnsi="Times New Roman" w:cs="Times New Roman"/>
          <w:color w:val="000000" w:themeColor="text1"/>
          <w:lang w:eastAsia="pl-PL"/>
        </w:rPr>
        <w:t xml:space="preserve"> - ziemia posiadająca właściwości zapewniające roślinom prawidłowy rozwój.</w:t>
      </w:r>
    </w:p>
    <w:p w14:paraId="19E85A2D"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1.4.2. Materiał roślinny</w:t>
      </w:r>
      <w:r w:rsidRPr="001667DB">
        <w:rPr>
          <w:rFonts w:ascii="Times New Roman" w:eastAsia="Times New Roman" w:hAnsi="Times New Roman" w:cs="Times New Roman"/>
          <w:color w:val="000000" w:themeColor="text1"/>
          <w:lang w:eastAsia="pl-PL"/>
        </w:rPr>
        <w:t xml:space="preserve"> - sadzonki drzew, krzewów, kwiatów jednorocznych i wieloletnich.</w:t>
      </w:r>
    </w:p>
    <w:p w14:paraId="01D829D2"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1.4.3. Bryła korzeniowa</w:t>
      </w:r>
      <w:r w:rsidRPr="001667DB">
        <w:rPr>
          <w:rFonts w:ascii="Times New Roman" w:eastAsia="Times New Roman" w:hAnsi="Times New Roman" w:cs="Times New Roman"/>
          <w:color w:val="000000" w:themeColor="text1"/>
          <w:lang w:eastAsia="pl-PL"/>
        </w:rPr>
        <w:t xml:space="preserve"> - uformowana przez szkółkowanie bryła ziemi z przerastającymi ją korzeniami rośliny.</w:t>
      </w:r>
    </w:p>
    <w:p w14:paraId="5CC91CFA"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1.4.4. Forma naturalna</w:t>
      </w:r>
      <w:r w:rsidRPr="001667DB">
        <w:rPr>
          <w:rFonts w:ascii="Times New Roman" w:eastAsia="Times New Roman" w:hAnsi="Times New Roman" w:cs="Times New Roman"/>
          <w:color w:val="000000" w:themeColor="text1"/>
          <w:lang w:eastAsia="pl-PL"/>
        </w:rPr>
        <w:t xml:space="preserve"> - forma drzew do zadrzewień zgodna z naturalnymi cechami wzrostu.</w:t>
      </w:r>
    </w:p>
    <w:p w14:paraId="2A698BCD"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1.4.5. Forma pienna</w:t>
      </w:r>
      <w:r w:rsidRPr="001667DB">
        <w:rPr>
          <w:rFonts w:ascii="Times New Roman" w:eastAsia="Times New Roman" w:hAnsi="Times New Roman" w:cs="Times New Roman"/>
          <w:color w:val="000000" w:themeColor="text1"/>
          <w:lang w:eastAsia="pl-PL"/>
        </w:rPr>
        <w:t xml:space="preserve"> - forma drzew i niektórych krzewów sztucznie wytworzona w szkółce z pniami o wysokości od 1,80 do 2,20 m, z wyraźnym nie przyciętym przewodnikiem i uformowaną koroną.</w:t>
      </w:r>
    </w:p>
    <w:p w14:paraId="2E24EDF2"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1.4.6. Forma krzewiasta</w:t>
      </w:r>
      <w:r w:rsidRPr="001667DB">
        <w:rPr>
          <w:rFonts w:ascii="Times New Roman" w:eastAsia="Times New Roman" w:hAnsi="Times New Roman" w:cs="Times New Roman"/>
          <w:color w:val="000000" w:themeColor="text1"/>
          <w:lang w:eastAsia="pl-PL"/>
        </w:rPr>
        <w:t xml:space="preserve"> - forma właściwa dla krzewów lub forma drzewa utworzona w szkółce przez niskie przycięcie przewodnika celem uzyskania wielopędowości.</w:t>
      </w:r>
    </w:p>
    <w:p w14:paraId="59C938C6"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 xml:space="preserve">1.4.7. </w:t>
      </w:r>
      <w:r w:rsidRPr="001667DB">
        <w:rPr>
          <w:rFonts w:ascii="Times New Roman" w:eastAsia="Times New Roman" w:hAnsi="Times New Roman" w:cs="Times New Roman"/>
          <w:color w:val="000000" w:themeColor="text1"/>
          <w:lang w:eastAsia="pl-PL"/>
        </w:rPr>
        <w:t>Pozostałe określenia podstawowe są zgodne z obowiązującymi, odpowiednimi polskimi normami i z definicjami podanymi w ST D-00.00.00 „Wymagania ogólne” pkt 1.4.</w:t>
      </w:r>
    </w:p>
    <w:p w14:paraId="1793F84C"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1.5. Ogólne wymagania dotyczące robót</w:t>
      </w:r>
    </w:p>
    <w:p w14:paraId="22A93276"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wymagania dotyczące robót podano w ST D-00.00.00 „Wymagania ogólne” pkt 1.5.</w:t>
      </w:r>
    </w:p>
    <w:p w14:paraId="50018AD8"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6638603A" w14:textId="77777777" w:rsidR="00CC4443" w:rsidRPr="001667DB" w:rsidRDefault="00CC4443" w:rsidP="00CC4443">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06" w:name="_Toc428243643"/>
      <w:bookmarkStart w:id="907" w:name="_Toc428323648"/>
      <w:bookmarkStart w:id="908" w:name="_Toc428677174"/>
      <w:bookmarkStart w:id="909" w:name="_Toc501263800"/>
      <w:r w:rsidRPr="001667DB">
        <w:rPr>
          <w:rFonts w:ascii="Times New Roman" w:eastAsia="Times New Roman" w:hAnsi="Times New Roman" w:cs="Times New Roman"/>
          <w:b/>
          <w:caps/>
          <w:color w:val="000000" w:themeColor="text1"/>
          <w:kern w:val="28"/>
          <w:lang w:eastAsia="pl-PL"/>
        </w:rPr>
        <w:t>2. MATERIAŁY</w:t>
      </w:r>
      <w:bookmarkEnd w:id="906"/>
      <w:bookmarkEnd w:id="907"/>
      <w:bookmarkEnd w:id="908"/>
      <w:bookmarkEnd w:id="909"/>
    </w:p>
    <w:p w14:paraId="1BD07028"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2.1. Ogólne wymagania dotyczące materiałów</w:t>
      </w:r>
    </w:p>
    <w:p w14:paraId="266B7544"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wymagania dotyczące materiałów, ich pozyskiwania i składowania, podano w ST D-00.00.00 „Wymagania ogólne” pkt 2.</w:t>
      </w:r>
    </w:p>
    <w:p w14:paraId="037E772A"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lastRenderedPageBreak/>
        <w:t>2.2. Ziemia urodzajna</w:t>
      </w:r>
    </w:p>
    <w:p w14:paraId="25AE4859"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Ziemia urodzajna, w zależności od miejsca pozyskania, powinna posiadać następujące charakterystyki:</w:t>
      </w:r>
    </w:p>
    <w:p w14:paraId="2A1A39C0" w14:textId="77777777" w:rsidR="00CC4443" w:rsidRPr="001667DB" w:rsidRDefault="00A40F62" w:rsidP="00CC4443">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ziemia rodzima - powinna być zdjęta przed rozpoczęciem robót budowlanych i zmagazynowana w pryzmach nie przekraczających 2 m wysokości,</w:t>
      </w:r>
    </w:p>
    <w:p w14:paraId="4B26562A" w14:textId="77777777" w:rsidR="00CC4443" w:rsidRPr="001667DB" w:rsidRDefault="00A40F62" w:rsidP="00CC4443">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ziemia pozyskana w innym miejscu i dostarczona na plac budowy - nie może być zagruzowana, przerośnięta korzeniami, zasolona lub zanieczyszczona chemicznie.</w:t>
      </w:r>
    </w:p>
    <w:p w14:paraId="18C453D0"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2.3. Ziemia kompostowa</w:t>
      </w:r>
    </w:p>
    <w:p w14:paraId="3ED02223"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Do nawożenia gleby mogą być stosowane komposty, powstające w wyniku rozkładu różnych odpadków roślinnych i zwierzęcych (np. torfu, fekaliów, kory drzewnej, chwastów, plewów), przy kompostowaniu ich na otwartym powietrzu w pryzmach, w sposób i w warunkach zapewniających utrzymanie wymaganych cech i wskaźników jakości kompostu.</w:t>
      </w:r>
    </w:p>
    <w:p w14:paraId="51BA6ECF"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Kompost fekaliowo-torfowy - wyrób uzyskuje się przez kompostowanie torfu z fekaliami i ściekami bytowymi z osadników, z osiedli mieszkaniowych.</w:t>
      </w:r>
    </w:p>
    <w:p w14:paraId="7839C9B9"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Kompost fekalowo-torfowy powinien odpowiadać wymaganiom BN-73/0522-01 [5], a torf użyty jako komponent do wyrobu kompostu - PN-G-98011 [1].</w:t>
      </w:r>
    </w:p>
    <w:p w14:paraId="5BFCA5D5"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 xml:space="preserve"> </w:t>
      </w:r>
      <w:r w:rsidRPr="001667DB">
        <w:rPr>
          <w:rFonts w:ascii="Times New Roman" w:eastAsia="Times New Roman" w:hAnsi="Times New Roman" w:cs="Times New Roman"/>
          <w:color w:val="000000" w:themeColor="text1"/>
          <w:lang w:eastAsia="pl-PL"/>
        </w:rPr>
        <w:tab/>
        <w:t>Kompost z kory drzewnej - wyrób uzyskuje się przez kompostowanie kory zmieszanej z mocznikiem i osadami z oczyszczalni ścieków pocelulozowych, przez okres około 3-ch miesięcy. Kompost z kory sosnowej może być stosowany jako nawóz organiczny przy przygotowaniu gleby pod zieleń w okresie jesieni, przez zmieszanie kompostu z glebą.</w:t>
      </w:r>
    </w:p>
    <w:p w14:paraId="0672BE50"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2.4. Materiał roślinny sadzeniowy</w:t>
      </w:r>
    </w:p>
    <w:p w14:paraId="7AFBC60C"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 xml:space="preserve">2.4.1. </w:t>
      </w:r>
      <w:r w:rsidRPr="001667DB">
        <w:rPr>
          <w:rFonts w:ascii="Times New Roman" w:eastAsia="Times New Roman" w:hAnsi="Times New Roman" w:cs="Times New Roman"/>
          <w:color w:val="000000" w:themeColor="text1"/>
          <w:lang w:eastAsia="pl-PL"/>
        </w:rPr>
        <w:t>Drzewa i krzewy</w:t>
      </w:r>
    </w:p>
    <w:p w14:paraId="27E9A309"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Dostarczone sadzonki powinny być zgodne z normą PN-R-67023 [3] i PN-R-67022 [2], właściwie oznaczone, tzn. muszą mieć etykiety, na których podana jest nazwa łacińska, forma, wybór, wysokość pnia, numer normy.</w:t>
      </w:r>
    </w:p>
    <w:p w14:paraId="492060AB"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Sadzonki drzew i krzewów powinny być prawidłowo uformowane z zachowaniem pokroju charakterystycznego dla gatunku i odmiany oraz posiadać następujące cechy:</w:t>
      </w:r>
    </w:p>
    <w:p w14:paraId="7A295623"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pąk szczytowy przewodnika powinien być wyraźnie uformowany,</w:t>
      </w:r>
    </w:p>
    <w:p w14:paraId="1EDA6AA3"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przyrost ostatniego roku powinien wyraźnie i prosto przedłużać przewodnik,</w:t>
      </w:r>
    </w:p>
    <w:p w14:paraId="3C39B4AD"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system korzeniowy powinien być skupiony i prawidłowo rozwinięty, na korzeniach szkieletowych powinny występować liczne korzenie drobne,</w:t>
      </w:r>
    </w:p>
    <w:p w14:paraId="0CD512F0"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u roślin sadzonych z bryłą korzeniową, np. drzew i krzewów iglastych, bryła korzeniowa powinna być prawidłowo uformowana i nie uszkodzona,</w:t>
      </w:r>
    </w:p>
    <w:p w14:paraId="65443C9B"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pędy korony u drzew i krzewów nie powinny być przycięte, chyba że jest to cięcie formujące, np. u form kulistych,</w:t>
      </w:r>
    </w:p>
    <w:p w14:paraId="05D5E1BA"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pędy boczne korony drzewa powinny być równomiernie rozmieszczone,</w:t>
      </w:r>
    </w:p>
    <w:p w14:paraId="794140C2"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przewodnik powinien być praktycznie prosty,</w:t>
      </w:r>
    </w:p>
    <w:p w14:paraId="575E486A"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lastRenderedPageBreak/>
        <w:t xml:space="preserve"> blizny na przewodniku powinny być dobrze zarośnięte, dopuszcza się 4 niecałkowicie zarośnięte blizny na przewodniku w II wyborze, u form naturalnych drzew.</w:t>
      </w:r>
    </w:p>
    <w:p w14:paraId="570CE0C0"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Wady niedopuszczalne:</w:t>
      </w:r>
    </w:p>
    <w:p w14:paraId="24170237"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silne uszkodzenia mechaniczne roślin,</w:t>
      </w:r>
    </w:p>
    <w:p w14:paraId="21BCB101"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odrosty podkładki poniżej miejsca szczepienia,</w:t>
      </w:r>
    </w:p>
    <w:p w14:paraId="5EDF2F9B"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ślady żerowania szkodników,</w:t>
      </w:r>
    </w:p>
    <w:p w14:paraId="333228A6"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oznaki chorobowe,</w:t>
      </w:r>
    </w:p>
    <w:p w14:paraId="264E2BE4"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zwiędnięcie i pomarszczenie kory na korzeniach i częściach naziemnych,</w:t>
      </w:r>
    </w:p>
    <w:p w14:paraId="1FF69D86"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martwice i pęknięcia kory,</w:t>
      </w:r>
    </w:p>
    <w:p w14:paraId="5305F366"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uszkodzenie pąka szczytowego przewodnika,</w:t>
      </w:r>
    </w:p>
    <w:p w14:paraId="2657621A"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dwupędowe korony drzew formy piennej,</w:t>
      </w:r>
    </w:p>
    <w:p w14:paraId="015B5551"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uszkodzenie lub przesuszenie bryły korzeniowej,</w:t>
      </w:r>
    </w:p>
    <w:p w14:paraId="27E4BE0C" w14:textId="77777777" w:rsidR="00CC4443" w:rsidRPr="001667DB" w:rsidRDefault="00CC4443" w:rsidP="00904E6C">
      <w:pPr>
        <w:pStyle w:val="Akapitzlist"/>
        <w:numPr>
          <w:ilvl w:val="0"/>
          <w:numId w:val="346"/>
        </w:numPr>
        <w:spacing w:line="360" w:lineRule="auto"/>
        <w:rPr>
          <w:color w:val="000000" w:themeColor="text1"/>
          <w:sz w:val="22"/>
          <w:szCs w:val="22"/>
        </w:rPr>
      </w:pPr>
      <w:r w:rsidRPr="001667DB">
        <w:rPr>
          <w:color w:val="000000" w:themeColor="text1"/>
          <w:sz w:val="22"/>
          <w:szCs w:val="22"/>
        </w:rPr>
        <w:t xml:space="preserve"> złe zrośnięcie odmiany szczepionej z podkładką.</w:t>
      </w:r>
    </w:p>
    <w:p w14:paraId="0D5B9FFD"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2.4. Nasiona traw</w:t>
      </w:r>
    </w:p>
    <w:p w14:paraId="0F1572C9"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Nasiona traw najczęściej występują w postaci gotowych mieszanek z nasion różnych gatunków.</w:t>
      </w:r>
    </w:p>
    <w:p w14:paraId="44E137E3"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Gotowa mieszanka traw powinna mieć oznaczony procentowy skład gatunkowy, klasę, numer normy wg której została wyprodukowana, zdolność kiełkowania.</w:t>
      </w:r>
    </w:p>
    <w:p w14:paraId="0F29DDC4"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2.5. Nawozy mineralne</w:t>
      </w:r>
    </w:p>
    <w:p w14:paraId="542D5F59"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Nawozy mineralne powinny być w opakowaniu, z podanym składem chemicznym (zawartość azotu, fosforu, potasu - N.P.). Nawozy należy zabezpieczyć przed zawilgoceniem i zbryleniem w czasie transportu i przechowywania.</w:t>
      </w:r>
    </w:p>
    <w:p w14:paraId="6BAFCD8B"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526D4322"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10" w:name="_Toc428677175"/>
      <w:bookmarkStart w:id="911" w:name="_Toc501263801"/>
      <w:r w:rsidRPr="001667DB">
        <w:rPr>
          <w:rFonts w:ascii="Times New Roman" w:eastAsia="Times New Roman" w:hAnsi="Times New Roman" w:cs="Times New Roman"/>
          <w:b/>
          <w:caps/>
          <w:color w:val="000000" w:themeColor="text1"/>
          <w:kern w:val="28"/>
          <w:lang w:eastAsia="pl-PL"/>
        </w:rPr>
        <w:t>3. sprzęt</w:t>
      </w:r>
      <w:bookmarkEnd w:id="910"/>
      <w:bookmarkEnd w:id="911"/>
    </w:p>
    <w:p w14:paraId="44B55016"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3.1. Ogólne wymagania dotyczące sprzętu</w:t>
      </w:r>
    </w:p>
    <w:p w14:paraId="7ACE2292"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wymagania dotyczące sprzętu podano w ST D-00.00.00 „Wymagania ogólne” pkt 3.</w:t>
      </w:r>
    </w:p>
    <w:p w14:paraId="51113F49"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3.2. Sprzęt stosowany do wykonania zieleni drogowej</w:t>
      </w:r>
    </w:p>
    <w:p w14:paraId="1DB5C44A"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Wykonawca przystępujący do wykonania zieleni drogowej powinien wykazać się możliwością korzystania z następującego sprzętu:</w:t>
      </w:r>
    </w:p>
    <w:p w14:paraId="61380C85"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glebogryzarek, pługów, kultywatorów, bron do uprawy gleby,</w:t>
      </w:r>
    </w:p>
    <w:p w14:paraId="3E4528A7"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wału kolczatki oraz wału gładkiego do zakładania trawników,</w:t>
      </w:r>
    </w:p>
    <w:p w14:paraId="7E355C71"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kosiarki mechanicznej do pielęgnacji trawników,</w:t>
      </w:r>
    </w:p>
    <w:p w14:paraId="602849B8"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sprzętu do pozyskiwania ziemi urodzajnej (np. spycharki gąsiennicowej, koparki),</w:t>
      </w:r>
    </w:p>
    <w:p w14:paraId="04A0FCA0"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 ponadto do pielęgnacji zadrzewień:</w:t>
      </w:r>
    </w:p>
    <w:p w14:paraId="2F08455E"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pił mechanicznych i ręcznych,</w:t>
      </w:r>
    </w:p>
    <w:p w14:paraId="6B59E650"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drabin,</w:t>
      </w:r>
    </w:p>
    <w:p w14:paraId="72E5699F"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podnośników hydraulicznych.</w:t>
      </w:r>
    </w:p>
    <w:p w14:paraId="6611DB97" w14:textId="77777777" w:rsidR="00CC4443" w:rsidRPr="001667DB" w:rsidRDefault="00CC4443"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5622202C"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12" w:name="_Toc428677176"/>
      <w:bookmarkStart w:id="913" w:name="_Toc501263802"/>
      <w:r w:rsidRPr="001667DB">
        <w:rPr>
          <w:rFonts w:ascii="Times New Roman" w:eastAsia="Times New Roman" w:hAnsi="Times New Roman" w:cs="Times New Roman"/>
          <w:b/>
          <w:caps/>
          <w:color w:val="000000" w:themeColor="text1"/>
          <w:kern w:val="28"/>
          <w:lang w:eastAsia="pl-PL"/>
        </w:rPr>
        <w:lastRenderedPageBreak/>
        <w:t>4. transport</w:t>
      </w:r>
      <w:bookmarkEnd w:id="912"/>
      <w:bookmarkEnd w:id="913"/>
    </w:p>
    <w:p w14:paraId="76391C89"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4.1. Ogólne wymagania dotyczące transportu</w:t>
      </w:r>
    </w:p>
    <w:p w14:paraId="0808AAD6"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wymagania dotyczące transportu podano w ST D-00.00.00 „Wymagania ogólne” pkt 4.</w:t>
      </w:r>
    </w:p>
    <w:p w14:paraId="4F8E78FB"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4.2. Transport materiałów do wykonania nasadzeń</w:t>
      </w:r>
    </w:p>
    <w:p w14:paraId="27C41997" w14:textId="77777777" w:rsidR="00CC4443" w:rsidRPr="001667DB" w:rsidRDefault="00CC4443" w:rsidP="00577746">
      <w:pPr>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Transport materiałów do zieleni drogowej może być dowolny pod warunkiem, że nie uszkodzi, ani też nie pogorszy jakości transportowanych materiałów.</w:t>
      </w:r>
    </w:p>
    <w:p w14:paraId="2916789E"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W czasie transportu drzewa i krzewy muszą być zabezpieczone przed uszkodzeniem bryły korzeniowej lub korzeni i pędów. Rośliny z bryłą korzeniową muszą mieć opakowane bryły korzeniowe lub być w pojemnikach.</w:t>
      </w:r>
    </w:p>
    <w:p w14:paraId="5E1E192B"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Drzewa i krzewy mogą być przewożone wszystkimi środkami transportowymi. W czasie transportu należy zabezpieczyć je przed wyschnięciem i przemarznięciem. Drzewa i krzewy po dostarczeniu na miejsce przeznaczenia powinny być natychmiast sadzone. Jeśli jest to niemożliwe, należy je zadołować w miejscu ocienionym i nieprzewiewnym, a w razie suszy podlewać.</w:t>
      </w:r>
    </w:p>
    <w:p w14:paraId="43B8634F"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13C69BA1"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14" w:name="_Toc428677177"/>
      <w:bookmarkStart w:id="915" w:name="_Toc501263803"/>
      <w:r w:rsidRPr="001667DB">
        <w:rPr>
          <w:rFonts w:ascii="Times New Roman" w:eastAsia="Times New Roman" w:hAnsi="Times New Roman" w:cs="Times New Roman"/>
          <w:b/>
          <w:caps/>
          <w:color w:val="000000" w:themeColor="text1"/>
          <w:kern w:val="28"/>
          <w:lang w:eastAsia="pl-PL"/>
        </w:rPr>
        <w:t>5. wykonanie robót</w:t>
      </w:r>
      <w:bookmarkEnd w:id="914"/>
      <w:bookmarkEnd w:id="915"/>
    </w:p>
    <w:p w14:paraId="454D1F5E"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5.1. Ogólne zasady wykonania robót</w:t>
      </w:r>
    </w:p>
    <w:p w14:paraId="3AB9359C"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zasady wykonania robót podano w ST D-00.00.00 „Wymagania ogólne” pkt 5.</w:t>
      </w:r>
    </w:p>
    <w:p w14:paraId="6E4A810E"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5.2. Trawniki</w:t>
      </w:r>
    </w:p>
    <w:p w14:paraId="3B45D8B1"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 xml:space="preserve">5.2.1. </w:t>
      </w:r>
      <w:r w:rsidRPr="001667DB">
        <w:rPr>
          <w:rFonts w:ascii="Times New Roman" w:eastAsia="Times New Roman" w:hAnsi="Times New Roman" w:cs="Times New Roman"/>
          <w:color w:val="000000" w:themeColor="text1"/>
          <w:lang w:eastAsia="pl-PL"/>
        </w:rPr>
        <w:t>Wymagania dotyczące wykonania trawników</w:t>
      </w:r>
    </w:p>
    <w:p w14:paraId="0196D9A4"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Wymagania dotyczące wykonania robót związanych z trawnikami są następujące:</w:t>
      </w:r>
    </w:p>
    <w:p w14:paraId="13282C2B"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teren pod trawniki musi być oczyszczony z gruzu i zanieczyszczeń,</w:t>
      </w:r>
    </w:p>
    <w:p w14:paraId="07331AF5"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przy wymianie gruntu rodzimego na ziemię urodzajną teren powinien być obniżony w stosunku do gazonów lub krawężników o ok. 15 cm - jest to miejsce na ziemię urodzajną (ok. 10 cm) i kompost (ok. 2 do 3 cm),</w:t>
      </w:r>
    </w:p>
    <w:p w14:paraId="4E9DE3DC"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przy zakładaniu trawników na gruncie rodzimym krawężnik powinien znajdować się 2 do 3 cm nad terenem,</w:t>
      </w:r>
    </w:p>
    <w:p w14:paraId="1A3B4F9F"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teren powinien być wyrównany i splantowany,</w:t>
      </w:r>
    </w:p>
    <w:p w14:paraId="706A36B7"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ziemia urodzajna powinna być rozścielona równą warstwą i wymieszana z kompostem, nawozami mineralnymi oraz starannie wyrównana,</w:t>
      </w:r>
    </w:p>
    <w:p w14:paraId="35C1EDE9"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przed siewem nasion trawy ziemię należy wałować wałem gładkim, a potem wałem - kolczatką lub zagrabić,</w:t>
      </w:r>
    </w:p>
    <w:p w14:paraId="6BD0DEFB"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siew powinien być dokonany w dni bezwietrzne,</w:t>
      </w:r>
    </w:p>
    <w:p w14:paraId="47072D22"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okres siania - najlepszy okres wiosenny, najpóźniej do połowy września,</w:t>
      </w:r>
    </w:p>
    <w:p w14:paraId="795B4531"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na terenie płaskim nasiona traw wysiewane są w ilości od 1 do 4 kg na 100 m</w:t>
      </w:r>
      <w:r w:rsidR="00CC4443" w:rsidRPr="001667DB">
        <w:rPr>
          <w:rFonts w:ascii="Times New Roman" w:eastAsia="Times New Roman" w:hAnsi="Times New Roman" w:cs="Times New Roman"/>
          <w:color w:val="000000" w:themeColor="text1"/>
          <w:vertAlign w:val="superscript"/>
          <w:lang w:eastAsia="pl-PL"/>
        </w:rPr>
        <w:t>2</w:t>
      </w:r>
      <w:r w:rsidR="00CC4443" w:rsidRPr="001667DB">
        <w:rPr>
          <w:rFonts w:ascii="Times New Roman" w:eastAsia="Times New Roman" w:hAnsi="Times New Roman" w:cs="Times New Roman"/>
          <w:color w:val="000000" w:themeColor="text1"/>
          <w:lang w:eastAsia="pl-PL"/>
        </w:rPr>
        <w:t>, chyba że ST przewiduje inaczej,</w:t>
      </w:r>
    </w:p>
    <w:p w14:paraId="3D7A72D2"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na skarpach nasiona traw wysiewane są w ilości 4 kg na 100 m</w:t>
      </w:r>
      <w:r w:rsidR="00CC4443" w:rsidRPr="001667DB">
        <w:rPr>
          <w:rFonts w:ascii="Times New Roman" w:eastAsia="Times New Roman" w:hAnsi="Times New Roman" w:cs="Times New Roman"/>
          <w:color w:val="000000" w:themeColor="text1"/>
          <w:vertAlign w:val="superscript"/>
          <w:lang w:eastAsia="pl-PL"/>
        </w:rPr>
        <w:t>2</w:t>
      </w:r>
      <w:r w:rsidR="00CC4443" w:rsidRPr="001667DB">
        <w:rPr>
          <w:rFonts w:ascii="Times New Roman" w:eastAsia="Times New Roman" w:hAnsi="Times New Roman" w:cs="Times New Roman"/>
          <w:color w:val="000000" w:themeColor="text1"/>
          <w:lang w:eastAsia="pl-PL"/>
        </w:rPr>
        <w:t>, chyba że ST przewiduje inaczej,</w:t>
      </w:r>
    </w:p>
    <w:p w14:paraId="1D93AC3F"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przykrycie nasion - przez przemieszanie z ziemią grabiami lub wałem kolczatką,</w:t>
      </w:r>
    </w:p>
    <w:p w14:paraId="4543AB14"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lastRenderedPageBreak/>
        <w:t>-</w:t>
      </w:r>
      <w:r w:rsidR="00CC4443" w:rsidRPr="001667DB">
        <w:rPr>
          <w:rFonts w:ascii="Times New Roman" w:eastAsia="Times New Roman" w:hAnsi="Times New Roman" w:cs="Times New Roman"/>
          <w:color w:val="000000" w:themeColor="text1"/>
          <w:lang w:eastAsia="pl-PL"/>
        </w:rPr>
        <w:t>      po wysiewie nasion ziemia powinna być wałowana lekkim wałem w celu ostatecznego wyrównania i stworzenia dobrych warunków dla podsiąkania wody. Jeżeli przykrycie nasion nastąpiło przez wałowanie kolczatką, można już nie stosować wału gładkiego,</w:t>
      </w:r>
    </w:p>
    <w:p w14:paraId="5006EEF6"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mieszanka nasion trawnikowych może być gotowa lub wykonana wg składu podanego w ST.</w:t>
      </w:r>
    </w:p>
    <w:p w14:paraId="350A4542"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 xml:space="preserve">5.2.2. </w:t>
      </w:r>
      <w:r w:rsidRPr="001667DB">
        <w:rPr>
          <w:rFonts w:ascii="Times New Roman" w:eastAsia="Times New Roman" w:hAnsi="Times New Roman" w:cs="Times New Roman"/>
          <w:color w:val="000000" w:themeColor="text1"/>
          <w:lang w:eastAsia="pl-PL"/>
        </w:rPr>
        <w:t>Pielęgnacja trawników</w:t>
      </w:r>
    </w:p>
    <w:p w14:paraId="660FD269"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Najważniejszym zabiegiem w pielęgnacji trawników jest koszenie:</w:t>
      </w:r>
    </w:p>
    <w:p w14:paraId="0807F365"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pierwsze koszenie powinno być przeprowadzone, gdy trawa osiągnie wysokość około  10 cm,</w:t>
      </w:r>
    </w:p>
    <w:p w14:paraId="341116B9"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następne koszenia powinny się odbywać w takich odstępach czasu, aby wysokość trawy przed kolejnym koszeniem nie przekraczała wysokości 10 do 12 cm,</w:t>
      </w:r>
    </w:p>
    <w:p w14:paraId="0EA1976B"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ostatnie, przedzimowe koszenie trawników powinno być wykonane z 1-miesięcznym wyprzedzeniem spodziewanego nastania mrozów (dla warunków klimatycznych Polski można przyjąć pierwszą połowę października),</w:t>
      </w:r>
    </w:p>
    <w:p w14:paraId="683AA009"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koszenia trawników w całym okresie pielęgnacji powinny się odbywać często i w regularnych odstępach czasu, przy czym częstość koszenia i wysokość cięcia, należy uzależniać od gatunku wysianej trawy,</w:t>
      </w:r>
    </w:p>
    <w:p w14:paraId="2C1A7401"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chwasty trwałe w pierwszym okresie należy usuwać ręcznie; środki chwastobójcze o selektywnym działaniu należy stosować z dużą ostrożnością i dopiero po okresie 6 miesięcy od założenia trawnika.</w:t>
      </w:r>
    </w:p>
    <w:p w14:paraId="0DE11213"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Trawniki wymagają nawożenia mineralnego - około 3 kg NPK na 1 ar w ciągu roku. Mieszanki nawozów należy przygotowywać tak, aby trawom zapewnić składniki wymagane w poszczególnych porach roku:</w:t>
      </w:r>
    </w:p>
    <w:p w14:paraId="0E7F0FDD"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wiosną, trawnik wymaga mieszanki z przewagą azotu,</w:t>
      </w:r>
    </w:p>
    <w:p w14:paraId="3B904429"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od połowy lata należy ograniczyć azot, zwiększając dawki potasu i fosforu,</w:t>
      </w:r>
    </w:p>
    <w:p w14:paraId="2893BF8C" w14:textId="77777777" w:rsidR="00CC4443" w:rsidRPr="001667DB" w:rsidRDefault="00577746"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Pr>
          <w:rFonts w:ascii="Times New Roman" w:eastAsia="Times New Roman" w:hAnsi="Times New Roman" w:cs="Times New Roman"/>
          <w:color w:val="000000" w:themeColor="text1"/>
          <w:lang w:eastAsia="pl-PL"/>
        </w:rPr>
        <w:t>-</w:t>
      </w:r>
      <w:r w:rsidR="00CC4443" w:rsidRPr="001667DB">
        <w:rPr>
          <w:rFonts w:ascii="Times New Roman" w:eastAsia="Times New Roman" w:hAnsi="Times New Roman" w:cs="Times New Roman"/>
          <w:color w:val="000000" w:themeColor="text1"/>
          <w:lang w:eastAsia="pl-PL"/>
        </w:rPr>
        <w:t>      ostatnie nawożenie nie powinno zawierać azotu, lecz tylko fosfor i potas.</w:t>
      </w:r>
    </w:p>
    <w:p w14:paraId="472831DB" w14:textId="77777777" w:rsidR="00CC4443" w:rsidRPr="001667DB" w:rsidRDefault="00CC4443"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6C0D69C9"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b/>
          <w:color w:val="000000" w:themeColor="text1"/>
          <w:lang w:eastAsia="pl-PL"/>
        </w:rPr>
        <w:t xml:space="preserve">5.3.6. </w:t>
      </w:r>
      <w:r w:rsidRPr="001667DB">
        <w:rPr>
          <w:rFonts w:ascii="Times New Roman" w:eastAsia="Times New Roman" w:hAnsi="Times New Roman" w:cs="Times New Roman"/>
          <w:color w:val="000000" w:themeColor="text1"/>
          <w:lang w:eastAsia="pl-PL"/>
        </w:rPr>
        <w:t>Zabezpieczenie drzew podczas budowy</w:t>
      </w:r>
    </w:p>
    <w:p w14:paraId="59A02BF2"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W czasie trwania budowy lub przebudowy dróg, ulic, placów, parkingów itp. w sąsiedztwie istniejących drzew, następuje pogorszenie warunków glebowych, co niekorzystnie wpływa na wzrost i rozwój tych drzew.</w:t>
      </w:r>
    </w:p>
    <w:p w14:paraId="70C2BA5A"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Jeżeli istniejące drzewa nie będą wycinane lub przesadzane, to w ST powinny być określone warunki zabezpieczenia drzew na czas trwania budowy oraz po wykonaniu tych robót.</w:t>
      </w:r>
    </w:p>
    <w:p w14:paraId="79740DEC"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7447010E"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16" w:name="_Toc428677178"/>
      <w:bookmarkStart w:id="917" w:name="_Toc501263804"/>
      <w:r w:rsidRPr="001667DB">
        <w:rPr>
          <w:rFonts w:ascii="Times New Roman" w:eastAsia="Times New Roman" w:hAnsi="Times New Roman" w:cs="Times New Roman"/>
          <w:b/>
          <w:caps/>
          <w:color w:val="000000" w:themeColor="text1"/>
          <w:kern w:val="28"/>
          <w:lang w:eastAsia="pl-PL"/>
        </w:rPr>
        <w:t>6. kontrola jakości robót</w:t>
      </w:r>
      <w:bookmarkEnd w:id="916"/>
      <w:bookmarkEnd w:id="917"/>
    </w:p>
    <w:p w14:paraId="63006CB2"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6.1. Ogólne zasady kontroli jakości robót</w:t>
      </w:r>
    </w:p>
    <w:p w14:paraId="2256D72F"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zasady kontroli jakości robót podano w ST D-00.00.00 „Wymagania ogólne” pkt 6.</w:t>
      </w:r>
    </w:p>
    <w:p w14:paraId="7889FCD7"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6.2. Trawniki</w:t>
      </w:r>
    </w:p>
    <w:p w14:paraId="60B5AAFB"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Kontrola w czasie wykonywania trawników polega na sprawdzeniu:</w:t>
      </w:r>
    </w:p>
    <w:p w14:paraId="346D4829"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lastRenderedPageBreak/>
        <w:t>      oczyszczenia terenu z gruzu i zanieczyszczeń,</w:t>
      </w:r>
    </w:p>
    <w:p w14:paraId="5F7612BA"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określenia ilości zanieczyszczeń (w m</w:t>
      </w:r>
      <w:r w:rsidRPr="001667DB">
        <w:rPr>
          <w:color w:val="000000" w:themeColor="text1"/>
          <w:sz w:val="22"/>
          <w:szCs w:val="22"/>
          <w:vertAlign w:val="superscript"/>
        </w:rPr>
        <w:t>3</w:t>
      </w:r>
      <w:r w:rsidRPr="001667DB">
        <w:rPr>
          <w:color w:val="000000" w:themeColor="text1"/>
          <w:sz w:val="22"/>
          <w:szCs w:val="22"/>
        </w:rPr>
        <w:t>),</w:t>
      </w:r>
    </w:p>
    <w:p w14:paraId="4FB94E80"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pomiaru odległości wywozu zanieczyszczeń na zwałkę,</w:t>
      </w:r>
    </w:p>
    <w:p w14:paraId="130551AE"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wymiany gleby jałowej na ziemię urodzajną z kontrolą grubości warstwy rozścielonej ziemi,</w:t>
      </w:r>
    </w:p>
    <w:p w14:paraId="4E1B3722"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ilości rozrzuconego kompostu,</w:t>
      </w:r>
    </w:p>
    <w:p w14:paraId="051EF2AA"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prawidłowego uwałowania terenu,</w:t>
      </w:r>
    </w:p>
    <w:p w14:paraId="0F501909"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zgodności składu gotowej mieszanki traw z ustaleniami dokumentacji projektowej,</w:t>
      </w:r>
    </w:p>
    <w:p w14:paraId="0EDD275E"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gęstości zasiewu nasion,</w:t>
      </w:r>
    </w:p>
    <w:p w14:paraId="553C045C" w14:textId="77777777" w:rsidR="00CC4443" w:rsidRPr="001667DB" w:rsidRDefault="00FE247A"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xml:space="preserve"> </w:t>
      </w:r>
      <w:r w:rsidR="00CC4443" w:rsidRPr="001667DB">
        <w:rPr>
          <w:color w:val="000000" w:themeColor="text1"/>
          <w:sz w:val="22"/>
          <w:szCs w:val="22"/>
        </w:rPr>
        <w:t>     prawidłowej częstotliwości koszenia trawników i ich odchwaszczania,</w:t>
      </w:r>
    </w:p>
    <w:p w14:paraId="7A8014A3"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okresów podlewania, zwłaszcza podczas suszy,</w:t>
      </w:r>
    </w:p>
    <w:p w14:paraId="1EA49B8A" w14:textId="77777777" w:rsidR="00CC4443" w:rsidRPr="001667DB" w:rsidRDefault="00CC4443" w:rsidP="00904E6C">
      <w:pPr>
        <w:pStyle w:val="Akapitzlist"/>
        <w:numPr>
          <w:ilvl w:val="0"/>
          <w:numId w:val="348"/>
        </w:numPr>
        <w:spacing w:line="360" w:lineRule="auto"/>
        <w:rPr>
          <w:color w:val="000000" w:themeColor="text1"/>
          <w:sz w:val="22"/>
          <w:szCs w:val="22"/>
        </w:rPr>
      </w:pPr>
      <w:r w:rsidRPr="001667DB">
        <w:rPr>
          <w:color w:val="000000" w:themeColor="text1"/>
          <w:sz w:val="22"/>
          <w:szCs w:val="22"/>
        </w:rPr>
        <w:t>      dosiewania płaszczyzn trawników o zbyt małej gęstości wykiełkowanych ździebeł trawy.</w:t>
      </w:r>
    </w:p>
    <w:p w14:paraId="2BEFCD62"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Kontrola robót przy odbiorze trawników dotyczy:</w:t>
      </w:r>
    </w:p>
    <w:p w14:paraId="29A6F0AF" w14:textId="77777777" w:rsidR="00CC4443" w:rsidRPr="001667DB" w:rsidRDefault="00CC4443" w:rsidP="00904E6C">
      <w:pPr>
        <w:pStyle w:val="Akapitzlist"/>
        <w:numPr>
          <w:ilvl w:val="0"/>
          <w:numId w:val="349"/>
        </w:numPr>
        <w:spacing w:line="360" w:lineRule="auto"/>
        <w:rPr>
          <w:color w:val="000000" w:themeColor="text1"/>
          <w:sz w:val="22"/>
          <w:szCs w:val="22"/>
        </w:rPr>
      </w:pPr>
      <w:r w:rsidRPr="001667DB">
        <w:rPr>
          <w:color w:val="000000" w:themeColor="text1"/>
          <w:sz w:val="22"/>
          <w:szCs w:val="22"/>
        </w:rPr>
        <w:t>      prawidłowej gęstości trawy (trawniki bez tzw. „łysin”),</w:t>
      </w:r>
    </w:p>
    <w:p w14:paraId="046C3960" w14:textId="77777777" w:rsidR="00CC4443" w:rsidRPr="001667DB" w:rsidRDefault="00CC4443" w:rsidP="00904E6C">
      <w:pPr>
        <w:pStyle w:val="Akapitzlist"/>
        <w:numPr>
          <w:ilvl w:val="0"/>
          <w:numId w:val="349"/>
        </w:numPr>
        <w:spacing w:line="360" w:lineRule="auto"/>
        <w:rPr>
          <w:color w:val="000000" w:themeColor="text1"/>
          <w:sz w:val="22"/>
          <w:szCs w:val="22"/>
        </w:rPr>
      </w:pPr>
      <w:r w:rsidRPr="001667DB">
        <w:rPr>
          <w:color w:val="000000" w:themeColor="text1"/>
          <w:sz w:val="22"/>
          <w:szCs w:val="22"/>
        </w:rPr>
        <w:t>      obecności gatunków niewysiewanych oraz chwastów.</w:t>
      </w:r>
    </w:p>
    <w:p w14:paraId="46E1DC82" w14:textId="77777777" w:rsidR="00CC4443" w:rsidRPr="001667DB" w:rsidRDefault="00CC4443"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61D54FC0"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18" w:name="_Toc428169263"/>
      <w:bookmarkStart w:id="919" w:name="_Toc428323653"/>
      <w:bookmarkStart w:id="920" w:name="_Toc428677179"/>
      <w:bookmarkStart w:id="921" w:name="_Toc501263805"/>
      <w:r w:rsidRPr="001667DB">
        <w:rPr>
          <w:rFonts w:ascii="Times New Roman" w:eastAsia="Times New Roman" w:hAnsi="Times New Roman" w:cs="Times New Roman"/>
          <w:b/>
          <w:caps/>
          <w:color w:val="000000" w:themeColor="text1"/>
          <w:kern w:val="28"/>
          <w:lang w:eastAsia="pl-PL"/>
        </w:rPr>
        <w:t>7. OBMIAR ROBÓT</w:t>
      </w:r>
      <w:bookmarkEnd w:id="918"/>
      <w:bookmarkEnd w:id="919"/>
      <w:bookmarkEnd w:id="920"/>
      <w:bookmarkEnd w:id="921"/>
    </w:p>
    <w:p w14:paraId="4F616180"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7.1. Ogólne zasady obmiaru robót</w:t>
      </w:r>
    </w:p>
    <w:p w14:paraId="65E642CA"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zasady obmiaru robót podano w ST D-00.00.00 „Wymagania ogólne” pkt 7.</w:t>
      </w:r>
    </w:p>
    <w:p w14:paraId="4D9D30AD" w14:textId="77777777" w:rsidR="00CC4443" w:rsidRPr="001667DB" w:rsidRDefault="00CC4443" w:rsidP="00577746">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7.2. Jednostka obmiarowa</w:t>
      </w:r>
    </w:p>
    <w:p w14:paraId="226128E7"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Jednostką obmiarową jest:</w:t>
      </w:r>
    </w:p>
    <w:p w14:paraId="046AE769" w14:textId="77777777" w:rsidR="00CC4443" w:rsidRPr="001667DB" w:rsidRDefault="00CC4443"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r w:rsidRPr="001667DB">
        <w:rPr>
          <w:rFonts w:ascii="Times New Roman" w:hAnsi="Times New Roman" w:cs="Times New Roman"/>
          <w:color w:val="000000" w:themeColor="text1"/>
        </w:rPr>
        <w:t xml:space="preserve">- </w:t>
      </w:r>
      <w:r w:rsidRPr="001667DB">
        <w:rPr>
          <w:rFonts w:ascii="Times New Roman" w:eastAsia="Times New Roman" w:hAnsi="Times New Roman" w:cs="Times New Roman"/>
          <w:color w:val="000000" w:themeColor="text1"/>
          <w:lang w:eastAsia="pl-PL"/>
        </w:rPr>
        <w:t>m</w:t>
      </w:r>
      <w:r w:rsidRPr="001667DB">
        <w:rPr>
          <w:rFonts w:ascii="Times New Roman" w:eastAsia="Times New Roman" w:hAnsi="Times New Roman" w:cs="Times New Roman"/>
          <w:color w:val="000000" w:themeColor="text1"/>
          <w:vertAlign w:val="superscript"/>
          <w:lang w:eastAsia="pl-PL"/>
        </w:rPr>
        <w:t>2</w:t>
      </w:r>
      <w:r w:rsidRPr="001667DB">
        <w:rPr>
          <w:rFonts w:ascii="Times New Roman" w:eastAsia="Times New Roman" w:hAnsi="Times New Roman" w:cs="Times New Roman"/>
          <w:color w:val="000000" w:themeColor="text1"/>
          <w:lang w:eastAsia="pl-PL"/>
        </w:rPr>
        <w:t xml:space="preserve"> (metr kwadratowy) wykonania  trawników </w:t>
      </w:r>
    </w:p>
    <w:p w14:paraId="143C512F" w14:textId="77777777" w:rsidR="00CC4443" w:rsidRPr="001667DB" w:rsidRDefault="00CC4443" w:rsidP="00577746">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690327BA" w14:textId="77777777" w:rsidR="00CC4443" w:rsidRPr="001667DB" w:rsidRDefault="00CC4443" w:rsidP="00577746">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22" w:name="_Toc428169264"/>
      <w:bookmarkStart w:id="923" w:name="_Toc428323654"/>
      <w:bookmarkStart w:id="924" w:name="_Toc428677180"/>
      <w:bookmarkStart w:id="925" w:name="_Toc501263806"/>
      <w:r w:rsidRPr="001667DB">
        <w:rPr>
          <w:rFonts w:ascii="Times New Roman" w:eastAsia="Times New Roman" w:hAnsi="Times New Roman" w:cs="Times New Roman"/>
          <w:b/>
          <w:caps/>
          <w:color w:val="000000" w:themeColor="text1"/>
          <w:kern w:val="28"/>
          <w:lang w:eastAsia="pl-PL"/>
        </w:rPr>
        <w:t>8. ODBIÓR ROBÓT</w:t>
      </w:r>
      <w:bookmarkEnd w:id="922"/>
      <w:bookmarkEnd w:id="923"/>
      <w:bookmarkEnd w:id="924"/>
      <w:bookmarkEnd w:id="925"/>
    </w:p>
    <w:p w14:paraId="3917F87E"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zasady odbioru robót podano w ST D-00.00.00 „Wymagania ogólne” pkt 8.</w:t>
      </w:r>
    </w:p>
    <w:p w14:paraId="67A4BF28" w14:textId="77777777" w:rsidR="00CC4443" w:rsidRPr="001667DB" w:rsidRDefault="00CC4443" w:rsidP="00577746">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Roboty uznaje się za wykonane zgodnie z dokumentacją projektową, ST i wymaganiami Inżyniera, jeżeli wszystkie pomiary i badania z zachowaniem tolerancji wg pkt 6 dały wyniki pozytywne.</w:t>
      </w:r>
    </w:p>
    <w:p w14:paraId="36464304"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4085AFFE" w14:textId="77777777" w:rsidR="00CC4443" w:rsidRPr="001667DB" w:rsidRDefault="00CC4443" w:rsidP="00CC4443">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26" w:name="_Toc428169265"/>
      <w:bookmarkStart w:id="927" w:name="_Toc428323655"/>
      <w:bookmarkStart w:id="928" w:name="_Toc428677181"/>
      <w:bookmarkStart w:id="929" w:name="_Toc501263807"/>
      <w:r w:rsidRPr="001667DB">
        <w:rPr>
          <w:rFonts w:ascii="Times New Roman" w:eastAsia="Times New Roman" w:hAnsi="Times New Roman" w:cs="Times New Roman"/>
          <w:b/>
          <w:caps/>
          <w:color w:val="000000" w:themeColor="text1"/>
          <w:kern w:val="28"/>
          <w:lang w:eastAsia="pl-PL"/>
        </w:rPr>
        <w:t>9. PODSTAWA PŁATNOŚCI</w:t>
      </w:r>
      <w:bookmarkEnd w:id="926"/>
      <w:bookmarkEnd w:id="927"/>
      <w:bookmarkEnd w:id="928"/>
      <w:bookmarkEnd w:id="929"/>
    </w:p>
    <w:p w14:paraId="63BD7E4F"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9.1. Ogólne ustalenia dotyczące podstawy płatności</w:t>
      </w:r>
    </w:p>
    <w:p w14:paraId="77A39122"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Ogólne ustalenia dotyczące podstawy płatności podano w ST D-00.00.00 „Wymagania ogólne” pkt 9.</w:t>
      </w:r>
    </w:p>
    <w:p w14:paraId="5903CFE5" w14:textId="77777777" w:rsidR="00CC4443" w:rsidRPr="001667DB" w:rsidRDefault="00CC4443" w:rsidP="00CC4443">
      <w:pPr>
        <w:keepNext/>
        <w:overflowPunct w:val="0"/>
        <w:autoSpaceDE w:val="0"/>
        <w:autoSpaceDN w:val="0"/>
        <w:adjustRightInd w:val="0"/>
        <w:spacing w:after="0" w:line="360" w:lineRule="auto"/>
        <w:jc w:val="both"/>
        <w:outlineLvl w:val="1"/>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t>9.2. Cena jednostki obmiarowej</w:t>
      </w:r>
    </w:p>
    <w:p w14:paraId="024B587D"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ab/>
        <w:t>Cena wykonania 1 m</w:t>
      </w:r>
      <w:r w:rsidRPr="001667DB">
        <w:rPr>
          <w:rFonts w:ascii="Times New Roman" w:eastAsia="Times New Roman" w:hAnsi="Times New Roman" w:cs="Times New Roman"/>
          <w:color w:val="000000" w:themeColor="text1"/>
          <w:vertAlign w:val="superscript"/>
          <w:lang w:eastAsia="pl-PL"/>
        </w:rPr>
        <w:t>2</w:t>
      </w:r>
      <w:r w:rsidRPr="001667DB">
        <w:rPr>
          <w:rFonts w:ascii="Times New Roman" w:eastAsia="Times New Roman" w:hAnsi="Times New Roman" w:cs="Times New Roman"/>
          <w:color w:val="000000" w:themeColor="text1"/>
          <w:lang w:eastAsia="pl-PL"/>
        </w:rPr>
        <w:t xml:space="preserve"> trawnika obejmuje:</w:t>
      </w:r>
    </w:p>
    <w:p w14:paraId="1F8E7427" w14:textId="77777777" w:rsidR="00CC4443" w:rsidRPr="001667DB" w:rsidRDefault="00CC4443" w:rsidP="00904E6C">
      <w:pPr>
        <w:pStyle w:val="Akapitzlist"/>
        <w:numPr>
          <w:ilvl w:val="0"/>
          <w:numId w:val="347"/>
        </w:numPr>
        <w:spacing w:line="360" w:lineRule="auto"/>
        <w:rPr>
          <w:color w:val="000000" w:themeColor="text1"/>
          <w:sz w:val="22"/>
          <w:szCs w:val="22"/>
        </w:rPr>
      </w:pPr>
      <w:r w:rsidRPr="001667DB">
        <w:rPr>
          <w:color w:val="000000" w:themeColor="text1"/>
          <w:sz w:val="22"/>
          <w:szCs w:val="22"/>
        </w:rPr>
        <w:lastRenderedPageBreak/>
        <w:t>roboty przygotowawcze: oczyszczenie terenu, dowóz ziemi urodzajnej, rozścielenie ziemi urodzajnej, rozrzucenie kompostu,</w:t>
      </w:r>
    </w:p>
    <w:p w14:paraId="370AAD40" w14:textId="77777777" w:rsidR="00CC4443" w:rsidRPr="001667DB" w:rsidRDefault="00CC4443" w:rsidP="00904E6C">
      <w:pPr>
        <w:pStyle w:val="Akapitzlist"/>
        <w:numPr>
          <w:ilvl w:val="0"/>
          <w:numId w:val="347"/>
        </w:numPr>
        <w:spacing w:line="360" w:lineRule="auto"/>
        <w:rPr>
          <w:color w:val="000000" w:themeColor="text1"/>
          <w:sz w:val="22"/>
          <w:szCs w:val="22"/>
        </w:rPr>
      </w:pPr>
      <w:r w:rsidRPr="001667DB">
        <w:rPr>
          <w:color w:val="000000" w:themeColor="text1"/>
          <w:sz w:val="22"/>
          <w:szCs w:val="22"/>
        </w:rPr>
        <w:t>zakładanie trawników,</w:t>
      </w:r>
    </w:p>
    <w:p w14:paraId="2FA539C2" w14:textId="77777777" w:rsidR="00CC4443" w:rsidRPr="001667DB" w:rsidRDefault="00CC4443" w:rsidP="00904E6C">
      <w:pPr>
        <w:pStyle w:val="Akapitzlist"/>
        <w:numPr>
          <w:ilvl w:val="0"/>
          <w:numId w:val="347"/>
        </w:numPr>
        <w:spacing w:line="360" w:lineRule="auto"/>
        <w:rPr>
          <w:color w:val="000000" w:themeColor="text1"/>
          <w:sz w:val="22"/>
          <w:szCs w:val="22"/>
        </w:rPr>
      </w:pPr>
      <w:r w:rsidRPr="001667DB">
        <w:rPr>
          <w:color w:val="000000" w:themeColor="text1"/>
          <w:sz w:val="22"/>
          <w:szCs w:val="22"/>
        </w:rPr>
        <w:t>pielęgnację trawników: podlewanie, koszenie, nawożenie, odchwaszczanie.</w:t>
      </w:r>
    </w:p>
    <w:p w14:paraId="70A58238" w14:textId="77777777" w:rsidR="00CC4443" w:rsidRPr="001667DB" w:rsidRDefault="00CC4443" w:rsidP="00CC4443">
      <w:pPr>
        <w:overflowPunct w:val="0"/>
        <w:autoSpaceDE w:val="0"/>
        <w:autoSpaceDN w:val="0"/>
        <w:adjustRightInd w:val="0"/>
        <w:spacing w:after="0" w:line="360" w:lineRule="auto"/>
        <w:ind w:left="283"/>
        <w:jc w:val="both"/>
        <w:rPr>
          <w:rFonts w:ascii="Times New Roman" w:eastAsia="Times New Roman" w:hAnsi="Times New Roman" w:cs="Times New Roman"/>
          <w:color w:val="000000" w:themeColor="text1"/>
          <w:lang w:eastAsia="pl-PL"/>
        </w:rPr>
      </w:pPr>
    </w:p>
    <w:p w14:paraId="188187C5" w14:textId="77777777" w:rsidR="00CC4443" w:rsidRPr="001667DB" w:rsidRDefault="00CC4443" w:rsidP="00CC4443">
      <w:pPr>
        <w:keepNext/>
        <w:keepLines/>
        <w:suppressAutoHyphens/>
        <w:overflowPunct w:val="0"/>
        <w:autoSpaceDE w:val="0"/>
        <w:autoSpaceDN w:val="0"/>
        <w:adjustRightInd w:val="0"/>
        <w:spacing w:after="0" w:line="360" w:lineRule="auto"/>
        <w:jc w:val="both"/>
        <w:outlineLvl w:val="0"/>
        <w:rPr>
          <w:rFonts w:ascii="Times New Roman" w:eastAsia="Times New Roman" w:hAnsi="Times New Roman" w:cs="Times New Roman"/>
          <w:b/>
          <w:caps/>
          <w:color w:val="000000" w:themeColor="text1"/>
          <w:kern w:val="28"/>
          <w:lang w:eastAsia="pl-PL"/>
        </w:rPr>
      </w:pPr>
      <w:bookmarkStart w:id="930" w:name="_Toc428677182"/>
      <w:bookmarkStart w:id="931" w:name="_Toc501263808"/>
      <w:r w:rsidRPr="001667DB">
        <w:rPr>
          <w:rFonts w:ascii="Times New Roman" w:eastAsia="Times New Roman" w:hAnsi="Times New Roman" w:cs="Times New Roman"/>
          <w:b/>
          <w:caps/>
          <w:color w:val="000000" w:themeColor="text1"/>
          <w:kern w:val="28"/>
          <w:lang w:eastAsia="pl-PL"/>
        </w:rPr>
        <w:t>10. przepisy związane</w:t>
      </w:r>
      <w:bookmarkEnd w:id="930"/>
      <w:bookmarkEnd w:id="931"/>
    </w:p>
    <w:tbl>
      <w:tblPr>
        <w:tblW w:w="0" w:type="auto"/>
        <w:tblCellMar>
          <w:left w:w="70" w:type="dxa"/>
          <w:right w:w="70" w:type="dxa"/>
        </w:tblCellMar>
        <w:tblLook w:val="04A0" w:firstRow="1" w:lastRow="0" w:firstColumn="1" w:lastColumn="0" w:noHBand="0" w:noVBand="1"/>
      </w:tblPr>
      <w:tblGrid>
        <w:gridCol w:w="496"/>
        <w:gridCol w:w="1701"/>
        <w:gridCol w:w="5313"/>
      </w:tblGrid>
      <w:tr w:rsidR="00CC4443" w:rsidRPr="001667DB" w14:paraId="24BDA306" w14:textId="77777777" w:rsidTr="00CC4443">
        <w:tc>
          <w:tcPr>
            <w:tcW w:w="496" w:type="dxa"/>
            <w:hideMark/>
          </w:tcPr>
          <w:p w14:paraId="3C4259EC" w14:textId="77777777" w:rsidR="00CC4443" w:rsidRPr="001667DB" w:rsidRDefault="00CC4443" w:rsidP="00CC4443">
            <w:pPr>
              <w:overflowPunct w:val="0"/>
              <w:autoSpaceDE w:val="0"/>
              <w:autoSpaceDN w:val="0"/>
              <w:adjustRightInd w:val="0"/>
              <w:spacing w:after="0" w:line="360" w:lineRule="auto"/>
              <w:jc w:val="center"/>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1.</w:t>
            </w:r>
          </w:p>
        </w:tc>
        <w:tc>
          <w:tcPr>
            <w:tcW w:w="1701" w:type="dxa"/>
            <w:hideMark/>
          </w:tcPr>
          <w:p w14:paraId="588085E7"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PN-G-98011</w:t>
            </w:r>
          </w:p>
        </w:tc>
        <w:tc>
          <w:tcPr>
            <w:tcW w:w="5313" w:type="dxa"/>
            <w:hideMark/>
          </w:tcPr>
          <w:p w14:paraId="559DE095"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Torf rolniczy</w:t>
            </w:r>
          </w:p>
        </w:tc>
      </w:tr>
      <w:tr w:rsidR="00CC4443" w:rsidRPr="001667DB" w14:paraId="24C064EE" w14:textId="77777777" w:rsidTr="00CC4443">
        <w:tc>
          <w:tcPr>
            <w:tcW w:w="496" w:type="dxa"/>
            <w:hideMark/>
          </w:tcPr>
          <w:p w14:paraId="1A23F06D" w14:textId="77777777" w:rsidR="00CC4443" w:rsidRPr="001667DB" w:rsidRDefault="00CC4443" w:rsidP="00CC4443">
            <w:pPr>
              <w:overflowPunct w:val="0"/>
              <w:autoSpaceDE w:val="0"/>
              <w:autoSpaceDN w:val="0"/>
              <w:adjustRightInd w:val="0"/>
              <w:spacing w:after="0" w:line="360" w:lineRule="auto"/>
              <w:jc w:val="center"/>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2.</w:t>
            </w:r>
          </w:p>
        </w:tc>
        <w:tc>
          <w:tcPr>
            <w:tcW w:w="1701" w:type="dxa"/>
            <w:hideMark/>
          </w:tcPr>
          <w:p w14:paraId="6FCB57DE"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PN-R-67030</w:t>
            </w:r>
          </w:p>
        </w:tc>
        <w:tc>
          <w:tcPr>
            <w:tcW w:w="5313" w:type="dxa"/>
            <w:hideMark/>
          </w:tcPr>
          <w:p w14:paraId="66F6CA6B"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Cebule, bulwy, kłącza i korzenie bulwiaste roślin ozdobnych</w:t>
            </w:r>
          </w:p>
        </w:tc>
      </w:tr>
      <w:tr w:rsidR="00CC4443" w:rsidRPr="001667DB" w14:paraId="20DB61F4" w14:textId="77777777" w:rsidTr="00CC4443">
        <w:tc>
          <w:tcPr>
            <w:tcW w:w="496" w:type="dxa"/>
            <w:hideMark/>
          </w:tcPr>
          <w:p w14:paraId="03ECD42F" w14:textId="77777777" w:rsidR="00CC4443" w:rsidRPr="001667DB" w:rsidRDefault="00CC4443" w:rsidP="00CC4443">
            <w:pPr>
              <w:overflowPunct w:val="0"/>
              <w:autoSpaceDE w:val="0"/>
              <w:autoSpaceDN w:val="0"/>
              <w:adjustRightInd w:val="0"/>
              <w:spacing w:after="0" w:line="360" w:lineRule="auto"/>
              <w:jc w:val="center"/>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3.</w:t>
            </w:r>
          </w:p>
        </w:tc>
        <w:tc>
          <w:tcPr>
            <w:tcW w:w="1701" w:type="dxa"/>
            <w:hideMark/>
          </w:tcPr>
          <w:p w14:paraId="2F94BAC2"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BN-73/0522-01</w:t>
            </w:r>
          </w:p>
        </w:tc>
        <w:tc>
          <w:tcPr>
            <w:tcW w:w="5313" w:type="dxa"/>
            <w:hideMark/>
          </w:tcPr>
          <w:p w14:paraId="77CD7A57"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Kompost fekaliowo-torfowy</w:t>
            </w:r>
          </w:p>
        </w:tc>
      </w:tr>
      <w:tr w:rsidR="00CC4443" w:rsidRPr="001667DB" w14:paraId="3EB443FF" w14:textId="77777777" w:rsidTr="00CC4443">
        <w:tc>
          <w:tcPr>
            <w:tcW w:w="496" w:type="dxa"/>
            <w:hideMark/>
          </w:tcPr>
          <w:p w14:paraId="1B499B58" w14:textId="77777777" w:rsidR="00CC4443" w:rsidRPr="001667DB" w:rsidRDefault="00CC4443" w:rsidP="00CC4443">
            <w:pPr>
              <w:overflowPunct w:val="0"/>
              <w:autoSpaceDE w:val="0"/>
              <w:autoSpaceDN w:val="0"/>
              <w:adjustRightInd w:val="0"/>
              <w:spacing w:after="0" w:line="360" w:lineRule="auto"/>
              <w:jc w:val="center"/>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4.</w:t>
            </w:r>
          </w:p>
        </w:tc>
        <w:tc>
          <w:tcPr>
            <w:tcW w:w="1701" w:type="dxa"/>
            <w:hideMark/>
          </w:tcPr>
          <w:p w14:paraId="71D9404E"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BN-76/9125-01</w:t>
            </w:r>
          </w:p>
        </w:tc>
        <w:tc>
          <w:tcPr>
            <w:tcW w:w="5313" w:type="dxa"/>
            <w:hideMark/>
          </w:tcPr>
          <w:p w14:paraId="3684D929" w14:textId="77777777" w:rsidR="00CC4443"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r w:rsidRPr="001667DB">
              <w:rPr>
                <w:rFonts w:ascii="Times New Roman" w:eastAsia="Times New Roman" w:hAnsi="Times New Roman" w:cs="Times New Roman"/>
                <w:color w:val="000000" w:themeColor="text1"/>
                <w:lang w:eastAsia="pl-PL"/>
              </w:rPr>
              <w:t>Rośliny kwietnikowe jednoroczne i dwuletnie.</w:t>
            </w:r>
          </w:p>
          <w:p w14:paraId="218BD83B"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0CF31D36"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65B468EC"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552A0A70"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48DF4952"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390CB870"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380C7EE0"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526C1737"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p w14:paraId="17C36988" w14:textId="77777777" w:rsidR="00EE480D" w:rsidRPr="001667DB" w:rsidRDefault="00EE480D" w:rsidP="00CC4443">
            <w:pPr>
              <w:overflowPunct w:val="0"/>
              <w:autoSpaceDE w:val="0"/>
              <w:autoSpaceDN w:val="0"/>
              <w:adjustRightInd w:val="0"/>
              <w:spacing w:after="0" w:line="360" w:lineRule="auto"/>
              <w:jc w:val="both"/>
              <w:rPr>
                <w:rFonts w:ascii="Times New Roman" w:eastAsia="Times New Roman" w:hAnsi="Times New Roman" w:cs="Times New Roman"/>
                <w:color w:val="000000" w:themeColor="text1"/>
                <w:lang w:eastAsia="pl-PL"/>
              </w:rPr>
            </w:pPr>
          </w:p>
        </w:tc>
      </w:tr>
    </w:tbl>
    <w:p w14:paraId="24A17351" w14:textId="77777777" w:rsidR="00E51414" w:rsidRPr="001667DB" w:rsidRDefault="00CC4443" w:rsidP="00CC4443">
      <w:pPr>
        <w:overflowPunct w:val="0"/>
        <w:autoSpaceDE w:val="0"/>
        <w:autoSpaceDN w:val="0"/>
        <w:adjustRightInd w:val="0"/>
        <w:spacing w:after="0" w:line="360" w:lineRule="auto"/>
        <w:jc w:val="both"/>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color w:val="000000" w:themeColor="text1"/>
          <w:lang w:eastAsia="pl-PL"/>
        </w:rPr>
        <w:t> </w:t>
      </w:r>
      <w:r w:rsidRPr="001667DB">
        <w:rPr>
          <w:rFonts w:ascii="Times New Roman" w:eastAsia="Times New Roman" w:hAnsi="Times New Roman" w:cs="Times New Roman"/>
          <w:b/>
          <w:color w:val="000000" w:themeColor="text1"/>
          <w:lang w:eastAsia="pl-PL"/>
        </w:rPr>
        <w:t xml:space="preserve"> </w:t>
      </w:r>
    </w:p>
    <w:p w14:paraId="60D1B08F" w14:textId="77777777" w:rsidR="00E51414" w:rsidRPr="001667DB" w:rsidRDefault="00E51414">
      <w:pPr>
        <w:rPr>
          <w:rFonts w:ascii="Times New Roman" w:eastAsia="Times New Roman" w:hAnsi="Times New Roman" w:cs="Times New Roman"/>
          <w:b/>
          <w:color w:val="000000" w:themeColor="text1"/>
          <w:lang w:eastAsia="pl-PL"/>
        </w:rPr>
      </w:pPr>
      <w:r w:rsidRPr="001667DB">
        <w:rPr>
          <w:rFonts w:ascii="Times New Roman" w:eastAsia="Times New Roman" w:hAnsi="Times New Roman" w:cs="Times New Roman"/>
          <w:b/>
          <w:color w:val="000000" w:themeColor="text1"/>
          <w:lang w:eastAsia="pl-PL"/>
        </w:rPr>
        <w:br w:type="page"/>
      </w:r>
    </w:p>
    <w:p w14:paraId="676F3863" w14:textId="77777777" w:rsidR="00C72960" w:rsidRPr="000B5630" w:rsidRDefault="00C72960" w:rsidP="00C72960">
      <w:pPr>
        <w:autoSpaceDE w:val="0"/>
        <w:rPr>
          <w:rFonts w:ascii="Times New Roman" w:hAnsi="Times New Roman" w:cs="Times New Roman"/>
          <w:b/>
          <w:bCs/>
          <w:lang w:eastAsia="ar-SA"/>
        </w:rPr>
      </w:pPr>
      <w:r w:rsidRPr="000B5630">
        <w:rPr>
          <w:rFonts w:ascii="Times New Roman" w:hAnsi="Times New Roman" w:cs="Times New Roman"/>
          <w:b/>
        </w:rPr>
        <w:lastRenderedPageBreak/>
        <w:t xml:space="preserve">ST.IE.01 </w:t>
      </w:r>
      <w:r w:rsidRPr="000B5630">
        <w:rPr>
          <w:rFonts w:ascii="Times New Roman" w:hAnsi="Times New Roman" w:cs="Times New Roman"/>
          <w:b/>
          <w:bCs/>
          <w:lang w:eastAsia="ar-SA"/>
        </w:rPr>
        <w:t>ROBOTY W ZAKRESIE PRZYGOTOWANIA TERENU POD BUDOWĘ I ROBOTY ZIEMNE – PRZEBUDOWA SIECI, BUDOWA OŚWIETLENIA</w:t>
      </w:r>
    </w:p>
    <w:p w14:paraId="30D31105" w14:textId="77777777" w:rsidR="00C72960" w:rsidRPr="000B5630" w:rsidRDefault="00C72960" w:rsidP="00C72960">
      <w:pPr>
        <w:autoSpaceDE w:val="0"/>
        <w:autoSpaceDN w:val="0"/>
        <w:adjustRightInd w:val="0"/>
        <w:rPr>
          <w:rFonts w:ascii="Times New Roman" w:hAnsi="Times New Roman" w:cs="Times New Roman"/>
          <w:noProof/>
          <w:lang w:val="x-none"/>
        </w:rPr>
      </w:pPr>
    </w:p>
    <w:p w14:paraId="2C40CB9A"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2" w:name="_Toc51694200"/>
      <w:r w:rsidRPr="000B5630">
        <w:rPr>
          <w:kern w:val="0"/>
          <w:sz w:val="22"/>
          <w:szCs w:val="22"/>
          <w:lang w:eastAsia="ar-SA"/>
        </w:rPr>
        <w:t>CZĘŚĆ OGÓLNA</w:t>
      </w:r>
      <w:bookmarkEnd w:id="932"/>
    </w:p>
    <w:p w14:paraId="4CCFA42B" w14:textId="77777777" w:rsidR="00C72960" w:rsidRPr="000B5630" w:rsidRDefault="00C72960" w:rsidP="00904E6C">
      <w:pPr>
        <w:numPr>
          <w:ilvl w:val="1"/>
          <w:numId w:val="297"/>
        </w:numPr>
        <w:autoSpaceDE w:val="0"/>
        <w:autoSpaceDN w:val="0"/>
        <w:adjustRightInd w:val="0"/>
        <w:spacing w:before="45" w:after="45" w:line="240" w:lineRule="auto"/>
        <w:ind w:left="0" w:firstLine="0"/>
        <w:rPr>
          <w:rFonts w:ascii="Times New Roman" w:hAnsi="Times New Roman" w:cs="Times New Roman"/>
          <w:lang w:val="x-none"/>
        </w:rPr>
      </w:pPr>
      <w:r w:rsidRPr="000B5630">
        <w:rPr>
          <w:rFonts w:ascii="Times New Roman" w:hAnsi="Times New Roman" w:cs="Times New Roman"/>
          <w:b/>
          <w:bCs/>
          <w:noProof/>
          <w:lang w:val="x-none"/>
        </w:rPr>
        <w:t xml:space="preserve">Nazwa nadana zamówieniu przez Zamawiającego </w:t>
      </w:r>
    </w:p>
    <w:p w14:paraId="54D9DB90" w14:textId="77777777" w:rsidR="00C72960" w:rsidRPr="000B5630" w:rsidRDefault="00C72960" w:rsidP="00C72960">
      <w:pPr>
        <w:autoSpaceDE w:val="0"/>
        <w:autoSpaceDN w:val="0"/>
        <w:adjustRightInd w:val="0"/>
        <w:spacing w:before="45" w:after="45"/>
        <w:rPr>
          <w:rFonts w:ascii="Times New Roman" w:hAnsi="Times New Roman" w:cs="Times New Roman"/>
          <w:lang w:val="x-none"/>
        </w:rPr>
      </w:pPr>
    </w:p>
    <w:p w14:paraId="44C90A44" w14:textId="77777777" w:rsidR="00C72960" w:rsidRPr="000B5630" w:rsidRDefault="00C72960" w:rsidP="00C72960">
      <w:pPr>
        <w:tabs>
          <w:tab w:val="right" w:leader="dot" w:pos="7365"/>
        </w:tabs>
        <w:autoSpaceDE w:val="0"/>
        <w:autoSpaceDN w:val="0"/>
        <w:adjustRightInd w:val="0"/>
        <w:spacing w:before="45" w:after="45"/>
        <w:rPr>
          <w:rFonts w:ascii="Times New Roman" w:hAnsi="Times New Roman" w:cs="Times New Roman"/>
          <w:b/>
          <w:noProof/>
        </w:rPr>
      </w:pPr>
      <w:r w:rsidRPr="000B5630">
        <w:rPr>
          <w:rFonts w:ascii="Times New Roman" w:hAnsi="Times New Roman" w:cs="Times New Roman"/>
          <w:b/>
          <w:noProof/>
        </w:rPr>
        <w:t>„Rozbudowa drogi wojewódzkiej nr 461 w m Dąbrówka Łubniańska i Łubniany”- Etap I (km od 9+741,88 do 10+371,13).”</w:t>
      </w:r>
    </w:p>
    <w:p w14:paraId="6F9B9C35" w14:textId="77777777" w:rsidR="00C72960" w:rsidRPr="000B5630" w:rsidRDefault="00C72960" w:rsidP="00C72960">
      <w:pPr>
        <w:tabs>
          <w:tab w:val="right" w:leader="dot" w:pos="7365"/>
        </w:tabs>
        <w:autoSpaceDE w:val="0"/>
        <w:autoSpaceDN w:val="0"/>
        <w:adjustRightInd w:val="0"/>
        <w:spacing w:before="45" w:after="45"/>
        <w:rPr>
          <w:rFonts w:ascii="Times New Roman" w:hAnsi="Times New Roman" w:cs="Times New Roman"/>
          <w:b/>
          <w:noProof/>
          <w:lang w:val="x-none"/>
        </w:rPr>
      </w:pPr>
    </w:p>
    <w:p w14:paraId="3FC47E5C" w14:textId="77777777" w:rsidR="00C72960" w:rsidRPr="000B5630" w:rsidRDefault="00C72960" w:rsidP="00904E6C">
      <w:pPr>
        <w:numPr>
          <w:ilvl w:val="1"/>
          <w:numId w:val="297"/>
        </w:numPr>
        <w:tabs>
          <w:tab w:val="right" w:leader="dot" w:pos="9075"/>
        </w:tabs>
        <w:autoSpaceDE w:val="0"/>
        <w:autoSpaceDN w:val="0"/>
        <w:adjustRightInd w:val="0"/>
        <w:spacing w:before="45" w:after="45" w:line="240" w:lineRule="auto"/>
        <w:ind w:left="0" w:firstLine="0"/>
        <w:rPr>
          <w:rFonts w:ascii="Times New Roman" w:hAnsi="Times New Roman" w:cs="Times New Roman"/>
          <w:lang w:val="x-none"/>
        </w:rPr>
      </w:pPr>
      <w:r w:rsidRPr="000B5630">
        <w:rPr>
          <w:rFonts w:ascii="Times New Roman" w:hAnsi="Times New Roman" w:cs="Times New Roman"/>
          <w:b/>
          <w:bCs/>
          <w:noProof/>
          <w:lang w:val="x-none"/>
        </w:rPr>
        <w:t>Przedmiot ST</w:t>
      </w:r>
    </w:p>
    <w:p w14:paraId="703078D8"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 xml:space="preserve">Przedmiotem niniejszej </w:t>
      </w:r>
      <w:r w:rsidRPr="000B5630">
        <w:rPr>
          <w:rFonts w:ascii="Times New Roman" w:hAnsi="Times New Roman" w:cs="Times New Roman"/>
          <w:noProof/>
        </w:rPr>
        <w:t>s</w:t>
      </w:r>
      <w:r w:rsidRPr="000B5630">
        <w:rPr>
          <w:rFonts w:ascii="Times New Roman" w:hAnsi="Times New Roman" w:cs="Times New Roman"/>
          <w:noProof/>
          <w:lang w:val="x-none"/>
        </w:rPr>
        <w:t xml:space="preserve">pecyfikacji technicznej są wymagania dotyczące wykonania i odbioru wykopów otwartych dla </w:t>
      </w:r>
      <w:r w:rsidRPr="000B5630">
        <w:rPr>
          <w:rFonts w:ascii="Times New Roman" w:hAnsi="Times New Roman" w:cs="Times New Roman"/>
          <w:noProof/>
        </w:rPr>
        <w:t xml:space="preserve">słupów elektroenergetycznych i oświetleniowych, </w:t>
      </w:r>
      <w:r w:rsidRPr="000B5630">
        <w:rPr>
          <w:rFonts w:ascii="Times New Roman" w:hAnsi="Times New Roman" w:cs="Times New Roman"/>
          <w:noProof/>
          <w:lang w:val="x-none"/>
        </w:rPr>
        <w:t xml:space="preserve">przewodów </w:t>
      </w:r>
      <w:r w:rsidRPr="000B5630">
        <w:rPr>
          <w:rFonts w:ascii="Times New Roman" w:hAnsi="Times New Roman" w:cs="Times New Roman"/>
          <w:noProof/>
        </w:rPr>
        <w:t>elektroenergetycznych SN, elektroenergetycznych nN, sieci oświetlenia ulicznego</w:t>
      </w:r>
      <w:r w:rsidRPr="000B5630">
        <w:rPr>
          <w:rFonts w:ascii="Times New Roman" w:hAnsi="Times New Roman" w:cs="Times New Roman"/>
          <w:noProof/>
          <w:lang w:val="x-none"/>
        </w:rPr>
        <w:t xml:space="preserve">. </w:t>
      </w:r>
    </w:p>
    <w:p w14:paraId="0E98E61E"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1AC0B2E4"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rPr>
          <w:rFonts w:ascii="Times New Roman" w:hAnsi="Times New Roman" w:cs="Times New Roman"/>
          <w:lang w:val="x-none"/>
        </w:rPr>
      </w:pPr>
      <w:r w:rsidRPr="000B5630">
        <w:rPr>
          <w:rFonts w:ascii="Times New Roman" w:hAnsi="Times New Roman" w:cs="Times New Roman"/>
          <w:b/>
          <w:bCs/>
          <w:noProof/>
          <w:lang w:val="x-none"/>
        </w:rPr>
        <w:t>Zakres stosowania ST</w:t>
      </w:r>
    </w:p>
    <w:p w14:paraId="6D9B8BD3"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Specyfikacja techniczna stosowan</w:t>
      </w:r>
      <w:r w:rsidRPr="000B5630">
        <w:rPr>
          <w:rFonts w:ascii="Times New Roman" w:hAnsi="Times New Roman" w:cs="Times New Roman"/>
          <w:noProof/>
        </w:rPr>
        <w:t>a</w:t>
      </w:r>
      <w:r w:rsidRPr="000B5630">
        <w:rPr>
          <w:rFonts w:ascii="Times New Roman" w:hAnsi="Times New Roman" w:cs="Times New Roman"/>
          <w:noProof/>
          <w:lang w:val="x-none"/>
        </w:rPr>
        <w:t xml:space="preserve"> jest jako dokument przetargowy i kontraktowy, przy zlecaniu i realizacji robót wymienionych w pkt. 1.</w:t>
      </w:r>
      <w:r w:rsidRPr="000B5630">
        <w:rPr>
          <w:rFonts w:ascii="Times New Roman" w:hAnsi="Times New Roman" w:cs="Times New Roman"/>
          <w:noProof/>
        </w:rPr>
        <w:t>1</w:t>
      </w:r>
      <w:r w:rsidRPr="000B5630">
        <w:rPr>
          <w:rFonts w:ascii="Times New Roman" w:hAnsi="Times New Roman" w:cs="Times New Roman"/>
          <w:noProof/>
          <w:lang w:val="x-none"/>
        </w:rPr>
        <w:t>.</w:t>
      </w:r>
    </w:p>
    <w:p w14:paraId="035003EF"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2FB3990E"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Przedmiot i zakres robót objętych ST</w:t>
      </w:r>
    </w:p>
    <w:p w14:paraId="18036E88"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Roboty, których dotyczy specyfikacja, obejmują wszystkie czynności podstawowe, pomocnicze i towarzyszące (prace przygotowawcze) występujące przy wykonywaniu robót ziemnych związanych z</w:t>
      </w:r>
      <w:r w:rsidRPr="000B5630">
        <w:rPr>
          <w:rFonts w:ascii="Times New Roman" w:hAnsi="Times New Roman" w:cs="Times New Roman"/>
          <w:noProof/>
        </w:rPr>
        <w:t xml:space="preserve"> przygotowaniem terenu pod</w:t>
      </w:r>
      <w:r w:rsidRPr="000B5630">
        <w:rPr>
          <w:rFonts w:ascii="Times New Roman" w:hAnsi="Times New Roman" w:cs="Times New Roman"/>
          <w:noProof/>
          <w:lang w:val="x-none"/>
        </w:rPr>
        <w:t xml:space="preserve"> budow</w:t>
      </w:r>
      <w:r w:rsidRPr="000B5630">
        <w:rPr>
          <w:rFonts w:ascii="Times New Roman" w:hAnsi="Times New Roman" w:cs="Times New Roman"/>
          <w:noProof/>
        </w:rPr>
        <w:t>ę</w:t>
      </w:r>
      <w:r w:rsidRPr="000B5630">
        <w:rPr>
          <w:rFonts w:ascii="Times New Roman" w:hAnsi="Times New Roman" w:cs="Times New Roman"/>
          <w:noProof/>
          <w:lang w:val="x-none"/>
        </w:rPr>
        <w:t xml:space="preserve"> </w:t>
      </w:r>
      <w:r w:rsidRPr="000B5630">
        <w:rPr>
          <w:rFonts w:ascii="Times New Roman" w:hAnsi="Times New Roman" w:cs="Times New Roman"/>
          <w:noProof/>
        </w:rPr>
        <w:t>instalacji</w:t>
      </w:r>
      <w:r w:rsidRPr="000B5630">
        <w:rPr>
          <w:rFonts w:ascii="Times New Roman" w:hAnsi="Times New Roman" w:cs="Times New Roman"/>
          <w:noProof/>
          <w:lang w:val="x-none"/>
        </w:rPr>
        <w:t xml:space="preserve"> </w:t>
      </w:r>
      <w:r w:rsidRPr="000B5630">
        <w:rPr>
          <w:rFonts w:ascii="Times New Roman" w:hAnsi="Times New Roman" w:cs="Times New Roman"/>
          <w:noProof/>
        </w:rPr>
        <w:t>elektroenergetycznych, sterowniczych i teleinformatycznych</w:t>
      </w:r>
      <w:r w:rsidRPr="000B5630">
        <w:rPr>
          <w:rFonts w:ascii="Times New Roman" w:hAnsi="Times New Roman" w:cs="Times New Roman"/>
          <w:noProof/>
          <w:lang w:val="x-none"/>
        </w:rPr>
        <w:t>.</w:t>
      </w:r>
    </w:p>
    <w:p w14:paraId="56B4039D"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Roboty dotyczą:</w:t>
      </w:r>
    </w:p>
    <w:p w14:paraId="52FB7E51"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 wykonanie wykopów dla kabli elektroenergetycznych, uziemienia i zasypanie,</w:t>
      </w:r>
    </w:p>
    <w:p w14:paraId="1529D2EE"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 wykonanie wykopów dla rur ochronnych i zasypanie,</w:t>
      </w:r>
    </w:p>
    <w:p w14:paraId="008D9E5A"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 wykonanie wykopów pod słupy elektroenergetyczne i ośw. terenu,</w:t>
      </w:r>
    </w:p>
    <w:p w14:paraId="5400846A"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 xml:space="preserve">- transport materiałów, piasku i ziemi, </w:t>
      </w:r>
    </w:p>
    <w:p w14:paraId="32E4A64F"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p>
    <w:p w14:paraId="08CCF4CD"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Określenia podstawowe, definicje</w:t>
      </w:r>
    </w:p>
    <w:p w14:paraId="39D8169E"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Określenia i pojęcia podstawowe przyjęte w niniejszej specyfikacji technicznej oznaczają:</w:t>
      </w:r>
    </w:p>
    <w:p w14:paraId="31E88371"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Wykop</w:t>
      </w:r>
      <w:r w:rsidRPr="000B5630">
        <w:rPr>
          <w:rFonts w:ascii="Times New Roman" w:hAnsi="Times New Roman" w:cs="Times New Roman"/>
          <w:noProof/>
          <w:lang w:val="x-none"/>
        </w:rPr>
        <w:t xml:space="preserve"> – dół szeroko- i wąskoprzestrzenny liniowy dla fundamentów lub dla urządzeń instalacji podziemnych (rurociągów, kabli itp.) oraz miejsca rozbiórki nasypów, wałów lub hałd ziemnych.</w:t>
      </w:r>
    </w:p>
    <w:p w14:paraId="400749F0"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Wykop liniowy</w:t>
      </w:r>
      <w:r w:rsidRPr="000B5630">
        <w:rPr>
          <w:rFonts w:ascii="Times New Roman" w:hAnsi="Times New Roman" w:cs="Times New Roman"/>
          <w:noProof/>
          <w:lang w:val="x-none"/>
        </w:rPr>
        <w:t xml:space="preserve"> – wykop wykonywany na wąskim lecz długim pasie terenu, którego zasadniczym wymiarem jest długość, np. przy układaniu </w:t>
      </w:r>
      <w:r w:rsidRPr="000B5630">
        <w:rPr>
          <w:rFonts w:ascii="Times New Roman" w:hAnsi="Times New Roman" w:cs="Times New Roman"/>
          <w:noProof/>
        </w:rPr>
        <w:t xml:space="preserve">kabli </w:t>
      </w:r>
      <w:r w:rsidRPr="000B5630">
        <w:rPr>
          <w:rFonts w:ascii="Times New Roman" w:hAnsi="Times New Roman" w:cs="Times New Roman"/>
          <w:noProof/>
          <w:lang w:val="x-none"/>
        </w:rPr>
        <w:t>pod powierzchnią terenu.</w:t>
      </w:r>
    </w:p>
    <w:p w14:paraId="72AC4564"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Wykop wąskoprzestrzenny (wykop wąski)</w:t>
      </w:r>
      <w:r w:rsidRPr="000B5630">
        <w:rPr>
          <w:rFonts w:ascii="Times New Roman" w:hAnsi="Times New Roman" w:cs="Times New Roman"/>
          <w:noProof/>
          <w:lang w:val="x-none"/>
        </w:rPr>
        <w:t xml:space="preserve"> – wykop o szerokości dna równej lub mniejszej od </w:t>
      </w:r>
      <w:smartTag w:uri="urn:schemas-microsoft-com:office:smarttags" w:element="metricconverter">
        <w:smartTagPr>
          <w:attr w:name="ProductID" w:val="1,50 m"/>
        </w:smartTagPr>
        <w:r w:rsidRPr="000B5630">
          <w:rPr>
            <w:rFonts w:ascii="Times New Roman" w:hAnsi="Times New Roman" w:cs="Times New Roman"/>
            <w:noProof/>
            <w:lang w:val="x-none"/>
          </w:rPr>
          <w:t>1,50 m</w:t>
        </w:r>
      </w:smartTag>
      <w:r w:rsidRPr="000B5630">
        <w:rPr>
          <w:rFonts w:ascii="Times New Roman" w:hAnsi="Times New Roman" w:cs="Times New Roman"/>
          <w:noProof/>
          <w:lang w:val="x-none"/>
        </w:rPr>
        <w:t xml:space="preserve"> i o długości powyżej </w:t>
      </w:r>
      <w:smartTag w:uri="urn:schemas-microsoft-com:office:smarttags" w:element="metricconverter">
        <w:smartTagPr>
          <w:attr w:name="ProductID" w:val="1,50 m"/>
        </w:smartTagPr>
        <w:r w:rsidRPr="000B5630">
          <w:rPr>
            <w:rFonts w:ascii="Times New Roman" w:hAnsi="Times New Roman" w:cs="Times New Roman"/>
            <w:noProof/>
            <w:lang w:val="x-none"/>
          </w:rPr>
          <w:t>1,50 m</w:t>
        </w:r>
      </w:smartTag>
      <w:r w:rsidRPr="000B5630">
        <w:rPr>
          <w:rFonts w:ascii="Times New Roman" w:hAnsi="Times New Roman" w:cs="Times New Roman"/>
          <w:noProof/>
          <w:lang w:val="x-none"/>
        </w:rPr>
        <w:t>.</w:t>
      </w:r>
    </w:p>
    <w:p w14:paraId="55EEF8ED"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Wykop szerokoprzestrzenny (wykop szeroki)</w:t>
      </w:r>
      <w:r w:rsidRPr="000B5630">
        <w:rPr>
          <w:rFonts w:ascii="Times New Roman" w:hAnsi="Times New Roman" w:cs="Times New Roman"/>
          <w:noProof/>
          <w:lang w:val="x-none"/>
        </w:rPr>
        <w:t xml:space="preserve"> – wykop o szerokości i długości dna większej od </w:t>
      </w:r>
      <w:smartTag w:uri="urn:schemas-microsoft-com:office:smarttags" w:element="metricconverter">
        <w:smartTagPr>
          <w:attr w:name="ProductID" w:val="1,50 m"/>
        </w:smartTagPr>
        <w:r w:rsidRPr="000B5630">
          <w:rPr>
            <w:rFonts w:ascii="Times New Roman" w:hAnsi="Times New Roman" w:cs="Times New Roman"/>
            <w:noProof/>
            <w:lang w:val="x-none"/>
          </w:rPr>
          <w:t>1,50 m</w:t>
        </w:r>
      </w:smartTag>
      <w:r w:rsidRPr="000B5630">
        <w:rPr>
          <w:rFonts w:ascii="Times New Roman" w:hAnsi="Times New Roman" w:cs="Times New Roman"/>
          <w:noProof/>
          <w:lang w:val="x-none"/>
        </w:rPr>
        <w:t>.</w:t>
      </w:r>
    </w:p>
    <w:p w14:paraId="4BD06FA4"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Plantowanie terenu</w:t>
      </w:r>
      <w:r w:rsidRPr="000B5630">
        <w:rPr>
          <w:rFonts w:ascii="Times New Roman" w:hAnsi="Times New Roman" w:cs="Times New Roman"/>
          <w:noProof/>
          <w:lang w:val="x-none"/>
        </w:rPr>
        <w:t xml:space="preserve"> – wyrównanie terenu w gruncie rodzimym do zadanych w projekcie rzędnych przez ścięcie wypukłości i zasypanie zagłębień o średniej wysokości ścięć i głębokości zasypań nie przekraczającej </w:t>
      </w:r>
      <w:smartTag w:uri="urn:schemas-microsoft-com:office:smarttags" w:element="metricconverter">
        <w:smartTagPr>
          <w:attr w:name="ProductID" w:val="30 cm"/>
        </w:smartTagPr>
        <w:r w:rsidRPr="000B5630">
          <w:rPr>
            <w:rFonts w:ascii="Times New Roman" w:hAnsi="Times New Roman" w:cs="Times New Roman"/>
            <w:noProof/>
            <w:lang w:val="x-none"/>
          </w:rPr>
          <w:t>30 cm</w:t>
        </w:r>
      </w:smartTag>
      <w:r w:rsidRPr="000B5630">
        <w:rPr>
          <w:rFonts w:ascii="Times New Roman" w:hAnsi="Times New Roman" w:cs="Times New Roman"/>
          <w:noProof/>
          <w:lang w:val="x-none"/>
        </w:rPr>
        <w:t xml:space="preserve">, przy odległości przemieszczenia mas ziemnych do </w:t>
      </w:r>
      <w:smartTag w:uri="urn:schemas-microsoft-com:office:smarttags" w:element="metricconverter">
        <w:smartTagPr>
          <w:attr w:name="ProductID" w:val="50 m"/>
        </w:smartTagPr>
        <w:r w:rsidRPr="000B5630">
          <w:rPr>
            <w:rFonts w:ascii="Times New Roman" w:hAnsi="Times New Roman" w:cs="Times New Roman"/>
            <w:noProof/>
            <w:lang w:val="x-none"/>
          </w:rPr>
          <w:t>50 m</w:t>
        </w:r>
      </w:smartTag>
      <w:r w:rsidRPr="000B5630">
        <w:rPr>
          <w:rFonts w:ascii="Times New Roman" w:hAnsi="Times New Roman" w:cs="Times New Roman"/>
          <w:noProof/>
          <w:lang w:val="x-none"/>
        </w:rPr>
        <w:t xml:space="preserve"> w robotach zmechanizowanych i do </w:t>
      </w:r>
      <w:smartTag w:uri="urn:schemas-microsoft-com:office:smarttags" w:element="metricconverter">
        <w:smartTagPr>
          <w:attr w:name="ProductID" w:val="30 m"/>
        </w:smartTagPr>
        <w:r w:rsidRPr="000B5630">
          <w:rPr>
            <w:rFonts w:ascii="Times New Roman" w:hAnsi="Times New Roman" w:cs="Times New Roman"/>
            <w:noProof/>
            <w:lang w:val="x-none"/>
          </w:rPr>
          <w:t>30 m</w:t>
        </w:r>
      </w:smartTag>
      <w:r w:rsidRPr="000B5630">
        <w:rPr>
          <w:rFonts w:ascii="Times New Roman" w:hAnsi="Times New Roman" w:cs="Times New Roman"/>
          <w:noProof/>
          <w:lang w:val="x-none"/>
        </w:rPr>
        <w:t xml:space="preserve"> w pracy ręcznej.</w:t>
      </w:r>
    </w:p>
    <w:p w14:paraId="1657D4BA" w14:textId="77777777" w:rsidR="00C72960" w:rsidRPr="000B5630" w:rsidRDefault="00C72960" w:rsidP="00C72960">
      <w:pPr>
        <w:tabs>
          <w:tab w:val="left" w:pos="570"/>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Rozplantowanie (odkładu lub ziemi wydobytej z wykopu lub rowu)</w:t>
      </w:r>
      <w:r w:rsidRPr="000B5630">
        <w:rPr>
          <w:rFonts w:ascii="Times New Roman" w:hAnsi="Times New Roman" w:cs="Times New Roman"/>
          <w:noProof/>
          <w:lang w:val="x-none"/>
        </w:rPr>
        <w:t xml:space="preserve"> – jest to mechaniczne lub ręczne rozmieszczenie gruntu warstwą o określonej grubości bezpośrednio przy wykonywanym wykopie.</w:t>
      </w:r>
    </w:p>
    <w:p w14:paraId="4288977F"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lastRenderedPageBreak/>
        <w:t>Głębokość wykopu</w:t>
      </w:r>
      <w:r w:rsidRPr="000B5630">
        <w:rPr>
          <w:rFonts w:ascii="Times New Roman" w:hAnsi="Times New Roman" w:cs="Times New Roman"/>
          <w:noProof/>
          <w:lang w:val="x-none"/>
        </w:rPr>
        <w:t xml:space="preserve"> – odległość pionowa między dnem wykopu a powierzchnią terenu po zdjęciu warstwy ziemi urodzajnej.</w:t>
      </w:r>
    </w:p>
    <w:p w14:paraId="0D28B842"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 xml:space="preserve">Wykop płytki </w:t>
      </w:r>
      <w:r w:rsidRPr="000B5630">
        <w:rPr>
          <w:rFonts w:ascii="Times New Roman" w:hAnsi="Times New Roman" w:cs="Times New Roman"/>
          <w:noProof/>
          <w:lang w:val="x-none"/>
        </w:rPr>
        <w:t xml:space="preserve">– wykop, którego głębokość jest mniejsza niż </w:t>
      </w:r>
      <w:smartTag w:uri="urn:schemas-microsoft-com:office:smarttags" w:element="metricconverter">
        <w:smartTagPr>
          <w:attr w:name="ProductID" w:val="1 m"/>
        </w:smartTagPr>
        <w:r w:rsidRPr="000B5630">
          <w:rPr>
            <w:rFonts w:ascii="Times New Roman" w:hAnsi="Times New Roman" w:cs="Times New Roman"/>
            <w:noProof/>
            <w:lang w:val="x-none"/>
          </w:rPr>
          <w:t>1 m</w:t>
        </w:r>
      </w:smartTag>
      <w:r w:rsidRPr="000B5630">
        <w:rPr>
          <w:rFonts w:ascii="Times New Roman" w:hAnsi="Times New Roman" w:cs="Times New Roman"/>
          <w:noProof/>
          <w:lang w:val="x-none"/>
        </w:rPr>
        <w:t>.</w:t>
      </w:r>
    </w:p>
    <w:p w14:paraId="6E317CA3"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Wykop średni</w:t>
      </w:r>
      <w:r w:rsidRPr="000B5630">
        <w:rPr>
          <w:rFonts w:ascii="Times New Roman" w:hAnsi="Times New Roman" w:cs="Times New Roman"/>
          <w:noProof/>
          <w:lang w:val="x-none"/>
        </w:rPr>
        <w:t xml:space="preserve"> – wykop, którego głębokość jest zawarta w granicach od 1 do </w:t>
      </w:r>
      <w:smartTag w:uri="urn:schemas-microsoft-com:office:smarttags" w:element="metricconverter">
        <w:smartTagPr>
          <w:attr w:name="ProductID" w:val="3 m"/>
        </w:smartTagPr>
        <w:r w:rsidRPr="000B5630">
          <w:rPr>
            <w:rFonts w:ascii="Times New Roman" w:hAnsi="Times New Roman" w:cs="Times New Roman"/>
            <w:noProof/>
            <w:lang w:val="x-none"/>
          </w:rPr>
          <w:t>3 m</w:t>
        </w:r>
      </w:smartTag>
      <w:r w:rsidRPr="000B5630">
        <w:rPr>
          <w:rFonts w:ascii="Times New Roman" w:hAnsi="Times New Roman" w:cs="Times New Roman"/>
          <w:noProof/>
          <w:lang w:val="x-none"/>
        </w:rPr>
        <w:t>.</w:t>
      </w:r>
    </w:p>
    <w:p w14:paraId="7B87700C"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 xml:space="preserve">Wykop głęboki </w:t>
      </w:r>
      <w:r w:rsidRPr="000B5630">
        <w:rPr>
          <w:rFonts w:ascii="Times New Roman" w:hAnsi="Times New Roman" w:cs="Times New Roman"/>
          <w:noProof/>
          <w:lang w:val="x-none"/>
        </w:rPr>
        <w:t xml:space="preserve">– wykop, którego głębokość przekracza </w:t>
      </w:r>
      <w:smartTag w:uri="urn:schemas-microsoft-com:office:smarttags" w:element="metricconverter">
        <w:smartTagPr>
          <w:attr w:name="ProductID" w:val="3 m"/>
        </w:smartTagPr>
        <w:r w:rsidRPr="000B5630">
          <w:rPr>
            <w:rFonts w:ascii="Times New Roman" w:hAnsi="Times New Roman" w:cs="Times New Roman"/>
            <w:noProof/>
            <w:lang w:val="x-none"/>
          </w:rPr>
          <w:t>3 m</w:t>
        </w:r>
      </w:smartTag>
      <w:r w:rsidRPr="000B5630">
        <w:rPr>
          <w:rFonts w:ascii="Times New Roman" w:hAnsi="Times New Roman" w:cs="Times New Roman"/>
          <w:noProof/>
          <w:lang w:val="x-none"/>
        </w:rPr>
        <w:t>.</w:t>
      </w:r>
    </w:p>
    <w:p w14:paraId="15E27FDD"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Ukop</w:t>
      </w:r>
      <w:r w:rsidRPr="000B5630">
        <w:rPr>
          <w:rFonts w:ascii="Times New Roman" w:hAnsi="Times New Roman" w:cs="Times New Roman"/>
          <w:noProof/>
          <w:lang w:val="x-none"/>
        </w:rPr>
        <w:t xml:space="preserve"> – miejsce pozyskania gruntu do wykonania zasypki lub nasypów, położony w obrębie obiektu kubaturowego.</w:t>
      </w:r>
    </w:p>
    <w:p w14:paraId="2D4FEC5F"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Dokop</w:t>
      </w:r>
      <w:r w:rsidRPr="000B5630">
        <w:rPr>
          <w:rFonts w:ascii="Times New Roman" w:hAnsi="Times New Roman" w:cs="Times New Roman"/>
          <w:noProof/>
          <w:lang w:val="x-none"/>
        </w:rPr>
        <w:t xml:space="preserve"> – miejsce pozyskania gruntu do wykonania zasypki wykopu fundamentowe­go lub wykonania nasypów, położone poza placem budowy.</w:t>
      </w:r>
    </w:p>
    <w:p w14:paraId="6E2BBCFE"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Odkład</w:t>
      </w:r>
      <w:r w:rsidRPr="000B5630">
        <w:rPr>
          <w:rFonts w:ascii="Times New Roman" w:hAnsi="Times New Roman" w:cs="Times New Roman"/>
          <w:noProof/>
          <w:lang w:val="x-none"/>
        </w:rPr>
        <w:t xml:space="preserve"> – miejsce wbudowania lub składowania (odwiezienia) gruntów pozyskanych w czasie wykonywania wykopów, a nie wykorzystanych do budowy obiektu oraz innych prac związanych z tym obiektem.</w:t>
      </w:r>
    </w:p>
    <w:p w14:paraId="1EFE5D3A"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b/>
          <w:bCs/>
          <w:noProof/>
          <w:lang w:val="x-none"/>
        </w:rPr>
        <w:t xml:space="preserve">Wskaźnik zagęszczenia gruntu </w:t>
      </w:r>
      <w:r w:rsidRPr="000B5630">
        <w:rPr>
          <w:rFonts w:ascii="Times New Roman" w:hAnsi="Times New Roman" w:cs="Times New Roman"/>
          <w:noProof/>
          <w:lang w:val="x-none"/>
        </w:rPr>
        <w:t>– wielkość charakteryzująca stan zagęszczenia gruntu,</w:t>
      </w:r>
    </w:p>
    <w:p w14:paraId="1F4B44C7" w14:textId="77777777" w:rsidR="00C72960" w:rsidRPr="000B5630" w:rsidRDefault="00C72960" w:rsidP="00C72960">
      <w:pPr>
        <w:tabs>
          <w:tab w:val="left" w:pos="64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b/>
          <w:bCs/>
          <w:noProof/>
          <w:lang w:val="x-none"/>
        </w:rPr>
        <w:t xml:space="preserve">Wskaźnik różnoziarnistości </w:t>
      </w:r>
      <w:r w:rsidRPr="000B5630">
        <w:rPr>
          <w:rFonts w:ascii="Times New Roman" w:hAnsi="Times New Roman" w:cs="Times New Roman"/>
          <w:noProof/>
          <w:lang w:val="x-none"/>
        </w:rPr>
        <w:t>– wielkość charakteryzująca zagęszczalność gruntów niespoistych,</w:t>
      </w:r>
    </w:p>
    <w:p w14:paraId="259A3D71"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 xml:space="preserve">Grunt budowlany </w:t>
      </w:r>
      <w:r w:rsidRPr="000B5630">
        <w:rPr>
          <w:rFonts w:ascii="Times New Roman" w:hAnsi="Times New Roman" w:cs="Times New Roman"/>
          <w:noProof/>
          <w:lang w:val="x-none"/>
        </w:rPr>
        <w:t>– część skorupy ziemskiej mogąca współdziałać z obiektem budowlanym, stanowiąca jego element lub służąca jako tworzywo do wykonywania z niego budowli ziemnych.</w:t>
      </w:r>
    </w:p>
    <w:p w14:paraId="2933E5E7"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Grunt naturalny</w:t>
      </w:r>
      <w:r w:rsidRPr="000B5630">
        <w:rPr>
          <w:rFonts w:ascii="Times New Roman" w:hAnsi="Times New Roman" w:cs="Times New Roman"/>
          <w:noProof/>
          <w:lang w:val="x-none"/>
        </w:rPr>
        <w:t xml:space="preserve"> – grunt, którego szkielet powstał w wyniku procesów geologicznych.</w:t>
      </w:r>
    </w:p>
    <w:p w14:paraId="47079E31"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lang w:val="x-none"/>
        </w:rPr>
      </w:pPr>
      <w:r w:rsidRPr="000B5630">
        <w:rPr>
          <w:rFonts w:ascii="Times New Roman" w:hAnsi="Times New Roman" w:cs="Times New Roman"/>
          <w:b/>
          <w:bCs/>
          <w:noProof/>
          <w:lang w:val="x-none"/>
        </w:rPr>
        <w:t>Grunt rodzimy</w:t>
      </w:r>
      <w:r w:rsidRPr="000B5630">
        <w:rPr>
          <w:rFonts w:ascii="Times New Roman" w:hAnsi="Times New Roman" w:cs="Times New Roman"/>
          <w:noProof/>
          <w:lang w:val="x-none"/>
        </w:rPr>
        <w:t xml:space="preserve"> – grunt powstały w miejscu zalegania w wyniku procesów geologicznych (wietrzenie, sedymentacja w środowisku wodnym itp.); grunty rodzime są zawsze gruntami naturalnymi</w:t>
      </w:r>
      <w:r w:rsidRPr="000B5630">
        <w:rPr>
          <w:rFonts w:ascii="Times New Roman" w:hAnsi="Times New Roman" w:cs="Times New Roman"/>
          <w:noProof/>
        </w:rPr>
        <w:t xml:space="preserve"> z rozróżnieniem na </w:t>
      </w:r>
      <w:r w:rsidRPr="000B5630">
        <w:rPr>
          <w:rFonts w:ascii="Times New Roman" w:hAnsi="Times New Roman" w:cs="Times New Roman"/>
          <w:noProof/>
          <w:lang w:val="x-none"/>
        </w:rPr>
        <w:t>skaliste,</w:t>
      </w:r>
      <w:r w:rsidRPr="000B5630">
        <w:rPr>
          <w:rFonts w:ascii="Times New Roman" w:hAnsi="Times New Roman" w:cs="Times New Roman"/>
          <w:noProof/>
        </w:rPr>
        <w:t xml:space="preserve"> </w:t>
      </w:r>
      <w:r w:rsidRPr="000B5630">
        <w:rPr>
          <w:rFonts w:ascii="Times New Roman" w:hAnsi="Times New Roman" w:cs="Times New Roman"/>
          <w:noProof/>
          <w:lang w:val="x-none"/>
        </w:rPr>
        <w:t>nieskaliste mineralne,</w:t>
      </w:r>
      <w:r w:rsidRPr="000B5630">
        <w:rPr>
          <w:rFonts w:ascii="Times New Roman" w:hAnsi="Times New Roman" w:cs="Times New Roman"/>
          <w:noProof/>
        </w:rPr>
        <w:t xml:space="preserve"> </w:t>
      </w:r>
      <w:r w:rsidRPr="000B5630">
        <w:rPr>
          <w:rFonts w:ascii="Times New Roman" w:hAnsi="Times New Roman" w:cs="Times New Roman"/>
          <w:noProof/>
          <w:lang w:val="x-none"/>
        </w:rPr>
        <w:t>nieskaliste organiczne.</w:t>
      </w:r>
    </w:p>
    <w:p w14:paraId="0A4C9E63"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Grunt nasypowy</w:t>
      </w:r>
      <w:r w:rsidRPr="000B5630">
        <w:rPr>
          <w:rFonts w:ascii="Times New Roman" w:hAnsi="Times New Roman" w:cs="Times New Roman"/>
          <w:noProof/>
          <w:lang w:val="x-none"/>
        </w:rPr>
        <w:t xml:space="preserve"> – grunt naturalny lub antropogeniczny powstały w wyniku działalności człowieka, np. w wysypiskach, zwałowiskach, zbiornikach osadowych, budowlach ziemnych itp.</w:t>
      </w:r>
    </w:p>
    <w:p w14:paraId="3864F49D"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 xml:space="preserve">Grunt skalisty </w:t>
      </w:r>
      <w:r w:rsidRPr="000B5630">
        <w:rPr>
          <w:rFonts w:ascii="Times New Roman" w:hAnsi="Times New Roman" w:cs="Times New Roman"/>
          <w:noProof/>
          <w:lang w:val="x-none"/>
        </w:rPr>
        <w:t xml:space="preserve">– grunt rodzimy, lity lub spękany o nieprzesuniętych blokach (najmniejszy wymiar bloku &gt; </w:t>
      </w:r>
      <w:smartTag w:uri="urn:schemas-microsoft-com:office:smarttags" w:element="metricconverter">
        <w:smartTagPr>
          <w:attr w:name="ProductID" w:val="10 cm"/>
        </w:smartTagPr>
        <w:r w:rsidRPr="000B5630">
          <w:rPr>
            <w:rFonts w:ascii="Times New Roman" w:hAnsi="Times New Roman" w:cs="Times New Roman"/>
            <w:noProof/>
            <w:lang w:val="x-none"/>
          </w:rPr>
          <w:t>10 cm</w:t>
        </w:r>
      </w:smartTag>
      <w:r w:rsidRPr="000B5630">
        <w:rPr>
          <w:rFonts w:ascii="Times New Roman" w:hAnsi="Times New Roman" w:cs="Times New Roman"/>
          <w:noProof/>
          <w:lang w:val="x-none"/>
        </w:rPr>
        <w:t>), którego próbki nie wykazują zmian objętości ani nie rozpadają się (rozmakają) pod działaniem wody destylowanej i mają wytrzymałość na ściskanie R</w:t>
      </w:r>
      <w:r w:rsidRPr="000B5630">
        <w:rPr>
          <w:rFonts w:ascii="Times New Roman" w:hAnsi="Times New Roman" w:cs="Times New Roman"/>
          <w:noProof/>
          <w:vertAlign w:val="subscript"/>
          <w:lang w:val="x-none"/>
        </w:rPr>
        <w:t>c</w:t>
      </w:r>
      <w:r w:rsidRPr="000B5630">
        <w:rPr>
          <w:rFonts w:ascii="Times New Roman" w:hAnsi="Times New Roman" w:cs="Times New Roman"/>
          <w:noProof/>
          <w:lang w:val="x-none"/>
        </w:rPr>
        <w:t xml:space="preserve"> &gt; 0,2 MPa.</w:t>
      </w:r>
    </w:p>
    <w:p w14:paraId="1408EACD"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Grunt nieskalisty</w:t>
      </w:r>
      <w:r w:rsidRPr="000B5630">
        <w:rPr>
          <w:rFonts w:ascii="Times New Roman" w:hAnsi="Times New Roman" w:cs="Times New Roman"/>
          <w:noProof/>
          <w:lang w:val="x-none"/>
        </w:rPr>
        <w:t xml:space="preserve"> – grunt rodzimy lub autogeniczny nie spełniający warunków gruntu skalistego.</w:t>
      </w:r>
    </w:p>
    <w:p w14:paraId="3524840E"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Grunt spoisty</w:t>
      </w:r>
      <w:r w:rsidRPr="000B5630">
        <w:rPr>
          <w:rFonts w:ascii="Times New Roman" w:hAnsi="Times New Roman" w:cs="Times New Roman"/>
          <w:noProof/>
          <w:lang w:val="x-none"/>
        </w:rPr>
        <w:t xml:space="preserve"> – nieskalisty grunt mineralny lub organiczny, wykazujący wartość wskaźnika plastyczności I</w:t>
      </w:r>
      <w:r w:rsidRPr="000B5630">
        <w:rPr>
          <w:rFonts w:ascii="Times New Roman" w:hAnsi="Times New Roman" w:cs="Times New Roman"/>
          <w:noProof/>
          <w:vertAlign w:val="subscript"/>
          <w:lang w:val="x-none"/>
        </w:rPr>
        <w:t>p</w:t>
      </w:r>
      <w:r w:rsidRPr="000B5630">
        <w:rPr>
          <w:rFonts w:ascii="Times New Roman" w:hAnsi="Times New Roman" w:cs="Times New Roman"/>
          <w:noProof/>
          <w:lang w:val="x-none"/>
        </w:rPr>
        <w:t xml:space="preserve"> &gt; 1% lub wykazujący w stanie wysuszonym stałość kształtu bryłek przy naprężeniach &gt; 0,01 MPa; minimalny wymiar bryłek nie może być przy tym mniejszy niż 10-krotny wartość maksymalnej średnicy ziaren. W stanie wilgotnym grunty spoiste wykazują cechę plastyczności.</w:t>
      </w:r>
    </w:p>
    <w:p w14:paraId="54EACECC"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Grunt niespoisty</w:t>
      </w:r>
      <w:r w:rsidRPr="000B5630">
        <w:rPr>
          <w:rFonts w:ascii="Times New Roman" w:hAnsi="Times New Roman" w:cs="Times New Roman"/>
          <w:noProof/>
          <w:lang w:val="x-none"/>
        </w:rPr>
        <w:t xml:space="preserve"> (sypki) – nieskalisty grunt mineralny lub organiczny nie spełniający warunków podanych dla gruntu spoistego.</w:t>
      </w:r>
    </w:p>
    <w:p w14:paraId="4F0C4D69"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Podłoże</w:t>
      </w:r>
      <w:r w:rsidRPr="000B5630">
        <w:rPr>
          <w:rFonts w:ascii="Times New Roman" w:hAnsi="Times New Roman" w:cs="Times New Roman"/>
          <w:noProof/>
          <w:lang w:val="x-none"/>
        </w:rPr>
        <w:t xml:space="preserve"> – część konstrukcyjna wykopu utrzymująca przewód między dnem wykopu a obsypką lub zasypką wstępną. W podłożu wyróżnia się górną i dolną podsypkę. W przypadku ułożenia przewodu na naturalnym dnie wykopu, dno wykopu jest dolną podsypką.</w:t>
      </w:r>
    </w:p>
    <w:p w14:paraId="2602A52A"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Grubość warstwy zagęszczenia</w:t>
      </w:r>
      <w:r w:rsidRPr="000B5630">
        <w:rPr>
          <w:rFonts w:ascii="Times New Roman" w:hAnsi="Times New Roman" w:cs="Times New Roman"/>
          <w:noProof/>
          <w:lang w:val="x-none"/>
        </w:rPr>
        <w:t xml:space="preserve"> – grubość kolejnej warstwy wypełnienia gruntem przed jej zagęszczeniem.</w:t>
      </w:r>
    </w:p>
    <w:p w14:paraId="4E8704F0"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Głębokość przykrycia</w:t>
      </w:r>
      <w:r w:rsidRPr="000B5630">
        <w:rPr>
          <w:rFonts w:ascii="Times New Roman" w:hAnsi="Times New Roman" w:cs="Times New Roman"/>
          <w:noProof/>
          <w:lang w:val="x-none"/>
        </w:rPr>
        <w:t xml:space="preserve"> – pionowa odległość między wierzchem rury a powierzchnią terenu.</w:t>
      </w:r>
    </w:p>
    <w:p w14:paraId="2CD54C5F"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Strefa ułożenia przewodu</w:t>
      </w:r>
      <w:r w:rsidRPr="000B5630">
        <w:rPr>
          <w:rFonts w:ascii="Times New Roman" w:hAnsi="Times New Roman" w:cs="Times New Roman"/>
          <w:noProof/>
          <w:lang w:val="x-none"/>
        </w:rPr>
        <w:t xml:space="preserve"> – wypełnienie otoczenia przewodu obejmujące podsypkę, obsypkę i wstępną zasypkę.</w:t>
      </w:r>
    </w:p>
    <w:p w14:paraId="0DDFA28B"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Zasypka wstępna</w:t>
      </w:r>
      <w:r w:rsidRPr="000B5630">
        <w:rPr>
          <w:rFonts w:ascii="Times New Roman" w:hAnsi="Times New Roman" w:cs="Times New Roman"/>
          <w:noProof/>
          <w:lang w:val="x-none"/>
        </w:rPr>
        <w:t xml:space="preserve"> – warstwa wypełniającego materiału gruntowego tuż nad wierzchem rury.</w:t>
      </w:r>
    </w:p>
    <w:p w14:paraId="576B73A7"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b/>
          <w:bCs/>
          <w:noProof/>
          <w:lang w:val="x-none"/>
        </w:rPr>
        <w:t>Zasypka główna</w:t>
      </w:r>
      <w:r w:rsidRPr="000B5630">
        <w:rPr>
          <w:rFonts w:ascii="Times New Roman" w:hAnsi="Times New Roman" w:cs="Times New Roman"/>
          <w:noProof/>
          <w:lang w:val="x-none"/>
        </w:rPr>
        <w:t xml:space="preserve"> – Wypełnienie gruntem między górną powierzchnią zasypki wstępnej a powierzchnią terenu, nasypu, spodem drogi lub spodem konstrukcji torów kolejowych.</w:t>
      </w:r>
    </w:p>
    <w:p w14:paraId="5040C09B"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p>
    <w:p w14:paraId="5F29EC93" w14:textId="77777777" w:rsidR="00C72960" w:rsidRPr="000B5630" w:rsidRDefault="00C72960" w:rsidP="00904E6C">
      <w:pPr>
        <w:numPr>
          <w:ilvl w:val="1"/>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rPr>
        <w:t>W</w:t>
      </w:r>
      <w:r w:rsidRPr="000B5630">
        <w:rPr>
          <w:rFonts w:ascii="Times New Roman" w:hAnsi="Times New Roman" w:cs="Times New Roman"/>
          <w:b/>
          <w:bCs/>
          <w:noProof/>
          <w:lang w:val="x-none"/>
        </w:rPr>
        <w:t>ymagania dotyczące robót</w:t>
      </w:r>
    </w:p>
    <w:p w14:paraId="66659D50"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lastRenderedPageBreak/>
        <w:t>Wykonawca robót określonych w pkt. 1.4. jest odpowiedzialny za jakość ich wykonania oraz za ich zgodność z dokumentacją projektową, ST i poleceniami Inspektora nadzoru oraz ze sztuką budowlaną</w:t>
      </w:r>
      <w:r w:rsidRPr="000B5630">
        <w:rPr>
          <w:rFonts w:ascii="Times New Roman" w:hAnsi="Times New Roman" w:cs="Times New Roman"/>
          <w:noProof/>
        </w:rPr>
        <w:t xml:space="preserve"> oraz wymaganiami Tauron Dystybucja S.A.</w:t>
      </w:r>
      <w:r w:rsidRPr="000B5630">
        <w:rPr>
          <w:rFonts w:ascii="Times New Roman" w:hAnsi="Times New Roman" w:cs="Times New Roman"/>
          <w:noProof/>
          <w:lang w:val="x-none"/>
        </w:rPr>
        <w:t xml:space="preserve"> </w:t>
      </w:r>
    </w:p>
    <w:p w14:paraId="63510510"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363C3272"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noProof/>
          <w:lang w:val="x-none"/>
        </w:rPr>
      </w:pPr>
      <w:r w:rsidRPr="000B5630">
        <w:rPr>
          <w:rFonts w:ascii="Times New Roman" w:hAnsi="Times New Roman" w:cs="Times New Roman"/>
          <w:b/>
          <w:noProof/>
          <w:lang w:val="x-none"/>
        </w:rPr>
        <w:t>Zgodność robót z dokumentacją projektową i ST</w:t>
      </w:r>
    </w:p>
    <w:p w14:paraId="3E680E04" w14:textId="77777777" w:rsidR="00C72960" w:rsidRPr="000B5630" w:rsidRDefault="00C72960" w:rsidP="00C72960">
      <w:pPr>
        <w:tabs>
          <w:tab w:val="left" w:pos="705"/>
          <w:tab w:val="right" w:leader="dot" w:pos="9075"/>
        </w:tabs>
        <w:autoSpaceDE w:val="0"/>
        <w:autoSpaceDN w:val="0"/>
        <w:adjustRightInd w:val="0"/>
        <w:spacing w:after="45"/>
        <w:jc w:val="both"/>
        <w:rPr>
          <w:rFonts w:ascii="Times New Roman" w:hAnsi="Times New Roman" w:cs="Times New Roman"/>
          <w:noProof/>
          <w:lang w:val="x-none"/>
        </w:rPr>
      </w:pPr>
      <w:r w:rsidRPr="000B5630">
        <w:rPr>
          <w:rFonts w:ascii="Times New Roman" w:hAnsi="Times New Roman" w:cs="Times New Roman"/>
          <w:noProof/>
          <w:lang w:val="x-none"/>
        </w:rPr>
        <w:t>Dokumentacja projektowa, SST oraz dodatkowe dokumenty przekazane Wykonawcy przez Inspektora nadzoru stanowią załączniki do umowy, a wymagania wyszczególnione w choćby jednym z nich są obowiązujące dla Wykonawcy tak, jakby zawarte były w całej dokumentacji.</w:t>
      </w:r>
    </w:p>
    <w:p w14:paraId="38EE77AF"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 przypadku rozbieżności w ustaleniach poszczególnych dokumentów obowiązuje kolejność ich ważności wymieniona w „Ogólnych warunkach umowy”.</w:t>
      </w:r>
    </w:p>
    <w:p w14:paraId="2F725250"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nie może wykorzystywać błędów lub opuszczeń w dokumentach kontraktowych, a o ich wykryciu winien natychmiast powiadomić Inspektora nadzoru, który dokona odpowiednich zmian i poprawek.</w:t>
      </w:r>
    </w:p>
    <w:p w14:paraId="4FCC8374"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 przypadku stwierdzenia ewentualnych rozbieżności podane na rysunku wielkości liczbowe wymiarów są ważniejsze od odczytu ze skali rysunków.</w:t>
      </w:r>
    </w:p>
    <w:p w14:paraId="73DBE269"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Wszystkie wykonane roboty i dostarczone materiały mają być zgodne z dokumentacją projektową i ST.</w:t>
      </w:r>
    </w:p>
    <w:p w14:paraId="5589DE37"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 przypadku, gdy dostarczane materiały lub wykonane roboty nie będą zgodne z dokumentacją projektową lub ST i mają wpływ na niezadowalającą jakość elementu budowli, to takie materiały zostaną zastąpione innymi, a elementy budowli rozebrane i wykonane ponownie na koszt wykonawcy.</w:t>
      </w:r>
    </w:p>
    <w:p w14:paraId="251EB86D"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2695FC46"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Zabezpieczenie terenu budowy</w:t>
      </w:r>
    </w:p>
    <w:p w14:paraId="62FBD8A1"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Wykonawca jest zobowiązany do zabezpieczenia terenu budowy w okresie trwania realizacji kontraktu aż do zakończenia i odbioru ostatecznego robót.</w:t>
      </w:r>
    </w:p>
    <w:p w14:paraId="72B2721A"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dostarczy, zainstaluje i będzie utrzymywać tymczasowe urządzenia zabezpieczające, w tym: ogrodzenia, poręcze, oświetlenie, sygnały i znaki ostrzegawcze, dozorców, wszelkie inne środki niezbędne do ochrony robót, wygody społeczności i innych. Koszt zabezpieczenia terenu budowy nie podlega odrębnej zapłacie i przyjmuje się, że jest włączony w cenę umowną.</w:t>
      </w:r>
    </w:p>
    <w:p w14:paraId="42D03293"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ab/>
        <w:t>Koszt zabezpieczenia terenu budowy nie podlega odrębnej zapłacie i przyjmuje się, że jest włączony w cenę umowną.</w:t>
      </w:r>
    </w:p>
    <w:p w14:paraId="4831173B"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1E550681"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Ochrona środowiska w czasie wykonywania robót</w:t>
      </w:r>
    </w:p>
    <w:p w14:paraId="3EE7550F"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Wykonawca ma obowiązek znać i stosować w czasie prowadzenia robót wszelkie przepisy dotyczące ochrony środowiska naturalnego.</w:t>
      </w:r>
      <w:r w:rsidRPr="000B5630">
        <w:rPr>
          <w:rFonts w:ascii="Times New Roman" w:hAnsi="Times New Roman" w:cs="Times New Roman"/>
          <w:noProof/>
        </w:rPr>
        <w:t xml:space="preserve"> </w:t>
      </w:r>
    </w:p>
    <w:p w14:paraId="4BB70441"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Stosując się do tych wymagań, Wykonawca będzie miał szczególny wzgląd na</w:t>
      </w:r>
      <w:r w:rsidRPr="000B5630">
        <w:rPr>
          <w:rFonts w:ascii="Times New Roman" w:hAnsi="Times New Roman" w:cs="Times New Roman"/>
          <w:noProof/>
        </w:rPr>
        <w:t xml:space="preserve"> </w:t>
      </w:r>
      <w:r w:rsidRPr="000B5630">
        <w:rPr>
          <w:rFonts w:ascii="Times New Roman" w:hAnsi="Times New Roman" w:cs="Times New Roman"/>
          <w:noProof/>
          <w:lang w:val="x-none"/>
        </w:rPr>
        <w:t>środki ostrożności i zabezpieczenia przed:</w:t>
      </w:r>
    </w:p>
    <w:p w14:paraId="472B095B" w14:textId="77777777" w:rsidR="00C72960" w:rsidRPr="000B5630" w:rsidRDefault="00C72960" w:rsidP="00C72960">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0B5630">
        <w:rPr>
          <w:rFonts w:ascii="Times New Roman" w:hAnsi="Times New Roman" w:cs="Times New Roman"/>
          <w:noProof/>
          <w:lang w:val="x-none"/>
        </w:rPr>
        <w:t>a) zanieczyszczeniem zbiorników i cieków wodnych pyłami lub substancjami toksycznymi,</w:t>
      </w:r>
    </w:p>
    <w:p w14:paraId="5912B66F" w14:textId="77777777" w:rsidR="00C72960" w:rsidRPr="000B5630" w:rsidRDefault="00C72960" w:rsidP="00C72960">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0B5630">
        <w:rPr>
          <w:rFonts w:ascii="Times New Roman" w:hAnsi="Times New Roman" w:cs="Times New Roman"/>
          <w:noProof/>
          <w:lang w:val="x-none"/>
        </w:rPr>
        <w:t>b) zanieczyszczeniem powietrza pyłami i gazami,</w:t>
      </w:r>
    </w:p>
    <w:p w14:paraId="3DED9A04" w14:textId="77777777" w:rsidR="00C72960" w:rsidRPr="000B5630" w:rsidRDefault="00C72960" w:rsidP="00C72960">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0B5630">
        <w:rPr>
          <w:rFonts w:ascii="Times New Roman" w:hAnsi="Times New Roman" w:cs="Times New Roman"/>
          <w:noProof/>
          <w:lang w:val="x-none"/>
        </w:rPr>
        <w:t>c) możliwością powstania pożaru.</w:t>
      </w:r>
    </w:p>
    <w:p w14:paraId="5F3A4F30"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5AFCC611"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Ochrona przeciwpożarowa</w:t>
      </w:r>
    </w:p>
    <w:p w14:paraId="2E476E04"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Wykonawca ma obowiązek przestrzegać przepisy i wymagania ochrony przeciwpożarowej.</w:t>
      </w:r>
    </w:p>
    <w:p w14:paraId="05546241"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musi utrzymywać sprawny sprzęt przeciwpożarowy, wymagany przez odpowiednie przepisy, na terenie baz produkcyjnych oraz w maszynach i pojazdach. Materiały łatwopalne będą składowane w sposób zgodny z odpowiednimi przepisami i zabezpieczone przed dostępem osób trzecich.</w:t>
      </w:r>
    </w:p>
    <w:p w14:paraId="114A0014"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lastRenderedPageBreak/>
        <w:tab/>
        <w:t>Wykonawca jest odpowiedzialny za wszelkie straty spowodowane pożarem wywołanym jako rezultat realizacji robót albo przez personel Wykonawcy.</w:t>
      </w:r>
    </w:p>
    <w:p w14:paraId="5EF1B609"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79E16F00"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Materiały szkodliwe dla otoczenia</w:t>
      </w:r>
    </w:p>
    <w:p w14:paraId="586C5D3E"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Materiały, które w sposób trwały są szkodliwe dla otoczenia, nie będą dopuszczalne do użytku.</w:t>
      </w:r>
    </w:p>
    <w:p w14:paraId="5041F24F"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Nie dopuszcza się użycia materiałów wywołujących szkodliwe promieniowanie o stężeniu większym od dopuszczalnego, określonego odpowiednimi przepisami.</w:t>
      </w:r>
    </w:p>
    <w:p w14:paraId="0CF991ED"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Wszelkie materiały odpadowe użyte do robót muszą mieć aprobatę techniczną wydaną przez uprawnioną jednostkę, jednoznacznie określającą brak szkodliwego oddziaływania tych materiałów na środowisko.</w:t>
      </w:r>
    </w:p>
    <w:p w14:paraId="5D5FE0AD"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14:paraId="423B33CD"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ab/>
        <w:t>Jeżeli Wykonawca użył materiałów szkodliwych dla otoczenia zgodnie ze specyfikacjami, a ich użycie spowodowało jakiekolwiek zagrożenie środowiska, to konsekwencje tego poniesie Zamawiający.</w:t>
      </w:r>
    </w:p>
    <w:p w14:paraId="743F08F9" w14:textId="77777777" w:rsidR="00C72960" w:rsidRPr="000B5630" w:rsidRDefault="00C72960" w:rsidP="00C72960">
      <w:pPr>
        <w:tabs>
          <w:tab w:val="left" w:pos="285"/>
          <w:tab w:val="right" w:leader="dot" w:pos="9075"/>
        </w:tabs>
        <w:autoSpaceDE w:val="0"/>
        <w:autoSpaceDN w:val="0"/>
        <w:adjustRightInd w:val="0"/>
        <w:spacing w:before="45" w:after="45"/>
        <w:jc w:val="both"/>
        <w:rPr>
          <w:rFonts w:ascii="Times New Roman" w:hAnsi="Times New Roman" w:cs="Times New Roman"/>
          <w:noProof/>
        </w:rPr>
      </w:pPr>
    </w:p>
    <w:p w14:paraId="31483FEE"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Ochrona własności publicznej i prywatnej</w:t>
      </w:r>
    </w:p>
    <w:p w14:paraId="3BC95086"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Wykonawca odpowiada za ochronę instalacji na powierzchni ziemi i za urządzenia podziemne, takie jak rurociągi, kable itp. Wykonawca zapewni właściwe oznaczenie i zabezpieczenie przed uszkodzeniem tych instalacji i urządzeń w czasie trwania budowy.</w:t>
      </w:r>
      <w:r w:rsidRPr="000B5630">
        <w:rPr>
          <w:rFonts w:ascii="Times New Roman" w:hAnsi="Times New Roman" w:cs="Times New Roman"/>
          <w:noProof/>
        </w:rPr>
        <w:t xml:space="preserve"> </w:t>
      </w:r>
      <w:r w:rsidRPr="000B5630">
        <w:rPr>
          <w:rFonts w:ascii="Times New Roman" w:hAnsi="Times New Roman" w:cs="Times New Roman"/>
          <w:noProof/>
          <w:lang w:val="x-none"/>
        </w:rPr>
        <w:t>O fakcie przypadkowego uszkodzenia tych instalacji Wykonawca bezzwłocznie powiadomi Inspektora nadzoru i zainteresowanych użytkowników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3522EDF6"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180FC292"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Bezpieczeństwo i higiena pracy</w:t>
      </w:r>
    </w:p>
    <w:p w14:paraId="2FA82A77"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Podczas realizacji robót Wykonawca musi przestrzegać przepisów dotyczących bezpieczeństwa i higieny pracy.</w:t>
      </w:r>
    </w:p>
    <w:p w14:paraId="6171DF62"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 szczególności Wykonawca ma obowiązek zadbać, aby personel nie wykonywał pracy w warunkach niebezpiecznych, szkodliwych dla zdrowia oraz nie spełniających odpowiednich wymagań sanitarnych.</w:t>
      </w:r>
    </w:p>
    <w:p w14:paraId="6893AFBB"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zapewni i będzie utrzymywał wszelkie urządzenia zabezpieczające, socjalne oraz sprzęt i odpowiednią odzież dla ochrony życia i zdrowia osób zatrudnionych na bu­dowie oraz dla zapewnienia bezpieczeństwa publicznego.</w:t>
      </w:r>
    </w:p>
    <w:p w14:paraId="04C97FD0"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ab/>
      </w:r>
      <w:r w:rsidRPr="000B5630">
        <w:rPr>
          <w:rFonts w:ascii="Times New Roman" w:hAnsi="Times New Roman" w:cs="Times New Roman"/>
          <w:noProof/>
        </w:rPr>
        <w:t>W</w:t>
      </w:r>
      <w:r w:rsidRPr="000B5630">
        <w:rPr>
          <w:rFonts w:ascii="Times New Roman" w:hAnsi="Times New Roman" w:cs="Times New Roman"/>
          <w:noProof/>
          <w:lang w:val="x-none"/>
        </w:rPr>
        <w:t>szelkie koszty związane z wypełnieniem wymagań określonych powyżej nie podlegają odrębnej zapłacie i są uwzględnione w cenie umownej za wykonane roboty.</w:t>
      </w:r>
    </w:p>
    <w:p w14:paraId="41391119"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4551D14F"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Ochrona i utrzymanie robót</w:t>
      </w:r>
    </w:p>
    <w:p w14:paraId="6ED7ACBF"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Wykonawca jest odpowiedzialny za ochronę robót i za wszelkie materiały i urządzenia używane do robót od daty rozpoczęcia do daty zakończenia robót (do wydania potwierdzenia ich zakończenia przez Inspektora nadzoru).</w:t>
      </w:r>
    </w:p>
    <w:p w14:paraId="630B0E8D"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Dokumentacja robót ziemnych</w:t>
      </w:r>
    </w:p>
    <w:p w14:paraId="3A3A181B"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Dokumentację robót ziemnych stanowią:</w:t>
      </w:r>
    </w:p>
    <w:p w14:paraId="61BB9853"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 xml:space="preserve">projekt budowlany, opracowany zgodnie z rozporządzeniem Ministra </w:t>
      </w:r>
      <w:r w:rsidRPr="000B5630">
        <w:rPr>
          <w:rFonts w:ascii="Times New Roman" w:hAnsi="Times New Roman" w:cs="Times New Roman"/>
          <w:noProof/>
        </w:rPr>
        <w:t>Rozwoju</w:t>
      </w:r>
      <w:r w:rsidRPr="000B5630">
        <w:rPr>
          <w:rFonts w:ascii="Times New Roman" w:hAnsi="Times New Roman" w:cs="Times New Roman"/>
          <w:noProof/>
          <w:lang w:val="x-none"/>
        </w:rPr>
        <w:t xml:space="preserve"> z dnia </w:t>
      </w:r>
      <w:r w:rsidRPr="000B5630">
        <w:rPr>
          <w:rFonts w:ascii="Times New Roman" w:hAnsi="Times New Roman" w:cs="Times New Roman"/>
          <w:noProof/>
        </w:rPr>
        <w:t>11</w:t>
      </w:r>
      <w:r w:rsidRPr="000B5630">
        <w:rPr>
          <w:rFonts w:ascii="Times New Roman" w:hAnsi="Times New Roman" w:cs="Times New Roman"/>
          <w:noProof/>
          <w:lang w:val="x-none"/>
        </w:rPr>
        <w:t>.0</w:t>
      </w:r>
      <w:r w:rsidRPr="000B5630">
        <w:rPr>
          <w:rFonts w:ascii="Times New Roman" w:hAnsi="Times New Roman" w:cs="Times New Roman"/>
          <w:noProof/>
        </w:rPr>
        <w:t>9</w:t>
      </w:r>
      <w:r w:rsidRPr="000B5630">
        <w:rPr>
          <w:rFonts w:ascii="Times New Roman" w:hAnsi="Times New Roman" w:cs="Times New Roman"/>
          <w:noProof/>
          <w:lang w:val="x-none"/>
        </w:rPr>
        <w:t>.20</w:t>
      </w:r>
      <w:r w:rsidRPr="000B5630">
        <w:rPr>
          <w:rFonts w:ascii="Times New Roman" w:hAnsi="Times New Roman" w:cs="Times New Roman"/>
          <w:noProof/>
        </w:rPr>
        <w:t>20</w:t>
      </w:r>
      <w:r w:rsidRPr="000B5630">
        <w:rPr>
          <w:rFonts w:ascii="Times New Roman" w:hAnsi="Times New Roman" w:cs="Times New Roman"/>
          <w:noProof/>
          <w:lang w:val="x-none"/>
        </w:rPr>
        <w:t xml:space="preserve"> r. „w sprawie szczegółowego zakresu i formy projektu budowlanego (Dz. U. z </w:t>
      </w:r>
      <w:r w:rsidRPr="000B5630">
        <w:rPr>
          <w:rFonts w:ascii="Times New Roman" w:hAnsi="Times New Roman" w:cs="Times New Roman"/>
          <w:noProof/>
          <w:lang w:val="x-none"/>
        </w:rPr>
        <w:lastRenderedPageBreak/>
        <w:t>20</w:t>
      </w:r>
      <w:r w:rsidRPr="000B5630">
        <w:rPr>
          <w:rFonts w:ascii="Times New Roman" w:hAnsi="Times New Roman" w:cs="Times New Roman"/>
          <w:noProof/>
        </w:rPr>
        <w:t>20</w:t>
      </w:r>
      <w:r w:rsidRPr="000B5630">
        <w:rPr>
          <w:rFonts w:ascii="Times New Roman" w:hAnsi="Times New Roman" w:cs="Times New Roman"/>
          <w:noProof/>
          <w:lang w:val="x-none"/>
        </w:rPr>
        <w:t>r.</w:t>
      </w:r>
      <w:r w:rsidRPr="000B5630">
        <w:rPr>
          <w:rFonts w:ascii="Times New Roman" w:hAnsi="Times New Roman" w:cs="Times New Roman"/>
          <w:noProof/>
        </w:rPr>
        <w:t xml:space="preserve">, </w:t>
      </w:r>
      <w:r w:rsidRPr="000B5630">
        <w:rPr>
          <w:rFonts w:ascii="Times New Roman" w:hAnsi="Times New Roman" w:cs="Times New Roman"/>
          <w:noProof/>
          <w:lang w:val="x-none"/>
        </w:rPr>
        <w:t>poz. 1</w:t>
      </w:r>
      <w:r w:rsidRPr="000B5630">
        <w:rPr>
          <w:rFonts w:ascii="Times New Roman" w:hAnsi="Times New Roman" w:cs="Times New Roman"/>
          <w:noProof/>
        </w:rPr>
        <w:t>609</w:t>
      </w:r>
      <w:r w:rsidRPr="000B5630">
        <w:rPr>
          <w:rFonts w:ascii="Times New Roman" w:hAnsi="Times New Roman" w:cs="Times New Roman"/>
          <w:noProof/>
          <w:lang w:val="x-none"/>
        </w:rPr>
        <w:t>), dla przedmiotu zamówienia dla którego wymagane jest uzyskanie pozwolenia na budowę,</w:t>
      </w:r>
    </w:p>
    <w:p w14:paraId="74CFA428"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projekt wykonawczy w zakresie wynikającym z rozporządzenia Ministra Infrastruktury z 02.09.2004 r. w sprawie szczegółowego zakresu i formy dokumentacji projektowej, specyfikacji technicznych wykonania i odbioru robót budowlanych oraz programu funkcjonalno-użytkowego (Dz. U. z 2004 r. Nr 202, poz. 2072 z późn. zmianami),</w:t>
      </w:r>
    </w:p>
    <w:p w14:paraId="5CD983F9"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specyfikacja techniczna wykonania i odbioru robót</w:t>
      </w:r>
      <w:r w:rsidRPr="000B5630">
        <w:rPr>
          <w:rFonts w:ascii="Times New Roman" w:hAnsi="Times New Roman" w:cs="Times New Roman"/>
          <w:noProof/>
        </w:rPr>
        <w:t xml:space="preserve">, </w:t>
      </w:r>
      <w:r w:rsidRPr="000B5630">
        <w:rPr>
          <w:rFonts w:ascii="Times New Roman" w:hAnsi="Times New Roman" w:cs="Times New Roman"/>
          <w:noProof/>
          <w:lang w:val="x-none"/>
        </w:rPr>
        <w:t>sporządzona zgodnie z rozporządzeniem Ministra Infrastruktury z dnia 02.09.2004 r. w sprawie szczegółowego zakresu i formy dokumentacji projektowej, specyfikacji technicznych wykonania i odbioru robót budowlanych oraz programu funkcjonalno-użytkowego (Dz. U. z 2004 r. Nr 202, poz. 2072 z późn. zmianami),</w:t>
      </w:r>
    </w:p>
    <w:p w14:paraId="1FA8C199"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dziennik budowy prowadzony zgodnie z rozporządzeniem Ministra Infrastruktury z dnia 26 czerwca 2002 r. w sprawie dziennika budowy, montażu i rozbiórki, tablicy informacyjnej oraz ogłoszenia zawierającego dane dotyczące bezpieczeństwa pracy i ochrony zdrowia (Dz. U. z 2002 r. Nr 108, poz. 953 z późn. zmianami),</w:t>
      </w:r>
    </w:p>
    <w:p w14:paraId="2817D1C4"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dokumenty świadczące o dopuszczeniu do obrotu i powszechnego lub jednostkowego zastosowania użytych wyrobów budowlanych, zgodnie z ustawą z 16 kwietnia 2004 r. o wyrobach budowlanych (Dz. U. z 2004 r. Nr 92, poz. 881),</w:t>
      </w:r>
    </w:p>
    <w:p w14:paraId="34D7151C"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protokoły odbiorów częściowych, końcowych i robót zanikających, z załączonymi protokołami z badań kontrolnych,</w:t>
      </w:r>
    </w:p>
    <w:p w14:paraId="3A51A2E5" w14:textId="77777777" w:rsidR="00C72960" w:rsidRPr="000B5630" w:rsidRDefault="00C72960" w:rsidP="00904E6C">
      <w:pPr>
        <w:numPr>
          <w:ilvl w:val="0"/>
          <w:numId w:val="298"/>
        </w:numPr>
        <w:tabs>
          <w:tab w:val="clear" w:pos="285"/>
          <w:tab w:val="num" w:pos="709"/>
          <w:tab w:val="right" w:leader="dot" w:pos="9075"/>
        </w:tabs>
        <w:autoSpaceDE w:val="0"/>
        <w:autoSpaceDN w:val="0"/>
        <w:adjustRightInd w:val="0"/>
        <w:spacing w:before="45" w:after="45" w:line="240" w:lineRule="auto"/>
        <w:ind w:left="709" w:hanging="283"/>
        <w:jc w:val="both"/>
        <w:rPr>
          <w:rFonts w:ascii="Times New Roman" w:hAnsi="Times New Roman" w:cs="Times New Roman"/>
          <w:noProof/>
          <w:lang w:val="x-none"/>
        </w:rPr>
      </w:pPr>
      <w:r w:rsidRPr="000B5630">
        <w:rPr>
          <w:rFonts w:ascii="Times New Roman" w:hAnsi="Times New Roman" w:cs="Times New Roman"/>
          <w:noProof/>
          <w:lang w:val="x-none"/>
        </w:rPr>
        <w:t>dokumentacja powykonawcza czyli wcześniej wymienione części składowe dokumentacji z naniesionymi zmianami dokonanymi w toku wykonywania robót (zgodnie z art. 3, pkt 14 ustawy Prawo budowlane z dnia 7 lipca 1994 r. – tekst jednolity Dz. U. z 20</w:t>
      </w:r>
      <w:r w:rsidRPr="000B5630">
        <w:rPr>
          <w:rFonts w:ascii="Times New Roman" w:hAnsi="Times New Roman" w:cs="Times New Roman"/>
          <w:noProof/>
        </w:rPr>
        <w:t>17</w:t>
      </w:r>
      <w:r w:rsidRPr="000B5630">
        <w:rPr>
          <w:rFonts w:ascii="Times New Roman" w:hAnsi="Times New Roman" w:cs="Times New Roman"/>
          <w:noProof/>
          <w:lang w:val="x-none"/>
        </w:rPr>
        <w:t xml:space="preserve"> r., poz. </w:t>
      </w:r>
      <w:r w:rsidRPr="000B5630">
        <w:rPr>
          <w:rFonts w:ascii="Times New Roman" w:hAnsi="Times New Roman" w:cs="Times New Roman"/>
          <w:noProof/>
        </w:rPr>
        <w:t xml:space="preserve">1332 </w:t>
      </w:r>
      <w:r w:rsidRPr="000B5630">
        <w:rPr>
          <w:rFonts w:ascii="Times New Roman" w:hAnsi="Times New Roman" w:cs="Times New Roman"/>
          <w:noProof/>
          <w:lang w:val="x-none"/>
        </w:rPr>
        <w:t>z późniejszymi zmianami).</w:t>
      </w:r>
    </w:p>
    <w:p w14:paraId="68E30F38"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Roboty należy wykonywać na podstawie dokumentacji projektowej i specyfikacji technicznej wykonania i odbioru robót budowlanych opracowanych dla realizacji konkretnego zadania.</w:t>
      </w:r>
    </w:p>
    <w:p w14:paraId="69CBC3FD"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492AA949"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3" w:name="_Toc51694201"/>
      <w:r w:rsidRPr="000B5630">
        <w:rPr>
          <w:kern w:val="0"/>
          <w:sz w:val="22"/>
          <w:szCs w:val="22"/>
          <w:lang w:eastAsia="ar-SA"/>
        </w:rPr>
        <w:t>WYMAGANIA DOTYCZĄCE WŁAŚCIWOŚCI MATERIAŁÓW</w:t>
      </w:r>
      <w:bookmarkEnd w:id="933"/>
    </w:p>
    <w:p w14:paraId="04AD3056"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Materiały do wykonania robót elektryczno-montażowych i elementów wykończeniowych obiektu należy stosować zgodnie z Dokumentacją Projektową, opisem technicznym i rysunkami. Wykonawca przedstawi Inspektorowi nadzoru szczegółowe informacje dotyczące, zamawiania materiałów i odpowiednie aprobaty techniczne i certyfikaty. Pozostałe materiały budowlane powinny spełniać wymagania jakościowe określone Polskimi Normami, aprobatami technicznymi, o których mowa w Szczegółowych Specyfikacjach Technicznych.</w:t>
      </w:r>
    </w:p>
    <w:p w14:paraId="03240C6B"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b/>
          <w:bCs/>
          <w:noProof/>
          <w:lang w:val="x-none"/>
        </w:rPr>
      </w:pPr>
    </w:p>
    <w:p w14:paraId="18FD08B1"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bCs/>
          <w:noProof/>
          <w:lang w:val="x-none"/>
        </w:rPr>
        <w:t>Rodzaje materiałów</w:t>
      </w:r>
    </w:p>
    <w:p w14:paraId="3E431B09" w14:textId="77777777" w:rsidR="00C72960" w:rsidRPr="000B5630" w:rsidRDefault="00C72960" w:rsidP="00904E6C">
      <w:pPr>
        <w:numPr>
          <w:ilvl w:val="2"/>
          <w:numId w:val="297"/>
        </w:numPr>
        <w:tabs>
          <w:tab w:val="right" w:leader="dot" w:pos="9075"/>
        </w:tabs>
        <w:autoSpaceDE w:val="0"/>
        <w:autoSpaceDN w:val="0"/>
        <w:adjustRightInd w:val="0"/>
        <w:spacing w:before="45" w:after="45" w:line="240" w:lineRule="auto"/>
        <w:ind w:left="0" w:firstLine="0"/>
        <w:jc w:val="both"/>
        <w:rPr>
          <w:rFonts w:ascii="Times New Roman" w:hAnsi="Times New Roman" w:cs="Times New Roman"/>
          <w:b/>
          <w:lang w:val="x-none"/>
        </w:rPr>
      </w:pPr>
      <w:r w:rsidRPr="000B5630">
        <w:rPr>
          <w:rFonts w:ascii="Times New Roman" w:hAnsi="Times New Roman" w:cs="Times New Roman"/>
          <w:b/>
          <w:noProof/>
          <w:lang w:val="x-none"/>
        </w:rPr>
        <w:t>Grunty – wymagania ogólne</w:t>
      </w:r>
    </w:p>
    <w:p w14:paraId="2F71039C"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Grunty uzyskane przy wykonywaniu wykopów powinny być przez Wykonawcę wykorzystywane w maksymalnym stopniu do zasypki (przy spełnieniu wymogów jakościowych). Miejsce czasowego składania gruntów powinno być zlokalizowane w obrębie placu budowy lub poza terenem budowy w miejscach uzgodnionych z Inspektorem nadzoru.</w:t>
      </w:r>
    </w:p>
    <w:p w14:paraId="1DA43B42"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Grunt  użyty do zasypki powinien odpowiadać wymaganiom projektowym, wg PN-B-03020. Grunt ten może być gruntem rodzimym lub dostarczonym z zewnątrz, nie powinien być zbrylony (zamarznięty) nie może zawierać gruzu, śmieci itp., co mogłoby uszkodzić przewód lub spowodować niewłaściwe zagęszczenie zasypki.</w:t>
      </w:r>
    </w:p>
    <w:p w14:paraId="408226AC"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5C126A33" w14:textId="77777777" w:rsidR="00C72960" w:rsidRPr="000B5630" w:rsidRDefault="00C72960" w:rsidP="00C72960">
      <w:pPr>
        <w:autoSpaceDE w:val="0"/>
        <w:autoSpaceDN w:val="0"/>
        <w:adjustRightInd w:val="0"/>
        <w:spacing w:before="45" w:after="45"/>
        <w:rPr>
          <w:rFonts w:ascii="Times New Roman" w:hAnsi="Times New Roman" w:cs="Times New Roman"/>
          <w:lang w:val="x-none"/>
        </w:rPr>
      </w:pPr>
      <w:r w:rsidRPr="000B5630">
        <w:rPr>
          <w:rFonts w:ascii="Times New Roman" w:hAnsi="Times New Roman" w:cs="Times New Roman"/>
          <w:b/>
          <w:bCs/>
          <w:noProof/>
          <w:lang w:val="x-none"/>
        </w:rPr>
        <w:t>Składowanie materiałów</w:t>
      </w:r>
    </w:p>
    <w:p w14:paraId="49811EF0"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Grunt wydobywany z wykopu powinien być składowany po jednej stronie wykopu lub wywieziony na odkład. Elementy obudowy wykopów należy składać w taki sposób, aby nie nastąpiło ich samoczynne przesunięcie.</w:t>
      </w:r>
    </w:p>
    <w:p w14:paraId="798CB30D"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lastRenderedPageBreak/>
        <w:tab/>
        <w:t>Wykonawca zapewni, aby tymczasowo składowane materiały były zabezpieczone przed zanieczyszczeniami, zachowały swoją jakość i właściwości.</w:t>
      </w:r>
    </w:p>
    <w:p w14:paraId="25BE0012"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b/>
          <w:bCs/>
          <w:noProof/>
          <w:lang w:val="x-none"/>
        </w:rPr>
      </w:pPr>
    </w:p>
    <w:p w14:paraId="0515803E"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4" w:name="_Toc51694202"/>
      <w:r w:rsidRPr="000B5630">
        <w:rPr>
          <w:kern w:val="0"/>
          <w:sz w:val="22"/>
          <w:szCs w:val="22"/>
          <w:lang w:eastAsia="ar-SA"/>
        </w:rPr>
        <w:t>WYMAGANIA DOTYCZĄCE SPRZĘTU, MASZYN I NARZĘDZI</w:t>
      </w:r>
      <w:bookmarkEnd w:id="934"/>
    </w:p>
    <w:p w14:paraId="24E58BDD"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 xml:space="preserve">Wykonawca jest zobowiązany do używania jedynie takiego sprzętu, który nie spowoduje niekorzystnego wpływu na jakość wykonywanych robót. </w:t>
      </w:r>
    </w:p>
    <w:p w14:paraId="15335FC0"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Liczba i wydajność sprzętu będzie gwarantować przeprowadzenie robót, zgodnie z zasadami określonymi w dokumentacji projektowej, ST i wskazaniach Inspektora nadzoru w terminie przewidzianym umową.</w:t>
      </w:r>
    </w:p>
    <w:p w14:paraId="6EED00A5"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Sprzęt będący własnością Wykonawcy lub wynajęty do wykonania robót ma być utrzymywany w dobrym stanie i gotowości do pracy. Będzie spełniał normy ochrony środowiska i przepisy dotyczące jego użytkowania.</w:t>
      </w:r>
    </w:p>
    <w:p w14:paraId="153EA71D" w14:textId="77777777" w:rsidR="00C72960" w:rsidRPr="000B5630" w:rsidRDefault="00C72960" w:rsidP="00C72960">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dostarczy Inspektorowi nadzoru kopie dokumentów potwierdzających dopuszczenie sprzętu do użytkowania, tam gdzie jest to wymagane przepisami.</w:t>
      </w:r>
    </w:p>
    <w:p w14:paraId="1F9DD00A"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0442D492" w14:textId="77777777" w:rsidR="00C72960" w:rsidRPr="000B5630" w:rsidRDefault="00C72960" w:rsidP="00904E6C">
      <w:pPr>
        <w:numPr>
          <w:ilvl w:val="1"/>
          <w:numId w:val="297"/>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Sprzęt do robót ziemnych</w:t>
      </w:r>
    </w:p>
    <w:p w14:paraId="12E19CB7" w14:textId="77777777" w:rsidR="00C72960" w:rsidRPr="000B5630" w:rsidRDefault="00C72960" w:rsidP="00C72960">
      <w:pPr>
        <w:tabs>
          <w:tab w:val="left" w:pos="705"/>
          <w:tab w:val="right" w:leader="dot" w:pos="9075"/>
        </w:tabs>
        <w:autoSpaceDE w:val="0"/>
        <w:autoSpaceDN w:val="0"/>
        <w:adjustRightInd w:val="0"/>
        <w:jc w:val="both"/>
        <w:rPr>
          <w:rFonts w:ascii="Times New Roman" w:hAnsi="Times New Roman" w:cs="Times New Roman"/>
          <w:noProof/>
          <w:lang w:val="x-none"/>
        </w:rPr>
      </w:pPr>
      <w:r w:rsidRPr="000B5630">
        <w:rPr>
          <w:rFonts w:ascii="Times New Roman" w:hAnsi="Times New Roman" w:cs="Times New Roman"/>
          <w:noProof/>
          <w:lang w:val="x-none"/>
        </w:rPr>
        <w:t>Wykonawca przystępujący do wykonania robót ziemnych powinien wykazać się możliwością korzystania z następującego sprzętu do:</w:t>
      </w:r>
    </w:p>
    <w:p w14:paraId="7445CA61" w14:textId="77777777" w:rsidR="00C72960" w:rsidRPr="000B5630" w:rsidRDefault="00C72960" w:rsidP="00904E6C">
      <w:pPr>
        <w:numPr>
          <w:ilvl w:val="0"/>
          <w:numId w:val="301"/>
        </w:numPr>
        <w:tabs>
          <w:tab w:val="clear" w:pos="405"/>
          <w:tab w:val="num" w:pos="709"/>
          <w:tab w:val="right" w:leader="dot" w:pos="9075"/>
        </w:tabs>
        <w:autoSpaceDE w:val="0"/>
        <w:autoSpaceDN w:val="0"/>
        <w:adjustRightInd w:val="0"/>
        <w:spacing w:after="0"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odspajania i wydobywania gruntów (narzędzia mechaniczne, młoty pneumatyczne, zrywarki, koparki, ładowarki, wiertarki mechaniczne itp.),</w:t>
      </w:r>
    </w:p>
    <w:p w14:paraId="3471EA65" w14:textId="77777777" w:rsidR="00C72960" w:rsidRPr="000B5630" w:rsidRDefault="00C72960" w:rsidP="00904E6C">
      <w:pPr>
        <w:numPr>
          <w:ilvl w:val="0"/>
          <w:numId w:val="301"/>
        </w:numPr>
        <w:tabs>
          <w:tab w:val="num" w:pos="709"/>
          <w:tab w:val="right" w:leader="dot" w:pos="9075"/>
        </w:tabs>
        <w:autoSpaceDE w:val="0"/>
        <w:autoSpaceDN w:val="0"/>
        <w:adjustRightInd w:val="0"/>
        <w:spacing w:after="0"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transportu mas ziemnych (samochody wywrotki, samochody skrzyniowe, taśmociągi itp.),</w:t>
      </w:r>
    </w:p>
    <w:p w14:paraId="1139E19C" w14:textId="77777777" w:rsidR="00C72960" w:rsidRPr="000B5630" w:rsidRDefault="00C72960" w:rsidP="00904E6C">
      <w:pPr>
        <w:numPr>
          <w:ilvl w:val="0"/>
          <w:numId w:val="301"/>
        </w:numPr>
        <w:tabs>
          <w:tab w:val="num" w:pos="709"/>
          <w:tab w:val="right" w:leader="dot" w:pos="9075"/>
        </w:tabs>
        <w:autoSpaceDE w:val="0"/>
        <w:autoSpaceDN w:val="0"/>
        <w:adjustRightInd w:val="0"/>
        <w:spacing w:after="0"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sprzętu zagęszczającego (walce, ubijaki, płyty wibracyjne itp.).</w:t>
      </w:r>
    </w:p>
    <w:p w14:paraId="7490EAFF" w14:textId="77777777" w:rsidR="00C72960" w:rsidRPr="000B5630" w:rsidRDefault="00C72960" w:rsidP="00C72960">
      <w:pPr>
        <w:tabs>
          <w:tab w:val="right" w:leader="dot" w:pos="9075"/>
        </w:tabs>
        <w:autoSpaceDE w:val="0"/>
        <w:autoSpaceDN w:val="0"/>
        <w:adjustRightInd w:val="0"/>
        <w:spacing w:before="45" w:after="45"/>
        <w:jc w:val="both"/>
        <w:rPr>
          <w:rFonts w:ascii="Times New Roman" w:hAnsi="Times New Roman" w:cs="Times New Roman"/>
          <w:noProof/>
          <w:lang w:val="x-none"/>
        </w:rPr>
      </w:pPr>
    </w:p>
    <w:p w14:paraId="769423DB"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5" w:name="_Toc51694203"/>
      <w:r w:rsidRPr="000B5630">
        <w:rPr>
          <w:kern w:val="0"/>
          <w:sz w:val="22"/>
          <w:szCs w:val="22"/>
          <w:lang w:eastAsia="ar-SA"/>
        </w:rPr>
        <w:t>WYMAGANIA DOTYCZĄCE TRANSPORTU</w:t>
      </w:r>
      <w:bookmarkEnd w:id="935"/>
    </w:p>
    <w:p w14:paraId="2C308611" w14:textId="77777777" w:rsidR="00C72960" w:rsidRPr="000B5630" w:rsidRDefault="00C72960" w:rsidP="00C72960">
      <w:pPr>
        <w:tabs>
          <w:tab w:val="left" w:pos="705"/>
          <w:tab w:val="right" w:leader="dot" w:pos="9075"/>
        </w:tabs>
        <w:autoSpaceDE w:val="0"/>
        <w:autoSpaceDN w:val="0"/>
        <w:adjustRightInd w:val="0"/>
        <w:jc w:val="both"/>
        <w:rPr>
          <w:rFonts w:ascii="Times New Roman" w:hAnsi="Times New Roman" w:cs="Times New Roman"/>
          <w:noProof/>
          <w:lang w:val="x-none"/>
        </w:rPr>
      </w:pPr>
      <w:r w:rsidRPr="000B5630">
        <w:rPr>
          <w:rFonts w:ascii="Times New Roman" w:hAnsi="Times New Roman" w:cs="Times New Roman"/>
          <w:noProof/>
          <w:lang w:val="x-none"/>
        </w:rPr>
        <w:t>Wykonawca jest zobowiązany do stosowania jedynie takich środków transportu, które nie wpłyną niekorzystnie na jakość wykonywanych robót i właściwości przewożonych materiałów.</w:t>
      </w:r>
    </w:p>
    <w:p w14:paraId="5C93F73E" w14:textId="77777777" w:rsidR="00C72960" w:rsidRPr="000B5630" w:rsidRDefault="00C72960" w:rsidP="00C72960">
      <w:pPr>
        <w:tabs>
          <w:tab w:val="left" w:pos="285"/>
          <w:tab w:val="left" w:pos="705"/>
          <w:tab w:val="right" w:leader="dot" w:pos="9075"/>
        </w:tabs>
        <w:autoSpaceDE w:val="0"/>
        <w:autoSpaceDN w:val="0"/>
        <w:adjustRightInd w:val="0"/>
        <w:jc w:val="both"/>
        <w:rPr>
          <w:rFonts w:ascii="Times New Roman" w:hAnsi="Times New Roman" w:cs="Times New Roman"/>
          <w:noProof/>
          <w:lang w:val="x-none"/>
        </w:rPr>
      </w:pPr>
      <w:r w:rsidRPr="000B5630">
        <w:rPr>
          <w:rFonts w:ascii="Times New Roman" w:hAnsi="Times New Roman" w:cs="Times New Roman"/>
          <w:noProof/>
          <w:lang w:val="x-none"/>
        </w:rPr>
        <w:tab/>
        <w:t>Wykonawca będzie usuwać na bieżąco, na własny koszt, wszelkie zanieczyszczenia spowodowane jego pojazdami na drogach publicznych oraz dojazdach do terenu budowy.</w:t>
      </w:r>
    </w:p>
    <w:p w14:paraId="3380E0CA" w14:textId="77777777" w:rsidR="00C72960" w:rsidRPr="000B5630" w:rsidRDefault="00C72960" w:rsidP="00C72960">
      <w:pPr>
        <w:tabs>
          <w:tab w:val="left" w:pos="285"/>
          <w:tab w:val="left" w:pos="705"/>
          <w:tab w:val="right" w:leader="dot" w:pos="9075"/>
        </w:tabs>
        <w:autoSpaceDE w:val="0"/>
        <w:autoSpaceDN w:val="0"/>
        <w:adjustRightInd w:val="0"/>
        <w:jc w:val="both"/>
        <w:rPr>
          <w:rFonts w:ascii="Times New Roman" w:hAnsi="Times New Roman" w:cs="Times New Roman"/>
          <w:noProof/>
          <w:lang w:val="x-none"/>
        </w:rPr>
      </w:pPr>
    </w:p>
    <w:p w14:paraId="723C61FF"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6" w:name="_Toc51694204"/>
      <w:r w:rsidRPr="000B5630">
        <w:rPr>
          <w:kern w:val="0"/>
          <w:sz w:val="22"/>
          <w:szCs w:val="22"/>
          <w:lang w:eastAsia="ar-SA"/>
        </w:rPr>
        <w:t>WYMAGANIA DOTYCZĄCE WYKONANIE ROBÓT</w:t>
      </w:r>
      <w:bookmarkEnd w:id="936"/>
    </w:p>
    <w:p w14:paraId="118871D2"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rPr>
        <w:t>Z</w:t>
      </w:r>
      <w:r w:rsidRPr="000B5630">
        <w:rPr>
          <w:rFonts w:ascii="Times New Roman" w:hAnsi="Times New Roman" w:cs="Times New Roman"/>
          <w:b/>
          <w:bCs/>
          <w:noProof/>
          <w:lang w:val="x-none"/>
        </w:rPr>
        <w:t xml:space="preserve">asady wykonania robót </w:t>
      </w:r>
    </w:p>
    <w:p w14:paraId="3A833445" w14:textId="77777777" w:rsidR="00C72960" w:rsidRPr="000B5630" w:rsidRDefault="00C72960" w:rsidP="00C72960">
      <w:pPr>
        <w:tabs>
          <w:tab w:val="left" w:pos="70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Wykonawca jest odpowiedzialny za prowadzenie robót zgodnie z umową oraz za jakość zastosowanych materiałów i wykonywanych robót, za ich zgodność z dokumentacją projektową, wymaganiami ST, projektu organizacji robót oraz poleceniami Inspektora nadzoru.</w:t>
      </w:r>
    </w:p>
    <w:p w14:paraId="567910A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Wykonawca ponosi odpowiedzialność za dokładne wytyczenie w planie i wyznaczenie wysokości wszystkich elementów robót zgodnie z wymiarami i rzędnymi określonymi w dokumentacji projektowej lub przekazanymi na piśmie przez Inspektora nadzoru. Następstwa jakiegokolwiek błędu spowodowanego przez Wykonawcę w wytyczeniu i wyznaczaniu robót zostaną, jeśli wymagać tego będzie Inspektor nadzoru, poprawione przez Wykonawcę na własny koszt.</w:t>
      </w:r>
    </w:p>
    <w:p w14:paraId="7D80015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Sprawdzenie wytyczenia robót lub wyznaczenia wysokości przez Inspektora nadzoru nie zwalnia Wykonawcy od odpowiedzialności za ich dokładność.</w:t>
      </w:r>
    </w:p>
    <w:p w14:paraId="32BFAB43"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7E1A0892"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Metody wykonania wykopów</w:t>
      </w:r>
    </w:p>
    <w:p w14:paraId="47C7C41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Wykopy mogą być obudowane, nie obudowane, ze skarpami, lub ze skarpami obudowane w dolnej części. Wykonuje się je ręcznie lub mechanicznie. Sposób wykonania wykopów powinien być zgodny z projektem</w:t>
      </w:r>
      <w:r w:rsidRPr="000B5630">
        <w:rPr>
          <w:rFonts w:ascii="Times New Roman" w:hAnsi="Times New Roman" w:cs="Times New Roman"/>
          <w:noProof/>
        </w:rPr>
        <w:t xml:space="preserve"> i warunkami terenowymi</w:t>
      </w:r>
      <w:r w:rsidRPr="000B5630">
        <w:rPr>
          <w:rFonts w:ascii="Times New Roman" w:hAnsi="Times New Roman" w:cs="Times New Roman"/>
          <w:noProof/>
          <w:lang w:val="x-none"/>
        </w:rPr>
        <w:t>.</w:t>
      </w:r>
    </w:p>
    <w:p w14:paraId="55B9CA45"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p>
    <w:p w14:paraId="539189D7"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Zasypka wykopów</w:t>
      </w:r>
    </w:p>
    <w:p w14:paraId="1161CF9B"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b/>
          <w:bCs/>
          <w:noProof/>
          <w:lang w:val="x-none"/>
        </w:rPr>
      </w:pPr>
      <w:r w:rsidRPr="000B5630">
        <w:rPr>
          <w:rFonts w:ascii="Times New Roman" w:hAnsi="Times New Roman" w:cs="Times New Roman"/>
          <w:b/>
          <w:bCs/>
          <w:noProof/>
          <w:lang w:val="x-none"/>
        </w:rPr>
        <w:t>Warstwa ochronna zasypki</w:t>
      </w:r>
    </w:p>
    <w:p w14:paraId="7066204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 xml:space="preserve">Użyty materiał i sposób zasypania przewodu nie powinny spowodować uszkodzenia ułożonego przewodu. Grubość warstwy ochronnej zasypki strefy niebezpiecznej ponad wierzch przewodu lub rury powinna wynosić co najmniej </w:t>
      </w:r>
      <w:smartTag w:uri="urn:schemas-microsoft-com:office:smarttags" w:element="metricconverter">
        <w:smartTagPr>
          <w:attr w:name="ProductID" w:val="0,5 m"/>
        </w:smartTagPr>
        <w:r w:rsidRPr="000B5630">
          <w:rPr>
            <w:rFonts w:ascii="Times New Roman" w:hAnsi="Times New Roman" w:cs="Times New Roman"/>
            <w:noProof/>
            <w:lang w:val="x-none"/>
          </w:rPr>
          <w:t>0,5 m</w:t>
        </w:r>
      </w:smartTag>
      <w:r w:rsidRPr="000B5630">
        <w:rPr>
          <w:rFonts w:ascii="Times New Roman" w:hAnsi="Times New Roman" w:cs="Times New Roman"/>
          <w:noProof/>
          <w:lang w:val="x-none"/>
        </w:rPr>
        <w:t>. Materiałem zasypki w obrębie strefy niebezpiecznej powinien być grunt nieskalisty, bez grud i kamieni, mineralny, sypki, drobno lub średnioziarnisty wg PN-86/B-02480. Materiał zasypki w obrębie strefy niebezpiecznej powinien być zagęszczony ubijakiem po obu stronach przewodu lub hydraulicznie w przypadku zasypki materiałem sypkim.</w:t>
      </w:r>
    </w:p>
    <w:p w14:paraId="18F07199"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p>
    <w:p w14:paraId="5B42CA87"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b/>
          <w:bCs/>
          <w:noProof/>
          <w:lang w:val="x-none"/>
        </w:rPr>
      </w:pPr>
      <w:r w:rsidRPr="000B5630">
        <w:rPr>
          <w:rFonts w:ascii="Times New Roman" w:hAnsi="Times New Roman" w:cs="Times New Roman"/>
          <w:b/>
          <w:bCs/>
          <w:noProof/>
          <w:lang w:val="x-none"/>
        </w:rPr>
        <w:t>Zasypka przewodu</w:t>
      </w:r>
    </w:p>
    <w:p w14:paraId="2C6095FB"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Do powierzchni terenu lub wymaganej rzędnej powinna być wykonana zasypka przewodu przy zachowaniu zagęszczenia gruntu według projektu. W przypadku nieokreślenia wskaźnika zagęszczenia powinien on wynosić co najmniej I</w:t>
      </w:r>
      <w:r w:rsidRPr="000B5630">
        <w:rPr>
          <w:rFonts w:ascii="Times New Roman" w:hAnsi="Times New Roman" w:cs="Times New Roman"/>
          <w:noProof/>
          <w:vertAlign w:val="subscript"/>
          <w:lang w:val="x-none"/>
        </w:rPr>
        <w:t>s</w:t>
      </w:r>
      <w:r w:rsidRPr="000B5630">
        <w:rPr>
          <w:rFonts w:ascii="Times New Roman" w:hAnsi="Times New Roman" w:cs="Times New Roman"/>
          <w:noProof/>
          <w:lang w:val="x-none"/>
        </w:rPr>
        <w:t>=1.</w:t>
      </w:r>
    </w:p>
    <w:p w14:paraId="1066781B"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rPr>
        <w:t>Linie kablowe układane pod drogami, chodnikami, ścieżkami, parkingami zasypywać przy zachowaniu wskaźnika zagęszczenia I</w:t>
      </w:r>
      <w:r w:rsidRPr="000B5630">
        <w:rPr>
          <w:rFonts w:ascii="Times New Roman" w:hAnsi="Times New Roman" w:cs="Times New Roman"/>
          <w:noProof/>
          <w:vertAlign w:val="subscript"/>
        </w:rPr>
        <w:t>s</w:t>
      </w:r>
      <w:r w:rsidRPr="000B5630">
        <w:rPr>
          <w:rFonts w:ascii="Times New Roman" w:hAnsi="Times New Roman" w:cs="Times New Roman"/>
          <w:noProof/>
        </w:rPr>
        <w:t>=1, natomiast linie kablowe układane w nieutwardzonych poboczach, terenech zielonych, polach uprawnych zasypywać przy zachowaniu wskaźnika zagęszczenia I</w:t>
      </w:r>
      <w:r w:rsidRPr="000B5630">
        <w:rPr>
          <w:rFonts w:ascii="Times New Roman" w:hAnsi="Times New Roman" w:cs="Times New Roman"/>
          <w:noProof/>
          <w:vertAlign w:val="subscript"/>
        </w:rPr>
        <w:t>s</w:t>
      </w:r>
      <w:r w:rsidRPr="000B5630">
        <w:rPr>
          <w:rFonts w:ascii="Times New Roman" w:hAnsi="Times New Roman" w:cs="Times New Roman"/>
          <w:noProof/>
        </w:rPr>
        <w:t xml:space="preserve">=0,95. </w:t>
      </w:r>
    </w:p>
    <w:p w14:paraId="461A66F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rPr>
      </w:pPr>
      <w:r w:rsidRPr="000B5630">
        <w:rPr>
          <w:rFonts w:ascii="Times New Roman" w:hAnsi="Times New Roman" w:cs="Times New Roman"/>
          <w:noProof/>
          <w:lang w:val="x-none"/>
        </w:rPr>
        <w:tab/>
        <w:t>W przypadku prowadzenia robót ziemnych w istniejącej drodze o nawierzchni ulepszonej i trudności osiągnięcia wskaźnika zagęszczenia gruntu co najmniej I</w:t>
      </w:r>
      <w:r w:rsidRPr="000B5630">
        <w:rPr>
          <w:rFonts w:ascii="Times New Roman" w:hAnsi="Times New Roman" w:cs="Times New Roman"/>
          <w:noProof/>
          <w:vertAlign w:val="subscript"/>
          <w:lang w:val="x-none"/>
        </w:rPr>
        <w:t>s</w:t>
      </w:r>
      <w:r w:rsidRPr="000B5630">
        <w:rPr>
          <w:rFonts w:ascii="Times New Roman" w:hAnsi="Times New Roman" w:cs="Times New Roman"/>
          <w:noProof/>
          <w:lang w:val="x-none"/>
        </w:rPr>
        <w:t>=1, należy zastąpić górną warstwę zasypki wzmocnioną podbudową drogi.</w:t>
      </w:r>
    </w:p>
    <w:p w14:paraId="7DEC2229"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p>
    <w:p w14:paraId="66E76D56"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b/>
          <w:bCs/>
          <w:noProof/>
          <w:lang w:val="x-none"/>
        </w:rPr>
      </w:pPr>
      <w:r w:rsidRPr="000B5630">
        <w:rPr>
          <w:rFonts w:ascii="Times New Roman" w:hAnsi="Times New Roman" w:cs="Times New Roman"/>
          <w:b/>
          <w:bCs/>
          <w:noProof/>
          <w:lang w:val="x-none"/>
        </w:rPr>
        <w:t>Zagęszczenie gruntu użytego do zasypki</w:t>
      </w:r>
    </w:p>
    <w:p w14:paraId="575A728E"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Zagęszczanie gruntu powinno być wykonane warstwami. Każda warstwa powinna być zagęszczona do wskaźnika zagęszczenia określonego w projekcie. Grubość warstw nie powinna być większa niż:</w:t>
      </w:r>
    </w:p>
    <w:p w14:paraId="43E98428" w14:textId="77777777" w:rsidR="00C72960" w:rsidRPr="000B5630" w:rsidRDefault="00C72960" w:rsidP="00904E6C">
      <w:pPr>
        <w:numPr>
          <w:ilvl w:val="0"/>
          <w:numId w:val="296"/>
        </w:numPr>
        <w:autoSpaceDE w:val="0"/>
        <w:autoSpaceDN w:val="0"/>
        <w:adjustRightInd w:val="0"/>
        <w:spacing w:before="45" w:after="45" w:line="240" w:lineRule="auto"/>
        <w:ind w:left="426" w:firstLine="0"/>
        <w:jc w:val="both"/>
        <w:rPr>
          <w:rFonts w:ascii="Times New Roman" w:hAnsi="Times New Roman" w:cs="Times New Roman"/>
          <w:lang w:val="x-none"/>
        </w:rPr>
      </w:pPr>
      <w:smartTag w:uri="urn:schemas-microsoft-com:office:smarttags" w:element="metricconverter">
        <w:smartTagPr>
          <w:attr w:name="ProductID" w:val="0,15 m"/>
        </w:smartTagPr>
        <w:r w:rsidRPr="000B5630">
          <w:rPr>
            <w:rFonts w:ascii="Times New Roman" w:hAnsi="Times New Roman" w:cs="Times New Roman"/>
            <w:noProof/>
            <w:lang w:val="x-none"/>
          </w:rPr>
          <w:t>0,15 m</w:t>
        </w:r>
      </w:smartTag>
      <w:r w:rsidRPr="000B5630">
        <w:rPr>
          <w:rFonts w:ascii="Times New Roman" w:hAnsi="Times New Roman" w:cs="Times New Roman"/>
          <w:noProof/>
          <w:lang w:val="x-none"/>
        </w:rPr>
        <w:t xml:space="preserve"> przy zagęszczaniu ręcznym,</w:t>
      </w:r>
    </w:p>
    <w:p w14:paraId="707FD2D0" w14:textId="77777777" w:rsidR="00C72960" w:rsidRPr="000B5630" w:rsidRDefault="00C72960" w:rsidP="00904E6C">
      <w:pPr>
        <w:numPr>
          <w:ilvl w:val="0"/>
          <w:numId w:val="296"/>
        </w:numPr>
        <w:autoSpaceDE w:val="0"/>
        <w:autoSpaceDN w:val="0"/>
        <w:adjustRightInd w:val="0"/>
        <w:spacing w:before="45" w:after="45" w:line="240" w:lineRule="auto"/>
        <w:ind w:left="426" w:firstLine="0"/>
        <w:jc w:val="both"/>
        <w:rPr>
          <w:rFonts w:ascii="Times New Roman" w:hAnsi="Times New Roman" w:cs="Times New Roman"/>
          <w:lang w:val="x-none"/>
        </w:rPr>
      </w:pPr>
      <w:smartTag w:uri="urn:schemas-microsoft-com:office:smarttags" w:element="metricconverter">
        <w:smartTagPr>
          <w:attr w:name="ProductID" w:val="0,30 m"/>
        </w:smartTagPr>
        <w:r w:rsidRPr="000B5630">
          <w:rPr>
            <w:rFonts w:ascii="Times New Roman" w:hAnsi="Times New Roman" w:cs="Times New Roman"/>
            <w:noProof/>
            <w:lang w:val="x-none"/>
          </w:rPr>
          <w:t>0,30 m</w:t>
        </w:r>
      </w:smartTag>
      <w:r w:rsidRPr="000B5630">
        <w:rPr>
          <w:rFonts w:ascii="Times New Roman" w:hAnsi="Times New Roman" w:cs="Times New Roman"/>
          <w:noProof/>
          <w:lang w:val="x-none"/>
        </w:rPr>
        <w:t xml:space="preserve"> przy zagęszczaniu mechanicznym.</w:t>
      </w:r>
    </w:p>
    <w:p w14:paraId="72C75F0F"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Wszystkie roboty powinny być wykonywane zgodnie z odpowiednimi normami oraz WTWiO dotyczącymi robót ziemnych, sieci wodociągowych, kanalizacyjnych i ciepłowniczych.</w:t>
      </w:r>
    </w:p>
    <w:p w14:paraId="6596B90F" w14:textId="77777777" w:rsidR="00C72960" w:rsidRPr="000B5630" w:rsidRDefault="00C72960" w:rsidP="00C72960">
      <w:pPr>
        <w:tabs>
          <w:tab w:val="left" w:pos="5349"/>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r>
    </w:p>
    <w:p w14:paraId="624662F7"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7" w:name="_Toc51694205"/>
      <w:r w:rsidRPr="000B5630">
        <w:rPr>
          <w:kern w:val="0"/>
          <w:sz w:val="22"/>
          <w:szCs w:val="22"/>
          <w:lang w:eastAsia="ar-SA"/>
        </w:rPr>
        <w:t>KONTROLA JAKOŚCI ROBÓT</w:t>
      </w:r>
      <w:bookmarkEnd w:id="937"/>
    </w:p>
    <w:p w14:paraId="414F9ADC"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rPr>
        <w:t>Z</w:t>
      </w:r>
      <w:r w:rsidRPr="000B5630">
        <w:rPr>
          <w:rFonts w:ascii="Times New Roman" w:hAnsi="Times New Roman" w:cs="Times New Roman"/>
          <w:b/>
          <w:bCs/>
          <w:noProof/>
          <w:lang w:val="x-none"/>
        </w:rPr>
        <w:t xml:space="preserve">asady kontroli jakości robót </w:t>
      </w:r>
    </w:p>
    <w:p w14:paraId="25F4D0CD"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 xml:space="preserve">Wykonawca jest odpowiedzialny za pełną kontrolę jakości robót i stosowanych materiałów. </w:t>
      </w:r>
    </w:p>
    <w:p w14:paraId="3BFB0B0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Wykonawca będzie przeprowadzać pomiary i badania materiałów oraz robót z częstotliwością zapewniającą stwierdzenie, że roboty wykonano zgodnie z wymaganiami zawartymi w dokumentacji projektowej i ST.</w:t>
      </w:r>
    </w:p>
    <w:p w14:paraId="28E230F5"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 przypadku, gdy nie zostały one tam określone, Inspektor nadzoru ustali jaki zakres kontroli jest konieczny, aby zapewnić wykonanie robót zgodnie z umową.</w:t>
      </w:r>
    </w:p>
    <w:p w14:paraId="087CE9B2" w14:textId="77777777" w:rsidR="00C72960" w:rsidRPr="000B5630" w:rsidRDefault="00C72960" w:rsidP="00C72960">
      <w:pPr>
        <w:tabs>
          <w:tab w:val="left" w:pos="28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Wszystkie koszty związane z organizowaniem i prowadzeniem badań materiałów i robót ponosi Wykonawca.</w:t>
      </w:r>
    </w:p>
    <w:p w14:paraId="3B1DF81A"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b/>
          <w:bCs/>
          <w:noProof/>
          <w:lang w:val="x-none"/>
        </w:rPr>
      </w:pPr>
      <w:r w:rsidRPr="000B5630">
        <w:rPr>
          <w:rFonts w:ascii="Times New Roman" w:hAnsi="Times New Roman" w:cs="Times New Roman"/>
          <w:b/>
          <w:bCs/>
          <w:noProof/>
          <w:lang w:val="x-none"/>
        </w:rPr>
        <w:t>Badania i pomiary</w:t>
      </w:r>
    </w:p>
    <w:p w14:paraId="07C3DE42"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Wszystkie badania i pomiary będą przeprowadzone zgodnie z wymaganiami norm. W przypadku, gdy normy nie obejmują jakiegokolwiek badania wymaganego w ST, stosować można wytyczne krajowe, albo inne procedury, zaakceptowane przez Inspektora nadzoru.</w:t>
      </w:r>
    </w:p>
    <w:p w14:paraId="0032312B" w14:textId="77777777" w:rsidR="00C72960" w:rsidRPr="000B5630" w:rsidRDefault="00C72960" w:rsidP="00C72960">
      <w:pPr>
        <w:tabs>
          <w:tab w:val="left" w:pos="285"/>
          <w:tab w:val="left" w:pos="420"/>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Przed przystąpieniem do pomiarów lub badań, Wykonawca powiadomi Inspektora nadzoru o rodzaju, miejscu i terminie pomiaru lub badania. Po wykonaniu pomiaru lub badania, Wykonawca przedstawi na piśmie ich wyniki do akceptacji Inspektora nadzoru.</w:t>
      </w:r>
    </w:p>
    <w:p w14:paraId="2094F206"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b/>
          <w:bCs/>
          <w:noProof/>
          <w:lang w:val="x-none"/>
        </w:rPr>
      </w:pPr>
      <w:r w:rsidRPr="000B5630">
        <w:rPr>
          <w:rFonts w:ascii="Times New Roman" w:hAnsi="Times New Roman" w:cs="Times New Roman"/>
          <w:b/>
          <w:bCs/>
          <w:noProof/>
          <w:lang w:val="x-none"/>
        </w:rPr>
        <w:t>Certyfikaty i deklaracje</w:t>
      </w:r>
    </w:p>
    <w:p w14:paraId="0D159AE3"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lastRenderedPageBreak/>
        <w:t>Inspektor nadzoru może dopuścić do użycia tylko te wyroby i materiały, które:</w:t>
      </w:r>
    </w:p>
    <w:p w14:paraId="10E3BC00" w14:textId="77777777" w:rsidR="00C72960" w:rsidRPr="000B5630" w:rsidRDefault="00C72960" w:rsidP="00904E6C">
      <w:pPr>
        <w:numPr>
          <w:ilvl w:val="0"/>
          <w:numId w:val="290"/>
        </w:numPr>
        <w:autoSpaceDE w:val="0"/>
        <w:autoSpaceDN w:val="0"/>
        <w:adjustRightInd w:val="0"/>
        <w:spacing w:before="45" w:after="45" w:line="240" w:lineRule="auto"/>
        <w:jc w:val="both"/>
        <w:rPr>
          <w:rFonts w:ascii="Times New Roman" w:hAnsi="Times New Roman" w:cs="Times New Roman"/>
          <w:lang w:val="x-none"/>
        </w:rPr>
      </w:pPr>
      <w:r w:rsidRPr="000B5630">
        <w:rPr>
          <w:rFonts w:ascii="Times New Roman" w:hAnsi="Times New Roman" w:cs="Times New Roman"/>
          <w:noProof/>
          <w:lang w:val="x-none"/>
        </w:rPr>
        <w:t xml:space="preserve">posiadają certyfikat na znak bezpieczeństwa wykazujący, że zapewniono zgodność z kryteriami technicznymi określonymi na podstawie Polskich Norm, aprobat technicznych oraz właściwych przepisów i informacji o ich istnieniu zgodnie z rozporządzeniem MSWiA z </w:t>
      </w:r>
      <w:r w:rsidRPr="000B5630">
        <w:rPr>
          <w:rFonts w:ascii="Times New Roman" w:hAnsi="Times New Roman" w:cs="Times New Roman"/>
          <w:lang w:val="x-none"/>
        </w:rPr>
        <w:t>1998</w:t>
      </w:r>
      <w:r w:rsidRPr="000B5630">
        <w:rPr>
          <w:rFonts w:ascii="Times New Roman" w:hAnsi="Times New Roman" w:cs="Times New Roman"/>
          <w:noProof/>
          <w:lang w:val="x-none"/>
        </w:rPr>
        <w:t xml:space="preserve"> r. (Dz. U. </w:t>
      </w:r>
      <w:r w:rsidRPr="000B5630">
        <w:rPr>
          <w:rFonts w:ascii="Times New Roman" w:hAnsi="Times New Roman" w:cs="Times New Roman"/>
          <w:lang w:val="x-none"/>
        </w:rPr>
        <w:t>99</w:t>
      </w:r>
      <w:r w:rsidRPr="000B5630">
        <w:rPr>
          <w:rFonts w:ascii="Times New Roman" w:hAnsi="Times New Roman" w:cs="Times New Roman"/>
          <w:noProof/>
          <w:lang w:val="x-none"/>
        </w:rPr>
        <w:t>/</w:t>
      </w:r>
      <w:r w:rsidRPr="000B5630">
        <w:rPr>
          <w:rFonts w:ascii="Times New Roman" w:hAnsi="Times New Roman" w:cs="Times New Roman"/>
          <w:lang w:val="x-none"/>
        </w:rPr>
        <w:t>98</w:t>
      </w:r>
      <w:r w:rsidRPr="000B5630">
        <w:rPr>
          <w:rFonts w:ascii="Times New Roman" w:hAnsi="Times New Roman" w:cs="Times New Roman"/>
          <w:noProof/>
          <w:lang w:val="x-none"/>
        </w:rPr>
        <w:t>),,</w:t>
      </w:r>
    </w:p>
    <w:p w14:paraId="0BB0150F" w14:textId="77777777" w:rsidR="00C72960" w:rsidRPr="000B5630" w:rsidRDefault="00C72960" w:rsidP="00904E6C">
      <w:pPr>
        <w:numPr>
          <w:ilvl w:val="0"/>
          <w:numId w:val="289"/>
        </w:numPr>
        <w:autoSpaceDE w:val="0"/>
        <w:autoSpaceDN w:val="0"/>
        <w:adjustRightInd w:val="0"/>
        <w:spacing w:before="45" w:after="45" w:line="240" w:lineRule="auto"/>
        <w:jc w:val="both"/>
        <w:rPr>
          <w:rFonts w:ascii="Times New Roman" w:hAnsi="Times New Roman" w:cs="Times New Roman"/>
          <w:lang w:val="x-none"/>
        </w:rPr>
      </w:pPr>
      <w:r w:rsidRPr="000B5630">
        <w:rPr>
          <w:rFonts w:ascii="Times New Roman" w:hAnsi="Times New Roman" w:cs="Times New Roman"/>
          <w:noProof/>
          <w:lang w:val="x-none"/>
        </w:rPr>
        <w:t>posiadają deklarację zgodności lub certyfikat zgodności z</w:t>
      </w:r>
      <w:r w:rsidRPr="000B5630">
        <w:rPr>
          <w:rFonts w:ascii="Times New Roman" w:hAnsi="Times New Roman" w:cs="Times New Roman"/>
          <w:noProof/>
        </w:rPr>
        <w:t xml:space="preserve"> </w:t>
      </w:r>
      <w:r w:rsidRPr="000B5630">
        <w:rPr>
          <w:rFonts w:ascii="Times New Roman" w:hAnsi="Times New Roman" w:cs="Times New Roman"/>
          <w:noProof/>
          <w:lang w:val="x-none"/>
        </w:rPr>
        <w:t>Polską Normą lub</w:t>
      </w:r>
      <w:r w:rsidRPr="000B5630">
        <w:rPr>
          <w:rFonts w:ascii="Times New Roman" w:hAnsi="Times New Roman" w:cs="Times New Roman"/>
        </w:rPr>
        <w:t xml:space="preserve"> </w:t>
      </w:r>
      <w:r w:rsidRPr="000B5630">
        <w:rPr>
          <w:rFonts w:ascii="Times New Roman" w:hAnsi="Times New Roman" w:cs="Times New Roman"/>
          <w:noProof/>
          <w:lang w:val="x-none"/>
        </w:rPr>
        <w:t xml:space="preserve">aprobatą techniczną, w przypadku wyrobów, dla których nie ustanowiono Polskiej Normy, jeżeli nie są objęte certyfikacją określoną w pkt. </w:t>
      </w:r>
      <w:r w:rsidRPr="000B5630">
        <w:rPr>
          <w:rFonts w:ascii="Times New Roman" w:hAnsi="Times New Roman" w:cs="Times New Roman"/>
          <w:lang w:val="x-none"/>
        </w:rPr>
        <w:t>1</w:t>
      </w:r>
      <w:r w:rsidRPr="000B5630">
        <w:rPr>
          <w:rFonts w:ascii="Times New Roman" w:hAnsi="Times New Roman" w:cs="Times New Roman"/>
          <w:noProof/>
          <w:lang w:val="x-none"/>
        </w:rPr>
        <w:t xml:space="preserve"> i które spełniają wymogi SST.</w:t>
      </w:r>
    </w:p>
    <w:p w14:paraId="7D2497BE" w14:textId="77777777" w:rsidR="00C72960" w:rsidRPr="000B5630" w:rsidRDefault="00C72960" w:rsidP="00904E6C">
      <w:pPr>
        <w:numPr>
          <w:ilvl w:val="0"/>
          <w:numId w:val="289"/>
        </w:numPr>
        <w:autoSpaceDE w:val="0"/>
        <w:autoSpaceDN w:val="0"/>
        <w:adjustRightInd w:val="0"/>
        <w:spacing w:before="45" w:after="45" w:line="240" w:lineRule="auto"/>
        <w:jc w:val="both"/>
        <w:rPr>
          <w:rFonts w:ascii="Times New Roman" w:hAnsi="Times New Roman" w:cs="Times New Roman"/>
          <w:lang w:val="x-none"/>
        </w:rPr>
      </w:pPr>
      <w:r w:rsidRPr="000B5630">
        <w:rPr>
          <w:rFonts w:ascii="Times New Roman" w:hAnsi="Times New Roman" w:cs="Times New Roman"/>
          <w:noProof/>
          <w:lang w:val="x-none"/>
        </w:rPr>
        <w:t xml:space="preserve">znajdują się w wykazie wyrobów, o którym mowa w rozporządzeniu MSWiA z </w:t>
      </w:r>
      <w:r w:rsidRPr="000B5630">
        <w:rPr>
          <w:rFonts w:ascii="Times New Roman" w:hAnsi="Times New Roman" w:cs="Times New Roman"/>
          <w:lang w:val="x-none"/>
        </w:rPr>
        <w:t>1998</w:t>
      </w:r>
      <w:r w:rsidRPr="000B5630">
        <w:rPr>
          <w:rFonts w:ascii="Times New Roman" w:hAnsi="Times New Roman" w:cs="Times New Roman"/>
          <w:noProof/>
          <w:lang w:val="x-none"/>
        </w:rPr>
        <w:t xml:space="preserve"> r. (Dz. U. </w:t>
      </w:r>
      <w:r w:rsidRPr="000B5630">
        <w:rPr>
          <w:rFonts w:ascii="Times New Roman" w:hAnsi="Times New Roman" w:cs="Times New Roman"/>
          <w:lang w:val="x-none"/>
        </w:rPr>
        <w:t>98</w:t>
      </w:r>
      <w:r w:rsidRPr="000B5630">
        <w:rPr>
          <w:rFonts w:ascii="Times New Roman" w:hAnsi="Times New Roman" w:cs="Times New Roman"/>
          <w:noProof/>
          <w:lang w:val="x-none"/>
        </w:rPr>
        <w:t>/</w:t>
      </w:r>
      <w:r w:rsidRPr="000B5630">
        <w:rPr>
          <w:rFonts w:ascii="Times New Roman" w:hAnsi="Times New Roman" w:cs="Times New Roman"/>
          <w:lang w:val="x-none"/>
        </w:rPr>
        <w:t>99</w:t>
      </w:r>
      <w:r w:rsidRPr="000B5630">
        <w:rPr>
          <w:rFonts w:ascii="Times New Roman" w:hAnsi="Times New Roman" w:cs="Times New Roman"/>
          <w:noProof/>
          <w:lang w:val="x-none"/>
        </w:rPr>
        <w:t>).</w:t>
      </w:r>
    </w:p>
    <w:p w14:paraId="7FDE562C" w14:textId="77777777" w:rsidR="00C72960" w:rsidRPr="000B5630" w:rsidRDefault="00C72960" w:rsidP="00C72960">
      <w:pPr>
        <w:autoSpaceDE w:val="0"/>
        <w:autoSpaceDN w:val="0"/>
        <w:adjustRightInd w:val="0"/>
        <w:spacing w:before="45" w:after="45"/>
        <w:ind w:firstLine="285"/>
        <w:jc w:val="both"/>
        <w:rPr>
          <w:rFonts w:ascii="Times New Roman" w:hAnsi="Times New Roman" w:cs="Times New Roman"/>
          <w:noProof/>
          <w:lang w:val="x-none"/>
        </w:rPr>
      </w:pPr>
      <w:r w:rsidRPr="000B5630">
        <w:rPr>
          <w:rFonts w:ascii="Times New Roman" w:hAnsi="Times New Roman" w:cs="Times New Roman"/>
          <w:noProof/>
          <w:lang w:val="x-none"/>
        </w:rPr>
        <w:t>W przypadku materiałów, dla których ww. dokumenty są wymagane przez ST, każda ich partia dostarczona do robót będzie posiadać te dokumenty, określające w sposób jednoznaczny jej cechy.</w:t>
      </w:r>
    </w:p>
    <w:p w14:paraId="0F9CC375" w14:textId="77777777" w:rsidR="00C72960" w:rsidRPr="000B5630" w:rsidRDefault="00C72960" w:rsidP="00C72960">
      <w:pPr>
        <w:tabs>
          <w:tab w:val="left" w:pos="285"/>
          <w:tab w:val="left" w:pos="420"/>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ab/>
        <w:t>Jakiekolwiek materiały, które nie spełniają tych wymagań będą odrzucone.</w:t>
      </w:r>
    </w:p>
    <w:p w14:paraId="0C032185"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6F299FC3"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8" w:name="_Toc51694206"/>
      <w:r w:rsidRPr="000B5630">
        <w:rPr>
          <w:kern w:val="0"/>
          <w:sz w:val="22"/>
          <w:szCs w:val="22"/>
          <w:lang w:eastAsia="ar-SA"/>
        </w:rPr>
        <w:t>WARUNKI DOTYCZĄCE PRZEDMIARU I OBMIARU ROBÓT</w:t>
      </w:r>
      <w:bookmarkEnd w:id="938"/>
    </w:p>
    <w:p w14:paraId="2AE301BD"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rPr>
        <w:t>Z</w:t>
      </w:r>
      <w:r w:rsidRPr="000B5630">
        <w:rPr>
          <w:rFonts w:ascii="Times New Roman" w:hAnsi="Times New Roman" w:cs="Times New Roman"/>
          <w:b/>
          <w:bCs/>
          <w:noProof/>
          <w:lang w:val="x-none"/>
        </w:rPr>
        <w:t xml:space="preserve">asady obmiaru robót </w:t>
      </w:r>
    </w:p>
    <w:p w14:paraId="61C679EA"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Obmiar robót będzie określać faktyczny zakres wykonywanych robót, zgodnie z dokumentacją projektową i ST, w jednostkach ustalonych w kosztorysie.</w:t>
      </w:r>
    </w:p>
    <w:p w14:paraId="163FE013"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Obmiaru robót dokonuje Wykonawca po pisemnym powiadomieniu Inspektora nadzoru o zakresie obmierzanych robót i terminie obmiaru, co najmniej na 3 dni przed tym terminem.</w:t>
      </w:r>
    </w:p>
    <w:p w14:paraId="2B83F91E"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Wyniki obmiaru będą wpisane do książki obmiarów.</w:t>
      </w:r>
    </w:p>
    <w:p w14:paraId="00F8C0EE"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Jakikolwiek błąd lub przeoczenie (opuszczenie) w ilości robót podanych w kosztorysie ofertowym lub gdzie indziej w ST nie zwalnia Wykonawcy od obowiązku ukończenia wszystkich robót. Błędne dane zostaną poprawione wg ustaleń Inspektora nadzoru na piśmie. Obmiar gotowych robót przeprowadzony z częstością wymaganą do celu miesięcznej płatności na rzecz Wykonawcy lub w innym czasie określonym w umowie.</w:t>
      </w:r>
    </w:p>
    <w:p w14:paraId="620E1372"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Jednostki obmiaru powinny być zgodne z jednostkami określonymi w dokumentacji projektowej i kosztorysowej oraz przedmiarze robót.</w:t>
      </w:r>
    </w:p>
    <w:p w14:paraId="510CE3F7"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Jednostki i zasady obmiaru robót ziemnych liniowych</w:t>
      </w:r>
    </w:p>
    <w:p w14:paraId="76926114"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spacing w:val="15"/>
          <w:lang w:val="x-none"/>
        </w:rPr>
      </w:pPr>
      <w:r w:rsidRPr="000B5630">
        <w:rPr>
          <w:rFonts w:ascii="Times New Roman" w:hAnsi="Times New Roman" w:cs="Times New Roman"/>
          <w:b/>
          <w:bCs/>
          <w:noProof/>
          <w:spacing w:val="15"/>
          <w:lang w:val="x-none"/>
        </w:rPr>
        <w:t>WARIANT  I</w:t>
      </w:r>
    </w:p>
    <w:p w14:paraId="68A3411D"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Jednostkami obmiaru są:</w:t>
      </w:r>
    </w:p>
    <w:p w14:paraId="5A05D152" w14:textId="77777777" w:rsidR="00C72960" w:rsidRPr="000B5630" w:rsidRDefault="00C72960" w:rsidP="00C72960">
      <w:pPr>
        <w:autoSpaceDE w:val="0"/>
        <w:autoSpaceDN w:val="0"/>
        <w:adjustRightInd w:val="0"/>
        <w:spacing w:before="45" w:after="45"/>
        <w:ind w:left="709" w:hanging="283"/>
        <w:jc w:val="both"/>
        <w:rPr>
          <w:rFonts w:ascii="Times New Roman" w:hAnsi="Times New Roman" w:cs="Times New Roman"/>
          <w:noProof/>
          <w:lang w:val="x-none"/>
        </w:rPr>
      </w:pPr>
      <w:r w:rsidRPr="000B5630">
        <w:rPr>
          <w:rFonts w:ascii="Times New Roman" w:hAnsi="Times New Roman" w:cs="Times New Roman"/>
          <w:noProof/>
          <w:lang w:val="x-none"/>
        </w:rPr>
        <w:t>– wykopy i zasypka – m</w:t>
      </w:r>
      <w:r w:rsidRPr="000B5630">
        <w:rPr>
          <w:rFonts w:ascii="Times New Roman" w:hAnsi="Times New Roman" w:cs="Times New Roman"/>
          <w:noProof/>
          <w:vertAlign w:val="superscript"/>
          <w:lang w:val="x-none"/>
        </w:rPr>
        <w:t>3</w:t>
      </w:r>
      <w:r w:rsidRPr="000B5630">
        <w:rPr>
          <w:rFonts w:ascii="Times New Roman" w:hAnsi="Times New Roman" w:cs="Times New Roman"/>
          <w:noProof/>
          <w:lang w:val="x-none"/>
        </w:rPr>
        <w:t>,</w:t>
      </w:r>
    </w:p>
    <w:p w14:paraId="2C3C2430" w14:textId="77777777" w:rsidR="00C72960" w:rsidRPr="000B5630" w:rsidRDefault="00C72960" w:rsidP="00C72960">
      <w:pPr>
        <w:autoSpaceDE w:val="0"/>
        <w:autoSpaceDN w:val="0"/>
        <w:adjustRightInd w:val="0"/>
        <w:spacing w:before="45" w:after="45"/>
        <w:ind w:left="709" w:hanging="283"/>
        <w:jc w:val="both"/>
        <w:rPr>
          <w:rFonts w:ascii="Times New Roman" w:hAnsi="Times New Roman" w:cs="Times New Roman"/>
          <w:noProof/>
          <w:lang w:val="x-none"/>
        </w:rPr>
      </w:pPr>
      <w:r w:rsidRPr="000B5630">
        <w:rPr>
          <w:rFonts w:ascii="Times New Roman" w:hAnsi="Times New Roman" w:cs="Times New Roman"/>
          <w:noProof/>
          <w:lang w:val="x-none"/>
        </w:rPr>
        <w:t>– umocnienie ścian wykopów – m</w:t>
      </w:r>
      <w:r w:rsidRPr="000B5630">
        <w:rPr>
          <w:rFonts w:ascii="Times New Roman" w:hAnsi="Times New Roman" w:cs="Times New Roman"/>
          <w:noProof/>
          <w:vertAlign w:val="superscript"/>
          <w:lang w:val="x-none"/>
        </w:rPr>
        <w:t>2</w:t>
      </w:r>
      <w:r w:rsidRPr="000B5630">
        <w:rPr>
          <w:rFonts w:ascii="Times New Roman" w:hAnsi="Times New Roman" w:cs="Times New Roman"/>
          <w:noProof/>
          <w:lang w:val="x-none"/>
        </w:rPr>
        <w:t>,</w:t>
      </w:r>
    </w:p>
    <w:p w14:paraId="1A450069" w14:textId="77777777" w:rsidR="00C72960" w:rsidRPr="000B5630" w:rsidRDefault="00C72960" w:rsidP="00C72960">
      <w:pPr>
        <w:autoSpaceDE w:val="0"/>
        <w:autoSpaceDN w:val="0"/>
        <w:adjustRightInd w:val="0"/>
        <w:spacing w:before="45" w:after="45"/>
        <w:ind w:left="709" w:hanging="283"/>
        <w:jc w:val="both"/>
        <w:rPr>
          <w:rFonts w:ascii="Times New Roman" w:hAnsi="Times New Roman" w:cs="Times New Roman"/>
          <w:noProof/>
          <w:lang w:val="x-none"/>
        </w:rPr>
      </w:pPr>
      <w:r w:rsidRPr="000B5630">
        <w:rPr>
          <w:rFonts w:ascii="Times New Roman" w:hAnsi="Times New Roman" w:cs="Times New Roman"/>
          <w:noProof/>
          <w:lang w:val="x-none"/>
        </w:rPr>
        <w:t>– wykonanie podłoża – m</w:t>
      </w:r>
      <w:r w:rsidRPr="000B5630">
        <w:rPr>
          <w:rFonts w:ascii="Times New Roman" w:hAnsi="Times New Roman" w:cs="Times New Roman"/>
          <w:noProof/>
          <w:vertAlign w:val="superscript"/>
          <w:lang w:val="x-none"/>
        </w:rPr>
        <w:t>3</w:t>
      </w:r>
      <w:r w:rsidRPr="000B5630">
        <w:rPr>
          <w:rFonts w:ascii="Times New Roman" w:hAnsi="Times New Roman" w:cs="Times New Roman"/>
          <w:noProof/>
          <w:lang w:val="x-none"/>
        </w:rPr>
        <w:t xml:space="preserve"> (lub m</w:t>
      </w:r>
      <w:r w:rsidRPr="000B5630">
        <w:rPr>
          <w:rFonts w:ascii="Times New Roman" w:hAnsi="Times New Roman" w:cs="Times New Roman"/>
          <w:noProof/>
          <w:vertAlign w:val="superscript"/>
          <w:lang w:val="x-none"/>
        </w:rPr>
        <w:t>2</w:t>
      </w:r>
      <w:r w:rsidRPr="000B5630">
        <w:rPr>
          <w:rFonts w:ascii="Times New Roman" w:hAnsi="Times New Roman" w:cs="Times New Roman"/>
          <w:noProof/>
          <w:lang w:val="x-none"/>
        </w:rPr>
        <w:t xml:space="preserve"> i grubość warstwy w m).</w:t>
      </w:r>
    </w:p>
    <w:p w14:paraId="642D6DBF"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spacing w:val="15"/>
          <w:lang w:val="x-none"/>
        </w:rPr>
      </w:pPr>
      <w:r w:rsidRPr="000B5630">
        <w:rPr>
          <w:rFonts w:ascii="Times New Roman" w:hAnsi="Times New Roman" w:cs="Times New Roman"/>
          <w:b/>
          <w:bCs/>
          <w:noProof/>
          <w:spacing w:val="15"/>
          <w:lang w:val="x-none"/>
        </w:rPr>
        <w:t>WARIANT  II</w:t>
      </w:r>
    </w:p>
    <w:p w14:paraId="3DD81BAB"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Roboty ziemne dla wykopów liniowych należy obmiarować w m długości układanych przewodów łącznie z wykonaniem umocnienia ścian wykopów, wykonaniem podłoża oraz ewentualnym obniżeniem poziomu wody gruntowej.</w:t>
      </w:r>
    </w:p>
    <w:p w14:paraId="26AA3C73"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6BDDCCA2"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39" w:name="_Toc51694207"/>
      <w:r w:rsidRPr="000B5630">
        <w:rPr>
          <w:kern w:val="0"/>
          <w:sz w:val="22"/>
          <w:szCs w:val="22"/>
          <w:lang w:eastAsia="ar-SA"/>
        </w:rPr>
        <w:t>SPOSÓB ODBIORU ROBÓT</w:t>
      </w:r>
      <w:bookmarkEnd w:id="939"/>
    </w:p>
    <w:p w14:paraId="37006048"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rPr>
        <w:t>Z</w:t>
      </w:r>
      <w:r w:rsidRPr="000B5630">
        <w:rPr>
          <w:rFonts w:ascii="Times New Roman" w:hAnsi="Times New Roman" w:cs="Times New Roman"/>
          <w:b/>
          <w:bCs/>
          <w:noProof/>
          <w:lang w:val="x-none"/>
        </w:rPr>
        <w:t xml:space="preserve">asady odbioru robót </w:t>
      </w:r>
    </w:p>
    <w:p w14:paraId="247A86B2"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W zależności od ustaleń odpowiednich ST, roboty podlegają następującym odbiorom:</w:t>
      </w:r>
    </w:p>
    <w:p w14:paraId="0B8E1AA8" w14:textId="77777777" w:rsidR="00C72960" w:rsidRPr="000B5630" w:rsidRDefault="00C72960" w:rsidP="00904E6C">
      <w:pPr>
        <w:numPr>
          <w:ilvl w:val="0"/>
          <w:numId w:val="288"/>
        </w:numPr>
        <w:autoSpaceDE w:val="0"/>
        <w:autoSpaceDN w:val="0"/>
        <w:adjustRightInd w:val="0"/>
        <w:spacing w:before="45" w:after="45" w:line="240" w:lineRule="auto"/>
        <w:jc w:val="both"/>
        <w:rPr>
          <w:rFonts w:ascii="Times New Roman" w:hAnsi="Times New Roman" w:cs="Times New Roman"/>
          <w:noProof/>
          <w:lang w:val="x-none"/>
        </w:rPr>
      </w:pPr>
      <w:r w:rsidRPr="000B5630">
        <w:rPr>
          <w:rFonts w:ascii="Times New Roman" w:hAnsi="Times New Roman" w:cs="Times New Roman"/>
          <w:noProof/>
          <w:lang w:val="x-none"/>
        </w:rPr>
        <w:t>odbiorowi robót zanikających i ulegających zakryciu,</w:t>
      </w:r>
      <w:r w:rsidRPr="000B5630">
        <w:rPr>
          <w:rFonts w:ascii="Times New Roman" w:hAnsi="Times New Roman" w:cs="Times New Roman"/>
          <w:noProof/>
        </w:rPr>
        <w:t xml:space="preserve"> </w:t>
      </w:r>
      <w:r w:rsidRPr="000B5630">
        <w:rPr>
          <w:rFonts w:ascii="Times New Roman" w:hAnsi="Times New Roman" w:cs="Times New Roman"/>
          <w:noProof/>
          <w:lang w:val="x-none"/>
        </w:rPr>
        <w:t>polega na finalnej ocenie jakości wykonywanych robót oraz ilości tych robót, które w dalszym procesie realizacji ulegną zakryciu.</w:t>
      </w:r>
      <w:r w:rsidRPr="000B5630">
        <w:rPr>
          <w:rFonts w:ascii="Times New Roman" w:hAnsi="Times New Roman" w:cs="Times New Roman"/>
        </w:rPr>
        <w:t xml:space="preserve"> </w:t>
      </w:r>
      <w:r w:rsidRPr="000B5630">
        <w:rPr>
          <w:rFonts w:ascii="Times New Roman" w:hAnsi="Times New Roman" w:cs="Times New Roman"/>
          <w:noProof/>
          <w:lang w:val="x-none"/>
        </w:rPr>
        <w:t>Odbiór robót zanikających i ulegających zakryciu będzie dokonany w czasie umożliwiającym wykonanie ewentualnych korekt i poprawek bez hamowania ogólnego postępu robót. Odbioru tego dokonuje Inspektor nadzoru.</w:t>
      </w:r>
    </w:p>
    <w:p w14:paraId="65A15727" w14:textId="77777777" w:rsidR="00C72960" w:rsidRPr="000B5630" w:rsidRDefault="00C72960" w:rsidP="00904E6C">
      <w:pPr>
        <w:numPr>
          <w:ilvl w:val="0"/>
          <w:numId w:val="288"/>
        </w:numPr>
        <w:autoSpaceDE w:val="0"/>
        <w:autoSpaceDN w:val="0"/>
        <w:adjustRightInd w:val="0"/>
        <w:spacing w:before="45" w:after="45" w:line="240" w:lineRule="auto"/>
        <w:jc w:val="both"/>
        <w:rPr>
          <w:rFonts w:ascii="Times New Roman" w:hAnsi="Times New Roman" w:cs="Times New Roman"/>
          <w:lang w:val="x-none"/>
        </w:rPr>
      </w:pPr>
      <w:r w:rsidRPr="000B5630">
        <w:rPr>
          <w:rFonts w:ascii="Times New Roman" w:hAnsi="Times New Roman" w:cs="Times New Roman"/>
          <w:noProof/>
          <w:lang w:val="x-none"/>
        </w:rPr>
        <w:lastRenderedPageBreak/>
        <w:t>odbiorowi częściowemu,</w:t>
      </w:r>
      <w:r w:rsidRPr="000B5630">
        <w:rPr>
          <w:rFonts w:ascii="Times New Roman" w:hAnsi="Times New Roman" w:cs="Times New Roman"/>
        </w:rPr>
        <w:t xml:space="preserve"> </w:t>
      </w:r>
      <w:r w:rsidRPr="000B5630">
        <w:rPr>
          <w:rFonts w:ascii="Times New Roman" w:hAnsi="Times New Roman" w:cs="Times New Roman"/>
          <w:noProof/>
          <w:lang w:val="x-none"/>
        </w:rPr>
        <w:t>polega na ocenie ilości i jakości wykonanych części robót. Odbioru częściowego robót dokonuje się dla zakresu robót określonego w dokumentach umownych wg zasad jak przy odbiorze ostatecznym robót. Odbioru robót dokonuje Inspektor nadzoru.</w:t>
      </w:r>
    </w:p>
    <w:p w14:paraId="79994EE1" w14:textId="77777777" w:rsidR="00C72960" w:rsidRPr="000B5630" w:rsidRDefault="00C72960" w:rsidP="00904E6C">
      <w:pPr>
        <w:numPr>
          <w:ilvl w:val="0"/>
          <w:numId w:val="288"/>
        </w:numPr>
        <w:autoSpaceDE w:val="0"/>
        <w:autoSpaceDN w:val="0"/>
        <w:adjustRightInd w:val="0"/>
        <w:spacing w:before="45" w:after="45" w:line="240" w:lineRule="auto"/>
        <w:jc w:val="both"/>
        <w:rPr>
          <w:rFonts w:ascii="Times New Roman" w:hAnsi="Times New Roman" w:cs="Times New Roman"/>
          <w:noProof/>
          <w:lang w:val="x-none"/>
        </w:rPr>
      </w:pPr>
      <w:r w:rsidRPr="000B5630">
        <w:rPr>
          <w:rFonts w:ascii="Times New Roman" w:hAnsi="Times New Roman" w:cs="Times New Roman"/>
          <w:noProof/>
          <w:lang w:val="x-none"/>
        </w:rPr>
        <w:t>odbiorowi ostatecznemu (końcowemu),</w:t>
      </w:r>
      <w:r w:rsidRPr="000B5630">
        <w:rPr>
          <w:rFonts w:ascii="Times New Roman" w:hAnsi="Times New Roman" w:cs="Times New Roman"/>
        </w:rPr>
        <w:t xml:space="preserve"> </w:t>
      </w:r>
      <w:r w:rsidRPr="000B5630">
        <w:rPr>
          <w:rFonts w:ascii="Times New Roman" w:hAnsi="Times New Roman" w:cs="Times New Roman"/>
          <w:noProof/>
          <w:lang w:val="x-none"/>
        </w:rPr>
        <w:t>polega na finalnej ocenie rzeczywistego wykonania robót w odniesieniu do zakresu (ilości) oraz jakości.</w:t>
      </w:r>
      <w:r w:rsidRPr="000B5630">
        <w:rPr>
          <w:rFonts w:ascii="Times New Roman" w:hAnsi="Times New Roman" w:cs="Times New Roman"/>
          <w:noProof/>
          <w:lang w:val="x-none"/>
        </w:rPr>
        <w:tab/>
        <w:t>Całkowite zakończenie robót oraz gotowość do odbioru ostatecznego będzie stwierdzona przez Wykonawcę wpisem do dziennika budowy.</w:t>
      </w:r>
      <w:r w:rsidRPr="000B5630">
        <w:rPr>
          <w:rFonts w:ascii="Times New Roman" w:hAnsi="Times New Roman" w:cs="Times New Roman"/>
          <w:noProof/>
        </w:rPr>
        <w:t xml:space="preserve"> </w:t>
      </w:r>
      <w:r w:rsidRPr="000B5630">
        <w:rPr>
          <w:rFonts w:ascii="Times New Roman" w:hAnsi="Times New Roman" w:cs="Times New Roman"/>
          <w:noProof/>
          <w:lang w:val="x-none"/>
        </w:rPr>
        <w:t>Odbiór ostateczny robót nastąpi w terminie ustalonym w dokumentach umowy, licząc od dnia potwierdzenia przez Inspektora nadzoru zakończenia robót i przyjęcia dokumentów</w:t>
      </w:r>
      <w:r w:rsidRPr="000B5630">
        <w:rPr>
          <w:rFonts w:ascii="Times New Roman" w:hAnsi="Times New Roman" w:cs="Times New Roman"/>
          <w:noProof/>
        </w:rPr>
        <w:t xml:space="preserve"> odbioru ostatecznego (końcowego).</w:t>
      </w:r>
      <w:r w:rsidRPr="000B5630">
        <w:rPr>
          <w:rFonts w:ascii="Times New Roman" w:hAnsi="Times New Roman" w:cs="Times New Roman"/>
          <w:noProof/>
          <w:lang w:val="x-none"/>
        </w:rPr>
        <w:tab/>
        <w:t>Odbioru ostatecznego robót dokona komisja wyznaczona przez Zamawiającego w obecności Inspektora nadzoru i Wykonawcy. Komisja odbierająca roboty dokona ich oceny jakościowej na podstawie przedłożonych dokumentów, wyników badań i pomiarów, ocenie wizualnej oraz zgodności wykonania robót z dokumentacją projektową i SST.</w:t>
      </w:r>
    </w:p>
    <w:p w14:paraId="0973F42B" w14:textId="77777777" w:rsidR="00C72960" w:rsidRPr="000B5630" w:rsidRDefault="00C72960" w:rsidP="00904E6C">
      <w:pPr>
        <w:numPr>
          <w:ilvl w:val="0"/>
          <w:numId w:val="288"/>
        </w:numPr>
        <w:autoSpaceDE w:val="0"/>
        <w:autoSpaceDN w:val="0"/>
        <w:adjustRightInd w:val="0"/>
        <w:spacing w:before="45" w:after="45" w:line="240" w:lineRule="auto"/>
        <w:jc w:val="both"/>
        <w:rPr>
          <w:rFonts w:ascii="Times New Roman" w:hAnsi="Times New Roman" w:cs="Times New Roman"/>
          <w:noProof/>
          <w:lang w:val="x-none"/>
        </w:rPr>
      </w:pPr>
      <w:r w:rsidRPr="000B5630">
        <w:rPr>
          <w:rFonts w:ascii="Times New Roman" w:hAnsi="Times New Roman" w:cs="Times New Roman"/>
          <w:noProof/>
          <w:lang w:val="x-none"/>
        </w:rPr>
        <w:t>odbiorowi po upływie okresu rękojmi</w:t>
      </w:r>
      <w:r w:rsidRPr="000B5630">
        <w:rPr>
          <w:rFonts w:ascii="Times New Roman" w:hAnsi="Times New Roman" w:cs="Times New Roman"/>
          <w:noProof/>
        </w:rPr>
        <w:t xml:space="preserve"> i gwarancji, </w:t>
      </w:r>
      <w:r w:rsidRPr="000B5630">
        <w:rPr>
          <w:rFonts w:ascii="Times New Roman" w:hAnsi="Times New Roman" w:cs="Times New Roman"/>
          <w:noProof/>
          <w:lang w:val="x-none"/>
        </w:rPr>
        <w:t>polega na ocenie wykonanych robót związanych z usunięciem wad, które ujawnią się w okresie rękojmi i gwarancji.</w:t>
      </w:r>
      <w:r w:rsidRPr="000B5630">
        <w:rPr>
          <w:rFonts w:ascii="Times New Roman" w:hAnsi="Times New Roman" w:cs="Times New Roman"/>
          <w:noProof/>
        </w:rPr>
        <w:t xml:space="preserve"> </w:t>
      </w:r>
      <w:r w:rsidRPr="000B5630">
        <w:rPr>
          <w:rFonts w:ascii="Times New Roman" w:hAnsi="Times New Roman" w:cs="Times New Roman"/>
          <w:noProof/>
          <w:lang w:val="x-none"/>
        </w:rPr>
        <w:t>Odbiór po upływie okresu rękojmi i gwarancji pogwarancyjny będzie dokonany na podstawie oceny wizualnej obiektu z uwzględnieniem zasad opisanych w punkcie „Odbiór ostateczny robót(końcowy) robót”.</w:t>
      </w:r>
    </w:p>
    <w:p w14:paraId="406AD4C9" w14:textId="77777777" w:rsidR="00C72960" w:rsidRPr="000B5630" w:rsidRDefault="00C72960" w:rsidP="00904E6C">
      <w:pPr>
        <w:numPr>
          <w:ilvl w:val="0"/>
          <w:numId w:val="288"/>
        </w:numPr>
        <w:autoSpaceDE w:val="0"/>
        <w:autoSpaceDN w:val="0"/>
        <w:adjustRightInd w:val="0"/>
        <w:spacing w:before="45" w:after="45" w:line="240" w:lineRule="auto"/>
        <w:jc w:val="both"/>
        <w:rPr>
          <w:rFonts w:ascii="Times New Roman" w:hAnsi="Times New Roman" w:cs="Times New Roman"/>
          <w:lang w:val="x-none"/>
        </w:rPr>
      </w:pPr>
      <w:r w:rsidRPr="000B5630">
        <w:rPr>
          <w:rFonts w:ascii="Times New Roman" w:hAnsi="Times New Roman" w:cs="Times New Roman"/>
          <w:noProof/>
          <w:lang w:val="x-none"/>
        </w:rPr>
        <w:t>odbiorowi pogwarancyjnemu</w:t>
      </w:r>
      <w:r w:rsidRPr="000B5630">
        <w:rPr>
          <w:rFonts w:ascii="Times New Roman" w:hAnsi="Times New Roman" w:cs="Times New Roman"/>
          <w:noProof/>
        </w:rPr>
        <w:t xml:space="preserve"> </w:t>
      </w:r>
      <w:r w:rsidRPr="000B5630">
        <w:rPr>
          <w:rFonts w:ascii="Times New Roman" w:hAnsi="Times New Roman" w:cs="Times New Roman"/>
          <w:noProof/>
          <w:lang w:val="x-none"/>
        </w:rPr>
        <w:t>po upływie okresu gwarancji.</w:t>
      </w:r>
    </w:p>
    <w:p w14:paraId="5D720194"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lang w:val="x-none"/>
        </w:rPr>
      </w:pPr>
    </w:p>
    <w:p w14:paraId="79B36D71"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Odbiór techniczny częściowy</w:t>
      </w:r>
    </w:p>
    <w:p w14:paraId="737A90B8" w14:textId="77777777" w:rsidR="00C72960" w:rsidRPr="000B5630" w:rsidRDefault="00C72960" w:rsidP="00C72960">
      <w:pPr>
        <w:autoSpaceDE w:val="0"/>
        <w:autoSpaceDN w:val="0"/>
        <w:adjustRightInd w:val="0"/>
        <w:spacing w:before="45" w:after="45"/>
        <w:jc w:val="both"/>
        <w:rPr>
          <w:rFonts w:ascii="Times New Roman" w:hAnsi="Times New Roman" w:cs="Times New Roman"/>
          <w:lang w:val="x-none"/>
        </w:rPr>
      </w:pPr>
      <w:r w:rsidRPr="000B5630">
        <w:rPr>
          <w:rFonts w:ascii="Times New Roman" w:hAnsi="Times New Roman" w:cs="Times New Roman"/>
          <w:noProof/>
          <w:lang w:val="x-none"/>
        </w:rPr>
        <w:t>Przy odbiorze częściowym powinny być przedstawione następujące dokumenty:</w:t>
      </w:r>
    </w:p>
    <w:p w14:paraId="400EC8AC"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pozwolenie na budowę wydane przez właściwy terenowy organ administracji państwowej,</w:t>
      </w:r>
    </w:p>
    <w:p w14:paraId="123542A2"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projekt techniczny przewodu,</w:t>
      </w:r>
    </w:p>
    <w:p w14:paraId="2049F3A8"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dziennik budowy,</w:t>
      </w:r>
    </w:p>
    <w:p w14:paraId="50152D5A"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dowody uzasadniające zmiany i uzupełnienia wprowadzone w trakcie budowy,</w:t>
      </w:r>
    </w:p>
    <w:p w14:paraId="5779ADCF"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dokumenty dotyczące jakości wbudowanych materiałów,</w:t>
      </w:r>
    </w:p>
    <w:p w14:paraId="720DCF6A"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protokoły poprzednich odbiorów częściowych,</w:t>
      </w:r>
    </w:p>
    <w:p w14:paraId="16DB00F5" w14:textId="77777777" w:rsidR="00C72960" w:rsidRPr="000B5630" w:rsidRDefault="00C72960" w:rsidP="00904E6C">
      <w:pPr>
        <w:numPr>
          <w:ilvl w:val="0"/>
          <w:numId w:val="292"/>
        </w:numPr>
        <w:tabs>
          <w:tab w:val="clear" w:pos="1065"/>
          <w:tab w:val="num" w:pos="709"/>
        </w:tabs>
        <w:autoSpaceDE w:val="0"/>
        <w:autoSpaceDN w:val="0"/>
        <w:adjustRightInd w:val="0"/>
        <w:spacing w:before="45" w:after="45" w:line="240" w:lineRule="auto"/>
        <w:ind w:left="709" w:hanging="283"/>
        <w:jc w:val="both"/>
        <w:rPr>
          <w:rFonts w:ascii="Times New Roman" w:hAnsi="Times New Roman" w:cs="Times New Roman"/>
          <w:lang w:val="x-none"/>
        </w:rPr>
      </w:pPr>
      <w:r w:rsidRPr="000B5630">
        <w:rPr>
          <w:rFonts w:ascii="Times New Roman" w:hAnsi="Times New Roman" w:cs="Times New Roman"/>
          <w:noProof/>
          <w:lang w:val="x-none"/>
        </w:rPr>
        <w:t>specjalne ustalenia użytkownika (zleceniodawcy) z wykonawcą robót, dotyczące jakości prac.</w:t>
      </w:r>
    </w:p>
    <w:p w14:paraId="6AC07CC3"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757F22CC"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Odbiór techniczny końcowy</w:t>
      </w:r>
    </w:p>
    <w:p w14:paraId="2966E3C6" w14:textId="77777777" w:rsidR="00C72960" w:rsidRPr="000B5630" w:rsidRDefault="00C72960" w:rsidP="00904E6C">
      <w:pPr>
        <w:numPr>
          <w:ilvl w:val="2"/>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Przy odbiorze końcowym powinny być przedłożone następujące dokumenty:</w:t>
      </w:r>
    </w:p>
    <w:p w14:paraId="6B3CD98D" w14:textId="77777777" w:rsidR="00C72960" w:rsidRPr="000B5630" w:rsidRDefault="00C72960" w:rsidP="00904E6C">
      <w:pPr>
        <w:numPr>
          <w:ilvl w:val="0"/>
          <w:numId w:val="293"/>
        </w:numPr>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protokoły wszystkich odbiorów technicznych częściowych,</w:t>
      </w:r>
    </w:p>
    <w:p w14:paraId="1872E006" w14:textId="77777777" w:rsidR="00C72960" w:rsidRPr="000B5630" w:rsidRDefault="00C72960" w:rsidP="00904E6C">
      <w:pPr>
        <w:numPr>
          <w:ilvl w:val="0"/>
          <w:numId w:val="293"/>
        </w:numPr>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protokół przeprowadzonego badania stopnia zagęszczenia grunty po zasypaniu przewodu.</w:t>
      </w:r>
    </w:p>
    <w:p w14:paraId="0A090BF1"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p>
    <w:p w14:paraId="181BD426"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40" w:name="_Toc51694208"/>
      <w:r w:rsidRPr="000B5630">
        <w:rPr>
          <w:kern w:val="0"/>
          <w:sz w:val="22"/>
          <w:szCs w:val="22"/>
          <w:lang w:eastAsia="ar-SA"/>
        </w:rPr>
        <w:t>PODSTAWA ROZLICZENIA ROBÓT PODSTAWOWYCH, TYMCZASOWYCH I PRAC TOWARZYSZĄCYCH</w:t>
      </w:r>
      <w:bookmarkEnd w:id="940"/>
    </w:p>
    <w:p w14:paraId="7EA68719"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Zasady rozliczenia i płatności</w:t>
      </w:r>
    </w:p>
    <w:p w14:paraId="5599CD5B"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Rozliczenie robót ziemnych i towarzyszących może być dokonane jednorazowo po wykonaniu pełnego zakresu robót i ich końcowym odbiorze lub etapami określonymi w umowie, po dokonaniu odbiorów częściowych.</w:t>
      </w:r>
    </w:p>
    <w:p w14:paraId="0867FEE5"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Jeżeli w trakcie wykonywania robót ziemnych liniowych wystąpi konieczność zabezpieczenia ruchu kołowego i (lub) pieszego oraz wykonania robót przygotowawczych i innych z nimi związanych to koszty tych robót obejmują:</w:t>
      </w:r>
    </w:p>
    <w:p w14:paraId="18AA3AB6"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 xml:space="preserve">opracowanie oraz uzgodnienie z Inspektorem nadzoru i odpowiednimi instytucjami, projektu organizacji ruchu na czas trwania budowy, </w:t>
      </w:r>
    </w:p>
    <w:p w14:paraId="559B0F57"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wytyczenie osi wykopu (przewodu) oraz ustalenie reperów,</w:t>
      </w:r>
    </w:p>
    <w:p w14:paraId="38A8516D"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ustawienie tymczasowego oznakowania, zgodnie z wymaganiami bezpieczeństwa ruchu,</w:t>
      </w:r>
    </w:p>
    <w:p w14:paraId="2C488DC1"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opłaty/dzierżawy terenu,</w:t>
      </w:r>
    </w:p>
    <w:p w14:paraId="7672DFB4"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lastRenderedPageBreak/>
        <w:t>przygotowanie terenu,</w:t>
      </w:r>
    </w:p>
    <w:p w14:paraId="2FFCFE3E"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konstrukcję tymczasowej nawierzchni, ramp, chodników, krawężników, barier,</w:t>
      </w:r>
    </w:p>
    <w:p w14:paraId="17B26220"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usunięcie wbudowanych materiałów i oznakowania,</w:t>
      </w:r>
    </w:p>
    <w:p w14:paraId="316B11AF" w14:textId="77777777" w:rsidR="00C72960" w:rsidRPr="000B5630" w:rsidRDefault="00C72960" w:rsidP="00904E6C">
      <w:pPr>
        <w:numPr>
          <w:ilvl w:val="0"/>
          <w:numId w:val="299"/>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doprowadzenie terenu do stanu pierwotnego.</w:t>
      </w:r>
    </w:p>
    <w:p w14:paraId="739238EB"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Ostateczne rozliczenie pomiędzy zamawiającym a wykonawcą następuje po dokonaniu odbioru końcowego.</w:t>
      </w:r>
    </w:p>
    <w:p w14:paraId="4B9E811D"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Podstawą rozliczenia oraz płatności wykonanego i odebranego zakresu robót stanowi wartość tych robót obliczona na podstawie:</w:t>
      </w:r>
    </w:p>
    <w:p w14:paraId="1ACC0530" w14:textId="77777777" w:rsidR="00C72960" w:rsidRPr="000B5630" w:rsidRDefault="00C72960" w:rsidP="00904E6C">
      <w:pPr>
        <w:numPr>
          <w:ilvl w:val="0"/>
          <w:numId w:val="295"/>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 xml:space="preserve">określonych w dokumentach umownych (ofercie) cen jednostkowych i ilości wykonanych robót potwierdzonych przez zamawiającego lub </w:t>
      </w:r>
    </w:p>
    <w:p w14:paraId="1FEFB923" w14:textId="77777777" w:rsidR="00C72960" w:rsidRPr="000B5630" w:rsidRDefault="00C72960" w:rsidP="00904E6C">
      <w:pPr>
        <w:numPr>
          <w:ilvl w:val="0"/>
          <w:numId w:val="295"/>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ustalonej w umowie kwoty ryczałtowej za określony zakres robót.</w:t>
      </w:r>
    </w:p>
    <w:p w14:paraId="4A9E3E1E"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Ceny jednostkowe wykonania robót lub kwoty ryczałtowe obejmują:</w:t>
      </w:r>
    </w:p>
    <w:p w14:paraId="33C1ECE6"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przygotowanie stanowiska roboczego,</w:t>
      </w:r>
    </w:p>
    <w:p w14:paraId="31AA11E4"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dostarczenie materiałów, narzędzi i sprzętu,</w:t>
      </w:r>
    </w:p>
    <w:p w14:paraId="647D259A"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obsługę sprzętu nieposiadającego etatowej obsługi,</w:t>
      </w:r>
    </w:p>
    <w:p w14:paraId="3018739E"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wykonanie wykopów,</w:t>
      </w:r>
    </w:p>
    <w:p w14:paraId="351832BD"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oszalowanie ścian wykopów,</w:t>
      </w:r>
    </w:p>
    <w:p w14:paraId="7C5F5B4B"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wykonanie podłoża pod rurociągi,</w:t>
      </w:r>
    </w:p>
    <w:p w14:paraId="713E35E4" w14:textId="77777777" w:rsidR="00C72960" w:rsidRPr="000B5630" w:rsidRDefault="00C72960" w:rsidP="00904E6C">
      <w:pPr>
        <w:numPr>
          <w:ilvl w:val="0"/>
          <w:numId w:val="291"/>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zasypanie wykopów wraz z zagęszczeniem.</w:t>
      </w:r>
    </w:p>
    <w:p w14:paraId="7AA67086" w14:textId="77777777" w:rsidR="00C72960" w:rsidRPr="000B5630" w:rsidRDefault="00C72960" w:rsidP="00C72960">
      <w:pPr>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Ceny te obejmują:</w:t>
      </w:r>
    </w:p>
    <w:p w14:paraId="5E37B8E4" w14:textId="77777777" w:rsidR="00C72960" w:rsidRPr="000B5630" w:rsidRDefault="00C72960" w:rsidP="00904E6C">
      <w:pPr>
        <w:numPr>
          <w:ilvl w:val="0"/>
          <w:numId w:val="302"/>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robociznę bezpośrednią,</w:t>
      </w:r>
    </w:p>
    <w:p w14:paraId="1ABCF88B" w14:textId="77777777" w:rsidR="00C72960" w:rsidRPr="000B5630" w:rsidRDefault="00C72960" w:rsidP="00904E6C">
      <w:pPr>
        <w:numPr>
          <w:ilvl w:val="0"/>
          <w:numId w:val="302"/>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wartość zużytych materiałów wraz z kosztami zakupu, magazynowania, ewentualnych ubytków i transportu na teren budowy,</w:t>
      </w:r>
    </w:p>
    <w:p w14:paraId="5E97ADAF" w14:textId="77777777" w:rsidR="00C72960" w:rsidRPr="000B5630" w:rsidRDefault="00C72960" w:rsidP="00904E6C">
      <w:pPr>
        <w:numPr>
          <w:ilvl w:val="0"/>
          <w:numId w:val="302"/>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wartość pracy sprzętu wraz z towarzyszącymi kosztami,</w:t>
      </w:r>
    </w:p>
    <w:p w14:paraId="7BEEED75" w14:textId="77777777" w:rsidR="00C72960" w:rsidRPr="000B5630" w:rsidRDefault="00C72960" w:rsidP="00904E6C">
      <w:pPr>
        <w:numPr>
          <w:ilvl w:val="0"/>
          <w:numId w:val="302"/>
        </w:numPr>
        <w:tabs>
          <w:tab w:val="clear" w:pos="285"/>
          <w:tab w:val="num" w:pos="709"/>
        </w:tabs>
        <w:autoSpaceDE w:val="0"/>
        <w:autoSpaceDN w:val="0"/>
        <w:adjustRightInd w:val="0"/>
        <w:spacing w:before="45" w:after="45" w:line="240" w:lineRule="auto"/>
        <w:ind w:left="426" w:firstLine="0"/>
        <w:jc w:val="both"/>
        <w:rPr>
          <w:rFonts w:ascii="Times New Roman" w:hAnsi="Times New Roman" w:cs="Times New Roman"/>
          <w:lang w:val="x-none"/>
        </w:rPr>
      </w:pPr>
      <w:r w:rsidRPr="000B5630">
        <w:rPr>
          <w:rFonts w:ascii="Times New Roman" w:hAnsi="Times New Roman" w:cs="Times New Roman"/>
          <w:noProof/>
          <w:lang w:val="x-none"/>
        </w:rPr>
        <w:t>koszty pośrednie, zysk kalkulacyjny i ryzyko.</w:t>
      </w:r>
    </w:p>
    <w:p w14:paraId="1818AE5F"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lang w:val="x-none"/>
        </w:rPr>
      </w:pPr>
    </w:p>
    <w:p w14:paraId="05E63893" w14:textId="77777777" w:rsidR="00C72960" w:rsidRPr="000B5630" w:rsidRDefault="00C72960" w:rsidP="00904E6C">
      <w:pPr>
        <w:pStyle w:val="Nagwek1"/>
        <w:numPr>
          <w:ilvl w:val="0"/>
          <w:numId w:val="297"/>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eastAsia="ar-SA"/>
        </w:rPr>
      </w:pPr>
      <w:bookmarkStart w:id="941" w:name="_Toc51694209"/>
      <w:r w:rsidRPr="000B5630">
        <w:rPr>
          <w:kern w:val="0"/>
          <w:sz w:val="22"/>
          <w:szCs w:val="22"/>
          <w:lang w:eastAsia="ar-SA"/>
        </w:rPr>
        <w:t>DOKUMENTY ODNIESIENIA</w:t>
      </w:r>
      <w:bookmarkEnd w:id="941"/>
    </w:p>
    <w:p w14:paraId="6C150C82"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Normy</w:t>
      </w:r>
      <w:r w:rsidRPr="000B5630">
        <w:rPr>
          <w:rFonts w:ascii="Times New Roman" w:hAnsi="Times New Roman" w:cs="Times New Roman"/>
          <w:b/>
          <w:bCs/>
          <w:noProof/>
        </w:rPr>
        <w:t xml:space="preserve"> (wraz z późniejszymi zmianami i aktualizacjami)</w:t>
      </w:r>
    </w:p>
    <w:p w14:paraId="7E8DBE66"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PN-86/B-02480 Grunty budowlane. Określenia, symbole, podział i opis gruntów.</w:t>
      </w:r>
    </w:p>
    <w:p w14:paraId="1ECE53E8"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rPr>
        <w:t>PN</w:t>
      </w:r>
      <w:r w:rsidRPr="000B5630">
        <w:rPr>
          <w:rFonts w:ascii="Times New Roman" w:hAnsi="Times New Roman" w:cs="Times New Roman"/>
          <w:noProof/>
          <w:lang w:val="x-none"/>
        </w:rPr>
        <w:t>-EN 1997-</w:t>
      </w:r>
      <w:r w:rsidRPr="000B5630">
        <w:rPr>
          <w:rFonts w:ascii="Times New Roman" w:hAnsi="Times New Roman" w:cs="Times New Roman"/>
          <w:noProof/>
        </w:rPr>
        <w:t>1</w:t>
      </w:r>
      <w:r w:rsidRPr="000B5630">
        <w:rPr>
          <w:rFonts w:ascii="Times New Roman" w:hAnsi="Times New Roman" w:cs="Times New Roman"/>
          <w:noProof/>
          <w:lang w:val="x-none"/>
        </w:rPr>
        <w:t xml:space="preserve">:2008 Projektowanie geotechniczne - Część </w:t>
      </w:r>
      <w:r w:rsidRPr="000B5630">
        <w:rPr>
          <w:rFonts w:ascii="Times New Roman" w:hAnsi="Times New Roman" w:cs="Times New Roman"/>
          <w:noProof/>
        </w:rPr>
        <w:t>1</w:t>
      </w:r>
      <w:r w:rsidRPr="000B5630">
        <w:rPr>
          <w:rFonts w:ascii="Times New Roman" w:hAnsi="Times New Roman" w:cs="Times New Roman"/>
          <w:noProof/>
          <w:lang w:val="x-none"/>
        </w:rPr>
        <w:t xml:space="preserve">: </w:t>
      </w:r>
      <w:r w:rsidRPr="000B5630">
        <w:rPr>
          <w:rFonts w:ascii="Times New Roman" w:hAnsi="Times New Roman" w:cs="Times New Roman"/>
          <w:noProof/>
        </w:rPr>
        <w:t>Zasady ogólne</w:t>
      </w:r>
    </w:p>
    <w:p w14:paraId="6C75A0B4"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rPr>
        <w:t>PN</w:t>
      </w:r>
      <w:r w:rsidRPr="000B5630">
        <w:rPr>
          <w:rFonts w:ascii="Times New Roman" w:hAnsi="Times New Roman" w:cs="Times New Roman"/>
          <w:noProof/>
          <w:lang w:val="x-none"/>
        </w:rPr>
        <w:t>-EN 1997-2:2009 Projektowanie geotechniczne - Część 2: Rozpoznanie i badanie podłoża gruntowego</w:t>
      </w:r>
    </w:p>
    <w:p w14:paraId="77A306C8"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PN-B-04481</w:t>
      </w:r>
      <w:r w:rsidRPr="000B5630">
        <w:rPr>
          <w:rFonts w:ascii="Times New Roman" w:hAnsi="Times New Roman" w:cs="Times New Roman"/>
          <w:noProof/>
        </w:rPr>
        <w:t xml:space="preserve"> </w:t>
      </w:r>
      <w:r w:rsidRPr="000B5630">
        <w:rPr>
          <w:rFonts w:ascii="Times New Roman" w:hAnsi="Times New Roman" w:cs="Times New Roman"/>
          <w:noProof/>
          <w:lang w:val="x-none"/>
        </w:rPr>
        <w:t>Grunty budowlane. Badania próbek gruntów.</w:t>
      </w:r>
    </w:p>
    <w:p w14:paraId="44482E5A"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PN-B-04493</w:t>
      </w:r>
      <w:r w:rsidRPr="000B5630">
        <w:rPr>
          <w:rFonts w:ascii="Times New Roman" w:hAnsi="Times New Roman" w:cs="Times New Roman"/>
          <w:noProof/>
        </w:rPr>
        <w:t xml:space="preserve"> </w:t>
      </w:r>
      <w:r w:rsidRPr="000B5630">
        <w:rPr>
          <w:rFonts w:ascii="Times New Roman" w:hAnsi="Times New Roman" w:cs="Times New Roman"/>
          <w:noProof/>
          <w:lang w:val="x-none"/>
        </w:rPr>
        <w:t>Grunty budowlane. Oznaczanie kapilarności biernej.</w:t>
      </w:r>
    </w:p>
    <w:p w14:paraId="20270ABD"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BN-77/8931-12</w:t>
      </w:r>
      <w:r w:rsidRPr="000B5630">
        <w:rPr>
          <w:rFonts w:ascii="Times New Roman" w:hAnsi="Times New Roman" w:cs="Times New Roman"/>
          <w:noProof/>
        </w:rPr>
        <w:t xml:space="preserve"> </w:t>
      </w:r>
      <w:r w:rsidRPr="000B5630">
        <w:rPr>
          <w:rFonts w:ascii="Times New Roman" w:hAnsi="Times New Roman" w:cs="Times New Roman"/>
          <w:noProof/>
          <w:lang w:val="x-none"/>
        </w:rPr>
        <w:t>Oznaczanie wskaźnika zagęszczenia gruntu.</w:t>
      </w:r>
    </w:p>
    <w:p w14:paraId="14D3B88C"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PN-B-06050:1999</w:t>
      </w:r>
      <w:r w:rsidRPr="000B5630">
        <w:rPr>
          <w:rFonts w:ascii="Times New Roman" w:hAnsi="Times New Roman" w:cs="Times New Roman"/>
          <w:noProof/>
        </w:rPr>
        <w:t xml:space="preserve"> </w:t>
      </w:r>
      <w:r w:rsidRPr="000B5630">
        <w:rPr>
          <w:rFonts w:ascii="Times New Roman" w:hAnsi="Times New Roman" w:cs="Times New Roman"/>
          <w:noProof/>
          <w:lang w:val="x-none"/>
        </w:rPr>
        <w:t>Geotechnika. Roboty ziemne. Wymagania ogólne.</w:t>
      </w:r>
    </w:p>
    <w:p w14:paraId="195B9C11" w14:textId="77777777" w:rsidR="00C72960" w:rsidRPr="000B5630" w:rsidRDefault="00C72960" w:rsidP="00C72960">
      <w:pPr>
        <w:tabs>
          <w:tab w:val="left" w:pos="1695"/>
        </w:tabs>
        <w:autoSpaceDE w:val="0"/>
        <w:autoSpaceDN w:val="0"/>
        <w:adjustRightInd w:val="0"/>
        <w:spacing w:before="45" w:after="45"/>
        <w:jc w:val="both"/>
        <w:rPr>
          <w:rFonts w:ascii="Times New Roman" w:hAnsi="Times New Roman" w:cs="Times New Roman"/>
          <w:noProof/>
          <w:lang w:val="x-none"/>
        </w:rPr>
      </w:pPr>
      <w:r w:rsidRPr="000B5630">
        <w:rPr>
          <w:rFonts w:ascii="Times New Roman" w:hAnsi="Times New Roman" w:cs="Times New Roman"/>
          <w:noProof/>
          <w:lang w:val="x-none"/>
        </w:rPr>
        <w:t>PN-B-10736:1999</w:t>
      </w:r>
      <w:r w:rsidRPr="000B5630">
        <w:rPr>
          <w:rFonts w:ascii="Times New Roman" w:hAnsi="Times New Roman" w:cs="Times New Roman"/>
          <w:noProof/>
        </w:rPr>
        <w:t xml:space="preserve"> </w:t>
      </w:r>
      <w:r w:rsidRPr="000B5630">
        <w:rPr>
          <w:rFonts w:ascii="Times New Roman" w:hAnsi="Times New Roman" w:cs="Times New Roman"/>
          <w:noProof/>
          <w:lang w:val="x-none"/>
        </w:rPr>
        <w:t>Roboty ziemne. Wykopy otwarte dla przewodów wodociągowych i kanalizacyjnych. Warunki techniczne wykona</w:t>
      </w:r>
      <w:r w:rsidRPr="000B5630">
        <w:rPr>
          <w:rFonts w:ascii="Times New Roman" w:hAnsi="Times New Roman" w:cs="Times New Roman"/>
          <w:noProof/>
        </w:rPr>
        <w:t>n</w:t>
      </w:r>
      <w:r w:rsidRPr="000B5630">
        <w:rPr>
          <w:rFonts w:ascii="Times New Roman" w:hAnsi="Times New Roman" w:cs="Times New Roman"/>
          <w:noProof/>
          <w:lang w:val="x-none"/>
        </w:rPr>
        <w:t>ia.</w:t>
      </w:r>
    </w:p>
    <w:p w14:paraId="6A7EFD68"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lang w:val="x-none"/>
        </w:rPr>
      </w:pPr>
    </w:p>
    <w:p w14:paraId="24CC78B1"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Ustawy</w:t>
      </w:r>
      <w:r w:rsidRPr="000B5630">
        <w:rPr>
          <w:rFonts w:ascii="Times New Roman" w:hAnsi="Times New Roman" w:cs="Times New Roman"/>
          <w:b/>
          <w:bCs/>
          <w:noProof/>
        </w:rPr>
        <w:t xml:space="preserve"> (z póź. Zmianami)</w:t>
      </w:r>
    </w:p>
    <w:p w14:paraId="533EE615"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 xml:space="preserve">Ustawa z dnia 7 lipca 1994 r. – Prawo budowlane (jednolity tekst Dz. U. z </w:t>
      </w:r>
      <w:r w:rsidRPr="000B5630">
        <w:rPr>
          <w:rFonts w:ascii="Times New Roman" w:hAnsi="Times New Roman" w:cs="Times New Roman"/>
          <w:lang w:val="x-none"/>
        </w:rPr>
        <w:t>20</w:t>
      </w:r>
      <w:r w:rsidRPr="000B5630">
        <w:rPr>
          <w:rFonts w:ascii="Times New Roman" w:hAnsi="Times New Roman" w:cs="Times New Roman"/>
        </w:rPr>
        <w:t>17</w:t>
      </w:r>
      <w:r w:rsidRPr="000B5630">
        <w:rPr>
          <w:rFonts w:ascii="Times New Roman" w:hAnsi="Times New Roman" w:cs="Times New Roman"/>
          <w:noProof/>
          <w:lang w:val="x-none"/>
        </w:rPr>
        <w:t xml:space="preserve"> r. poz. </w:t>
      </w:r>
      <w:r w:rsidRPr="000B5630">
        <w:rPr>
          <w:rFonts w:ascii="Times New Roman" w:hAnsi="Times New Roman" w:cs="Times New Roman"/>
        </w:rPr>
        <w:t>1332</w:t>
      </w:r>
      <w:r w:rsidRPr="000B5630">
        <w:rPr>
          <w:rFonts w:ascii="Times New Roman" w:hAnsi="Times New Roman" w:cs="Times New Roman"/>
          <w:noProof/>
          <w:lang w:val="x-none"/>
        </w:rPr>
        <w:t xml:space="preserve"> z zm</w:t>
      </w:r>
      <w:r w:rsidRPr="000B5630">
        <w:rPr>
          <w:rFonts w:ascii="Times New Roman" w:hAnsi="Times New Roman" w:cs="Times New Roman"/>
          <w:noProof/>
        </w:rPr>
        <w:t>ian</w:t>
      </w:r>
      <w:r w:rsidRPr="000B5630">
        <w:rPr>
          <w:rFonts w:ascii="Times New Roman" w:hAnsi="Times New Roman" w:cs="Times New Roman"/>
          <w:noProof/>
          <w:lang w:val="x-none"/>
        </w:rPr>
        <w:t>.).</w:t>
      </w:r>
    </w:p>
    <w:p w14:paraId="2F0D8DEB"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Ustawa z dnia 29 stycznia 2004 r. – Prawo zamówień publicznych (Dz. U. Nr 19, poz. 177),</w:t>
      </w:r>
    </w:p>
    <w:p w14:paraId="360A457E"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Ustawa z dnia 16 kwietnia 2004 r. – o wyrobach budowlanych (Dz. U. Nr 92, poz. 881),</w:t>
      </w:r>
    </w:p>
    <w:p w14:paraId="4318B370"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noProof/>
          <w:lang w:val="x-none"/>
        </w:rPr>
      </w:pPr>
      <w:r w:rsidRPr="000B5630">
        <w:rPr>
          <w:rFonts w:ascii="Times New Roman" w:hAnsi="Times New Roman" w:cs="Times New Roman"/>
          <w:noProof/>
          <w:lang w:val="x-none"/>
        </w:rPr>
        <w:t xml:space="preserve">Ustawa z dnia 24 sierpnia 1991 r. – o ochronie przeciwpożarowej (tekst </w:t>
      </w:r>
      <w:r w:rsidRPr="000B5630">
        <w:rPr>
          <w:rFonts w:ascii="Times New Roman" w:hAnsi="Times New Roman" w:cs="Times New Roman"/>
          <w:noProof/>
        </w:rPr>
        <w:t xml:space="preserve">jedn. </w:t>
      </w:r>
      <w:r w:rsidRPr="000B5630">
        <w:rPr>
          <w:rFonts w:ascii="Times New Roman" w:hAnsi="Times New Roman" w:cs="Times New Roman"/>
          <w:noProof/>
          <w:lang w:val="x-none"/>
        </w:rPr>
        <w:t xml:space="preserve">Dz. U. z </w:t>
      </w:r>
      <w:r w:rsidRPr="000B5630">
        <w:rPr>
          <w:rFonts w:ascii="Times New Roman" w:hAnsi="Times New Roman" w:cs="Times New Roman"/>
          <w:lang w:val="x-none"/>
        </w:rPr>
        <w:t>2</w:t>
      </w:r>
      <w:r w:rsidRPr="000B5630">
        <w:rPr>
          <w:rFonts w:ascii="Times New Roman" w:hAnsi="Times New Roman" w:cs="Times New Roman"/>
        </w:rPr>
        <w:t>0</w:t>
      </w:r>
      <w:r w:rsidRPr="000B5630">
        <w:rPr>
          <w:rFonts w:ascii="Times New Roman" w:hAnsi="Times New Roman" w:cs="Times New Roman"/>
          <w:lang w:val="x-none"/>
        </w:rPr>
        <w:t>2</w:t>
      </w:r>
      <w:r w:rsidRPr="000B5630">
        <w:rPr>
          <w:rFonts w:ascii="Times New Roman" w:hAnsi="Times New Roman" w:cs="Times New Roman"/>
        </w:rPr>
        <w:t>1</w:t>
      </w:r>
      <w:r w:rsidRPr="000B5630">
        <w:rPr>
          <w:rFonts w:ascii="Times New Roman" w:hAnsi="Times New Roman" w:cs="Times New Roman"/>
          <w:noProof/>
          <w:lang w:val="x-none"/>
        </w:rPr>
        <w:t xml:space="preserve">r. poz. </w:t>
      </w:r>
      <w:r w:rsidRPr="000B5630">
        <w:rPr>
          <w:rFonts w:ascii="Times New Roman" w:hAnsi="Times New Roman" w:cs="Times New Roman"/>
          <w:noProof/>
        </w:rPr>
        <w:t>869</w:t>
      </w:r>
      <w:r w:rsidRPr="000B5630">
        <w:rPr>
          <w:rFonts w:ascii="Times New Roman" w:hAnsi="Times New Roman" w:cs="Times New Roman"/>
          <w:noProof/>
          <w:lang w:val="x-none"/>
        </w:rPr>
        <w:t>).</w:t>
      </w:r>
    </w:p>
    <w:p w14:paraId="25A8A02A"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noProof/>
          <w:lang w:val="x-none"/>
        </w:rPr>
      </w:pPr>
      <w:r w:rsidRPr="000B5630">
        <w:rPr>
          <w:rFonts w:ascii="Times New Roman" w:hAnsi="Times New Roman" w:cs="Times New Roman"/>
          <w:noProof/>
          <w:lang w:val="x-none"/>
        </w:rPr>
        <w:lastRenderedPageBreak/>
        <w:t>Ustawa z dnia 27 kwietnia 2001 r. – Prawo ochrony środowiska (Dz. U. Nr 62, poz. 627),</w:t>
      </w:r>
    </w:p>
    <w:p w14:paraId="511521E1"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noProof/>
          <w:lang w:val="x-none"/>
        </w:rPr>
      </w:pPr>
      <w:r w:rsidRPr="000B5630">
        <w:rPr>
          <w:rFonts w:ascii="Times New Roman" w:hAnsi="Times New Roman" w:cs="Times New Roman"/>
          <w:noProof/>
          <w:lang w:val="x-none"/>
        </w:rPr>
        <w:t>Ustawa z dnia 21 marca 1985 r. – o drogach publicznych (tekst</w:t>
      </w:r>
      <w:r w:rsidRPr="000B5630">
        <w:rPr>
          <w:rFonts w:ascii="Times New Roman" w:hAnsi="Times New Roman" w:cs="Times New Roman"/>
          <w:noProof/>
        </w:rPr>
        <w:t xml:space="preserve"> jedn.</w:t>
      </w:r>
      <w:r w:rsidRPr="000B5630">
        <w:rPr>
          <w:rFonts w:ascii="Times New Roman" w:hAnsi="Times New Roman" w:cs="Times New Roman"/>
          <w:noProof/>
          <w:lang w:val="x-none"/>
        </w:rPr>
        <w:t xml:space="preserve"> Dz. U. z </w:t>
      </w:r>
      <w:r w:rsidRPr="000B5630">
        <w:rPr>
          <w:rFonts w:ascii="Times New Roman" w:hAnsi="Times New Roman" w:cs="Times New Roman"/>
          <w:lang w:val="x-none"/>
        </w:rPr>
        <w:t>2</w:t>
      </w:r>
      <w:r w:rsidRPr="000B5630">
        <w:rPr>
          <w:rFonts w:ascii="Times New Roman" w:hAnsi="Times New Roman" w:cs="Times New Roman"/>
        </w:rPr>
        <w:t>021</w:t>
      </w:r>
      <w:r w:rsidRPr="000B5630">
        <w:rPr>
          <w:rFonts w:ascii="Times New Roman" w:hAnsi="Times New Roman" w:cs="Times New Roman"/>
          <w:noProof/>
          <w:lang w:val="x-none"/>
        </w:rPr>
        <w:t xml:space="preserve"> r., poz. </w:t>
      </w:r>
      <w:r w:rsidRPr="000B5630">
        <w:rPr>
          <w:rFonts w:ascii="Times New Roman" w:hAnsi="Times New Roman" w:cs="Times New Roman"/>
          <w:noProof/>
        </w:rPr>
        <w:t>1376, 1595</w:t>
      </w:r>
      <w:r w:rsidRPr="000B5630">
        <w:rPr>
          <w:rFonts w:ascii="Times New Roman" w:hAnsi="Times New Roman" w:cs="Times New Roman"/>
          <w:noProof/>
          <w:lang w:val="x-none"/>
        </w:rPr>
        <w:t>).</w:t>
      </w:r>
    </w:p>
    <w:p w14:paraId="32C19E8A" w14:textId="77777777" w:rsidR="00C72960" w:rsidRPr="000B5630" w:rsidRDefault="00C72960" w:rsidP="00904E6C">
      <w:pPr>
        <w:numPr>
          <w:ilvl w:val="0"/>
          <w:numId w:val="294"/>
        </w:numPr>
        <w:tabs>
          <w:tab w:val="left" w:pos="705"/>
          <w:tab w:val="right" w:leader="dot" w:pos="9075"/>
        </w:tabs>
        <w:autoSpaceDE w:val="0"/>
        <w:autoSpaceDN w:val="0"/>
        <w:adjustRightInd w:val="0"/>
        <w:spacing w:before="45" w:after="45" w:line="240" w:lineRule="auto"/>
        <w:ind w:left="0" w:firstLine="0"/>
        <w:jc w:val="both"/>
        <w:rPr>
          <w:rFonts w:ascii="Times New Roman" w:hAnsi="Times New Roman" w:cs="Times New Roman"/>
          <w:noProof/>
          <w:lang w:val="x-none"/>
        </w:rPr>
      </w:pPr>
      <w:r w:rsidRPr="000B5630">
        <w:rPr>
          <w:rFonts w:ascii="Times New Roman" w:hAnsi="Times New Roman" w:cs="Times New Roman"/>
          <w:noProof/>
          <w:lang w:val="x-none"/>
        </w:rPr>
        <w:t>Ustawa z dnia 5 czerwca 2014 r. o zmianie ustawy – Prawo geodezyjne i kartograficzne oraz ustawy o postępowaniu egzekucyjnym w administracji (Dz.U. 2014 poz. 897),</w:t>
      </w:r>
    </w:p>
    <w:p w14:paraId="48EBD9E4" w14:textId="77777777" w:rsidR="00C72960" w:rsidRPr="000B5630" w:rsidRDefault="00C72960" w:rsidP="00904E6C">
      <w:pPr>
        <w:numPr>
          <w:ilvl w:val="0"/>
          <w:numId w:val="294"/>
        </w:numPr>
        <w:tabs>
          <w:tab w:val="num" w:pos="567"/>
        </w:tabs>
        <w:autoSpaceDE w:val="0"/>
        <w:autoSpaceDN w:val="0"/>
        <w:adjustRightInd w:val="0"/>
        <w:spacing w:before="45" w:after="45" w:line="240" w:lineRule="auto"/>
        <w:jc w:val="both"/>
        <w:rPr>
          <w:rFonts w:ascii="Times New Roman" w:hAnsi="Times New Roman" w:cs="Times New Roman"/>
          <w:lang w:val="x-none"/>
        </w:rPr>
      </w:pPr>
      <w:r w:rsidRPr="000B5630">
        <w:rPr>
          <w:rStyle w:val="h2"/>
          <w:rFonts w:ascii="Times New Roman" w:hAnsi="Times New Roman" w:cs="Times New Roman"/>
        </w:rPr>
        <w:t>Ustawa z dnia 13 czerwca 2013 r. o zmianie ustawy o wyrobach budowlanych oraz ustawy o systemie oceny zgodności (</w:t>
      </w:r>
      <w:r w:rsidRPr="000B5630">
        <w:rPr>
          <w:rStyle w:val="h1"/>
          <w:rFonts w:ascii="Times New Roman" w:hAnsi="Times New Roman" w:cs="Times New Roman"/>
        </w:rPr>
        <w:t>Dz.U. 2013 poz. 898)</w:t>
      </w:r>
    </w:p>
    <w:p w14:paraId="1B12DDCA" w14:textId="77777777" w:rsidR="00C72960" w:rsidRPr="000B5630" w:rsidRDefault="00C72960" w:rsidP="00C72960">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p>
    <w:p w14:paraId="3DD35FAE"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Rozporządzenia</w:t>
      </w:r>
      <w:r w:rsidRPr="000B5630">
        <w:rPr>
          <w:rFonts w:ascii="Times New Roman" w:hAnsi="Times New Roman" w:cs="Times New Roman"/>
          <w:b/>
          <w:bCs/>
          <w:noProof/>
        </w:rPr>
        <w:t xml:space="preserve"> (z póź. Zmiami)</w:t>
      </w:r>
    </w:p>
    <w:p w14:paraId="710A731F"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r w:rsidRPr="000B5630">
        <w:rPr>
          <w:rFonts w:ascii="Times New Roman" w:hAnsi="Times New Roman" w:cs="Times New Roman"/>
          <w:noProof/>
          <w:lang w:val="x-none"/>
        </w:rPr>
        <w:t>-</w:t>
      </w:r>
      <w:r w:rsidRPr="000B5630">
        <w:rPr>
          <w:rFonts w:ascii="Times New Roman" w:hAnsi="Times New Roman" w:cs="Times New Roman"/>
          <w:noProof/>
        </w:rPr>
        <w:t xml:space="preserve"> </w:t>
      </w:r>
      <w:r w:rsidRPr="000B5630">
        <w:rPr>
          <w:rFonts w:ascii="Times New Roman" w:hAnsi="Times New Roman" w:cs="Times New Roman"/>
          <w:noProof/>
          <w:lang w:val="x-none"/>
        </w:rPr>
        <w:t>Rozporządzenie Ministra Infrastruktury z dnia 11 sierpnia 2004 r. w sprawie sposobów deklarowania zgodności wyrobów budowlanych oraz sposobu znakowania ich znakiem budowlanym (Dz. U. Nr 198, poz. 2041).</w:t>
      </w:r>
    </w:p>
    <w:p w14:paraId="38EF4F18"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r w:rsidRPr="000B5630">
        <w:rPr>
          <w:rFonts w:ascii="Times New Roman" w:hAnsi="Times New Roman" w:cs="Times New Roman"/>
          <w:noProof/>
          <w:lang w:val="x-none"/>
        </w:rPr>
        <w:t>-</w:t>
      </w:r>
      <w:r w:rsidRPr="000B5630">
        <w:rPr>
          <w:rFonts w:ascii="Times New Roman" w:hAnsi="Times New Roman" w:cs="Times New Roman"/>
          <w:noProof/>
        </w:rPr>
        <w:t xml:space="preserve"> </w:t>
      </w:r>
      <w:r w:rsidRPr="000B5630">
        <w:rPr>
          <w:rFonts w:ascii="Times New Roman" w:hAnsi="Times New Roman" w:cs="Times New Roman"/>
          <w:noProof/>
          <w:lang w:val="x-none"/>
        </w:rPr>
        <w:t>Rozporządzenie Ministra Pracy i Polityki Społecznej z dnia 26 września 1997 r. – w sprawie ogólnych przepisów bezpieczeństwa i higieny pracy (Dz. U. Nr 169, poz. 1650).</w:t>
      </w:r>
    </w:p>
    <w:p w14:paraId="4FBA15AC"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r w:rsidRPr="000B5630">
        <w:rPr>
          <w:rFonts w:ascii="Times New Roman" w:hAnsi="Times New Roman" w:cs="Times New Roman"/>
          <w:noProof/>
          <w:lang w:val="x-none"/>
        </w:rPr>
        <w:t>-</w:t>
      </w:r>
      <w:r w:rsidRPr="000B5630">
        <w:rPr>
          <w:rFonts w:ascii="Times New Roman" w:hAnsi="Times New Roman" w:cs="Times New Roman"/>
          <w:noProof/>
        </w:rPr>
        <w:t xml:space="preserve"> </w:t>
      </w:r>
      <w:r w:rsidRPr="000B5630">
        <w:rPr>
          <w:rFonts w:ascii="Times New Roman" w:hAnsi="Times New Roman" w:cs="Times New Roman"/>
          <w:noProof/>
          <w:lang w:val="x-none"/>
        </w:rPr>
        <w:t>Rozporządzenie Ministra Infrastruktury z dnia 6 lutego 2003 r. – w sprawie bezpieczeństwa i higieny pracy podczas wykonywania robót budowlanych (Dz. U. Nr 47, poz. 401).</w:t>
      </w:r>
    </w:p>
    <w:p w14:paraId="30DE4C0A"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r w:rsidRPr="000B5630">
        <w:rPr>
          <w:rFonts w:ascii="Times New Roman" w:hAnsi="Times New Roman" w:cs="Times New Roman"/>
          <w:noProof/>
          <w:lang w:val="x-none"/>
        </w:rPr>
        <w:t>-</w:t>
      </w:r>
      <w:r w:rsidRPr="000B5630">
        <w:rPr>
          <w:rFonts w:ascii="Times New Roman" w:hAnsi="Times New Roman" w:cs="Times New Roman"/>
          <w:noProof/>
        </w:rPr>
        <w:t xml:space="preserve"> </w:t>
      </w:r>
      <w:r w:rsidRPr="000B5630">
        <w:rPr>
          <w:rFonts w:ascii="Times New Roman" w:hAnsi="Times New Roman" w:cs="Times New Roman"/>
          <w:noProof/>
          <w:lang w:val="x-none"/>
        </w:rPr>
        <w:t>Rozporządzenie Ministra Infrastruktury z dnia 23 czerwca 2003 r. – w sprawie informacji dotyczącej bezpieczeństwa i ochrony zdrowia oraz planu bezpieczeństwa i ochrony zdrowia (Dz. U. Nr 120, poz. 1126).</w:t>
      </w:r>
    </w:p>
    <w:p w14:paraId="5B17EC54"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r w:rsidRPr="000B5630">
        <w:rPr>
          <w:rFonts w:ascii="Times New Roman" w:hAnsi="Times New Roman" w:cs="Times New Roman"/>
          <w:noProof/>
          <w:lang w:val="x-none"/>
        </w:rPr>
        <w:t>-</w:t>
      </w:r>
      <w:r w:rsidRPr="000B5630">
        <w:rPr>
          <w:rFonts w:ascii="Times New Roman" w:hAnsi="Times New Roman" w:cs="Times New Roman"/>
          <w:noProof/>
        </w:rPr>
        <w:t xml:space="preserve"> </w:t>
      </w:r>
      <w:r w:rsidRPr="000B5630">
        <w:rPr>
          <w:rFonts w:ascii="Times New Roman" w:hAnsi="Times New Roman" w:cs="Times New Roman"/>
          <w:noProof/>
          <w:lang w:val="x-none"/>
        </w:rPr>
        <w:t>Rozporządzenie Ministra Infrastruktury z dnia 27 sierpnia 2004 r. – zmieniające rozporządzenie w sprawie dziennika budowy, montażu i rozbiórki, tablicy informacyjnej oraz ogłoszenia zamawiającego dane dotyczące bezpieczeństwa pracy i ochrony zdrowia (Dz. U. Nr 198, poz. 2042).</w:t>
      </w:r>
    </w:p>
    <w:p w14:paraId="3FD24468" w14:textId="77777777" w:rsidR="00C72960" w:rsidRPr="000B5630" w:rsidRDefault="00C72960" w:rsidP="00C72960">
      <w:pPr>
        <w:tabs>
          <w:tab w:val="left" w:pos="855"/>
        </w:tabs>
        <w:autoSpaceDE w:val="0"/>
        <w:autoSpaceDN w:val="0"/>
        <w:adjustRightInd w:val="0"/>
        <w:spacing w:before="45" w:after="45"/>
        <w:jc w:val="both"/>
        <w:rPr>
          <w:rFonts w:ascii="Times New Roman" w:hAnsi="Times New Roman" w:cs="Times New Roman"/>
          <w:lang w:val="x-none"/>
        </w:rPr>
      </w:pPr>
      <w:r w:rsidRPr="000B5630">
        <w:rPr>
          <w:rFonts w:ascii="Times New Roman" w:hAnsi="Times New Roman" w:cs="Times New Roman"/>
          <w:noProof/>
          <w:lang w:val="x-none"/>
        </w:rPr>
        <w:t xml:space="preserve">- Rozporządzenie Ministra Infrastruktury z dnia </w:t>
      </w:r>
      <w:r w:rsidRPr="000B5630">
        <w:rPr>
          <w:rFonts w:ascii="Times New Roman" w:hAnsi="Times New Roman" w:cs="Times New Roman"/>
          <w:lang w:val="x-none"/>
        </w:rPr>
        <w:t>2</w:t>
      </w:r>
      <w:r w:rsidRPr="000B5630">
        <w:rPr>
          <w:rFonts w:ascii="Times New Roman" w:hAnsi="Times New Roman" w:cs="Times New Roman"/>
        </w:rPr>
        <w:t>4</w:t>
      </w:r>
      <w:r w:rsidRPr="000B5630">
        <w:rPr>
          <w:rFonts w:ascii="Times New Roman" w:hAnsi="Times New Roman" w:cs="Times New Roman"/>
          <w:noProof/>
          <w:lang w:val="x-none"/>
        </w:rPr>
        <w:t xml:space="preserve"> września </w:t>
      </w:r>
      <w:r w:rsidRPr="000B5630">
        <w:rPr>
          <w:rFonts w:ascii="Times New Roman" w:hAnsi="Times New Roman" w:cs="Times New Roman"/>
          <w:lang w:val="x-none"/>
        </w:rPr>
        <w:t>20</w:t>
      </w:r>
      <w:r w:rsidRPr="000B5630">
        <w:rPr>
          <w:rFonts w:ascii="Times New Roman" w:hAnsi="Times New Roman" w:cs="Times New Roman"/>
        </w:rPr>
        <w:t>13</w:t>
      </w:r>
      <w:r w:rsidRPr="000B5630">
        <w:rPr>
          <w:rFonts w:ascii="Times New Roman" w:hAnsi="Times New Roman" w:cs="Times New Roman"/>
          <w:noProof/>
          <w:lang w:val="x-none"/>
        </w:rPr>
        <w:t xml:space="preserve"> r. – w sprawie szczegółowego zakresu i formy dokumentacji projektowej, specyfikacji technicznych wykonania i odbioru robót budowlanych oraz programu funkcjonalno-użytkowego (Dz. U. </w:t>
      </w:r>
      <w:r w:rsidRPr="000B5630">
        <w:rPr>
          <w:rFonts w:ascii="Times New Roman" w:hAnsi="Times New Roman" w:cs="Times New Roman"/>
          <w:noProof/>
        </w:rPr>
        <w:t>2013</w:t>
      </w:r>
      <w:r w:rsidRPr="000B5630">
        <w:rPr>
          <w:rFonts w:ascii="Times New Roman" w:hAnsi="Times New Roman" w:cs="Times New Roman"/>
          <w:noProof/>
          <w:lang w:val="x-none"/>
        </w:rPr>
        <w:t xml:space="preserve">, poz. </w:t>
      </w:r>
      <w:r w:rsidRPr="000B5630">
        <w:rPr>
          <w:rFonts w:ascii="Times New Roman" w:hAnsi="Times New Roman" w:cs="Times New Roman"/>
        </w:rPr>
        <w:t>1129</w:t>
      </w:r>
      <w:r w:rsidRPr="000B5630">
        <w:rPr>
          <w:rFonts w:ascii="Times New Roman" w:hAnsi="Times New Roman" w:cs="Times New Roman"/>
          <w:noProof/>
          <w:lang w:val="x-none"/>
        </w:rPr>
        <w:t>).</w:t>
      </w:r>
    </w:p>
    <w:p w14:paraId="00972739" w14:textId="77777777" w:rsidR="00C72960" w:rsidRPr="000B5630" w:rsidRDefault="00C72960" w:rsidP="00C72960">
      <w:pPr>
        <w:autoSpaceDE w:val="0"/>
        <w:autoSpaceDN w:val="0"/>
        <w:adjustRightInd w:val="0"/>
        <w:spacing w:before="45" w:after="45"/>
        <w:ind w:left="142" w:hanging="142"/>
        <w:jc w:val="both"/>
        <w:rPr>
          <w:rFonts w:ascii="Times New Roman" w:hAnsi="Times New Roman" w:cs="Times New Roman"/>
          <w:noProof/>
          <w:lang w:val="x-none"/>
        </w:rPr>
      </w:pPr>
    </w:p>
    <w:p w14:paraId="41C8563A" w14:textId="77777777" w:rsidR="00C72960" w:rsidRPr="000B5630" w:rsidRDefault="00C72960" w:rsidP="00C72960">
      <w:pPr>
        <w:autoSpaceDE w:val="0"/>
        <w:autoSpaceDN w:val="0"/>
        <w:adjustRightInd w:val="0"/>
        <w:spacing w:before="45" w:after="45"/>
        <w:jc w:val="both"/>
        <w:rPr>
          <w:rFonts w:ascii="Times New Roman" w:hAnsi="Times New Roman" w:cs="Times New Roman"/>
          <w:b/>
          <w:bCs/>
          <w:noProof/>
          <w:lang w:val="x-none"/>
        </w:rPr>
      </w:pPr>
    </w:p>
    <w:p w14:paraId="3DA0C278" w14:textId="77777777" w:rsidR="00C72960" w:rsidRPr="000B5630" w:rsidRDefault="00C72960" w:rsidP="00904E6C">
      <w:pPr>
        <w:numPr>
          <w:ilvl w:val="1"/>
          <w:numId w:val="297"/>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b/>
          <w:bCs/>
          <w:noProof/>
          <w:lang w:val="x-none"/>
        </w:rPr>
        <w:t>Inne dokumenty</w:t>
      </w:r>
    </w:p>
    <w:p w14:paraId="5B513AE7" w14:textId="77777777" w:rsidR="00C72960" w:rsidRPr="000B5630" w:rsidRDefault="00C72960" w:rsidP="00904E6C">
      <w:pPr>
        <w:numPr>
          <w:ilvl w:val="0"/>
          <w:numId w:val="300"/>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Specyfikacja techniczna wykonania i odbioru robót budowlanych. Wymagania ogólne Kod CPV 45000000-7,</w:t>
      </w:r>
    </w:p>
    <w:p w14:paraId="564D8A6E" w14:textId="77777777" w:rsidR="00C72960" w:rsidRPr="000B5630" w:rsidRDefault="00C72960" w:rsidP="00904E6C">
      <w:pPr>
        <w:numPr>
          <w:ilvl w:val="0"/>
          <w:numId w:val="300"/>
        </w:numPr>
        <w:autoSpaceDE w:val="0"/>
        <w:autoSpaceDN w:val="0"/>
        <w:adjustRightInd w:val="0"/>
        <w:spacing w:before="45" w:after="45" w:line="240" w:lineRule="auto"/>
        <w:ind w:left="0" w:firstLine="0"/>
        <w:jc w:val="both"/>
        <w:rPr>
          <w:rFonts w:ascii="Times New Roman" w:hAnsi="Times New Roman" w:cs="Times New Roman"/>
          <w:lang w:val="x-none"/>
        </w:rPr>
      </w:pPr>
      <w:r w:rsidRPr="000B5630">
        <w:rPr>
          <w:rFonts w:ascii="Times New Roman" w:hAnsi="Times New Roman" w:cs="Times New Roman"/>
          <w:noProof/>
          <w:lang w:val="x-none"/>
        </w:rPr>
        <w:t>Warunki techniczne wykonania i odbioru robót budowlano-montażowych. Tom II. Instalacje sanitarne i przemysłowe – wydawnictwa Arkady,</w:t>
      </w:r>
    </w:p>
    <w:p w14:paraId="77C487FB" w14:textId="77777777" w:rsidR="00C72960" w:rsidRPr="000B5630" w:rsidRDefault="00C72960" w:rsidP="00C72960">
      <w:pPr>
        <w:tabs>
          <w:tab w:val="left" w:pos="1170"/>
          <w:tab w:val="left" w:pos="5040"/>
          <w:tab w:val="left" w:pos="7110"/>
        </w:tabs>
        <w:autoSpaceDE w:val="0"/>
        <w:autoSpaceDN w:val="0"/>
        <w:adjustRightInd w:val="0"/>
        <w:spacing w:before="45" w:after="45"/>
        <w:rPr>
          <w:rFonts w:ascii="Times New Roman" w:hAnsi="Times New Roman" w:cs="Times New Roman"/>
          <w:i/>
          <w:iCs/>
          <w:noProof/>
        </w:rPr>
      </w:pPr>
    </w:p>
    <w:p w14:paraId="49A1A936" w14:textId="77777777" w:rsidR="00EE480D" w:rsidRPr="001667DB" w:rsidRDefault="00EE480D" w:rsidP="00EE480D">
      <w:pPr>
        <w:rPr>
          <w:rFonts w:ascii="Times New Roman" w:hAnsi="Times New Roman" w:cs="Times New Roman"/>
          <w:color w:val="000000" w:themeColor="text1"/>
          <w:lang w:eastAsia="pl-PL"/>
        </w:rPr>
      </w:pPr>
    </w:p>
    <w:p w14:paraId="59E54E5D" w14:textId="77777777" w:rsidR="00EE480D" w:rsidRPr="001667DB" w:rsidRDefault="00EE480D" w:rsidP="00EE480D">
      <w:pPr>
        <w:rPr>
          <w:rFonts w:ascii="Times New Roman" w:hAnsi="Times New Roman" w:cs="Times New Roman"/>
          <w:color w:val="000000" w:themeColor="text1"/>
          <w:lang w:eastAsia="pl-PL"/>
        </w:rPr>
      </w:pPr>
    </w:p>
    <w:p w14:paraId="4CFC2624" w14:textId="77777777" w:rsidR="00EE480D" w:rsidRPr="001667DB" w:rsidRDefault="00EE480D" w:rsidP="00EE480D">
      <w:pPr>
        <w:rPr>
          <w:rFonts w:ascii="Times New Roman" w:hAnsi="Times New Roman" w:cs="Times New Roman"/>
          <w:color w:val="000000" w:themeColor="text1"/>
          <w:lang w:eastAsia="pl-PL"/>
        </w:rPr>
      </w:pPr>
    </w:p>
    <w:p w14:paraId="0050238D" w14:textId="77777777" w:rsidR="00EE480D" w:rsidRPr="001667DB" w:rsidRDefault="00EE480D" w:rsidP="00EE480D">
      <w:pPr>
        <w:rPr>
          <w:rFonts w:ascii="Times New Roman" w:hAnsi="Times New Roman" w:cs="Times New Roman"/>
          <w:color w:val="000000" w:themeColor="text1"/>
          <w:lang w:eastAsia="pl-PL"/>
        </w:rPr>
      </w:pPr>
    </w:p>
    <w:p w14:paraId="1D707DFD" w14:textId="77777777" w:rsidR="00EE480D" w:rsidRPr="001667DB" w:rsidRDefault="00EE480D" w:rsidP="00EE480D">
      <w:pPr>
        <w:rPr>
          <w:rFonts w:ascii="Times New Roman" w:hAnsi="Times New Roman" w:cs="Times New Roman"/>
          <w:color w:val="000000" w:themeColor="text1"/>
          <w:lang w:eastAsia="pl-PL"/>
        </w:rPr>
      </w:pPr>
    </w:p>
    <w:p w14:paraId="7F9E1B5D" w14:textId="77777777" w:rsidR="00EE480D" w:rsidRPr="001667DB" w:rsidRDefault="00EE480D" w:rsidP="00EE480D">
      <w:pPr>
        <w:rPr>
          <w:rFonts w:ascii="Times New Roman" w:hAnsi="Times New Roman" w:cs="Times New Roman"/>
          <w:color w:val="000000" w:themeColor="text1"/>
          <w:lang w:eastAsia="pl-PL"/>
        </w:rPr>
      </w:pPr>
    </w:p>
    <w:p w14:paraId="6F8CBFCF" w14:textId="77777777" w:rsidR="00EE480D" w:rsidRPr="001667DB" w:rsidRDefault="00EE480D" w:rsidP="00EE480D">
      <w:pPr>
        <w:rPr>
          <w:rFonts w:ascii="Times New Roman" w:hAnsi="Times New Roman" w:cs="Times New Roman"/>
          <w:color w:val="000000" w:themeColor="text1"/>
          <w:lang w:eastAsia="pl-PL"/>
        </w:rPr>
      </w:pPr>
    </w:p>
    <w:p w14:paraId="05A76050" w14:textId="77777777" w:rsidR="004B6718" w:rsidRPr="001667DB" w:rsidRDefault="004B6718">
      <w:pPr>
        <w:pStyle w:val="Tekstpodstawowy"/>
        <w:spacing w:line="240" w:lineRule="auto"/>
        <w:ind w:left="283" w:hanging="283"/>
        <w:rPr>
          <w:color w:val="000000" w:themeColor="text1"/>
          <w:sz w:val="22"/>
          <w:szCs w:val="22"/>
        </w:rPr>
      </w:pPr>
      <w:bookmarkStart w:id="942" w:name="_Toc6882152"/>
      <w:bookmarkStart w:id="943" w:name="_Toc6881279"/>
      <w:bookmarkEnd w:id="942"/>
      <w:bookmarkEnd w:id="943"/>
    </w:p>
    <w:p w14:paraId="01269723" w14:textId="77777777" w:rsidR="004B6718" w:rsidRPr="001667DB" w:rsidRDefault="004B6718">
      <w:pPr>
        <w:pStyle w:val="Tekstpodstawowy"/>
        <w:spacing w:line="240" w:lineRule="auto"/>
        <w:ind w:left="283" w:hanging="283"/>
        <w:rPr>
          <w:color w:val="000000" w:themeColor="text1"/>
          <w:sz w:val="22"/>
          <w:szCs w:val="22"/>
        </w:rPr>
      </w:pPr>
    </w:p>
    <w:p w14:paraId="4080C46D" w14:textId="77777777" w:rsidR="004B6718" w:rsidRPr="001667DB" w:rsidRDefault="004B6718">
      <w:pPr>
        <w:pStyle w:val="Tekstpodstawowy"/>
        <w:spacing w:line="240" w:lineRule="auto"/>
        <w:ind w:left="283" w:hanging="283"/>
        <w:rPr>
          <w:color w:val="000000" w:themeColor="text1"/>
          <w:sz w:val="22"/>
          <w:szCs w:val="22"/>
        </w:rPr>
      </w:pPr>
    </w:p>
    <w:p w14:paraId="26FC519B" w14:textId="77777777" w:rsidR="00292E2A" w:rsidRPr="001667DB" w:rsidRDefault="004B6718" w:rsidP="00576B4E">
      <w:pPr>
        <w:rPr>
          <w:rFonts w:ascii="Times New Roman" w:hAnsi="Times New Roman" w:cs="Times New Roman"/>
          <w:color w:val="000000" w:themeColor="text1"/>
        </w:rPr>
      </w:pPr>
      <w:r w:rsidRPr="001667DB">
        <w:rPr>
          <w:rFonts w:ascii="Times New Roman" w:hAnsi="Times New Roman" w:cs="Times New Roman"/>
          <w:color w:val="000000" w:themeColor="text1"/>
        </w:rPr>
        <w:br w:type="page"/>
      </w:r>
    </w:p>
    <w:p w14:paraId="38D37B9B" w14:textId="77777777" w:rsidR="00AB2DB3" w:rsidRPr="00AB2DB3" w:rsidRDefault="00AB2DB3" w:rsidP="00AB2DB3">
      <w:pPr>
        <w:rPr>
          <w:rFonts w:ascii="Times New Roman" w:hAnsi="Times New Roman" w:cs="Times New Roman"/>
          <w:b/>
          <w:bCs/>
          <w:lang w:eastAsia="ar-SA"/>
        </w:rPr>
      </w:pPr>
      <w:r w:rsidRPr="00AB2DB3">
        <w:rPr>
          <w:rFonts w:ascii="Times New Roman" w:hAnsi="Times New Roman" w:cs="Times New Roman"/>
          <w:b/>
        </w:rPr>
        <w:lastRenderedPageBreak/>
        <w:t xml:space="preserve">ST.IE.02 </w:t>
      </w:r>
      <w:r w:rsidR="00F55914">
        <w:rPr>
          <w:rFonts w:ascii="Times New Roman" w:hAnsi="Times New Roman" w:cs="Times New Roman"/>
          <w:b/>
        </w:rPr>
        <w:t xml:space="preserve"> </w:t>
      </w:r>
      <w:r w:rsidR="00F55914" w:rsidRPr="00F55914">
        <w:rPr>
          <w:rFonts w:ascii="Times New Roman" w:hAnsi="Times New Roman" w:cs="Times New Roman"/>
          <w:b/>
        </w:rPr>
        <w:t>Roboty w zakresie przygotowania terenu pod budowę i roboty ziemne - przebudowa sieci, budowa oświetlenia terenu.</w:t>
      </w:r>
    </w:p>
    <w:p w14:paraId="2439AA0C" w14:textId="77777777" w:rsidR="00AB2DB3" w:rsidRPr="00AB2DB3" w:rsidRDefault="00AB2DB3" w:rsidP="00BA0803">
      <w:pPr>
        <w:suppressAutoHyphens/>
        <w:autoSpaceDE w:val="0"/>
        <w:rPr>
          <w:rFonts w:ascii="Times New Roman" w:hAnsi="Times New Roman" w:cs="Times New Roman"/>
          <w:b/>
          <w:bCs/>
          <w:noProof/>
        </w:rPr>
      </w:pPr>
      <w:r w:rsidRPr="00AB2DB3">
        <w:rPr>
          <w:rFonts w:ascii="Times New Roman" w:hAnsi="Times New Roman" w:cs="Times New Roman"/>
          <w:b/>
          <w:bCs/>
          <w:noProof/>
        </w:rPr>
        <w:t xml:space="preserve"> </w:t>
      </w:r>
    </w:p>
    <w:p w14:paraId="533D65CD"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CZĘŚĆ OGÓLNA</w:t>
      </w:r>
    </w:p>
    <w:p w14:paraId="75774256"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Nazwa nadana zamówieniu przez zamawiającego</w:t>
      </w:r>
    </w:p>
    <w:p w14:paraId="7B38C76A" w14:textId="77777777" w:rsidR="00E478A4" w:rsidRDefault="00C72960" w:rsidP="00BA0803">
      <w:pPr>
        <w:tabs>
          <w:tab w:val="right" w:leader="dot" w:pos="7365"/>
        </w:tabs>
        <w:autoSpaceDE w:val="0"/>
        <w:autoSpaceDN w:val="0"/>
        <w:adjustRightInd w:val="0"/>
        <w:spacing w:before="45" w:after="45"/>
        <w:rPr>
          <w:rFonts w:ascii="Times New Roman" w:hAnsi="Times New Roman" w:cs="Times New Roman"/>
          <w:b/>
          <w:color w:val="000000" w:themeColor="text1"/>
        </w:rPr>
      </w:pPr>
      <w:r w:rsidRPr="00FD3B41">
        <w:rPr>
          <w:rFonts w:ascii="Times New Roman" w:hAnsi="Times New Roman" w:cs="Times New Roman"/>
          <w:b/>
          <w:color w:val="000000" w:themeColor="text1"/>
        </w:rPr>
        <w:t>„Rozbudowa drogi wojewódzkiej nr 461 w m. Dąbrówka Łubniańska i Łubniany” – Etap I ( km od 9+741,88 do 10+371,13)</w:t>
      </w:r>
    </w:p>
    <w:p w14:paraId="4C47162F" w14:textId="77777777" w:rsidR="00C72960" w:rsidRPr="00AB2DB3" w:rsidRDefault="00C72960" w:rsidP="00BA0803">
      <w:pPr>
        <w:tabs>
          <w:tab w:val="right" w:leader="dot" w:pos="7365"/>
        </w:tabs>
        <w:autoSpaceDE w:val="0"/>
        <w:autoSpaceDN w:val="0"/>
        <w:adjustRightInd w:val="0"/>
        <w:spacing w:before="45" w:after="45"/>
        <w:rPr>
          <w:rFonts w:ascii="Times New Roman" w:hAnsi="Times New Roman" w:cs="Times New Roman"/>
          <w:b/>
          <w:noProof/>
        </w:rPr>
      </w:pPr>
    </w:p>
    <w:p w14:paraId="5E2AD979"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Przedmiot ST</w:t>
      </w:r>
    </w:p>
    <w:p w14:paraId="2CE5CCFA" w14:textId="77777777" w:rsidR="00AB2DB3" w:rsidRPr="00AB2DB3" w:rsidRDefault="00AB2DB3" w:rsidP="00BA0803">
      <w:pPr>
        <w:pStyle w:val="Tekstpodstawowy"/>
        <w:rPr>
          <w:b/>
          <w:bCs/>
          <w:sz w:val="22"/>
          <w:szCs w:val="22"/>
        </w:rPr>
      </w:pPr>
      <w:r w:rsidRPr="00AB2DB3">
        <w:rPr>
          <w:noProof/>
          <w:sz w:val="22"/>
          <w:szCs w:val="22"/>
          <w:lang w:val="x-none"/>
        </w:rPr>
        <w:t xml:space="preserve">Przedmiotem niniejszej specyfikacji technicznej (ST) są wymagania dotyczące wykonania i odbioru robót związanych z </w:t>
      </w:r>
      <w:r w:rsidRPr="00AB2DB3">
        <w:rPr>
          <w:noProof/>
          <w:sz w:val="22"/>
          <w:szCs w:val="22"/>
        </w:rPr>
        <w:t>instalowaniem linii kablowych.</w:t>
      </w:r>
    </w:p>
    <w:p w14:paraId="06F55A61" w14:textId="77777777" w:rsidR="00AB2DB3" w:rsidRPr="00AB2DB3" w:rsidRDefault="00AB2DB3" w:rsidP="00BA0803">
      <w:pPr>
        <w:tabs>
          <w:tab w:val="left" w:pos="705"/>
          <w:tab w:val="right" w:leader="dot" w:pos="9075"/>
        </w:tabs>
        <w:autoSpaceDE w:val="0"/>
        <w:autoSpaceDN w:val="0"/>
        <w:adjustRightInd w:val="0"/>
        <w:spacing w:before="15" w:after="45"/>
        <w:jc w:val="both"/>
        <w:rPr>
          <w:rFonts w:ascii="Times New Roman" w:hAnsi="Times New Roman" w:cs="Times New Roman"/>
          <w:noProof/>
          <w:lang w:val="x-none"/>
        </w:rPr>
      </w:pPr>
    </w:p>
    <w:p w14:paraId="0D9900A0"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Zakres stosowania ST</w:t>
      </w:r>
    </w:p>
    <w:p w14:paraId="41B9B53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Specyfikacja techniczna </w:t>
      </w:r>
      <w:r w:rsidRPr="00AB2DB3">
        <w:rPr>
          <w:rFonts w:ascii="Times New Roman" w:hAnsi="Times New Roman" w:cs="Times New Roman"/>
          <w:noProof/>
        </w:rPr>
        <w:t>(</w:t>
      </w:r>
      <w:r w:rsidRPr="00AB2DB3">
        <w:rPr>
          <w:rFonts w:ascii="Times New Roman" w:hAnsi="Times New Roman" w:cs="Times New Roman"/>
          <w:noProof/>
          <w:lang w:val="x-none"/>
        </w:rPr>
        <w:t>ST) stosowan</w:t>
      </w:r>
      <w:r w:rsidRPr="00AB2DB3">
        <w:rPr>
          <w:rFonts w:ascii="Times New Roman" w:hAnsi="Times New Roman" w:cs="Times New Roman"/>
          <w:noProof/>
        </w:rPr>
        <w:t>a jest</w:t>
      </w:r>
      <w:r w:rsidRPr="00AB2DB3">
        <w:rPr>
          <w:rFonts w:ascii="Times New Roman" w:hAnsi="Times New Roman" w:cs="Times New Roman"/>
          <w:noProof/>
          <w:lang w:val="x-none"/>
        </w:rPr>
        <w:t xml:space="preserve"> jako dokument przetargowy i kontraktowy przy zlecaniu i realizacji robót wymienionych w pkt. 1.</w:t>
      </w:r>
      <w:r w:rsidRPr="00AB2DB3">
        <w:rPr>
          <w:rFonts w:ascii="Times New Roman" w:hAnsi="Times New Roman" w:cs="Times New Roman"/>
          <w:noProof/>
        </w:rPr>
        <w:t>1</w:t>
      </w:r>
      <w:r w:rsidRPr="00AB2DB3">
        <w:rPr>
          <w:rFonts w:ascii="Times New Roman" w:hAnsi="Times New Roman" w:cs="Times New Roman"/>
          <w:noProof/>
          <w:lang w:val="x-none"/>
        </w:rPr>
        <w:t>.</w:t>
      </w:r>
    </w:p>
    <w:p w14:paraId="0C6AF16E" w14:textId="77777777" w:rsidR="00AB2DB3" w:rsidRPr="00AB2DB3" w:rsidRDefault="00AB2DB3" w:rsidP="00BA0803">
      <w:pPr>
        <w:tabs>
          <w:tab w:val="left" w:pos="705"/>
          <w:tab w:val="right" w:leader="dot" w:pos="9075"/>
        </w:tabs>
        <w:autoSpaceDE w:val="0"/>
        <w:autoSpaceDN w:val="0"/>
        <w:adjustRightInd w:val="0"/>
        <w:spacing w:before="15" w:after="45"/>
        <w:jc w:val="both"/>
        <w:rPr>
          <w:rFonts w:ascii="Times New Roman" w:hAnsi="Times New Roman" w:cs="Times New Roman"/>
          <w:noProof/>
          <w:lang w:val="x-none"/>
        </w:rPr>
      </w:pPr>
    </w:p>
    <w:p w14:paraId="7DBCBDA2"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Przedmiot i zakres robót objętych ST</w:t>
      </w:r>
    </w:p>
    <w:p w14:paraId="4CC3E44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Ustalenia zawarte w niniejszej specyfikacji technicznej dotyczą zasad wykonywania i odbioru robót związanych z:</w:t>
      </w:r>
    </w:p>
    <w:p w14:paraId="1219CF37"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układaniem kabli w ziemi, w kanałach oraz w budynkach,</w:t>
      </w:r>
    </w:p>
    <w:p w14:paraId="032F2CC7"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rPr>
        <w:t>układaniem kanalizacji kablowej,</w:t>
      </w:r>
    </w:p>
    <w:p w14:paraId="43D57FD2"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montażem konstrukcji wsporczych do układania kabli,</w:t>
      </w:r>
    </w:p>
    <w:p w14:paraId="7095779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wraz z transportem i składowaniem materiałów, trasowaniem linii, robotami ziemnymi i fundamentowymi, przygotowaniem podłoża i robotami towarzyszącymi.</w:t>
      </w:r>
    </w:p>
    <w:p w14:paraId="311A3766"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ST dotyczy wszystkich czynności mających na celu wykonanie robót związanych z:</w:t>
      </w:r>
    </w:p>
    <w:p w14:paraId="55CBFF9F"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kompletacją materiałów potrzebnych do wykonania podanych wyżej prac,</w:t>
      </w:r>
    </w:p>
    <w:p w14:paraId="0E1A601D"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wykonaniem wszelkich robót pomocniczych w celu przygotowania podłoża (w szczególności roboty ziemne, murarskie, ślusarsko-spawalnicze, montaż elementów osprzętu instalacyjnego itp.),</w:t>
      </w:r>
    </w:p>
    <w:p w14:paraId="24E5FAD9"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ułożeniem wszystkich materiałów w sposób i w miejscu zgodnym z dokumentacją techniczną,</w:t>
      </w:r>
    </w:p>
    <w:p w14:paraId="25D52728"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wykonaniem oznakowania zgodnego z dokumentacją techniczną wszystkich elementów wyznaczonych w dokumentacji,</w:t>
      </w:r>
    </w:p>
    <w:p w14:paraId="7D4BF894"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wykonaniem oznakowania zgodnego z dokumentacją techniczną wszystkich wyznaczonych kabli i linii,</w:t>
      </w:r>
    </w:p>
    <w:p w14:paraId="668C37CE"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przeprowadzeniem wymaganych prób i badań oraz potwierdzenie protokołami kwalifikującymi montowany element linii energetycznej do eksploatacji.</w:t>
      </w:r>
    </w:p>
    <w:p w14:paraId="2C45C55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0BB12701"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Określenia podstawowe, definicje</w:t>
      </w:r>
    </w:p>
    <w:p w14:paraId="2631F6E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Kabel elektroenergetyczny </w:t>
      </w:r>
      <w:r w:rsidRPr="00AB2DB3">
        <w:rPr>
          <w:rFonts w:ascii="Times New Roman" w:hAnsi="Times New Roman" w:cs="Times New Roman"/>
          <w:noProof/>
          <w:lang w:val="x-none"/>
        </w:rPr>
        <w:t>– odmiana przewodu, służąca do przesyłania energii elektrycznej.</w:t>
      </w:r>
    </w:p>
    <w:p w14:paraId="65D9D5D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Kabel sygnalizacyjny</w:t>
      </w:r>
      <w:r w:rsidRPr="00AB2DB3">
        <w:rPr>
          <w:rFonts w:ascii="Times New Roman" w:hAnsi="Times New Roman" w:cs="Times New Roman"/>
          <w:noProof/>
          <w:lang w:val="x-none"/>
        </w:rPr>
        <w:t xml:space="preserve"> – przewód wykorzystywany w obwodach sygnalizacyjnych, sterowniczych, kontrolno-pomiarowych, zabezpieczających.</w:t>
      </w:r>
    </w:p>
    <w:p w14:paraId="70ED250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Linia kablowa</w:t>
      </w:r>
      <w:r w:rsidRPr="00AB2DB3">
        <w:rPr>
          <w:rFonts w:ascii="Times New Roman" w:hAnsi="Times New Roman" w:cs="Times New Roman"/>
          <w:noProof/>
          <w:lang w:val="x-none"/>
        </w:rPr>
        <w:t xml:space="preserve"> – kabel wielożyłowy lub wiązka kabli jednożyłowych w układzie wielofazowym albo kilka kabli połączonych równolegle, które wraz z osprzętem ułożone są na wspólnej trasie, łącząc zaciski dwóch urządzeń elektroenergetycznych.</w:t>
      </w:r>
    </w:p>
    <w:p w14:paraId="54B20615"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lastRenderedPageBreak/>
        <w:t>Trasa kablowa</w:t>
      </w:r>
      <w:r w:rsidRPr="00AB2DB3">
        <w:rPr>
          <w:rFonts w:ascii="Times New Roman" w:hAnsi="Times New Roman" w:cs="Times New Roman"/>
          <w:noProof/>
          <w:lang w:val="x-none"/>
        </w:rPr>
        <w:t xml:space="preserve"> – pas terenu lub przestrzeń, w której osi symetrii ułożono jedną lub więcej linii kablowych.</w:t>
      </w:r>
    </w:p>
    <w:p w14:paraId="4CA048B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Skrzyżowanie</w:t>
      </w:r>
      <w:r w:rsidRPr="00AB2DB3">
        <w:rPr>
          <w:rFonts w:ascii="Times New Roman" w:hAnsi="Times New Roman" w:cs="Times New Roman"/>
          <w:noProof/>
          <w:lang w:val="x-none"/>
        </w:rPr>
        <w:t xml:space="preserve"> – miejsce na trasie kabla, w którym rzuty poziome różnych linii kablowych pokrywają się lub przecinają.</w:t>
      </w:r>
    </w:p>
    <w:p w14:paraId="3C13773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Zbliżenie</w:t>
      </w:r>
      <w:r w:rsidRPr="00AB2DB3">
        <w:rPr>
          <w:rFonts w:ascii="Times New Roman" w:hAnsi="Times New Roman" w:cs="Times New Roman"/>
          <w:noProof/>
          <w:lang w:val="x-none"/>
        </w:rPr>
        <w:t xml:space="preserve"> – miejsce na trasie kabla, w którym odległość pomiędzy różnymi liniami kablowymi, urządzeniem podziemnym lub drogą komunikacyjną jest mniejsza niż odległość dopuszczalna dla danych warunków układania bez stosowania przegród lub osłon zabezpieczających i nie występuje skrzyżowanie.</w:t>
      </w:r>
    </w:p>
    <w:p w14:paraId="51D0684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Napięcie znamionowe kabla Uo/U</w:t>
      </w:r>
      <w:r w:rsidRPr="00AB2DB3">
        <w:rPr>
          <w:rFonts w:ascii="Times New Roman" w:hAnsi="Times New Roman" w:cs="Times New Roman"/>
          <w:noProof/>
          <w:lang w:val="x-none"/>
        </w:rPr>
        <w:t xml:space="preserve"> – napięcie na jakie zbudowano i oznaczono kabel; przy czym Uo – napięcie pomiędzy żyłą a ziemią lub ekranem kabla, natomiast U – napięcie międzyprzewodowe kabla.</w:t>
      </w:r>
    </w:p>
    <w:p w14:paraId="433DE8C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Żyła robocza </w:t>
      </w:r>
      <w:r w:rsidRPr="00AB2DB3">
        <w:rPr>
          <w:rFonts w:ascii="Times New Roman" w:hAnsi="Times New Roman" w:cs="Times New Roman"/>
          <w:noProof/>
          <w:lang w:val="x-none"/>
        </w:rPr>
        <w:t>–</w:t>
      </w:r>
      <w:r w:rsidRPr="00AB2DB3">
        <w:rPr>
          <w:rFonts w:ascii="Times New Roman" w:hAnsi="Times New Roman" w:cs="Times New Roman"/>
          <w:b/>
          <w:bCs/>
          <w:noProof/>
          <w:lang w:val="x-none"/>
        </w:rPr>
        <w:t xml:space="preserve"> </w:t>
      </w:r>
      <w:r w:rsidRPr="00AB2DB3">
        <w:rPr>
          <w:rFonts w:ascii="Times New Roman" w:hAnsi="Times New Roman" w:cs="Times New Roman"/>
          <w:noProof/>
          <w:lang w:val="x-none"/>
        </w:rPr>
        <w:t>izolowana żyła wykonana z miedzi lub aluminium: w kablu elektroenergetycznym, służy do przesyłania energii elektrycznej; w kablu sygnalizacyjnym służy do przesyłania lub odcinania sygnału, impulsu itp. Jako część przewodząca może występować drut o przekroju kołowym, owalnym lub wycinek koła (sektorowe) lub linka, złożona z wielu drutów o mniejszym przekroju. Kable sygnalizacyjne posiadają w swej budowie dodatkowo żyłę licznikową (brązową) i kierunkową (niebieską) dla ułatwienia rozpoznawania i liczenia kolejnych warstw kabla.</w:t>
      </w:r>
    </w:p>
    <w:p w14:paraId="3916EFF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Żyła ochronna „żo”</w:t>
      </w:r>
      <w:r w:rsidRPr="00AB2DB3">
        <w:rPr>
          <w:rFonts w:ascii="Times New Roman" w:hAnsi="Times New Roman" w:cs="Times New Roman"/>
          <w:noProof/>
          <w:lang w:val="x-none"/>
        </w:rPr>
        <w:t xml:space="preserve"> – izolowana żyła w kablu elektroenergetycznym, oznaczona barwą zielono-żółtą izolacji, bezwzględnie wymagana przez określone środki ochrony przeciwporażeniowej. Łączy metalowe części przewodzące – dostępnego urządzenia elektrycznego (które mogą przypadkowo znaleźć się pod napięciem), części przewodzące obcych instalacji elektrycznych, główną szynę (zacisk) uziemiający i uziemiony punkt neutralny. </w:t>
      </w:r>
    </w:p>
    <w:p w14:paraId="40014F0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Żyła powrotna (stara nazwa „ochronna”) </w:t>
      </w:r>
      <w:r w:rsidRPr="00AB2DB3">
        <w:rPr>
          <w:rFonts w:ascii="Times New Roman" w:hAnsi="Times New Roman" w:cs="Times New Roman"/>
          <w:noProof/>
          <w:lang w:val="x-none"/>
        </w:rPr>
        <w:t>– wymagana bezwzględnie dla kabli elektroenergetycznych o izolacji z tworzyw sztucznych na napięcia znamionowe 3,6/6 kV i wyższe. Wykonana zwykle jako warstwa metaliczna (druty lub taśmy miedziane), współosiowa z przewodzącego ekranu niemetalicznego, znajdującego się na izolacji żyły lub w środku kabla. Służy przewodzeniu prądów zwarciowych i wyrównawczych (prądów zakłóceniowych) w układzie wielofazowym.</w:t>
      </w:r>
    </w:p>
    <w:p w14:paraId="0D42313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Żyła probiercza „żp” </w:t>
      </w:r>
      <w:r w:rsidRPr="00AB2DB3">
        <w:rPr>
          <w:rFonts w:ascii="Times New Roman" w:hAnsi="Times New Roman" w:cs="Times New Roman"/>
          <w:noProof/>
          <w:lang w:val="x-none"/>
        </w:rPr>
        <w:t>– izolowana żyła w kablu elektroenergetycznym, zwykle umieszczona w wielodrutowej żyle roboczej; służy do pomiarów, sygnalizacji, obsługi urządzenia elektrycznego. Stosowana głównie dla kabli jednożyłowych, aluminiowych o przekrojach znamionowych ponad 400 mm</w:t>
      </w:r>
      <w:r w:rsidRPr="00AB2DB3">
        <w:rPr>
          <w:rFonts w:ascii="Times New Roman" w:hAnsi="Times New Roman" w:cs="Times New Roman"/>
          <w:noProof/>
          <w:vertAlign w:val="superscript"/>
          <w:lang w:val="x-none"/>
        </w:rPr>
        <w:t>2</w:t>
      </w:r>
      <w:r w:rsidRPr="00AB2DB3">
        <w:rPr>
          <w:rFonts w:ascii="Times New Roman" w:hAnsi="Times New Roman" w:cs="Times New Roman"/>
          <w:noProof/>
          <w:lang w:val="x-none"/>
        </w:rPr>
        <w:t>, w formie 1-2 żył o przekroju 1,5 lub 2,5 mm</w:t>
      </w:r>
      <w:r w:rsidRPr="00AB2DB3">
        <w:rPr>
          <w:rFonts w:ascii="Times New Roman" w:hAnsi="Times New Roman" w:cs="Times New Roman"/>
          <w:noProof/>
          <w:vertAlign w:val="superscript"/>
          <w:lang w:val="x-none"/>
        </w:rPr>
        <w:t>2</w:t>
      </w:r>
      <w:r w:rsidRPr="00AB2DB3">
        <w:rPr>
          <w:rFonts w:ascii="Times New Roman" w:hAnsi="Times New Roman" w:cs="Times New Roman"/>
          <w:noProof/>
          <w:lang w:val="x-none"/>
        </w:rPr>
        <w:t>.</w:t>
      </w:r>
    </w:p>
    <w:p w14:paraId="3F65D042"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Żyła neutralna </w:t>
      </w:r>
      <w:r w:rsidRPr="00AB2DB3">
        <w:rPr>
          <w:rFonts w:ascii="Times New Roman" w:hAnsi="Times New Roman" w:cs="Times New Roman"/>
          <w:noProof/>
          <w:lang w:val="x-none"/>
        </w:rPr>
        <w:t>– izolowana żyła robocza, oznaczona kolorem niebieskim, w kablach czterożyłowych pełni rolę przewodu ochronno-neutralnego PEN. Przekrój uzależniony od przekroju roboczego kabla, zwykle mniejszy np. dla przekrojów roboczych powyżej 35 mm</w:t>
      </w:r>
      <w:r w:rsidRPr="00AB2DB3">
        <w:rPr>
          <w:rFonts w:ascii="Times New Roman" w:hAnsi="Times New Roman" w:cs="Times New Roman"/>
          <w:noProof/>
          <w:vertAlign w:val="superscript"/>
          <w:lang w:val="x-none"/>
        </w:rPr>
        <w:t>2</w:t>
      </w:r>
      <w:r w:rsidRPr="00AB2DB3">
        <w:rPr>
          <w:rFonts w:ascii="Times New Roman" w:hAnsi="Times New Roman" w:cs="Times New Roman"/>
          <w:noProof/>
          <w:lang w:val="x-none"/>
        </w:rPr>
        <w:t xml:space="preserve"> może wynosić 50% tego przekroju.</w:t>
      </w:r>
    </w:p>
    <w:p w14:paraId="3FF35B4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Mufa kablowa </w:t>
      </w:r>
      <w:r w:rsidRPr="00AB2DB3">
        <w:rPr>
          <w:rFonts w:ascii="Times New Roman" w:hAnsi="Times New Roman" w:cs="Times New Roman"/>
          <w:noProof/>
          <w:lang w:val="x-none"/>
        </w:rPr>
        <w:t>– osprzęt kablowy służący połączeniu odcinków kabla lub kabli.</w:t>
      </w:r>
    </w:p>
    <w:p w14:paraId="7602855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Głowica kablowa </w:t>
      </w:r>
      <w:r w:rsidRPr="00AB2DB3">
        <w:rPr>
          <w:rFonts w:ascii="Times New Roman" w:hAnsi="Times New Roman" w:cs="Times New Roman"/>
          <w:noProof/>
          <w:lang w:val="x-none"/>
        </w:rPr>
        <w:t>– osprzęt kablowy służący wykonaniu zakończeń kabli, ułatwiających ich podłączenie do innego elementu instalacji elektrycznej.</w:t>
      </w:r>
    </w:p>
    <w:p w14:paraId="59C1674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Przygotowanie podłoża</w:t>
      </w:r>
      <w:r w:rsidRPr="00AB2DB3">
        <w:rPr>
          <w:rFonts w:ascii="Times New Roman" w:hAnsi="Times New Roman" w:cs="Times New Roman"/>
          <w:noProof/>
          <w:lang w:val="x-none"/>
        </w:rPr>
        <w:t xml:space="preserve"> – zespół czynności wykonywanych przed układaniem kabli mających na celu zapewnienie możliwości ich ułożenia zgodnie z dokumentacją; zalicza się tu następujące grupy czynności:</w:t>
      </w:r>
    </w:p>
    <w:p w14:paraId="6BA46D41" w14:textId="77777777" w:rsidR="00AB2DB3" w:rsidRPr="00AB2DB3" w:rsidRDefault="00AB2DB3" w:rsidP="00904E6C">
      <w:pPr>
        <w:numPr>
          <w:ilvl w:val="0"/>
          <w:numId w:val="309"/>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wiercenie i przebijanie otworów przelotowych i nieprzelotowych,</w:t>
      </w:r>
    </w:p>
    <w:p w14:paraId="1E003B9E"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osadzanie kołków w podłożu, w tym ich wstrzeliwanie,</w:t>
      </w:r>
    </w:p>
    <w:p w14:paraId="09FBF08C"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rPr>
        <w:t>m</w:t>
      </w:r>
      <w:r w:rsidRPr="00AB2DB3">
        <w:rPr>
          <w:rFonts w:ascii="Times New Roman" w:hAnsi="Times New Roman" w:cs="Times New Roman"/>
          <w:noProof/>
          <w:lang w:val="x-none"/>
        </w:rPr>
        <w:t>ontaż uchwytów do mocowania i układania kabli oraz montaż powłok z tworzyw sztucznych lub metalowych,</w:t>
      </w:r>
    </w:p>
    <w:p w14:paraId="2147DDAA"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montaż konstrukcji wsporczych i tuneli kablowych,</w:t>
      </w:r>
    </w:p>
    <w:p w14:paraId="5D0F7C14"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odkrywanie i zakrywanie kanałów kablowych.</w:t>
      </w:r>
    </w:p>
    <w:p w14:paraId="3617E362"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4D7AF174"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rPr>
        <w:t>W</w:t>
      </w:r>
      <w:r w:rsidRPr="00AB2DB3">
        <w:rPr>
          <w:rFonts w:ascii="Times New Roman" w:hAnsi="Times New Roman" w:cs="Times New Roman"/>
          <w:b/>
          <w:bCs/>
          <w:noProof/>
          <w:lang w:val="x-none"/>
        </w:rPr>
        <w:t>ymagania dotyczące robót</w:t>
      </w:r>
    </w:p>
    <w:p w14:paraId="008DDA98" w14:textId="77777777" w:rsidR="00AB2DB3" w:rsidRPr="00AB2DB3" w:rsidRDefault="00AB2DB3" w:rsidP="00BA0803">
      <w:pPr>
        <w:tabs>
          <w:tab w:val="left" w:pos="705"/>
          <w:tab w:val="right" w:leader="dot" w:pos="9075"/>
        </w:tabs>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lastRenderedPageBreak/>
        <w:t>Wykonawca robót jest odpowiedzialny za jakość ich wykonania oraz za zgodność z dokumentacją projektową, specyfikacjami technicznymi i poleceniami Inspektora nadzoru</w:t>
      </w:r>
      <w:r w:rsidRPr="00AB2DB3">
        <w:rPr>
          <w:rFonts w:ascii="Times New Roman" w:hAnsi="Times New Roman" w:cs="Times New Roman"/>
          <w:noProof/>
        </w:rPr>
        <w:t xml:space="preserve"> oraz ze sztuką budowlaną </w:t>
      </w:r>
      <w:bookmarkStart w:id="944" w:name="_Hlk98954727"/>
      <w:r w:rsidRPr="00AB2DB3">
        <w:rPr>
          <w:rFonts w:ascii="Times New Roman" w:hAnsi="Times New Roman" w:cs="Times New Roman"/>
          <w:noProof/>
        </w:rPr>
        <w:t>oraz wymaganiami Tauron Dystybucja S.A..</w:t>
      </w:r>
      <w:bookmarkEnd w:id="944"/>
    </w:p>
    <w:p w14:paraId="5D079876"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Zgodność robót z dokumentacją projektową i ST</w:t>
      </w:r>
    </w:p>
    <w:p w14:paraId="0770DD42" w14:textId="77777777" w:rsidR="00AB2DB3" w:rsidRPr="00AB2DB3" w:rsidRDefault="00AB2DB3" w:rsidP="00BA0803">
      <w:pPr>
        <w:tabs>
          <w:tab w:val="left" w:pos="705"/>
          <w:tab w:val="right" w:leader="dot" w:pos="9075"/>
        </w:tabs>
        <w:autoSpaceDE w:val="0"/>
        <w:autoSpaceDN w:val="0"/>
        <w:adjustRightInd w:val="0"/>
        <w:spacing w:after="45"/>
        <w:jc w:val="both"/>
        <w:rPr>
          <w:rFonts w:ascii="Times New Roman" w:hAnsi="Times New Roman" w:cs="Times New Roman"/>
          <w:noProof/>
          <w:lang w:val="x-none"/>
        </w:rPr>
      </w:pPr>
      <w:r w:rsidRPr="00AB2DB3">
        <w:rPr>
          <w:rFonts w:ascii="Times New Roman" w:hAnsi="Times New Roman" w:cs="Times New Roman"/>
          <w:noProof/>
          <w:lang w:val="x-none"/>
        </w:rPr>
        <w:t>Dokumentacja projektowa, SST oraz dodatkowe dokumenty przekazane Wykonawcy przez Inspektora nadzoru stanowią załączniki do umowy, a wymagania wyszczególnione w choćby jednym z nich są obowiązujące dla Wykonawcy tak, jakby zawarte były w całej dokumentacji.</w:t>
      </w:r>
    </w:p>
    <w:p w14:paraId="0FE4EB9F"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rozbieżności w ustaleniach poszczególnych dokumentów obowiązuje kolejność ich ważności wymieniona w „Ogólnych warunkach umowy”.</w:t>
      </w:r>
    </w:p>
    <w:p w14:paraId="5C2FE08B"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Wykonawca nie może wykorzystywać błędów lub opuszczeń w dokumentach kontraktowych, a o ich wykryciu winien natychmiast powiadomić Inspektora nadzoru, który dokona odpowiednich zmian i poprawek.</w:t>
      </w:r>
    </w:p>
    <w:p w14:paraId="33C60DA9"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stwierdzenia ewentualnych rozbieżności podane na rysunku wielkości liczbowe wymiarów są ważniejsze od odczytu ze skali rysunków.</w:t>
      </w:r>
    </w:p>
    <w:p w14:paraId="5006EC14"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Wszystkie wykonane roboty i dostarczone materiały mają być zgodne z dokumentacją projektową i ST.</w:t>
      </w:r>
    </w:p>
    <w:p w14:paraId="349B9362"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gdy dostarczane materiały lub wykonane roboty nie będą zgodne z dokumentacją projektową lub ST i mają wpływ na niezadowalającą jakość elementu budowli, to takie materiały zostaną zastąpione innymi, a elementy budowli rozebrane i wykonane ponownie na koszt wykonawcy.</w:t>
      </w:r>
    </w:p>
    <w:p w14:paraId="4F71E174"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5EE30A96"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Ochrona środowiska w czasie wykonywania robót</w:t>
      </w:r>
    </w:p>
    <w:p w14:paraId="471A0877" w14:textId="77777777" w:rsidR="00AB2DB3" w:rsidRPr="00AB2DB3" w:rsidRDefault="00AB2DB3" w:rsidP="00BA0803">
      <w:pPr>
        <w:tabs>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Wykonawca ma obowiązek znać i stosować w czasie prowadzenia robót wszelkie przepisy dotyczące ochrony środowiska naturalnego.</w:t>
      </w:r>
      <w:r w:rsidRPr="00AB2DB3">
        <w:rPr>
          <w:rFonts w:ascii="Times New Roman" w:hAnsi="Times New Roman" w:cs="Times New Roman"/>
          <w:noProof/>
        </w:rPr>
        <w:t xml:space="preserve"> </w:t>
      </w:r>
    </w:p>
    <w:p w14:paraId="4CC38D41" w14:textId="77777777" w:rsidR="00AB2DB3" w:rsidRPr="00AB2DB3" w:rsidRDefault="00AB2DB3" w:rsidP="00BA0803">
      <w:pPr>
        <w:tabs>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Stosując się do tych wymagań, Wykonawca będzie miał szczególny wzgląd na</w:t>
      </w:r>
      <w:r w:rsidRPr="00AB2DB3">
        <w:rPr>
          <w:rFonts w:ascii="Times New Roman" w:hAnsi="Times New Roman" w:cs="Times New Roman"/>
          <w:noProof/>
        </w:rPr>
        <w:t xml:space="preserve"> </w:t>
      </w:r>
      <w:r w:rsidRPr="00AB2DB3">
        <w:rPr>
          <w:rFonts w:ascii="Times New Roman" w:hAnsi="Times New Roman" w:cs="Times New Roman"/>
          <w:noProof/>
          <w:lang w:val="x-none"/>
        </w:rPr>
        <w:t>środki ostrożności i zabezpieczenia przed:</w:t>
      </w:r>
    </w:p>
    <w:p w14:paraId="050ED028" w14:textId="77777777" w:rsidR="00AB2DB3" w:rsidRPr="00AB2DB3" w:rsidRDefault="00AB2DB3" w:rsidP="00BA0803">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AB2DB3">
        <w:rPr>
          <w:rFonts w:ascii="Times New Roman" w:hAnsi="Times New Roman" w:cs="Times New Roman"/>
          <w:noProof/>
          <w:lang w:val="x-none"/>
        </w:rPr>
        <w:t>a) zanieczyszczeniem zbiorników i cieków wodnych pyłami lub substancjami toksycznymi,</w:t>
      </w:r>
    </w:p>
    <w:p w14:paraId="24544455" w14:textId="77777777" w:rsidR="00AB2DB3" w:rsidRPr="00AB2DB3" w:rsidRDefault="00AB2DB3" w:rsidP="00BA0803">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AB2DB3">
        <w:rPr>
          <w:rFonts w:ascii="Times New Roman" w:hAnsi="Times New Roman" w:cs="Times New Roman"/>
          <w:noProof/>
          <w:lang w:val="x-none"/>
        </w:rPr>
        <w:t>b) zanieczyszczeniem powietrza pyłami i gazami,</w:t>
      </w:r>
    </w:p>
    <w:p w14:paraId="4FCE3463" w14:textId="77777777" w:rsidR="00AB2DB3" w:rsidRPr="00AB2DB3" w:rsidRDefault="00AB2DB3" w:rsidP="00BA0803">
      <w:pPr>
        <w:tabs>
          <w:tab w:val="left" w:pos="705"/>
          <w:tab w:val="right" w:leader="dot" w:pos="9075"/>
        </w:tabs>
        <w:autoSpaceDE w:val="0"/>
        <w:autoSpaceDN w:val="0"/>
        <w:adjustRightInd w:val="0"/>
        <w:spacing w:before="45" w:after="45"/>
        <w:ind w:left="570" w:hanging="285"/>
        <w:jc w:val="both"/>
        <w:rPr>
          <w:rFonts w:ascii="Times New Roman" w:hAnsi="Times New Roman" w:cs="Times New Roman"/>
          <w:noProof/>
          <w:lang w:val="x-none"/>
        </w:rPr>
      </w:pPr>
      <w:r w:rsidRPr="00AB2DB3">
        <w:rPr>
          <w:rFonts w:ascii="Times New Roman" w:hAnsi="Times New Roman" w:cs="Times New Roman"/>
          <w:noProof/>
          <w:lang w:val="x-none"/>
        </w:rPr>
        <w:t>c) możliwością powstania pożaru.</w:t>
      </w:r>
    </w:p>
    <w:p w14:paraId="34BCAD0E"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4547CBED"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Ochrona przeciwpożarowa</w:t>
      </w:r>
    </w:p>
    <w:p w14:paraId="6E6714C4"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Wykonawca ma obowiązek przestrzegać przepisy i wymagania ochrony przeciwpożarowej.</w:t>
      </w:r>
    </w:p>
    <w:p w14:paraId="0394A2F6"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Wykonawca musi utrzymywać sprawny sprzęt przeciwpożarowy, wymagany przez odpowiednie przepisy, na terenie baz produkcyjnych oraz w maszynach i pojazdach. Materiały łatwopalne będą składowane w sposób zgodny z odpowiednimi przepisami i zabezpieczone przed dostępem osób trzecich.</w:t>
      </w:r>
    </w:p>
    <w:p w14:paraId="783C5F4D"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ab/>
        <w:t>Wykonawca jest odpowiedzialny za wszelkie straty spowodowane pożarem wywołanym jako rezultat realizacji robót albo przez personel Wykonawcy.</w:t>
      </w:r>
    </w:p>
    <w:p w14:paraId="3F21060F"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70F2354E"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Materiały szkodliwe dla otoczenia</w:t>
      </w:r>
    </w:p>
    <w:p w14:paraId="16F3D299"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Materiały, które w sposób trwały są szkodliwe dla otoczenia, nie będą dopuszczalne do użytku.</w:t>
      </w:r>
    </w:p>
    <w:p w14:paraId="22E2E25E"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Nie dopuszcza się użycia materiałów wywołujących szkodliwe promieniowanie o stężeniu większym od dopuszczalnego, określonego odpowiednimi przepisami.</w:t>
      </w:r>
    </w:p>
    <w:p w14:paraId="7512FF1F"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Wszelkie materiały odpadowe użyte do robót muszą mieć aprobatę techniczną wydaną przez uprawnioną jednostkę, jednoznacznie określającą brak szkodliwego oddziaływania tych materiałów na środowisko.</w:t>
      </w:r>
    </w:p>
    <w:p w14:paraId="74D23355"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 xml:space="preserve">Materiały, które są szkodliwe dla otoczenia tylko w czasie robót, a po zakończeniu robót ich szkodliwość zanika (np. materiały pylaste) mogą być użyte pod warunkiem przestrzegania wymagań </w:t>
      </w:r>
      <w:r w:rsidRPr="00AB2DB3">
        <w:rPr>
          <w:rFonts w:ascii="Times New Roman" w:hAnsi="Times New Roman" w:cs="Times New Roman"/>
          <w:noProof/>
          <w:lang w:val="x-none"/>
        </w:rPr>
        <w:lastRenderedPageBreak/>
        <w:t>technologicznych wbudowania. Jeżeli wymagają tego odpowiednie przepisy Zamawiający powinien otrzymać zgodę na użycie tych materiałów od właściwych organów administracji państwowej.</w:t>
      </w:r>
    </w:p>
    <w:p w14:paraId="3F083373"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ab/>
        <w:t>Jeżeli Wykonawca użył materiałów szkodliwych dla otoczenia zgodnie ze specyfikacjami, a ich użycie spowodowało jakiekolwiek zagrożenie środowiska, to konsekwencje tego poniesie Zamawiający.</w:t>
      </w:r>
    </w:p>
    <w:p w14:paraId="38AA8816"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rPr>
      </w:pPr>
    </w:p>
    <w:p w14:paraId="01338E82"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Ochrona własności publicznej i prywatnej</w:t>
      </w:r>
    </w:p>
    <w:p w14:paraId="31EED4E3"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Wykonawca odpowiada za ochronę instalacji na powierzchni ziemi i za urządzenia podziemne, takie jak rurociągi, kable itp. Wykonawca zapewni właściwe oznaczenie i zabezpieczenie przed uszkodzeniem tych instalacji i urządzeń w czasie trwania budowy.</w:t>
      </w:r>
      <w:r w:rsidRPr="00AB2DB3">
        <w:rPr>
          <w:rFonts w:ascii="Times New Roman" w:hAnsi="Times New Roman" w:cs="Times New Roman"/>
          <w:noProof/>
        </w:rPr>
        <w:t xml:space="preserve"> </w:t>
      </w:r>
      <w:r w:rsidRPr="00AB2DB3">
        <w:rPr>
          <w:rFonts w:ascii="Times New Roman" w:hAnsi="Times New Roman" w:cs="Times New Roman"/>
          <w:noProof/>
          <w:lang w:val="x-none"/>
        </w:rPr>
        <w:t>O fakcie przypadkowego uszkodzenia tych instalacji Wykonawca bezzwłocznie powiadomi Inspektora nadzoru i zainteresowanych użytkowników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3269E321"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233B4617"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Bezpieczeństwo i higiena pracy</w:t>
      </w:r>
    </w:p>
    <w:p w14:paraId="33FC9B10"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Podczas realizacji robót Wykonawca musi przestrzegać przepisów dotyczących bezpieczeństwa i higieny pracy.</w:t>
      </w:r>
    </w:p>
    <w:p w14:paraId="7CD58791"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szczególności Wykonawca ma obowiązek zadbać, aby personel nie wykonywał pracy w warunkach niebezpiecznych, szkodliwych dla zdrowia oraz nie spełniających odpowiednich wymagań sanitarnych.</w:t>
      </w:r>
    </w:p>
    <w:p w14:paraId="26BECA90"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Wykonawca zapewni i będzie utrzymywał wszelkie urządzenia zabezpieczające, socjalne oraz sprzęt i odpowiednią odzież dla ochrony życia i zdrowia osób zatrudnionych na bu­dowie oraz dla zapewnienia bezpieczeństwa publicznego.</w:t>
      </w:r>
    </w:p>
    <w:p w14:paraId="006DC25E"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ab/>
      </w:r>
      <w:r w:rsidRPr="00AB2DB3">
        <w:rPr>
          <w:rFonts w:ascii="Times New Roman" w:hAnsi="Times New Roman" w:cs="Times New Roman"/>
          <w:noProof/>
        </w:rPr>
        <w:t>W</w:t>
      </w:r>
      <w:r w:rsidRPr="00AB2DB3">
        <w:rPr>
          <w:rFonts w:ascii="Times New Roman" w:hAnsi="Times New Roman" w:cs="Times New Roman"/>
          <w:noProof/>
          <w:lang w:val="x-none"/>
        </w:rPr>
        <w:t>szelkie koszty związane z wypełnieniem wymagań określonych powyżej nie podlegają odrębnej zapłacie i są uwzględnione w cenie umownej za wykonane roboty.</w:t>
      </w:r>
    </w:p>
    <w:p w14:paraId="0DC651A4" w14:textId="77777777" w:rsidR="00AB2DB3" w:rsidRPr="00AB2DB3" w:rsidRDefault="00AB2DB3" w:rsidP="00BA0803">
      <w:pPr>
        <w:tabs>
          <w:tab w:val="left" w:pos="285"/>
          <w:tab w:val="left" w:pos="705"/>
          <w:tab w:val="right" w:leader="dot" w:pos="9075"/>
        </w:tabs>
        <w:autoSpaceDE w:val="0"/>
        <w:autoSpaceDN w:val="0"/>
        <w:adjustRightInd w:val="0"/>
        <w:spacing w:before="45" w:after="45"/>
        <w:jc w:val="both"/>
        <w:rPr>
          <w:rFonts w:ascii="Times New Roman" w:hAnsi="Times New Roman" w:cs="Times New Roman"/>
          <w:noProof/>
        </w:rPr>
      </w:pPr>
    </w:p>
    <w:p w14:paraId="0C36AA9E" w14:textId="77777777" w:rsidR="00AB2DB3" w:rsidRPr="00AB2DB3" w:rsidRDefault="00AB2DB3" w:rsidP="00904E6C">
      <w:pPr>
        <w:numPr>
          <w:ilvl w:val="2"/>
          <w:numId w:val="307"/>
        </w:numPr>
        <w:autoSpaceDE w:val="0"/>
        <w:autoSpaceDN w:val="0"/>
        <w:adjustRightInd w:val="0"/>
        <w:spacing w:before="45" w:after="45" w:line="240" w:lineRule="auto"/>
        <w:rPr>
          <w:rFonts w:ascii="Times New Roman" w:hAnsi="Times New Roman" w:cs="Times New Roman"/>
          <w:b/>
          <w:bCs/>
          <w:noProof/>
          <w:lang w:val="x-none"/>
        </w:rPr>
      </w:pPr>
      <w:r w:rsidRPr="00AB2DB3">
        <w:rPr>
          <w:rFonts w:ascii="Times New Roman" w:hAnsi="Times New Roman" w:cs="Times New Roman"/>
          <w:b/>
          <w:bCs/>
          <w:noProof/>
          <w:lang w:val="x-none"/>
        </w:rPr>
        <w:t>Ochrona i utrzymanie robót</w:t>
      </w:r>
    </w:p>
    <w:p w14:paraId="283C2A8E"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Wykonawca jest odpowiedzialny za ochronę robót i za wszelkie materiały i urządzenia używane do robót od daty rozpoczęcia do daty zakończenia robót (do wydania potwierdzenia ich zakończenia przez Inspektora nadzoru).</w:t>
      </w:r>
    </w:p>
    <w:p w14:paraId="27395FCB"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5F1CB48A"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Dokumentacja robót montażowych</w:t>
      </w:r>
    </w:p>
    <w:p w14:paraId="6B4706C2" w14:textId="77777777" w:rsidR="00AB2DB3" w:rsidRPr="00AB2DB3" w:rsidRDefault="00AB2DB3" w:rsidP="00BA0803">
      <w:pPr>
        <w:tabs>
          <w:tab w:val="left" w:pos="705"/>
          <w:tab w:val="right" w:leader="dot" w:pos="907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Dokumentację robót montażowych elementów instalacji elektrycznej stanowią:</w:t>
      </w:r>
    </w:p>
    <w:p w14:paraId="1EDB22EF"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projekt budowlany i wykonawczy w zakresie wynikającym z rozporządzenia Ministra Infrastruktury z 02.09.2004 r. w sprawie szczegółowego zakresu i formy dokumentacji projektowej, specyfikacji technicznych wykonania i odbioru robót budowlanych oraz programu funkcjonalno-użytkowego (Dz. U. z 2004 r. Nr 202, poz. 2072 ze zmianami Dz. U. z 2005 r. Nr 75, poz. 664),</w:t>
      </w:r>
    </w:p>
    <w:p w14:paraId="57D7F860"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specyfikacje techniczne wykonania i odbioru robót</w:t>
      </w:r>
      <w:r w:rsidRPr="00AB2DB3">
        <w:rPr>
          <w:rFonts w:ascii="Times New Roman" w:hAnsi="Times New Roman" w:cs="Times New Roman"/>
          <w:noProof/>
        </w:rPr>
        <w:t xml:space="preserve"> </w:t>
      </w:r>
      <w:r w:rsidRPr="00AB2DB3">
        <w:rPr>
          <w:rFonts w:ascii="Times New Roman" w:hAnsi="Times New Roman" w:cs="Times New Roman"/>
          <w:noProof/>
          <w:lang w:val="x-none"/>
        </w:rPr>
        <w:t>sporządzone zgodnie z rozporządzeniem Ministra Infrastruktury z dnia 02.09.2004 r. w sprawie szczegółowego zakresu i formy dokumentacji projektowej, specyfikacji technicznych wykonania i odbioru robót budowlanych oraz programu funkcjonalno-użytkowego (Dz. U. z 2004 r. Nr 202, poz. 2072, zmiana Dz. U. z 2005 r. Nr 75, poz. 664),</w:t>
      </w:r>
    </w:p>
    <w:p w14:paraId="136054A4"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dziennik budowy prowadzony zgodnie z rozporządzeniem Ministra Infrastruktury z dnia 26 czerwca 2002 r. w sprawie dziennika budowy, montażu i rozbiórki, tablicy informacyjnej oraz ogłoszenia zawierającego dane dotyczące bezpieczeństwa pracy i ochrony zdrowia (Dz. U. z 2002 r. Nr 108, poz. 953 z późniejszymi zmianami),</w:t>
      </w:r>
    </w:p>
    <w:p w14:paraId="719BE247"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lastRenderedPageBreak/>
        <w:t>dokumenty świadczące o dopuszczeniu do obrotu i powszechnego lub jednostkowego zastosowania użytych wyrobów budowlanych, zgodnie z ustawą z 16 kwietnia 2004 r. o wyrobach budowlanych (Dz. U. z 2004 r. Nr 92, poz. 881), karty techniczne wyrobów lub zalecenia producentów dotyczące stosowania wyrobów,</w:t>
      </w:r>
    </w:p>
    <w:p w14:paraId="0444C1AC"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protokoły odbiorów częściowych, końcowych oraz robót zanikających i ulegających zakryciu z załączonymi protokołami z badań kontrolnych,</w:t>
      </w:r>
    </w:p>
    <w:p w14:paraId="5CC68AF8"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dokumentacja powykonawcza (zgodnie z art. 3, pkt 14 ustawy Prawo budowlane z dnia 7 lipca 1994 r. – Dz. U. z 20</w:t>
      </w:r>
      <w:r w:rsidRPr="00AB2DB3">
        <w:rPr>
          <w:rFonts w:ascii="Times New Roman" w:hAnsi="Times New Roman" w:cs="Times New Roman"/>
          <w:noProof/>
        </w:rPr>
        <w:t>17</w:t>
      </w:r>
      <w:r w:rsidRPr="00AB2DB3">
        <w:rPr>
          <w:rFonts w:ascii="Times New Roman" w:hAnsi="Times New Roman" w:cs="Times New Roman"/>
          <w:noProof/>
          <w:lang w:val="x-none"/>
        </w:rPr>
        <w:t xml:space="preserve">r., poz. </w:t>
      </w:r>
      <w:r w:rsidRPr="00AB2DB3">
        <w:rPr>
          <w:rFonts w:ascii="Times New Roman" w:hAnsi="Times New Roman" w:cs="Times New Roman"/>
          <w:noProof/>
        </w:rPr>
        <w:t>1332</w:t>
      </w:r>
      <w:r w:rsidRPr="00AB2DB3">
        <w:rPr>
          <w:rFonts w:ascii="Times New Roman" w:hAnsi="Times New Roman" w:cs="Times New Roman"/>
          <w:noProof/>
          <w:lang w:val="x-none"/>
        </w:rPr>
        <w:t xml:space="preserve"> z późniejszymi zmianami).</w:t>
      </w:r>
    </w:p>
    <w:p w14:paraId="47CE41B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rPr>
        <w:t>Stosować wymagania i zasady montażu dostawcy poszczególnych materiałów zgodnie z DTR.</w:t>
      </w:r>
    </w:p>
    <w:p w14:paraId="4EBC8384" w14:textId="77777777" w:rsidR="00AB2DB3" w:rsidRPr="00AB2DB3" w:rsidRDefault="00AB2DB3" w:rsidP="00BA0803">
      <w:pPr>
        <w:autoSpaceDE w:val="0"/>
        <w:jc w:val="both"/>
        <w:rPr>
          <w:rFonts w:ascii="Times New Roman" w:hAnsi="Times New Roman" w:cs="Times New Roman"/>
          <w:b/>
          <w:bCs/>
          <w:noProof/>
        </w:rPr>
      </w:pPr>
    </w:p>
    <w:p w14:paraId="310E3DF7"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WYMAGANIA DOTYCZĄCE WŁAŚCIWOŚCI MATERIAŁÓW</w:t>
      </w:r>
    </w:p>
    <w:p w14:paraId="0A6BEC7F" w14:textId="77777777" w:rsidR="00AB2DB3" w:rsidRPr="00AB2DB3" w:rsidRDefault="00AB2DB3" w:rsidP="00BA0803">
      <w:pPr>
        <w:tabs>
          <w:tab w:val="left" w:pos="285"/>
          <w:tab w:val="right" w:leader="dot" w:pos="907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Wszelkie nazwy własne produktów i materiałów przywołane w specyfikacji służą ustaleniu pożądanego standardu wykonania i określenia właściwości i wymogów technicznych założonych w dokumentacji technicznej dla projektowanych rozwiązań.</w:t>
      </w:r>
    </w:p>
    <w:p w14:paraId="695C8DB7" w14:textId="77777777" w:rsidR="00AB2DB3" w:rsidRPr="00AB2DB3" w:rsidRDefault="00AB2DB3" w:rsidP="00BA0803">
      <w:pPr>
        <w:tabs>
          <w:tab w:val="left" w:pos="285"/>
          <w:tab w:val="right" w:leader="dot" w:pos="907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Dopuszcza się zamieszczenie rozwiązań w oparciu o produkty (wyroby) innych producentów pod warunkiem:</w:t>
      </w:r>
    </w:p>
    <w:p w14:paraId="1EB58D8F"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spełniania tych samych właściwości technicznych,</w:t>
      </w:r>
    </w:p>
    <w:p w14:paraId="360465E4"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przedstawienia zamiennych rozwiązań na piśmie (dane techniczne, atesty, dopuszczenia do stosowania, uzyskanie akceptacji projektanta).</w:t>
      </w:r>
    </w:p>
    <w:p w14:paraId="61C5A57B" w14:textId="77777777" w:rsidR="00AB2DB3" w:rsidRPr="00AB2DB3" w:rsidRDefault="00AB2DB3" w:rsidP="00BA0803">
      <w:pPr>
        <w:tabs>
          <w:tab w:val="right" w:leader="dot" w:pos="9075"/>
        </w:tabs>
        <w:autoSpaceDE w:val="0"/>
        <w:autoSpaceDN w:val="0"/>
        <w:adjustRightInd w:val="0"/>
        <w:spacing w:before="15" w:after="45"/>
        <w:jc w:val="both"/>
        <w:rPr>
          <w:rFonts w:ascii="Times New Roman" w:hAnsi="Times New Roman" w:cs="Times New Roman"/>
          <w:b/>
          <w:bCs/>
          <w:noProof/>
          <w:lang w:val="x-none"/>
        </w:rPr>
      </w:pPr>
    </w:p>
    <w:p w14:paraId="766A4EB9"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675B16C0"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rPr>
        <w:t>W</w:t>
      </w:r>
      <w:r w:rsidRPr="00AB2DB3">
        <w:rPr>
          <w:rFonts w:ascii="Times New Roman" w:hAnsi="Times New Roman" w:cs="Times New Roman"/>
          <w:b/>
          <w:bCs/>
          <w:noProof/>
          <w:lang w:val="x-none"/>
        </w:rPr>
        <w:t>ymagania dotyczące właściwości materiałów i składowania</w:t>
      </w:r>
    </w:p>
    <w:p w14:paraId="2C84B438" w14:textId="77777777" w:rsidR="00AB2DB3" w:rsidRPr="00AB2DB3" w:rsidRDefault="00AB2DB3" w:rsidP="00BA0803">
      <w:pPr>
        <w:tabs>
          <w:tab w:val="right" w:leader="dot" w:pos="907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Do wykonania i montażu instalacji, urządzeń elektrycznych i odbiorników energii elektrycznej w obiektach budowlanych należy stosować kable, osprzęt oraz aparaturę i urządzenia elektryczne posiadające dopuszczenie do stosowania w budownictwie.</w:t>
      </w:r>
    </w:p>
    <w:p w14:paraId="7A02947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Za dopuszczone do obrotu i stosowania uznaje się wyroby, dla których producent lub jego upoważniony przedstawiciel:</w:t>
      </w:r>
    </w:p>
    <w:p w14:paraId="5006AE69"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dokonał oceny zgodności z wymaganiami dokumentu odniesienia według określonego systemu oceny zgodności,</w:t>
      </w:r>
    </w:p>
    <w:p w14:paraId="2B5DE4DD"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wydał deklarację zgodności z dokumentami odniesienia, takimi jak: zharmonizowane specyfikacje techniczne, normy opracowane przez Międzynarodową Komisję Elektrotechniczną (IEC) i wprowadzone do zbioru Polskich Norm, normy krajowe opracowane z uwzględnieniem przepisów bezpieczeństwa Międzynarodowej Komisji ds. Przepisów Dotyczących Zatwierdzenia Sprzętu Elektrycznego (CEE), aprobaty techniczne,</w:t>
      </w:r>
    </w:p>
    <w:p w14:paraId="4C21A948"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oznakował wyroby znakiem CE lub znakiem budowlanym B zgodnie z obowiązującymi przepisami,</w:t>
      </w:r>
    </w:p>
    <w:p w14:paraId="4268156F"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wydał deklarację zgodności z uznanymi regułami sztuki budowlanej, dla wyrobu umieszczonego w określonym przez Komisję Europejską wykazie wyrobów mających niewielkie znaczenie dla zdrowia i bezpieczeństwa,</w:t>
      </w:r>
    </w:p>
    <w:p w14:paraId="2E0B1AD8"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wydał oświadczenie, że zapewniono zgodność wyrobu budowlanego, dopuszczonego do jednostkowego zastosowania w obiekcie budowlanym, z indywidualną dokumentacją projektową, sporządzoną przez projektanta obiektu lub z nim uzgodnioną.</w:t>
      </w:r>
    </w:p>
    <w:p w14:paraId="7B1189EF"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Zastosowanie innych wyrobów, wyżej nie wymienionych, jest możliwe pod warunkiem posiadania przez nie dopuszczenia do stosowania w budownictwie i uwzględnienia ich w zatwierdzonym projekcie dotyczącym montażu urządzeń elektroenergetycznych w obiekcie budowlanym.</w:t>
      </w:r>
    </w:p>
    <w:p w14:paraId="6AE5A23D"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p>
    <w:p w14:paraId="068DE74A"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Rodzaje materiałów</w:t>
      </w:r>
    </w:p>
    <w:p w14:paraId="0CEEAF5E" w14:textId="77777777" w:rsidR="00AB2DB3" w:rsidRPr="00AB2DB3" w:rsidRDefault="00AB2DB3" w:rsidP="00BA0803">
      <w:pPr>
        <w:tabs>
          <w:tab w:val="left" w:pos="285"/>
          <w:tab w:val="right" w:leader="dot" w:pos="907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Wszystkie materiały do wykonania instalacji elektrycznej powinny odpowiadać wymaganiom zawartym w dokumentach odniesienia (normach, aprobatach technicznych).</w:t>
      </w:r>
    </w:p>
    <w:p w14:paraId="3BCA6671" w14:textId="77777777" w:rsidR="00AB2DB3" w:rsidRPr="00AB2DB3" w:rsidRDefault="00AB2DB3" w:rsidP="00BA0803">
      <w:pPr>
        <w:tabs>
          <w:tab w:val="left" w:pos="285"/>
          <w:tab w:val="right" w:leader="dot" w:pos="9075"/>
        </w:tabs>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lastRenderedPageBreak/>
        <w:t>Jednocześnie praktyczne przykłady zastosowania elementów linii kablowych, w tym urządzeń elektroenergetycznych zawierają opracowania typizacyjne – szczególnie albumy producentów lub specjalizujących się w tym zakresie biur naukowo-badawczych i projektowych, które mogą być wykorzystane w praktyce.</w:t>
      </w:r>
    </w:p>
    <w:p w14:paraId="5EC8C6DB" w14:textId="77777777" w:rsidR="00AB2DB3" w:rsidRPr="00AB2DB3" w:rsidRDefault="00AB2DB3" w:rsidP="00BA0803">
      <w:pPr>
        <w:tabs>
          <w:tab w:val="left" w:pos="285"/>
          <w:tab w:val="right" w:leader="dot" w:pos="9075"/>
        </w:tabs>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rPr>
        <w:t xml:space="preserve">Specyfikacja techniczna określa wykonywanie robót budowlanych z wykorzystaniem grup materiałów w skład której wchodzą między innymi: </w:t>
      </w:r>
    </w:p>
    <w:p w14:paraId="5781962D" w14:textId="77777777" w:rsidR="00AB2DB3" w:rsidRPr="00AB2DB3" w:rsidRDefault="00AB2DB3" w:rsidP="00BA0803">
      <w:pPr>
        <w:autoSpaceDE w:val="0"/>
        <w:autoSpaceDN w:val="0"/>
        <w:adjustRightInd w:val="0"/>
        <w:spacing w:before="15" w:after="45"/>
        <w:ind w:firstLine="708"/>
        <w:jc w:val="both"/>
        <w:rPr>
          <w:rFonts w:ascii="Times New Roman" w:hAnsi="Times New Roman" w:cs="Times New Roman"/>
          <w:bCs/>
          <w:noProof/>
        </w:rPr>
      </w:pPr>
      <w:r w:rsidRPr="00AB2DB3">
        <w:rPr>
          <w:rFonts w:ascii="Times New Roman" w:hAnsi="Times New Roman" w:cs="Times New Roman"/>
          <w:noProof/>
        </w:rPr>
        <w:t xml:space="preserve">- </w:t>
      </w:r>
      <w:r w:rsidRPr="00AB2DB3">
        <w:rPr>
          <w:rFonts w:ascii="Times New Roman" w:hAnsi="Times New Roman" w:cs="Times New Roman"/>
          <w:bCs/>
          <w:noProof/>
          <w:lang w:val="x-none"/>
        </w:rPr>
        <w:t xml:space="preserve">Kable elektroenergetyczne </w:t>
      </w:r>
      <w:r w:rsidRPr="00AB2DB3">
        <w:rPr>
          <w:rFonts w:ascii="Times New Roman" w:hAnsi="Times New Roman" w:cs="Times New Roman"/>
          <w:bCs/>
          <w:noProof/>
        </w:rPr>
        <w:t xml:space="preserve">zasilające </w:t>
      </w:r>
      <w:r w:rsidRPr="00AB2DB3">
        <w:rPr>
          <w:rFonts w:ascii="Times New Roman" w:hAnsi="Times New Roman" w:cs="Times New Roman"/>
          <w:bCs/>
          <w:noProof/>
          <w:lang w:val="x-none"/>
        </w:rPr>
        <w:t>i sygnalizacyjne</w:t>
      </w:r>
      <w:r w:rsidRPr="00AB2DB3">
        <w:rPr>
          <w:rFonts w:ascii="Times New Roman" w:hAnsi="Times New Roman" w:cs="Times New Roman"/>
          <w:bCs/>
          <w:noProof/>
        </w:rPr>
        <w:t>,</w:t>
      </w:r>
    </w:p>
    <w:p w14:paraId="216B154A" w14:textId="77777777" w:rsidR="00AB2DB3" w:rsidRPr="00AB2DB3" w:rsidRDefault="00AB2DB3" w:rsidP="00BA0803">
      <w:pPr>
        <w:autoSpaceDE w:val="0"/>
        <w:autoSpaceDN w:val="0"/>
        <w:adjustRightInd w:val="0"/>
        <w:spacing w:before="15" w:after="45"/>
        <w:ind w:firstLine="708"/>
        <w:jc w:val="both"/>
        <w:rPr>
          <w:rFonts w:ascii="Times New Roman" w:hAnsi="Times New Roman" w:cs="Times New Roman"/>
          <w:lang w:val="x-none"/>
        </w:rPr>
      </w:pPr>
      <w:r w:rsidRPr="00AB2DB3">
        <w:rPr>
          <w:rFonts w:ascii="Times New Roman" w:hAnsi="Times New Roman" w:cs="Times New Roman"/>
        </w:rPr>
        <w:t xml:space="preserve">- </w:t>
      </w:r>
      <w:r w:rsidRPr="00AB2DB3">
        <w:rPr>
          <w:rFonts w:ascii="Times New Roman" w:hAnsi="Times New Roman" w:cs="Times New Roman"/>
          <w:bCs/>
          <w:noProof/>
          <w:lang w:val="x-none"/>
        </w:rPr>
        <w:t>Osprzęt kablowy – mufy i głowice</w:t>
      </w:r>
    </w:p>
    <w:p w14:paraId="241C82AA" w14:textId="77777777" w:rsidR="00AB2DB3" w:rsidRPr="00AB2DB3" w:rsidRDefault="00AB2DB3" w:rsidP="00BA0803">
      <w:pPr>
        <w:autoSpaceDE w:val="0"/>
        <w:autoSpaceDN w:val="0"/>
        <w:adjustRightInd w:val="0"/>
        <w:spacing w:before="15" w:after="45"/>
        <w:ind w:firstLine="708"/>
        <w:jc w:val="both"/>
        <w:rPr>
          <w:rFonts w:ascii="Times New Roman" w:hAnsi="Times New Roman" w:cs="Times New Roman"/>
          <w:lang w:val="x-none"/>
        </w:rPr>
      </w:pPr>
      <w:r w:rsidRPr="00AB2DB3">
        <w:rPr>
          <w:rFonts w:ascii="Times New Roman" w:hAnsi="Times New Roman" w:cs="Times New Roman"/>
          <w:noProof/>
        </w:rPr>
        <w:t xml:space="preserve">- </w:t>
      </w:r>
      <w:r w:rsidRPr="00AB2DB3">
        <w:rPr>
          <w:rFonts w:ascii="Times New Roman" w:hAnsi="Times New Roman" w:cs="Times New Roman"/>
          <w:bCs/>
          <w:noProof/>
          <w:lang w:val="x-none"/>
        </w:rPr>
        <w:t>Urządzenia stacyjne prefabrykowane, instalowane w ramach linii kablowych</w:t>
      </w:r>
    </w:p>
    <w:p w14:paraId="74CD71DF" w14:textId="77777777" w:rsidR="00AB2DB3" w:rsidRPr="00AB2DB3" w:rsidRDefault="00AB2DB3" w:rsidP="00BA0803">
      <w:pPr>
        <w:autoSpaceDE w:val="0"/>
        <w:autoSpaceDN w:val="0"/>
        <w:adjustRightInd w:val="0"/>
        <w:spacing w:before="15" w:after="45"/>
        <w:ind w:firstLine="708"/>
        <w:jc w:val="both"/>
        <w:rPr>
          <w:rFonts w:ascii="Times New Roman" w:hAnsi="Times New Roman" w:cs="Times New Roman"/>
        </w:rPr>
      </w:pPr>
      <w:r w:rsidRPr="00AB2DB3">
        <w:rPr>
          <w:rFonts w:ascii="Times New Roman" w:hAnsi="Times New Roman" w:cs="Times New Roman"/>
          <w:noProof/>
        </w:rPr>
        <w:t xml:space="preserve">- </w:t>
      </w:r>
      <w:r w:rsidRPr="00AB2DB3">
        <w:rPr>
          <w:rFonts w:ascii="Times New Roman" w:hAnsi="Times New Roman" w:cs="Times New Roman"/>
          <w:bCs/>
          <w:noProof/>
          <w:lang w:val="x-none"/>
        </w:rPr>
        <w:t>Wsporniki i drabinki kablowe</w:t>
      </w:r>
      <w:r w:rsidRPr="00AB2DB3">
        <w:rPr>
          <w:rFonts w:ascii="Times New Roman" w:hAnsi="Times New Roman" w:cs="Times New Roman"/>
          <w:bCs/>
          <w:noProof/>
        </w:rPr>
        <w:t>, rury kablowe</w:t>
      </w:r>
    </w:p>
    <w:p w14:paraId="0896681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0D24A376" w14:textId="77777777" w:rsidR="00AB2DB3" w:rsidRPr="00AB2DB3" w:rsidRDefault="00AB2DB3" w:rsidP="00904E6C">
      <w:pPr>
        <w:numPr>
          <w:ilvl w:val="2"/>
          <w:numId w:val="305"/>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b/>
          <w:bCs/>
          <w:noProof/>
          <w:lang w:val="x-none"/>
        </w:rPr>
        <w:t>Specyfikacja materiałowa</w:t>
      </w:r>
    </w:p>
    <w:p w14:paraId="519F9C90" w14:textId="77777777" w:rsidR="00AB2DB3" w:rsidRPr="00AB2DB3" w:rsidRDefault="00AB2DB3" w:rsidP="00BA0803">
      <w:pPr>
        <w:autoSpaceDE w:val="0"/>
        <w:autoSpaceDN w:val="0"/>
        <w:adjustRightInd w:val="0"/>
        <w:spacing w:before="15" w:after="45"/>
        <w:jc w:val="both"/>
        <w:rPr>
          <w:rFonts w:ascii="Times New Roman" w:hAnsi="Times New Roman" w:cs="Times New Roman"/>
          <w:bCs/>
          <w:noProof/>
        </w:rPr>
      </w:pPr>
      <w:r w:rsidRPr="00AB2DB3">
        <w:rPr>
          <w:rFonts w:ascii="Times New Roman" w:hAnsi="Times New Roman" w:cs="Times New Roman"/>
          <w:bCs/>
          <w:noProof/>
          <w:lang w:val="x-none"/>
        </w:rPr>
        <w:t>Zgodnie z zestawieniem materiałów</w:t>
      </w:r>
      <w:r w:rsidRPr="00AB2DB3">
        <w:rPr>
          <w:rFonts w:ascii="Times New Roman" w:hAnsi="Times New Roman" w:cs="Times New Roman"/>
          <w:bCs/>
          <w:noProof/>
        </w:rPr>
        <w:t xml:space="preserve"> w projekcie technicznym.</w:t>
      </w:r>
    </w:p>
    <w:p w14:paraId="7346311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66D5B444"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Warunki przyjęcia na budowę materiałów do robót montażowych linii energetycznych</w:t>
      </w:r>
    </w:p>
    <w:p w14:paraId="2F71730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Wyroby do robót montażowych mogą być przyjęte na budowę, jeśli spełniają następujące warunki:</w:t>
      </w:r>
    </w:p>
    <w:p w14:paraId="2E571469"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są zgodne z ich wyszczególnieniem i charakterystyką podaną w dokumentacji projektowej i specyfikacji technicznej ST,</w:t>
      </w:r>
    </w:p>
    <w:p w14:paraId="5DB6C873"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są właściwie oznakowane i opakowane,</w:t>
      </w:r>
    </w:p>
    <w:p w14:paraId="4834C87B"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spełniają wymagane właściwości wskazane odpowiednimi dokumentami odniesienia,</w:t>
      </w:r>
    </w:p>
    <w:p w14:paraId="2BFBF552"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producent dostarczył dokumenty świadczące o dopuszczeniu do obrotu i powszechnego lub jednostkowego zastosowania, a w odniesieniu do fabrycznie przygotowanych prefabrykatów również karty katalogowe wyrobów lub firmowe wytyczne stosowania wyrobów,</w:t>
      </w:r>
    </w:p>
    <w:p w14:paraId="7BFF0E12" w14:textId="77777777" w:rsidR="00AB2DB3" w:rsidRPr="00AB2DB3" w:rsidRDefault="00AB2DB3" w:rsidP="00904E6C">
      <w:pPr>
        <w:numPr>
          <w:ilvl w:val="0"/>
          <w:numId w:val="308"/>
        </w:numPr>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dostawa kabli o izolacji, powłoce lub osłonie z tworzyw sztucznych powinna odbywać się przy temperaturze wyższej niż –15°C, natomiast bębny z nawiniętym kablem nie mogą być zrzucane i przewracane na ich tarcze (na płask).</w:t>
      </w:r>
    </w:p>
    <w:p w14:paraId="02CBCD1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Niedopuszczalne jest stosowanie do robót montażowych – wyrobów i materiałów nieznanego pochodzenia.</w:t>
      </w:r>
    </w:p>
    <w:p w14:paraId="5F87AB45"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72C24D95"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Warunki przechowywania materiałów do montażu instalacji elektrycznych</w:t>
      </w:r>
    </w:p>
    <w:p w14:paraId="232743F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Wszystkie materiały pakowane powinny być przechowywane i magazynowane zgodnie z instrukcją producenta oraz wymaganiami odpowiednich norm.</w:t>
      </w:r>
    </w:p>
    <w:p w14:paraId="346737DE"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Kable należy przechowywać na bębnach lub jeśli ilość kabla jest niewielka zwinięte w tzw. „ósemkę”. Końce kabli</w:t>
      </w:r>
      <w:r w:rsidRPr="00AB2DB3">
        <w:rPr>
          <w:rFonts w:ascii="Times New Roman" w:hAnsi="Times New Roman" w:cs="Times New Roman"/>
          <w:noProof/>
        </w:rPr>
        <w:t xml:space="preserve"> </w:t>
      </w:r>
      <w:r w:rsidRPr="00AB2DB3">
        <w:rPr>
          <w:rFonts w:ascii="Times New Roman" w:hAnsi="Times New Roman" w:cs="Times New Roman"/>
          <w:noProof/>
          <w:lang w:val="x-none"/>
        </w:rPr>
        <w:t>zabezpiecz</w:t>
      </w:r>
      <w:r w:rsidRPr="00AB2DB3">
        <w:rPr>
          <w:rFonts w:ascii="Times New Roman" w:hAnsi="Times New Roman" w:cs="Times New Roman"/>
          <w:noProof/>
        </w:rPr>
        <w:t>yć</w:t>
      </w:r>
      <w:r w:rsidRPr="00AB2DB3">
        <w:rPr>
          <w:rFonts w:ascii="Times New Roman" w:hAnsi="Times New Roman" w:cs="Times New Roman"/>
          <w:noProof/>
          <w:lang w:val="x-none"/>
        </w:rPr>
        <w:t xml:space="preserve"> przed przedostawaniem się wilgoci do wewnątrz</w:t>
      </w:r>
      <w:r w:rsidRPr="00AB2DB3">
        <w:rPr>
          <w:rFonts w:ascii="Times New Roman" w:hAnsi="Times New Roman" w:cs="Times New Roman"/>
          <w:noProof/>
        </w:rPr>
        <w:t>. W</w:t>
      </w:r>
      <w:r w:rsidRPr="00AB2DB3">
        <w:rPr>
          <w:rFonts w:ascii="Times New Roman" w:hAnsi="Times New Roman" w:cs="Times New Roman"/>
          <w:noProof/>
          <w:lang w:val="x-none"/>
        </w:rPr>
        <w:t xml:space="preserve"> przypadku gdy dokonuje się odcięcia części kabla – należy zabezpieczyć pozostający w magazynie odcinek zalutowaną osłoną ołowianą lub kapturkiem, najlepiej termokurczliwym. W magazynie o miękkim podłożu należy ułożyć twarde podkłady pod tarcze bębna i zabezpieczyć klinami przed samoczynnym toczeniem.</w:t>
      </w:r>
    </w:p>
    <w:p w14:paraId="76D71104"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Pozostały sprzęt i osprzęt podstawowy i pomocniczy należy przechowywać w oryginalnych opakowaniach, kartonach, opakowaniach foliowych itp. Szczególnie należy chronić przed wpływami atmosferycznym oraz zawilgoceniem.</w:t>
      </w:r>
    </w:p>
    <w:p w14:paraId="33B4D0B2"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Pomieszczenie magazynowe do przechowywania wyrobów opakowanych powinno być suche i zabezpieczone przed zawilgoceniem.</w:t>
      </w:r>
    </w:p>
    <w:p w14:paraId="3AB71B73" w14:textId="77777777" w:rsidR="00AB2DB3" w:rsidRPr="00AB2DB3" w:rsidRDefault="00AB2DB3" w:rsidP="00BA0803">
      <w:pPr>
        <w:autoSpaceDE w:val="0"/>
        <w:autoSpaceDN w:val="0"/>
        <w:adjustRightInd w:val="0"/>
        <w:spacing w:before="15" w:after="15"/>
        <w:jc w:val="both"/>
        <w:rPr>
          <w:rFonts w:ascii="Times New Roman" w:hAnsi="Times New Roman" w:cs="Times New Roman"/>
          <w:noProof/>
          <w:lang w:val="x-none"/>
        </w:rPr>
      </w:pPr>
    </w:p>
    <w:p w14:paraId="1DA4DC01"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WYMAGANIA DOTYCZĄCE SPRZĘTU, MASZYN I NARZĘDZI</w:t>
      </w:r>
    </w:p>
    <w:p w14:paraId="5898C1F1"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7755218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Prace można wykonywać przy pomocy wszelkiego sprzętu.</w:t>
      </w:r>
    </w:p>
    <w:p w14:paraId="17F31B5F"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Wykonawca jest zobowiązany do używania jedynie takiego sprzętu, który nie spowoduje niekorzystnego wpływu na jakość wykonywanych robót. </w:t>
      </w:r>
    </w:p>
    <w:p w14:paraId="646DC65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lastRenderedPageBreak/>
        <w:t>Liczba i wydajność sprzętu będzie gwarantować przeprowadzenie robót, zgodnie z zasadami określonymi w dokumentacji projektowej, ST i wskazaniach Inspektora nadzoru w terminie przewidzianym umową.</w:t>
      </w:r>
    </w:p>
    <w:p w14:paraId="625E74E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Sprzęt będący własnością Wykonawcy lub wynajęty do wykonania robót ma być utrzymywany w dobrym stanie i gotowości do pracy. Będzie spełniał normy ochrony środowiska i przepisy dotyczące jego użytkowania.</w:t>
      </w:r>
    </w:p>
    <w:p w14:paraId="5CB7D3CD"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Wykonawca dostarczy Inspektorowi nadzoru kopie dokumentów potwierdzających dopuszczenie sprzętu do użytkowania, tam gdzie jest to wymagane przepisami.</w:t>
      </w:r>
    </w:p>
    <w:p w14:paraId="1345526A" w14:textId="77777777" w:rsidR="00AB2DB3" w:rsidRPr="00AB2DB3" w:rsidRDefault="00AB2DB3" w:rsidP="00BA0803">
      <w:pPr>
        <w:autoSpaceDE w:val="0"/>
        <w:autoSpaceDN w:val="0"/>
        <w:adjustRightInd w:val="0"/>
        <w:spacing w:before="15" w:after="15"/>
        <w:jc w:val="both"/>
        <w:rPr>
          <w:rFonts w:ascii="Times New Roman" w:hAnsi="Times New Roman" w:cs="Times New Roman"/>
          <w:noProof/>
          <w:lang w:val="x-none"/>
        </w:rPr>
      </w:pPr>
    </w:p>
    <w:p w14:paraId="65777869"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WYMAGANIA DOTYCZĄCE TRANSPORTU</w:t>
      </w:r>
    </w:p>
    <w:p w14:paraId="33532E0F"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191ACE1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Wykonawca jest zobowiązany do stosowania jedynie takich środków transportu, które nie wpłyną niekorzystnie na jakość wykonywanych robót i właściwości przewożonych materiałów.</w:t>
      </w:r>
    </w:p>
    <w:p w14:paraId="34611DA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Wykonawca będzie usuwać na bieżąco, na własny koszt, wszelkie zanieczyszczenia spowodowane jego pojazdami na drogach publicznych oraz dojazdach do terenu budowy.</w:t>
      </w:r>
    </w:p>
    <w:p w14:paraId="0CBA51BA" w14:textId="77777777" w:rsidR="00AB2DB3" w:rsidRPr="00AB2DB3" w:rsidRDefault="00AB2DB3" w:rsidP="00BA0803">
      <w:pPr>
        <w:pStyle w:val="Akapitzlist"/>
        <w:spacing w:before="15" w:after="15"/>
        <w:ind w:left="360"/>
        <w:rPr>
          <w:b/>
          <w:bCs/>
          <w:noProof/>
          <w:sz w:val="22"/>
          <w:szCs w:val="22"/>
          <w:lang w:val="x-none"/>
        </w:rPr>
      </w:pPr>
    </w:p>
    <w:p w14:paraId="62DE14CD"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WYMAGANIA DOTYCZĄCE WYKONANIA ROBÓT</w:t>
      </w:r>
    </w:p>
    <w:p w14:paraId="7CD0DA34"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73500602"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rPr>
        <w:t>Z</w:t>
      </w:r>
      <w:r w:rsidRPr="00AB2DB3">
        <w:rPr>
          <w:rFonts w:ascii="Times New Roman" w:hAnsi="Times New Roman" w:cs="Times New Roman"/>
          <w:b/>
          <w:bCs/>
          <w:noProof/>
          <w:lang w:val="x-none"/>
        </w:rPr>
        <w:t xml:space="preserve">asady wykonania robót </w:t>
      </w:r>
    </w:p>
    <w:p w14:paraId="60036426"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Wykonawca jest odpowiedzialny za prowadzenie robót zgodnie z umową oraz za jakość zastosowanych materiałów i wykonywanych robót, za ich zgodność z dokumentacją projektową, wymaganiami ST, projektu organizacji robót oraz poleceniami Inspektora nadzoru.</w:t>
      </w:r>
    </w:p>
    <w:p w14:paraId="7D25F585"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Przed przystąpieniem do robót należy dokonać przy udziale geodety trasowania przebiegu linii energetycznej, z zaznaczeniem np. palikami jej charakterystycznych punktów.</w:t>
      </w:r>
    </w:p>
    <w:p w14:paraId="3448E8D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6C19BEA5"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Układanie kabli</w:t>
      </w:r>
    </w:p>
    <w:p w14:paraId="32B3BCC6"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Przy układaniu kabli w ziemi zakres robót obejmuje:</w:t>
      </w:r>
    </w:p>
    <w:p w14:paraId="345DC315"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wyznaczenie trasy linii kablowej,</w:t>
      </w:r>
    </w:p>
    <w:p w14:paraId="0C11DD97"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wykonanie robót ziemnych, w tym staranne ubijanie warstwami przy zasypywaniu dołów oraz wymianę gruntu w przypadku nieodpowiedniego składu gruntu rodzimego,</w:t>
      </w:r>
    </w:p>
    <w:p w14:paraId="246E9EFB"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nasypanie warstwy piasku na dno rowu kablowego,</w:t>
      </w:r>
    </w:p>
    <w:p w14:paraId="42D5D4B5"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układanie kabli w rowach i wykopach,</w:t>
      </w:r>
    </w:p>
    <w:p w14:paraId="204DEF35"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układanie kabli w rurach i blokach, ułożonych w ziemi,</w:t>
      </w:r>
    </w:p>
    <w:p w14:paraId="68DE9AB8"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ułożenie folii oznaczeniowej,</w:t>
      </w:r>
    </w:p>
    <w:p w14:paraId="3EE27636"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zasypanie rowów i wykopów kablowych z rozplantowaniem lub wywiezieniem nadmiaru ziemi.</w:t>
      </w:r>
    </w:p>
    <w:p w14:paraId="10DDC8A4"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r w:rsidRPr="00AB2DB3">
        <w:rPr>
          <w:rFonts w:ascii="Times New Roman" w:hAnsi="Times New Roman" w:cs="Times New Roman"/>
          <w:b/>
          <w:bCs/>
          <w:noProof/>
          <w:lang w:val="x-none"/>
        </w:rPr>
        <w:t>Uwagi dodatkowe:</w:t>
      </w:r>
    </w:p>
    <w:p w14:paraId="2766F8F2"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Wytyczanie trasy linii kablowej powinien dokonywać uprawniony geodeta, lub za zgodą inwestora – wykonawca robót, na podstawie projektu technicznego linii oraz map geodezyjnych. Przebieg trasy wyznaczają wbijane w grunt paliki drewniane lub pręty metalowe. Należy jednocześnie prowadzić trasę kablową w taki sposób, aby zachować odpowiednie odległości od innych elementów znajdujących się w ziemi, w okolicy trasy np. minimum 50 cm od fundamentów budynków i granicy pasa jezdni, 150 cm od rosnących drzew, itp. Szczegółowe wartości odległości kabli od innych elementów znajdujących się w ziemi zawiera norma N SEP-E-004.</w:t>
      </w:r>
    </w:p>
    <w:p w14:paraId="34692CB0"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W przypadku rozpoczynania prac ziemnych, dla robót prowadzonych w terenie zabudowanym lub dostatecznie nierozpoznanym, należy zwrócić szczególną uwagę aby nie uszkodzić istniejącego uzbrojenia. W tym celu, przy zachowaniu dużej ostrożności, należy dokonać przekopów próbnych na głębokość większą od projektowanego dna wykopu i o długości około 2 m przez linię trasy kablowej, prostopadle do jej osi. Podobne obostrzenia dotyczą wykopów prowadzonych przy istniejących budynkach i budowlach.</w:t>
      </w:r>
    </w:p>
    <w:p w14:paraId="41E42E6F"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lastRenderedPageBreak/>
        <w:t>Szerokość rowu kablowego zależy od liczby i rodzaju kabli układanych równolegle, jednak nie powinna być mniejsza od: 30 cm dla głębokości do 60 cm i 40 (50) cm w pozostałych przypadkach.</w:t>
      </w:r>
    </w:p>
    <w:p w14:paraId="69D631A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Głębokość minimalna układania, mierzona w osi kabla, zależy od rodzaju, przeznaczenia oraz napięcia znamionowego kabla (ze względu na warstwę podsypki piaskowej oraz średnicę kabla wykop jest kilkanaście centymetrów głębszy):</w:t>
      </w:r>
    </w:p>
    <w:p w14:paraId="593B27D5"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50 cm dla kabli układanych pod chodnikami i przeznaczonymi do zasilania oświetlenia, związanego z ruchem drogowym,</w:t>
      </w:r>
    </w:p>
    <w:p w14:paraId="4D740C9E"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70 cm dla pozostałych rodzajów i przeznaczeń kabli o napięciu do 1 kV,</w:t>
      </w:r>
    </w:p>
    <w:p w14:paraId="7814D4FF"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80 cm dla kabli o napięciu do 15 kV, układanych poza terenami rolniczymi,</w:t>
      </w:r>
    </w:p>
    <w:p w14:paraId="523C4567"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90 cm dla kabli o napięciu do 15 kV, układanych na terenach rolniczych,</w:t>
      </w:r>
    </w:p>
    <w:p w14:paraId="6D3F698A"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100 cm dla kabli o napięciu powyżej 15 kV.</w:t>
      </w:r>
    </w:p>
    <w:p w14:paraId="34C0CD4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t>Ręczne wykopy należy wykonywać z zachowaniem zasad bezpieczeństwa i wg zaleceń jak w ST</w:t>
      </w:r>
      <w:r w:rsidRPr="00AB2DB3">
        <w:rPr>
          <w:rFonts w:ascii="Times New Roman" w:hAnsi="Times New Roman" w:cs="Times New Roman"/>
          <w:noProof/>
        </w:rPr>
        <w:t>.</w:t>
      </w:r>
    </w:p>
    <w:p w14:paraId="638F868A"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Linie kablowe pod drogami, ulicami</w:t>
      </w:r>
      <w:r w:rsidRPr="00AB2DB3">
        <w:rPr>
          <w:rFonts w:ascii="Times New Roman" w:hAnsi="Times New Roman" w:cs="Times New Roman"/>
          <w:noProof/>
        </w:rPr>
        <w:t xml:space="preserve"> </w:t>
      </w:r>
      <w:r w:rsidRPr="00AB2DB3">
        <w:rPr>
          <w:rFonts w:ascii="Times New Roman" w:hAnsi="Times New Roman" w:cs="Times New Roman"/>
          <w:noProof/>
          <w:lang w:val="x-none"/>
        </w:rPr>
        <w:t xml:space="preserve">należy prowadzić w osłonach otaczających (rury ochronne lub bloki kablowe), układanych w wykopach. </w:t>
      </w:r>
    </w:p>
    <w:p w14:paraId="142937FF"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Układanie kabli w rowach i wykopach:</w:t>
      </w:r>
    </w:p>
    <w:p w14:paraId="0C55FFA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t xml:space="preserve">Kabel należy ułożyć na dnie wykopu na podsypce piaskowej grubości min. 10 cm –dopuszcza się pominięcie podsypki dla gruntów piaszczystych. Linia układanego kabla powinna być falista, aby ilość ułożonego kabla była większa o 1-3% od długości wykopu. Zasadą jest układanie w jednym rowie kabli na jednym poziomie, przy czym odległość minimalna od kabli sąsiednich zależy od napięcia znamionowego i wynosi: 10 cm dla kabla do 1 kV i 25 cm dla kabla powyżej 1 kV. </w:t>
      </w:r>
    </w:p>
    <w:p w14:paraId="5A3CED6D"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Dla kabli układanych na terenie zakładu przemysłowego dopuszcza się warstwowe układanie kabli, z zachowaniem odległości 15 cm pomiędzy warstwami i oddzieleniem warstw od siebie przegrodami np. z cegieł lub bloczków betonowych. Dla ułatwienia lub umożliwienia robót naprawczych należy przewidzieć układanie kabli z zapasem, przy każdym elemencie, gdzie następuje połączenie lub podłączenie kabla (mufy, złącza kablowego, stacji transformatorowej itp.),</w:t>
      </w:r>
    </w:p>
    <w:p w14:paraId="6E6D46F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Zasypanie następną warstwą piaskową grubości min. 10 cm i ubicie warstwy, a następnie gruntem rodzimym ubijanym warstwami grubości do 15 cm (większość inwestorów wymaga wymiany gruntu wykopu na piasek),</w:t>
      </w:r>
    </w:p>
    <w:p w14:paraId="714744F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Ułożenie folii oznaczeniowej o grubości powyżej 0,5 mm i o szerokości powyżej 20 cm, przykrywającej przysypany warstwą piasku kabel. Kolory folii używanych do oznaczeń wskazują napięcie znamionowe kabla: niebieska do 1 kV i czerwona powyżej 1 kV.</w:t>
      </w:r>
    </w:p>
    <w:p w14:paraId="562CD726"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6. </w:t>
      </w:r>
      <w:r w:rsidRPr="00AB2DB3">
        <w:rPr>
          <w:rFonts w:ascii="Times New Roman" w:hAnsi="Times New Roman" w:cs="Times New Roman"/>
          <w:noProof/>
          <w:lang w:val="x-none"/>
        </w:rPr>
        <w:tab/>
        <w:t>Układanie kabli w rurach i blokach umieszczonych w ziemi:</w:t>
      </w:r>
    </w:p>
    <w:p w14:paraId="1146A18D"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Kable układane w miejscach, gdzie są szczególnie narażone na uszkodzenia, chroni się poprzez osłony kablowe z rur PCV sztywnych lub giętkich. Po wprowadzeniu kabla (lub kabli) do osłony należy oba końce uszczelnić, szczególnie kiedy następuje przejście pomiędzy odrębnymi strefami wydzielenia pożarowego (</w:t>
      </w:r>
      <w:r w:rsidRPr="00AB2DB3">
        <w:rPr>
          <w:rFonts w:ascii="Times New Roman" w:hAnsi="Times New Roman" w:cs="Times New Roman"/>
          <w:noProof/>
        </w:rPr>
        <w:t>stosować</w:t>
      </w:r>
      <w:r w:rsidRPr="00AB2DB3">
        <w:rPr>
          <w:rFonts w:ascii="Times New Roman" w:hAnsi="Times New Roman" w:cs="Times New Roman"/>
          <w:noProof/>
          <w:lang w:val="x-none"/>
        </w:rPr>
        <w:t xml:space="preserve"> przepusty ogniowe lub specjalne materiały izolujące, w zależności od wymaganego stopnia ochrony pożarowej). </w:t>
      </w:r>
      <w:r w:rsidRPr="00AB2DB3">
        <w:rPr>
          <w:rFonts w:ascii="Times New Roman" w:hAnsi="Times New Roman" w:cs="Times New Roman"/>
          <w:noProof/>
        </w:rPr>
        <w:t xml:space="preserve">Na istniejących kablach wykonać osłony rurowe z wykorzystaniem </w:t>
      </w:r>
      <w:r w:rsidRPr="00AB2DB3">
        <w:rPr>
          <w:rFonts w:ascii="Times New Roman" w:hAnsi="Times New Roman" w:cs="Times New Roman"/>
          <w:noProof/>
          <w:lang w:val="x-none"/>
        </w:rPr>
        <w:t>rur osłonowych dwudzielnych.</w:t>
      </w:r>
    </w:p>
    <w:p w14:paraId="5DB0626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52BC14DC"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Montaż osprzętu kablowego i oznaczanie linii kablowych</w:t>
      </w:r>
    </w:p>
    <w:p w14:paraId="1479170A" w14:textId="77777777" w:rsidR="00AB2DB3" w:rsidRPr="00AB2DB3" w:rsidRDefault="00AB2DB3" w:rsidP="00BA0803">
      <w:pPr>
        <w:tabs>
          <w:tab w:val="num" w:pos="709"/>
        </w:tabs>
        <w:autoSpaceDE w:val="0"/>
        <w:autoSpaceDN w:val="0"/>
        <w:adjustRightInd w:val="0"/>
        <w:spacing w:before="15" w:after="45"/>
        <w:jc w:val="both"/>
        <w:rPr>
          <w:rFonts w:ascii="Times New Roman" w:hAnsi="Times New Roman" w:cs="Times New Roman"/>
          <w:b/>
          <w:noProof/>
          <w:lang w:val="x-none"/>
        </w:rPr>
      </w:pPr>
      <w:r w:rsidRPr="00AB2DB3">
        <w:rPr>
          <w:rFonts w:ascii="Times New Roman" w:hAnsi="Times New Roman" w:cs="Times New Roman"/>
          <w:b/>
          <w:noProof/>
          <w:lang w:val="x-none"/>
        </w:rPr>
        <w:t>–</w:t>
      </w:r>
      <w:r w:rsidRPr="00AB2DB3">
        <w:rPr>
          <w:rFonts w:ascii="Times New Roman" w:hAnsi="Times New Roman" w:cs="Times New Roman"/>
          <w:b/>
          <w:noProof/>
          <w:lang w:val="x-none"/>
        </w:rPr>
        <w:tab/>
        <w:t>oznaczanie linii kablowych.</w:t>
      </w:r>
    </w:p>
    <w:p w14:paraId="04758951" w14:textId="77777777" w:rsidR="00AB2DB3" w:rsidRPr="00AB2DB3" w:rsidRDefault="00AB2DB3" w:rsidP="00BA0803">
      <w:pPr>
        <w:autoSpaceDE w:val="0"/>
        <w:autoSpaceDN w:val="0"/>
        <w:adjustRightInd w:val="0"/>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Uwagi dodatkowe:</w:t>
      </w:r>
    </w:p>
    <w:p w14:paraId="2C21A21F" w14:textId="77777777" w:rsidR="00AB2DB3" w:rsidRPr="00AB2DB3" w:rsidRDefault="00AB2DB3" w:rsidP="00904E6C">
      <w:pPr>
        <w:numPr>
          <w:ilvl w:val="0"/>
          <w:numId w:val="304"/>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Oznaczniki kabli stosuje się w celu umożliwienia identyfikacji ułożonych i będących pod napięciem kabli. Rozmieszczenie oznaczników powinno ułatwiać prace pracownikom dokonującym rozpoznania i dlatego należy oznaczniki montować: na końcach i łukach kabla, w sąsiedztwie osprzętu (mufy i głowice) oraz w miejscach charakterystycznych takich jak, skrzyżowania, przepusty, zbliżenia, a także w prostych odcinkach linii kablowej ułożonej w ziemi co 10 m</w:t>
      </w:r>
      <w:r w:rsidRPr="00AB2DB3">
        <w:rPr>
          <w:rFonts w:ascii="Times New Roman" w:hAnsi="Times New Roman" w:cs="Times New Roman"/>
          <w:noProof/>
        </w:rPr>
        <w:t>.</w:t>
      </w:r>
    </w:p>
    <w:p w14:paraId="215553DC" w14:textId="77777777" w:rsidR="00AB2DB3" w:rsidRPr="00AB2DB3" w:rsidRDefault="00AB2DB3" w:rsidP="00904E6C">
      <w:pPr>
        <w:numPr>
          <w:ilvl w:val="0"/>
          <w:numId w:val="304"/>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Prawidłowe oznaczenia kabla powinny zawierać następujące dane:</w:t>
      </w:r>
    </w:p>
    <w:p w14:paraId="617ED52B"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lastRenderedPageBreak/>
        <w:t>użytkownika, symbol i numer ewidencyjny linii kablowej,</w:t>
      </w:r>
    </w:p>
    <w:p w14:paraId="59C4BFF1"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rok ułożenia kabla,</w:t>
      </w:r>
    </w:p>
    <w:p w14:paraId="6C045AE9"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symbol typu i przekrój kabla wg odpowiedniej normy,</w:t>
      </w:r>
    </w:p>
    <w:p w14:paraId="7E209F17"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znak fazy (przy kablach jednożyłowych),</w:t>
      </w:r>
    </w:p>
    <w:p w14:paraId="44843EB3" w14:textId="77777777" w:rsidR="00AB2DB3" w:rsidRPr="00AB2DB3" w:rsidRDefault="00AB2DB3" w:rsidP="00904E6C">
      <w:pPr>
        <w:numPr>
          <w:ilvl w:val="0"/>
          <w:numId w:val="304"/>
        </w:numPr>
        <w:tabs>
          <w:tab w:val="left" w:pos="570"/>
        </w:tabs>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Znakowanie trasy kablowej</w:t>
      </w:r>
    </w:p>
    <w:p w14:paraId="206630EC"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 terenie nie zabudowanym oznacza się trasę poprzez wkopanie wzdłuż trasy słupków betonowych z literą „K” oraz</w:t>
      </w:r>
      <w:r w:rsidRPr="00AB2DB3">
        <w:rPr>
          <w:rFonts w:ascii="Times New Roman" w:hAnsi="Times New Roman" w:cs="Times New Roman"/>
          <w:noProof/>
        </w:rPr>
        <w:t xml:space="preserve"> </w:t>
      </w:r>
      <w:r w:rsidRPr="00AB2DB3">
        <w:rPr>
          <w:rFonts w:ascii="Times New Roman" w:hAnsi="Times New Roman" w:cs="Times New Roman"/>
          <w:noProof/>
          <w:lang w:val="x-none"/>
        </w:rPr>
        <w:t>kierunkiem przebiegu. Miejsca oznakowania: początek i koniec trasy, skrzyżowania, zbliżenia, zmiany kierunku oraz na odcinkach prostych co 100 m. Zaleca się podobnie oznaczać miejsca montażu muf z tym, że stosuje się wtedy oznaczenie literowe „M”. Miejsce zainstalowania muf można także oznaczać na budynkach lub innych trwałych elementach zabudowy przy pomocy tabliczek, zamocowanych na wysokości 1,5 m nad poziomem terenu.</w:t>
      </w:r>
    </w:p>
    <w:p w14:paraId="0B6F83B0"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p>
    <w:p w14:paraId="501BA205"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KONTROLA JAKOŚCI ROBÓT</w:t>
      </w:r>
    </w:p>
    <w:p w14:paraId="4F2384AA"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20A54859"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Wykonawca jest odpowiedzialny za pełną kontrolę jakości robót i stosowanych materiałów. </w:t>
      </w:r>
    </w:p>
    <w:p w14:paraId="7FD548F5"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Wykonawca będzie przeprowadzać pomiary i badania materiałów oraz robót z częstotliwością zapewniającą stwierdzenie, że roboty wykonano zgodnie z wymaganiami zawartymi w dokumentacji projektowej i ST.</w:t>
      </w:r>
    </w:p>
    <w:p w14:paraId="345CDBE9"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 przypadku, gdy nie zostały one tam określone, Inspektor nadzoru ustali jaki zakres kontroli jest konieczny, aby zapewnić wykonanie robót zgodnie z umową.</w:t>
      </w:r>
    </w:p>
    <w:p w14:paraId="696D4BB0"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Wszystkie koszty związane z organizowaniem i prowadzeniem badań materiałów i robót ponosi Wykonawca.</w:t>
      </w:r>
    </w:p>
    <w:p w14:paraId="20FD9B2C" w14:textId="77777777" w:rsidR="00AB2DB3" w:rsidRPr="00AB2DB3" w:rsidRDefault="00AB2DB3" w:rsidP="00BA0803">
      <w:pPr>
        <w:tabs>
          <w:tab w:val="left" w:pos="570"/>
        </w:tabs>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t>Szczegółowy wykaz oraz zakres pomontażowych badań kabli i przewodów zawarty jest w normach</w:t>
      </w:r>
      <w:r w:rsidRPr="00AB2DB3">
        <w:rPr>
          <w:rFonts w:ascii="Times New Roman" w:hAnsi="Times New Roman" w:cs="Times New Roman"/>
          <w:noProof/>
        </w:rPr>
        <w:t>.</w:t>
      </w:r>
    </w:p>
    <w:p w14:paraId="3C36A09B"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16BC27F0"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Ponadto należy wykonać sprawdzenia odbiorcze składające się z oględzin częściowych i końcowych polegających na kontroli:</w:t>
      </w:r>
    </w:p>
    <w:p w14:paraId="4B54DC8E"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hanging="283"/>
        <w:jc w:val="both"/>
        <w:rPr>
          <w:rFonts w:ascii="Times New Roman" w:hAnsi="Times New Roman" w:cs="Times New Roman"/>
          <w:noProof/>
          <w:lang w:val="x-none"/>
        </w:rPr>
      </w:pPr>
      <w:r w:rsidRPr="00AB2DB3">
        <w:rPr>
          <w:rFonts w:ascii="Times New Roman" w:hAnsi="Times New Roman" w:cs="Times New Roman"/>
          <w:noProof/>
          <w:lang w:val="x-none"/>
        </w:rPr>
        <w:t>zgodności dokumentacji powykonawczej z projektem i ze stanem faktycznym,</w:t>
      </w:r>
    </w:p>
    <w:p w14:paraId="119E2089"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hanging="283"/>
        <w:jc w:val="both"/>
        <w:rPr>
          <w:rFonts w:ascii="Times New Roman" w:hAnsi="Times New Roman" w:cs="Times New Roman"/>
          <w:noProof/>
          <w:lang w:val="x-none"/>
        </w:rPr>
      </w:pPr>
      <w:r w:rsidRPr="00AB2DB3">
        <w:rPr>
          <w:rFonts w:ascii="Times New Roman" w:hAnsi="Times New Roman" w:cs="Times New Roman"/>
          <w:noProof/>
          <w:lang w:val="x-none"/>
        </w:rPr>
        <w:t>jakości i zgodności wykonania robót z ustaloną w dokumentacji powykonawczej, normami, przepisami budowy oraz bhp,</w:t>
      </w:r>
    </w:p>
    <w:p w14:paraId="7A52DF4A"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hanging="283"/>
        <w:jc w:val="both"/>
        <w:rPr>
          <w:rFonts w:ascii="Times New Roman" w:hAnsi="Times New Roman" w:cs="Times New Roman"/>
          <w:noProof/>
          <w:lang w:val="x-none"/>
        </w:rPr>
      </w:pPr>
      <w:r w:rsidRPr="00AB2DB3">
        <w:rPr>
          <w:rFonts w:ascii="Times New Roman" w:hAnsi="Times New Roman" w:cs="Times New Roman"/>
          <w:noProof/>
          <w:lang w:val="x-none"/>
        </w:rPr>
        <w:t>poprawności wykonania i zabezpieczenia połączeń śrubowych instalacji elektrycznej potwierdzonych protokołem przez wykonawcę montażu,</w:t>
      </w:r>
    </w:p>
    <w:p w14:paraId="584D0A93"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hanging="283"/>
        <w:jc w:val="both"/>
        <w:rPr>
          <w:rFonts w:ascii="Times New Roman" w:hAnsi="Times New Roman" w:cs="Times New Roman"/>
          <w:noProof/>
          <w:lang w:val="x-none"/>
        </w:rPr>
      </w:pPr>
      <w:r w:rsidRPr="00AB2DB3">
        <w:rPr>
          <w:rFonts w:ascii="Times New Roman" w:hAnsi="Times New Roman" w:cs="Times New Roman"/>
          <w:noProof/>
          <w:lang w:val="x-none"/>
        </w:rPr>
        <w:t>pomiarach rezystancji uziemień i wszelkich innych wynikających z dokumentacji technicznej, norm, przepisów budowy i eksploatacji lub uzgodnień z Inwestorem.</w:t>
      </w:r>
    </w:p>
    <w:p w14:paraId="1E9B8A70" w14:textId="77777777" w:rsidR="00AB2DB3" w:rsidRPr="00AB2DB3" w:rsidRDefault="00AB2DB3" w:rsidP="00BA0803">
      <w:pPr>
        <w:tabs>
          <w:tab w:val="right" w:leader="dot" w:pos="9075"/>
        </w:tabs>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t>Po wykonaniu oględzin należy sporządzić protokoły z przeprowadzonych badań zgodnie z wymogami zawartymi w normie</w:t>
      </w:r>
      <w:r w:rsidRPr="00AB2DB3">
        <w:rPr>
          <w:rFonts w:ascii="Times New Roman" w:hAnsi="Times New Roman" w:cs="Times New Roman"/>
          <w:noProof/>
        </w:rPr>
        <w:t>.</w:t>
      </w:r>
    </w:p>
    <w:p w14:paraId="501AA6C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297D140F"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Zasady postępowania z wadliwie wykonanymi robotami i materiałami</w:t>
      </w:r>
    </w:p>
    <w:p w14:paraId="3E774F4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Wszystkie materiały, urządzenia i aparaty nie spełniające wymagań podanych w odpowiednich punktach </w:t>
      </w:r>
      <w:r w:rsidRPr="00AB2DB3">
        <w:rPr>
          <w:rFonts w:ascii="Times New Roman" w:hAnsi="Times New Roman" w:cs="Times New Roman"/>
          <w:noProof/>
        </w:rPr>
        <w:t xml:space="preserve">dokumentacji projektowej i </w:t>
      </w:r>
      <w:r w:rsidRPr="00AB2DB3">
        <w:rPr>
          <w:rFonts w:ascii="Times New Roman" w:hAnsi="Times New Roman" w:cs="Times New Roman"/>
          <w:noProof/>
          <w:lang w:val="x-none"/>
        </w:rPr>
        <w:t>specyfikacji, zostaną odrzucone. Jeśli materiały nie spełniające wymagań zostały wbudowane lub zastosowane, to na polecenie Inspektora nadzoru Wykonawca wymieni je na właściwe, na własny koszt.</w:t>
      </w:r>
    </w:p>
    <w:p w14:paraId="022929B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Na pisemne wystąpienie Wykonawcy Inspektor nadzoru może uznać wadę za niemającą zasadniczego wpływu na jakość funkcjonowania instalacji i ustalić zakres i wielkość potrąceń za obniżoną jakość.</w:t>
      </w:r>
    </w:p>
    <w:p w14:paraId="0033146D"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42A34821"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WYMAGANIA DOTYCZĄCE PRZEDMIARU I OBMIARU ROBÓT</w:t>
      </w:r>
    </w:p>
    <w:p w14:paraId="0D13031C" w14:textId="77777777" w:rsidR="00AB2DB3" w:rsidRPr="00AB2DB3" w:rsidRDefault="00AB2DB3" w:rsidP="00904E6C">
      <w:pPr>
        <w:pStyle w:val="Akapitzlist"/>
        <w:numPr>
          <w:ilvl w:val="0"/>
          <w:numId w:val="307"/>
        </w:numPr>
        <w:overflowPunct/>
        <w:spacing w:before="15" w:after="45"/>
        <w:contextualSpacing w:val="0"/>
        <w:textAlignment w:val="auto"/>
        <w:rPr>
          <w:b/>
          <w:bCs/>
          <w:noProof/>
          <w:vanish/>
          <w:sz w:val="22"/>
          <w:szCs w:val="22"/>
          <w:lang w:val="x-none"/>
        </w:rPr>
      </w:pPr>
    </w:p>
    <w:p w14:paraId="2D6B0CAF"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rPr>
        <w:t>Z</w:t>
      </w:r>
      <w:r w:rsidRPr="00AB2DB3">
        <w:rPr>
          <w:rFonts w:ascii="Times New Roman" w:hAnsi="Times New Roman" w:cs="Times New Roman"/>
          <w:b/>
          <w:bCs/>
          <w:noProof/>
          <w:lang w:val="x-none"/>
        </w:rPr>
        <w:t xml:space="preserve">asady przedmiaru i obmiaru </w:t>
      </w:r>
    </w:p>
    <w:p w14:paraId="7ED2624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Obmiar robót będzie określać faktyczny zakres wykonywanych robót, zgodnie z dokumentacją projektową i ST, w jednostkach ustalonych w kosztorysie.</w:t>
      </w:r>
    </w:p>
    <w:p w14:paraId="6811FDCF"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lastRenderedPageBreak/>
        <w:t>Obmiaru robót dokonuje Wykonawca po pisemnym powiadomieniu Inspektora nadzoru o zakresie obmierzanych robót i terminie obmiaru, co najmniej na 3 dni przed tym terminem.</w:t>
      </w:r>
    </w:p>
    <w:p w14:paraId="1542E65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Wyniki obmiaru będą wpisane do książki obmiarów.</w:t>
      </w:r>
    </w:p>
    <w:p w14:paraId="428A450F"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Jakikolwiek błąd lub przeoczenie (opuszczenie) w ilości robót podanych w kosztorysie ofertowym lub gdzie indziej w ST nie zwalnia Wykonawcy od obowiązku ukończenia wszystkich robót. Błędne dane zostaną poprawione wg ustaleń Inspektora nadzoru na piśmie. Obmiar gotowych robót przeprowadzony z częstością wymaganą do celu miesięcznej płatności na rzecz Wykonawcy lub w innym czasie określonym w umowie.</w:t>
      </w:r>
    </w:p>
    <w:p w14:paraId="4D881A8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Jednostki obmiaru powinny być zgodne z jednostkami określonymi w dokumentacji projektowej i kosztorysowej oraz przedmiarze robót.</w:t>
      </w:r>
    </w:p>
    <w:p w14:paraId="796F85B6"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Szczegółowe zasady przedmiaru i obmiaru robót montażowych instalacji linii kablowych</w:t>
      </w:r>
    </w:p>
    <w:p w14:paraId="466985F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Obmiaru robót dokonuje się z natury (wykonanej roboty) przyjmując jednostki miary odpowiadające zawartym w dokumentacji i tak:</w:t>
      </w:r>
    </w:p>
    <w:p w14:paraId="5944148A"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dla konstrukcji wsporczych: szt., kpl., kg, t,</w:t>
      </w:r>
    </w:p>
    <w:p w14:paraId="23D4CF7F"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dla kabli: km, m lub kpl.,</w:t>
      </w:r>
    </w:p>
    <w:p w14:paraId="3628FB0D"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dla osprzętu linii: szt., kpl.,</w:t>
      </w:r>
    </w:p>
    <w:p w14:paraId="5D33F93D"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dla robót ziemnych: m lub m</w:t>
      </w:r>
      <w:r w:rsidRPr="00AB2DB3">
        <w:rPr>
          <w:rFonts w:ascii="Times New Roman" w:hAnsi="Times New Roman" w:cs="Times New Roman"/>
          <w:noProof/>
          <w:vertAlign w:val="superscript"/>
          <w:lang w:val="x-none"/>
        </w:rPr>
        <w:t>3</w:t>
      </w:r>
      <w:r w:rsidRPr="00AB2DB3">
        <w:rPr>
          <w:rFonts w:ascii="Times New Roman" w:hAnsi="Times New Roman" w:cs="Times New Roman"/>
          <w:noProof/>
          <w:lang w:val="x-none"/>
        </w:rPr>
        <w:t>.</w:t>
      </w:r>
    </w:p>
    <w:p w14:paraId="2DED78FF" w14:textId="77777777" w:rsidR="00AB2DB3" w:rsidRPr="00AB2DB3" w:rsidRDefault="00AB2DB3" w:rsidP="00BA0803">
      <w:pPr>
        <w:autoSpaceDE w:val="0"/>
        <w:autoSpaceDN w:val="0"/>
        <w:adjustRightInd w:val="0"/>
        <w:spacing w:before="15" w:after="45"/>
        <w:jc w:val="both"/>
        <w:rPr>
          <w:rFonts w:ascii="Times New Roman" w:hAnsi="Times New Roman" w:cs="Times New Roman"/>
          <w:b/>
          <w:bCs/>
          <w:strike/>
          <w:noProof/>
          <w:lang w:val="x-none"/>
        </w:rPr>
      </w:pPr>
    </w:p>
    <w:p w14:paraId="0A478E54"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SPOSÓB ODBIORU ROBÓT</w:t>
      </w:r>
    </w:p>
    <w:p w14:paraId="762BEF20" w14:textId="77777777" w:rsidR="00AB2DB3" w:rsidRPr="00AB2DB3" w:rsidRDefault="00AB2DB3" w:rsidP="00904E6C">
      <w:pPr>
        <w:pStyle w:val="Akapitzlist"/>
        <w:numPr>
          <w:ilvl w:val="0"/>
          <w:numId w:val="307"/>
        </w:numPr>
        <w:overflowPunct/>
        <w:spacing w:before="15" w:after="45"/>
        <w:contextualSpacing w:val="0"/>
        <w:textAlignment w:val="auto"/>
        <w:rPr>
          <w:b/>
          <w:bCs/>
          <w:noProof/>
          <w:vanish/>
          <w:sz w:val="22"/>
          <w:szCs w:val="22"/>
          <w:lang w:val="x-none"/>
        </w:rPr>
      </w:pPr>
    </w:p>
    <w:p w14:paraId="0E818AD3"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Warunki odbioru instalacji energetycznych i urządzeń</w:t>
      </w:r>
    </w:p>
    <w:p w14:paraId="1AB77F38" w14:textId="77777777" w:rsidR="00AB2DB3" w:rsidRPr="00AB2DB3" w:rsidRDefault="00AB2DB3" w:rsidP="00BA0803">
      <w:pPr>
        <w:autoSpaceDE w:val="0"/>
        <w:autoSpaceDN w:val="0"/>
        <w:adjustRightInd w:val="0"/>
        <w:spacing w:before="15" w:after="45"/>
        <w:jc w:val="both"/>
        <w:rPr>
          <w:rFonts w:ascii="Times New Roman" w:hAnsi="Times New Roman" w:cs="Times New Roman"/>
          <w:b/>
          <w:noProof/>
          <w:lang w:val="x-none"/>
        </w:rPr>
      </w:pPr>
      <w:r w:rsidRPr="00AB2DB3">
        <w:rPr>
          <w:rFonts w:ascii="Times New Roman" w:hAnsi="Times New Roman" w:cs="Times New Roman"/>
          <w:b/>
          <w:bCs/>
          <w:noProof/>
          <w:lang w:val="x-none"/>
        </w:rPr>
        <w:t xml:space="preserve">8.2.2. </w:t>
      </w:r>
      <w:r w:rsidRPr="00AB2DB3">
        <w:rPr>
          <w:rFonts w:ascii="Times New Roman" w:hAnsi="Times New Roman" w:cs="Times New Roman"/>
          <w:b/>
          <w:noProof/>
          <w:lang w:val="x-none"/>
        </w:rPr>
        <w:t>Odbiór częściowy</w:t>
      </w:r>
    </w:p>
    <w:p w14:paraId="0C985486"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Należy przeprowadzić badanie pomontażowe częściowe robót zanikających oraz elementów urządzeń, które ulegają zakryciu (np. wszelkie roboty zanikające), uniemożliwiając ocenę prawidłowości ich wykonania po całkowitym ukończeniu prac.</w:t>
      </w:r>
    </w:p>
    <w:p w14:paraId="4AEF4F9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Podczas odbioru należy sprawdzić prawidłowość montażu oraz zgodność z obowiązującymi przepisami i projektem:</w:t>
      </w:r>
    </w:p>
    <w:p w14:paraId="59CDA641"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wydzielonych instalacji np. instalacja uziemiająca,</w:t>
      </w:r>
    </w:p>
    <w:p w14:paraId="416FE740" w14:textId="77777777" w:rsidR="00AB2DB3" w:rsidRPr="00AB2DB3" w:rsidRDefault="00AB2DB3" w:rsidP="00BA0803">
      <w:pPr>
        <w:autoSpaceDE w:val="0"/>
        <w:autoSpaceDN w:val="0"/>
        <w:adjustRightInd w:val="0"/>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wykonanie wykopów, jakość i prawidłowość wykonania fundamentów.</w:t>
      </w:r>
    </w:p>
    <w:p w14:paraId="7D0761B5"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1F3C4655" w14:textId="77777777" w:rsidR="00AB2DB3" w:rsidRPr="00AB2DB3" w:rsidRDefault="00AB2DB3" w:rsidP="00BA0803">
      <w:pPr>
        <w:autoSpaceDE w:val="0"/>
        <w:autoSpaceDN w:val="0"/>
        <w:adjustRightInd w:val="0"/>
        <w:spacing w:before="15" w:after="45"/>
        <w:jc w:val="both"/>
        <w:rPr>
          <w:rFonts w:ascii="Times New Roman" w:hAnsi="Times New Roman" w:cs="Times New Roman"/>
          <w:b/>
          <w:noProof/>
          <w:lang w:val="x-none"/>
        </w:rPr>
      </w:pPr>
      <w:r w:rsidRPr="00AB2DB3">
        <w:rPr>
          <w:rFonts w:ascii="Times New Roman" w:hAnsi="Times New Roman" w:cs="Times New Roman"/>
          <w:b/>
          <w:bCs/>
          <w:noProof/>
          <w:lang w:val="x-none"/>
        </w:rPr>
        <w:t xml:space="preserve">8.2.3. </w:t>
      </w:r>
      <w:r w:rsidRPr="00AB2DB3">
        <w:rPr>
          <w:rFonts w:ascii="Times New Roman" w:hAnsi="Times New Roman" w:cs="Times New Roman"/>
          <w:b/>
          <w:noProof/>
          <w:lang w:val="x-none"/>
        </w:rPr>
        <w:t>Odbiór końcowy</w:t>
      </w:r>
    </w:p>
    <w:p w14:paraId="6662DBC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Badania pomontażowe jako techniczne sprawdzenie jakości wykonanych robót należy przeprowadzić po zakończeniu robót elektrycznych przed przekazaniem użytkownikowi całości linii elektroenergetycznych.</w:t>
      </w:r>
    </w:p>
    <w:p w14:paraId="79975F2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rPr>
      </w:pPr>
      <w:r w:rsidRPr="00AB2DB3">
        <w:rPr>
          <w:rFonts w:ascii="Times New Roman" w:hAnsi="Times New Roman" w:cs="Times New Roman"/>
          <w:noProof/>
          <w:lang w:val="x-none"/>
        </w:rPr>
        <w:t>Parametry badań oraz sposób przeprowadzenia badań są określone w normach PN</w:t>
      </w:r>
      <w:r w:rsidRPr="00AB2DB3">
        <w:rPr>
          <w:rFonts w:ascii="Times New Roman" w:hAnsi="Times New Roman" w:cs="Times New Roman"/>
          <w:noProof/>
        </w:rPr>
        <w:t>.</w:t>
      </w:r>
    </w:p>
    <w:p w14:paraId="3F29410A"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Wyniki badań trzeba zamieścić w protokole odbioru końcowego.</w:t>
      </w:r>
    </w:p>
    <w:p w14:paraId="2CB1048F" w14:textId="77777777" w:rsidR="00AB2DB3" w:rsidRPr="00AB2DB3" w:rsidRDefault="00AB2DB3" w:rsidP="00BA0803">
      <w:pPr>
        <w:tabs>
          <w:tab w:val="left" w:pos="285"/>
        </w:tabs>
        <w:autoSpaceDE w:val="0"/>
        <w:autoSpaceDN w:val="0"/>
        <w:adjustRightInd w:val="0"/>
        <w:spacing w:before="15" w:after="45"/>
        <w:jc w:val="both"/>
        <w:rPr>
          <w:rFonts w:ascii="Times New Roman" w:hAnsi="Times New Roman" w:cs="Times New Roman"/>
          <w:noProof/>
          <w:lang w:val="x-none"/>
        </w:rPr>
      </w:pPr>
    </w:p>
    <w:p w14:paraId="1E08B951"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PODSTAWA ROZLICZENIA ROBÓT</w:t>
      </w:r>
    </w:p>
    <w:p w14:paraId="4FBA2A52" w14:textId="77777777" w:rsidR="00AB2DB3" w:rsidRPr="00AB2DB3" w:rsidRDefault="00AB2DB3" w:rsidP="00904E6C">
      <w:pPr>
        <w:pStyle w:val="Akapitzlist"/>
        <w:numPr>
          <w:ilvl w:val="0"/>
          <w:numId w:val="307"/>
        </w:numPr>
        <w:overflowPunct/>
        <w:spacing w:before="45" w:after="45"/>
        <w:contextualSpacing w:val="0"/>
        <w:jc w:val="left"/>
        <w:textAlignment w:val="auto"/>
        <w:rPr>
          <w:b/>
          <w:bCs/>
          <w:noProof/>
          <w:vanish/>
          <w:sz w:val="22"/>
          <w:szCs w:val="22"/>
          <w:lang w:val="x-none"/>
        </w:rPr>
      </w:pPr>
    </w:p>
    <w:p w14:paraId="33F67A16"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Zasady rozliczenia i płatności</w:t>
      </w:r>
    </w:p>
    <w:p w14:paraId="11B65FD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Rozliczenie robót montażowych linii i instalacji elektroenergetycznych może być dokonane jednorazowo po wykonaniu pełnego zakresu robót i ich końcowym odbiorze lub etapami określonymi w umowie, po dokonaniu odbiorów częściowych robót.</w:t>
      </w:r>
    </w:p>
    <w:p w14:paraId="1C88217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Ostateczne rozliczenie umowy pomiędzy zamawiającym a wykonawcą następuje po dokonaniu odbioru pogwarancyjnego.</w:t>
      </w:r>
    </w:p>
    <w:p w14:paraId="2D77871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Podstawę rozliczenia oraz płatności wykonanego i odebranego zakresu robót stanowi wartość tych robót obliczona na podstawie:</w:t>
      </w:r>
    </w:p>
    <w:p w14:paraId="5D86B9E0"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określonych w dokumentach umownych (ofercie) cen jednostkowych i ilości robót zaakceptowanych przez zamawiającego lub</w:t>
      </w:r>
    </w:p>
    <w:p w14:paraId="1495A084"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lastRenderedPageBreak/>
        <w:t>ustalonej w umowie kwoty ryczałtowej za określony zakres robót.</w:t>
      </w:r>
    </w:p>
    <w:p w14:paraId="4B3BAF22"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Ceny jednostkowe wykonania robót instalacji elektroenergetycznych lub kwoty ryczałtowe obejmujące roboty ww. uwzględniają:</w:t>
      </w:r>
    </w:p>
    <w:p w14:paraId="4BBA9A9F"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przygotowanie stanowiska roboczego,</w:t>
      </w:r>
    </w:p>
    <w:p w14:paraId="50CA957C"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dostarczenie do stanowiska roboczego materiałów, narzędzi i sprzętu,</w:t>
      </w:r>
    </w:p>
    <w:p w14:paraId="06D59A14"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obsługę sprzętu nie posiadającego etatowej obsługi,</w:t>
      </w:r>
    </w:p>
    <w:p w14:paraId="4B84B78C"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ustawienie i przestawienie drabin oraz lekkich rusztowań przestawnych umożliwiających wykonanie robót na wysokości do 4 m (jeśli taka konieczność występuje),</w:t>
      </w:r>
    </w:p>
    <w:p w14:paraId="3D825E3C"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usunięcie wad i usterek oraz naprawienie uszkodzeń powstałych w czasie robót,</w:t>
      </w:r>
    </w:p>
    <w:p w14:paraId="4D65FE9C"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uporządkowanie miejsca wykonywania robót,</w:t>
      </w:r>
    </w:p>
    <w:p w14:paraId="5CE58634"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usunięcie pozostałości, resztek i odpadów materiałów w sposób podany w specyfikacji technicznej szczegółowej,</w:t>
      </w:r>
    </w:p>
    <w:p w14:paraId="6C5A696E" w14:textId="77777777" w:rsidR="00AB2DB3" w:rsidRPr="00AB2DB3" w:rsidRDefault="00AB2DB3" w:rsidP="00904E6C">
      <w:pPr>
        <w:numPr>
          <w:ilvl w:val="2"/>
          <w:numId w:val="304"/>
        </w:numPr>
        <w:tabs>
          <w:tab w:val="clear" w:pos="1800"/>
          <w:tab w:val="num" w:pos="709"/>
        </w:tabs>
        <w:autoSpaceDE w:val="0"/>
        <w:autoSpaceDN w:val="0"/>
        <w:adjustRightInd w:val="0"/>
        <w:spacing w:before="15" w:after="45" w:line="240" w:lineRule="auto"/>
        <w:ind w:left="709"/>
        <w:jc w:val="both"/>
        <w:rPr>
          <w:rFonts w:ascii="Times New Roman" w:hAnsi="Times New Roman" w:cs="Times New Roman"/>
          <w:noProof/>
          <w:lang w:val="x-none"/>
        </w:rPr>
      </w:pPr>
      <w:r w:rsidRPr="00AB2DB3">
        <w:rPr>
          <w:rFonts w:ascii="Times New Roman" w:hAnsi="Times New Roman" w:cs="Times New Roman"/>
          <w:noProof/>
          <w:lang w:val="x-none"/>
        </w:rPr>
        <w:t>likwidację stanowiska roboczego.</w:t>
      </w:r>
    </w:p>
    <w:p w14:paraId="638B9A6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 kwotach ryczałtowych ujęte są również koszty montażu, demontażu i pracy rusztowań niezbędnych do wykonania robót na wysokości do 4 m od poziomu terenu.</w:t>
      </w:r>
    </w:p>
    <w:p w14:paraId="7DAFE5A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6009BE8F" w14:textId="77777777" w:rsidR="00AB2DB3" w:rsidRPr="00AB2DB3" w:rsidRDefault="00AB2DB3" w:rsidP="00904E6C">
      <w:pPr>
        <w:pStyle w:val="Nagwek1"/>
        <w:numPr>
          <w:ilvl w:val="0"/>
          <w:numId w:val="306"/>
        </w:numPr>
        <w:tabs>
          <w:tab w:val="clear" w:pos="-1725"/>
          <w:tab w:val="clear" w:pos="-1440"/>
          <w:tab w:val="clear" w:pos="-1005"/>
          <w:tab w:val="clear" w:pos="-720"/>
          <w:tab w:val="clear" w:pos="-285"/>
          <w:tab w:val="clear" w:pos="284"/>
          <w:tab w:val="clear" w:pos="360"/>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autoSpaceDE w:val="0"/>
        <w:spacing w:before="0" w:after="0" w:line="240" w:lineRule="auto"/>
        <w:ind w:left="0" w:firstLine="0"/>
        <w:rPr>
          <w:kern w:val="0"/>
          <w:sz w:val="22"/>
          <w:szCs w:val="22"/>
          <w:lang w:val="pl-PL" w:eastAsia="ar-SA"/>
        </w:rPr>
      </w:pPr>
      <w:r w:rsidRPr="00AB2DB3">
        <w:rPr>
          <w:kern w:val="0"/>
          <w:sz w:val="22"/>
          <w:szCs w:val="22"/>
          <w:lang w:val="pl-PL" w:eastAsia="ar-SA"/>
        </w:rPr>
        <w:t>DOKUMENTY ODNIESIENIA</w:t>
      </w:r>
    </w:p>
    <w:p w14:paraId="70E0690F" w14:textId="77777777" w:rsidR="00AB2DB3" w:rsidRPr="00AB2DB3" w:rsidRDefault="00AB2DB3" w:rsidP="00904E6C">
      <w:pPr>
        <w:pStyle w:val="Akapitzlist"/>
        <w:numPr>
          <w:ilvl w:val="0"/>
          <w:numId w:val="307"/>
        </w:numPr>
        <w:overflowPunct/>
        <w:spacing w:before="15" w:after="45"/>
        <w:contextualSpacing w:val="0"/>
        <w:textAlignment w:val="auto"/>
        <w:rPr>
          <w:b/>
          <w:bCs/>
          <w:noProof/>
          <w:vanish/>
          <w:sz w:val="22"/>
          <w:szCs w:val="22"/>
          <w:lang w:val="x-none"/>
        </w:rPr>
      </w:pPr>
    </w:p>
    <w:p w14:paraId="6C2B60FA"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Normy</w:t>
      </w:r>
      <w:r w:rsidRPr="00AB2DB3">
        <w:rPr>
          <w:rFonts w:ascii="Times New Roman" w:hAnsi="Times New Roman" w:cs="Times New Roman"/>
          <w:b/>
          <w:bCs/>
          <w:noProof/>
        </w:rPr>
        <w:t xml:space="preserve"> (z późniejszymi zmianami i aktualizacjami)</w:t>
      </w:r>
    </w:p>
    <w:p w14:paraId="573452D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PN-IEC 60050(604):1999</w:t>
      </w:r>
      <w:r w:rsidRPr="00AB2DB3">
        <w:rPr>
          <w:rFonts w:ascii="Times New Roman" w:hAnsi="Times New Roman" w:cs="Times New Roman"/>
          <w:noProof/>
        </w:rPr>
        <w:t xml:space="preserve"> </w:t>
      </w:r>
      <w:r w:rsidRPr="00AB2DB3">
        <w:rPr>
          <w:rFonts w:ascii="Times New Roman" w:hAnsi="Times New Roman" w:cs="Times New Roman"/>
          <w:noProof/>
          <w:lang w:val="x-none"/>
        </w:rPr>
        <w:t>Międzynarodowy słownik terminologiczny elektryki – Wytwarzanie, przesyłanie i rozdzielanie energii elektrycznej – Eksploatacja.</w:t>
      </w:r>
    </w:p>
    <w:p w14:paraId="0D5A5A2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62271-200:2007Rozdzielnice prądu przemiennego w osłonach metalowych na napięcia znamionowe powyżej 1 kV do 52 kV włącznie.</w:t>
      </w:r>
    </w:p>
    <w:p w14:paraId="5E42049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62271-200: Wysokonapięciowa aparatura rozdzielcza i sterownicza -- Część 200: Rozdzielnice prądu przemiennego w osłonach metalowych na napięcie znamionowe powyżej 1 kV do 52 kV włącznie.</w:t>
      </w:r>
    </w:p>
    <w:p w14:paraId="25B67D4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60439-1:2003</w:t>
      </w:r>
      <w:r w:rsidRPr="00AB2DB3">
        <w:rPr>
          <w:rFonts w:ascii="Times New Roman" w:hAnsi="Times New Roman" w:cs="Times New Roman"/>
          <w:noProof/>
        </w:rPr>
        <w:t xml:space="preserve"> </w:t>
      </w:r>
      <w:r w:rsidRPr="00AB2DB3">
        <w:rPr>
          <w:rFonts w:ascii="Times New Roman" w:hAnsi="Times New Roman" w:cs="Times New Roman"/>
          <w:noProof/>
          <w:lang w:val="x-none"/>
        </w:rPr>
        <w:t>Rozdzielnice i sterownice niskonapięciowe – Część 1: Zestawy badane w pełnym i niepełnym zakresie badań typu.</w:t>
      </w:r>
    </w:p>
    <w:p w14:paraId="64EFF822"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60439-1:2003/A1:2006</w:t>
      </w:r>
      <w:r w:rsidRPr="00AB2DB3">
        <w:rPr>
          <w:rFonts w:ascii="Times New Roman" w:hAnsi="Times New Roman" w:cs="Times New Roman"/>
          <w:noProof/>
        </w:rPr>
        <w:t xml:space="preserve"> </w:t>
      </w:r>
      <w:r w:rsidRPr="00AB2DB3">
        <w:rPr>
          <w:rFonts w:ascii="Times New Roman" w:hAnsi="Times New Roman" w:cs="Times New Roman"/>
          <w:noProof/>
          <w:lang w:val="x-none"/>
        </w:rPr>
        <w:t>Rozdzielnice i sterownice niskonapięciowe – Część 1: Zestawy badane w pełnym i niepełnym zakresie badań typu.</w:t>
      </w:r>
    </w:p>
    <w:p w14:paraId="650F222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PN-IEC 60466:2000</w:t>
      </w:r>
      <w:r w:rsidRPr="00AB2DB3">
        <w:rPr>
          <w:rFonts w:ascii="Times New Roman" w:hAnsi="Times New Roman" w:cs="Times New Roman"/>
          <w:noProof/>
        </w:rPr>
        <w:t xml:space="preserve"> </w:t>
      </w:r>
      <w:r w:rsidRPr="00AB2DB3">
        <w:rPr>
          <w:rFonts w:ascii="Times New Roman" w:hAnsi="Times New Roman" w:cs="Times New Roman"/>
          <w:noProof/>
          <w:lang w:val="x-none"/>
        </w:rPr>
        <w:t>Rozdzielnice prądu przemiennego w osłonach izolacyjnych na napięcia znamionowe wyższe niż 1 kV do 38 kV włącznie.</w:t>
      </w:r>
    </w:p>
    <w:p w14:paraId="109EA21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62271-200:200</w:t>
      </w:r>
      <w:r w:rsidRPr="00AB2DB3">
        <w:rPr>
          <w:rFonts w:ascii="Times New Roman" w:hAnsi="Times New Roman" w:cs="Times New Roman"/>
          <w:noProof/>
        </w:rPr>
        <w:t>7</w:t>
      </w:r>
      <w:r w:rsidRPr="00AB2DB3">
        <w:rPr>
          <w:rFonts w:ascii="Times New Roman" w:hAnsi="Times New Roman" w:cs="Times New Roman"/>
          <w:noProof/>
          <w:lang w:val="x-none"/>
        </w:rPr>
        <w:t xml:space="preserve"> (U)</w:t>
      </w:r>
      <w:r w:rsidRPr="00AB2DB3">
        <w:rPr>
          <w:rFonts w:ascii="Times New Roman" w:hAnsi="Times New Roman" w:cs="Times New Roman"/>
          <w:noProof/>
        </w:rPr>
        <w:t xml:space="preserve"> </w:t>
      </w:r>
      <w:r w:rsidRPr="00AB2DB3">
        <w:rPr>
          <w:rFonts w:ascii="Times New Roman" w:hAnsi="Times New Roman" w:cs="Times New Roman"/>
          <w:noProof/>
          <w:lang w:val="x-none"/>
        </w:rPr>
        <w:t>Wysokonapięciowa aparatura rozdzielcza i sterownicza – Część 200: Rozdzielnice prądu przemiennego w osłonach metalowych na napięcie znamionowe wyższe niż 1 kV do 52 kV włącznie.</w:t>
      </w:r>
    </w:p>
    <w:p w14:paraId="30BD175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60446:2004</w:t>
      </w:r>
      <w:r w:rsidRPr="00AB2DB3">
        <w:rPr>
          <w:rFonts w:ascii="Times New Roman" w:hAnsi="Times New Roman" w:cs="Times New Roman"/>
          <w:noProof/>
        </w:rPr>
        <w:t xml:space="preserve"> </w:t>
      </w:r>
      <w:r w:rsidRPr="00AB2DB3">
        <w:rPr>
          <w:rFonts w:ascii="Times New Roman" w:hAnsi="Times New Roman" w:cs="Times New Roman"/>
          <w:noProof/>
          <w:lang w:val="x-none"/>
        </w:rPr>
        <w:t>Zasady podstawowe i bezpieczeństwa przy współdziałaniu człowieka z maszyną, oznaczanie i identyfikacja – Oznaczenia identyfikacyjne przewodów barwami albo cyframi.</w:t>
      </w:r>
    </w:p>
    <w:p w14:paraId="6135F77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PN-90/E-05029 Kod do oznaczania barw.</w:t>
      </w:r>
    </w:p>
    <w:p w14:paraId="6E628DC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PN-IEC 60364-6:200</w:t>
      </w:r>
      <w:r w:rsidRPr="00AB2DB3">
        <w:rPr>
          <w:rFonts w:ascii="Times New Roman" w:hAnsi="Times New Roman" w:cs="Times New Roman"/>
          <w:noProof/>
        </w:rPr>
        <w:t xml:space="preserve">8 </w:t>
      </w:r>
      <w:r w:rsidRPr="00AB2DB3">
        <w:rPr>
          <w:rFonts w:ascii="Times New Roman" w:hAnsi="Times New Roman" w:cs="Times New Roman"/>
          <w:noProof/>
          <w:lang w:val="x-none"/>
        </w:rPr>
        <w:t xml:space="preserve">Instalacje elektryczne </w:t>
      </w:r>
      <w:r w:rsidRPr="00AB2DB3">
        <w:rPr>
          <w:rFonts w:ascii="Times New Roman" w:hAnsi="Times New Roman" w:cs="Times New Roman"/>
          <w:noProof/>
        </w:rPr>
        <w:t>niskiego napięcia</w:t>
      </w:r>
      <w:r w:rsidRPr="00AB2DB3">
        <w:rPr>
          <w:rFonts w:ascii="Times New Roman" w:hAnsi="Times New Roman" w:cs="Times New Roman"/>
          <w:noProof/>
          <w:lang w:val="x-none"/>
        </w:rPr>
        <w:t xml:space="preserve"> – </w:t>
      </w:r>
      <w:r w:rsidRPr="00AB2DB3">
        <w:rPr>
          <w:rFonts w:ascii="Times New Roman" w:hAnsi="Times New Roman" w:cs="Times New Roman"/>
          <w:noProof/>
        </w:rPr>
        <w:t xml:space="preserve">Część 6: </w:t>
      </w:r>
      <w:r w:rsidRPr="00AB2DB3">
        <w:rPr>
          <w:rFonts w:ascii="Times New Roman" w:hAnsi="Times New Roman" w:cs="Times New Roman"/>
          <w:noProof/>
          <w:lang w:val="x-none"/>
        </w:rPr>
        <w:t>Sprawdzanie.</w:t>
      </w:r>
    </w:p>
    <w:p w14:paraId="55E6026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PN-E-04700:1998/Az1:2000</w:t>
      </w:r>
      <w:r w:rsidRPr="00AB2DB3">
        <w:rPr>
          <w:rFonts w:ascii="Times New Roman" w:hAnsi="Times New Roman" w:cs="Times New Roman"/>
          <w:noProof/>
        </w:rPr>
        <w:t xml:space="preserve"> </w:t>
      </w:r>
      <w:r w:rsidRPr="00AB2DB3">
        <w:rPr>
          <w:rFonts w:ascii="Times New Roman" w:hAnsi="Times New Roman" w:cs="Times New Roman"/>
          <w:noProof/>
          <w:lang w:val="x-none"/>
        </w:rPr>
        <w:t>Urządzenia i układy elektryczne w obiektach elektroenergetycznych – Wytyczne przeprowadzania pomontażowych badań odbiorczych.</w:t>
      </w:r>
    </w:p>
    <w:p w14:paraId="73F8089B"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N SEP-E-0004</w:t>
      </w:r>
      <w:r w:rsidRPr="00AB2DB3">
        <w:rPr>
          <w:rFonts w:ascii="Times New Roman" w:hAnsi="Times New Roman" w:cs="Times New Roman"/>
          <w:noProof/>
        </w:rPr>
        <w:t xml:space="preserve"> </w:t>
      </w:r>
      <w:r w:rsidRPr="00AB2DB3">
        <w:rPr>
          <w:rFonts w:ascii="Times New Roman" w:hAnsi="Times New Roman" w:cs="Times New Roman"/>
          <w:noProof/>
          <w:lang w:val="x-none"/>
        </w:rPr>
        <w:t>Elektroenergetyczne i sygnalizacyjne linie kablowe. Projektowanie i budowa.</w:t>
      </w:r>
    </w:p>
    <w:p w14:paraId="0D6F0990"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PN-90/E-06401.01</w:t>
      </w:r>
      <w:r w:rsidRPr="00AB2DB3">
        <w:rPr>
          <w:rFonts w:ascii="Times New Roman" w:hAnsi="Times New Roman" w:cs="Times New Roman"/>
          <w:noProof/>
        </w:rPr>
        <w:t xml:space="preserve"> </w:t>
      </w:r>
      <w:r w:rsidRPr="00AB2DB3">
        <w:rPr>
          <w:rFonts w:ascii="Times New Roman" w:hAnsi="Times New Roman" w:cs="Times New Roman"/>
          <w:noProof/>
          <w:lang w:val="x-none"/>
        </w:rPr>
        <w:t>Elektroenergetyczne i sygnalizacyjne linie kablowe. Osprzęt do kabli o napięciu znamionowym nie przekraczającym 30 kV. Postanowienia ogólne.</w:t>
      </w:r>
    </w:p>
    <w:p w14:paraId="77CE9879"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PN-90/E-06401.02 Elektroenergetyczne i sygnalizacyjne linie kablowe. Osprzęt do kabli o napięciu znamionowym nie przekraczającym 30 kV. Połączenia i zakończenia żył.</w:t>
      </w:r>
    </w:p>
    <w:p w14:paraId="4BBC5EE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PN-90/E-06401.03</w:t>
      </w:r>
      <w:r w:rsidRPr="00AB2DB3">
        <w:rPr>
          <w:rFonts w:ascii="Times New Roman" w:hAnsi="Times New Roman" w:cs="Times New Roman"/>
          <w:noProof/>
        </w:rPr>
        <w:t xml:space="preserve"> </w:t>
      </w:r>
      <w:r w:rsidRPr="00AB2DB3">
        <w:rPr>
          <w:rFonts w:ascii="Times New Roman" w:hAnsi="Times New Roman" w:cs="Times New Roman"/>
          <w:noProof/>
          <w:lang w:val="x-none"/>
        </w:rPr>
        <w:t>Elektroenergetyczne i sygnalizacyjne linie kablowe. Osprzęt do kabli o napięciu znamionowym nie przekraczającym 30 kV. Mufy przelotowe na napięcie nie przekraczające 0,6/1 kV.</w:t>
      </w:r>
    </w:p>
    <w:p w14:paraId="1490C092"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lastRenderedPageBreak/>
        <w:t>PN-90/E-06401.04 Elektroenergetyczne i sygnalizacyjne linie kablowe. Osprzęt do kabli o napięciu znamionowym nie przekraczającym 30 kV. Mufy przelotowe na napięcie powyżej 0,6/1 kV.</w:t>
      </w:r>
    </w:p>
    <w:p w14:paraId="10386AE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PN-90/E-06401.05</w:t>
      </w:r>
      <w:r w:rsidRPr="00AB2DB3">
        <w:rPr>
          <w:rFonts w:ascii="Times New Roman" w:hAnsi="Times New Roman" w:cs="Times New Roman"/>
          <w:noProof/>
        </w:rPr>
        <w:t xml:space="preserve"> </w:t>
      </w:r>
      <w:r w:rsidRPr="00AB2DB3">
        <w:rPr>
          <w:rFonts w:ascii="Times New Roman" w:hAnsi="Times New Roman" w:cs="Times New Roman"/>
          <w:noProof/>
          <w:lang w:val="x-none"/>
        </w:rPr>
        <w:t>Elektroenergetyczne i sygnalizacyjne linie kablowe. Osprzęt do kabli o napięciu znamionowym nie przekraczającym 30 kV. Głowice wnętrzowe na napięcie powyżej 0,6/1 kV.</w:t>
      </w:r>
    </w:p>
    <w:p w14:paraId="5F6A96F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PN-90/E-06401.06</w:t>
      </w:r>
      <w:r w:rsidRPr="00AB2DB3">
        <w:rPr>
          <w:rFonts w:ascii="Times New Roman" w:hAnsi="Times New Roman" w:cs="Times New Roman"/>
          <w:noProof/>
        </w:rPr>
        <w:t xml:space="preserve"> </w:t>
      </w:r>
      <w:r w:rsidRPr="00AB2DB3">
        <w:rPr>
          <w:rFonts w:ascii="Times New Roman" w:hAnsi="Times New Roman" w:cs="Times New Roman"/>
          <w:noProof/>
          <w:lang w:val="x-none"/>
        </w:rPr>
        <w:t>Elektroenergetyczne i sygnalizacyjne linie kablowe. Osprzęt do kabli o napięciu znamionowym nie przekraczającym 30 kV. Głowice napowietrzne na napięcie powyżej 0,6/1 kV.</w:t>
      </w:r>
    </w:p>
    <w:p w14:paraId="172E09D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61330:2001 Stacje transformatorowe prefabrykowane wysokiego napięcia na niskie napięcie.</w:t>
      </w:r>
    </w:p>
    <w:p w14:paraId="5C3BAEC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61558-1:2000 Bezpieczeństwo transformatorów mocy, jednostek zasilających i podobnych -- Ogólne wymagania i badania</w:t>
      </w:r>
    </w:p>
    <w:p w14:paraId="78ADF5C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PN-86/E-04070.15</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Metody badań. Pomiar intensywności wyładowań niezupełnych przy napięciu przemiennym.</w:t>
      </w:r>
    </w:p>
    <w:p w14:paraId="44BB483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60076-1:2001/A12:2004</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Wymagania ogólne.</w:t>
      </w:r>
    </w:p>
    <w:p w14:paraId="5FCEF764"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PN-IEC 60076-8:2002</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Część 8: Przewodnik stosowania.</w:t>
      </w:r>
    </w:p>
    <w:p w14:paraId="21F5B01D"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PN-IEC 60354:1999</w:t>
      </w:r>
      <w:r w:rsidRPr="00AB2DB3">
        <w:rPr>
          <w:rFonts w:ascii="Times New Roman" w:hAnsi="Times New Roman" w:cs="Times New Roman"/>
          <w:noProof/>
        </w:rPr>
        <w:t xml:space="preserve"> </w:t>
      </w:r>
      <w:r w:rsidRPr="00AB2DB3">
        <w:rPr>
          <w:rFonts w:ascii="Times New Roman" w:hAnsi="Times New Roman" w:cs="Times New Roman"/>
          <w:noProof/>
          <w:lang w:val="x-none"/>
        </w:rPr>
        <w:t>Przewodnik obciążenia transformatorów olejowych.</w:t>
      </w:r>
    </w:p>
    <w:p w14:paraId="69721AE1"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60726:2003 (U)</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suche.</w:t>
      </w:r>
    </w:p>
    <w:p w14:paraId="597E1B7A"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PN-69/E-04070</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Metody badań.</w:t>
      </w:r>
    </w:p>
    <w:p w14:paraId="55F10D2E"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PN-81/E-04070.00</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Metody badań. Postanowienia ogólne, oględziny.</w:t>
      </w:r>
    </w:p>
    <w:p w14:paraId="1B93933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PN-81/E-04070.01</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Metody badań. Badanie oleju.</w:t>
      </w:r>
    </w:p>
    <w:p w14:paraId="0782DE2D"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PN-81/E-04070.01/Az1:2001</w:t>
      </w:r>
      <w:r w:rsidRPr="00AB2DB3">
        <w:rPr>
          <w:rFonts w:ascii="Times New Roman" w:hAnsi="Times New Roman" w:cs="Times New Roman"/>
          <w:noProof/>
        </w:rPr>
        <w:t xml:space="preserve"> </w:t>
      </w:r>
      <w:r w:rsidRPr="00AB2DB3">
        <w:rPr>
          <w:rFonts w:ascii="Times New Roman" w:hAnsi="Times New Roman" w:cs="Times New Roman"/>
          <w:noProof/>
          <w:lang w:val="x-none"/>
        </w:rPr>
        <w:t>Transformatory. Metody badań. Badanie oleju (Zmiana Az1).</w:t>
      </w:r>
    </w:p>
    <w:p w14:paraId="4292253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61558-1:2006 (U)</w:t>
      </w:r>
      <w:r w:rsidRPr="00AB2DB3">
        <w:rPr>
          <w:rFonts w:ascii="Times New Roman" w:hAnsi="Times New Roman" w:cs="Times New Roman"/>
          <w:noProof/>
        </w:rPr>
        <w:t xml:space="preserve"> </w:t>
      </w:r>
      <w:r w:rsidRPr="00AB2DB3">
        <w:rPr>
          <w:rFonts w:ascii="Times New Roman" w:hAnsi="Times New Roman" w:cs="Times New Roman"/>
          <w:noProof/>
          <w:lang w:val="x-none"/>
        </w:rPr>
        <w:t>Bezpieczeństwo transformatorów mocy, jednostek zasilających, dławików i urządzeń podobnych – Część 1: Ogólne wymagania i badania.</w:t>
      </w:r>
    </w:p>
    <w:p w14:paraId="7BAB542C"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61558-2-6:2000</w:t>
      </w:r>
      <w:r w:rsidRPr="00AB2DB3">
        <w:rPr>
          <w:rFonts w:ascii="Times New Roman" w:hAnsi="Times New Roman" w:cs="Times New Roman"/>
          <w:noProof/>
        </w:rPr>
        <w:t xml:space="preserve"> </w:t>
      </w:r>
      <w:r w:rsidRPr="00AB2DB3">
        <w:rPr>
          <w:rFonts w:ascii="Times New Roman" w:hAnsi="Times New Roman" w:cs="Times New Roman"/>
          <w:noProof/>
          <w:lang w:val="x-none"/>
        </w:rPr>
        <w:t>Bezpieczeństwo transformatorów mocy, jednostek zasilających i podobnych. Szczegółowe wymagania dotyczące transformatorów bezpieczeństwa do ogólnego stosowania.</w:t>
      </w:r>
    </w:p>
    <w:p w14:paraId="76C912F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61558-2-23:2003</w:t>
      </w:r>
      <w:r w:rsidRPr="00AB2DB3">
        <w:rPr>
          <w:rFonts w:ascii="Times New Roman" w:hAnsi="Times New Roman" w:cs="Times New Roman"/>
          <w:noProof/>
        </w:rPr>
        <w:t xml:space="preserve"> </w:t>
      </w:r>
      <w:r w:rsidRPr="00AB2DB3">
        <w:rPr>
          <w:rFonts w:ascii="Times New Roman" w:hAnsi="Times New Roman" w:cs="Times New Roman"/>
          <w:noProof/>
          <w:lang w:val="x-none"/>
        </w:rPr>
        <w:t>Bezpieczeństwo transformatorów mocy, jednostek zasilających i podobnych. Część 2-23:  Szczegółowe wymagania dotyczące transformatorów stosowanych na placach budów.</w:t>
      </w:r>
    </w:p>
    <w:p w14:paraId="1AE99F05"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PN-EN 62041:200</w:t>
      </w:r>
      <w:r w:rsidRPr="00AB2DB3">
        <w:rPr>
          <w:rFonts w:ascii="Times New Roman" w:hAnsi="Times New Roman" w:cs="Times New Roman"/>
          <w:noProof/>
        </w:rPr>
        <w:t xml:space="preserve">7 </w:t>
      </w:r>
      <w:r w:rsidRPr="00AB2DB3">
        <w:rPr>
          <w:rFonts w:ascii="Times New Roman" w:hAnsi="Times New Roman" w:cs="Times New Roman"/>
          <w:noProof/>
          <w:lang w:val="x-none"/>
        </w:rPr>
        <w:t>Transformatory mocy, jednostki zasilające, dławiki i podobne urządzenia. Wymagania EMC.</w:t>
      </w:r>
    </w:p>
    <w:p w14:paraId="0F863E17"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PN-HD 605 S1:200</w:t>
      </w:r>
      <w:r w:rsidRPr="00AB2DB3">
        <w:rPr>
          <w:rFonts w:ascii="Times New Roman" w:hAnsi="Times New Roman" w:cs="Times New Roman"/>
          <w:noProof/>
        </w:rPr>
        <w:t xml:space="preserve">7 </w:t>
      </w:r>
      <w:r w:rsidRPr="00AB2DB3">
        <w:rPr>
          <w:rFonts w:ascii="Times New Roman" w:hAnsi="Times New Roman" w:cs="Times New Roman"/>
          <w:noProof/>
          <w:lang w:val="x-none"/>
        </w:rPr>
        <w:t>Kable elektroenergetyczne. Dodatkowe metody badań.</w:t>
      </w:r>
    </w:p>
    <w:p w14:paraId="2C089F78"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PN-HD 621 S1:2003 (U)</w:t>
      </w:r>
      <w:r w:rsidRPr="00AB2DB3">
        <w:rPr>
          <w:rFonts w:ascii="Times New Roman" w:hAnsi="Times New Roman" w:cs="Times New Roman"/>
          <w:noProof/>
        </w:rPr>
        <w:t xml:space="preserve"> </w:t>
      </w:r>
      <w:r w:rsidRPr="00AB2DB3">
        <w:rPr>
          <w:rFonts w:ascii="Times New Roman" w:hAnsi="Times New Roman" w:cs="Times New Roman"/>
          <w:noProof/>
          <w:lang w:val="x-none"/>
        </w:rPr>
        <w:t>Kable elektroenergetyczne średniego napięcia o izolacji papierowej przesyconej.</w:t>
      </w:r>
    </w:p>
    <w:p w14:paraId="61DA916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19087828" w14:textId="77777777" w:rsidR="00AB2DB3" w:rsidRPr="00AB2DB3" w:rsidRDefault="00AB2DB3" w:rsidP="00904E6C">
      <w:pPr>
        <w:numPr>
          <w:ilvl w:val="1"/>
          <w:numId w:val="307"/>
        </w:numPr>
        <w:tabs>
          <w:tab w:val="clear" w:pos="570"/>
          <w:tab w:val="num" w:pos="420"/>
        </w:tabs>
        <w:autoSpaceDE w:val="0"/>
        <w:autoSpaceDN w:val="0"/>
        <w:adjustRightInd w:val="0"/>
        <w:spacing w:before="45" w:after="45" w:line="240" w:lineRule="auto"/>
        <w:ind w:left="0" w:firstLine="0"/>
        <w:rPr>
          <w:rFonts w:ascii="Times New Roman" w:hAnsi="Times New Roman" w:cs="Times New Roman"/>
          <w:b/>
          <w:bCs/>
          <w:noProof/>
          <w:lang w:val="x-none"/>
        </w:rPr>
      </w:pPr>
      <w:r w:rsidRPr="00AB2DB3">
        <w:rPr>
          <w:rFonts w:ascii="Times New Roman" w:hAnsi="Times New Roman" w:cs="Times New Roman"/>
          <w:b/>
          <w:bCs/>
          <w:noProof/>
          <w:lang w:val="x-none"/>
        </w:rPr>
        <w:t>Inne dokumenty, instrukcje i przepisy</w:t>
      </w:r>
    </w:p>
    <w:p w14:paraId="74F64D4D"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r w:rsidRPr="00AB2DB3">
        <w:rPr>
          <w:rFonts w:ascii="Times New Roman" w:hAnsi="Times New Roman" w:cs="Times New Roman"/>
          <w:b/>
          <w:bCs/>
          <w:noProof/>
          <w:lang w:val="x-none"/>
        </w:rPr>
        <w:t>Inne dokumenty i instrukcje</w:t>
      </w:r>
    </w:p>
    <w:p w14:paraId="28007AB6"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Warunki techniczne wykonania i odbioru robót budowlano-montażowych (część V) Wydanie 2 Warszawa, Wydawnictwo Akcydensowe 1981 r.</w:t>
      </w:r>
    </w:p>
    <w:p w14:paraId="357055C9"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 xml:space="preserve">Specyfikacja techniczna wykonania i odbioru robót budowlanych. Wymagania ogólne. </w:t>
      </w:r>
    </w:p>
    <w:p w14:paraId="3197C64E"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Specyfikacja techniczna wykonania i odbioru robót budowlanych. „Roboty w zakresie przygotowania terenu pod budowę i roboty ziemne” Kod CPV 45111200.</w:t>
      </w:r>
    </w:p>
    <w:p w14:paraId="269F605A"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Albumy ENERGOPROJEKT Poznań z lat 1967-1995.</w:t>
      </w:r>
    </w:p>
    <w:p w14:paraId="4B401125"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Poradnik montera elektryka WNT Warszawa 1997 r.</w:t>
      </w:r>
    </w:p>
    <w:p w14:paraId="73DE97F9"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Katalogi i karty materiałowe producentów.</w:t>
      </w:r>
    </w:p>
    <w:p w14:paraId="3D791C00"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lang w:val="x-none"/>
        </w:rPr>
      </w:pPr>
    </w:p>
    <w:p w14:paraId="6A33FF3E"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rPr>
      </w:pPr>
      <w:r w:rsidRPr="00AB2DB3">
        <w:rPr>
          <w:rFonts w:ascii="Times New Roman" w:hAnsi="Times New Roman" w:cs="Times New Roman"/>
          <w:b/>
          <w:bCs/>
          <w:noProof/>
          <w:lang w:val="x-none"/>
        </w:rPr>
        <w:t>Ustawy</w:t>
      </w:r>
      <w:r w:rsidRPr="00AB2DB3">
        <w:rPr>
          <w:rFonts w:ascii="Times New Roman" w:hAnsi="Times New Roman" w:cs="Times New Roman"/>
          <w:b/>
          <w:bCs/>
          <w:noProof/>
        </w:rPr>
        <w:t xml:space="preserve"> (z póź. Zmianami)</w:t>
      </w:r>
    </w:p>
    <w:p w14:paraId="67D3E628"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Ustawa z dnia 16 kwietnia 2004 r. o wyrobach budowlanych (Dz. U. z 2004 r. Nr 92, poz. 881).</w:t>
      </w:r>
    </w:p>
    <w:p w14:paraId="4731774E"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Ustawa z dnia 7 lipca 1994 r. - Prawo budowlane (jednolity tekst Dz. U. z 2017 r. poz. 1332 z zmian.).</w:t>
      </w:r>
    </w:p>
    <w:p w14:paraId="4FBABEF5" w14:textId="77777777" w:rsidR="00AB2DB3" w:rsidRPr="00AB2DB3" w:rsidRDefault="00AB2DB3" w:rsidP="00BA0803">
      <w:pPr>
        <w:tabs>
          <w:tab w:val="left" w:pos="2160"/>
        </w:tabs>
        <w:autoSpaceDE w:val="0"/>
        <w:autoSpaceDN w:val="0"/>
        <w:adjustRightInd w:val="0"/>
        <w:spacing w:before="15" w:after="45"/>
        <w:jc w:val="both"/>
        <w:rPr>
          <w:rFonts w:ascii="Times New Roman" w:hAnsi="Times New Roman" w:cs="Times New Roman"/>
          <w:b/>
          <w:bCs/>
          <w:noProof/>
        </w:rPr>
      </w:pPr>
      <w:r w:rsidRPr="00AB2DB3">
        <w:rPr>
          <w:rFonts w:ascii="Times New Roman" w:hAnsi="Times New Roman" w:cs="Times New Roman"/>
          <w:b/>
          <w:bCs/>
          <w:noProof/>
          <w:lang w:val="x-none"/>
        </w:rPr>
        <w:lastRenderedPageBreak/>
        <w:t>Rozporządzenia</w:t>
      </w:r>
      <w:r w:rsidRPr="00AB2DB3">
        <w:rPr>
          <w:rFonts w:ascii="Times New Roman" w:hAnsi="Times New Roman" w:cs="Times New Roman"/>
          <w:b/>
          <w:bCs/>
          <w:noProof/>
        </w:rPr>
        <w:t xml:space="preserve"> (z póź. Zmianami)</w:t>
      </w:r>
    </w:p>
    <w:p w14:paraId="4A3C8BC1"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rPr>
        <w:t xml:space="preserve"> </w:t>
      </w:r>
      <w:r w:rsidRPr="00AB2DB3">
        <w:rPr>
          <w:rFonts w:ascii="Times New Roman" w:hAnsi="Times New Roman" w:cs="Times New Roman"/>
          <w:noProof/>
          <w:lang w:val="x-none"/>
        </w:rPr>
        <w:t>Rozporządzenie Ministra Infrastruktury z dnia 11 sierpnia 2004 r. w sprawie sposobów deklarowania zgodności wyrobów budowlanych oraz sposobu znakowania ich znakiem budowlanym (Dz. U. Nr 198, poz. 2041).</w:t>
      </w:r>
    </w:p>
    <w:p w14:paraId="0FCA4149"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rPr>
        <w:t xml:space="preserve"> </w:t>
      </w:r>
      <w:r w:rsidRPr="00AB2DB3">
        <w:rPr>
          <w:rFonts w:ascii="Times New Roman" w:hAnsi="Times New Roman" w:cs="Times New Roman"/>
          <w:noProof/>
          <w:lang w:val="x-none"/>
        </w:rPr>
        <w:t>Rozporządzenie Ministra Pracy i Polityki Społecznej z dnia 26 września 1997 r. – w sprawie ogólnych przepisów bezpieczeństwa i higieny pracy (Dz. U. Nr 169, poz. 1650).</w:t>
      </w:r>
    </w:p>
    <w:p w14:paraId="5D373CA6"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rPr>
        <w:t xml:space="preserve"> </w:t>
      </w:r>
      <w:r w:rsidRPr="00AB2DB3">
        <w:rPr>
          <w:rFonts w:ascii="Times New Roman" w:hAnsi="Times New Roman" w:cs="Times New Roman"/>
          <w:noProof/>
          <w:lang w:val="x-none"/>
        </w:rPr>
        <w:t>Rozporządzenie Ministra Infrastruktury z dnia 6 lutego 2003 r. – w sprawie bezpieczeństwa i higieny pracy podczas wykonywania robót budowlanych (Dz. U. Nr 47, poz. 401).</w:t>
      </w:r>
    </w:p>
    <w:p w14:paraId="2B1E8FD0"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rPr>
        <w:t xml:space="preserve"> </w:t>
      </w:r>
      <w:r w:rsidRPr="00AB2DB3">
        <w:rPr>
          <w:rFonts w:ascii="Times New Roman" w:hAnsi="Times New Roman" w:cs="Times New Roman"/>
          <w:noProof/>
          <w:lang w:val="x-none"/>
        </w:rPr>
        <w:t>Rozporządzenie Ministra Infrastruktury z dnia 23 czerwca 2003 r. – w sprawie informacji dotyczącej bezpieczeństwa i ochrony zdrowia oraz planu bezpieczeństwa i ochrony zdrowia (Dz. U. Nr 120, poz. 1126).</w:t>
      </w:r>
    </w:p>
    <w:p w14:paraId="4E7FDA6E"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rPr>
        <w:t xml:space="preserve"> </w:t>
      </w:r>
      <w:r w:rsidRPr="00AB2DB3">
        <w:rPr>
          <w:rFonts w:ascii="Times New Roman" w:hAnsi="Times New Roman" w:cs="Times New Roman"/>
          <w:noProof/>
          <w:lang w:val="x-none"/>
        </w:rPr>
        <w:t>Rozporządzenie Ministra Infrastruktury z dnia 27 sierpnia 2004 r. – zmieniające rozporządzenie w sprawie dziennika budowy, montażu i rozbiórki, tablicy informacyjnej oraz ogłoszenia zamawiającego dane dotyczące bezpieczeństwa pracy i ochrony zdrowia (Dz. U. Nr 198, poz. 2042).</w:t>
      </w:r>
    </w:p>
    <w:p w14:paraId="19EB8CD3" w14:textId="77777777" w:rsidR="00AB2DB3" w:rsidRPr="00AB2DB3" w:rsidRDefault="00AB2DB3" w:rsidP="00BA0803">
      <w:pPr>
        <w:tabs>
          <w:tab w:val="left" w:pos="85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 Rozporządzenie Ministra Infrastruktury z dnia </w:t>
      </w:r>
      <w:r w:rsidRPr="00AB2DB3">
        <w:rPr>
          <w:rFonts w:ascii="Times New Roman" w:hAnsi="Times New Roman" w:cs="Times New Roman"/>
          <w:lang w:val="x-none"/>
        </w:rPr>
        <w:t>2</w:t>
      </w:r>
      <w:r w:rsidRPr="00AB2DB3">
        <w:rPr>
          <w:rFonts w:ascii="Times New Roman" w:hAnsi="Times New Roman" w:cs="Times New Roman"/>
        </w:rPr>
        <w:t>4</w:t>
      </w:r>
      <w:r w:rsidRPr="00AB2DB3">
        <w:rPr>
          <w:rFonts w:ascii="Times New Roman" w:hAnsi="Times New Roman" w:cs="Times New Roman"/>
          <w:noProof/>
          <w:lang w:val="x-none"/>
        </w:rPr>
        <w:t xml:space="preserve"> września </w:t>
      </w:r>
      <w:r w:rsidRPr="00AB2DB3">
        <w:rPr>
          <w:rFonts w:ascii="Times New Roman" w:hAnsi="Times New Roman" w:cs="Times New Roman"/>
          <w:lang w:val="x-none"/>
        </w:rPr>
        <w:t>20</w:t>
      </w:r>
      <w:r w:rsidRPr="00AB2DB3">
        <w:rPr>
          <w:rFonts w:ascii="Times New Roman" w:hAnsi="Times New Roman" w:cs="Times New Roman"/>
        </w:rPr>
        <w:t>13</w:t>
      </w:r>
      <w:r w:rsidRPr="00AB2DB3">
        <w:rPr>
          <w:rFonts w:ascii="Times New Roman" w:hAnsi="Times New Roman" w:cs="Times New Roman"/>
          <w:noProof/>
          <w:lang w:val="x-none"/>
        </w:rPr>
        <w:t xml:space="preserve"> r. – w sprawie szczegółowego zakresu i formy dokumentacji projektowej, specyfikacji technicznych wykonania i odbioru robót budowlanych oraz programu funkcjonalno-użytkowego (Dz. U. </w:t>
      </w:r>
      <w:r w:rsidRPr="00AB2DB3">
        <w:rPr>
          <w:rFonts w:ascii="Times New Roman" w:hAnsi="Times New Roman" w:cs="Times New Roman"/>
          <w:noProof/>
        </w:rPr>
        <w:t>2013</w:t>
      </w:r>
      <w:r w:rsidRPr="00AB2DB3">
        <w:rPr>
          <w:rFonts w:ascii="Times New Roman" w:hAnsi="Times New Roman" w:cs="Times New Roman"/>
          <w:noProof/>
          <w:lang w:val="x-none"/>
        </w:rPr>
        <w:t xml:space="preserve">, poz. </w:t>
      </w:r>
      <w:r w:rsidRPr="00AB2DB3">
        <w:rPr>
          <w:rFonts w:ascii="Times New Roman" w:hAnsi="Times New Roman" w:cs="Times New Roman"/>
        </w:rPr>
        <w:t>1129</w:t>
      </w:r>
      <w:r w:rsidRPr="00AB2DB3">
        <w:rPr>
          <w:rFonts w:ascii="Times New Roman" w:hAnsi="Times New Roman" w:cs="Times New Roman"/>
          <w:noProof/>
          <w:lang w:val="x-none"/>
        </w:rPr>
        <w:t>).</w:t>
      </w:r>
    </w:p>
    <w:p w14:paraId="7C862C7A" w14:textId="77777777" w:rsidR="00AB2DB3" w:rsidRPr="00AB2DB3" w:rsidRDefault="00AB2DB3">
      <w:pPr>
        <w:rPr>
          <w:rFonts w:ascii="Times New Roman" w:hAnsi="Times New Roman" w:cs="Times New Roman"/>
          <w:noProof/>
          <w:lang w:val="x-none"/>
        </w:rPr>
      </w:pPr>
      <w:r w:rsidRPr="00AB2DB3">
        <w:rPr>
          <w:rFonts w:ascii="Times New Roman" w:hAnsi="Times New Roman" w:cs="Times New Roman"/>
          <w:noProof/>
          <w:lang w:val="x-none"/>
        </w:rPr>
        <w:br w:type="page"/>
      </w:r>
    </w:p>
    <w:p w14:paraId="42653C81" w14:textId="77777777" w:rsidR="00AB2DB3" w:rsidRPr="00AB2DB3" w:rsidRDefault="00AB2DB3" w:rsidP="00BA0803">
      <w:pPr>
        <w:autoSpaceDE w:val="0"/>
        <w:rPr>
          <w:rFonts w:ascii="Times New Roman" w:hAnsi="Times New Roman" w:cs="Times New Roman"/>
          <w:b/>
          <w:bCs/>
        </w:rPr>
      </w:pPr>
      <w:r w:rsidRPr="00AB2DB3">
        <w:rPr>
          <w:rFonts w:ascii="Times New Roman" w:hAnsi="Times New Roman" w:cs="Times New Roman"/>
          <w:b/>
        </w:rPr>
        <w:lastRenderedPageBreak/>
        <w:t>ST.IE.03 NAPOWIETRZNE LINIE ELEKTROENERGETYCZNE</w:t>
      </w:r>
      <w:r w:rsidRPr="00AB2DB3">
        <w:rPr>
          <w:rFonts w:ascii="Times New Roman" w:hAnsi="Times New Roman" w:cs="Times New Roman"/>
          <w:b/>
          <w:bCs/>
        </w:rPr>
        <w:t xml:space="preserve"> - PRZEBUDOWA SIECI, BUDOWA OŚWIETLENIA</w:t>
      </w:r>
    </w:p>
    <w:p w14:paraId="40CF0831"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1. CZĘŚĆ OGÓLNA</w:t>
      </w:r>
    </w:p>
    <w:p w14:paraId="617A05C8"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1.1. Nazwa nadana zamówieniu przez zamawiającego</w:t>
      </w:r>
    </w:p>
    <w:p w14:paraId="213CBC86" w14:textId="77777777" w:rsidR="00CD777B" w:rsidRDefault="00CD777B" w:rsidP="00CD777B">
      <w:pPr>
        <w:tabs>
          <w:tab w:val="right" w:leader="dot" w:pos="7365"/>
        </w:tabs>
        <w:autoSpaceDE w:val="0"/>
        <w:autoSpaceDN w:val="0"/>
        <w:adjustRightInd w:val="0"/>
        <w:spacing w:before="45" w:after="45"/>
        <w:rPr>
          <w:rFonts w:ascii="Times New Roman" w:hAnsi="Times New Roman" w:cs="Times New Roman"/>
          <w:b/>
          <w:color w:val="000000" w:themeColor="text1"/>
        </w:rPr>
      </w:pPr>
      <w:r w:rsidRPr="00FD3B41">
        <w:rPr>
          <w:rFonts w:ascii="Times New Roman" w:hAnsi="Times New Roman" w:cs="Times New Roman"/>
          <w:b/>
          <w:color w:val="000000" w:themeColor="text1"/>
        </w:rPr>
        <w:t>„Rozbudowa drogi wojewódzkiej nr 461 w m. Dąbrówka Łubniańska i Łubniany” – Etap I ( km od 9+741,88 do 10+371,13)</w:t>
      </w:r>
    </w:p>
    <w:p w14:paraId="3219259D" w14:textId="77777777" w:rsidR="00AB2DB3" w:rsidRPr="00AB2DB3" w:rsidRDefault="00AB2DB3">
      <w:pPr>
        <w:autoSpaceDE w:val="0"/>
        <w:rPr>
          <w:rFonts w:ascii="Times New Roman" w:hAnsi="Times New Roman" w:cs="Times New Roman"/>
          <w:b/>
          <w:bCs/>
        </w:rPr>
      </w:pPr>
    </w:p>
    <w:p w14:paraId="09C4D613"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1.2. Przedmiot ST</w:t>
      </w:r>
    </w:p>
    <w:p w14:paraId="5F5548CE" w14:textId="77777777" w:rsidR="00AB2DB3" w:rsidRPr="00AB2DB3" w:rsidRDefault="00AB2DB3" w:rsidP="00BA0803">
      <w:pPr>
        <w:pStyle w:val="Tekstpodstawowy31"/>
        <w:rPr>
          <w:sz w:val="22"/>
          <w:szCs w:val="22"/>
        </w:rPr>
      </w:pPr>
      <w:r w:rsidRPr="00AB2DB3">
        <w:rPr>
          <w:sz w:val="22"/>
          <w:szCs w:val="22"/>
        </w:rPr>
        <w:t>Przedmiotem niniejszej specyfikacji technicznej są wymagania dotyczące wykonania i odbioru robót związanych z przebudową linii napowietrznej nN wraz z przyłączami oraz przebudową i rozbudową oświetlenia ulicznego.</w:t>
      </w:r>
    </w:p>
    <w:p w14:paraId="65D6DFA0" w14:textId="77777777" w:rsidR="00AB2DB3" w:rsidRPr="00AB2DB3" w:rsidRDefault="00AB2DB3">
      <w:pPr>
        <w:autoSpaceDE w:val="0"/>
        <w:rPr>
          <w:rFonts w:ascii="Times New Roman" w:hAnsi="Times New Roman" w:cs="Times New Roman"/>
          <w:b/>
          <w:bCs/>
        </w:rPr>
      </w:pPr>
    </w:p>
    <w:p w14:paraId="7F4DE054"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1.3. Zakres stosowania ST</w:t>
      </w:r>
    </w:p>
    <w:p w14:paraId="69A3E33C" w14:textId="77777777" w:rsidR="00AB2DB3" w:rsidRPr="00AB2DB3" w:rsidRDefault="00AB2DB3" w:rsidP="00BA0803">
      <w:pPr>
        <w:pStyle w:val="Tekstpodstawowy31"/>
        <w:rPr>
          <w:sz w:val="22"/>
          <w:szCs w:val="22"/>
        </w:rPr>
      </w:pPr>
      <w:r w:rsidRPr="00AB2DB3">
        <w:rPr>
          <w:sz w:val="22"/>
          <w:szCs w:val="22"/>
        </w:rPr>
        <w:t>Specyfikacja techniczna, stosowana jako dokument przetargowy i kontraktowy przy zlecaniu i realizacji robót wymienionych w pkt. 1.1.</w:t>
      </w:r>
    </w:p>
    <w:p w14:paraId="4F516437"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Odstępstwa od wymagań podanych w niniejszej specyfikacji mogą mieć miejsce tylko w przypadkach prostych robót o niewielkim znaczeniu, dla których istnieje pewność, że podstawowe wymagania będą spełnione przy zastosowaniu metod wykonania wynikających z doświadczenia oraz uznanych reguł i zasad sztuki budowlanej.</w:t>
      </w:r>
    </w:p>
    <w:p w14:paraId="007E6FA5" w14:textId="77777777" w:rsidR="00AB2DB3" w:rsidRPr="00AB2DB3" w:rsidRDefault="00AB2DB3" w:rsidP="00BA0803">
      <w:pPr>
        <w:pStyle w:val="Tekstpodstawowy31"/>
        <w:rPr>
          <w:sz w:val="22"/>
          <w:szCs w:val="22"/>
        </w:rPr>
      </w:pPr>
    </w:p>
    <w:p w14:paraId="0D8DC25E"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1.4. Przedmiot i zakres robót objętych ST</w:t>
      </w:r>
    </w:p>
    <w:p w14:paraId="1266572F" w14:textId="77777777" w:rsidR="00AB2DB3" w:rsidRPr="00AB2DB3" w:rsidRDefault="00AB2DB3" w:rsidP="00BA0803">
      <w:pPr>
        <w:pStyle w:val="Tekstpodstawowy31"/>
        <w:rPr>
          <w:sz w:val="22"/>
          <w:szCs w:val="22"/>
        </w:rPr>
      </w:pPr>
      <w:r w:rsidRPr="00AB2DB3">
        <w:rPr>
          <w:sz w:val="22"/>
          <w:szCs w:val="22"/>
        </w:rPr>
        <w:t>Ustalenia zawarte w niniejszej specyfikacji dotyczą zasad wykonywania i odbioru robót związanych z przebudową sieci napowietrznej nN i oświetlenia ulicznego w szczególności:</w:t>
      </w:r>
    </w:p>
    <w:p w14:paraId="7B2B6C8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wykonaniem wykopów pod fundament słupów betonowych i stalowych,</w:t>
      </w:r>
    </w:p>
    <w:p w14:paraId="4BEFF71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montażem słupów betonowych i stalowych,</w:t>
      </w:r>
    </w:p>
    <w:p w14:paraId="4FE7D0E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montażem konstrukcji wsporczych,</w:t>
      </w:r>
    </w:p>
    <w:p w14:paraId="0B45FEB2"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montażem linii napowietrznej AsXSn,</w:t>
      </w:r>
    </w:p>
    <w:p w14:paraId="17489EC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montażem osprzętu elektroinstalacyjnego,</w:t>
      </w:r>
    </w:p>
    <w:p w14:paraId="5800D16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montażem opraw oświetlenia ulicznego,</w:t>
      </w:r>
    </w:p>
    <w:p w14:paraId="326F09D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montażem instalacji uziemiającej i przeciwprzepięciowej,</w:t>
      </w:r>
    </w:p>
    <w:p w14:paraId="68D9E66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zabezpieczenie istniejących linii kablowych rurami ochronnymi,</w:t>
      </w:r>
    </w:p>
    <w:p w14:paraId="0A69FBEE" w14:textId="77777777" w:rsidR="00AB2DB3" w:rsidRPr="00AB2DB3" w:rsidRDefault="00AB2DB3" w:rsidP="00BA0803">
      <w:pPr>
        <w:pStyle w:val="Tekstpodstawowy31"/>
        <w:rPr>
          <w:sz w:val="22"/>
          <w:szCs w:val="22"/>
        </w:rPr>
      </w:pPr>
      <w:r w:rsidRPr="00AB2DB3">
        <w:rPr>
          <w:sz w:val="22"/>
          <w:szCs w:val="22"/>
        </w:rPr>
        <w:t>wraz z transportem i składowaniem materiałów, trasowaniem linii i miejsc posadowienia słupów, robotami ziemnymi i fundamentowymi (np. dla słupów), przygotowaniem podłoża i robotami towarzyszącymi.</w:t>
      </w:r>
    </w:p>
    <w:p w14:paraId="1EF29781" w14:textId="77777777" w:rsidR="00AB2DB3" w:rsidRPr="00AB2DB3" w:rsidRDefault="00AB2DB3" w:rsidP="00BA0803">
      <w:pPr>
        <w:pStyle w:val="Tekstpodstawowy31"/>
        <w:rPr>
          <w:sz w:val="22"/>
          <w:szCs w:val="22"/>
        </w:rPr>
      </w:pPr>
      <w:r w:rsidRPr="00AB2DB3">
        <w:rPr>
          <w:sz w:val="22"/>
          <w:szCs w:val="22"/>
        </w:rPr>
        <w:t>ST dotyczy wszystkich czynności mających na celu wykonanie robót związanych z:</w:t>
      </w:r>
    </w:p>
    <w:p w14:paraId="5BAAF29F"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kompletacją wszystkich materiałów potrzebnych do wykonania podanych wyżej prac,</w:t>
      </w:r>
    </w:p>
    <w:p w14:paraId="482AB7E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wykonaniem wszelkich robót pomocniczych w celu przygotowania podłoża (w szczególności roboty murarskie, ślusarsko-spawalnicze, montaż elementów osprzętu instalacyjnego itp.),</w:t>
      </w:r>
    </w:p>
    <w:p w14:paraId="29DDA8E1"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ułożeniem wszystkich materiałów w sposób i w miejscu zgodnym z dokumentacją techniczną,</w:t>
      </w:r>
    </w:p>
    <w:p w14:paraId="37A48DA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wykonaniem oznakowania zgodnego z dokumentacją techniczną wszystkich elementów wyznaczonych w dokumentacji,</w:t>
      </w:r>
    </w:p>
    <w:p w14:paraId="3EDB890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lastRenderedPageBreak/>
        <w:t xml:space="preserve">- </w:t>
      </w:r>
      <w:r w:rsidRPr="00AB2DB3">
        <w:rPr>
          <w:rFonts w:ascii="Times New Roman" w:hAnsi="Times New Roman" w:cs="Times New Roman"/>
        </w:rPr>
        <w:tab/>
        <w:t>uruchomieniem sieci nN i oświetlenia ulicznego,</w:t>
      </w:r>
    </w:p>
    <w:p w14:paraId="0723A17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przeprowadzeniem wymaganych prób i badań oraz potwierdzenie protokołami kwalifikującymi montowany element linii energetycznej.</w:t>
      </w:r>
    </w:p>
    <w:p w14:paraId="7CF60B3F" w14:textId="77777777" w:rsidR="00AB2DB3" w:rsidRPr="00AB2DB3" w:rsidRDefault="00AB2DB3" w:rsidP="00BA0803">
      <w:pPr>
        <w:pStyle w:val="Tekstpodstawowy31"/>
        <w:rPr>
          <w:sz w:val="22"/>
          <w:szCs w:val="22"/>
        </w:rPr>
      </w:pPr>
    </w:p>
    <w:p w14:paraId="061A78DC"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1.5. Określenia podstawowe, definicje</w:t>
      </w:r>
    </w:p>
    <w:p w14:paraId="409B44E5" w14:textId="77777777" w:rsidR="00AB2DB3" w:rsidRPr="00AB2DB3" w:rsidRDefault="00AB2DB3" w:rsidP="00BA0803">
      <w:pPr>
        <w:pStyle w:val="Tekstpodstawowy31"/>
        <w:rPr>
          <w:sz w:val="22"/>
          <w:szCs w:val="22"/>
        </w:rPr>
      </w:pPr>
      <w:r w:rsidRPr="00AB2DB3">
        <w:rPr>
          <w:b/>
          <w:bCs/>
          <w:sz w:val="22"/>
          <w:szCs w:val="22"/>
        </w:rPr>
        <w:t>Część czynna</w:t>
      </w:r>
      <w:r w:rsidRPr="00AB2DB3">
        <w:rPr>
          <w:sz w:val="22"/>
          <w:szCs w:val="22"/>
        </w:rPr>
        <w:t xml:space="preserve"> – przewód lub inny element przewodzący, wchodzący w skład instalacji elektrycznej lub urządzenia, który w warunkach normalnej pracy instalacji elektrycznej może być pod napięciem a nie spełnia funkcji przewodu ochronnego (przewody ochronne PE i PEN nie są częścią czynną).</w:t>
      </w:r>
    </w:p>
    <w:p w14:paraId="1FAEEF24" w14:textId="77777777" w:rsidR="00AB2DB3" w:rsidRPr="00AB2DB3" w:rsidRDefault="00AB2DB3" w:rsidP="00BA0803">
      <w:pPr>
        <w:pStyle w:val="Tekstpodstawowy31"/>
        <w:rPr>
          <w:sz w:val="22"/>
          <w:szCs w:val="22"/>
        </w:rPr>
      </w:pPr>
      <w:r w:rsidRPr="00AB2DB3">
        <w:rPr>
          <w:b/>
          <w:bCs/>
          <w:sz w:val="22"/>
          <w:szCs w:val="22"/>
        </w:rPr>
        <w:t>Napięcie znamionowe linii Un</w:t>
      </w:r>
      <w:r w:rsidRPr="00AB2DB3">
        <w:rPr>
          <w:sz w:val="22"/>
          <w:szCs w:val="22"/>
        </w:rPr>
        <w:t xml:space="preserve"> – napięcie międzyprzewodowe, dobrane przy budowie linii. Stosuje się następujące napięcia znamionowe linii:</w:t>
      </w:r>
    </w:p>
    <w:p w14:paraId="15190BC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Niskie napięcie „nn” – do 1 kV,</w:t>
      </w:r>
    </w:p>
    <w:p w14:paraId="7CE580A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Średnie napięcie „SN” – powyżej 1 kV do 30 kV,</w:t>
      </w:r>
    </w:p>
    <w:p w14:paraId="0B85325B" w14:textId="77777777" w:rsidR="00AB2DB3" w:rsidRPr="00AB2DB3" w:rsidRDefault="00AB2DB3" w:rsidP="00BA0803">
      <w:pPr>
        <w:pStyle w:val="Tekstpodstawowy31"/>
        <w:rPr>
          <w:sz w:val="22"/>
          <w:szCs w:val="22"/>
        </w:rPr>
      </w:pPr>
      <w:r w:rsidRPr="00AB2DB3">
        <w:rPr>
          <w:b/>
          <w:bCs/>
          <w:sz w:val="22"/>
          <w:szCs w:val="22"/>
        </w:rPr>
        <w:t>Przewody linii energetycznych</w:t>
      </w:r>
      <w:r w:rsidRPr="00AB2DB3">
        <w:rPr>
          <w:sz w:val="22"/>
          <w:szCs w:val="22"/>
        </w:rPr>
        <w:t xml:space="preserve"> – materiały służące do przesyłania energii elektrycznej, w wybrane miejsce.</w:t>
      </w:r>
    </w:p>
    <w:p w14:paraId="0FE97CA4" w14:textId="77777777" w:rsidR="00AB2DB3" w:rsidRPr="00AB2DB3" w:rsidRDefault="00AB2DB3" w:rsidP="00BA0803">
      <w:pPr>
        <w:pStyle w:val="Tekstpodstawowy31"/>
        <w:rPr>
          <w:sz w:val="22"/>
          <w:szCs w:val="22"/>
        </w:rPr>
      </w:pPr>
      <w:r w:rsidRPr="00AB2DB3">
        <w:rPr>
          <w:b/>
          <w:bCs/>
          <w:sz w:val="22"/>
          <w:szCs w:val="22"/>
        </w:rPr>
        <w:t>Sekcja linii energetycznej</w:t>
      </w:r>
      <w:r w:rsidRPr="00AB2DB3">
        <w:rPr>
          <w:sz w:val="22"/>
          <w:szCs w:val="22"/>
        </w:rPr>
        <w:t xml:space="preserve"> – wydzielony ze względu na odmienne parametry element linii energetycznej. Parametrami mogą być: typ i przekrój przewodów, stopień obostrzenia, dopuszczalne parametry techniczne np. zwis, rola elementu w sieci np. przewód rezerwowy zamontowany równolegle itp.</w:t>
      </w:r>
    </w:p>
    <w:p w14:paraId="0B5F602B" w14:textId="77777777" w:rsidR="00AB2DB3" w:rsidRPr="00AB2DB3" w:rsidRDefault="00AB2DB3" w:rsidP="00BA0803">
      <w:pPr>
        <w:pStyle w:val="Tekstpodstawowy31"/>
        <w:rPr>
          <w:sz w:val="22"/>
          <w:szCs w:val="22"/>
        </w:rPr>
      </w:pPr>
      <w:r w:rsidRPr="00AB2DB3">
        <w:rPr>
          <w:sz w:val="22"/>
          <w:szCs w:val="22"/>
        </w:rPr>
        <w:t>Na początku i końcu sekcji znajduje się aparat umożliwiający odłączenie sekcji.</w:t>
      </w:r>
    </w:p>
    <w:p w14:paraId="64F91B20" w14:textId="77777777" w:rsidR="00AB2DB3" w:rsidRPr="00AB2DB3" w:rsidRDefault="00AB2DB3" w:rsidP="00BA0803">
      <w:pPr>
        <w:pStyle w:val="Tekstpodstawowy31"/>
        <w:rPr>
          <w:sz w:val="22"/>
          <w:szCs w:val="22"/>
        </w:rPr>
      </w:pPr>
      <w:r w:rsidRPr="00AB2DB3">
        <w:rPr>
          <w:b/>
          <w:bCs/>
          <w:sz w:val="22"/>
          <w:szCs w:val="22"/>
        </w:rPr>
        <w:t>Konstrukcje wsporcze</w:t>
      </w:r>
      <w:r w:rsidRPr="00AB2DB3">
        <w:rPr>
          <w:sz w:val="22"/>
          <w:szCs w:val="22"/>
        </w:rPr>
        <w:t xml:space="preserve"> – zespół elementów, pomiędzy którymi rozwiesza się przewody linii energetycznych lub na których osadza się elementy wyposażenia linii energetycznych oraz oprawy oświetleniowe.</w:t>
      </w:r>
    </w:p>
    <w:p w14:paraId="43927BBB" w14:textId="77777777" w:rsidR="00AB2DB3" w:rsidRPr="00AB2DB3" w:rsidRDefault="00AB2DB3" w:rsidP="00BA0803">
      <w:pPr>
        <w:pStyle w:val="Tekstpodstawowy31"/>
        <w:rPr>
          <w:sz w:val="22"/>
          <w:szCs w:val="22"/>
        </w:rPr>
      </w:pPr>
      <w:r w:rsidRPr="00AB2DB3">
        <w:rPr>
          <w:b/>
          <w:bCs/>
          <w:sz w:val="22"/>
          <w:szCs w:val="22"/>
        </w:rPr>
        <w:t>Obostrzenie</w:t>
      </w:r>
      <w:r w:rsidRPr="00AB2DB3">
        <w:rPr>
          <w:sz w:val="22"/>
          <w:szCs w:val="22"/>
        </w:rPr>
        <w:t xml:space="preserve"> – wszelkie dodatkowe wymagania dotyczące linii, dla której wymagane jest zwiększone bezpieczeństwo.</w:t>
      </w:r>
    </w:p>
    <w:p w14:paraId="65A19E5B" w14:textId="77777777" w:rsidR="00AB2DB3" w:rsidRPr="00AB2DB3" w:rsidRDefault="00AB2DB3" w:rsidP="00BA0803">
      <w:pPr>
        <w:pStyle w:val="Tekstpodstawowy31"/>
        <w:rPr>
          <w:sz w:val="22"/>
          <w:szCs w:val="22"/>
        </w:rPr>
      </w:pPr>
      <w:r w:rsidRPr="00AB2DB3">
        <w:rPr>
          <w:b/>
          <w:bCs/>
          <w:sz w:val="22"/>
          <w:szCs w:val="22"/>
        </w:rPr>
        <w:t>Skrzyżowanie</w:t>
      </w:r>
      <w:r w:rsidRPr="00AB2DB3">
        <w:rPr>
          <w:sz w:val="22"/>
          <w:szCs w:val="22"/>
        </w:rPr>
        <w:t xml:space="preserve"> – pokrywanie lub przecinanie się dowolnej części rzutu poziomego dwóch lub więcej linii energetycznych lub linii energetycznej z drogą komunikacyjną, budynkiem lub budowlą.</w:t>
      </w:r>
    </w:p>
    <w:p w14:paraId="0444F8B5" w14:textId="77777777" w:rsidR="00AB2DB3" w:rsidRPr="00AB2DB3" w:rsidRDefault="00AB2DB3" w:rsidP="00BA0803">
      <w:pPr>
        <w:pStyle w:val="Tekstpodstawowy31"/>
        <w:rPr>
          <w:sz w:val="22"/>
          <w:szCs w:val="22"/>
        </w:rPr>
      </w:pPr>
      <w:r w:rsidRPr="00AB2DB3">
        <w:rPr>
          <w:b/>
          <w:bCs/>
          <w:sz w:val="22"/>
          <w:szCs w:val="22"/>
        </w:rPr>
        <w:t xml:space="preserve">Zbliżenie </w:t>
      </w:r>
      <w:r w:rsidRPr="00AB2DB3">
        <w:rPr>
          <w:sz w:val="22"/>
          <w:szCs w:val="22"/>
        </w:rPr>
        <w:t>– występuje wówczas jeśli odległość rzutów poziomych linii innego obiektu jest mniejsza od połowy wysokości zawieszenia najwyżej położonego, nieuziemionego przewodu linii i nie zachodzi jednocześnie skrzyżowanie (nie zachodzi, gdy różne linie prowadzone są na wspólnej konstrukcji).</w:t>
      </w:r>
    </w:p>
    <w:p w14:paraId="6505DD97" w14:textId="77777777" w:rsidR="00AB2DB3" w:rsidRPr="00AB2DB3" w:rsidRDefault="00AB2DB3" w:rsidP="00BA0803">
      <w:pPr>
        <w:pStyle w:val="Tekstpodstawowy31"/>
        <w:rPr>
          <w:sz w:val="22"/>
          <w:szCs w:val="22"/>
        </w:rPr>
      </w:pPr>
      <w:r w:rsidRPr="00AB2DB3">
        <w:rPr>
          <w:sz w:val="22"/>
          <w:szCs w:val="22"/>
        </w:rPr>
        <w:t>Typy skrzyżowań i zbliżeń linii energetycznych:</w:t>
      </w:r>
    </w:p>
    <w:p w14:paraId="2D12DFA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Wzajemne oraz z przewodami trakcji elektrycznej i liniami telekomunikacyjnymi; także dwie lub więcej linii prowadzonych na wspólnej konstrukcji wsporczej;</w:t>
      </w:r>
    </w:p>
    <w:p w14:paraId="481A851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 budynkami;</w:t>
      </w:r>
    </w:p>
    <w:p w14:paraId="3C70E6D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 rurociągami, taśmociągami itp.;</w:t>
      </w:r>
    </w:p>
    <w:p w14:paraId="5254F9B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 budowlami: mostami, wiaduktami, tamami, jazami, śluzami itp.;</w:t>
      </w:r>
    </w:p>
    <w:p w14:paraId="20FC7DA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 drogami komunikacyjnymi: kołowymi, kolejowymi (w tym kolejami linowymi), wodnymi (w tym ze szlakami turystycznymi);</w:t>
      </w:r>
    </w:p>
    <w:p w14:paraId="116D54E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 innymi obiektami, wymienionymi w normie podanej poniżej.</w:t>
      </w:r>
    </w:p>
    <w:p w14:paraId="2A5EBE3E" w14:textId="77777777" w:rsidR="00AB2DB3" w:rsidRPr="00AB2DB3" w:rsidRDefault="00AB2DB3" w:rsidP="00BA0803">
      <w:pPr>
        <w:pStyle w:val="Tekstpodstawowy31"/>
        <w:rPr>
          <w:sz w:val="22"/>
          <w:szCs w:val="22"/>
        </w:rPr>
      </w:pPr>
      <w:r w:rsidRPr="00AB2DB3">
        <w:rPr>
          <w:sz w:val="22"/>
          <w:szCs w:val="22"/>
        </w:rPr>
        <w:t>Stopnie obostrzenia elektroenergetycznych linii napowietrznych na skrzyżowaniach i zbliżeniach z obiektami, minimalne odległości pomiędzy elementami oraz sposoby wykonywania podaje PN-75/E 05100 Elektroenergetyczne linii napowietrzne. Projektowanie i budowa.</w:t>
      </w:r>
    </w:p>
    <w:p w14:paraId="0FB51D54" w14:textId="77777777" w:rsidR="00AB2DB3" w:rsidRPr="00AB2DB3" w:rsidRDefault="00AB2DB3" w:rsidP="00BA0803">
      <w:pPr>
        <w:pStyle w:val="Tekstpodstawowy31"/>
        <w:rPr>
          <w:sz w:val="22"/>
          <w:szCs w:val="22"/>
        </w:rPr>
      </w:pPr>
      <w:r w:rsidRPr="00AB2DB3">
        <w:rPr>
          <w:b/>
          <w:bCs/>
          <w:sz w:val="22"/>
          <w:szCs w:val="22"/>
        </w:rPr>
        <w:t>Przewód zabezpieczający</w:t>
      </w:r>
      <w:r w:rsidRPr="00AB2DB3">
        <w:rPr>
          <w:sz w:val="22"/>
          <w:szCs w:val="22"/>
        </w:rPr>
        <w:t xml:space="preserve"> – dodatkowy przewód, posiadający identyczny przekrój i wykonany z tego samego materiału co przewód linii, zamocowany do niego złączkami, zabezpieczający przed opadnięciem w przypadku zerwania linii.</w:t>
      </w:r>
    </w:p>
    <w:p w14:paraId="3232D9F6" w14:textId="77777777" w:rsidR="00AB2DB3" w:rsidRPr="00AB2DB3" w:rsidRDefault="00AB2DB3" w:rsidP="00BA0803">
      <w:pPr>
        <w:pStyle w:val="Tekstpodstawowy31"/>
        <w:rPr>
          <w:sz w:val="22"/>
          <w:szCs w:val="22"/>
        </w:rPr>
      </w:pPr>
      <w:r w:rsidRPr="00AB2DB3">
        <w:rPr>
          <w:b/>
          <w:bCs/>
          <w:sz w:val="22"/>
          <w:szCs w:val="22"/>
        </w:rPr>
        <w:lastRenderedPageBreak/>
        <w:t>Przyłącze</w:t>
      </w:r>
      <w:r w:rsidRPr="00AB2DB3">
        <w:rPr>
          <w:sz w:val="22"/>
          <w:szCs w:val="22"/>
        </w:rPr>
        <w:t xml:space="preserve"> – linia odgałęźna w elektroenergetycznej sieci rozdzielczej o napięciu do 1 kV, połączona z wewnętrzną instalacją zasilającą, w miejscu stanowiącym granice własności między dostawcą i odbiorcą energii elektrycznej.</w:t>
      </w:r>
    </w:p>
    <w:p w14:paraId="63E07FEB" w14:textId="77777777" w:rsidR="00AB2DB3" w:rsidRPr="00AB2DB3" w:rsidRDefault="00AB2DB3" w:rsidP="00BA0803">
      <w:pPr>
        <w:pStyle w:val="Tekstpodstawowy31"/>
        <w:rPr>
          <w:sz w:val="22"/>
          <w:szCs w:val="22"/>
        </w:rPr>
      </w:pPr>
      <w:r w:rsidRPr="00AB2DB3">
        <w:rPr>
          <w:b/>
          <w:bCs/>
          <w:sz w:val="22"/>
          <w:szCs w:val="22"/>
        </w:rPr>
        <w:t>Wewnętrzna instalacja zasilająca</w:t>
      </w:r>
      <w:r w:rsidRPr="00AB2DB3">
        <w:rPr>
          <w:sz w:val="22"/>
          <w:szCs w:val="22"/>
        </w:rPr>
        <w:t xml:space="preserve"> – instalacja elektryczna od granicy własności urządzeń do zacisków wyjściowych urządzenia pomiarowego (licznik lub pomiarowy przekładnik prądowy).</w:t>
      </w:r>
    </w:p>
    <w:p w14:paraId="36983423" w14:textId="77777777" w:rsidR="00AB2DB3" w:rsidRPr="00AB2DB3" w:rsidRDefault="00AB2DB3" w:rsidP="00BA0803">
      <w:pPr>
        <w:pStyle w:val="Tekstpodstawowy31"/>
        <w:rPr>
          <w:sz w:val="22"/>
          <w:szCs w:val="22"/>
        </w:rPr>
      </w:pPr>
      <w:r w:rsidRPr="00AB2DB3">
        <w:rPr>
          <w:b/>
          <w:bCs/>
          <w:sz w:val="22"/>
          <w:szCs w:val="22"/>
        </w:rPr>
        <w:t xml:space="preserve">Słup oświetleniowy </w:t>
      </w:r>
      <w:r w:rsidRPr="00AB2DB3">
        <w:rPr>
          <w:sz w:val="22"/>
          <w:szCs w:val="22"/>
        </w:rPr>
        <w:t>- konstrukcja wsporcza linii i oprawy, osadzona w gruncie bezpośrednio lub za pomocą fundamentu.</w:t>
      </w:r>
    </w:p>
    <w:p w14:paraId="0814ED6C" w14:textId="77777777" w:rsidR="00AB2DB3" w:rsidRPr="00AB2DB3" w:rsidRDefault="00AB2DB3" w:rsidP="00BA0803">
      <w:pPr>
        <w:pStyle w:val="Tekstpodstawowy31"/>
        <w:rPr>
          <w:sz w:val="22"/>
          <w:szCs w:val="22"/>
        </w:rPr>
      </w:pPr>
      <w:r w:rsidRPr="00AB2DB3">
        <w:rPr>
          <w:b/>
          <w:bCs/>
          <w:sz w:val="22"/>
          <w:szCs w:val="22"/>
        </w:rPr>
        <w:t>Głębokość posadowienia</w:t>
      </w:r>
      <w:r w:rsidRPr="00AB2DB3">
        <w:rPr>
          <w:sz w:val="22"/>
          <w:szCs w:val="22"/>
        </w:rPr>
        <w:t xml:space="preserve"> – długość fundamentu poniżej przewidywanego poziomu gruntu.</w:t>
      </w:r>
    </w:p>
    <w:p w14:paraId="25E4FF62" w14:textId="77777777" w:rsidR="00AB2DB3" w:rsidRPr="00AB2DB3" w:rsidRDefault="00AB2DB3" w:rsidP="00BA0803">
      <w:pPr>
        <w:pStyle w:val="Tekstpodstawowy31"/>
        <w:rPr>
          <w:sz w:val="22"/>
          <w:szCs w:val="22"/>
        </w:rPr>
      </w:pPr>
      <w:r w:rsidRPr="00AB2DB3">
        <w:rPr>
          <w:b/>
          <w:bCs/>
          <w:sz w:val="22"/>
          <w:szCs w:val="22"/>
        </w:rPr>
        <w:t>Oprawa oświetleniowa</w:t>
      </w:r>
      <w:r w:rsidRPr="00AB2DB3">
        <w:rPr>
          <w:sz w:val="22"/>
          <w:szCs w:val="22"/>
        </w:rPr>
        <w:t xml:space="preserve"> - urządzenie służące do rozsyłu, filtracji i przekształcania strumienia świetlnego jednego lub kilku źródeł światła, zawierające wszystkie elementy niezbędne do podtrzymania, mocowania i zabezpieczenia tych źródeł oraz zawierające w razie potrzeby obwody pomocnicze wraz z elementami potrzebnymi do ich podłączenia do sieci zasilającej.</w:t>
      </w:r>
    </w:p>
    <w:p w14:paraId="5D262073" w14:textId="77777777" w:rsidR="00AB2DB3" w:rsidRPr="00AB2DB3" w:rsidRDefault="00AB2DB3" w:rsidP="00BA0803">
      <w:pPr>
        <w:pStyle w:val="Tekstpodstawowy31"/>
        <w:rPr>
          <w:sz w:val="22"/>
          <w:szCs w:val="22"/>
        </w:rPr>
      </w:pPr>
      <w:r w:rsidRPr="00AB2DB3">
        <w:rPr>
          <w:b/>
          <w:bCs/>
          <w:sz w:val="22"/>
          <w:szCs w:val="22"/>
        </w:rPr>
        <w:t>Wysięgnik</w:t>
      </w:r>
      <w:r w:rsidRPr="00AB2DB3">
        <w:rPr>
          <w:sz w:val="22"/>
          <w:szCs w:val="22"/>
        </w:rPr>
        <w:t xml:space="preserve"> - element konstrukcyjny służący do zamocowania oprawy w określonej odległości od osi pionowej słupa, może być pojedyńczy-jednoramienny, podwójny-dwuramienny, lub wieloramienny.</w:t>
      </w:r>
    </w:p>
    <w:p w14:paraId="1AB7D16B" w14:textId="77777777" w:rsidR="00AB2DB3" w:rsidRPr="00AB2DB3" w:rsidRDefault="00AB2DB3" w:rsidP="00BA0803">
      <w:pPr>
        <w:pStyle w:val="Tekstpodstawowy31"/>
        <w:rPr>
          <w:sz w:val="22"/>
          <w:szCs w:val="22"/>
        </w:rPr>
      </w:pPr>
      <w:r w:rsidRPr="00AB2DB3">
        <w:rPr>
          <w:b/>
          <w:bCs/>
          <w:sz w:val="22"/>
          <w:szCs w:val="22"/>
        </w:rPr>
        <w:t xml:space="preserve">Fundament </w:t>
      </w:r>
      <w:r w:rsidRPr="00AB2DB3">
        <w:rPr>
          <w:sz w:val="22"/>
          <w:szCs w:val="22"/>
        </w:rPr>
        <w:t>- konstrukcja żelbetowa zagłębiona w ziemi, służąca o utrzymania słupa oświetleniowego.</w:t>
      </w:r>
    </w:p>
    <w:p w14:paraId="18E9B018" w14:textId="77777777" w:rsidR="00AB2DB3" w:rsidRPr="00AB2DB3" w:rsidRDefault="00AB2DB3" w:rsidP="00BA0803">
      <w:pPr>
        <w:pStyle w:val="Tekstpodstawowy31"/>
        <w:rPr>
          <w:sz w:val="22"/>
          <w:szCs w:val="22"/>
        </w:rPr>
      </w:pPr>
      <w:r w:rsidRPr="00AB2DB3">
        <w:rPr>
          <w:b/>
          <w:bCs/>
          <w:sz w:val="22"/>
          <w:szCs w:val="22"/>
        </w:rPr>
        <w:t xml:space="preserve">Kabel </w:t>
      </w:r>
      <w:r w:rsidRPr="00AB2DB3">
        <w:rPr>
          <w:sz w:val="22"/>
          <w:szCs w:val="22"/>
        </w:rPr>
        <w:t>- przewód wielożyłowy izolowany, przystosowany do przewodzenia prądu elektrycznego, mogący pracować pod i nad ziemią.</w:t>
      </w:r>
    </w:p>
    <w:p w14:paraId="5815415D" w14:textId="77777777" w:rsidR="00AB2DB3" w:rsidRPr="00AB2DB3" w:rsidRDefault="00AB2DB3" w:rsidP="00BA0803">
      <w:pPr>
        <w:pStyle w:val="Tekstpodstawowy31"/>
        <w:rPr>
          <w:sz w:val="22"/>
          <w:szCs w:val="22"/>
        </w:rPr>
      </w:pPr>
      <w:r w:rsidRPr="00AB2DB3">
        <w:rPr>
          <w:b/>
          <w:bCs/>
          <w:sz w:val="22"/>
          <w:szCs w:val="22"/>
        </w:rPr>
        <w:t>Odległość pozioma</w:t>
      </w:r>
      <w:r w:rsidRPr="00AB2DB3">
        <w:rPr>
          <w:sz w:val="22"/>
          <w:szCs w:val="22"/>
        </w:rPr>
        <w:t xml:space="preserve"> - odległość między rzutami poziomymi przedmiotów.</w:t>
      </w:r>
    </w:p>
    <w:p w14:paraId="427972EA" w14:textId="77777777" w:rsidR="00AB2DB3" w:rsidRPr="00AB2DB3" w:rsidRDefault="00AB2DB3" w:rsidP="00BA0803">
      <w:pPr>
        <w:pStyle w:val="Tekstpodstawowy31"/>
        <w:rPr>
          <w:sz w:val="22"/>
          <w:szCs w:val="22"/>
        </w:rPr>
      </w:pPr>
      <w:r w:rsidRPr="00AB2DB3">
        <w:rPr>
          <w:b/>
          <w:bCs/>
          <w:sz w:val="22"/>
          <w:szCs w:val="22"/>
        </w:rPr>
        <w:t>Osprzęt elektroenergetycznej linii kablowej</w:t>
      </w:r>
      <w:r w:rsidRPr="00AB2DB3">
        <w:rPr>
          <w:sz w:val="22"/>
          <w:szCs w:val="22"/>
        </w:rPr>
        <w:t xml:space="preserve"> - zestaw elementów służących do łączenia, zakańczania lub rozgałęziania linii kablowej.</w:t>
      </w:r>
    </w:p>
    <w:p w14:paraId="483A4496" w14:textId="77777777" w:rsidR="00AB2DB3" w:rsidRPr="00AB2DB3" w:rsidRDefault="00AB2DB3" w:rsidP="00BA0803">
      <w:pPr>
        <w:pStyle w:val="Tekstpodstawowy31"/>
        <w:rPr>
          <w:sz w:val="22"/>
          <w:szCs w:val="22"/>
        </w:rPr>
      </w:pPr>
      <w:r w:rsidRPr="00AB2DB3">
        <w:rPr>
          <w:b/>
          <w:bCs/>
          <w:sz w:val="22"/>
          <w:szCs w:val="22"/>
        </w:rPr>
        <w:t>Ogranicznik przepięć</w:t>
      </w:r>
      <w:r w:rsidRPr="00AB2DB3">
        <w:rPr>
          <w:sz w:val="22"/>
          <w:szCs w:val="22"/>
        </w:rPr>
        <w:t xml:space="preserve"> – przyrząd służący do ograniczenia wartości szczytowej przepięć udarowych pochodzenia atmosferycznego i zapewniający przerwanie prądu zwarciowego przy napięciu. </w:t>
      </w:r>
    </w:p>
    <w:p w14:paraId="7E661690" w14:textId="77777777" w:rsidR="00AB2DB3" w:rsidRPr="00AB2DB3" w:rsidRDefault="00AB2DB3" w:rsidP="00BA0803">
      <w:pPr>
        <w:pStyle w:val="Tekstpodstawowy31"/>
        <w:rPr>
          <w:sz w:val="22"/>
          <w:szCs w:val="22"/>
        </w:rPr>
      </w:pPr>
      <w:r w:rsidRPr="00AB2DB3">
        <w:rPr>
          <w:b/>
          <w:bCs/>
          <w:sz w:val="22"/>
          <w:szCs w:val="22"/>
        </w:rPr>
        <w:t>Uziom</w:t>
      </w:r>
      <w:r w:rsidRPr="00AB2DB3">
        <w:rPr>
          <w:sz w:val="22"/>
          <w:szCs w:val="22"/>
        </w:rPr>
        <w:t xml:space="preserve"> - przedmiot lub zespół przedmiotów umieszczonych w gruncie, tworzący elektryczne połączenie przewodzące z gruntem.</w:t>
      </w:r>
    </w:p>
    <w:p w14:paraId="2D7C9DFB"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b/>
          <w:bCs/>
          <w:noProof/>
        </w:rPr>
        <w:t xml:space="preserve">Słup oświetleniowy </w:t>
      </w:r>
      <w:r w:rsidRPr="00AB2DB3">
        <w:rPr>
          <w:rFonts w:ascii="Times New Roman" w:hAnsi="Times New Roman" w:cs="Times New Roman"/>
          <w:noProof/>
          <w:lang w:val="x-none"/>
        </w:rPr>
        <w:t xml:space="preserve">– </w:t>
      </w:r>
      <w:r w:rsidRPr="00AB2DB3">
        <w:rPr>
          <w:rFonts w:ascii="Times New Roman" w:hAnsi="Times New Roman" w:cs="Times New Roman"/>
          <w:noProof/>
        </w:rPr>
        <w:t>konstrukcja wsporcza linii i oprawy osadzona w gruncie bezpośrednio lub za pomocą fundamentu</w:t>
      </w:r>
      <w:r w:rsidRPr="00AB2DB3">
        <w:rPr>
          <w:rFonts w:ascii="Times New Roman" w:hAnsi="Times New Roman" w:cs="Times New Roman"/>
          <w:noProof/>
          <w:lang w:val="x-none"/>
        </w:rPr>
        <w:t>.</w:t>
      </w:r>
    </w:p>
    <w:p w14:paraId="20C56FD7" w14:textId="77777777" w:rsidR="00AB2DB3" w:rsidRPr="00AB2DB3" w:rsidRDefault="00AB2DB3" w:rsidP="00BA0803">
      <w:pPr>
        <w:spacing w:before="15" w:after="45"/>
        <w:jc w:val="both"/>
        <w:rPr>
          <w:rFonts w:ascii="Times New Roman" w:hAnsi="Times New Roman" w:cs="Times New Roman"/>
          <w:noProof/>
        </w:rPr>
      </w:pPr>
      <w:r w:rsidRPr="00AB2DB3">
        <w:rPr>
          <w:rFonts w:ascii="Times New Roman" w:hAnsi="Times New Roman" w:cs="Times New Roman"/>
          <w:b/>
          <w:bCs/>
          <w:noProof/>
        </w:rPr>
        <w:t>Złącze słupowe</w:t>
      </w:r>
      <w:r w:rsidRPr="00AB2DB3">
        <w:rPr>
          <w:rFonts w:ascii="Times New Roman" w:hAnsi="Times New Roman" w:cs="Times New Roman"/>
          <w:b/>
          <w:bCs/>
          <w:noProof/>
          <w:lang w:val="x-none"/>
        </w:rPr>
        <w:t xml:space="preserve"> </w:t>
      </w:r>
      <w:r w:rsidRPr="00AB2DB3">
        <w:rPr>
          <w:rFonts w:ascii="Times New Roman" w:hAnsi="Times New Roman" w:cs="Times New Roman"/>
          <w:noProof/>
          <w:lang w:val="x-none"/>
        </w:rPr>
        <w:t xml:space="preserve">– </w:t>
      </w:r>
      <w:r w:rsidRPr="00AB2DB3">
        <w:rPr>
          <w:rFonts w:ascii="Times New Roman" w:hAnsi="Times New Roman" w:cs="Times New Roman"/>
          <w:noProof/>
        </w:rPr>
        <w:t>urządzenie służące do zasilania obwodów ośiwetleniowych oraz ich zabezpieczenia.</w:t>
      </w:r>
    </w:p>
    <w:p w14:paraId="516053C9"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Trasa kablowa</w:t>
      </w:r>
      <w:r w:rsidRPr="00AB2DB3">
        <w:rPr>
          <w:rFonts w:ascii="Times New Roman" w:hAnsi="Times New Roman" w:cs="Times New Roman"/>
          <w:noProof/>
          <w:lang w:val="x-none"/>
        </w:rPr>
        <w:t xml:space="preserve"> – pas terenu lub przestrzeń, w której osi symetrii ułożono jedną lub więcej linii kablowych.</w:t>
      </w:r>
    </w:p>
    <w:p w14:paraId="777B2733" w14:textId="77777777" w:rsidR="00AB2DB3" w:rsidRPr="00AB2DB3" w:rsidRDefault="00AB2DB3" w:rsidP="00BA0803">
      <w:pPr>
        <w:spacing w:before="15" w:after="45"/>
        <w:jc w:val="both"/>
        <w:rPr>
          <w:rFonts w:ascii="Times New Roman" w:hAnsi="Times New Roman" w:cs="Times New Roman"/>
          <w:b/>
          <w:bCs/>
          <w:noProof/>
          <w:lang w:val="x-none"/>
        </w:rPr>
      </w:pPr>
      <w:r w:rsidRPr="00AB2DB3">
        <w:rPr>
          <w:rFonts w:ascii="Times New Roman" w:hAnsi="Times New Roman" w:cs="Times New Roman"/>
          <w:b/>
          <w:bCs/>
          <w:noProof/>
          <w:lang w:val="x-none"/>
        </w:rPr>
        <w:t>Dodatkowa</w:t>
      </w:r>
      <w:r w:rsidRPr="00AB2DB3">
        <w:rPr>
          <w:rFonts w:ascii="Times New Roman" w:hAnsi="Times New Roman" w:cs="Times New Roman"/>
          <w:b/>
          <w:bCs/>
          <w:noProof/>
        </w:rPr>
        <w:t xml:space="preserve"> </w:t>
      </w:r>
      <w:r w:rsidRPr="00AB2DB3">
        <w:rPr>
          <w:rFonts w:ascii="Times New Roman" w:hAnsi="Times New Roman" w:cs="Times New Roman"/>
          <w:b/>
          <w:bCs/>
          <w:noProof/>
          <w:lang w:val="x-none"/>
        </w:rPr>
        <w:t>ochrona przeciwporażeniowa</w:t>
      </w:r>
      <w:r w:rsidRPr="00AB2DB3">
        <w:rPr>
          <w:rFonts w:ascii="Times New Roman" w:hAnsi="Times New Roman" w:cs="Times New Roman"/>
          <w:b/>
          <w:bCs/>
          <w:noProof/>
        </w:rPr>
        <w:t xml:space="preserve"> </w:t>
      </w:r>
      <w:r w:rsidRPr="00AB2DB3">
        <w:rPr>
          <w:rFonts w:ascii="Times New Roman" w:hAnsi="Times New Roman" w:cs="Times New Roman"/>
          <w:noProof/>
          <w:lang w:val="x-none"/>
        </w:rPr>
        <w:t>- ochrona części przewodzących,</w:t>
      </w:r>
      <w:r w:rsidRPr="00AB2DB3">
        <w:rPr>
          <w:rFonts w:ascii="Times New Roman" w:hAnsi="Times New Roman" w:cs="Times New Roman"/>
          <w:noProof/>
        </w:rPr>
        <w:t xml:space="preserve"> </w:t>
      </w:r>
      <w:r w:rsidRPr="00AB2DB3">
        <w:rPr>
          <w:rFonts w:ascii="Times New Roman" w:hAnsi="Times New Roman" w:cs="Times New Roman"/>
          <w:noProof/>
          <w:lang w:val="x-none"/>
        </w:rPr>
        <w:t>dostępnych</w:t>
      </w:r>
      <w:r w:rsidRPr="00AB2DB3">
        <w:rPr>
          <w:rFonts w:ascii="Times New Roman" w:hAnsi="Times New Roman" w:cs="Times New Roman"/>
          <w:noProof/>
        </w:rPr>
        <w:t xml:space="preserve"> </w:t>
      </w:r>
      <w:r w:rsidRPr="00AB2DB3">
        <w:rPr>
          <w:rFonts w:ascii="Times New Roman" w:hAnsi="Times New Roman" w:cs="Times New Roman"/>
          <w:noProof/>
          <w:lang w:val="x-none"/>
        </w:rPr>
        <w:t>w wypadku</w:t>
      </w:r>
      <w:r w:rsidRPr="00AB2DB3">
        <w:rPr>
          <w:rFonts w:ascii="Times New Roman" w:hAnsi="Times New Roman" w:cs="Times New Roman"/>
          <w:noProof/>
        </w:rPr>
        <w:t xml:space="preserve"> </w:t>
      </w:r>
      <w:r w:rsidRPr="00AB2DB3">
        <w:rPr>
          <w:rFonts w:ascii="Times New Roman" w:hAnsi="Times New Roman" w:cs="Times New Roman"/>
          <w:noProof/>
          <w:lang w:val="x-none"/>
        </w:rPr>
        <w:t>pojawieni</w:t>
      </w:r>
      <w:r w:rsidRPr="00AB2DB3">
        <w:rPr>
          <w:rFonts w:ascii="Times New Roman" w:hAnsi="Times New Roman" w:cs="Times New Roman"/>
          <w:noProof/>
        </w:rPr>
        <w:t>a</w:t>
      </w:r>
      <w:r w:rsidRPr="00AB2DB3">
        <w:rPr>
          <w:rFonts w:ascii="Times New Roman" w:hAnsi="Times New Roman" w:cs="Times New Roman"/>
          <w:noProof/>
          <w:lang w:val="x-none"/>
        </w:rPr>
        <w:t xml:space="preserve"> się</w:t>
      </w:r>
      <w:r w:rsidRPr="00AB2DB3">
        <w:rPr>
          <w:rFonts w:ascii="Times New Roman" w:hAnsi="Times New Roman" w:cs="Times New Roman"/>
          <w:noProof/>
        </w:rPr>
        <w:t xml:space="preserve"> </w:t>
      </w:r>
      <w:r w:rsidRPr="00AB2DB3">
        <w:rPr>
          <w:rFonts w:ascii="Times New Roman" w:hAnsi="Times New Roman" w:cs="Times New Roman"/>
          <w:noProof/>
          <w:lang w:val="x-none"/>
        </w:rPr>
        <w:t>na</w:t>
      </w:r>
      <w:r w:rsidRPr="00AB2DB3">
        <w:rPr>
          <w:rFonts w:ascii="Times New Roman" w:hAnsi="Times New Roman" w:cs="Times New Roman"/>
          <w:noProof/>
        </w:rPr>
        <w:t xml:space="preserve"> </w:t>
      </w:r>
      <w:r w:rsidRPr="00AB2DB3">
        <w:rPr>
          <w:rFonts w:ascii="Times New Roman" w:hAnsi="Times New Roman" w:cs="Times New Roman"/>
          <w:noProof/>
          <w:lang w:val="x-none"/>
        </w:rPr>
        <w:t>nich napięcia w warunkach</w:t>
      </w:r>
      <w:r w:rsidRPr="00AB2DB3">
        <w:rPr>
          <w:rFonts w:ascii="Times New Roman" w:hAnsi="Times New Roman" w:cs="Times New Roman"/>
          <w:noProof/>
        </w:rPr>
        <w:t xml:space="preserve"> </w:t>
      </w:r>
      <w:r w:rsidRPr="00AB2DB3">
        <w:rPr>
          <w:rFonts w:ascii="Times New Roman" w:hAnsi="Times New Roman" w:cs="Times New Roman"/>
          <w:noProof/>
          <w:lang w:val="x-none"/>
        </w:rPr>
        <w:t>zakłóceniowych.</w:t>
      </w:r>
    </w:p>
    <w:p w14:paraId="4A9BBFEB" w14:textId="77777777" w:rsidR="00AB2DB3" w:rsidRPr="00AB2DB3" w:rsidRDefault="00AB2DB3" w:rsidP="00BA0803">
      <w:pPr>
        <w:spacing w:before="15" w:after="45"/>
        <w:jc w:val="both"/>
        <w:rPr>
          <w:rFonts w:ascii="Times New Roman" w:hAnsi="Times New Roman" w:cs="Times New Roman"/>
          <w:b/>
          <w:bCs/>
          <w:noProof/>
          <w:lang w:val="x-none"/>
        </w:rPr>
      </w:pPr>
      <w:r w:rsidRPr="00AB2DB3">
        <w:rPr>
          <w:rFonts w:ascii="Times New Roman" w:hAnsi="Times New Roman" w:cs="Times New Roman"/>
          <w:b/>
          <w:bCs/>
          <w:noProof/>
          <w:lang w:val="x-none"/>
        </w:rPr>
        <w:t xml:space="preserve">Pas drogowy </w:t>
      </w:r>
      <w:r w:rsidRPr="00AB2DB3">
        <w:rPr>
          <w:rFonts w:ascii="Times New Roman" w:hAnsi="Times New Roman" w:cs="Times New Roman"/>
          <w:noProof/>
          <w:lang w:val="x-none"/>
        </w:rPr>
        <w:t>- wydzielony liniami granicznymi pas terenu obejmujący drogę i</w:t>
      </w:r>
      <w:r w:rsidRPr="00AB2DB3">
        <w:rPr>
          <w:rFonts w:ascii="Times New Roman" w:hAnsi="Times New Roman" w:cs="Times New Roman"/>
          <w:noProof/>
        </w:rPr>
        <w:t xml:space="preserve"> </w:t>
      </w:r>
      <w:r w:rsidRPr="00AB2DB3">
        <w:rPr>
          <w:rFonts w:ascii="Times New Roman" w:hAnsi="Times New Roman" w:cs="Times New Roman"/>
          <w:noProof/>
          <w:lang w:val="x-none"/>
        </w:rPr>
        <w:t>związane z nią urządzenia oraz</w:t>
      </w:r>
      <w:r w:rsidRPr="00AB2DB3">
        <w:rPr>
          <w:rFonts w:ascii="Times New Roman" w:hAnsi="Times New Roman" w:cs="Times New Roman"/>
          <w:noProof/>
        </w:rPr>
        <w:t xml:space="preserve"> </w:t>
      </w:r>
      <w:r w:rsidRPr="00AB2DB3">
        <w:rPr>
          <w:rFonts w:ascii="Times New Roman" w:hAnsi="Times New Roman" w:cs="Times New Roman"/>
          <w:noProof/>
          <w:lang w:val="x-none"/>
        </w:rPr>
        <w:t>drzewa i krzewy. Pas drogowy może również</w:t>
      </w:r>
      <w:r w:rsidRPr="00AB2DB3">
        <w:rPr>
          <w:rFonts w:ascii="Times New Roman" w:hAnsi="Times New Roman" w:cs="Times New Roman"/>
          <w:noProof/>
        </w:rPr>
        <w:t xml:space="preserve"> </w:t>
      </w:r>
      <w:r w:rsidRPr="00AB2DB3">
        <w:rPr>
          <w:rFonts w:ascii="Times New Roman" w:hAnsi="Times New Roman" w:cs="Times New Roman"/>
          <w:noProof/>
          <w:lang w:val="x-none"/>
        </w:rPr>
        <w:t>obejmować teren przewidziany do rozbudowy drogi i budowy urządzeń chroniących</w:t>
      </w:r>
      <w:r w:rsidRPr="00AB2DB3">
        <w:rPr>
          <w:rFonts w:ascii="Times New Roman" w:hAnsi="Times New Roman" w:cs="Times New Roman"/>
          <w:noProof/>
        </w:rPr>
        <w:t xml:space="preserve"> </w:t>
      </w:r>
      <w:r w:rsidRPr="00AB2DB3">
        <w:rPr>
          <w:rFonts w:ascii="Times New Roman" w:hAnsi="Times New Roman" w:cs="Times New Roman"/>
          <w:noProof/>
          <w:lang w:val="x-none"/>
        </w:rPr>
        <w:t>ludzi i środowisko przed uciążliwościami powodowanymi przez ruch na drodze.</w:t>
      </w:r>
    </w:p>
    <w:p w14:paraId="541E85E4"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b/>
          <w:bCs/>
          <w:noProof/>
          <w:lang w:val="x-none"/>
        </w:rPr>
        <w:t xml:space="preserve">Mufa kablowa </w:t>
      </w:r>
      <w:r w:rsidRPr="00AB2DB3">
        <w:rPr>
          <w:rFonts w:ascii="Times New Roman" w:hAnsi="Times New Roman" w:cs="Times New Roman"/>
          <w:noProof/>
          <w:lang w:val="x-none"/>
        </w:rPr>
        <w:t>– osprzęt kablowy służący połączeniu odcinków kabla lub kabli.</w:t>
      </w:r>
    </w:p>
    <w:p w14:paraId="32036EC5" w14:textId="77777777" w:rsidR="00AB2DB3" w:rsidRPr="00AB2DB3" w:rsidRDefault="00AB2DB3" w:rsidP="00BA0803">
      <w:pPr>
        <w:pStyle w:val="Tekstpodstawowy31"/>
        <w:rPr>
          <w:sz w:val="22"/>
          <w:szCs w:val="22"/>
        </w:rPr>
      </w:pPr>
      <w:r w:rsidRPr="00AB2DB3">
        <w:rPr>
          <w:b/>
          <w:bCs/>
          <w:sz w:val="22"/>
          <w:szCs w:val="22"/>
        </w:rPr>
        <w:t>Przygotowanie podłoża</w:t>
      </w:r>
      <w:r w:rsidRPr="00AB2DB3">
        <w:rPr>
          <w:sz w:val="22"/>
          <w:szCs w:val="22"/>
        </w:rPr>
        <w:t xml:space="preserve"> – zespół czynności wykonywanych przed układaniem przewodów mających na celu zapewnienie możliwości ułożenia przewodów zgodnie z dokumentacją; tu zalicza się następujące grupy czynności:</w:t>
      </w:r>
    </w:p>
    <w:p w14:paraId="48BD477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wiercenie i przebijanie otworów przelotowych i nieprzelotowych;</w:t>
      </w:r>
    </w:p>
    <w:p w14:paraId="206BA083"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osadzanie kołków w podłożu, w tym ich wstrzeliwanie;</w:t>
      </w:r>
    </w:p>
    <w:p w14:paraId="5BF973D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montażu uchwytów do rur i przewodów;</w:t>
      </w:r>
    </w:p>
    <w:p w14:paraId="0BDEE0E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konstrukcji wsporczych.</w:t>
      </w:r>
    </w:p>
    <w:p w14:paraId="006765FA" w14:textId="77777777" w:rsidR="00AB2DB3" w:rsidRPr="00AB2DB3" w:rsidRDefault="00AB2DB3" w:rsidP="00BA0803">
      <w:pPr>
        <w:spacing w:before="15" w:after="45"/>
        <w:jc w:val="both"/>
        <w:rPr>
          <w:rFonts w:ascii="Times New Roman" w:hAnsi="Times New Roman" w:cs="Times New Roman"/>
          <w:noProof/>
        </w:rPr>
      </w:pPr>
      <w:r w:rsidRPr="00AB2DB3">
        <w:rPr>
          <w:rFonts w:ascii="Times New Roman" w:hAnsi="Times New Roman" w:cs="Times New Roman"/>
          <w:noProof/>
        </w:rPr>
        <w:t>Pozostałe oreślenia zgodnie z obowiązującymi odpowiednimi polskimi normami.</w:t>
      </w:r>
    </w:p>
    <w:p w14:paraId="19BFC9B1" w14:textId="77777777" w:rsidR="00AB2DB3" w:rsidRPr="00AB2DB3" w:rsidRDefault="00AB2DB3" w:rsidP="00BA0803">
      <w:pPr>
        <w:pStyle w:val="Tekstpodstawowy31"/>
        <w:rPr>
          <w:sz w:val="22"/>
          <w:szCs w:val="22"/>
        </w:rPr>
      </w:pPr>
    </w:p>
    <w:p w14:paraId="6DA942AC"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 xml:space="preserve">1.6. </w:t>
      </w:r>
      <w:r w:rsidRPr="00AB2DB3">
        <w:rPr>
          <w:rFonts w:ascii="Times New Roman" w:hAnsi="Times New Roman" w:cs="Times New Roman"/>
          <w:b/>
          <w:bCs/>
          <w:noProof/>
          <w:lang w:eastAsia="pl-PL"/>
        </w:rPr>
        <w:t>W</w:t>
      </w:r>
      <w:r w:rsidRPr="00AB2DB3">
        <w:rPr>
          <w:rFonts w:ascii="Times New Roman" w:hAnsi="Times New Roman" w:cs="Times New Roman"/>
          <w:b/>
          <w:bCs/>
          <w:noProof/>
          <w:lang w:val="x-none" w:eastAsia="pl-PL"/>
        </w:rPr>
        <w:t>ymagania dotyczące robót</w:t>
      </w:r>
    </w:p>
    <w:p w14:paraId="116FB19C" w14:textId="77777777" w:rsidR="00AB2DB3" w:rsidRPr="00AB2DB3" w:rsidRDefault="00AB2DB3" w:rsidP="00BA0803">
      <w:pPr>
        <w:pStyle w:val="Tekstpodstawowy31"/>
        <w:rPr>
          <w:sz w:val="22"/>
          <w:szCs w:val="22"/>
        </w:rPr>
      </w:pPr>
      <w:r w:rsidRPr="00AB2DB3">
        <w:rPr>
          <w:sz w:val="22"/>
          <w:szCs w:val="22"/>
        </w:rPr>
        <w:t xml:space="preserve">Wykonawca robót jest odpowiedzialny za jakość ich wykonania oraz za zgodność z dokumentacją projektową, specyfikacjami technicznymi i poleceniami Inspektora nadzoru. </w:t>
      </w:r>
    </w:p>
    <w:p w14:paraId="04FD73BC" w14:textId="77777777" w:rsidR="00AB2DB3" w:rsidRPr="00AB2DB3" w:rsidRDefault="00AB2DB3" w:rsidP="00BA0803">
      <w:pPr>
        <w:pStyle w:val="Tekstpodstawowy31"/>
        <w:rPr>
          <w:sz w:val="22"/>
          <w:szCs w:val="22"/>
        </w:rPr>
      </w:pPr>
      <w:r w:rsidRPr="00AB2DB3">
        <w:rPr>
          <w:sz w:val="22"/>
          <w:szCs w:val="22"/>
        </w:rPr>
        <w:lastRenderedPageBreak/>
        <w:t xml:space="preserve">W czasie realizacji robót należy uwzględniać również wytyczne i instrukcje montażowe opracowane przez producenta urządzeń, materiałów. </w:t>
      </w:r>
    </w:p>
    <w:p w14:paraId="0A4DA068" w14:textId="77777777" w:rsidR="00AB2DB3" w:rsidRPr="00AB2DB3" w:rsidRDefault="00AB2DB3" w:rsidP="00BA0803">
      <w:pPr>
        <w:pStyle w:val="Tekstpodstawowy31"/>
        <w:rPr>
          <w:sz w:val="22"/>
          <w:szCs w:val="22"/>
        </w:rPr>
      </w:pPr>
      <w:r w:rsidRPr="00AB2DB3">
        <w:rPr>
          <w:sz w:val="22"/>
          <w:szCs w:val="22"/>
        </w:rPr>
        <w:t>Montaż elementów instalacji linii energetycznych należy wykonywać na podstawie dokumentacji projektowej i szczegółowej specyfikacji technicznej wykonania i odbioru robót montażowych i instalacyjnych, opracowanych dla konkretnego przedmiotu zamówienia.</w:t>
      </w:r>
    </w:p>
    <w:p w14:paraId="5F0F7698" w14:textId="77777777" w:rsidR="00AB2DB3" w:rsidRPr="00AB2DB3" w:rsidRDefault="00AB2DB3" w:rsidP="00BA0803">
      <w:pPr>
        <w:pStyle w:val="Tekstpodstawowy31"/>
        <w:rPr>
          <w:sz w:val="22"/>
          <w:szCs w:val="22"/>
        </w:rPr>
      </w:pPr>
    </w:p>
    <w:p w14:paraId="6F4583A0"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eastAsia="pl-PL"/>
        </w:rPr>
        <w:t xml:space="preserve">1.7 </w:t>
      </w:r>
      <w:r w:rsidRPr="00AB2DB3">
        <w:rPr>
          <w:rFonts w:ascii="Times New Roman" w:hAnsi="Times New Roman" w:cs="Times New Roman"/>
          <w:b/>
          <w:bCs/>
          <w:noProof/>
          <w:lang w:val="x-none" w:eastAsia="pl-PL"/>
        </w:rPr>
        <w:t>Zgodność robót z dokumentacją projektową i ST</w:t>
      </w:r>
    </w:p>
    <w:p w14:paraId="58D78C3B" w14:textId="77777777" w:rsidR="00AB2DB3" w:rsidRPr="00AB2DB3" w:rsidRDefault="00AB2DB3" w:rsidP="00BA0803">
      <w:pPr>
        <w:tabs>
          <w:tab w:val="left" w:pos="705"/>
          <w:tab w:val="right" w:leader="dot" w:pos="9075"/>
        </w:tabs>
        <w:autoSpaceDE w:val="0"/>
        <w:autoSpaceDN w:val="0"/>
        <w:adjustRightInd w:val="0"/>
        <w:spacing w:after="45"/>
        <w:jc w:val="both"/>
        <w:rPr>
          <w:rFonts w:ascii="Times New Roman" w:hAnsi="Times New Roman" w:cs="Times New Roman"/>
          <w:noProof/>
          <w:lang w:val="x-none"/>
        </w:rPr>
      </w:pPr>
      <w:r w:rsidRPr="00AB2DB3">
        <w:rPr>
          <w:rFonts w:ascii="Times New Roman" w:hAnsi="Times New Roman" w:cs="Times New Roman"/>
          <w:noProof/>
          <w:lang w:val="x-none"/>
        </w:rPr>
        <w:t>Dokumentacja projektowa, SST oraz dodatkowe dokumenty przekazane Wykonawcy przez Inspektora nadzoru stanowią załączniki do umowy, a wymagania wyszczególnione w choćby jednym z nich są obowiązujące dla Wykonawcy tak, jakby zawarte były w całej dokumentacji.</w:t>
      </w:r>
    </w:p>
    <w:p w14:paraId="602B9E0E"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rozbieżności w ustaleniach poszczególnych dokumentów obowiązuje kolejność ich ważności wymieniona w „Ogólnych warunkach umowy”.</w:t>
      </w:r>
    </w:p>
    <w:p w14:paraId="045B6B23"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Wykonawca nie może wykorzystywać błędów lub opuszczeń w dokumentach kontraktowych, a o ich wykryciu winien natychmiast powiadomić Inspektora nadzoru, który dokona odpowiednich zmian i poprawek.</w:t>
      </w:r>
    </w:p>
    <w:p w14:paraId="4229CE58"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stwierdzenia ewentualnych rozbieżności podane na rysunku wielkości liczbowe wymiarów są ważniejsze od odczytu ze skali rysunków.</w:t>
      </w:r>
    </w:p>
    <w:p w14:paraId="58DDDB63"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Wszystkie wykonane roboty i dostarczone materiały mają być zgodne z dokumentacją projektową i ST.</w:t>
      </w:r>
    </w:p>
    <w:p w14:paraId="52364180"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r w:rsidRPr="00AB2DB3">
        <w:rPr>
          <w:rFonts w:ascii="Times New Roman" w:hAnsi="Times New Roman" w:cs="Times New Roman"/>
          <w:noProof/>
          <w:lang w:val="x-none"/>
        </w:rPr>
        <w:tab/>
        <w:t>W przypadku, gdy dostarczane materiały lub wykonane roboty nie będą zgodne z dokumentacją projektową lub ST i mają wpływ na niezadowalającą jakość elementu budowli, to takie materiały zostaną zastąpione innymi, a elementy budowli rozebrane i wykonane ponownie na koszt wykonawcy.</w:t>
      </w:r>
    </w:p>
    <w:p w14:paraId="067BB1DB" w14:textId="77777777" w:rsidR="00AB2DB3" w:rsidRPr="00AB2DB3" w:rsidRDefault="00AB2DB3" w:rsidP="00BA0803">
      <w:pPr>
        <w:tabs>
          <w:tab w:val="left" w:pos="285"/>
          <w:tab w:val="right" w:leader="dot" w:pos="9075"/>
        </w:tabs>
        <w:autoSpaceDE w:val="0"/>
        <w:autoSpaceDN w:val="0"/>
        <w:adjustRightInd w:val="0"/>
        <w:spacing w:before="45" w:after="45"/>
        <w:jc w:val="both"/>
        <w:rPr>
          <w:rFonts w:ascii="Times New Roman" w:hAnsi="Times New Roman" w:cs="Times New Roman"/>
          <w:noProof/>
          <w:lang w:val="x-none"/>
        </w:rPr>
      </w:pPr>
    </w:p>
    <w:p w14:paraId="5262D6AE"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eastAsia="pl-PL"/>
        </w:rPr>
        <w:t xml:space="preserve">1.8 </w:t>
      </w:r>
      <w:r w:rsidRPr="00AB2DB3">
        <w:rPr>
          <w:rFonts w:ascii="Times New Roman" w:hAnsi="Times New Roman" w:cs="Times New Roman"/>
          <w:b/>
          <w:bCs/>
          <w:noProof/>
          <w:lang w:val="x-none" w:eastAsia="pl-PL"/>
        </w:rPr>
        <w:t>Ochrona własności publicznej i prywatnej</w:t>
      </w:r>
    </w:p>
    <w:p w14:paraId="34D2ACED" w14:textId="77777777" w:rsidR="00AB2DB3" w:rsidRPr="00AB2DB3" w:rsidRDefault="00AB2DB3" w:rsidP="00BA0803">
      <w:pPr>
        <w:tabs>
          <w:tab w:val="left" w:pos="705"/>
          <w:tab w:val="right" w:leader="dot" w:pos="9075"/>
        </w:tabs>
        <w:autoSpaceDE w:val="0"/>
        <w:autoSpaceDN w:val="0"/>
        <w:adjustRightInd w:val="0"/>
        <w:spacing w:before="45" w:after="45"/>
        <w:jc w:val="both"/>
        <w:rPr>
          <w:rFonts w:ascii="Times New Roman" w:hAnsi="Times New Roman" w:cs="Times New Roman"/>
          <w:noProof/>
        </w:rPr>
      </w:pPr>
      <w:r w:rsidRPr="00AB2DB3">
        <w:rPr>
          <w:rFonts w:ascii="Times New Roman" w:hAnsi="Times New Roman" w:cs="Times New Roman"/>
          <w:noProof/>
          <w:lang w:val="x-none"/>
        </w:rPr>
        <w:t>Wykonawca odpowiada za ochronę instalacji na powierzchni ziemi i za urządzenia podziemne, takie jak rurociągi, kable itp. Wykonawca zapewni właściwe oznaczenie i zabezpieczenie przed uszkodzeniem tych instalacji i urządzeń w czasie trwania budowy.</w:t>
      </w:r>
      <w:r w:rsidRPr="00AB2DB3">
        <w:rPr>
          <w:rFonts w:ascii="Times New Roman" w:hAnsi="Times New Roman" w:cs="Times New Roman"/>
          <w:noProof/>
        </w:rPr>
        <w:t xml:space="preserve"> </w:t>
      </w:r>
      <w:r w:rsidRPr="00AB2DB3">
        <w:rPr>
          <w:rFonts w:ascii="Times New Roman" w:hAnsi="Times New Roman" w:cs="Times New Roman"/>
          <w:noProof/>
          <w:lang w:val="x-none"/>
        </w:rPr>
        <w:t>O fakcie przypadkowego uszkodzenia tych instalacji Wykonawca bezzwłocznie powiadomi Inspektora nadzoru i zainteresowanych użytkowników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1140C02A" w14:textId="77777777" w:rsidR="00AB2DB3" w:rsidRPr="00AB2DB3" w:rsidRDefault="00AB2DB3" w:rsidP="00BA0803">
      <w:pPr>
        <w:pStyle w:val="Tekstpodstawowy31"/>
        <w:rPr>
          <w:sz w:val="22"/>
          <w:szCs w:val="22"/>
        </w:rPr>
      </w:pPr>
    </w:p>
    <w:p w14:paraId="7C18CA58"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2. WYMAGANIA DOTYCZĄCE WŁAŚCIWOŚCI MATERIAŁÓW</w:t>
      </w:r>
    </w:p>
    <w:p w14:paraId="5E178FEC" w14:textId="77777777" w:rsidR="00AB2DB3" w:rsidRPr="00AB2DB3" w:rsidRDefault="00AB2DB3" w:rsidP="00BA0803">
      <w:pPr>
        <w:pStyle w:val="Tekstpodstawowy31"/>
        <w:rPr>
          <w:sz w:val="22"/>
          <w:szCs w:val="22"/>
        </w:rPr>
      </w:pPr>
      <w:r w:rsidRPr="00AB2DB3">
        <w:rPr>
          <w:sz w:val="22"/>
          <w:szCs w:val="22"/>
        </w:rPr>
        <w:t>Wszelkie nazwy własne produktów i materiałów przywołane w specyfikacji służą ustaleniu pożądanego standardu wykonania i określenia właściwości i wymogów technicznych założonych w dokumentacji technicznej dla projektowanych rozwiązań.</w:t>
      </w:r>
    </w:p>
    <w:p w14:paraId="48F9379C" w14:textId="77777777" w:rsidR="00AB2DB3" w:rsidRPr="00AB2DB3" w:rsidRDefault="00AB2DB3" w:rsidP="00BA0803">
      <w:pPr>
        <w:pStyle w:val="Tekstpodstawowy31"/>
        <w:rPr>
          <w:sz w:val="22"/>
          <w:szCs w:val="22"/>
        </w:rPr>
      </w:pPr>
      <w:r w:rsidRPr="00AB2DB3">
        <w:rPr>
          <w:sz w:val="22"/>
          <w:szCs w:val="22"/>
        </w:rPr>
        <w:t>Dopuszcza się zamieszczenie rozwiązań w oparciu o produkty (wyroby) innych producentów pod warunkiem:</w:t>
      </w:r>
    </w:p>
    <w:p w14:paraId="1BD74493"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spełniania tych samych właściwości technicznych,</w:t>
      </w:r>
    </w:p>
    <w:p w14:paraId="2C6E7A4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przedstawienia zamiennych rozwiązań na piśmie (dane techniczne, atesty, dopuszczenia do stosowania, uzyskanie akceptacji projektanta).</w:t>
      </w:r>
    </w:p>
    <w:p w14:paraId="25556BC1"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eastAsia="pl-PL"/>
        </w:rPr>
      </w:pPr>
      <w:r w:rsidRPr="00AB2DB3">
        <w:rPr>
          <w:rFonts w:ascii="Times New Roman" w:hAnsi="Times New Roman" w:cs="Times New Roman"/>
          <w:b/>
          <w:bCs/>
          <w:noProof/>
          <w:lang w:val="x-none" w:eastAsia="pl-PL"/>
        </w:rPr>
        <w:t>2.1.</w:t>
      </w:r>
      <w:r w:rsidRPr="00AB2DB3">
        <w:rPr>
          <w:rFonts w:ascii="Times New Roman" w:hAnsi="Times New Roman" w:cs="Times New Roman"/>
          <w:b/>
          <w:bCs/>
          <w:noProof/>
          <w:lang w:eastAsia="pl-PL"/>
        </w:rPr>
        <w:t>W</w:t>
      </w:r>
      <w:r w:rsidRPr="00AB2DB3">
        <w:rPr>
          <w:rFonts w:ascii="Times New Roman" w:hAnsi="Times New Roman" w:cs="Times New Roman"/>
          <w:b/>
          <w:bCs/>
          <w:noProof/>
          <w:lang w:val="x-none" w:eastAsia="pl-PL"/>
        </w:rPr>
        <w:t xml:space="preserve">ymagania dotyczące właściwości materiałów i składowania </w:t>
      </w:r>
    </w:p>
    <w:p w14:paraId="591397EA" w14:textId="77777777" w:rsidR="00AB2DB3" w:rsidRPr="00AB2DB3" w:rsidRDefault="00AB2DB3" w:rsidP="00BA0803">
      <w:pPr>
        <w:pStyle w:val="Tekstpodstawowy31"/>
        <w:rPr>
          <w:sz w:val="22"/>
          <w:szCs w:val="22"/>
        </w:rPr>
      </w:pPr>
      <w:r w:rsidRPr="00AB2DB3">
        <w:rPr>
          <w:sz w:val="22"/>
          <w:szCs w:val="22"/>
        </w:rPr>
        <w:t>Do wykonania i montażu instalacji, urządzeń elektrycznych i odbiorników energii elektrycznej w obiektach budowlanych należy stosować przewody, kable, osprzęt oraz aparaturę i urządzenia elektryczne posiadające dopuszczenie do stosowania w budownictwie.</w:t>
      </w:r>
    </w:p>
    <w:p w14:paraId="5FB7CCD0" w14:textId="77777777" w:rsidR="00AB2DB3" w:rsidRPr="00AB2DB3" w:rsidRDefault="00AB2DB3" w:rsidP="00BA0803">
      <w:pPr>
        <w:pStyle w:val="Tekstpodstawowy31"/>
        <w:rPr>
          <w:sz w:val="22"/>
          <w:szCs w:val="22"/>
        </w:rPr>
      </w:pPr>
      <w:r w:rsidRPr="00AB2DB3">
        <w:rPr>
          <w:sz w:val="22"/>
          <w:szCs w:val="22"/>
        </w:rPr>
        <w:t>Za dopuszczone do obrotu i stosowania uznaje się wyroby, dla których producent lub jego upoważniony przedstawiciel:</w:t>
      </w:r>
    </w:p>
    <w:p w14:paraId="29393B7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lastRenderedPageBreak/>
        <w:t xml:space="preserve">– </w:t>
      </w:r>
      <w:r w:rsidRPr="00AB2DB3">
        <w:rPr>
          <w:rFonts w:ascii="Times New Roman" w:hAnsi="Times New Roman" w:cs="Times New Roman"/>
        </w:rPr>
        <w:tab/>
        <w:t>dokonał oceny zgodności z dokumentami odniesienia według określonego systemu oceny zgodności,</w:t>
      </w:r>
    </w:p>
    <w:p w14:paraId="13AB911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wydał deklaracje zgodności z dokumentami odniesienia, takimi jak: zharmonizowane specyfikacje techniczne, normy opracowane przez Międzynarodową Komisje Elektrotechniczna (IEC) i wprowadzone do zbioru Polskich Norm, normy krajowe opracowane z uwzględnieniem przepisów bezpieczeństwa Międzynarodowej Komisji ds. Przepisów Dotyczących Zatwierdzenia Sprzętu Elektrycznego (CEE), aprobaty techniczne,</w:t>
      </w:r>
    </w:p>
    <w:p w14:paraId="37E9C3B2"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oznakował wyroby znakiem CE lub znakiem budowlanym B zgodnie z obowiązującymi przepisami,</w:t>
      </w:r>
    </w:p>
    <w:p w14:paraId="1E05612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wydał deklarację zgodności z uznanymi regułami sztuki budowlanej, dla wyrobu umieszczonego w określonym przez Komisję Europejską wykazie wyrobów mających niewielkie znaczenie dla zdrowia i bezpieczeństwa,</w:t>
      </w:r>
    </w:p>
    <w:p w14:paraId="4F6DC933"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wydał oświadczenie, że zapewniono zgodność wyrobu budowlanego, dopuszczonego do jednostkowego zastosowania w obiekcie budowlanym, z indywidualną dokumentacją projektową, sporządzoną przez projektanta obiektu lub z nim uzgodnioną.</w:t>
      </w:r>
    </w:p>
    <w:p w14:paraId="41CC78CD" w14:textId="77777777" w:rsidR="00AB2DB3" w:rsidRPr="00AB2DB3" w:rsidRDefault="00AB2DB3" w:rsidP="00BA0803">
      <w:pPr>
        <w:pStyle w:val="Tekstpodstawowy31"/>
        <w:rPr>
          <w:sz w:val="22"/>
          <w:szCs w:val="22"/>
        </w:rPr>
      </w:pPr>
      <w:r w:rsidRPr="00AB2DB3">
        <w:rPr>
          <w:sz w:val="22"/>
          <w:szCs w:val="22"/>
        </w:rPr>
        <w:t>Zastosowanie innych wyrobów, wyżej nie wymienionych, jest możliwe pod warunkiem posiadania przez nie dopuszczenia do stosowania w budownictwie i uwzględnienia ich w zatwierdzonym projekcie dotyczącym montażu urządzeń elektroenergetycznych w obiekcie budowlanym.</w:t>
      </w:r>
    </w:p>
    <w:p w14:paraId="5C43310E" w14:textId="77777777" w:rsidR="00AB2DB3" w:rsidRPr="00AB2DB3" w:rsidRDefault="00AB2DB3" w:rsidP="00BA0803">
      <w:pPr>
        <w:pStyle w:val="Tekstpodstawowy31"/>
        <w:rPr>
          <w:sz w:val="22"/>
          <w:szCs w:val="22"/>
        </w:rPr>
      </w:pPr>
    </w:p>
    <w:p w14:paraId="18BDC519"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2.2. Rodzaje materiałów</w:t>
      </w:r>
    </w:p>
    <w:p w14:paraId="433F0FD9" w14:textId="77777777" w:rsidR="00AB2DB3" w:rsidRPr="00AB2DB3" w:rsidRDefault="00AB2DB3" w:rsidP="00BA0803">
      <w:pPr>
        <w:pStyle w:val="Tekstpodstawowy31"/>
        <w:rPr>
          <w:sz w:val="22"/>
          <w:szCs w:val="22"/>
        </w:rPr>
      </w:pPr>
      <w:r w:rsidRPr="00AB2DB3">
        <w:rPr>
          <w:sz w:val="22"/>
          <w:szCs w:val="22"/>
        </w:rPr>
        <w:t>Wszystkie materiały do wykonania instalacji elektrycznej powinny odpowiadać wymaganiom zawartym w dokumentach odniesienia (normach, aprobatach technicznych).</w:t>
      </w:r>
    </w:p>
    <w:p w14:paraId="654FC169" w14:textId="77777777" w:rsidR="00AB2DB3" w:rsidRPr="00AB2DB3" w:rsidRDefault="00AB2DB3" w:rsidP="00BA0803">
      <w:pPr>
        <w:pStyle w:val="Tekstpodstawowy31"/>
        <w:rPr>
          <w:sz w:val="22"/>
          <w:szCs w:val="22"/>
        </w:rPr>
      </w:pPr>
      <w:r w:rsidRPr="00AB2DB3">
        <w:rPr>
          <w:sz w:val="22"/>
          <w:szCs w:val="22"/>
        </w:rPr>
        <w:t>Jednocześnie praktyczne przykłady zastosowania elementów linii, w tym urządzeń elektroenergetycznych zawierają opracowania typizacyjne – szczególnie albumy specjalizujących się w tym zakresie biur projektowych.</w:t>
      </w:r>
    </w:p>
    <w:p w14:paraId="3FBBC138" w14:textId="77777777" w:rsidR="00AB2DB3" w:rsidRPr="00AB2DB3" w:rsidRDefault="00AB2DB3" w:rsidP="00BA0803">
      <w:pPr>
        <w:tabs>
          <w:tab w:val="left" w:pos="285"/>
          <w:tab w:val="right" w:leader="dot" w:pos="9075"/>
        </w:tabs>
        <w:spacing w:before="15" w:after="45"/>
        <w:jc w:val="both"/>
        <w:rPr>
          <w:rFonts w:ascii="Times New Roman" w:hAnsi="Times New Roman" w:cs="Times New Roman"/>
          <w:noProof/>
        </w:rPr>
      </w:pPr>
      <w:r w:rsidRPr="00AB2DB3">
        <w:rPr>
          <w:rFonts w:ascii="Times New Roman" w:hAnsi="Times New Roman" w:cs="Times New Roman"/>
          <w:noProof/>
        </w:rPr>
        <w:t xml:space="preserve">Specyfikacja techniczna określa wykonywanie robót budowlanych z wykorzystaniem grup materiałów w skład której wchodzą między innymi: </w:t>
      </w:r>
    </w:p>
    <w:p w14:paraId="20F066A6" w14:textId="77777777" w:rsidR="00AB2DB3" w:rsidRPr="00AB2DB3" w:rsidRDefault="00AB2DB3" w:rsidP="00BA0803">
      <w:pPr>
        <w:spacing w:before="15" w:after="45"/>
        <w:ind w:firstLine="708"/>
        <w:jc w:val="both"/>
        <w:rPr>
          <w:rFonts w:ascii="Times New Roman" w:hAnsi="Times New Roman" w:cs="Times New Roman"/>
          <w:bCs/>
          <w:noProof/>
        </w:rPr>
      </w:pPr>
      <w:r w:rsidRPr="00AB2DB3">
        <w:rPr>
          <w:rFonts w:ascii="Times New Roman" w:hAnsi="Times New Roman" w:cs="Times New Roman"/>
          <w:noProof/>
        </w:rPr>
        <w:t xml:space="preserve">- </w:t>
      </w:r>
      <w:r w:rsidRPr="00AB2DB3">
        <w:rPr>
          <w:rFonts w:ascii="Times New Roman" w:hAnsi="Times New Roman" w:cs="Times New Roman"/>
          <w:bCs/>
          <w:noProof/>
          <w:lang w:val="x-none"/>
        </w:rPr>
        <w:t xml:space="preserve">Kable elektroenergetyczne </w:t>
      </w:r>
      <w:r w:rsidRPr="00AB2DB3">
        <w:rPr>
          <w:rFonts w:ascii="Times New Roman" w:hAnsi="Times New Roman" w:cs="Times New Roman"/>
          <w:bCs/>
          <w:noProof/>
        </w:rPr>
        <w:t xml:space="preserve">zasilające </w:t>
      </w:r>
      <w:r w:rsidRPr="00AB2DB3">
        <w:rPr>
          <w:rFonts w:ascii="Times New Roman" w:hAnsi="Times New Roman" w:cs="Times New Roman"/>
          <w:bCs/>
          <w:noProof/>
          <w:lang w:val="x-none"/>
        </w:rPr>
        <w:t>i sygnalizacyjne</w:t>
      </w:r>
      <w:r w:rsidRPr="00AB2DB3">
        <w:rPr>
          <w:rFonts w:ascii="Times New Roman" w:hAnsi="Times New Roman" w:cs="Times New Roman"/>
          <w:bCs/>
          <w:noProof/>
        </w:rPr>
        <w:t>,</w:t>
      </w:r>
    </w:p>
    <w:p w14:paraId="419EB7F6" w14:textId="77777777" w:rsidR="00AB2DB3" w:rsidRPr="00AB2DB3" w:rsidRDefault="00AB2DB3" w:rsidP="00BA0803">
      <w:pPr>
        <w:spacing w:before="15" w:after="45"/>
        <w:ind w:firstLine="708"/>
        <w:jc w:val="both"/>
        <w:rPr>
          <w:rFonts w:ascii="Times New Roman" w:hAnsi="Times New Roman" w:cs="Times New Roman"/>
          <w:lang w:val="x-none"/>
        </w:rPr>
      </w:pPr>
      <w:r w:rsidRPr="00AB2DB3">
        <w:rPr>
          <w:rFonts w:ascii="Times New Roman" w:hAnsi="Times New Roman" w:cs="Times New Roman"/>
        </w:rPr>
        <w:t xml:space="preserve">- </w:t>
      </w:r>
      <w:r w:rsidRPr="00AB2DB3">
        <w:rPr>
          <w:rFonts w:ascii="Times New Roman" w:hAnsi="Times New Roman" w:cs="Times New Roman"/>
          <w:bCs/>
          <w:noProof/>
          <w:lang w:val="x-none"/>
        </w:rPr>
        <w:t>Osprzęt kablowy</w:t>
      </w:r>
    </w:p>
    <w:p w14:paraId="0104210D" w14:textId="77777777" w:rsidR="00AB2DB3" w:rsidRPr="00AB2DB3" w:rsidRDefault="00AB2DB3" w:rsidP="00BA0803">
      <w:pPr>
        <w:spacing w:before="15" w:after="45"/>
        <w:ind w:firstLine="708"/>
        <w:jc w:val="both"/>
        <w:rPr>
          <w:rFonts w:ascii="Times New Roman" w:hAnsi="Times New Roman" w:cs="Times New Roman"/>
        </w:rPr>
      </w:pPr>
      <w:r w:rsidRPr="00AB2DB3">
        <w:rPr>
          <w:rFonts w:ascii="Times New Roman" w:hAnsi="Times New Roman" w:cs="Times New Roman"/>
          <w:noProof/>
        </w:rPr>
        <w:t xml:space="preserve">- </w:t>
      </w:r>
      <w:r w:rsidRPr="00AB2DB3">
        <w:rPr>
          <w:rFonts w:ascii="Times New Roman" w:hAnsi="Times New Roman" w:cs="Times New Roman"/>
          <w:bCs/>
          <w:noProof/>
        </w:rPr>
        <w:t>Oprawy oświetlenia ulicznego i zewnętrznego</w:t>
      </w:r>
    </w:p>
    <w:p w14:paraId="1674AA8B" w14:textId="77777777" w:rsidR="00AB2DB3" w:rsidRPr="00AB2DB3" w:rsidRDefault="00AB2DB3" w:rsidP="00BA0803">
      <w:pPr>
        <w:spacing w:before="15" w:after="45"/>
        <w:ind w:firstLine="708"/>
        <w:jc w:val="both"/>
        <w:rPr>
          <w:rFonts w:ascii="Times New Roman" w:hAnsi="Times New Roman" w:cs="Times New Roman"/>
          <w:bCs/>
          <w:noProof/>
        </w:rPr>
      </w:pPr>
      <w:r w:rsidRPr="00AB2DB3">
        <w:rPr>
          <w:rFonts w:ascii="Times New Roman" w:hAnsi="Times New Roman" w:cs="Times New Roman"/>
          <w:noProof/>
        </w:rPr>
        <w:t xml:space="preserve">- </w:t>
      </w:r>
      <w:r w:rsidRPr="00AB2DB3">
        <w:rPr>
          <w:rFonts w:ascii="Times New Roman" w:hAnsi="Times New Roman" w:cs="Times New Roman"/>
          <w:bCs/>
          <w:noProof/>
        </w:rPr>
        <w:t>Słupy betonowe, stalowe, aluminiowe i kompozytowe,</w:t>
      </w:r>
    </w:p>
    <w:p w14:paraId="14BF6088" w14:textId="77777777" w:rsidR="00AB2DB3" w:rsidRPr="00AB2DB3" w:rsidRDefault="00AB2DB3" w:rsidP="00BA0803">
      <w:pPr>
        <w:spacing w:before="15" w:after="45"/>
        <w:ind w:firstLine="708"/>
        <w:jc w:val="both"/>
        <w:rPr>
          <w:rFonts w:ascii="Times New Roman" w:hAnsi="Times New Roman" w:cs="Times New Roman"/>
        </w:rPr>
      </w:pPr>
      <w:r w:rsidRPr="00AB2DB3">
        <w:rPr>
          <w:rFonts w:ascii="Times New Roman" w:hAnsi="Times New Roman" w:cs="Times New Roman"/>
          <w:bCs/>
          <w:noProof/>
        </w:rPr>
        <w:t xml:space="preserve">- Konstrukcje i wysięgniki, </w:t>
      </w:r>
    </w:p>
    <w:p w14:paraId="0CE6EBB5"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2.2.1. Przewody – rodzaje i układy</w:t>
      </w:r>
    </w:p>
    <w:p w14:paraId="11ED339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a) </w:t>
      </w:r>
      <w:r w:rsidRPr="00AB2DB3">
        <w:rPr>
          <w:rFonts w:ascii="Times New Roman" w:hAnsi="Times New Roman" w:cs="Times New Roman"/>
        </w:rPr>
        <w:tab/>
        <w:t>Goła linka aluminiowa (symbol AL.) – stosowana dla linii niskich napięć, zalecane przekroje 16, 25, 35, 50, 70 i 120 mm2. Montaż dokonywany jest w płaskim lub naprzemianległym układzie przewodów. Uziemiony przewód neutralny może być umieszczony nad lub pod linia roboczą.</w:t>
      </w:r>
    </w:p>
    <w:p w14:paraId="53E200B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b) </w:t>
      </w:r>
      <w:r w:rsidRPr="00AB2DB3">
        <w:rPr>
          <w:rFonts w:ascii="Times New Roman" w:hAnsi="Times New Roman" w:cs="Times New Roman"/>
        </w:rPr>
        <w:tab/>
        <w:t>Izolowane, samonośne przewody dla linii niskich napięć, w postaci wiązek złożonych z aluminiowych, izolowanych linek w układzie czteroprzewodowym lub z dodatkowymi żyłami (symbol As + dodatkowe oznaczenia). Dodatkowe oznaczenia odnoszą się do izolacji i tak XS oznacza izolację z polietylenu usieciowanego, uodpornionego na działanie promieni świetlnych, XSn dodatkowo posiada odporność na rozprzestrzenianie się płomienia. Przekroje przewodów wg aktualnej oferty producentów są dostępne w przedziale: od 1x16 mm2 do 4x120 + 2x35 mm2.</w:t>
      </w:r>
    </w:p>
    <w:p w14:paraId="2042332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c) </w:t>
      </w:r>
      <w:r w:rsidRPr="00AB2DB3">
        <w:rPr>
          <w:rFonts w:ascii="Times New Roman" w:hAnsi="Times New Roman" w:cs="Times New Roman"/>
        </w:rPr>
        <w:tab/>
        <w:t xml:space="preserve">Kable używane wykonania sieci elektroenergetycznych oraz do oświetlenia dróg i terenów zewnętrznych powinny spełniać wymagania PN-93/E-90401. Zaleca się stosowanie kabli o </w:t>
      </w:r>
      <w:r w:rsidRPr="00AB2DB3">
        <w:rPr>
          <w:rFonts w:ascii="Times New Roman" w:hAnsi="Times New Roman" w:cs="Times New Roman"/>
        </w:rPr>
        <w:lastRenderedPageBreak/>
        <w:t xml:space="preserve">napięciu znamionowym 0,6/1 kV o żyłach aluminiowych w izolacji polwinitowej i powłoce polietylenowej. Przekrój żył powinien być dobrany w zależności od dopuszczalnego spadku napięcia, dopuszczalnej temperatury nagrzania kabla przez prądy robocze i zwarciowe oraz skuteczności ochrony przeciwporażeniowej w przypadku ochrony przed porażeniem za pomocą samoczynnego wyłączenia zasilania. Bębny z kablami należy przechowywać w miejscach pokrytych dachem, zabezpieczonych przed opadami atmosferycznymi i bezpośrednim działaniem promieni słonecznych. Należy zastosować następujące typy kabli i przewodów: </w:t>
      </w:r>
    </w:p>
    <w:p w14:paraId="26B21A7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d) </w:t>
      </w:r>
      <w:r w:rsidRPr="00AB2DB3">
        <w:rPr>
          <w:rFonts w:ascii="Times New Roman" w:hAnsi="Times New Roman" w:cs="Times New Roman"/>
        </w:rPr>
        <w:tab/>
        <w:t>Inne, które posiadają mieszane własności wymienione powyżej (szczegółowe typy aktualnych przekroje wg aktualnych ofert producentów).</w:t>
      </w:r>
    </w:p>
    <w:p w14:paraId="19AE2E42"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Ilości kabli i przewodów zgodnie z zestawieniem materiałów w projekcie technicznym.</w:t>
      </w:r>
    </w:p>
    <w:p w14:paraId="4A316A73"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2.2.2. Konstrukcje wsporcze</w:t>
      </w:r>
    </w:p>
    <w:p w14:paraId="64CD9AC3" w14:textId="77777777" w:rsidR="00AB2DB3" w:rsidRPr="00AB2DB3" w:rsidRDefault="00AB2DB3" w:rsidP="00BA0803">
      <w:pPr>
        <w:pStyle w:val="Tekstpodstawowy31"/>
        <w:rPr>
          <w:sz w:val="22"/>
          <w:szCs w:val="22"/>
        </w:rPr>
      </w:pPr>
      <w:r w:rsidRPr="00AB2DB3">
        <w:rPr>
          <w:sz w:val="22"/>
          <w:szCs w:val="22"/>
        </w:rPr>
        <w:t>Podstawowymi elementami napowietrznej linii energetycznej są słupy (konstrukcje wsporcze osadzone bezpośrednio w gruncie lub za pomocą fundamentu), których dobór uzależniony jest od napięcia znamionowego, liczby przewodów i ich przekroju, a także od typu terenu, po którym przebiegać ma linia. Jako materiał na słupy można stosować konstrukcje stalowe, żerdzie żelbetowe i strunobetonowe, do przedłużania których służą szczudła. Dla niektórych sieci remontowanych stosuje się także słupy drewniane.</w:t>
      </w:r>
    </w:p>
    <w:p w14:paraId="3EB714A4" w14:textId="77777777" w:rsidR="00AB2DB3" w:rsidRPr="00AB2DB3" w:rsidRDefault="00AB2DB3" w:rsidP="00BA0803">
      <w:pPr>
        <w:pStyle w:val="Tekstpodstawowy31"/>
        <w:rPr>
          <w:sz w:val="22"/>
          <w:szCs w:val="22"/>
        </w:rPr>
      </w:pPr>
      <w:r w:rsidRPr="00AB2DB3">
        <w:rPr>
          <w:sz w:val="22"/>
          <w:szCs w:val="22"/>
        </w:rPr>
        <w:t>Ze względu na zastosowany układ wyróżnia się następujące typy słupów betonowych:</w:t>
      </w:r>
    </w:p>
    <w:p w14:paraId="109F9D5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Pojedynczy – stosowany jako przelotowy („P”),</w:t>
      </w:r>
    </w:p>
    <w:p w14:paraId="5663CA34"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Bliźniaczy – powstaje przez złączenie (skręcenie śrubami) dwóch słupów pojedynczych; stosowany jako przelotowy („P”) lub skrzyżowaniowy („PS”),</w:t>
      </w:r>
    </w:p>
    <w:p w14:paraId="4D50FE3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Pojedynczy z podporą – stosowany jako narożny („N”), dla niewielkich kątów załamania,</w:t>
      </w:r>
    </w:p>
    <w:p w14:paraId="3734545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Rozkraczny – powstaje przez złączenie (skręcenie śrubami) dwóch żerdzi; stosowany jako przelotowo-rozgałęźny („PR”), narożny („N”), krańcowy („K”) i odporowy („O”),</w:t>
      </w:r>
    </w:p>
    <w:p w14:paraId="6D94BD2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Rozkraczny z podporą – stosowany jako odporowo-narożny („ON”) lub rozgałęźny („RKK”),</w:t>
      </w:r>
    </w:p>
    <w:p w14:paraId="7E29BE22"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Bramowy – powstaje przez złączenie (skręcenie śrubami) dwóch żerdzi z poprzeczką; stosowany jako przelotowy („P”) dla przewodów o dużym przekroju, narożny („N”), krańcowy („K”) i odporowy („O”).</w:t>
      </w:r>
    </w:p>
    <w:p w14:paraId="22702274" w14:textId="77777777" w:rsidR="00AB2DB3" w:rsidRPr="00AB2DB3" w:rsidRDefault="00AB2DB3" w:rsidP="00BA0803">
      <w:pPr>
        <w:pStyle w:val="Tekstpodstawowy31"/>
        <w:rPr>
          <w:sz w:val="22"/>
          <w:szCs w:val="22"/>
        </w:rPr>
      </w:pPr>
      <w:r w:rsidRPr="00AB2DB3">
        <w:rPr>
          <w:sz w:val="22"/>
          <w:szCs w:val="22"/>
        </w:rPr>
        <w:t>Wymiary wykopów, głębokość posadowienia, ilość i warunki użycia odpowiednich belek lub płyt ustojowych oraz zestaw elementów dodatkowych, potrzebnych do prawidłowego montażu elementów w całość, dla słupów wykonanych z żelbetu określają tabele zamieszczone w albumach rozwiązań typowych. W albumach podano również masy żerdzi, ich składowe tymczasowe, oraz dopuszczalne siły użytkowe. Siły te określają dopuszczalne obciążenie wierzchołkowe żerdzi, powstające z obciążenia zamontowanymi przewodami i parciem wiatru na żerdź.</w:t>
      </w:r>
    </w:p>
    <w:p w14:paraId="42E6789C" w14:textId="77777777" w:rsidR="00AB2DB3" w:rsidRPr="00AB2DB3" w:rsidRDefault="00AB2DB3" w:rsidP="00BA0803">
      <w:pPr>
        <w:pStyle w:val="Tekstpodstawowy31"/>
        <w:rPr>
          <w:sz w:val="22"/>
          <w:szCs w:val="22"/>
        </w:rPr>
      </w:pPr>
      <w:r w:rsidRPr="00AB2DB3">
        <w:rPr>
          <w:sz w:val="22"/>
          <w:szCs w:val="22"/>
        </w:rPr>
        <w:t>Najczęściej używanymi są:</w:t>
      </w:r>
    </w:p>
    <w:p w14:paraId="1EADC28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 xml:space="preserve">żerdzie żelbetowe typu ŻN o długości 10 i </w:t>
      </w:r>
      <w:smartTag w:uri="urn:schemas-microsoft-com:office:smarttags" w:element="metricconverter">
        <w:smartTagPr>
          <w:attr w:name="ProductID" w:val="12 m"/>
        </w:smartTagPr>
        <w:r w:rsidRPr="00AB2DB3">
          <w:rPr>
            <w:rFonts w:ascii="Times New Roman" w:hAnsi="Times New Roman" w:cs="Times New Roman"/>
          </w:rPr>
          <w:t>12 m</w:t>
        </w:r>
      </w:smartTag>
      <w:r w:rsidRPr="00AB2DB3">
        <w:rPr>
          <w:rFonts w:ascii="Times New Roman" w:hAnsi="Times New Roman" w:cs="Times New Roman"/>
        </w:rPr>
        <w:t xml:space="preserve"> i ŻW o długości </w:t>
      </w:r>
      <w:smartTag w:uri="urn:schemas-microsoft-com:office:smarttags" w:element="metricconverter">
        <w:smartTagPr>
          <w:attr w:name="ProductID" w:val="14,5 m"/>
        </w:smartTagPr>
        <w:r w:rsidRPr="00AB2DB3">
          <w:rPr>
            <w:rFonts w:ascii="Times New Roman" w:hAnsi="Times New Roman" w:cs="Times New Roman"/>
          </w:rPr>
          <w:t>14,5 m</w:t>
        </w:r>
      </w:smartTag>
    </w:p>
    <w:p w14:paraId="0B0D78D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 xml:space="preserve">żerdzie wirowane typu E o długości 10,5, 12, 13,5, </w:t>
      </w:r>
      <w:smartTag w:uri="urn:schemas-microsoft-com:office:smarttags" w:element="metricconverter">
        <w:smartTagPr>
          <w:attr w:name="ProductID" w:val="15 m"/>
        </w:smartTagPr>
        <w:r w:rsidRPr="00AB2DB3">
          <w:rPr>
            <w:rFonts w:ascii="Times New Roman" w:hAnsi="Times New Roman" w:cs="Times New Roman"/>
          </w:rPr>
          <w:t>15 m</w:t>
        </w:r>
      </w:smartTag>
    </w:p>
    <w:p w14:paraId="1EE07205" w14:textId="77777777" w:rsidR="00AB2DB3" w:rsidRPr="00AB2DB3" w:rsidRDefault="00AB2DB3" w:rsidP="00BA0803">
      <w:pPr>
        <w:pStyle w:val="Tekstpodstawowy31"/>
        <w:rPr>
          <w:sz w:val="22"/>
          <w:szCs w:val="22"/>
        </w:rPr>
      </w:pPr>
      <w:r w:rsidRPr="00AB2DB3">
        <w:rPr>
          <w:sz w:val="22"/>
          <w:szCs w:val="22"/>
        </w:rPr>
        <w:t>Jako elementy ustojowe słupów wykonanych z żelbetu stosuje się belki ustojowe B-60, 80 i 100 (płaskie) lub B-90 i 150 (kątowe) a także płyty ustojowe U-85 i 130, fundamentowe typu P-120, 160, 200 i stopowe.</w:t>
      </w:r>
    </w:p>
    <w:p w14:paraId="2382F4F9" w14:textId="77777777" w:rsidR="00AB2DB3" w:rsidRPr="00AB2DB3" w:rsidRDefault="00AB2DB3" w:rsidP="00BA0803">
      <w:pPr>
        <w:spacing w:before="15" w:after="45"/>
        <w:jc w:val="both"/>
        <w:rPr>
          <w:rFonts w:ascii="Times New Roman" w:hAnsi="Times New Roman" w:cs="Times New Roman"/>
          <w:b/>
          <w:bCs/>
          <w:noProof/>
        </w:rPr>
      </w:pPr>
      <w:r w:rsidRPr="00AB2DB3">
        <w:rPr>
          <w:rFonts w:ascii="Times New Roman" w:hAnsi="Times New Roman" w:cs="Times New Roman"/>
          <w:b/>
          <w:bCs/>
          <w:noProof/>
        </w:rPr>
        <w:t>2.3.2 Przepusty kablowe</w:t>
      </w:r>
    </w:p>
    <w:p w14:paraId="71FCAF0C"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Przepusty kablowe powinny być wykonane z materiałów niepalnych, z tworzyw sztucznych lub stali,</w:t>
      </w:r>
      <w:r w:rsidRPr="00AB2DB3">
        <w:rPr>
          <w:rFonts w:ascii="Times New Roman" w:hAnsi="Times New Roman" w:cs="Times New Roman"/>
          <w:bCs/>
          <w:noProof/>
        </w:rPr>
        <w:t xml:space="preserve"> w</w:t>
      </w:r>
      <w:r w:rsidRPr="00AB2DB3">
        <w:rPr>
          <w:rFonts w:ascii="Times New Roman" w:hAnsi="Times New Roman" w:cs="Times New Roman"/>
          <w:bCs/>
          <w:noProof/>
          <w:lang w:val="x-none"/>
        </w:rPr>
        <w:t>ytrzymałych</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 xml:space="preserve">mechanicznie, chemicznie i odpornych na działanie łuku elektrycznego. Rury używane do wykonania przepustów powinny być dostatecznie wytrzymałe na działające na nie obciążenia. Wnętrza ścianek powinny być gładkie lub powleczone warstwą wygładzającą ich powierzchnie dla </w:t>
      </w:r>
      <w:r w:rsidRPr="00AB2DB3">
        <w:rPr>
          <w:rFonts w:ascii="Times New Roman" w:hAnsi="Times New Roman" w:cs="Times New Roman"/>
          <w:bCs/>
          <w:noProof/>
          <w:lang w:val="x-none"/>
        </w:rPr>
        <w:lastRenderedPageBreak/>
        <w:t xml:space="preserve">ułatwienia przesuwania się kabli. Rury na przepusty kablowe należy przechowywać na utwardzonym placu, w nie nasłonecznionych miejscach zabezpieczonych przed ich uszkodzeniem. </w:t>
      </w:r>
    </w:p>
    <w:p w14:paraId="05D46137"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 xml:space="preserve">Należy zastosować osłony rurowe kablowe: </w:t>
      </w:r>
    </w:p>
    <w:p w14:paraId="3FA22637"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 xml:space="preserve">-  </w:t>
      </w:r>
      <w:r w:rsidRPr="00AB2DB3">
        <w:rPr>
          <w:rFonts w:ascii="Times New Roman" w:hAnsi="Times New Roman" w:cs="Times New Roman"/>
          <w:bCs/>
          <w:noProof/>
        </w:rPr>
        <w:t>RHDPE</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160mm</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 xml:space="preserve">koloru czerwonego </w:t>
      </w:r>
      <w:r w:rsidRPr="00AB2DB3">
        <w:rPr>
          <w:rFonts w:ascii="Times New Roman" w:hAnsi="Times New Roman" w:cs="Times New Roman"/>
          <w:bCs/>
          <w:noProof/>
          <w:lang w:val="x-none"/>
        </w:rPr>
        <w:t>do zabezpieczenia kabl</w:t>
      </w:r>
      <w:r w:rsidRPr="00AB2DB3">
        <w:rPr>
          <w:rFonts w:ascii="Times New Roman" w:hAnsi="Times New Roman" w:cs="Times New Roman"/>
          <w:bCs/>
          <w:noProof/>
        </w:rPr>
        <w:t>i SN</w:t>
      </w:r>
      <w:r w:rsidRPr="00AB2DB3">
        <w:rPr>
          <w:rFonts w:ascii="Times New Roman" w:hAnsi="Times New Roman" w:cs="Times New Roman"/>
          <w:bCs/>
          <w:noProof/>
          <w:lang w:val="x-none"/>
        </w:rPr>
        <w:t xml:space="preserve">, </w:t>
      </w:r>
    </w:p>
    <w:p w14:paraId="4AA0DE67"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 xml:space="preserve">-  </w:t>
      </w:r>
      <w:r w:rsidRPr="00AB2DB3">
        <w:rPr>
          <w:rFonts w:ascii="Times New Roman" w:hAnsi="Times New Roman" w:cs="Times New Roman"/>
          <w:bCs/>
          <w:noProof/>
        </w:rPr>
        <w:t>RHDPE</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110mm</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 xml:space="preserve">koloru niebieskiego </w:t>
      </w:r>
      <w:r w:rsidRPr="00AB2DB3">
        <w:rPr>
          <w:rFonts w:ascii="Times New Roman" w:hAnsi="Times New Roman" w:cs="Times New Roman"/>
          <w:bCs/>
          <w:noProof/>
          <w:lang w:val="x-none"/>
        </w:rPr>
        <w:t>do zabezpieczenia kabl</w:t>
      </w:r>
      <w:r w:rsidRPr="00AB2DB3">
        <w:rPr>
          <w:rFonts w:ascii="Times New Roman" w:hAnsi="Times New Roman" w:cs="Times New Roman"/>
          <w:bCs/>
          <w:noProof/>
        </w:rPr>
        <w:t>i nN</w:t>
      </w:r>
      <w:r w:rsidRPr="00AB2DB3">
        <w:rPr>
          <w:rFonts w:ascii="Times New Roman" w:hAnsi="Times New Roman" w:cs="Times New Roman"/>
          <w:bCs/>
          <w:noProof/>
          <w:lang w:val="x-none"/>
        </w:rPr>
        <w:t xml:space="preserve">, </w:t>
      </w:r>
    </w:p>
    <w:p w14:paraId="1880E7C4"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 xml:space="preserve">-  </w:t>
      </w:r>
      <w:r w:rsidRPr="00AB2DB3">
        <w:rPr>
          <w:rFonts w:ascii="Times New Roman" w:hAnsi="Times New Roman" w:cs="Times New Roman"/>
          <w:bCs/>
          <w:noProof/>
        </w:rPr>
        <w:t>RHDPE</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 xml:space="preserve">50mm / </w:t>
      </w:r>
      <w:r w:rsidRPr="00AB2DB3">
        <w:rPr>
          <w:rFonts w:ascii="Times New Roman" w:hAnsi="Times New Roman" w:cs="Times New Roman"/>
          <w:bCs/>
          <w:noProof/>
          <w:lang w:val="x-none"/>
        </w:rPr>
        <w:t>75</w:t>
      </w:r>
      <w:r w:rsidRPr="00AB2DB3">
        <w:rPr>
          <w:rFonts w:ascii="Times New Roman" w:hAnsi="Times New Roman" w:cs="Times New Roman"/>
          <w:bCs/>
          <w:noProof/>
        </w:rPr>
        <w:t>mm / 110mm</w:t>
      </w:r>
      <w:r w:rsidRPr="00AB2DB3">
        <w:rPr>
          <w:rFonts w:ascii="Times New Roman" w:hAnsi="Times New Roman" w:cs="Times New Roman"/>
          <w:bCs/>
          <w:noProof/>
          <w:lang w:val="x-none"/>
        </w:rPr>
        <w:t xml:space="preserve"> do zabezpieczenia kabla oświetleniowego,</w:t>
      </w:r>
      <w:r w:rsidRPr="00AB2DB3">
        <w:rPr>
          <w:rFonts w:ascii="Times New Roman" w:hAnsi="Times New Roman" w:cs="Times New Roman"/>
          <w:bCs/>
          <w:noProof/>
        </w:rPr>
        <w:t xml:space="preserve"> kabli przyłączy,</w:t>
      </w:r>
      <w:r w:rsidRPr="00AB2DB3">
        <w:rPr>
          <w:rFonts w:ascii="Times New Roman" w:hAnsi="Times New Roman" w:cs="Times New Roman"/>
          <w:bCs/>
          <w:noProof/>
          <w:lang w:val="x-none"/>
        </w:rPr>
        <w:t xml:space="preserve"> </w:t>
      </w:r>
    </w:p>
    <w:p w14:paraId="24481595" w14:textId="77777777" w:rsidR="00AB2DB3" w:rsidRPr="00AB2DB3" w:rsidRDefault="00AB2DB3" w:rsidP="00BA0803">
      <w:pPr>
        <w:spacing w:before="15" w:after="45"/>
        <w:jc w:val="both"/>
        <w:rPr>
          <w:rFonts w:ascii="Times New Roman" w:hAnsi="Times New Roman" w:cs="Times New Roman"/>
          <w:b/>
          <w:bCs/>
          <w:noProof/>
        </w:rPr>
      </w:pPr>
      <w:r w:rsidRPr="00AB2DB3">
        <w:rPr>
          <w:rFonts w:ascii="Times New Roman" w:hAnsi="Times New Roman" w:cs="Times New Roman"/>
          <w:b/>
          <w:bCs/>
          <w:noProof/>
        </w:rPr>
        <w:t>2.2.3 Słupy oświetleniowe</w:t>
      </w:r>
    </w:p>
    <w:p w14:paraId="7C70C4A0"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Słupy oświetleniowe powinny być wykonane zgodnie z Dokumentacją Projektową dla konkretnego obiektu.</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 xml:space="preserve">Dla oświetlenia należy stosować słupy oświetleniowe stalowe. </w:t>
      </w:r>
    </w:p>
    <w:p w14:paraId="0D34239E"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Z</w:t>
      </w:r>
      <w:r w:rsidRPr="00AB2DB3">
        <w:rPr>
          <w:rFonts w:ascii="Times New Roman" w:hAnsi="Times New Roman" w:cs="Times New Roman"/>
          <w:bCs/>
          <w:noProof/>
          <w:lang w:val="x-none"/>
        </w:rPr>
        <w:t>astosować</w:t>
      </w:r>
      <w:r w:rsidRPr="00AB2DB3">
        <w:rPr>
          <w:rFonts w:ascii="Times New Roman" w:hAnsi="Times New Roman" w:cs="Times New Roman"/>
          <w:bCs/>
          <w:noProof/>
        </w:rPr>
        <w:t xml:space="preserve"> słupy oświetlenia przejść dla pieszych:</w:t>
      </w:r>
    </w:p>
    <w:p w14:paraId="244710AF"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lang w:val="x-none"/>
        </w:rPr>
        <w:t xml:space="preserve">- stalowe ocynkowane uliczne rurowe </w:t>
      </w:r>
      <w:r w:rsidRPr="00AB2DB3">
        <w:rPr>
          <w:rFonts w:ascii="Times New Roman" w:hAnsi="Times New Roman" w:cs="Times New Roman"/>
          <w:bCs/>
          <w:noProof/>
        </w:rPr>
        <w:t>proste</w:t>
      </w:r>
      <w:r w:rsidRPr="00AB2DB3">
        <w:rPr>
          <w:rFonts w:ascii="Times New Roman" w:hAnsi="Times New Roman" w:cs="Times New Roman"/>
          <w:bCs/>
          <w:noProof/>
          <w:lang w:val="x-none"/>
        </w:rPr>
        <w:t xml:space="preserve"> </w:t>
      </w:r>
      <w:r w:rsidRPr="00AB2DB3">
        <w:rPr>
          <w:rFonts w:ascii="Times New Roman" w:hAnsi="Times New Roman" w:cs="Times New Roman"/>
          <w:bCs/>
          <w:noProof/>
        </w:rPr>
        <w:t xml:space="preserve">o wysokości 6m, </w:t>
      </w:r>
    </w:p>
    <w:p w14:paraId="5557CA76"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Słupy powinny przenieść obciążenia wynikające z zawieszenia opraw i wysięgników oraz parcia wiatru dla II i III</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strefy wiatrowej, zgodnie z PN-75/E-05100. Każdy słup powinien posiadać w swej górnej części odpowiedniej średnicy rurę stalową dla zamocowania wysięgnika</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rurowego i osłony stożkowej.</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W dolnej części słupy powinny posiadać jedną wnęk</w:t>
      </w:r>
      <w:r w:rsidRPr="00AB2DB3">
        <w:rPr>
          <w:rFonts w:ascii="Times New Roman" w:hAnsi="Times New Roman" w:cs="Times New Roman"/>
          <w:bCs/>
          <w:noProof/>
        </w:rPr>
        <w:t>ę</w:t>
      </w:r>
      <w:r w:rsidRPr="00AB2DB3">
        <w:rPr>
          <w:rFonts w:ascii="Times New Roman" w:hAnsi="Times New Roman" w:cs="Times New Roman"/>
          <w:bCs/>
          <w:noProof/>
          <w:lang w:val="x-none"/>
        </w:rPr>
        <w:t xml:space="preserve"> zamykan</w:t>
      </w:r>
      <w:r w:rsidRPr="00AB2DB3">
        <w:rPr>
          <w:rFonts w:ascii="Times New Roman" w:hAnsi="Times New Roman" w:cs="Times New Roman"/>
          <w:bCs/>
          <w:noProof/>
        </w:rPr>
        <w:t>ą</w:t>
      </w:r>
      <w:r w:rsidRPr="00AB2DB3">
        <w:rPr>
          <w:rFonts w:ascii="Times New Roman" w:hAnsi="Times New Roman" w:cs="Times New Roman"/>
          <w:bCs/>
          <w:noProof/>
          <w:lang w:val="x-none"/>
        </w:rPr>
        <w:t xml:space="preserve"> drzwiczkami.</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Wnęka powinn</w:t>
      </w:r>
      <w:r w:rsidRPr="00AB2DB3">
        <w:rPr>
          <w:rFonts w:ascii="Times New Roman" w:hAnsi="Times New Roman" w:cs="Times New Roman"/>
          <w:bCs/>
          <w:noProof/>
        </w:rPr>
        <w:t>a</w:t>
      </w:r>
      <w:r w:rsidRPr="00AB2DB3">
        <w:rPr>
          <w:rFonts w:ascii="Times New Roman" w:hAnsi="Times New Roman" w:cs="Times New Roman"/>
          <w:bCs/>
          <w:noProof/>
          <w:lang w:val="x-none"/>
        </w:rPr>
        <w:t xml:space="preserve"> być przystosowane do zainstalowania typowej tabliczki bezpiecznikowo-zaciskowej lub</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 xml:space="preserve">zacisków typu IZK z bezpiecznikami topikowymi </w:t>
      </w:r>
      <w:r w:rsidRPr="00AB2DB3">
        <w:rPr>
          <w:rFonts w:ascii="Times New Roman" w:hAnsi="Times New Roman" w:cs="Times New Roman"/>
          <w:bCs/>
          <w:noProof/>
        </w:rPr>
        <w:t>6</w:t>
      </w:r>
      <w:r w:rsidRPr="00AB2DB3">
        <w:rPr>
          <w:rFonts w:ascii="Times New Roman" w:hAnsi="Times New Roman" w:cs="Times New Roman"/>
          <w:bCs/>
          <w:noProof/>
          <w:lang w:val="x-none"/>
        </w:rPr>
        <w:t>A (w ilości zależnej od ilości zainstalowanych opraw). Stalowe</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słupy winny być wykonane ze stali rurowej</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ocynkowane. Elementy powinny być proste w granicach dopuszczalnych odchyłek podanych w dokumentacji projektowej i PN-90/B-03200. Spoiny nie mogą wykazywać pęknięć, a otwory na elementy łączące nie powinny mieć podniesionych</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krawędzi. Składowanie słupów oświetleniowych na placu budowy, powinno być na wyrównanym podłożu w pozycji poziomej,</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z</w:t>
      </w:r>
      <w:r w:rsidRPr="00AB2DB3">
        <w:rPr>
          <w:rFonts w:ascii="Times New Roman" w:hAnsi="Times New Roman" w:cs="Times New Roman"/>
          <w:bCs/>
          <w:noProof/>
        </w:rPr>
        <w:t xml:space="preserve"> </w:t>
      </w:r>
      <w:r w:rsidRPr="00AB2DB3">
        <w:rPr>
          <w:rFonts w:ascii="Times New Roman" w:hAnsi="Times New Roman" w:cs="Times New Roman"/>
          <w:bCs/>
          <w:noProof/>
          <w:lang w:val="x-none"/>
        </w:rPr>
        <w:t>zastosowaniem przekładek z drewna miękkiego.</w:t>
      </w:r>
    </w:p>
    <w:p w14:paraId="23FEF63F" w14:textId="77777777" w:rsidR="00AB2DB3" w:rsidRPr="00AB2DB3" w:rsidRDefault="00AB2DB3" w:rsidP="00BA0803">
      <w:pPr>
        <w:spacing w:before="15" w:after="45"/>
        <w:jc w:val="both"/>
        <w:rPr>
          <w:rFonts w:ascii="Times New Roman" w:hAnsi="Times New Roman" w:cs="Times New Roman"/>
          <w:b/>
          <w:bCs/>
          <w:noProof/>
        </w:rPr>
      </w:pPr>
      <w:r w:rsidRPr="00AB2DB3">
        <w:rPr>
          <w:rFonts w:ascii="Times New Roman" w:hAnsi="Times New Roman" w:cs="Times New Roman"/>
          <w:b/>
          <w:bCs/>
          <w:noProof/>
        </w:rPr>
        <w:t>2.2.4 Fundamenty prefabrykowane</w:t>
      </w:r>
    </w:p>
    <w:p w14:paraId="07399F83" w14:textId="77777777" w:rsidR="00AB2DB3" w:rsidRPr="00AB2DB3" w:rsidRDefault="00AB2DB3" w:rsidP="00BA0803">
      <w:pPr>
        <w:spacing w:before="15" w:after="45"/>
        <w:jc w:val="both"/>
        <w:rPr>
          <w:rFonts w:ascii="Times New Roman" w:hAnsi="Times New Roman" w:cs="Times New Roman"/>
          <w:bCs/>
          <w:noProof/>
          <w:lang w:val="x-none"/>
        </w:rPr>
      </w:pPr>
      <w:r w:rsidRPr="00AB2DB3">
        <w:rPr>
          <w:rFonts w:ascii="Times New Roman" w:hAnsi="Times New Roman" w:cs="Times New Roman"/>
          <w:bCs/>
          <w:noProof/>
          <w:lang w:val="x-none"/>
        </w:rPr>
        <w:t>Fundamenty</w:t>
      </w:r>
      <w:r w:rsidRPr="00AB2DB3">
        <w:rPr>
          <w:rFonts w:ascii="Times New Roman" w:hAnsi="Times New Roman" w:cs="Times New Roman"/>
          <w:bCs/>
          <w:noProof/>
        </w:rPr>
        <w:t xml:space="preserve"> betonowe</w:t>
      </w:r>
      <w:r w:rsidRPr="00AB2DB3">
        <w:rPr>
          <w:rFonts w:ascii="Times New Roman" w:hAnsi="Times New Roman" w:cs="Times New Roman"/>
          <w:bCs/>
          <w:noProof/>
          <w:lang w:val="x-none"/>
        </w:rPr>
        <w:t xml:space="preserve"> prefabrykowane.</w:t>
      </w:r>
    </w:p>
    <w:p w14:paraId="48A92926" w14:textId="77777777" w:rsidR="00AB2DB3" w:rsidRPr="00AB2DB3" w:rsidRDefault="00AB2DB3" w:rsidP="00BA0803">
      <w:pPr>
        <w:spacing w:before="15" w:after="45"/>
        <w:jc w:val="both"/>
        <w:rPr>
          <w:rFonts w:ascii="Times New Roman" w:hAnsi="Times New Roman" w:cs="Times New Roman"/>
          <w:b/>
          <w:bCs/>
          <w:noProof/>
        </w:rPr>
      </w:pPr>
      <w:r w:rsidRPr="00AB2DB3">
        <w:rPr>
          <w:rFonts w:ascii="Times New Roman" w:hAnsi="Times New Roman" w:cs="Times New Roman"/>
          <w:b/>
          <w:bCs/>
          <w:noProof/>
        </w:rPr>
        <w:t>2.2.5 Uziomy</w:t>
      </w:r>
    </w:p>
    <w:p w14:paraId="1C9C785D"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Zastosować uziemienie poziome wykonane bednarką Fe/Zn 30x4mm połączone do słupów stalowych.</w:t>
      </w:r>
    </w:p>
    <w:p w14:paraId="39C24E4B"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2.2.</w:t>
      </w:r>
      <w:r w:rsidRPr="00AB2DB3">
        <w:rPr>
          <w:rFonts w:ascii="Times New Roman" w:hAnsi="Times New Roman" w:cs="Times New Roman"/>
          <w:b/>
          <w:bCs/>
          <w:noProof/>
          <w:lang w:eastAsia="pl-PL"/>
        </w:rPr>
        <w:t>6</w:t>
      </w:r>
      <w:r w:rsidRPr="00AB2DB3">
        <w:rPr>
          <w:rFonts w:ascii="Times New Roman" w:hAnsi="Times New Roman" w:cs="Times New Roman"/>
          <w:b/>
          <w:bCs/>
          <w:noProof/>
          <w:lang w:val="x-none" w:eastAsia="pl-PL"/>
        </w:rPr>
        <w:t>. Sprzęt instalacyjny</w:t>
      </w:r>
    </w:p>
    <w:p w14:paraId="6E426A2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1. Ograniczniki przepięć (odgromniki zaworowe lub wydmuchowe):</w:t>
      </w:r>
    </w:p>
    <w:p w14:paraId="04EF9BB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zaworowe montowane pionowo na poprzecznikach stacji lub słupa; łączą poprzez górny zacisk przewód fazowy i poprzez dolny zacisk instalację uziemiającą,</w:t>
      </w:r>
    </w:p>
    <w:p w14:paraId="77354F7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wydmuchowe zgodnie z instrukcją producenta.</w:t>
      </w:r>
    </w:p>
    <w:p w14:paraId="533734FE" w14:textId="77777777" w:rsidR="00AB2DB3" w:rsidRPr="00AB2DB3" w:rsidRDefault="00AB2DB3" w:rsidP="00BA0803">
      <w:pPr>
        <w:pStyle w:val="Tekstpodstawowy31"/>
        <w:rPr>
          <w:sz w:val="22"/>
          <w:szCs w:val="22"/>
        </w:rPr>
      </w:pPr>
      <w:r w:rsidRPr="00AB2DB3">
        <w:rPr>
          <w:sz w:val="22"/>
          <w:szCs w:val="22"/>
        </w:rPr>
        <w:t>Dla linii do 1 kV minimalny przekrój przewodów łączących – 10 mm2, jednocześnie nie powinien przekraczać 35 mm2.</w:t>
      </w:r>
    </w:p>
    <w:p w14:paraId="07F8D25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2. Wysięgniki do montażu opraw oświetleniowych</w:t>
      </w:r>
    </w:p>
    <w:p w14:paraId="6FA8F8F6" w14:textId="77777777" w:rsidR="00AB2DB3" w:rsidRPr="00AB2DB3" w:rsidRDefault="00AB2DB3" w:rsidP="00BA0803">
      <w:pPr>
        <w:pStyle w:val="Tekstpodstawowy31"/>
        <w:rPr>
          <w:sz w:val="22"/>
          <w:szCs w:val="22"/>
        </w:rPr>
      </w:pPr>
      <w:r w:rsidRPr="00AB2DB3">
        <w:rPr>
          <w:sz w:val="22"/>
          <w:szCs w:val="22"/>
        </w:rPr>
        <w:t>Wysięgniki powinny być wykonywane zgodnie z Dokumentacją Projektową. Ramiona lub ramię wysięgnika powinno być nachylone pod odpowiednim kątem od poziomu a ich wysięg powinien być zgodny z Dokumentacją Projektową. Wysięgniki powinny być dostosowane do opraw i słupów służących do zamontowania lamp oświetleniowych. Wysięgniki winny umożliwiać montaż na ścianie bocznej słupa. Materiał służący do wykonania wysięgnika nie powinien podlegać korozji lub powinien być zabezpieczony środkami antykorozyjnymi zapewniającymi odpowiedni stopień zabezpieczenia antykorozyjnego.</w:t>
      </w:r>
    </w:p>
    <w:p w14:paraId="4063F48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3. Oprawy oświetleniowe</w:t>
      </w:r>
    </w:p>
    <w:p w14:paraId="55A87598" w14:textId="77777777" w:rsidR="00AB2DB3" w:rsidRPr="00AB2DB3" w:rsidRDefault="00AB2DB3" w:rsidP="00BA0803">
      <w:pPr>
        <w:pStyle w:val="Tekstpodstawowy31"/>
        <w:rPr>
          <w:sz w:val="22"/>
          <w:szCs w:val="22"/>
        </w:rPr>
      </w:pPr>
      <w:r w:rsidRPr="00AB2DB3">
        <w:rPr>
          <w:sz w:val="22"/>
          <w:szCs w:val="22"/>
        </w:rPr>
        <w:t>Oprawy oświetleniowe drogowe oraz oświetlenia przejść dla pieszych powinny spełniać wymagania norm w zależności od miejsca montażu. Oprawy powinny charakteryzować się szerokim rozsyłem światła i wydajnością.</w:t>
      </w:r>
    </w:p>
    <w:p w14:paraId="3AB43BE9"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lastRenderedPageBreak/>
        <w:t>Zabudować oprawy oświetleniowe typu drogowego na projektowanych i istniejacych słupach betonowych na wysięgnikach słupowych oraz dedykowane oprawy przejśc dla pieszych. Oprawy ze źródłem LED zgodnie z specyfikacją techniczną określonej w dokumentacji projektowej.</w:t>
      </w:r>
    </w:p>
    <w:p w14:paraId="2F6B1E81"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Przejścia dla pieszych oświetlić dedykowanymi oprawami montowanymi na słupach stalowych o wusokosci 6m.</w:t>
      </w:r>
    </w:p>
    <w:p w14:paraId="3B7E11EE"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Charakterystyka opraw drogowych: </w:t>
      </w:r>
    </w:p>
    <w:p w14:paraId="6E82B3D8"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  nominalny strumień świetlny oprawy ulicznej typu ‘B’ 860-890mA, 105-115W – 13700-14000lm, barwa 3900-4300K, </w:t>
      </w:r>
    </w:p>
    <w:p w14:paraId="273A6440"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nominalny strumień świetlny oprawy ulicznej typu ‘D’ 860-890mA, 105-115W – 14000-14500lm, barwa 3900-4300K,</w:t>
      </w:r>
    </w:p>
    <w:p w14:paraId="0624AB9E"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nominalny strumień świetlny oprawy ośw. przejścia dla pieszych typu ‘P1’ 680-720mA, 35-37W – 4400-4600lm, barwa 5500-6000K, czujnik zmierzchowy,</w:t>
      </w:r>
    </w:p>
    <w:p w14:paraId="47D880FF"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nominalny strumień świetlny oprawy ośw. przejścia dla pieszych typu ‘P2’ 850-880mA, 42-48W – 5200-5800lm, barwa 5500-6000K, czujnik zmierzchowy,</w:t>
      </w:r>
    </w:p>
    <w:p w14:paraId="57D9A41B"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  szczelność komory optycznej – IP66, </w:t>
      </w:r>
    </w:p>
    <w:p w14:paraId="5379881C"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  szczelność komory osprzętu – IP66, </w:t>
      </w:r>
    </w:p>
    <w:p w14:paraId="78676E03"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odporność na uderzenia (szkło) – IK09,</w:t>
      </w:r>
    </w:p>
    <w:p w14:paraId="32F4731C"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  ochrona przed przepięciami – 10kV, II klasa ochronności, </w:t>
      </w:r>
    </w:p>
    <w:p w14:paraId="66F0C320"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 xml:space="preserve">•  obudowa – odlew aluminium, </w:t>
      </w:r>
    </w:p>
    <w:p w14:paraId="3D7A872E" w14:textId="77777777" w:rsidR="00AB2DB3" w:rsidRPr="00AB2DB3" w:rsidRDefault="00AB2DB3" w:rsidP="00BA0803">
      <w:pPr>
        <w:spacing w:before="15" w:after="45"/>
        <w:jc w:val="both"/>
        <w:rPr>
          <w:rFonts w:ascii="Times New Roman" w:hAnsi="Times New Roman" w:cs="Times New Roman"/>
          <w:bCs/>
          <w:noProof/>
        </w:rPr>
      </w:pPr>
      <w:r w:rsidRPr="00AB2DB3">
        <w:rPr>
          <w:rFonts w:ascii="Times New Roman" w:hAnsi="Times New Roman" w:cs="Times New Roman"/>
          <w:bCs/>
          <w:noProof/>
        </w:rPr>
        <w:t>Oprawy powinny charakteryzować się szerokim ograniczonym rozsyłem światła. Ze względów eksploatacyjnych stosować należy oprawy o konstrukcji zamkniętej, stopniu zabezpieczenia przed wpływami zewnętrznymi komory lampowej IP 66 i klasą izolacji II. Elementy oprawy, takie jak układ optyczny i korpus, powinny być wykonane z materiałów odpornych na korozję. Oprawy powinny być przechowywane w pomieszczeniach o temperaturze nie niższej niż -5°C i wilgotności względnej powietrza nie przekraczającej 80% i w opakowaniach zgodnych z PN-86/O-79100.</w:t>
      </w:r>
    </w:p>
    <w:p w14:paraId="20A0C06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4. Kit uszczelniający</w:t>
      </w:r>
    </w:p>
    <w:p w14:paraId="520247AC" w14:textId="77777777" w:rsidR="00AB2DB3" w:rsidRPr="00AB2DB3" w:rsidRDefault="00AB2DB3" w:rsidP="00BA0803">
      <w:pPr>
        <w:pStyle w:val="Tekstpodstawowy31"/>
        <w:rPr>
          <w:sz w:val="22"/>
          <w:szCs w:val="22"/>
        </w:rPr>
      </w:pPr>
      <w:r w:rsidRPr="00AB2DB3">
        <w:rPr>
          <w:sz w:val="22"/>
          <w:szCs w:val="22"/>
        </w:rPr>
        <w:t>Do uszczelniania połączenia słupa z wysięgnikiem i kapturkiem osłonowym można stosować wszelkie rodzaje kitów spełniające wymagania BN-80/6112-2.</w:t>
      </w:r>
    </w:p>
    <w:p w14:paraId="3C846EE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5. Tabliczki słupowe</w:t>
      </w:r>
    </w:p>
    <w:p w14:paraId="3FA01A9E" w14:textId="77777777" w:rsidR="00AB2DB3" w:rsidRPr="00AB2DB3" w:rsidRDefault="00AB2DB3" w:rsidP="00BA0803">
      <w:pPr>
        <w:pStyle w:val="Tekstpodstawowy31"/>
        <w:rPr>
          <w:sz w:val="22"/>
          <w:szCs w:val="22"/>
        </w:rPr>
      </w:pPr>
      <w:r w:rsidRPr="00AB2DB3">
        <w:rPr>
          <w:sz w:val="22"/>
          <w:szCs w:val="22"/>
        </w:rPr>
        <w:t>Należy zastosować tabliczki słupowe typu IZK z bezpiecznikiem dla opraw, dla przewodów fazowych oraz przewodów zerowych.</w:t>
      </w:r>
    </w:p>
    <w:p w14:paraId="7C29F2C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6. Osprzęt kablowy</w:t>
      </w:r>
    </w:p>
    <w:p w14:paraId="705435F4" w14:textId="77777777" w:rsidR="00AB2DB3" w:rsidRPr="00AB2DB3" w:rsidRDefault="00AB2DB3" w:rsidP="00BA0803">
      <w:pPr>
        <w:pStyle w:val="Tekstpodstawowy31"/>
        <w:rPr>
          <w:sz w:val="22"/>
          <w:szCs w:val="22"/>
        </w:rPr>
      </w:pPr>
      <w:r w:rsidRPr="00AB2DB3">
        <w:rPr>
          <w:sz w:val="22"/>
          <w:szCs w:val="22"/>
        </w:rPr>
        <w:t xml:space="preserve">Osprzęt kablowy w postaci zacisków przebijających izolację, uchwytów odciągowych i przelotowych, powinien być dostosowany: do typu kabla, jego napięcia znamionowego, przekroju i liczby żył oraz do mocy zwarcia, występujących w </w:t>
      </w:r>
    </w:p>
    <w:p w14:paraId="69A6B42B" w14:textId="77777777" w:rsidR="00AB2DB3" w:rsidRPr="00AB2DB3" w:rsidRDefault="00AB2DB3" w:rsidP="00BA0803">
      <w:pPr>
        <w:pStyle w:val="Tekstpodstawowy31"/>
        <w:rPr>
          <w:sz w:val="22"/>
          <w:szCs w:val="22"/>
        </w:rPr>
      </w:pPr>
      <w:r w:rsidRPr="00AB2DB3">
        <w:rPr>
          <w:sz w:val="22"/>
          <w:szCs w:val="22"/>
        </w:rPr>
        <w:t>miejscach ich zainstalowania.</w:t>
      </w:r>
    </w:p>
    <w:p w14:paraId="3B5AD06E"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2.2.</w:t>
      </w:r>
      <w:r w:rsidRPr="00AB2DB3">
        <w:rPr>
          <w:rFonts w:ascii="Times New Roman" w:hAnsi="Times New Roman" w:cs="Times New Roman"/>
          <w:b/>
          <w:bCs/>
          <w:noProof/>
          <w:lang w:eastAsia="pl-PL"/>
        </w:rPr>
        <w:t>7</w:t>
      </w:r>
      <w:r w:rsidRPr="00AB2DB3">
        <w:rPr>
          <w:rFonts w:ascii="Times New Roman" w:hAnsi="Times New Roman" w:cs="Times New Roman"/>
          <w:b/>
          <w:bCs/>
          <w:noProof/>
          <w:lang w:val="x-none" w:eastAsia="pl-PL"/>
        </w:rPr>
        <w:t xml:space="preserve">. Specyfikacja materiałowa </w:t>
      </w:r>
    </w:p>
    <w:p w14:paraId="25FADAA3" w14:textId="77777777" w:rsidR="00AB2DB3" w:rsidRPr="00AB2DB3" w:rsidRDefault="00AB2DB3" w:rsidP="00BA0803">
      <w:pPr>
        <w:pStyle w:val="Tekstpodstawowy31"/>
        <w:rPr>
          <w:sz w:val="22"/>
          <w:szCs w:val="22"/>
        </w:rPr>
      </w:pPr>
      <w:r w:rsidRPr="00AB2DB3">
        <w:rPr>
          <w:sz w:val="22"/>
          <w:szCs w:val="22"/>
        </w:rPr>
        <w:tab/>
        <w:t>Zgodnie z projektem budowlano-wykonawczym.</w:t>
      </w:r>
    </w:p>
    <w:p w14:paraId="23A26E6B" w14:textId="77777777" w:rsidR="00AB2DB3" w:rsidRPr="00AB2DB3" w:rsidRDefault="00AB2DB3" w:rsidP="00BA0803">
      <w:pPr>
        <w:pStyle w:val="Tekstpodstawowy31"/>
        <w:rPr>
          <w:sz w:val="22"/>
          <w:szCs w:val="22"/>
        </w:rPr>
      </w:pPr>
    </w:p>
    <w:p w14:paraId="2972B220"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w:t>
      </w:r>
      <w:r w:rsidRPr="00AB2DB3">
        <w:rPr>
          <w:rFonts w:ascii="Times New Roman" w:hAnsi="Times New Roman" w:cs="Times New Roman"/>
          <w:b/>
          <w:bCs/>
          <w:noProof/>
          <w:lang w:eastAsia="pl-PL"/>
        </w:rPr>
        <w:t>3</w:t>
      </w:r>
      <w:r w:rsidRPr="00AB2DB3">
        <w:rPr>
          <w:rFonts w:ascii="Times New Roman" w:hAnsi="Times New Roman" w:cs="Times New Roman"/>
          <w:b/>
          <w:bCs/>
          <w:noProof/>
          <w:lang w:val="x-none" w:eastAsia="pl-PL"/>
        </w:rPr>
        <w:t>. Warunki przyjęcia na budowę materiałów do robót montażowych</w:t>
      </w:r>
    </w:p>
    <w:p w14:paraId="30283265" w14:textId="77777777" w:rsidR="00AB2DB3" w:rsidRPr="00AB2DB3" w:rsidRDefault="00AB2DB3" w:rsidP="00BA0803">
      <w:pPr>
        <w:pStyle w:val="Tekstpodstawowy31"/>
        <w:rPr>
          <w:sz w:val="22"/>
          <w:szCs w:val="22"/>
        </w:rPr>
      </w:pPr>
      <w:r w:rsidRPr="00AB2DB3">
        <w:rPr>
          <w:sz w:val="22"/>
          <w:szCs w:val="22"/>
        </w:rPr>
        <w:t>Wyroby do robót montażowych mogą być przyjęte na budowę, jeśli spełniają następujące warunki:</w:t>
      </w:r>
    </w:p>
    <w:p w14:paraId="11220C1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są zgodne z ich wyszczególnieniem i charakterystyką podaną w dokumentacji projektowej i specyfikacji technicznej,</w:t>
      </w:r>
    </w:p>
    <w:p w14:paraId="62364EB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są właściwie oznakowane i opakowane,</w:t>
      </w:r>
    </w:p>
    <w:p w14:paraId="5877324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spełniają wymagane właściwości wskazane odpowiednimi dokumentami odniesienia,</w:t>
      </w:r>
    </w:p>
    <w:p w14:paraId="6FCFA4A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lastRenderedPageBreak/>
        <w:t xml:space="preserve">– </w:t>
      </w:r>
      <w:r w:rsidRPr="00AB2DB3">
        <w:rPr>
          <w:rFonts w:ascii="Times New Roman" w:hAnsi="Times New Roman" w:cs="Times New Roman"/>
        </w:rPr>
        <w:tab/>
        <w:t>producent dostarczył dokumenty świadczące o dopuszczeniu do obrotu i powszechnego lub jednostkowego</w:t>
      </w:r>
    </w:p>
    <w:p w14:paraId="0BED827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zastosowania, a w odniesieniu do fabrycznie przygotowanych prefabrykatów również karty katalogowe wyrobów lub firmowe wytyczne stosowania wyrobów.</w:t>
      </w:r>
    </w:p>
    <w:p w14:paraId="31B33F17" w14:textId="77777777" w:rsidR="00AB2DB3" w:rsidRPr="00AB2DB3" w:rsidRDefault="00AB2DB3" w:rsidP="00BA0803">
      <w:pPr>
        <w:pStyle w:val="Tekstpodstawowy31"/>
        <w:rPr>
          <w:sz w:val="22"/>
          <w:szCs w:val="22"/>
        </w:rPr>
      </w:pPr>
      <w:r w:rsidRPr="00AB2DB3">
        <w:rPr>
          <w:sz w:val="22"/>
          <w:szCs w:val="22"/>
        </w:rPr>
        <w:t>Niedopuszczalne jest stosowanie do robót montażowych – wyrobów i materiałów nieznanego pochodzenia.</w:t>
      </w:r>
    </w:p>
    <w:p w14:paraId="448814BF" w14:textId="77777777" w:rsidR="00AB2DB3" w:rsidRPr="00AB2DB3" w:rsidRDefault="00AB2DB3" w:rsidP="00BA0803">
      <w:pPr>
        <w:pStyle w:val="Tekstpodstawowy31"/>
        <w:rPr>
          <w:sz w:val="22"/>
          <w:szCs w:val="22"/>
        </w:rPr>
      </w:pPr>
      <w:r w:rsidRPr="00AB2DB3">
        <w:rPr>
          <w:sz w:val="22"/>
          <w:szCs w:val="22"/>
        </w:rPr>
        <w:t>Przyjęcie materiałów i wyrobów na budowę powinno być potwierdzone wpisem do dziennika budowy.</w:t>
      </w:r>
    </w:p>
    <w:p w14:paraId="3390B07D" w14:textId="77777777" w:rsidR="00AB2DB3" w:rsidRPr="00AB2DB3" w:rsidRDefault="00AB2DB3" w:rsidP="00BA0803">
      <w:pPr>
        <w:pStyle w:val="Tekstpodstawowy31"/>
        <w:rPr>
          <w:sz w:val="22"/>
          <w:szCs w:val="22"/>
        </w:rPr>
      </w:pPr>
    </w:p>
    <w:p w14:paraId="50CF81BA"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2.</w:t>
      </w:r>
      <w:r w:rsidRPr="00AB2DB3">
        <w:rPr>
          <w:rFonts w:ascii="Times New Roman" w:hAnsi="Times New Roman" w:cs="Times New Roman"/>
          <w:b/>
          <w:bCs/>
          <w:noProof/>
          <w:lang w:eastAsia="pl-PL"/>
        </w:rPr>
        <w:t>4</w:t>
      </w:r>
      <w:r w:rsidRPr="00AB2DB3">
        <w:rPr>
          <w:rFonts w:ascii="Times New Roman" w:hAnsi="Times New Roman" w:cs="Times New Roman"/>
          <w:b/>
          <w:bCs/>
          <w:noProof/>
          <w:lang w:val="x-none" w:eastAsia="pl-PL"/>
        </w:rPr>
        <w:t>. Warunki przechowywania materiałów do montażu instalacji elektrycznych</w:t>
      </w:r>
    </w:p>
    <w:p w14:paraId="43B0A000" w14:textId="77777777" w:rsidR="00AB2DB3" w:rsidRPr="00AB2DB3" w:rsidRDefault="00AB2DB3" w:rsidP="00BA0803">
      <w:pPr>
        <w:pStyle w:val="Tekstpodstawowy31"/>
        <w:rPr>
          <w:sz w:val="22"/>
          <w:szCs w:val="22"/>
        </w:rPr>
      </w:pPr>
      <w:r w:rsidRPr="00AB2DB3">
        <w:rPr>
          <w:sz w:val="22"/>
          <w:szCs w:val="22"/>
        </w:rPr>
        <w:t>Wszystkie materiały pakowane powinny być przechowywane i magazynowane zgodnie z instrukcja producenta oraz wymaganiami odpowiednich norm.</w:t>
      </w:r>
    </w:p>
    <w:p w14:paraId="69F6FB43" w14:textId="77777777" w:rsidR="00AB2DB3" w:rsidRPr="00AB2DB3" w:rsidRDefault="00AB2DB3" w:rsidP="00BA0803">
      <w:pPr>
        <w:pStyle w:val="Tekstpodstawowy31"/>
        <w:rPr>
          <w:sz w:val="22"/>
          <w:szCs w:val="22"/>
        </w:rPr>
      </w:pPr>
      <w:r w:rsidRPr="00AB2DB3">
        <w:rPr>
          <w:sz w:val="22"/>
          <w:szCs w:val="22"/>
        </w:rPr>
        <w:t>W szczególności przewody należy przechowywać na bębnach (oznaczenie „B”) lub w krążkach (oznaczenie „K”), końce przewodów izolowanych producent zabezpiecza przed przedostawaniem się wilgoci do wewnątrz i wyprowadza poza opakowanie dla ułatwienia kontroli parametrów (ciągłość żył, przekrój).</w:t>
      </w:r>
    </w:p>
    <w:p w14:paraId="43121C52" w14:textId="77777777" w:rsidR="00AB2DB3" w:rsidRPr="00AB2DB3" w:rsidRDefault="00AB2DB3" w:rsidP="00BA0803">
      <w:pPr>
        <w:pStyle w:val="Tekstpodstawowy31"/>
        <w:rPr>
          <w:sz w:val="22"/>
          <w:szCs w:val="22"/>
        </w:rPr>
      </w:pPr>
      <w:r w:rsidRPr="00AB2DB3">
        <w:rPr>
          <w:sz w:val="22"/>
          <w:szCs w:val="22"/>
        </w:rPr>
        <w:t>Pozostały sprzęt i osprzęt podstawowy i pomocniczy należy przechowywać w oryginalnych opakowaniach, kartonach, opakowaniach foliowych. Szczególnie należy chronić przed wpływami atmosferycznymi: deszcz, mróz oraz zawilgoceniem. Pomieszczenie magazynowe do przechowywania wyrobów opakowanych powinno być suche i zabezpieczone przed zawilgoceniem.</w:t>
      </w:r>
    </w:p>
    <w:p w14:paraId="28D54D9B" w14:textId="77777777" w:rsidR="00AB2DB3" w:rsidRPr="00AB2DB3" w:rsidRDefault="00AB2DB3" w:rsidP="00BA0803">
      <w:pPr>
        <w:pStyle w:val="Tekstpodstawowy31"/>
        <w:rPr>
          <w:sz w:val="22"/>
          <w:szCs w:val="22"/>
        </w:rPr>
      </w:pPr>
      <w:r w:rsidRPr="00AB2DB3">
        <w:rPr>
          <w:sz w:val="22"/>
          <w:szCs w:val="22"/>
        </w:rPr>
        <w:t>Organizacja robót przeważnie przewiduje dostarczanie konstrukcji wsporczych w elementach (słupy żelbetowe) na składowisko dla danej budowy, a następnie przewóz na poszczególne stanowiska – miejsca montażu słupów. Szczególnie narażone na uszkodzenia są żerdzie, dlatego wszelkie roboty przeładunkowe należy wykonywać dźwigiem z należytą starannością.</w:t>
      </w:r>
    </w:p>
    <w:p w14:paraId="1A0F08A8" w14:textId="77777777" w:rsidR="00AB2DB3" w:rsidRPr="00AB2DB3" w:rsidRDefault="00AB2DB3" w:rsidP="00BA0803">
      <w:pPr>
        <w:pStyle w:val="Tekstpodstawowy31"/>
        <w:rPr>
          <w:sz w:val="22"/>
          <w:szCs w:val="22"/>
        </w:rPr>
      </w:pPr>
      <w:r w:rsidRPr="00AB2DB3">
        <w:rPr>
          <w:sz w:val="22"/>
          <w:szCs w:val="22"/>
        </w:rPr>
        <w:t>Miejsce składowania na budowie powinno być suche, niezarośnięte, posiadać dogodny dostęp i dojazd. Dopuszcza się składowanie w stosach przy zachowaniu zasady stosowania podkładów drewnianych na ziemi i miedzy kolejnymi warstwami.</w:t>
      </w:r>
    </w:p>
    <w:p w14:paraId="4DCBC43C" w14:textId="77777777" w:rsidR="00AB2DB3" w:rsidRPr="00AB2DB3" w:rsidRDefault="00AB2DB3" w:rsidP="00BA0803">
      <w:pPr>
        <w:pStyle w:val="Tekstpodstawowy31"/>
        <w:rPr>
          <w:sz w:val="22"/>
          <w:szCs w:val="22"/>
        </w:rPr>
      </w:pPr>
      <w:r w:rsidRPr="00AB2DB3">
        <w:rPr>
          <w:sz w:val="22"/>
          <w:szCs w:val="22"/>
        </w:rPr>
        <w:t>Stwierdzenie niewielkich ubytków masy betonowej elementu nie musi go dyskwalifikować, należy dokonać uzupełnień ubytków i wtedy można taki element zamontować w miejscu występowania mniejszego obciążenia.</w:t>
      </w:r>
    </w:p>
    <w:p w14:paraId="1D341C46" w14:textId="77777777" w:rsidR="00AB2DB3" w:rsidRPr="00AB2DB3" w:rsidRDefault="00AB2DB3" w:rsidP="00BA0803">
      <w:pPr>
        <w:pStyle w:val="Tekstpodstawowy31"/>
        <w:rPr>
          <w:sz w:val="22"/>
          <w:szCs w:val="22"/>
        </w:rPr>
      </w:pPr>
      <w:r w:rsidRPr="00AB2DB3">
        <w:rPr>
          <w:sz w:val="22"/>
          <w:szCs w:val="22"/>
        </w:rPr>
        <w:t>Pęknięcia żerdzi powodują ich dyskwalifikacje jako materiał do budowy konstrukcji wsporczych.</w:t>
      </w:r>
    </w:p>
    <w:p w14:paraId="732D612C" w14:textId="77777777" w:rsidR="00AB2DB3" w:rsidRPr="00AB2DB3" w:rsidRDefault="00AB2DB3" w:rsidP="00BA0803">
      <w:pPr>
        <w:pStyle w:val="Tekstpodstawowy31"/>
        <w:rPr>
          <w:sz w:val="22"/>
          <w:szCs w:val="22"/>
        </w:rPr>
      </w:pPr>
    </w:p>
    <w:p w14:paraId="2EF5DA95" w14:textId="77777777" w:rsidR="00AB2DB3" w:rsidRPr="00326BBF"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lang w:val="pl-PL"/>
        </w:rPr>
      </w:pPr>
      <w:r w:rsidRPr="00326BBF">
        <w:rPr>
          <w:sz w:val="22"/>
          <w:szCs w:val="22"/>
          <w:lang w:val="pl-PL"/>
        </w:rPr>
        <w:t>3. WYMAGANIA DOTYCZĄCE SPRZĘTU, MASZYN I NARZĘDZI</w:t>
      </w:r>
    </w:p>
    <w:p w14:paraId="28CF5AE0" w14:textId="77777777" w:rsidR="00AB2DB3" w:rsidRPr="00AB2DB3" w:rsidRDefault="00AB2DB3" w:rsidP="00BA0803">
      <w:pPr>
        <w:pStyle w:val="Tekstpodstawowy31"/>
        <w:rPr>
          <w:sz w:val="22"/>
          <w:szCs w:val="22"/>
        </w:rPr>
      </w:pPr>
      <w:r w:rsidRPr="00AB2DB3">
        <w:rPr>
          <w:sz w:val="22"/>
          <w:szCs w:val="22"/>
        </w:rPr>
        <w:t>Prace można wykonywać przy pomocy wszelkiego sprawnego sprzętu i zgodnego z przepisami BHP. Montaż sieci napowietrznej i opraw ośw. ulicznego na słupach z wykorzystaniem żurawia samochodowego z platformą i balkonem. Sprzęt będący własnością Wykonawcy lub wynajęty do wykonania robót ma być utrzymywany w dobrym stanie i gotowości do pracy. Będzie spełniał normy ochrony środowiska i przepisy dotyczące jego użytkowania.</w:t>
      </w:r>
    </w:p>
    <w:p w14:paraId="35DE0790" w14:textId="77777777" w:rsidR="00AB2DB3" w:rsidRPr="00AB2DB3" w:rsidRDefault="00AB2DB3" w:rsidP="00BA0803">
      <w:pPr>
        <w:pStyle w:val="Tekstpodstawowy31"/>
        <w:rPr>
          <w:sz w:val="22"/>
          <w:szCs w:val="22"/>
        </w:rPr>
      </w:pPr>
    </w:p>
    <w:p w14:paraId="21D4DE08"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4. WYMAGANIA DOTYCZACE TRANSPORTU</w:t>
      </w:r>
    </w:p>
    <w:p w14:paraId="7E568DA7" w14:textId="77777777" w:rsidR="00AB2DB3" w:rsidRPr="00AB2DB3" w:rsidRDefault="00AB2DB3" w:rsidP="00BA0803">
      <w:pPr>
        <w:pStyle w:val="Tekstpodstawowy31"/>
        <w:rPr>
          <w:sz w:val="22"/>
          <w:szCs w:val="22"/>
        </w:rPr>
      </w:pPr>
      <w:r w:rsidRPr="00AB2DB3">
        <w:rPr>
          <w:sz w:val="22"/>
          <w:szCs w:val="22"/>
        </w:rPr>
        <w:t xml:space="preserve">Podczas transportu materiałów na budowę należy zachować ostrożność, aby nie uszkodzić materiałów do montażu. Minimalne temperatury dopuszczające wykonywanie transportu wynoszą dla bębnów: – 15°C i – </w:t>
      </w:r>
      <w:smartTag w:uri="urn:schemas-microsoft-com:office:smarttags" w:element="metricconverter">
        <w:smartTagPr>
          <w:attr w:name="ProductID" w:val="5°C"/>
        </w:smartTagPr>
        <w:r w:rsidRPr="00AB2DB3">
          <w:rPr>
            <w:sz w:val="22"/>
            <w:szCs w:val="22"/>
          </w:rPr>
          <w:t>5°C</w:t>
        </w:r>
      </w:smartTag>
      <w:r w:rsidRPr="00AB2DB3">
        <w:rPr>
          <w:sz w:val="22"/>
          <w:szCs w:val="22"/>
        </w:rPr>
        <w:t xml:space="preserve"> dla krążków, ze względu na możliwość uszkodzenia izolacji.</w:t>
      </w:r>
    </w:p>
    <w:p w14:paraId="59853B13" w14:textId="77777777" w:rsidR="00AB2DB3" w:rsidRPr="00AB2DB3" w:rsidRDefault="00AB2DB3" w:rsidP="00BA0803">
      <w:pPr>
        <w:pStyle w:val="Tekstpodstawowy31"/>
        <w:rPr>
          <w:sz w:val="22"/>
          <w:szCs w:val="22"/>
        </w:rPr>
      </w:pPr>
      <w:r w:rsidRPr="00AB2DB3">
        <w:rPr>
          <w:sz w:val="22"/>
          <w:szCs w:val="22"/>
        </w:rPr>
        <w:t>Elementy konstrukcji wsporczych przewozić zgodnie z instrukcjami i zaleceniami producenta – zarówno elementy stalowe jak i żelbetowe.</w:t>
      </w:r>
    </w:p>
    <w:p w14:paraId="67382809" w14:textId="77777777" w:rsidR="00AB2DB3" w:rsidRPr="00AB2DB3" w:rsidRDefault="00AB2DB3" w:rsidP="00BA0803">
      <w:pPr>
        <w:pStyle w:val="Tekstpodstawowy31"/>
        <w:rPr>
          <w:sz w:val="22"/>
          <w:szCs w:val="22"/>
        </w:rPr>
      </w:pPr>
      <w:r w:rsidRPr="00AB2DB3">
        <w:rPr>
          <w:sz w:val="22"/>
          <w:szCs w:val="22"/>
        </w:rPr>
        <w:t>Stosować dodatkowe opakowania w przypadku możliwości uszkodzeń transportowych.</w:t>
      </w:r>
    </w:p>
    <w:p w14:paraId="7064BCD4" w14:textId="77777777" w:rsidR="00AB2DB3" w:rsidRPr="00AB2DB3" w:rsidRDefault="00AB2DB3" w:rsidP="00BA0803">
      <w:pPr>
        <w:pStyle w:val="Tekstpodstawowy31"/>
        <w:rPr>
          <w:sz w:val="22"/>
          <w:szCs w:val="22"/>
        </w:rPr>
      </w:pPr>
    </w:p>
    <w:p w14:paraId="63AD0FDE"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5. WYMAGANIA DOTYCZĄCE WYKONANIA ROBÓT</w:t>
      </w:r>
    </w:p>
    <w:p w14:paraId="0146A56C"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 xml:space="preserve">5.1. </w:t>
      </w:r>
      <w:r w:rsidRPr="00AB2DB3">
        <w:rPr>
          <w:rFonts w:ascii="Times New Roman" w:hAnsi="Times New Roman" w:cs="Times New Roman"/>
          <w:b/>
          <w:bCs/>
          <w:noProof/>
          <w:lang w:eastAsia="pl-PL"/>
        </w:rPr>
        <w:t>Z</w:t>
      </w:r>
      <w:r w:rsidRPr="00AB2DB3">
        <w:rPr>
          <w:rFonts w:ascii="Times New Roman" w:hAnsi="Times New Roman" w:cs="Times New Roman"/>
          <w:b/>
          <w:bCs/>
          <w:noProof/>
          <w:lang w:val="x-none" w:eastAsia="pl-PL"/>
        </w:rPr>
        <w:t xml:space="preserve">asady wykonania robót </w:t>
      </w:r>
    </w:p>
    <w:p w14:paraId="0E44D7AF" w14:textId="77777777" w:rsidR="00AB2DB3" w:rsidRPr="00AB2DB3" w:rsidRDefault="00AB2DB3" w:rsidP="00BA0803">
      <w:pPr>
        <w:pStyle w:val="Tekstpodstawowy31"/>
        <w:rPr>
          <w:sz w:val="22"/>
          <w:szCs w:val="22"/>
        </w:rPr>
      </w:pPr>
      <w:r w:rsidRPr="00AB2DB3">
        <w:rPr>
          <w:sz w:val="22"/>
          <w:szCs w:val="22"/>
        </w:rPr>
        <w:t>Wykonawca jest odpowiedzialny za prowadzenie robót zgodnie z dokumentacją techniczną i umową oraz za jakość zastosowanych materiałów i jakość wykonanych robót.</w:t>
      </w:r>
    </w:p>
    <w:p w14:paraId="021317F1" w14:textId="77777777" w:rsidR="00AB2DB3" w:rsidRPr="00AB2DB3" w:rsidRDefault="00AB2DB3" w:rsidP="00BA0803">
      <w:pPr>
        <w:pStyle w:val="Tekstpodstawowy31"/>
        <w:rPr>
          <w:sz w:val="22"/>
          <w:szCs w:val="22"/>
        </w:rPr>
      </w:pPr>
      <w:r w:rsidRPr="00AB2DB3">
        <w:rPr>
          <w:sz w:val="22"/>
          <w:szCs w:val="22"/>
        </w:rPr>
        <w:lastRenderedPageBreak/>
        <w:t>Roboty winny być wykonane zgodnie z projektem, wymaganiami ST oraz poleceniami inspektora nadzoru.</w:t>
      </w:r>
    </w:p>
    <w:p w14:paraId="318A1C7B" w14:textId="77777777" w:rsidR="00AB2DB3" w:rsidRPr="00AB2DB3" w:rsidRDefault="00AB2DB3" w:rsidP="00BA0803">
      <w:pPr>
        <w:pStyle w:val="Tekstpodstawowy31"/>
        <w:rPr>
          <w:sz w:val="22"/>
          <w:szCs w:val="22"/>
        </w:rPr>
      </w:pPr>
      <w:r w:rsidRPr="00AB2DB3">
        <w:rPr>
          <w:sz w:val="22"/>
          <w:szCs w:val="22"/>
        </w:rPr>
        <w:t>Przed przystąpieniem do robót zasadniczych należy dokonać przy udziale geodety trasowania przebiegu linii energetycznej i posadowienia słupów, z zaznaczeniem np. palikami jej charakterystycznych punktów.</w:t>
      </w:r>
    </w:p>
    <w:p w14:paraId="1A73650E" w14:textId="77777777" w:rsidR="00AB2DB3" w:rsidRPr="00AB2DB3" w:rsidRDefault="00AB2DB3" w:rsidP="00BA0803">
      <w:pPr>
        <w:pStyle w:val="Tekstpodstawowy31"/>
        <w:rPr>
          <w:sz w:val="22"/>
          <w:szCs w:val="22"/>
        </w:rPr>
      </w:pPr>
    </w:p>
    <w:p w14:paraId="57F88C0F"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5.2 Wykop pod fundamenty</w:t>
      </w:r>
    </w:p>
    <w:p w14:paraId="752205F5" w14:textId="77777777" w:rsidR="00AB2DB3" w:rsidRPr="00AB2DB3" w:rsidRDefault="00AB2DB3" w:rsidP="00BA0803">
      <w:pPr>
        <w:pStyle w:val="Tekstpodstawowy31"/>
        <w:rPr>
          <w:sz w:val="22"/>
          <w:szCs w:val="22"/>
        </w:rPr>
      </w:pPr>
      <w:r w:rsidRPr="00AB2DB3">
        <w:rPr>
          <w:sz w:val="22"/>
          <w:szCs w:val="22"/>
        </w:rPr>
        <w:t>Przed przystąpieniem do wykonywania wykopów, Wykonawca ma obowiązek sprawdzenia zgodności rzędnych terenu z danymi w Dokumentacji Projektowej oraz oceny warunków gruntowych i przebiegu isniejących sieci podziemnych. Metoda wykonywania robót ziemnych powinna być dobrana w zależności od głębokości wykopu, ukształtowania terenu oraz rodzaju gruntu. Pod fundamenty prefabrykowane, zaleca się wykonywanie wykopów wąskoprzestrzennych ręcznie. Ich obudowa i zabezpieczenie przed osypywaniem powinno odpowiadać wymaganiom PN-B-02205. Wykopy pod słupy oświetleniowe zaleca się wykonywać mechanicznie przy zastosowaniu koparek. W obu wypadkach wykopy wykonane powinny być bez naruszenia naturalnej struktury dna wykopu i zgodnie z PN-B-06050.</w:t>
      </w:r>
    </w:p>
    <w:p w14:paraId="354B7CBE" w14:textId="77777777" w:rsidR="00AB2DB3" w:rsidRPr="00AB2DB3" w:rsidRDefault="00AB2DB3" w:rsidP="00BA0803">
      <w:pPr>
        <w:pStyle w:val="Tekstpodstawowy31"/>
        <w:rPr>
          <w:sz w:val="22"/>
          <w:szCs w:val="22"/>
        </w:rPr>
      </w:pPr>
    </w:p>
    <w:p w14:paraId="2BFD5EDD"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eastAsia="pl-PL"/>
        </w:rPr>
        <w:t xml:space="preserve">5.2.1 </w:t>
      </w:r>
      <w:r w:rsidRPr="00AB2DB3">
        <w:rPr>
          <w:rFonts w:ascii="Times New Roman" w:hAnsi="Times New Roman" w:cs="Times New Roman"/>
          <w:b/>
          <w:bCs/>
          <w:noProof/>
          <w:lang w:val="x-none" w:eastAsia="pl-PL"/>
        </w:rPr>
        <w:t>Montaż fundamentów prefabrykowanych</w:t>
      </w:r>
    </w:p>
    <w:p w14:paraId="322D15F5" w14:textId="77777777" w:rsidR="00AB2DB3" w:rsidRPr="00AB2DB3" w:rsidRDefault="00AB2DB3" w:rsidP="00BA0803">
      <w:pPr>
        <w:pStyle w:val="Tekstpodstawowy31"/>
        <w:rPr>
          <w:sz w:val="22"/>
          <w:szCs w:val="22"/>
        </w:rPr>
      </w:pPr>
      <w:r w:rsidRPr="00AB2DB3">
        <w:rPr>
          <w:sz w:val="22"/>
          <w:szCs w:val="22"/>
        </w:rPr>
        <w:t>Montaż fundamentów należy wykonać zgodnie z wytycznymi montażu dla konkretnego fundamentu zamieszczonego w Dokumentacji Projektowej oraz katalogach i albumach projektowych. Fundament powinien być ustawiony przy pomocy dźwigu na 10 cm warstwie betonu B 10 (C 8/10), spełniającego wymagania PN-B-06250, płycie betnowej lub zagęszczonego żwiru spełniającego wymagania PN-B-11111. Przed jego zasypaniem należy sprawdzić rzędne posadowienia, stan zabezpieczenia antykorozyjnego ścianek i poziom górnej powierzchni, do której przytwierdzona jest płyta mocująca. Maksymalne odchylenie górnej powierzchni fundamentu od poziomu nie powinno przekroczyć wartości normatywnych z dopuszczalną tolerancją rzędnej posadowienia ±2 cm. Ustawienie fundamentu w pianie powinno być wykonane z dokładnością ± 10 cm. Wykop należy zasypać ziemią bez kamieni ubijając ją warstwami zagęszczarką wibracyjną, co 20 cm. Wskaźnik zagęszczenia gruntu powinien osiągnąć co najmniej 0,95 wg BN-72/8932-01.</w:t>
      </w:r>
    </w:p>
    <w:p w14:paraId="06B03166" w14:textId="77777777" w:rsidR="00AB2DB3" w:rsidRPr="00AB2DB3" w:rsidRDefault="00AB2DB3" w:rsidP="00BA0803">
      <w:pPr>
        <w:pStyle w:val="Tekstpodstawowy31"/>
        <w:rPr>
          <w:sz w:val="22"/>
          <w:szCs w:val="22"/>
        </w:rPr>
      </w:pPr>
    </w:p>
    <w:p w14:paraId="3063BDEB"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w:t>
      </w:r>
      <w:r w:rsidRPr="00AB2DB3">
        <w:rPr>
          <w:rFonts w:ascii="Times New Roman" w:hAnsi="Times New Roman" w:cs="Times New Roman"/>
          <w:b/>
          <w:bCs/>
          <w:noProof/>
          <w:lang w:eastAsia="pl-PL"/>
        </w:rPr>
        <w:t>3</w:t>
      </w:r>
      <w:r w:rsidRPr="00AB2DB3">
        <w:rPr>
          <w:rFonts w:ascii="Times New Roman" w:hAnsi="Times New Roman" w:cs="Times New Roman"/>
          <w:b/>
          <w:bCs/>
          <w:noProof/>
          <w:lang w:val="x-none" w:eastAsia="pl-PL"/>
        </w:rPr>
        <w:t>. Montaż przewodów instalacji elektrycznych</w:t>
      </w:r>
    </w:p>
    <w:p w14:paraId="7D79AC1F" w14:textId="77777777" w:rsidR="00AB2DB3" w:rsidRPr="00AB2DB3" w:rsidRDefault="00AB2DB3" w:rsidP="00BA0803">
      <w:pPr>
        <w:pStyle w:val="Tekstpodstawowy31"/>
        <w:rPr>
          <w:sz w:val="22"/>
          <w:szCs w:val="22"/>
        </w:rPr>
      </w:pPr>
      <w:r w:rsidRPr="00AB2DB3">
        <w:rPr>
          <w:sz w:val="22"/>
          <w:szCs w:val="22"/>
        </w:rPr>
        <w:t>Zakres robót obejmuje:</w:t>
      </w:r>
    </w:p>
    <w:p w14:paraId="3FCD139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przemieszczenie prefabrykatów i materiałów z miejsca składowania na miejsce ustawiania,</w:t>
      </w:r>
    </w:p>
    <w:p w14:paraId="3975DBF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wykonanie robót ziemnych, w tym staranne ubijanie warstwami przy zasypywaniu dołów oraz wymianę gruntu w przypadku nieodpowiedniego składu gruntu rodzimego,</w:t>
      </w:r>
    </w:p>
    <w:p w14:paraId="7984E84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wykonanie fundamentów pod słupy stalowe lub ułożenie prefabrykatów dla słupów żelbetowych,</w:t>
      </w:r>
    </w:p>
    <w:p w14:paraId="7ACFB931"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i ustawianie konstrukcji wsporczych.</w:t>
      </w:r>
    </w:p>
    <w:p w14:paraId="0E007F12" w14:textId="77777777" w:rsidR="00AB2DB3" w:rsidRPr="00AB2DB3" w:rsidRDefault="00AB2DB3" w:rsidP="00BA0803">
      <w:pPr>
        <w:pStyle w:val="Tekstpodstawowy31"/>
        <w:rPr>
          <w:sz w:val="22"/>
          <w:szCs w:val="22"/>
        </w:rPr>
      </w:pPr>
      <w:r w:rsidRPr="00AB2DB3">
        <w:rPr>
          <w:sz w:val="22"/>
          <w:szCs w:val="22"/>
        </w:rPr>
        <w:t>Uwagi dodatkowe:</w:t>
      </w:r>
    </w:p>
    <w:p w14:paraId="4417892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1. </w:t>
      </w:r>
      <w:r w:rsidRPr="00AB2DB3">
        <w:rPr>
          <w:rFonts w:ascii="Times New Roman" w:hAnsi="Times New Roman" w:cs="Times New Roman"/>
        </w:rPr>
        <w:tab/>
        <w:t>Przeładunek elementów linii w poziomie powinien być dokonywany przy użyciu dźwigu i zamocowań, z zastosowaniem uchwytów i / lub zawiesi uniemożliwiających wysunięcie lub niekontrolowany przechył elementu.</w:t>
      </w:r>
    </w:p>
    <w:p w14:paraId="55F5EFD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2. </w:t>
      </w:r>
      <w:r w:rsidRPr="00AB2DB3">
        <w:rPr>
          <w:rFonts w:ascii="Times New Roman" w:hAnsi="Times New Roman" w:cs="Times New Roman"/>
        </w:rPr>
        <w:tab/>
        <w:t xml:space="preserve">Roboty ziemne: wykopy pod posadowienie konstrukcji wsporczych wykonuje się mechanicznie (przy użyciu świdrów mechanicznych lub koparek) lub ręcznie. Świdry mechaniczne mają zastosowanie do wierceń w gruntach lekkich i o małej wilgotności; typowa średnica odwiertu – </w:t>
      </w:r>
      <w:smartTag w:uri="urn:schemas-microsoft-com:office:smarttags" w:element="metricconverter">
        <w:smartTagPr>
          <w:attr w:name="ProductID" w:val="600 mm"/>
        </w:smartTagPr>
        <w:r w:rsidRPr="00AB2DB3">
          <w:rPr>
            <w:rFonts w:ascii="Times New Roman" w:hAnsi="Times New Roman" w:cs="Times New Roman"/>
          </w:rPr>
          <w:t>600 mm</w:t>
        </w:r>
      </w:smartTag>
      <w:r w:rsidRPr="00AB2DB3">
        <w:rPr>
          <w:rFonts w:ascii="Times New Roman" w:hAnsi="Times New Roman" w:cs="Times New Roman"/>
        </w:rPr>
        <w:t xml:space="preserve"> pozwala na ustawienie żerdzi na niewielkiej płycie ustojowej lub bez niej, większe otwory wykonywane są za pomocą wierteł zespolonych lub poprzez kilkakrotne wiercenie.</w:t>
      </w:r>
    </w:p>
    <w:p w14:paraId="56FFE8C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Ręczne wykopy powinny być wykonywane z zachowaniem zasad bezpieczeństwa wynikających wg zaleceń wynikających ze ST „Roboty w zakresie przygotowania terenu pod budowę i roboty </w:t>
      </w:r>
      <w:r w:rsidRPr="00AB2DB3">
        <w:rPr>
          <w:rFonts w:ascii="Times New Roman" w:hAnsi="Times New Roman" w:cs="Times New Roman"/>
        </w:rPr>
        <w:lastRenderedPageBreak/>
        <w:t>ziemne”. Dla ułatwienia wykonywania prac w gotowym wykopie stosuje się wykonanie jednej ściany schodkowej – ilość schodków zależy od spoistości gruntu i głębokości dna.</w:t>
      </w:r>
    </w:p>
    <w:p w14:paraId="3292A91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3. </w:t>
      </w:r>
      <w:r w:rsidRPr="00AB2DB3">
        <w:rPr>
          <w:rFonts w:ascii="Times New Roman" w:hAnsi="Times New Roman" w:cs="Times New Roman"/>
        </w:rPr>
        <w:tab/>
        <w:t>Fundamenty pod słupy stalowe: w zależności od typu słupa kratowego stosuje się fundamenty blokowe (wylewane na mokro w wykopie) lub prefabrykowane tzw. grzybkowe (montowane z prefabrykatów w wykopie).</w:t>
      </w:r>
    </w:p>
    <w:p w14:paraId="3F6D75B4" w14:textId="77777777" w:rsidR="00AB2DB3" w:rsidRPr="00AB2DB3" w:rsidRDefault="00AB2DB3" w:rsidP="00BA0803">
      <w:pPr>
        <w:autoSpaceDE w:val="0"/>
        <w:ind w:left="709" w:hanging="360"/>
        <w:jc w:val="both"/>
        <w:rPr>
          <w:rFonts w:ascii="Times New Roman" w:hAnsi="Times New Roman" w:cs="Times New Roman"/>
        </w:rPr>
      </w:pPr>
    </w:p>
    <w:p w14:paraId="65494385"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w:t>
      </w:r>
      <w:r w:rsidRPr="00AB2DB3">
        <w:rPr>
          <w:rFonts w:ascii="Times New Roman" w:hAnsi="Times New Roman" w:cs="Times New Roman"/>
          <w:b/>
          <w:bCs/>
          <w:noProof/>
          <w:lang w:eastAsia="pl-PL"/>
        </w:rPr>
        <w:t>4</w:t>
      </w:r>
      <w:r w:rsidRPr="00AB2DB3">
        <w:rPr>
          <w:rFonts w:ascii="Times New Roman" w:hAnsi="Times New Roman" w:cs="Times New Roman"/>
          <w:b/>
          <w:bCs/>
          <w:noProof/>
          <w:lang w:val="x-none" w:eastAsia="pl-PL"/>
        </w:rPr>
        <w:t>.Prace montażowe słupa obejmują następujące czynności:</w:t>
      </w:r>
    </w:p>
    <w:p w14:paraId="46B029F2"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Ułożenie elementów na stanowisku pracy,</w:t>
      </w:r>
    </w:p>
    <w:p w14:paraId="6F460094"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osprzętu – dla linii do 1 kV montuje się poprzeczniki, wysięgniki, oprawy oświetleniowe, bezpieczniki, tabliczki bezpiecznikowo – zaciskowe (montaż przed postawieniem słupa jest prostszy),</w:t>
      </w:r>
    </w:p>
    <w:p w14:paraId="6B911B8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elementów ustojowych i podpór do słupa. Dla słupów kratowych może się odbywać jako poziomy (najczęściej stosowany) lub pionowy – dla słupów bardzo wysokich, poprzedzony kontrolnym montażem poziomym dla ułatwienia robót zasadniczych,</w:t>
      </w:r>
    </w:p>
    <w:p w14:paraId="38DA34A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Stawianie słupa może odbywać się za pomocą dźwigu, nożyc ruchomych oraz wciągarki lub ciągnika.</w:t>
      </w:r>
    </w:p>
    <w:p w14:paraId="2622DB70"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w:t>
      </w:r>
      <w:r w:rsidRPr="00AB2DB3">
        <w:rPr>
          <w:rFonts w:ascii="Times New Roman" w:hAnsi="Times New Roman" w:cs="Times New Roman"/>
          <w:b/>
          <w:bCs/>
          <w:noProof/>
          <w:lang w:eastAsia="pl-PL"/>
        </w:rPr>
        <w:t>5</w:t>
      </w:r>
      <w:r w:rsidRPr="00AB2DB3">
        <w:rPr>
          <w:rFonts w:ascii="Times New Roman" w:hAnsi="Times New Roman" w:cs="Times New Roman"/>
          <w:b/>
          <w:bCs/>
          <w:noProof/>
          <w:lang w:val="x-none" w:eastAsia="pl-PL"/>
        </w:rPr>
        <w:t>. Montaż przewodów linii energetycznych</w:t>
      </w:r>
    </w:p>
    <w:p w14:paraId="22491954" w14:textId="77777777" w:rsidR="00AB2DB3" w:rsidRPr="00AB2DB3" w:rsidRDefault="00AB2DB3" w:rsidP="00BA0803">
      <w:pPr>
        <w:pStyle w:val="Tekstpodstawowy31"/>
        <w:rPr>
          <w:sz w:val="22"/>
          <w:szCs w:val="22"/>
        </w:rPr>
      </w:pPr>
      <w:r w:rsidRPr="00AB2DB3">
        <w:rPr>
          <w:sz w:val="22"/>
          <w:szCs w:val="22"/>
        </w:rPr>
        <w:t>Zakres robót obejmuje:</w:t>
      </w:r>
    </w:p>
    <w:p w14:paraId="695D637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dostarczenie przewodów do strefy montażowej, ułożenie na ziemi, na miejscu montażu wg projektu – wzdłuż sekcji,</w:t>
      </w:r>
    </w:p>
    <w:p w14:paraId="3EBE803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roboty przygotowawcze o charakterze konstrukcyjnym takie jak: ustawienie bramek z poprzecznikami, roboty zabezpieczające przed uszkodzeniem przewodów poprzez tarcie podczas ciągnięcia lub wykonywania odciągów słupów odporowych itp.,</w:t>
      </w:r>
    </w:p>
    <w:p w14:paraId="2D4879BF"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mocowanie przewodów,</w:t>
      </w:r>
    </w:p>
    <w:p w14:paraId="507352B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łączenie przewodów i wykonanie przyłączy,</w:t>
      </w:r>
    </w:p>
    <w:p w14:paraId="73398834"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instalacji uziemiających,</w:t>
      </w:r>
    </w:p>
    <w:p w14:paraId="012B1C8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prace wykończeniowe i próby pomontażowe.</w:t>
      </w:r>
    </w:p>
    <w:p w14:paraId="6DF2B877" w14:textId="77777777" w:rsidR="00AB2DB3" w:rsidRPr="00AB2DB3" w:rsidRDefault="00AB2DB3" w:rsidP="00BA0803">
      <w:pPr>
        <w:pStyle w:val="Tekstpodstawowy31"/>
        <w:rPr>
          <w:sz w:val="22"/>
          <w:szCs w:val="22"/>
        </w:rPr>
      </w:pPr>
      <w:r w:rsidRPr="00AB2DB3">
        <w:rPr>
          <w:sz w:val="22"/>
          <w:szCs w:val="22"/>
        </w:rPr>
        <w:t>Uwagi dodatkowe:</w:t>
      </w:r>
    </w:p>
    <w:p w14:paraId="139BA160"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1. </w:t>
      </w:r>
      <w:r w:rsidRPr="00AB2DB3">
        <w:rPr>
          <w:rFonts w:ascii="Times New Roman" w:hAnsi="Times New Roman" w:cs="Times New Roman"/>
        </w:rPr>
        <w:tab/>
        <w:t>Montaż instalacji uziemiających ma na celu odprowadzenie ładunku elektrycznego do ziemi, w celu ograniczenia niebezpieczeństwa porażenia prądem elektrycznym oraz powstania przeskoku odwrotnego przy uderzeniu pioruna w słup. Dla większości rodzajów gruntów stosuje się uziomy głębinowe (prętowe), dla gruntów powyżej III kategorii, szczególnie dla skalistych, stosuje się uziomy otokowe taśmowe. Złącza w uziomie należy wykonać poprzez zaciski śrubowe (połączenie za pomocą minimalnie dwóch śrub M10) lub spawanie, zachowując minimalne długości połączeń: dla taśmy jej podwójna szerokość, dla pręta jego sześciokrotna średnica. Połączenia powinny być chronione przed korozja (środkiem asfaltowym) i uszkodzeniami mechanicznymi. Połączenie słupa z instalacja należy wykonać przy użyciu zacisków probierczych śrubowych, które umożliwiają odłączenie uziomu od słupa dla przeprowadzenia badań rezystancji. Po każdym odłączeniu wymagana jest konserwacja zacisków wazeliną techniczną.</w:t>
      </w:r>
    </w:p>
    <w:p w14:paraId="548A8D5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2. </w:t>
      </w:r>
      <w:r w:rsidRPr="00AB2DB3">
        <w:rPr>
          <w:rFonts w:ascii="Times New Roman" w:hAnsi="Times New Roman" w:cs="Times New Roman"/>
        </w:rPr>
        <w:tab/>
        <w:t>Przed przystąpieniem do wykonywania prób pomontażowych linii i w konsekwencji do przekazania do eksploatacji należy:</w:t>
      </w:r>
    </w:p>
    <w:p w14:paraId="625DBFB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lastRenderedPageBreak/>
        <w:t xml:space="preserve">- </w:t>
      </w:r>
      <w:r w:rsidRPr="00AB2DB3">
        <w:rPr>
          <w:rFonts w:ascii="Times New Roman" w:hAnsi="Times New Roman" w:cs="Times New Roman"/>
        </w:rPr>
        <w:tab/>
        <w:t>po robotach inwestycyjnych i remontowych uporządkować teren i przywrócić stan pierwotny chyba, że dokumentacja stanowi inaczej,</w:t>
      </w:r>
    </w:p>
    <w:p w14:paraId="4190994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dokonać ostatecznego malowania konstrukcji stalowych, zgodnie z instrukcja dotyczącą ochrony antykorozyjnej i wytycznych z zakresu p-poż.,</w:t>
      </w:r>
    </w:p>
    <w:p w14:paraId="63555C23"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umocować wszelkie tabliczki ostrzegawcze i numeracyjne, względnie dokonać malowania oznaczeń wg dokumentacji.</w:t>
      </w:r>
    </w:p>
    <w:p w14:paraId="5CBC83A7" w14:textId="77777777" w:rsidR="00AB2DB3" w:rsidRPr="00AB2DB3" w:rsidRDefault="00AB2DB3" w:rsidP="00BA0803">
      <w:pPr>
        <w:autoSpaceDE w:val="0"/>
        <w:ind w:left="709" w:hanging="360"/>
        <w:jc w:val="both"/>
        <w:rPr>
          <w:rFonts w:ascii="Times New Roman" w:hAnsi="Times New Roman" w:cs="Times New Roman"/>
        </w:rPr>
      </w:pPr>
    </w:p>
    <w:p w14:paraId="47138ECF"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w:t>
      </w:r>
      <w:r w:rsidRPr="00AB2DB3">
        <w:rPr>
          <w:rFonts w:ascii="Times New Roman" w:hAnsi="Times New Roman" w:cs="Times New Roman"/>
          <w:b/>
          <w:bCs/>
          <w:noProof/>
          <w:lang w:eastAsia="pl-PL"/>
        </w:rPr>
        <w:t>6</w:t>
      </w:r>
      <w:r w:rsidRPr="00AB2DB3">
        <w:rPr>
          <w:rFonts w:ascii="Times New Roman" w:hAnsi="Times New Roman" w:cs="Times New Roman"/>
          <w:b/>
          <w:bCs/>
          <w:noProof/>
          <w:lang w:val="x-none" w:eastAsia="pl-PL"/>
        </w:rPr>
        <w:t>. Montaż wysięgników</w:t>
      </w:r>
    </w:p>
    <w:p w14:paraId="545A7FAD" w14:textId="77777777" w:rsidR="00AB2DB3" w:rsidRPr="00AB2DB3" w:rsidRDefault="00AB2DB3" w:rsidP="00BA0803">
      <w:pPr>
        <w:pStyle w:val="Tekstpodstawowy31"/>
        <w:rPr>
          <w:sz w:val="22"/>
          <w:szCs w:val="22"/>
        </w:rPr>
      </w:pPr>
      <w:r w:rsidRPr="00AB2DB3">
        <w:rPr>
          <w:noProof/>
          <w:sz w:val="22"/>
          <w:szCs w:val="22"/>
          <w:lang w:val="x-none"/>
        </w:rPr>
        <w:t>Wysięgniki powinny być wykonane zgodnie z Dokumentacją Projektową</w:t>
      </w:r>
      <w:r w:rsidRPr="00AB2DB3">
        <w:rPr>
          <w:noProof/>
          <w:sz w:val="22"/>
          <w:szCs w:val="22"/>
        </w:rPr>
        <w:t>.</w:t>
      </w:r>
      <w:r w:rsidRPr="00AB2DB3">
        <w:rPr>
          <w:sz w:val="22"/>
          <w:szCs w:val="22"/>
        </w:rPr>
        <w:t xml:space="preserve"> Wysięgniki należy montować na słupach stojących zgodnie z instrukcją montażu wydaną przez ich producenta. Wysięgniki składają się z głowicy/uchwytu mocującego i przyspawanych do niej ramion. Zakłada się je na słup i mocuje przy pomocy dwóch rzędów wkrętów dociskowych lub opaski mocującej. Pion wysięgnika należy ustalać pod obciążeniem oprawą oświetleniową lub ciężarem równym jej ciężarowi. Ukośne części wysięgników powinny znajdować się w jednej płaszczyźnie.</w:t>
      </w:r>
      <w:r w:rsidRPr="00AB2DB3">
        <w:rPr>
          <w:noProof/>
          <w:sz w:val="22"/>
          <w:szCs w:val="22"/>
          <w:lang w:val="x-none"/>
        </w:rPr>
        <w:t xml:space="preserve"> Wysięgniki należy</w:t>
      </w:r>
      <w:r w:rsidRPr="00AB2DB3">
        <w:rPr>
          <w:noProof/>
          <w:sz w:val="22"/>
          <w:szCs w:val="22"/>
        </w:rPr>
        <w:t xml:space="preserve"> </w:t>
      </w:r>
      <w:r w:rsidRPr="00AB2DB3">
        <w:rPr>
          <w:noProof/>
          <w:sz w:val="22"/>
          <w:szCs w:val="22"/>
          <w:lang w:val="x-none"/>
        </w:rPr>
        <w:t>wykonywać z rur stalowych bez szwu</w:t>
      </w:r>
      <w:r w:rsidRPr="00AB2DB3">
        <w:rPr>
          <w:noProof/>
          <w:sz w:val="22"/>
          <w:szCs w:val="22"/>
        </w:rPr>
        <w:t>,</w:t>
      </w:r>
      <w:r w:rsidRPr="00AB2DB3">
        <w:rPr>
          <w:noProof/>
          <w:sz w:val="22"/>
          <w:szCs w:val="22"/>
          <w:lang w:val="x-none"/>
        </w:rPr>
        <w:t xml:space="preserve"> </w:t>
      </w:r>
      <w:r w:rsidRPr="00AB2DB3">
        <w:rPr>
          <w:noProof/>
          <w:sz w:val="22"/>
          <w:szCs w:val="22"/>
        </w:rPr>
        <w:t>montowane z samochodu z balkonem na szczycie słupa</w:t>
      </w:r>
      <w:r w:rsidRPr="00AB2DB3">
        <w:rPr>
          <w:noProof/>
          <w:sz w:val="22"/>
          <w:szCs w:val="22"/>
          <w:lang w:val="x-none"/>
        </w:rPr>
        <w:t xml:space="preserve">. </w:t>
      </w:r>
      <w:r w:rsidRPr="00AB2DB3">
        <w:rPr>
          <w:noProof/>
          <w:sz w:val="22"/>
          <w:szCs w:val="22"/>
        </w:rPr>
        <w:t>Mocowanie wysięgników w sposób trwały bez możliwości zmiany położenia pod wpływem warunków atmosferycznych i parcia wiatru. Zabezpieczyć przed korozją.</w:t>
      </w:r>
    </w:p>
    <w:p w14:paraId="2EE0FFF1" w14:textId="77777777" w:rsidR="00AB2DB3" w:rsidRPr="00AB2DB3" w:rsidRDefault="00AB2DB3" w:rsidP="00BA0803">
      <w:pPr>
        <w:pStyle w:val="Tekstpodstawowy31"/>
        <w:rPr>
          <w:sz w:val="22"/>
          <w:szCs w:val="22"/>
        </w:rPr>
      </w:pPr>
    </w:p>
    <w:p w14:paraId="08C79034"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5.</w:t>
      </w:r>
      <w:r w:rsidRPr="00AB2DB3">
        <w:rPr>
          <w:rFonts w:ascii="Times New Roman" w:hAnsi="Times New Roman" w:cs="Times New Roman"/>
          <w:b/>
          <w:bCs/>
          <w:noProof/>
          <w:lang w:eastAsia="pl-PL"/>
        </w:rPr>
        <w:t>7</w:t>
      </w:r>
      <w:r w:rsidRPr="00AB2DB3">
        <w:rPr>
          <w:rFonts w:ascii="Times New Roman" w:hAnsi="Times New Roman" w:cs="Times New Roman"/>
          <w:b/>
          <w:bCs/>
          <w:noProof/>
          <w:lang w:val="x-none" w:eastAsia="pl-PL"/>
        </w:rPr>
        <w:t>. Montaż opraw oświetleniowych</w:t>
      </w:r>
    </w:p>
    <w:p w14:paraId="6AF3D196" w14:textId="77777777" w:rsidR="00AB2DB3" w:rsidRPr="00AB2DB3" w:rsidRDefault="00AB2DB3" w:rsidP="00BA0803">
      <w:pPr>
        <w:pStyle w:val="Tekstpodstawowy31"/>
        <w:rPr>
          <w:sz w:val="22"/>
          <w:szCs w:val="22"/>
        </w:rPr>
      </w:pPr>
      <w:r w:rsidRPr="00AB2DB3">
        <w:rPr>
          <w:sz w:val="22"/>
          <w:szCs w:val="22"/>
        </w:rPr>
        <w:t>Montaż opraw na wysięgnikach należy wykonywać przy pomocy samochodu specjalnego z platformą z balkonem. Każdą oprawę przed zamocowaniem należy podłączyć do sieci i sprawdzić jej działanie (sprawdzenie zaświecenia się lampy). Oprawy montować po uprzednim wciągnięciu przewodów zasilających do wysięgników. Od skrzynki bezpiecznikowej do każdej oprawy prowadzić przewody miedziane o przekroju nie mniejszym niż 2,5 mm2. Oprawy należy mocować na wysięgnikach w sposób wskazany przez producenta opraw po wprowadzeniu do nich przewodów zasilających i ustawieniu ich w położenie pracy. Oprawy powinny być mocowane w sposób trwały, aby nie zmieniały swego położenia pod wpływem warunków atmosferycznych i parcia wiatru dla II i III strefy wiatrowej.</w:t>
      </w:r>
    </w:p>
    <w:p w14:paraId="26BC5843" w14:textId="77777777" w:rsidR="00AB2DB3" w:rsidRPr="00AB2DB3" w:rsidRDefault="00AB2DB3" w:rsidP="00BA0803">
      <w:pPr>
        <w:pStyle w:val="Tekstpodstawowy31"/>
        <w:rPr>
          <w:sz w:val="22"/>
          <w:szCs w:val="22"/>
        </w:rPr>
      </w:pPr>
    </w:p>
    <w:p w14:paraId="2292C40E"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eastAsia="pl-PL"/>
        </w:rPr>
        <w:t xml:space="preserve">5.8 </w:t>
      </w:r>
      <w:r w:rsidRPr="00AB2DB3">
        <w:rPr>
          <w:rFonts w:ascii="Times New Roman" w:hAnsi="Times New Roman" w:cs="Times New Roman"/>
          <w:b/>
          <w:bCs/>
          <w:noProof/>
          <w:lang w:val="x-none" w:eastAsia="pl-PL"/>
        </w:rPr>
        <w:t>Układanie kabli</w:t>
      </w:r>
    </w:p>
    <w:p w14:paraId="73780C06"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Wytyczanie trasy linii kablowej powinien dokonywać uprawniony geodeta, lub za zgodą inwestora – wykonawca robót, na podstawie projektu technicznego oraz map geodezyjnych. Przebieg trasy wyznaczają wbijane w grunt paliki drewniane lub pręty metalowe. Należy jednocześnie prowadzić trasę kablową w taki sposób, aby zachować odpowiednie odległości od innych elementów znajdujących się w ziemi, w okolicy trasy np. minimum 50 cm od fundamentów budynków i granicy pasa jezdni, 150 cm od rosnących drzew, itp. Szczegółowe wartości odległości kabli od innych elementów znajdujących się w ziemi zawiera norma N SEP-E-004.</w:t>
      </w:r>
    </w:p>
    <w:p w14:paraId="5F723232"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W przypadku rozpoczynania prac ziemnych, dla robót prowadzonych w terenie zabudowanym lub dostatecznie nierozpoznanym, należy zwrócić szczególną uwagę aby nie uszkodzić istniejącego uzbrojenia. W tym celu, przy zachowaniu dużej ostrożności, należy dokonać przekopów próbnych na głębokość większą od projektowanego dna wykopu i o długości około 2 m przez linię trasy kablowej, prostopadle do jej osi. Podobne obostrzenia dotyczą wykopów prowadzonych przy istniejących budynkach i budowlach.</w:t>
      </w:r>
    </w:p>
    <w:p w14:paraId="3AFC9749"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Szerokość rowu kablowego zależy od liczby i rodzaju kabli układanych równolegle, jednak nie powinna być mniejsza od: 30 cm dla głębokości do 60 cm i 40 (50) cm w pozostałych przypadkach.</w:t>
      </w:r>
    </w:p>
    <w:p w14:paraId="07448D4F"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Głębokość minimalna układania, mierzona w osi kabla, zależy od rodzaju, przeznaczenia oraz napięcia znamionowego kabla (ze względu na warstwę podsypki piaskowej oraz średnicę kabla wykop jest kilkanaście centymetrów głębszy):</w:t>
      </w:r>
    </w:p>
    <w:p w14:paraId="6BEDD59B" w14:textId="77777777" w:rsidR="00AB2DB3" w:rsidRPr="00AB2DB3" w:rsidRDefault="00AB2DB3" w:rsidP="00BA0803">
      <w:pPr>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lastRenderedPageBreak/>
        <w:t>–</w:t>
      </w:r>
      <w:r w:rsidRPr="00AB2DB3">
        <w:rPr>
          <w:rFonts w:ascii="Times New Roman" w:hAnsi="Times New Roman" w:cs="Times New Roman"/>
          <w:noProof/>
          <w:lang w:val="x-none"/>
        </w:rPr>
        <w:tab/>
        <w:t>50 cm dla kabli układanych pod chodnikami i przeznaczonymi do zasilania oświetlenia, związanego z ruchem drogowym,</w:t>
      </w:r>
    </w:p>
    <w:p w14:paraId="1E288735" w14:textId="77777777" w:rsidR="00AB2DB3" w:rsidRPr="00AB2DB3" w:rsidRDefault="00AB2DB3" w:rsidP="00BA0803">
      <w:pPr>
        <w:spacing w:before="15" w:after="45"/>
        <w:ind w:left="709" w:hanging="283"/>
        <w:jc w:val="both"/>
        <w:rPr>
          <w:rFonts w:ascii="Times New Roman" w:hAnsi="Times New Roman" w:cs="Times New Roman"/>
          <w:noProof/>
          <w:lang w:val="x-none"/>
        </w:rPr>
      </w:pPr>
      <w:r w:rsidRPr="00AB2DB3">
        <w:rPr>
          <w:rFonts w:ascii="Times New Roman" w:hAnsi="Times New Roman" w:cs="Times New Roman"/>
          <w:noProof/>
          <w:lang w:val="x-none"/>
        </w:rPr>
        <w:t>–</w:t>
      </w:r>
      <w:r w:rsidRPr="00AB2DB3">
        <w:rPr>
          <w:rFonts w:ascii="Times New Roman" w:hAnsi="Times New Roman" w:cs="Times New Roman"/>
          <w:noProof/>
          <w:lang w:val="x-none"/>
        </w:rPr>
        <w:tab/>
        <w:t>70 cm dla pozostałych rodzajów i przeznaczeń kabli o napięciu do 1 kV,</w:t>
      </w:r>
    </w:p>
    <w:p w14:paraId="13D7C550" w14:textId="77777777" w:rsidR="00AB2DB3" w:rsidRPr="00AB2DB3" w:rsidRDefault="00AB2DB3" w:rsidP="00BA0803">
      <w:pPr>
        <w:spacing w:before="15" w:after="45"/>
        <w:ind w:left="709" w:hanging="283"/>
        <w:jc w:val="both"/>
        <w:rPr>
          <w:rFonts w:ascii="Times New Roman" w:hAnsi="Times New Roman" w:cs="Times New Roman"/>
          <w:noProof/>
        </w:rPr>
      </w:pPr>
      <w:r w:rsidRPr="00AB2DB3">
        <w:rPr>
          <w:rFonts w:ascii="Times New Roman" w:hAnsi="Times New Roman" w:cs="Times New Roman"/>
          <w:noProof/>
          <w:lang w:val="x-none"/>
        </w:rPr>
        <w:t>–</w:t>
      </w:r>
      <w:r w:rsidRPr="00AB2DB3">
        <w:rPr>
          <w:rFonts w:ascii="Times New Roman" w:hAnsi="Times New Roman" w:cs="Times New Roman"/>
          <w:noProof/>
          <w:lang w:val="x-none"/>
        </w:rPr>
        <w:tab/>
      </w:r>
      <w:r w:rsidRPr="00AB2DB3">
        <w:rPr>
          <w:rFonts w:ascii="Times New Roman" w:hAnsi="Times New Roman" w:cs="Times New Roman"/>
          <w:noProof/>
        </w:rPr>
        <w:t>10</w:t>
      </w:r>
      <w:r w:rsidRPr="00AB2DB3">
        <w:rPr>
          <w:rFonts w:ascii="Times New Roman" w:hAnsi="Times New Roman" w:cs="Times New Roman"/>
          <w:noProof/>
          <w:lang w:val="x-none"/>
        </w:rPr>
        <w:t xml:space="preserve">0 cm dla </w:t>
      </w:r>
      <w:r w:rsidRPr="00AB2DB3">
        <w:rPr>
          <w:rFonts w:ascii="Times New Roman" w:hAnsi="Times New Roman" w:cs="Times New Roman"/>
          <w:noProof/>
        </w:rPr>
        <w:t>kabli układanych pod drogami i ulicami,</w:t>
      </w:r>
    </w:p>
    <w:p w14:paraId="57B9455C"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Ręczne wykopy należy wykonywać z zachowaniem zasad bezpieczeństwa i wg zaleceń jak w ST „Roboty w zakresie przygotowania terenu pod budowę i roboty ziemne” kod CPV 45111200.</w:t>
      </w:r>
    </w:p>
    <w:p w14:paraId="79A6B635"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Linie kablowe pod drogami, ulicami</w:t>
      </w:r>
      <w:r w:rsidRPr="00AB2DB3">
        <w:rPr>
          <w:rFonts w:ascii="Times New Roman" w:hAnsi="Times New Roman" w:cs="Times New Roman"/>
          <w:noProof/>
        </w:rPr>
        <w:t xml:space="preserve"> </w:t>
      </w:r>
      <w:r w:rsidRPr="00AB2DB3">
        <w:rPr>
          <w:rFonts w:ascii="Times New Roman" w:hAnsi="Times New Roman" w:cs="Times New Roman"/>
          <w:noProof/>
          <w:lang w:val="x-none"/>
        </w:rPr>
        <w:t xml:space="preserve">należy prowadzić w osłonach otaczających (rury ochronne lub bloki kablowe), układanych w wykopach. </w:t>
      </w:r>
    </w:p>
    <w:p w14:paraId="0BA8FCA7" w14:textId="77777777" w:rsidR="00AB2DB3" w:rsidRPr="00AB2DB3" w:rsidRDefault="00AB2DB3" w:rsidP="00904E6C">
      <w:pPr>
        <w:numPr>
          <w:ilvl w:val="1"/>
          <w:numId w:val="303"/>
        </w:numPr>
        <w:autoSpaceDE w:val="0"/>
        <w:autoSpaceDN w:val="0"/>
        <w:adjustRightInd w:val="0"/>
        <w:spacing w:before="15" w:after="45" w:line="240" w:lineRule="auto"/>
        <w:ind w:left="0" w:firstLine="0"/>
        <w:jc w:val="both"/>
        <w:rPr>
          <w:rFonts w:ascii="Times New Roman" w:hAnsi="Times New Roman" w:cs="Times New Roman"/>
          <w:lang w:val="x-none"/>
        </w:rPr>
      </w:pPr>
      <w:r w:rsidRPr="00AB2DB3">
        <w:rPr>
          <w:rFonts w:ascii="Times New Roman" w:hAnsi="Times New Roman" w:cs="Times New Roman"/>
          <w:noProof/>
          <w:lang w:val="x-none"/>
        </w:rPr>
        <w:t>Układanie kabli w rowach i wykopach:</w:t>
      </w:r>
    </w:p>
    <w:p w14:paraId="6CF14DA2" w14:textId="77777777" w:rsidR="00AB2DB3" w:rsidRPr="00AB2DB3" w:rsidRDefault="00AB2DB3" w:rsidP="00BA0803">
      <w:pPr>
        <w:spacing w:before="15" w:after="45"/>
        <w:jc w:val="both"/>
        <w:rPr>
          <w:rFonts w:ascii="Times New Roman" w:hAnsi="Times New Roman" w:cs="Times New Roman"/>
          <w:noProof/>
        </w:rPr>
      </w:pPr>
      <w:r w:rsidRPr="00AB2DB3">
        <w:rPr>
          <w:rFonts w:ascii="Times New Roman" w:hAnsi="Times New Roman" w:cs="Times New Roman"/>
          <w:noProof/>
          <w:lang w:val="x-none"/>
        </w:rPr>
        <w:t xml:space="preserve">Kabel należy ułożyć na dnie wykopu na podsypce piaskowej grubości min. 10 cm –dopuszcza się pominięcie podsypki dla gruntów piaszczystych. Linia układanego kabla powinna być falista, aby ilość ułożonego kabla była większa o 1-3% od długości wykopu. Zasadą jest układanie w jednym rowie kabli na jednym poziomie, przy czym odległość minimalna od kabli sąsiednich zależy od napięcia znamionowego i wynosi: 10 cm dla kabla do 1 kV i 25 cm dla kabla powyżej 1 kV. </w:t>
      </w:r>
    </w:p>
    <w:p w14:paraId="003C3E2F"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Zasypanie następną warstwą piaskową grubości min. 10 cm i ubicie warstwy, a następnie gruntem rodzimym ubijanym warstwami grubości do 15 cm (większość inwestorów wymaga wymiany gruntu wykopu na piasek),</w:t>
      </w:r>
    </w:p>
    <w:p w14:paraId="222A4E25" w14:textId="77777777" w:rsidR="00AB2DB3" w:rsidRPr="00AB2DB3" w:rsidRDefault="00AB2DB3" w:rsidP="00BA0803">
      <w:pPr>
        <w:spacing w:before="15" w:after="45"/>
        <w:jc w:val="both"/>
        <w:rPr>
          <w:rFonts w:ascii="Times New Roman" w:hAnsi="Times New Roman" w:cs="Times New Roman"/>
          <w:noProof/>
        </w:rPr>
      </w:pPr>
      <w:r w:rsidRPr="00AB2DB3">
        <w:rPr>
          <w:rFonts w:ascii="Times New Roman" w:hAnsi="Times New Roman" w:cs="Times New Roman"/>
          <w:noProof/>
          <w:lang w:val="x-none"/>
        </w:rPr>
        <w:t>Ułożenie folii oznaczeniowej o grubości powyżej 0,5 mm i o szerokości powyżej 20 cm, przykrywającej przysypany warstwą piasku kabel. Kolory folii używanych do oznaczeń wskazują napięcie znamionowe kabla: niebieska do 1 kV</w:t>
      </w:r>
      <w:r w:rsidRPr="00AB2DB3">
        <w:rPr>
          <w:rFonts w:ascii="Times New Roman" w:hAnsi="Times New Roman" w:cs="Times New Roman"/>
          <w:noProof/>
        </w:rPr>
        <w:t>.</w:t>
      </w:r>
    </w:p>
    <w:p w14:paraId="4C049658" w14:textId="77777777" w:rsidR="00AB2DB3" w:rsidRPr="00AB2DB3" w:rsidRDefault="00AB2DB3" w:rsidP="00BA0803">
      <w:pPr>
        <w:tabs>
          <w:tab w:val="left" w:pos="285"/>
        </w:tabs>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6. </w:t>
      </w:r>
      <w:r w:rsidRPr="00AB2DB3">
        <w:rPr>
          <w:rFonts w:ascii="Times New Roman" w:hAnsi="Times New Roman" w:cs="Times New Roman"/>
          <w:noProof/>
          <w:lang w:val="x-none"/>
        </w:rPr>
        <w:tab/>
        <w:t>Układanie kabli w rurach i blokach umieszczonych w ziemi:</w:t>
      </w:r>
    </w:p>
    <w:p w14:paraId="670878F8"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Kable układane w miejscach, gdzie są szczególnie narażone na uszkodzenia, chroni się poprzez osłony kablowe z rur PCV sztywnych lub giętkich. Po wprowadzeniu kabla (lub kabli) do osłony należy oba końce uszczelnić, szczególnie kiedy następuje przejście pomiędzy odrębnymi strefami wydzielenia pożarowego (</w:t>
      </w:r>
      <w:r w:rsidRPr="00AB2DB3">
        <w:rPr>
          <w:rFonts w:ascii="Times New Roman" w:hAnsi="Times New Roman" w:cs="Times New Roman"/>
          <w:noProof/>
        </w:rPr>
        <w:t>stosować</w:t>
      </w:r>
      <w:r w:rsidRPr="00AB2DB3">
        <w:rPr>
          <w:rFonts w:ascii="Times New Roman" w:hAnsi="Times New Roman" w:cs="Times New Roman"/>
          <w:noProof/>
          <w:lang w:val="x-none"/>
        </w:rPr>
        <w:t xml:space="preserve"> przepusty ogniowe lub specjalne materiały izolujące, w zależności od wymaganego stopnia ochrony pożarowej). </w:t>
      </w:r>
      <w:r w:rsidRPr="00AB2DB3">
        <w:rPr>
          <w:rFonts w:ascii="Times New Roman" w:hAnsi="Times New Roman" w:cs="Times New Roman"/>
          <w:noProof/>
        </w:rPr>
        <w:t xml:space="preserve">Na istniejących kablach wykonać osłony rurowe z wykorzystaniem </w:t>
      </w:r>
      <w:r w:rsidRPr="00AB2DB3">
        <w:rPr>
          <w:rFonts w:ascii="Times New Roman" w:hAnsi="Times New Roman" w:cs="Times New Roman"/>
          <w:noProof/>
          <w:lang w:val="x-none"/>
        </w:rPr>
        <w:t>rur osłonowych dwudzielnych.</w:t>
      </w:r>
    </w:p>
    <w:p w14:paraId="4B15BB7A" w14:textId="77777777" w:rsidR="00AB2DB3" w:rsidRPr="00AB2DB3" w:rsidRDefault="00AB2DB3" w:rsidP="00BA0803">
      <w:pPr>
        <w:spacing w:before="15" w:after="45"/>
        <w:jc w:val="both"/>
        <w:rPr>
          <w:rFonts w:ascii="Times New Roman" w:hAnsi="Times New Roman" w:cs="Times New Roman"/>
          <w:noProof/>
          <w:lang w:val="x-none"/>
        </w:rPr>
      </w:pPr>
    </w:p>
    <w:p w14:paraId="1BC61B0D"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eastAsia="pl-PL"/>
        </w:rPr>
        <w:t xml:space="preserve">5.9 </w:t>
      </w:r>
      <w:r w:rsidRPr="00AB2DB3">
        <w:rPr>
          <w:rFonts w:ascii="Times New Roman" w:hAnsi="Times New Roman" w:cs="Times New Roman"/>
          <w:b/>
          <w:bCs/>
          <w:noProof/>
          <w:lang w:val="x-none" w:eastAsia="pl-PL"/>
        </w:rPr>
        <w:t>Montaż rur ochronnych</w:t>
      </w:r>
    </w:p>
    <w:p w14:paraId="1A08927F"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 xml:space="preserve">W miejscach skrzyżowań linii kablowych z </w:t>
      </w:r>
      <w:r w:rsidRPr="00AB2DB3">
        <w:rPr>
          <w:rFonts w:ascii="Times New Roman" w:hAnsi="Times New Roman" w:cs="Times New Roman"/>
          <w:noProof/>
        </w:rPr>
        <w:t xml:space="preserve">miejscami utwardzonymi, </w:t>
      </w:r>
      <w:r w:rsidRPr="00AB2DB3">
        <w:rPr>
          <w:rFonts w:ascii="Times New Roman" w:hAnsi="Times New Roman" w:cs="Times New Roman"/>
          <w:noProof/>
          <w:lang w:val="x-none"/>
        </w:rPr>
        <w:t xml:space="preserve">drogami </w:t>
      </w:r>
      <w:r w:rsidRPr="00AB2DB3">
        <w:rPr>
          <w:rFonts w:ascii="Times New Roman" w:hAnsi="Times New Roman" w:cs="Times New Roman"/>
          <w:noProof/>
        </w:rPr>
        <w:t xml:space="preserve">oraz innymi sieciami, </w:t>
      </w:r>
      <w:r w:rsidRPr="00AB2DB3">
        <w:rPr>
          <w:rFonts w:ascii="Times New Roman" w:hAnsi="Times New Roman" w:cs="Times New Roman"/>
          <w:noProof/>
          <w:lang w:val="x-none"/>
        </w:rPr>
        <w:t>należy ułożyć rury osłonowe.</w:t>
      </w:r>
      <w:r w:rsidRPr="00AB2DB3">
        <w:rPr>
          <w:rFonts w:ascii="Times New Roman" w:hAnsi="Times New Roman" w:cs="Times New Roman"/>
          <w:noProof/>
        </w:rPr>
        <w:t xml:space="preserve"> Pod drogami g</w:t>
      </w:r>
      <w:r w:rsidRPr="00AB2DB3">
        <w:rPr>
          <w:rFonts w:ascii="Times New Roman" w:hAnsi="Times New Roman" w:cs="Times New Roman"/>
          <w:noProof/>
          <w:lang w:val="x-none"/>
        </w:rPr>
        <w:t>łębokość ułożenia przepustów kablowych powinna być taka, aby odległość pionowa mierzona od górnej części</w:t>
      </w:r>
      <w:r w:rsidRPr="00AB2DB3">
        <w:rPr>
          <w:rFonts w:ascii="Times New Roman" w:hAnsi="Times New Roman" w:cs="Times New Roman"/>
          <w:noProof/>
        </w:rPr>
        <w:t xml:space="preserve"> </w:t>
      </w:r>
      <w:r w:rsidRPr="00AB2DB3">
        <w:rPr>
          <w:rFonts w:ascii="Times New Roman" w:hAnsi="Times New Roman" w:cs="Times New Roman"/>
          <w:noProof/>
          <w:lang w:val="x-none"/>
        </w:rPr>
        <w:t>osłony kabla do górnej powierzchni drogi wynosiła, co najmniej 0,7, a od dna rowu od górnej części osłony kabla do górnej</w:t>
      </w:r>
      <w:r w:rsidRPr="00AB2DB3">
        <w:rPr>
          <w:rFonts w:ascii="Times New Roman" w:hAnsi="Times New Roman" w:cs="Times New Roman"/>
          <w:noProof/>
        </w:rPr>
        <w:t xml:space="preserve"> </w:t>
      </w:r>
      <w:r w:rsidRPr="00AB2DB3">
        <w:rPr>
          <w:rFonts w:ascii="Times New Roman" w:hAnsi="Times New Roman" w:cs="Times New Roman"/>
          <w:noProof/>
          <w:lang w:val="x-none"/>
        </w:rPr>
        <w:t>powierzchni drogi wynosiła, co najmniej 0,5 m.</w:t>
      </w:r>
      <w:r w:rsidRPr="00AB2DB3">
        <w:rPr>
          <w:rFonts w:ascii="Times New Roman" w:hAnsi="Times New Roman" w:cs="Times New Roman"/>
          <w:noProof/>
        </w:rPr>
        <w:t xml:space="preserve"> </w:t>
      </w:r>
      <w:r w:rsidRPr="00AB2DB3">
        <w:rPr>
          <w:rFonts w:ascii="Times New Roman" w:hAnsi="Times New Roman" w:cs="Times New Roman"/>
          <w:noProof/>
          <w:lang w:val="x-none"/>
        </w:rPr>
        <w:t xml:space="preserve">Długość przepustu kablowego winna być taka, aby odległość pozioma mierzona od końca przepustu do krawędzi jezdni wynosiła, co najmniej 0,5 m. </w:t>
      </w:r>
    </w:p>
    <w:p w14:paraId="55E8E4A2"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Wloty rur powinny być uszczelnione, a miejsca instalowania przepustów po zasypaniu oznaczone słupkami oznacznikowymi.</w:t>
      </w:r>
    </w:p>
    <w:p w14:paraId="6297F42A" w14:textId="77777777" w:rsidR="00AB2DB3" w:rsidRPr="00AB2DB3" w:rsidRDefault="00AB2DB3">
      <w:pPr>
        <w:autoSpaceDE w:val="0"/>
        <w:jc w:val="both"/>
        <w:rPr>
          <w:rFonts w:ascii="Times New Roman" w:hAnsi="Times New Roman" w:cs="Times New Roman"/>
          <w:b/>
          <w:bCs/>
        </w:rPr>
      </w:pPr>
    </w:p>
    <w:p w14:paraId="7A7EDCE0"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6. KONTROLA JAKOŚCI ROBÓT</w:t>
      </w:r>
    </w:p>
    <w:p w14:paraId="6FEC739C"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 xml:space="preserve">Wykonawca jest odpowiedzialny za pełną kontrolę jakości robót i stosowanych materiałów. </w:t>
      </w:r>
    </w:p>
    <w:p w14:paraId="5D1C19C9"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Wykonawca będzie przeprowadzać pomiary i badania materiałów oraz robót z częstotliwością zapewniającą stwierdzenie, że roboty wykonano zgodnie z wymaganiami zawartymi w dokumentacji projektowej i ST.</w:t>
      </w:r>
    </w:p>
    <w:p w14:paraId="1A162670"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 przypadku, gdy nie zostały one tam określone, Inspektor nadzoru ustali jaki zakres kontroli jest konieczny, aby zapewnić wykonanie robót zgodnie z umową.</w:t>
      </w:r>
    </w:p>
    <w:p w14:paraId="5ECD582C"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Wszystkie koszty związane z organizowaniem i prowadzeniem badań materiałów i robót ponosi Wykonawca.</w:t>
      </w:r>
    </w:p>
    <w:p w14:paraId="06BC86C0"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rPr>
      </w:pPr>
      <w:r w:rsidRPr="00AB2DB3">
        <w:rPr>
          <w:rFonts w:ascii="Times New Roman" w:hAnsi="Times New Roman" w:cs="Times New Roman"/>
          <w:noProof/>
          <w:lang w:val="x-none"/>
        </w:rPr>
        <w:t>Szczegółowy wykaz oraz zakres pomontażowych badań kabli i przewodów zawarty jest w normach</w:t>
      </w:r>
      <w:r w:rsidRPr="00AB2DB3">
        <w:rPr>
          <w:rFonts w:ascii="Times New Roman" w:hAnsi="Times New Roman" w:cs="Times New Roman"/>
          <w:noProof/>
        </w:rPr>
        <w:t>.</w:t>
      </w:r>
    </w:p>
    <w:p w14:paraId="098A2368" w14:textId="77777777" w:rsidR="00AB2DB3" w:rsidRPr="00AB2DB3" w:rsidRDefault="00AB2DB3" w:rsidP="00904E6C">
      <w:pPr>
        <w:numPr>
          <w:ilvl w:val="0"/>
          <w:numId w:val="89"/>
        </w:numPr>
        <w:tabs>
          <w:tab w:val="left" w:pos="570"/>
        </w:tabs>
        <w:suppressAutoHyphens/>
        <w:autoSpaceDE w:val="0"/>
        <w:autoSpaceDN w:val="0"/>
        <w:adjustRightInd w:val="0"/>
        <w:spacing w:before="15" w:after="45" w:line="240" w:lineRule="auto"/>
        <w:jc w:val="both"/>
        <w:rPr>
          <w:rFonts w:ascii="Times New Roman" w:hAnsi="Times New Roman" w:cs="Times New Roman"/>
          <w:noProof/>
        </w:rPr>
      </w:pPr>
    </w:p>
    <w:p w14:paraId="137D1457"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6.</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 Ponadto należy wykonać sprawdzenia odbiorcze składające się z oględzin częściowych i końcowych polegających na kontroli:</w:t>
      </w:r>
    </w:p>
    <w:p w14:paraId="408212F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zgodności dokumentacji powykonawczej z projektem i ze stanem faktycznym,</w:t>
      </w:r>
    </w:p>
    <w:p w14:paraId="591F5564"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jakości i zgodności wykonania robót z ustaloną w dokumentacji powykonawczej, normami, przepisami budowy oraz bhp,</w:t>
      </w:r>
    </w:p>
    <w:p w14:paraId="221BC33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pomiar rezystancji przewodów oraz badanie skuteczności ochrony przeciwporażeniowej,</w:t>
      </w:r>
    </w:p>
    <w:p w14:paraId="1E1D897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poprawności wykonania i zabezpieczenia połączeń śrubowych instalacji elektrycznej potwierdzonych protokołem przez wykonawcę montażu,</w:t>
      </w:r>
    </w:p>
    <w:p w14:paraId="6E2FB50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pomiarach rezystancji uziemień i wszelkich innych wynikających z dokumentacji technicznej, norm, przepisów budowy i eksploatacji lub uzgodnień z Inwestorem.</w:t>
      </w:r>
    </w:p>
    <w:p w14:paraId="3740D816" w14:textId="77777777" w:rsidR="00AB2DB3" w:rsidRPr="00AB2DB3" w:rsidRDefault="00AB2DB3" w:rsidP="00BA0803">
      <w:pPr>
        <w:pStyle w:val="Tekstpodstawowy31"/>
        <w:rPr>
          <w:sz w:val="22"/>
          <w:szCs w:val="22"/>
        </w:rPr>
      </w:pPr>
      <w:r w:rsidRPr="00AB2DB3">
        <w:rPr>
          <w:sz w:val="22"/>
          <w:szCs w:val="22"/>
        </w:rPr>
        <w:t>Pomiary zwisów przewodów należy dokonać przy pomocy teodolitu i łaty lub tarczy celowej, kolejność faz dla linii o napięciu znamionowym powyżej 1 kV do 30 kV przy pomocy uzgadniacza faz, dla linii o napięciu znamionowym do 1 kV przy pomocy woltomierza.</w:t>
      </w:r>
    </w:p>
    <w:p w14:paraId="4DAE9849" w14:textId="77777777" w:rsidR="00AB2DB3" w:rsidRPr="00AB2DB3" w:rsidRDefault="00AB2DB3" w:rsidP="00BA0803">
      <w:pPr>
        <w:pStyle w:val="Tekstpodstawowy31"/>
        <w:rPr>
          <w:sz w:val="22"/>
          <w:szCs w:val="22"/>
        </w:rPr>
      </w:pPr>
      <w:r w:rsidRPr="00AB2DB3">
        <w:rPr>
          <w:sz w:val="22"/>
          <w:szCs w:val="22"/>
        </w:rPr>
        <w:t>Po wykonaniu oględzin należy sporządzić protokóły z przeprowadzonych badań zgodnie z wymogami zawartymi w normie PN-IEC 60364-6-61:2000.</w:t>
      </w:r>
    </w:p>
    <w:p w14:paraId="3E150F9F" w14:textId="77777777" w:rsidR="00AB2DB3" w:rsidRPr="00AB2DB3" w:rsidRDefault="00AB2DB3" w:rsidP="00BA0803">
      <w:pPr>
        <w:pStyle w:val="Tekstpodstawowy31"/>
        <w:rPr>
          <w:sz w:val="22"/>
          <w:szCs w:val="22"/>
        </w:rPr>
      </w:pPr>
    </w:p>
    <w:p w14:paraId="49051E34"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6.</w:t>
      </w:r>
      <w:r w:rsidRPr="00AB2DB3">
        <w:rPr>
          <w:rFonts w:ascii="Times New Roman" w:hAnsi="Times New Roman" w:cs="Times New Roman"/>
          <w:b/>
          <w:bCs/>
          <w:noProof/>
          <w:lang w:eastAsia="pl-PL"/>
        </w:rPr>
        <w:t>2</w:t>
      </w:r>
      <w:r w:rsidRPr="00AB2DB3">
        <w:rPr>
          <w:rFonts w:ascii="Times New Roman" w:hAnsi="Times New Roman" w:cs="Times New Roman"/>
          <w:b/>
          <w:bCs/>
          <w:noProof/>
          <w:lang w:val="x-none" w:eastAsia="pl-PL"/>
        </w:rPr>
        <w:t>. Zasady postępowania z wadliwie wykonanymi robotami i materiałami</w:t>
      </w:r>
    </w:p>
    <w:p w14:paraId="646489C1" w14:textId="77777777" w:rsidR="00AB2DB3" w:rsidRPr="00AB2DB3" w:rsidRDefault="00AB2DB3" w:rsidP="00BA0803">
      <w:pPr>
        <w:pStyle w:val="Tekstpodstawowy31"/>
        <w:rPr>
          <w:sz w:val="22"/>
          <w:szCs w:val="22"/>
        </w:rPr>
      </w:pPr>
      <w:r w:rsidRPr="00AB2DB3">
        <w:rPr>
          <w:sz w:val="22"/>
          <w:szCs w:val="22"/>
        </w:rPr>
        <w:t>Wszystkie materiały, urządzenia i aparaty nie spełniające wymagań podanych w odpowiednich punktach specyfikacji, zostaną odrzucone. Jeśli materiały nie spełniające wymagań zostały wbudowane lub zastosowane, to na polecenie Inspektora nadzoru Wykonawca wymieni je na właściwe, na własny koszt.</w:t>
      </w:r>
    </w:p>
    <w:p w14:paraId="00059B4A" w14:textId="77777777" w:rsidR="00AB2DB3" w:rsidRPr="00AB2DB3" w:rsidRDefault="00AB2DB3" w:rsidP="00BA0803">
      <w:pPr>
        <w:pStyle w:val="Tekstpodstawowy31"/>
        <w:rPr>
          <w:sz w:val="22"/>
          <w:szCs w:val="22"/>
        </w:rPr>
      </w:pPr>
      <w:r w:rsidRPr="00AB2DB3">
        <w:rPr>
          <w:sz w:val="22"/>
          <w:szCs w:val="22"/>
        </w:rPr>
        <w:t>Na pisemne wystąpienie Wykonawcy Inspektor nadzoru może uznać wadę za niemającą zasadniczego wpływu na jakość funkcjonowania instalacji i ustalić zakres i wielkość potrąceń za obniżoną jakość.</w:t>
      </w:r>
    </w:p>
    <w:p w14:paraId="7223281E" w14:textId="77777777" w:rsidR="00AB2DB3" w:rsidRPr="00AB2DB3" w:rsidRDefault="00AB2DB3" w:rsidP="00BA0803">
      <w:pPr>
        <w:pStyle w:val="Tekstpodstawowy31"/>
        <w:rPr>
          <w:sz w:val="22"/>
          <w:szCs w:val="22"/>
        </w:rPr>
      </w:pPr>
    </w:p>
    <w:p w14:paraId="49C6F69E" w14:textId="77777777" w:rsidR="00AB2DB3" w:rsidRPr="00326BBF"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lang w:val="pl-PL"/>
        </w:rPr>
      </w:pPr>
      <w:r w:rsidRPr="00326BBF">
        <w:rPr>
          <w:sz w:val="22"/>
          <w:szCs w:val="22"/>
          <w:lang w:val="pl-PL"/>
        </w:rPr>
        <w:t>7. WYMAGANIA DOTYCZĄCE PRZEDMIARU I OBMIARU ROBÓT</w:t>
      </w:r>
    </w:p>
    <w:p w14:paraId="70EFEC6E" w14:textId="77777777" w:rsidR="00AB2DB3" w:rsidRPr="00AB2DB3" w:rsidRDefault="00AB2DB3" w:rsidP="00904E6C">
      <w:pPr>
        <w:numPr>
          <w:ilvl w:val="0"/>
          <w:numId w:val="89"/>
        </w:numPr>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Obmiar robót będzie określać faktyczny zakres wykonywanych robót, zgodnie z dokumentacją projektową i ST, w jednostkach ustalonych w kosztorysie.</w:t>
      </w:r>
    </w:p>
    <w:p w14:paraId="3F4E1A6B" w14:textId="77777777" w:rsidR="00AB2DB3" w:rsidRPr="00AB2DB3" w:rsidRDefault="00AB2DB3" w:rsidP="00904E6C">
      <w:pPr>
        <w:numPr>
          <w:ilvl w:val="0"/>
          <w:numId w:val="89"/>
        </w:numPr>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Jakikolwiek błąd lub przeoczenie (opuszczenie) w ilości robót podanych w kosztorysie ofertowym lub gdzie indziej w ST nie zwalnia Wykonawcy od obowiązku ukończenia wszystkich robót. Błędne dane zostaną poprawione wg ustaleń Inspektora nadzoru na piśmie. Obmiar gotowych robót przeprowadzony z częstością wymaganą do celu miesięcznej płatności na rzecz Wykonawcy lub w innym czasie określonym w umowie.</w:t>
      </w:r>
    </w:p>
    <w:p w14:paraId="3258486C" w14:textId="77777777" w:rsidR="00AB2DB3" w:rsidRPr="00AB2DB3" w:rsidRDefault="00AB2DB3" w:rsidP="00904E6C">
      <w:pPr>
        <w:numPr>
          <w:ilvl w:val="0"/>
          <w:numId w:val="89"/>
        </w:numPr>
        <w:suppressAutoHyphens/>
        <w:autoSpaceDE w:val="0"/>
        <w:autoSpaceDN w:val="0"/>
        <w:adjustRightInd w:val="0"/>
        <w:spacing w:before="15" w:after="45" w:line="240" w:lineRule="auto"/>
        <w:jc w:val="both"/>
        <w:rPr>
          <w:rFonts w:ascii="Times New Roman" w:hAnsi="Times New Roman" w:cs="Times New Roman"/>
          <w:noProof/>
          <w:lang w:val="x-none"/>
        </w:rPr>
      </w:pPr>
      <w:r w:rsidRPr="00AB2DB3">
        <w:rPr>
          <w:rFonts w:ascii="Times New Roman" w:hAnsi="Times New Roman" w:cs="Times New Roman"/>
          <w:noProof/>
          <w:lang w:val="x-none"/>
        </w:rPr>
        <w:t>Jednostki obmiaru powinny być zgodne z jednostkami określonymi w dokumentacji projektowej i kosztorysowej oraz przedmiarze robót.</w:t>
      </w:r>
    </w:p>
    <w:p w14:paraId="7FDF30FF"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7.</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 Szczegółowe zasady przedmiaru i obmiaru robót montażowych instalacji elektrycznej</w:t>
      </w:r>
    </w:p>
    <w:p w14:paraId="306797B4" w14:textId="77777777" w:rsidR="00AB2DB3" w:rsidRPr="00AB2DB3" w:rsidRDefault="00AB2DB3" w:rsidP="00BA0803">
      <w:pPr>
        <w:pStyle w:val="Tekstpodstawowy31"/>
        <w:rPr>
          <w:sz w:val="22"/>
          <w:szCs w:val="22"/>
        </w:rPr>
      </w:pPr>
      <w:r w:rsidRPr="00AB2DB3">
        <w:rPr>
          <w:sz w:val="22"/>
          <w:szCs w:val="22"/>
        </w:rPr>
        <w:t>Obmiaru robót dokonuje się z natury (wykonanej roboty) przyjmując jednostki miary odpowiadające zawartym w dokumentacji i tak:</w:t>
      </w:r>
    </w:p>
    <w:p w14:paraId="1133B1F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dla konstrukcji wsporczych: szt., kpl., kg, t,</w:t>
      </w:r>
    </w:p>
    <w:p w14:paraId="073F98A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dla przewodów: km, m lub kpl.,</w:t>
      </w:r>
    </w:p>
    <w:p w14:paraId="2DCF96BC"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dla osprzętu linii: szt., kpl.,</w:t>
      </w:r>
    </w:p>
    <w:p w14:paraId="0FD664E5"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dla robót fundamentowych: szt., kpl., m3, m2.</w:t>
      </w:r>
    </w:p>
    <w:p w14:paraId="2EE95A51" w14:textId="77777777" w:rsidR="00AB2DB3" w:rsidRPr="00AB2DB3" w:rsidRDefault="00AB2DB3">
      <w:pPr>
        <w:autoSpaceDE w:val="0"/>
        <w:jc w:val="both"/>
        <w:rPr>
          <w:rFonts w:ascii="Times New Roman" w:hAnsi="Times New Roman" w:cs="Times New Roman"/>
          <w:b/>
          <w:bCs/>
        </w:rPr>
      </w:pPr>
    </w:p>
    <w:p w14:paraId="493AA6F3"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8. ODBIÓR ROBÓT</w:t>
      </w:r>
    </w:p>
    <w:p w14:paraId="6A2383BA"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8.</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 Warunki odbioru instalacji i urządzeń zasilających</w:t>
      </w:r>
    </w:p>
    <w:p w14:paraId="6F817366"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lastRenderedPageBreak/>
        <w:t>8.</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.1. Odbiór międzyoperacyjny</w:t>
      </w:r>
    </w:p>
    <w:p w14:paraId="5435016C" w14:textId="77777777" w:rsidR="00AB2DB3" w:rsidRPr="00AB2DB3" w:rsidRDefault="00AB2DB3" w:rsidP="00BA0803">
      <w:pPr>
        <w:pStyle w:val="Tekstpodstawowy31"/>
        <w:rPr>
          <w:sz w:val="22"/>
          <w:szCs w:val="22"/>
        </w:rPr>
      </w:pPr>
      <w:r w:rsidRPr="00AB2DB3">
        <w:rPr>
          <w:sz w:val="22"/>
          <w:szCs w:val="22"/>
        </w:rPr>
        <w:t>Odbiór międzyoperacyjny przeprowadzany jest po zakończeniu danego etapu robót mających wpływ na wykonanie dalszych prac.</w:t>
      </w:r>
    </w:p>
    <w:p w14:paraId="10845F55" w14:textId="77777777" w:rsidR="00AB2DB3" w:rsidRPr="00AB2DB3" w:rsidRDefault="00AB2DB3" w:rsidP="00BA0803">
      <w:pPr>
        <w:pStyle w:val="Tekstpodstawowy31"/>
        <w:rPr>
          <w:sz w:val="22"/>
          <w:szCs w:val="22"/>
        </w:rPr>
      </w:pPr>
      <w:r w:rsidRPr="00AB2DB3">
        <w:rPr>
          <w:sz w:val="22"/>
          <w:szCs w:val="22"/>
        </w:rPr>
        <w:t>Odbiorowi takiemu mogą podlegać m.in.:</w:t>
      </w:r>
    </w:p>
    <w:p w14:paraId="414A043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usytuowanie i ustawienie słupów,</w:t>
      </w:r>
    </w:p>
    <w:p w14:paraId="4F907EA2"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montaż izolatorów,</w:t>
      </w:r>
    </w:p>
    <w:p w14:paraId="7556DFB8"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kontrola zwisu przewodów.</w:t>
      </w:r>
    </w:p>
    <w:p w14:paraId="20D19201"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8.</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.2. Odbiór częściowy</w:t>
      </w:r>
    </w:p>
    <w:p w14:paraId="22DAE318" w14:textId="77777777" w:rsidR="00AB2DB3" w:rsidRPr="00AB2DB3" w:rsidRDefault="00AB2DB3" w:rsidP="00BA0803">
      <w:pPr>
        <w:pStyle w:val="Tekstpodstawowy31"/>
        <w:rPr>
          <w:sz w:val="22"/>
          <w:szCs w:val="22"/>
        </w:rPr>
      </w:pPr>
      <w:r w:rsidRPr="00AB2DB3">
        <w:rPr>
          <w:sz w:val="22"/>
          <w:szCs w:val="22"/>
        </w:rPr>
        <w:t>Należy przeprowadzić badanie pomontażowe częściowe robót zanikających oraz elementów urządzeń, które ulęgają zakryciu (np. wszelkie roboty zanikające), uniemożliwiając ocenę prawidłowości ich wykonania po całkowitym ukończeniu prac.</w:t>
      </w:r>
    </w:p>
    <w:p w14:paraId="4246C212" w14:textId="77777777" w:rsidR="00AB2DB3" w:rsidRPr="00AB2DB3" w:rsidRDefault="00AB2DB3" w:rsidP="00BA0803">
      <w:pPr>
        <w:pStyle w:val="Tekstpodstawowy31"/>
        <w:rPr>
          <w:sz w:val="22"/>
          <w:szCs w:val="22"/>
        </w:rPr>
      </w:pPr>
      <w:r w:rsidRPr="00AB2DB3">
        <w:rPr>
          <w:sz w:val="22"/>
          <w:szCs w:val="22"/>
        </w:rPr>
        <w:t>Podczas odbioru należy sprawdzić prawidłowość montażu oraz zgodność z obowiązującymi przepisami i projektem:</w:t>
      </w:r>
    </w:p>
    <w:p w14:paraId="2F9008C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wydzielonych instalacji np. instalacja uziemiająca,</w:t>
      </w:r>
    </w:p>
    <w:p w14:paraId="43AD84C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wykonanie wykopów, jakość i prawidłowość ułożenia ustojów lub wykonania fundamentów.</w:t>
      </w:r>
    </w:p>
    <w:p w14:paraId="72CB6888"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8.</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.3. Odbiór końcowy</w:t>
      </w:r>
    </w:p>
    <w:p w14:paraId="007629FD" w14:textId="77777777" w:rsidR="00AB2DB3" w:rsidRPr="00AB2DB3" w:rsidRDefault="00AB2DB3" w:rsidP="00BA0803">
      <w:pPr>
        <w:pStyle w:val="Tekstpodstawowy31"/>
        <w:rPr>
          <w:sz w:val="22"/>
          <w:szCs w:val="22"/>
        </w:rPr>
      </w:pPr>
      <w:r w:rsidRPr="00AB2DB3">
        <w:rPr>
          <w:sz w:val="22"/>
          <w:szCs w:val="22"/>
        </w:rPr>
        <w:t>Badania pomontażowe jako techniczne sprawdzenie jakości wykonanych robót należy przeprowadzić po zakończeniu robót elektrycznych przed przekazaniem użytkownikowi całość linii elektroenergetycznych.</w:t>
      </w:r>
    </w:p>
    <w:p w14:paraId="503576B2" w14:textId="77777777" w:rsidR="00AB2DB3" w:rsidRPr="00AB2DB3" w:rsidRDefault="00AB2DB3" w:rsidP="00BA0803">
      <w:pPr>
        <w:pStyle w:val="Tekstpodstawowy31"/>
        <w:rPr>
          <w:sz w:val="22"/>
          <w:szCs w:val="22"/>
        </w:rPr>
      </w:pPr>
      <w:r w:rsidRPr="00AB2DB3">
        <w:rPr>
          <w:sz w:val="22"/>
          <w:szCs w:val="22"/>
        </w:rPr>
        <w:t>Odbiór ostateczny polega na finalnej ocenie rzeczywistego wykonania robót w odniesieniu do ich ilości, jakości i wartości. O całkowitym zakończeniu robót oraz gotowości do odbioru końcowego Wykonawca powiadomi na piśmie Zamawiającego oraz Inspektora Nadzoru.</w:t>
      </w:r>
    </w:p>
    <w:p w14:paraId="2E1775D0" w14:textId="77777777" w:rsidR="00AB2DB3" w:rsidRPr="00AB2DB3" w:rsidRDefault="00AB2DB3" w:rsidP="00BA0803">
      <w:pPr>
        <w:pStyle w:val="Tekstpodstawowy31"/>
        <w:rPr>
          <w:sz w:val="22"/>
          <w:szCs w:val="22"/>
        </w:rPr>
      </w:pPr>
      <w:r w:rsidRPr="00AB2DB3">
        <w:rPr>
          <w:sz w:val="22"/>
          <w:szCs w:val="22"/>
        </w:rPr>
        <w:t>Odbiór końcowy nastąpi w terminie ustalonym w umowie.</w:t>
      </w:r>
    </w:p>
    <w:p w14:paraId="550F8820" w14:textId="77777777" w:rsidR="00AB2DB3" w:rsidRPr="00AB2DB3" w:rsidRDefault="00AB2DB3" w:rsidP="00BA0803">
      <w:pPr>
        <w:pStyle w:val="Tekstpodstawowy31"/>
        <w:rPr>
          <w:sz w:val="22"/>
          <w:szCs w:val="22"/>
        </w:rPr>
      </w:pPr>
      <w:r w:rsidRPr="00AB2DB3">
        <w:rPr>
          <w:sz w:val="22"/>
          <w:szCs w:val="22"/>
        </w:rPr>
        <w:t>Odbioru końcowego robot dokona komisja wyznaczona przez Zamawiającego w obecności Inspektora Nadzoru i Wykonawcy. Komisja odbierająca roboty dokona ich oceny jakościowej na podstawie przedłożonych dokumentów, ocenie wizualnej oraz zgodności wykonania robót z kosztorysem ofertowym i szczegółową specyfikacją techniczną.</w:t>
      </w:r>
    </w:p>
    <w:p w14:paraId="4FE60C1D" w14:textId="77777777" w:rsidR="00AB2DB3" w:rsidRPr="00AB2DB3" w:rsidRDefault="00AB2DB3" w:rsidP="00BA0803">
      <w:pPr>
        <w:pStyle w:val="Tekstpodstawowy31"/>
        <w:rPr>
          <w:sz w:val="22"/>
          <w:szCs w:val="22"/>
        </w:rPr>
      </w:pPr>
    </w:p>
    <w:p w14:paraId="476BA23B"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9. PODSTAWA ROZLICZENIA ROBÓT</w:t>
      </w:r>
    </w:p>
    <w:p w14:paraId="073B8847"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9.</w:t>
      </w:r>
      <w:r w:rsidRPr="00AB2DB3">
        <w:rPr>
          <w:rFonts w:ascii="Times New Roman" w:hAnsi="Times New Roman" w:cs="Times New Roman"/>
          <w:b/>
          <w:bCs/>
          <w:noProof/>
          <w:lang w:eastAsia="pl-PL"/>
        </w:rPr>
        <w:t>1</w:t>
      </w:r>
      <w:r w:rsidRPr="00AB2DB3">
        <w:rPr>
          <w:rFonts w:ascii="Times New Roman" w:hAnsi="Times New Roman" w:cs="Times New Roman"/>
          <w:b/>
          <w:bCs/>
          <w:noProof/>
          <w:lang w:val="x-none" w:eastAsia="pl-PL"/>
        </w:rPr>
        <w:t>. Zasady rozliczenia i płatności</w:t>
      </w:r>
    </w:p>
    <w:p w14:paraId="11E7D347" w14:textId="77777777" w:rsidR="00AB2DB3" w:rsidRPr="00AB2DB3" w:rsidRDefault="00AB2DB3" w:rsidP="00BA0803">
      <w:pPr>
        <w:pStyle w:val="Tekstpodstawowy31"/>
        <w:rPr>
          <w:sz w:val="22"/>
          <w:szCs w:val="22"/>
        </w:rPr>
      </w:pPr>
      <w:r w:rsidRPr="00AB2DB3">
        <w:rPr>
          <w:sz w:val="22"/>
          <w:szCs w:val="22"/>
        </w:rPr>
        <w:t>Rozliczenie robót montażowych instalacji elektrycznych może być dokonane jednorazowo po wykonaniu pełnego zakresu robót i ich końcowym odbiorze lub etapami określonymi w umowie, po dokonaniu odbiorów częściowych robót.</w:t>
      </w:r>
    </w:p>
    <w:p w14:paraId="05A10936" w14:textId="77777777" w:rsidR="00AB2DB3" w:rsidRPr="00AB2DB3" w:rsidRDefault="00AB2DB3" w:rsidP="00BA0803">
      <w:pPr>
        <w:pStyle w:val="Tekstpodstawowy31"/>
        <w:rPr>
          <w:sz w:val="22"/>
          <w:szCs w:val="22"/>
        </w:rPr>
      </w:pPr>
      <w:r w:rsidRPr="00AB2DB3">
        <w:rPr>
          <w:sz w:val="22"/>
          <w:szCs w:val="22"/>
        </w:rPr>
        <w:t>Ostateczne rozliczenie umowy pomiędzy zamawiającym a wykonawca następuje po dokonaniu odbioru pogwarancyjnego.</w:t>
      </w:r>
    </w:p>
    <w:p w14:paraId="0DEB1BDC" w14:textId="77777777" w:rsidR="00AB2DB3" w:rsidRPr="00AB2DB3" w:rsidRDefault="00AB2DB3" w:rsidP="00BA0803">
      <w:pPr>
        <w:pStyle w:val="Tekstpodstawowy31"/>
        <w:rPr>
          <w:sz w:val="22"/>
          <w:szCs w:val="22"/>
        </w:rPr>
      </w:pPr>
      <w:r w:rsidRPr="00AB2DB3">
        <w:rPr>
          <w:sz w:val="22"/>
          <w:szCs w:val="22"/>
        </w:rPr>
        <w:t>Podstawę rozliczenia oraz płatności wykonanego i odebranego zakresu robót stanowi wartość tych robót obliczona na podstawie:</w:t>
      </w:r>
    </w:p>
    <w:p w14:paraId="0F98861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określonych w dokumentach umownych (ofercie) cen jednostkowych i ilości robót zaakceptowanych przez zamawiającego lub</w:t>
      </w:r>
    </w:p>
    <w:p w14:paraId="695CD88D"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ustalonej w umowie kwoty ryczałtowej za określony zakres robót.</w:t>
      </w:r>
    </w:p>
    <w:p w14:paraId="29EC7BE8" w14:textId="77777777" w:rsidR="00AB2DB3" w:rsidRPr="00AB2DB3" w:rsidRDefault="00AB2DB3" w:rsidP="00BA0803">
      <w:pPr>
        <w:pStyle w:val="Tekstpodstawowy31"/>
        <w:rPr>
          <w:sz w:val="22"/>
          <w:szCs w:val="22"/>
        </w:rPr>
      </w:pPr>
      <w:r w:rsidRPr="00AB2DB3">
        <w:rPr>
          <w:sz w:val="22"/>
          <w:szCs w:val="22"/>
        </w:rPr>
        <w:t>Ceny jednostkowe wykonania, robót instalacji elektroenergetycznych lub kwoty ryczałtowe obejmujące roboty w.w. uwzględniają:</w:t>
      </w:r>
    </w:p>
    <w:p w14:paraId="705A2F3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przygotowanie stanowiska roboczego,</w:t>
      </w:r>
    </w:p>
    <w:p w14:paraId="4ED2838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dostarczenie do stanowiska roboczego materiałów, narzędzi i sprzętu,</w:t>
      </w:r>
    </w:p>
    <w:p w14:paraId="7D0CF2E9"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obsługę sprzętu nie posiadającego etatowej obsługi,</w:t>
      </w:r>
    </w:p>
    <w:p w14:paraId="74CFD42B"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lastRenderedPageBreak/>
        <w:t xml:space="preserve">– </w:t>
      </w:r>
      <w:r w:rsidRPr="00AB2DB3">
        <w:rPr>
          <w:rFonts w:ascii="Times New Roman" w:hAnsi="Times New Roman" w:cs="Times New Roman"/>
        </w:rPr>
        <w:tab/>
        <w:t xml:space="preserve">ustawienie i przestawienie drabin oraz lekkich rusztowań przestawnych umożliwiających wykonanie robót na wysokości do </w:t>
      </w:r>
      <w:smartTag w:uri="urn:schemas-microsoft-com:office:smarttags" w:element="metricconverter">
        <w:smartTagPr>
          <w:attr w:name="ProductID" w:val="4 m"/>
        </w:smartTagPr>
        <w:r w:rsidRPr="00AB2DB3">
          <w:rPr>
            <w:rFonts w:ascii="Times New Roman" w:hAnsi="Times New Roman" w:cs="Times New Roman"/>
          </w:rPr>
          <w:t>4 m</w:t>
        </w:r>
      </w:smartTag>
      <w:r w:rsidRPr="00AB2DB3">
        <w:rPr>
          <w:rFonts w:ascii="Times New Roman" w:hAnsi="Times New Roman" w:cs="Times New Roman"/>
        </w:rPr>
        <w:t xml:space="preserve"> (jeśli taka konieczność występuje),</w:t>
      </w:r>
    </w:p>
    <w:p w14:paraId="640B7BD1"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usuniecie wad i usterek oraz naprawienie uszkodzeń powstałych w czasie robót,</w:t>
      </w:r>
    </w:p>
    <w:p w14:paraId="2799E70E"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uporządkowanie miejsca wykonywania robót,</w:t>
      </w:r>
    </w:p>
    <w:p w14:paraId="5641CDA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usuniecie pozostałości, resztek i odpadów materiałów w sposób podany w specyfikacji technicznej szczegółowej,</w:t>
      </w:r>
    </w:p>
    <w:p w14:paraId="357BDAD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likwidacje stanowiska roboczego.</w:t>
      </w:r>
    </w:p>
    <w:p w14:paraId="6B8702AE" w14:textId="77777777" w:rsidR="00AB2DB3" w:rsidRPr="00AB2DB3" w:rsidRDefault="00AB2DB3" w:rsidP="00BA0803">
      <w:pPr>
        <w:pStyle w:val="Tekstpodstawowy31"/>
        <w:rPr>
          <w:sz w:val="22"/>
          <w:szCs w:val="22"/>
        </w:rPr>
      </w:pPr>
      <w:r w:rsidRPr="00AB2DB3">
        <w:rPr>
          <w:sz w:val="22"/>
          <w:szCs w:val="22"/>
        </w:rPr>
        <w:t xml:space="preserve">W kwotach ryczałtowych ujęte są również koszty montażu, demontażu i pracy rusztowań niezbędnych do wykonania robót na wysokości do </w:t>
      </w:r>
      <w:smartTag w:uri="urn:schemas-microsoft-com:office:smarttags" w:element="metricconverter">
        <w:smartTagPr>
          <w:attr w:name="ProductID" w:val="4 m"/>
        </w:smartTagPr>
        <w:r w:rsidRPr="00AB2DB3">
          <w:rPr>
            <w:sz w:val="22"/>
            <w:szCs w:val="22"/>
          </w:rPr>
          <w:t>4 m</w:t>
        </w:r>
      </w:smartTag>
      <w:r w:rsidRPr="00AB2DB3">
        <w:rPr>
          <w:sz w:val="22"/>
          <w:szCs w:val="22"/>
        </w:rPr>
        <w:t xml:space="preserve"> od poziomu terenu.</w:t>
      </w:r>
    </w:p>
    <w:p w14:paraId="357EBD3B" w14:textId="77777777" w:rsidR="00AB2DB3" w:rsidRPr="00AB2DB3" w:rsidRDefault="00AB2DB3" w:rsidP="00BA0803">
      <w:pPr>
        <w:pStyle w:val="Tekstpodstawowy31"/>
        <w:rPr>
          <w:sz w:val="22"/>
          <w:szCs w:val="22"/>
        </w:rPr>
      </w:pPr>
      <w:r w:rsidRPr="00AB2DB3">
        <w:rPr>
          <w:sz w:val="22"/>
          <w:szCs w:val="22"/>
        </w:rPr>
        <w:t>Przy rozliczaniu robót według uzgodnionych cen jednostkowych koszty niezbędnych rusztowań mogą być uwzględnione w tych cenach lub stanowić podstawę oddzielnej płatności.</w:t>
      </w:r>
    </w:p>
    <w:p w14:paraId="5A2E4930" w14:textId="77777777" w:rsidR="00AB2DB3" w:rsidRPr="00AB2DB3" w:rsidRDefault="00AB2DB3" w:rsidP="00BA0803">
      <w:pPr>
        <w:pStyle w:val="Tekstpodstawowy31"/>
        <w:rPr>
          <w:sz w:val="22"/>
          <w:szCs w:val="22"/>
        </w:rPr>
      </w:pPr>
    </w:p>
    <w:p w14:paraId="3CBA9E97" w14:textId="77777777" w:rsidR="00AB2DB3" w:rsidRPr="00AB2DB3" w:rsidRDefault="00AB2DB3" w:rsidP="00904E6C">
      <w:pPr>
        <w:pStyle w:val="Nagwek1"/>
        <w:numPr>
          <w:ilvl w:val="0"/>
          <w:numId w:val="89"/>
        </w:numPr>
        <w:tabs>
          <w:tab w:val="clear" w:pos="-1725"/>
          <w:tab w:val="clear" w:pos="-1440"/>
          <w:tab w:val="clear" w:pos="-1005"/>
          <w:tab w:val="clear" w:pos="-720"/>
          <w:tab w:val="clear" w:pos="-285"/>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0"/>
        </w:tabs>
        <w:suppressAutoHyphens/>
        <w:autoSpaceDE w:val="0"/>
        <w:spacing w:before="0" w:after="0" w:line="240" w:lineRule="auto"/>
        <w:rPr>
          <w:sz w:val="22"/>
          <w:szCs w:val="22"/>
        </w:rPr>
      </w:pPr>
      <w:r w:rsidRPr="00AB2DB3">
        <w:rPr>
          <w:sz w:val="22"/>
          <w:szCs w:val="22"/>
        </w:rPr>
        <w:t>10. DOKUMENTY ODNIESIENIA</w:t>
      </w:r>
    </w:p>
    <w:p w14:paraId="5E62CCC3"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eastAsia="pl-PL"/>
        </w:rPr>
      </w:pPr>
      <w:r w:rsidRPr="00AB2DB3">
        <w:rPr>
          <w:rFonts w:ascii="Times New Roman" w:hAnsi="Times New Roman" w:cs="Times New Roman"/>
          <w:b/>
          <w:bCs/>
          <w:noProof/>
          <w:lang w:val="x-none" w:eastAsia="pl-PL"/>
        </w:rPr>
        <w:t>10.1. Normy</w:t>
      </w:r>
      <w:r w:rsidRPr="00AB2DB3">
        <w:rPr>
          <w:rFonts w:ascii="Times New Roman" w:hAnsi="Times New Roman" w:cs="Times New Roman"/>
          <w:b/>
          <w:bCs/>
          <w:noProof/>
          <w:lang w:eastAsia="pl-PL"/>
        </w:rPr>
        <w:t xml:space="preserve"> (z późniejszymi zmianami i aktualizacjami)</w:t>
      </w:r>
    </w:p>
    <w:p w14:paraId="0F5640BD"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PN-CEN/TR 13201-1:2007 Oświetlenie dróg. Część1: Wybór klas oświetlenia </w:t>
      </w:r>
    </w:p>
    <w:p w14:paraId="7AFE5BB6"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13201-2:2007 Oświetlenie dróg. Część2: Wymagania oświetleniowe </w:t>
      </w:r>
    </w:p>
    <w:p w14:paraId="0B115925"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13201-3:2007 Oświetlenie dróg. Część3: Obliczenia oświetleniowe </w:t>
      </w:r>
    </w:p>
    <w:p w14:paraId="33959604"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13201-4:2007 Oświetlenie  dróg. Część4: Metody pomiarów parametrów oświetlenia </w:t>
      </w:r>
    </w:p>
    <w:p w14:paraId="0CA8EC6D"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PN-E-02032 Oświetlenie dróg publicznych</w:t>
      </w:r>
    </w:p>
    <w:p w14:paraId="4782C453"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N SEP-E-003 Elektroenergetyczne linie napowietrzne. Projektowanie i budowa. Linie prądu przemiennego z przewodami pełnoizolowanymi oraz przewodami niepełnoizolowanymi</w:t>
      </w:r>
    </w:p>
    <w:p w14:paraId="7EB27CDD"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N SEP-E-004 Elektroenergetyczne i sygnalizacyjne linie kablowe. Projektowanie i budowa</w:t>
      </w:r>
    </w:p>
    <w:p w14:paraId="206D2CE3"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N-SEP-E-001  Sieci  elektroenergetyczne  niskiego  napięcia.  Ochrona przeciwporażeniowa. </w:t>
      </w:r>
    </w:p>
    <w:p w14:paraId="175FCB05"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PN-80/B-03322 Elektroenergetyczne linie napowietrzne. Fundamenty konstrukcji wsporczych. Obliczenia statyczne i projektowanie.</w:t>
      </w:r>
    </w:p>
    <w:p w14:paraId="50FC4E64"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PN-87/B-03265 Elektroenergetyczne linie napowietrzne. Żelbetowe i sprężone konstrukcje wsporcze. Obliczenia statyczne i projektowanie</w:t>
      </w:r>
    </w:p>
    <w:p w14:paraId="7A58286B"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40-1:2002 Słupy oświetleniowe - Terminy i definicje </w:t>
      </w:r>
    </w:p>
    <w:p w14:paraId="231385C3"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40-2:2005 Słupy oświetleniowe. Część 2: Wymagania ogólne i wymiary. </w:t>
      </w:r>
    </w:p>
    <w:p w14:paraId="3EFF4B1A"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60598-1:2009  Oprawy oświetleniowe – Wymagania ogólne i badania.  </w:t>
      </w:r>
    </w:p>
    <w:p w14:paraId="62F1064D"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60598-2-3:2006/A1:2011 Oprawy oświetleniowe – Część 2-3: Wymagania szczegółowe – Oprawy oświetleniowe drogowe i uliczne. </w:t>
      </w:r>
    </w:p>
    <w:p w14:paraId="538B9A5A"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PN-HD 603 S1:2006 Kable elektroenergetyczne na napięcie znamionowe 0,6/1kV.  </w:t>
      </w:r>
    </w:p>
    <w:p w14:paraId="2DAD5B7E"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PN-EN 50341-1:2005 Elektroenergetyczne linie napowietrzne prądu przemiennego powyżej 45 kV. Część 1-3.</w:t>
      </w:r>
    </w:p>
    <w:p w14:paraId="6E9BC0B8"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PN-EN 50423-1:2005 (U) Elektroenergetyczne linie napowietrzne prądu przemiennego powyżej 1 kV do 45 kV włącznie. Część 1-3.</w:t>
      </w:r>
    </w:p>
    <w:p w14:paraId="683D4BC7"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PN-IEC 60364-5-523:2001 Instalacje elektryczne w obiektach budowlanych. Dobór i montaż wyposażenia  elektrycznego. Obciążalność prądową długotrwała przewodów. </w:t>
      </w:r>
    </w:p>
    <w:p w14:paraId="1290F1BB"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lastRenderedPageBreak/>
        <w:t xml:space="preserve">PN-E-06401-01 Elektroenergetyczne i sygnalizacyjne linie kablowe. Osprzęt do kabli o napięciu znamionowym nie przekraczającym 30 kV. Postanowienia ogólne. </w:t>
      </w:r>
    </w:p>
    <w:p w14:paraId="5D963DA4"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PN-E-06401-02 Elektroenergetyczne i sygnalizacyjne linie kablowe. Osprzęt do kabli o napięciu znamionowym nie przekraczającym 30 kV. Połączenia i zakończenia żył. </w:t>
      </w:r>
    </w:p>
    <w:p w14:paraId="67C7AAF2"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PN-E-06401-03 Elektroenergetyczne i sygnalizacyjne linie kablowe. Osprzęt do kabli  o  napięciu  znamionowym  nie  przekraczającym  30  kV. Mufy przelotowe na napięcie nie przekraczające 0,6/1 kV. </w:t>
      </w:r>
    </w:p>
    <w:p w14:paraId="71F5F51B"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PN-E-90056:1987 Przewody elektroenergetyczne ogólnego przeznaczenia do układania na stałe. Przewody o izolacji i powłoce polwinitowej, okrągłe. </w:t>
      </w:r>
    </w:p>
    <w:p w14:paraId="03C8FBEE"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PN-EN  50086-2-4 Systemy rur instalacyjnych do prowadzenia przewodów. Część 2-4: Wymagania szczegółowe dla systemów rur instalacyjnych układanych w ziemi. </w:t>
      </w:r>
    </w:p>
    <w:p w14:paraId="50759B52"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PN-H 92325 Bednarka stalowa bez pokrycia lub ocynkowana. </w:t>
      </w:r>
    </w:p>
    <w:p w14:paraId="4AD48C07"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PN-EN 61284:2002 Elektroenergetyczne linie napowietrzne. Wymagania i badania dotyczące osprzętu.</w:t>
      </w:r>
    </w:p>
    <w:p w14:paraId="570CD051"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PN–IEC 60364-6-61:2000  Instalacje  elektryczne  w  obiektach  budowlanych. Sprawdzanie. Sprawdzanie odbiorcze </w:t>
      </w:r>
    </w:p>
    <w:p w14:paraId="21A0A339"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PN-E-04700 Urządzenia i układy elektryczne w obiektach elektroenergetycznych - Wytyczne przeprowadzania pomontażowych badań odbiorczych. </w:t>
      </w:r>
    </w:p>
    <w:p w14:paraId="2AA2757C"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 xml:space="preserve">PN-HD  626  S1:2002/A2:2003  Energetyczne  kable  napowietrzne  na  napięcie znamionowe Uo/U(Um): 0,6/1 (1,2) kV  </w:t>
      </w:r>
    </w:p>
    <w:p w14:paraId="3581DD3B"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PN-EN 61643-11:2006/A11:2007 Niskonapięciowe urządzenia do ograniczania przepięć – Część 11: Urządzenia do ograniczania przepięć w sieciach rozdzielczych niskiego napięcia – Wymagania i próby.</w:t>
      </w:r>
    </w:p>
    <w:p w14:paraId="5210E957" w14:textId="77777777" w:rsidR="00AB2DB3" w:rsidRPr="00AB2DB3" w:rsidRDefault="00AB2DB3" w:rsidP="00BA0803">
      <w:pPr>
        <w:autoSpaceDE w:val="0"/>
        <w:jc w:val="both"/>
        <w:rPr>
          <w:rFonts w:ascii="Times New Roman" w:hAnsi="Times New Roman" w:cs="Times New Roman"/>
        </w:rPr>
      </w:pPr>
      <w:r w:rsidRPr="00AB2DB3">
        <w:rPr>
          <w:rFonts w:ascii="Times New Roman" w:hAnsi="Times New Roman" w:cs="Times New Roman"/>
        </w:rPr>
        <w:t>PN-75/E-05100 Elektroenergetyczne linie napowietrzne. Projektowanie i budowa.</w:t>
      </w:r>
    </w:p>
    <w:p w14:paraId="6DD47E54"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PN-74/E-04500 Osprzęt linii elektroenergetycznych. Powłoki ochronne cynkowe</w:t>
      </w:r>
      <w:r w:rsidRPr="00AB2DB3">
        <w:rPr>
          <w:rFonts w:ascii="Times New Roman" w:hAnsi="Times New Roman" w:cs="Times New Roman"/>
          <w:noProof/>
        </w:rPr>
        <w:t xml:space="preserve"> </w:t>
      </w:r>
      <w:r w:rsidRPr="00AB2DB3">
        <w:rPr>
          <w:rFonts w:ascii="Times New Roman" w:hAnsi="Times New Roman" w:cs="Times New Roman"/>
          <w:noProof/>
          <w:lang w:val="x-none"/>
        </w:rPr>
        <w:t>zanurzeniowe chromianowane.</w:t>
      </w:r>
    </w:p>
    <w:p w14:paraId="0BFF408C"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PN-76/E-05125 Elektroenergetyczne linie kablowe. Projektowanie i budowa.</w:t>
      </w:r>
    </w:p>
    <w:p w14:paraId="5A5C0137"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PN-78/E-06400 Osprzęt linii napowietrznych i stacji. Ogólne wymagania i badania.</w:t>
      </w:r>
    </w:p>
    <w:p w14:paraId="16A78A54"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PN-B-03264:2002</w:t>
      </w:r>
      <w:r w:rsidRPr="00AB2DB3">
        <w:rPr>
          <w:rFonts w:ascii="Times New Roman" w:hAnsi="Times New Roman" w:cs="Times New Roman"/>
          <w:noProof/>
        </w:rPr>
        <w:t xml:space="preserve"> </w:t>
      </w:r>
      <w:r w:rsidRPr="00AB2DB3">
        <w:rPr>
          <w:rFonts w:ascii="Times New Roman" w:hAnsi="Times New Roman" w:cs="Times New Roman"/>
          <w:noProof/>
          <w:lang w:val="x-none"/>
        </w:rPr>
        <w:t>Konstrukcje betonowe, żelbetowe i sprężone. Obliczenia</w:t>
      </w:r>
      <w:r w:rsidRPr="00AB2DB3">
        <w:rPr>
          <w:rFonts w:ascii="Times New Roman" w:hAnsi="Times New Roman" w:cs="Times New Roman"/>
          <w:noProof/>
        </w:rPr>
        <w:t xml:space="preserve"> </w:t>
      </w:r>
      <w:r w:rsidRPr="00AB2DB3">
        <w:rPr>
          <w:rFonts w:ascii="Times New Roman" w:hAnsi="Times New Roman" w:cs="Times New Roman"/>
          <w:noProof/>
          <w:lang w:val="x-none"/>
        </w:rPr>
        <w:t>statyczne i projektowane.</w:t>
      </w:r>
    </w:p>
    <w:p w14:paraId="347268D8"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PN-88/B-30000 Cement portlandzki.</w:t>
      </w:r>
    </w:p>
    <w:p w14:paraId="242D0661"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PN-68/B-06050 Roboty ziemne budowlane. Wymagania w zakresie wykonywania i</w:t>
      </w:r>
      <w:r w:rsidRPr="00AB2DB3">
        <w:rPr>
          <w:rFonts w:ascii="Times New Roman" w:hAnsi="Times New Roman" w:cs="Times New Roman"/>
          <w:noProof/>
        </w:rPr>
        <w:t xml:space="preserve"> </w:t>
      </w:r>
      <w:r w:rsidRPr="00AB2DB3">
        <w:rPr>
          <w:rFonts w:ascii="Times New Roman" w:hAnsi="Times New Roman" w:cs="Times New Roman"/>
          <w:noProof/>
          <w:lang w:val="x-none"/>
        </w:rPr>
        <w:t>badania przy odbiorze.</w:t>
      </w:r>
    </w:p>
    <w:p w14:paraId="6E5A7DE5"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PN-73/B-06281Prefabrykaty budowlane z betonu. Metody</w:t>
      </w:r>
      <w:r w:rsidRPr="00AB2DB3">
        <w:rPr>
          <w:rFonts w:ascii="Times New Roman" w:hAnsi="Times New Roman" w:cs="Times New Roman"/>
          <w:noProof/>
        </w:rPr>
        <w:t xml:space="preserve"> </w:t>
      </w:r>
      <w:r w:rsidRPr="00AB2DB3">
        <w:rPr>
          <w:rFonts w:ascii="Times New Roman" w:hAnsi="Times New Roman" w:cs="Times New Roman"/>
          <w:noProof/>
          <w:lang w:val="x-none"/>
        </w:rPr>
        <w:t>badań</w:t>
      </w:r>
      <w:r w:rsidRPr="00AB2DB3">
        <w:rPr>
          <w:rFonts w:ascii="Times New Roman" w:hAnsi="Times New Roman" w:cs="Times New Roman"/>
          <w:noProof/>
        </w:rPr>
        <w:t xml:space="preserve"> </w:t>
      </w:r>
      <w:r w:rsidRPr="00AB2DB3">
        <w:rPr>
          <w:rFonts w:ascii="Times New Roman" w:hAnsi="Times New Roman" w:cs="Times New Roman"/>
          <w:noProof/>
          <w:lang w:val="x-none"/>
        </w:rPr>
        <w:t>wytrzymałościowych.</w:t>
      </w:r>
    </w:p>
    <w:p w14:paraId="209C9F0C"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BN-87/6774-04 Kruszywo do nawierzchni drogowych. Piasek.</w:t>
      </w:r>
    </w:p>
    <w:p w14:paraId="338E55B8" w14:textId="77777777" w:rsidR="00AB2DB3" w:rsidRPr="00AB2DB3" w:rsidRDefault="00AB2DB3" w:rsidP="00BA0803">
      <w:pPr>
        <w:spacing w:before="15" w:after="45"/>
        <w:jc w:val="both"/>
        <w:rPr>
          <w:rFonts w:ascii="Times New Roman" w:hAnsi="Times New Roman" w:cs="Times New Roman"/>
          <w:noProof/>
          <w:lang w:val="x-none"/>
        </w:rPr>
      </w:pPr>
      <w:r w:rsidRPr="00AB2DB3">
        <w:rPr>
          <w:rFonts w:ascii="Times New Roman" w:hAnsi="Times New Roman" w:cs="Times New Roman"/>
          <w:noProof/>
          <w:lang w:val="x-none"/>
        </w:rPr>
        <w:t>BN-72/8932-01 Budowle drogowe i kolejowe. Roboty zimne.</w:t>
      </w:r>
    </w:p>
    <w:p w14:paraId="767B3CD2" w14:textId="77777777" w:rsidR="00AB2DB3" w:rsidRPr="00AB2DB3" w:rsidRDefault="00AB2DB3">
      <w:pPr>
        <w:autoSpaceDE w:val="0"/>
        <w:jc w:val="both"/>
        <w:rPr>
          <w:rFonts w:ascii="Times New Roman" w:hAnsi="Times New Roman" w:cs="Times New Roman"/>
          <w:b/>
          <w:bCs/>
        </w:rPr>
      </w:pPr>
    </w:p>
    <w:p w14:paraId="70D94157"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10.2. Inne dokumenty, instrukcje i przepisy</w:t>
      </w:r>
    </w:p>
    <w:p w14:paraId="59ACACF3"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val="x-none" w:eastAsia="pl-PL"/>
        </w:rPr>
      </w:pPr>
      <w:r w:rsidRPr="00AB2DB3">
        <w:rPr>
          <w:rFonts w:ascii="Times New Roman" w:hAnsi="Times New Roman" w:cs="Times New Roman"/>
          <w:b/>
          <w:bCs/>
          <w:noProof/>
          <w:lang w:val="x-none" w:eastAsia="pl-PL"/>
        </w:rPr>
        <w:t>Inne dokumenty i instrukcje</w:t>
      </w:r>
    </w:p>
    <w:p w14:paraId="5073DA57"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Warunki techniczne wykonania i odbioru robót budowlano-montażowych (część V). Wydanie 2, Warszawa, Wydawnictwo Akcydensowe 1981 r.</w:t>
      </w:r>
    </w:p>
    <w:p w14:paraId="078C234F"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 xml:space="preserve">Albumy do projektowania linii napowietrznych na słupach wirowanych. </w:t>
      </w:r>
    </w:p>
    <w:p w14:paraId="2633502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Katalogi i karty materiałowe producentów.</w:t>
      </w:r>
    </w:p>
    <w:p w14:paraId="19971328" w14:textId="77777777" w:rsidR="00AB2DB3" w:rsidRPr="00AB2DB3" w:rsidRDefault="00AB2DB3" w:rsidP="00BA0803">
      <w:pPr>
        <w:autoSpaceDE w:val="0"/>
        <w:ind w:left="709" w:hanging="360"/>
        <w:jc w:val="both"/>
        <w:rPr>
          <w:rFonts w:ascii="Times New Roman" w:hAnsi="Times New Roman" w:cs="Times New Roman"/>
        </w:rPr>
      </w:pPr>
    </w:p>
    <w:p w14:paraId="53C6AC56" w14:textId="77777777" w:rsidR="00AB2DB3" w:rsidRPr="00AB2DB3" w:rsidRDefault="00AB2DB3" w:rsidP="00BA0803">
      <w:pPr>
        <w:autoSpaceDE w:val="0"/>
        <w:autoSpaceDN w:val="0"/>
        <w:adjustRightInd w:val="0"/>
        <w:spacing w:before="15" w:after="45"/>
        <w:jc w:val="both"/>
        <w:rPr>
          <w:rFonts w:ascii="Times New Roman" w:hAnsi="Times New Roman" w:cs="Times New Roman"/>
          <w:b/>
          <w:bCs/>
          <w:noProof/>
        </w:rPr>
      </w:pPr>
      <w:r w:rsidRPr="00AB2DB3">
        <w:rPr>
          <w:rFonts w:ascii="Times New Roman" w:hAnsi="Times New Roman" w:cs="Times New Roman"/>
          <w:b/>
          <w:bCs/>
          <w:noProof/>
          <w:lang w:val="x-none"/>
        </w:rPr>
        <w:t>Ustawy</w:t>
      </w:r>
      <w:r w:rsidRPr="00AB2DB3">
        <w:rPr>
          <w:rFonts w:ascii="Times New Roman" w:hAnsi="Times New Roman" w:cs="Times New Roman"/>
          <w:b/>
          <w:bCs/>
          <w:noProof/>
        </w:rPr>
        <w:t xml:space="preserve"> (z póź. Zmianami)</w:t>
      </w:r>
    </w:p>
    <w:p w14:paraId="07CE5209"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Ustawa z dnia 16 kwietnia 2004 r. o wyrobach budowlanych (Dz. U. z 2004 r. Nr 92, poz. 881).</w:t>
      </w:r>
    </w:p>
    <w:p w14:paraId="112DE13D" w14:textId="77777777" w:rsidR="00AB2DB3" w:rsidRPr="00AB2DB3" w:rsidRDefault="00AB2DB3" w:rsidP="00904E6C">
      <w:pPr>
        <w:numPr>
          <w:ilvl w:val="2"/>
          <w:numId w:val="304"/>
        </w:numPr>
        <w:tabs>
          <w:tab w:val="clear" w:pos="1800"/>
          <w:tab w:val="num" w:pos="567"/>
        </w:tabs>
        <w:autoSpaceDE w:val="0"/>
        <w:autoSpaceDN w:val="0"/>
        <w:adjustRightInd w:val="0"/>
        <w:spacing w:before="15" w:after="45" w:line="240" w:lineRule="auto"/>
        <w:ind w:left="567"/>
        <w:jc w:val="both"/>
        <w:rPr>
          <w:rFonts w:ascii="Times New Roman" w:hAnsi="Times New Roman" w:cs="Times New Roman"/>
          <w:noProof/>
          <w:lang w:val="x-none"/>
        </w:rPr>
      </w:pPr>
      <w:r w:rsidRPr="00AB2DB3">
        <w:rPr>
          <w:rFonts w:ascii="Times New Roman" w:hAnsi="Times New Roman" w:cs="Times New Roman"/>
          <w:noProof/>
          <w:lang w:val="x-none"/>
        </w:rPr>
        <w:t>Ustawa z dnia 7 lipca 1994 r. - Prawo budowlane (jednolity tekst Dz. U. z 2017 r. poz. 1332 z zmian.).</w:t>
      </w:r>
    </w:p>
    <w:p w14:paraId="28269CF4" w14:textId="77777777" w:rsidR="00AB2DB3" w:rsidRPr="00AB2DB3" w:rsidRDefault="00AB2DB3" w:rsidP="00BA0803">
      <w:pPr>
        <w:autoSpaceDE w:val="0"/>
        <w:ind w:left="709" w:hanging="360"/>
        <w:jc w:val="both"/>
        <w:rPr>
          <w:rFonts w:ascii="Times New Roman" w:hAnsi="Times New Roman" w:cs="Times New Roman"/>
        </w:rPr>
      </w:pPr>
    </w:p>
    <w:p w14:paraId="6C601487" w14:textId="77777777" w:rsidR="00AB2DB3" w:rsidRPr="00AB2DB3" w:rsidRDefault="00AB2DB3" w:rsidP="00BA0803">
      <w:pPr>
        <w:tabs>
          <w:tab w:val="num" w:pos="420"/>
        </w:tabs>
        <w:autoSpaceDE w:val="0"/>
        <w:autoSpaceDN w:val="0"/>
        <w:adjustRightInd w:val="0"/>
        <w:spacing w:before="45" w:after="45"/>
        <w:rPr>
          <w:rFonts w:ascii="Times New Roman" w:hAnsi="Times New Roman" w:cs="Times New Roman"/>
          <w:b/>
          <w:bCs/>
          <w:noProof/>
          <w:lang w:eastAsia="pl-PL"/>
        </w:rPr>
      </w:pPr>
      <w:r w:rsidRPr="00AB2DB3">
        <w:rPr>
          <w:rFonts w:ascii="Times New Roman" w:hAnsi="Times New Roman" w:cs="Times New Roman"/>
          <w:b/>
          <w:bCs/>
          <w:noProof/>
          <w:lang w:val="x-none" w:eastAsia="pl-PL"/>
        </w:rPr>
        <w:t>Rozporządzenia</w:t>
      </w:r>
      <w:r w:rsidRPr="00AB2DB3">
        <w:rPr>
          <w:rFonts w:ascii="Times New Roman" w:hAnsi="Times New Roman" w:cs="Times New Roman"/>
          <w:b/>
          <w:bCs/>
          <w:noProof/>
          <w:lang w:eastAsia="pl-PL"/>
        </w:rPr>
        <w:t xml:space="preserve"> (z późniejszymi zmianami)</w:t>
      </w:r>
    </w:p>
    <w:p w14:paraId="3D0081B8" w14:textId="77777777" w:rsidR="00AB2DB3" w:rsidRPr="00AB2DB3" w:rsidRDefault="00AB2DB3" w:rsidP="00904E6C">
      <w:pPr>
        <w:numPr>
          <w:ilvl w:val="0"/>
          <w:numId w:val="287"/>
        </w:numPr>
        <w:tabs>
          <w:tab w:val="left" w:pos="855"/>
        </w:tabs>
        <w:autoSpaceDE w:val="0"/>
        <w:autoSpaceDN w:val="0"/>
        <w:adjustRightInd w:val="0"/>
        <w:spacing w:before="45" w:after="45" w:line="240" w:lineRule="auto"/>
        <w:jc w:val="both"/>
        <w:rPr>
          <w:rFonts w:ascii="Times New Roman" w:hAnsi="Times New Roman" w:cs="Times New Roman"/>
          <w:lang w:val="x-none"/>
        </w:rPr>
      </w:pPr>
      <w:r w:rsidRPr="00AB2DB3">
        <w:rPr>
          <w:rFonts w:ascii="Times New Roman" w:hAnsi="Times New Roman" w:cs="Times New Roman"/>
          <w:noProof/>
          <w:lang w:val="x-none"/>
        </w:rPr>
        <w:t xml:space="preserve">Rozporządzenie Ministra Infrastruktury z dnia </w:t>
      </w:r>
      <w:r w:rsidRPr="00AB2DB3">
        <w:rPr>
          <w:rFonts w:ascii="Times New Roman" w:hAnsi="Times New Roman" w:cs="Times New Roman"/>
          <w:lang w:val="x-none"/>
        </w:rPr>
        <w:t>2</w:t>
      </w:r>
      <w:r w:rsidRPr="00AB2DB3">
        <w:rPr>
          <w:rFonts w:ascii="Times New Roman" w:hAnsi="Times New Roman" w:cs="Times New Roman"/>
        </w:rPr>
        <w:t>4</w:t>
      </w:r>
      <w:r w:rsidRPr="00AB2DB3">
        <w:rPr>
          <w:rFonts w:ascii="Times New Roman" w:hAnsi="Times New Roman" w:cs="Times New Roman"/>
          <w:noProof/>
          <w:lang w:val="x-none"/>
        </w:rPr>
        <w:t xml:space="preserve"> września </w:t>
      </w:r>
      <w:r w:rsidRPr="00AB2DB3">
        <w:rPr>
          <w:rFonts w:ascii="Times New Roman" w:hAnsi="Times New Roman" w:cs="Times New Roman"/>
          <w:lang w:val="x-none"/>
        </w:rPr>
        <w:t>20</w:t>
      </w:r>
      <w:r w:rsidRPr="00AB2DB3">
        <w:rPr>
          <w:rFonts w:ascii="Times New Roman" w:hAnsi="Times New Roman" w:cs="Times New Roman"/>
        </w:rPr>
        <w:t>13</w:t>
      </w:r>
      <w:r w:rsidRPr="00AB2DB3">
        <w:rPr>
          <w:rFonts w:ascii="Times New Roman" w:hAnsi="Times New Roman" w:cs="Times New Roman"/>
          <w:noProof/>
          <w:lang w:val="x-none"/>
        </w:rPr>
        <w:t xml:space="preserve"> r. – w sprawie szczegółowego zakresu i formy dokumentacji projektowej, specyfikacji technicznych wykonania i odbioru robót budowlanych oraz programu funkcjonalno-użytkowego (Dz. U. </w:t>
      </w:r>
      <w:r w:rsidRPr="00AB2DB3">
        <w:rPr>
          <w:rFonts w:ascii="Times New Roman" w:hAnsi="Times New Roman" w:cs="Times New Roman"/>
          <w:noProof/>
        </w:rPr>
        <w:t>2013</w:t>
      </w:r>
      <w:r w:rsidRPr="00AB2DB3">
        <w:rPr>
          <w:rFonts w:ascii="Times New Roman" w:hAnsi="Times New Roman" w:cs="Times New Roman"/>
          <w:noProof/>
          <w:lang w:val="x-none"/>
        </w:rPr>
        <w:t xml:space="preserve">, poz. </w:t>
      </w:r>
      <w:r w:rsidRPr="00AB2DB3">
        <w:rPr>
          <w:rFonts w:ascii="Times New Roman" w:hAnsi="Times New Roman" w:cs="Times New Roman"/>
        </w:rPr>
        <w:t>1129</w:t>
      </w:r>
      <w:r w:rsidRPr="00AB2DB3">
        <w:rPr>
          <w:rFonts w:ascii="Times New Roman" w:hAnsi="Times New Roman" w:cs="Times New Roman"/>
          <w:noProof/>
          <w:lang w:val="x-none"/>
        </w:rPr>
        <w:t>).</w:t>
      </w:r>
    </w:p>
    <w:p w14:paraId="577D414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14:paraId="7B3E9EBA"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w:t>
      </w:r>
      <w:r w:rsidRPr="00AB2DB3">
        <w:rPr>
          <w:rFonts w:ascii="Times New Roman" w:hAnsi="Times New Roman" w:cs="Times New Roman"/>
        </w:rPr>
        <w:tab/>
        <w:t>Rozporządzenie Ministra Infrastruktury z dnia 11 sierpnia 2004 r. w sprawie sposobów deklarowania zgodności wyrobów budowlanych oraz sposobu znakowania ich znakiem budowlanym (Dz. U. z 2004 r. Nr 198, poz. 2041).</w:t>
      </w:r>
    </w:p>
    <w:p w14:paraId="2C5C4686" w14:textId="77777777" w:rsidR="00AB2DB3" w:rsidRPr="00AB2DB3" w:rsidRDefault="00AB2DB3" w:rsidP="00BA0803">
      <w:pPr>
        <w:autoSpaceDE w:val="0"/>
        <w:ind w:left="709" w:hanging="360"/>
        <w:jc w:val="both"/>
        <w:rPr>
          <w:rFonts w:ascii="Times New Roman" w:hAnsi="Times New Roman" w:cs="Times New Roman"/>
        </w:rPr>
      </w:pPr>
      <w:r w:rsidRPr="00AB2DB3">
        <w:rPr>
          <w:rFonts w:ascii="Times New Roman" w:hAnsi="Times New Roman" w:cs="Times New Roman"/>
        </w:rPr>
        <w:t xml:space="preserve">– </w:t>
      </w:r>
      <w:r w:rsidRPr="00AB2DB3">
        <w:rPr>
          <w:rFonts w:ascii="Times New Roman" w:hAnsi="Times New Roman" w:cs="Times New Roman"/>
        </w:rPr>
        <w:tab/>
        <w:t>Rozporządzenie Ministra Infrastruktury z 11 sierpnia 2004 r. w sprawie systemów oceny zgodności, wymagań, jakie powinny spełniać notyfikowane jednostki uczestniczące w ocenie zgodności oraz sposobu oznaczenia wyrobów budowlanych oznakowania CE (Dz. U. Nr 195, poz. 2011).</w:t>
      </w:r>
    </w:p>
    <w:p w14:paraId="6B0A4D62" w14:textId="77777777" w:rsidR="00AB2DB3" w:rsidRPr="00AB2DB3" w:rsidRDefault="00AB2DB3" w:rsidP="00BA0803">
      <w:pPr>
        <w:tabs>
          <w:tab w:val="left" w:pos="855"/>
        </w:tabs>
        <w:autoSpaceDE w:val="0"/>
        <w:autoSpaceDN w:val="0"/>
        <w:adjustRightInd w:val="0"/>
        <w:spacing w:before="45" w:after="45"/>
        <w:jc w:val="both"/>
        <w:rPr>
          <w:rFonts w:ascii="Times New Roman" w:hAnsi="Times New Roman" w:cs="Times New Roman"/>
          <w:lang w:val="x-none"/>
        </w:rPr>
      </w:pPr>
    </w:p>
    <w:p w14:paraId="0547861E" w14:textId="77777777" w:rsidR="00AB2DB3" w:rsidRPr="00AB2DB3" w:rsidRDefault="00AB2DB3" w:rsidP="00BA0803">
      <w:pPr>
        <w:autoSpaceDE w:val="0"/>
        <w:autoSpaceDN w:val="0"/>
        <w:adjustRightInd w:val="0"/>
        <w:spacing w:before="45" w:after="45"/>
        <w:ind w:left="142" w:hanging="142"/>
        <w:jc w:val="both"/>
        <w:rPr>
          <w:rFonts w:ascii="Times New Roman" w:hAnsi="Times New Roman" w:cs="Times New Roman"/>
          <w:noProof/>
          <w:lang w:val="x-none"/>
        </w:rPr>
      </w:pPr>
    </w:p>
    <w:p w14:paraId="23F0D463" w14:textId="77777777" w:rsidR="00AB2DB3" w:rsidRPr="00AB2DB3" w:rsidRDefault="00AB2DB3" w:rsidP="00BA0803">
      <w:pPr>
        <w:autoSpaceDE w:val="0"/>
        <w:autoSpaceDN w:val="0"/>
        <w:adjustRightInd w:val="0"/>
        <w:spacing w:before="15" w:after="45"/>
        <w:jc w:val="both"/>
        <w:rPr>
          <w:rFonts w:ascii="Times New Roman" w:hAnsi="Times New Roman" w:cs="Times New Roman"/>
          <w:noProof/>
          <w:lang w:val="x-none"/>
        </w:rPr>
      </w:pPr>
    </w:p>
    <w:p w14:paraId="6910A93D" w14:textId="77777777" w:rsidR="00AB2DB3" w:rsidRPr="00AB2DB3" w:rsidRDefault="00AB2DB3" w:rsidP="00BA0803">
      <w:pPr>
        <w:jc w:val="both"/>
        <w:rPr>
          <w:rFonts w:ascii="Times New Roman" w:hAnsi="Times New Roman" w:cs="Times New Roman"/>
          <w:lang w:val="x-none"/>
        </w:rPr>
      </w:pPr>
    </w:p>
    <w:p w14:paraId="3F3969BE" w14:textId="77777777" w:rsidR="00940958" w:rsidRPr="00AB2DB3" w:rsidRDefault="00940958" w:rsidP="00940958">
      <w:pPr>
        <w:rPr>
          <w:rFonts w:ascii="Times New Roman" w:hAnsi="Times New Roman" w:cs="Times New Roman"/>
          <w:noProof/>
          <w:color w:val="000000" w:themeColor="text1"/>
          <w:lang w:val="x-none"/>
        </w:rPr>
      </w:pPr>
    </w:p>
    <w:p w14:paraId="189A7D09" w14:textId="77777777" w:rsidR="00940958" w:rsidRPr="00AB2DB3" w:rsidRDefault="00940958" w:rsidP="00940958">
      <w:pPr>
        <w:rPr>
          <w:rFonts w:ascii="Times New Roman" w:hAnsi="Times New Roman" w:cs="Times New Roman"/>
          <w:lang w:val="x-none"/>
        </w:rPr>
      </w:pPr>
    </w:p>
    <w:p w14:paraId="79BB8208" w14:textId="77777777" w:rsidR="00940958" w:rsidRPr="00AB2DB3" w:rsidRDefault="00940958" w:rsidP="00940958">
      <w:pPr>
        <w:tabs>
          <w:tab w:val="left" w:pos="1950"/>
        </w:tabs>
        <w:rPr>
          <w:rFonts w:ascii="Times New Roman" w:hAnsi="Times New Roman" w:cs="Times New Roman"/>
          <w:lang w:val="x-none"/>
        </w:rPr>
      </w:pPr>
      <w:r w:rsidRPr="00AB2DB3">
        <w:rPr>
          <w:rFonts w:ascii="Times New Roman" w:hAnsi="Times New Roman" w:cs="Times New Roman"/>
          <w:lang w:val="x-none"/>
        </w:rPr>
        <w:tab/>
      </w:r>
    </w:p>
    <w:p w14:paraId="29785CDA" w14:textId="77777777" w:rsidR="003302AC" w:rsidRPr="001667DB" w:rsidRDefault="009348F7" w:rsidP="00F17F2E">
      <w:pPr>
        <w:rPr>
          <w:rFonts w:ascii="Times New Roman" w:hAnsi="Times New Roman" w:cs="Times New Roman"/>
          <w:color w:val="000000" w:themeColor="text1"/>
        </w:rPr>
      </w:pPr>
      <w:r w:rsidRPr="00940958">
        <w:rPr>
          <w:rFonts w:ascii="Times New Roman" w:hAnsi="Times New Roman" w:cs="Times New Roman"/>
          <w:lang w:val="x-none"/>
        </w:rPr>
        <w:br w:type="page"/>
      </w:r>
    </w:p>
    <w:p w14:paraId="098ED910" w14:textId="77777777" w:rsidR="00BA0803" w:rsidRPr="00BA0803" w:rsidRDefault="00BA0803" w:rsidP="00BA0803">
      <w:pPr>
        <w:pStyle w:val="Nagwek1"/>
        <w:rPr>
          <w:sz w:val="22"/>
          <w:szCs w:val="22"/>
        </w:rPr>
      </w:pPr>
      <w:bookmarkStart w:id="945" w:name="_Toc89891909"/>
      <w:r w:rsidRPr="00BA0803">
        <w:rPr>
          <w:sz w:val="22"/>
          <w:szCs w:val="22"/>
        </w:rPr>
        <w:lastRenderedPageBreak/>
        <w:t>D.01.03.03 Przebudowa napowietrznych linii telekomunikacyjnych</w:t>
      </w:r>
      <w:bookmarkEnd w:id="945"/>
      <w:r w:rsidRPr="00BA0803">
        <w:rPr>
          <w:sz w:val="22"/>
          <w:szCs w:val="22"/>
        </w:rPr>
        <w:t xml:space="preserve"> </w:t>
      </w:r>
    </w:p>
    <w:p w14:paraId="4829E153"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 xml:space="preserve">WSTĘP </w:t>
      </w:r>
    </w:p>
    <w:p w14:paraId="09B614EF" w14:textId="77777777" w:rsidR="00BA0803" w:rsidRPr="00BA0803" w:rsidRDefault="00BA0803" w:rsidP="00BA0803">
      <w:pPr>
        <w:pStyle w:val="Akapitzlist"/>
        <w:rPr>
          <w:b/>
          <w:sz w:val="22"/>
          <w:szCs w:val="22"/>
        </w:rPr>
      </w:pPr>
    </w:p>
    <w:p w14:paraId="294DB7E4"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Przedmiot Specyfikacji STWiORB</w:t>
      </w:r>
    </w:p>
    <w:p w14:paraId="25947FF8" w14:textId="77777777" w:rsidR="00BA0803" w:rsidRPr="00BA0803" w:rsidRDefault="00BA0803" w:rsidP="00BA0803">
      <w:pPr>
        <w:spacing w:after="0"/>
        <w:rPr>
          <w:rFonts w:ascii="Times New Roman" w:hAnsi="Times New Roman" w:cs="Times New Roman"/>
          <w:b/>
        </w:rPr>
      </w:pPr>
      <w:r w:rsidRPr="00BA0803">
        <w:rPr>
          <w:rFonts w:ascii="Times New Roman" w:hAnsi="Times New Roman" w:cs="Times New Roman"/>
        </w:rPr>
        <w:t xml:space="preserve">Przedmiotem niniejszej Szczegółowej Specyfikacji Technicznej Wykonania i Odbioru Robót Budowlanych są wymagania dotyczące wykonania i odbioru robót dotyczących przebudowy napowietrznych linii telekomunikacyjnych w ramach zadania: </w:t>
      </w:r>
      <w:r w:rsidR="00990FC6" w:rsidRPr="00FD3B41">
        <w:rPr>
          <w:rFonts w:ascii="Times New Roman" w:hAnsi="Times New Roman" w:cs="Times New Roman"/>
          <w:b/>
          <w:color w:val="000000" w:themeColor="text1"/>
        </w:rPr>
        <w:t>„Rozbudowa drogi wojewódzkiej nr 461 w m. Dąbrówka Łubniańska i Łubniany” – Etap I ( km od 9+741,88 do 10+371,13)</w:t>
      </w:r>
    </w:p>
    <w:p w14:paraId="4CFE1446" w14:textId="77777777" w:rsidR="00BA0803" w:rsidRPr="00BA0803" w:rsidRDefault="00BA0803" w:rsidP="00BA0803">
      <w:pPr>
        <w:spacing w:after="0"/>
        <w:rPr>
          <w:rFonts w:ascii="Times New Roman" w:hAnsi="Times New Roman" w:cs="Times New Roman"/>
        </w:rPr>
      </w:pPr>
    </w:p>
    <w:p w14:paraId="4A5CB0B3"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Zakres stosowania STWiORB</w:t>
      </w:r>
    </w:p>
    <w:p w14:paraId="60F392C0"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Specyfikacja techniczna stanowi dokument przetargowy i kontraktowy przy zlecaniu i realizacji robót wymienionych w pkt  1.1.</w:t>
      </w:r>
    </w:p>
    <w:p w14:paraId="7B51B3C7" w14:textId="77777777" w:rsidR="00BA0803" w:rsidRPr="00BA0803" w:rsidRDefault="00BA0803" w:rsidP="00BA0803">
      <w:pPr>
        <w:spacing w:after="0"/>
        <w:rPr>
          <w:rFonts w:ascii="Times New Roman" w:hAnsi="Times New Roman" w:cs="Times New Roman"/>
        </w:rPr>
      </w:pPr>
    </w:p>
    <w:p w14:paraId="086AC5F1"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Zakres robót objętych STWiORB</w:t>
      </w:r>
    </w:p>
    <w:p w14:paraId="033870B7"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Ustalenia zawarte w niniejszej STWiORB dotyczą zasad prowadzenia robót związanych z przebudową napowietrznych linii telekomunikacyjnych kolidujących przy zadaniu objętym tytułowym kontraktem.</w:t>
      </w:r>
    </w:p>
    <w:p w14:paraId="2748DEDE" w14:textId="77777777" w:rsidR="00BA0803" w:rsidRPr="00BA0803" w:rsidRDefault="00BA0803" w:rsidP="00BA0803">
      <w:pPr>
        <w:spacing w:after="0"/>
        <w:rPr>
          <w:rFonts w:ascii="Times New Roman" w:hAnsi="Times New Roman" w:cs="Times New Roman"/>
        </w:rPr>
      </w:pPr>
    </w:p>
    <w:p w14:paraId="319AC1F2"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W zakres tych robót wchodzą:</w:t>
      </w:r>
    </w:p>
    <w:p w14:paraId="190F1C7C"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wykonanie wykopu pod słup kablowy</w:t>
      </w:r>
    </w:p>
    <w:p w14:paraId="73C48408"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 xml:space="preserve">montaż i stawianie słupa kablowego </w:t>
      </w:r>
    </w:p>
    <w:p w14:paraId="550A0F95"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 xml:space="preserve">zasypanie wykopu pod słup, </w:t>
      </w:r>
    </w:p>
    <w:p w14:paraId="7E049786"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montaż osprzętu na słupie kablowym,</w:t>
      </w:r>
    </w:p>
    <w:p w14:paraId="1135EC10"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montaż skrzynki kablowej na słupie,</w:t>
      </w:r>
    </w:p>
    <w:p w14:paraId="5CADE95E"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montaż łączówek 10-parowych w skrzynce kablowej,</w:t>
      </w:r>
    </w:p>
    <w:p w14:paraId="16DEA6E6"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ułożenie rur HDPE-UV na słupe kablowym,</w:t>
      </w:r>
    </w:p>
    <w:p w14:paraId="76B580AC"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wprowadzenia kabla na słup do skrzynki kablowej,</w:t>
      </w:r>
    </w:p>
    <w:p w14:paraId="2C162C63"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rozszycie kabla na łączówkach,</w:t>
      </w:r>
    </w:p>
    <w:p w14:paraId="69B1AD00" w14:textId="77777777" w:rsidR="00BA0803" w:rsidRPr="00BA0803" w:rsidRDefault="00BA0803" w:rsidP="00904E6C">
      <w:pPr>
        <w:numPr>
          <w:ilvl w:val="0"/>
          <w:numId w:val="314"/>
        </w:numPr>
        <w:suppressAutoHyphens/>
        <w:spacing w:after="0" w:line="240" w:lineRule="auto"/>
        <w:jc w:val="both"/>
        <w:rPr>
          <w:rFonts w:ascii="Times New Roman" w:hAnsi="Times New Roman" w:cs="Times New Roman"/>
        </w:rPr>
      </w:pPr>
      <w:r w:rsidRPr="00BA0803">
        <w:rPr>
          <w:rFonts w:ascii="Times New Roman" w:hAnsi="Times New Roman" w:cs="Times New Roman"/>
        </w:rPr>
        <w:t>badania i pomiary,</w:t>
      </w:r>
    </w:p>
    <w:p w14:paraId="6046CD70"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demontaż kabla napowietrznego</w:t>
      </w:r>
    </w:p>
    <w:p w14:paraId="174425DF" w14:textId="77777777" w:rsidR="00BA0803" w:rsidRPr="00BA0803" w:rsidRDefault="00BA0803" w:rsidP="00904E6C">
      <w:pPr>
        <w:numPr>
          <w:ilvl w:val="0"/>
          <w:numId w:val="314"/>
        </w:numPr>
        <w:tabs>
          <w:tab w:val="left" w:pos="0"/>
          <w:tab w:val="left" w:pos="360"/>
        </w:tabs>
        <w:suppressAutoHyphens/>
        <w:spacing w:after="0" w:line="240" w:lineRule="auto"/>
        <w:jc w:val="both"/>
        <w:rPr>
          <w:rFonts w:ascii="Times New Roman" w:hAnsi="Times New Roman" w:cs="Times New Roman"/>
        </w:rPr>
      </w:pPr>
      <w:r w:rsidRPr="00BA0803">
        <w:rPr>
          <w:rFonts w:ascii="Times New Roman" w:hAnsi="Times New Roman" w:cs="Times New Roman"/>
        </w:rPr>
        <w:t>demontaż słupa kablowego wraz z osprzętem</w:t>
      </w:r>
    </w:p>
    <w:p w14:paraId="2C6D89DF" w14:textId="77777777" w:rsidR="00BA0803" w:rsidRPr="00BA0803" w:rsidRDefault="00BA0803" w:rsidP="00BA0803">
      <w:pPr>
        <w:spacing w:after="0"/>
        <w:rPr>
          <w:rFonts w:ascii="Times New Roman" w:hAnsi="Times New Roman" w:cs="Times New Roman"/>
        </w:rPr>
      </w:pPr>
    </w:p>
    <w:p w14:paraId="014EE9C9"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Zakres rzeczowy robót zgodnie z Dokumentacją Projektową.</w:t>
      </w:r>
    </w:p>
    <w:p w14:paraId="4B6B7938" w14:textId="77777777" w:rsidR="00BA0803" w:rsidRPr="00BA0803" w:rsidRDefault="00BA0803" w:rsidP="00BA0803">
      <w:pPr>
        <w:spacing w:after="0"/>
        <w:rPr>
          <w:rFonts w:ascii="Times New Roman" w:hAnsi="Times New Roman" w:cs="Times New Roman"/>
        </w:rPr>
      </w:pPr>
    </w:p>
    <w:p w14:paraId="751631D5"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Określenia podstawowe</w:t>
      </w:r>
    </w:p>
    <w:p w14:paraId="6F82B189" w14:textId="77777777" w:rsidR="00BA0803" w:rsidRPr="00BA0803" w:rsidRDefault="00BA0803" w:rsidP="00BA0803">
      <w:pPr>
        <w:pStyle w:val="Akapitzlist"/>
        <w:ind w:left="750"/>
        <w:rPr>
          <w:b/>
          <w:sz w:val="22"/>
          <w:szCs w:val="22"/>
        </w:rPr>
      </w:pPr>
    </w:p>
    <w:p w14:paraId="03E1CA09" w14:textId="77777777" w:rsidR="00BA0803" w:rsidRPr="00BA0803" w:rsidRDefault="00BA0803" w:rsidP="00904E6C">
      <w:pPr>
        <w:pStyle w:val="Akapitzlist"/>
        <w:numPr>
          <w:ilvl w:val="2"/>
          <w:numId w:val="310"/>
        </w:numPr>
        <w:overflowPunct/>
        <w:autoSpaceDE/>
        <w:autoSpaceDN/>
        <w:adjustRightInd/>
        <w:jc w:val="left"/>
        <w:textAlignment w:val="auto"/>
        <w:rPr>
          <w:b/>
          <w:sz w:val="22"/>
          <w:szCs w:val="22"/>
        </w:rPr>
      </w:pPr>
      <w:r w:rsidRPr="00BA0803">
        <w:rPr>
          <w:b/>
          <w:sz w:val="22"/>
          <w:szCs w:val="22"/>
        </w:rPr>
        <w:t>Ogólne określenia podstawowe</w:t>
      </w:r>
    </w:p>
    <w:p w14:paraId="08107917" w14:textId="77777777" w:rsidR="00BA0803" w:rsidRPr="00BA0803" w:rsidRDefault="00BA0803" w:rsidP="00BA0803">
      <w:pPr>
        <w:autoSpaceDE w:val="0"/>
        <w:autoSpaceDN w:val="0"/>
        <w:adjustRightInd w:val="0"/>
        <w:spacing w:after="0"/>
        <w:rPr>
          <w:rFonts w:ascii="Times New Roman" w:hAnsi="Times New Roman" w:cs="Times New Roman"/>
          <w:b/>
          <w:bCs/>
        </w:rPr>
      </w:pPr>
    </w:p>
    <w:p w14:paraId="7B021535"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 xml:space="preserve">Określenia używane w niniejszej STTWiORB są zgodne z obowiązującymi normami oraz z określeniami podanymi </w:t>
      </w:r>
      <w:r w:rsidRPr="00BA0803">
        <w:rPr>
          <w:rFonts w:ascii="Times New Roman" w:hAnsi="Times New Roman" w:cs="Times New Roman"/>
        </w:rPr>
        <w:br/>
        <w:t>w STWiORB DM.00.00.00.00.</w:t>
      </w:r>
    </w:p>
    <w:p w14:paraId="19F498C1" w14:textId="77777777" w:rsidR="00BA0803" w:rsidRPr="00BA0803" w:rsidRDefault="00BA0803" w:rsidP="00BA0803">
      <w:pPr>
        <w:spacing w:after="0"/>
        <w:rPr>
          <w:rFonts w:ascii="Times New Roman" w:hAnsi="Times New Roman" w:cs="Times New Roman"/>
        </w:rPr>
      </w:pPr>
    </w:p>
    <w:p w14:paraId="5794D96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Napowietrzna linia telekomunikacyjna</w:t>
      </w:r>
      <w:r w:rsidRPr="00BA0803">
        <w:rPr>
          <w:rFonts w:ascii="Times New Roman" w:hAnsi="Times New Roman" w:cs="Times New Roman"/>
        </w:rPr>
        <w:t xml:space="preserve"> – linia przewodowa nadziemna składająca się z przewodów napowietrznych, osprzętu i podbudowy.</w:t>
      </w:r>
    </w:p>
    <w:p w14:paraId="04648A6D" w14:textId="77777777" w:rsidR="00BA0803" w:rsidRPr="00BA0803" w:rsidRDefault="00BA0803" w:rsidP="00BA0803">
      <w:pPr>
        <w:autoSpaceDE w:val="0"/>
        <w:autoSpaceDN w:val="0"/>
        <w:adjustRightInd w:val="0"/>
        <w:spacing w:after="0"/>
        <w:rPr>
          <w:rFonts w:ascii="Times New Roman" w:hAnsi="Times New Roman" w:cs="Times New Roman"/>
        </w:rPr>
      </w:pPr>
    </w:p>
    <w:p w14:paraId="201F3AD0"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Osprzęt do linii napowietrznych</w:t>
      </w:r>
      <w:r w:rsidRPr="00BA0803">
        <w:rPr>
          <w:rFonts w:ascii="Times New Roman" w:hAnsi="Times New Roman" w:cs="Times New Roman"/>
        </w:rPr>
        <w:t xml:space="preserve"> - zestaw elementów (poprzeczniki, uchwyty odciągowe, zawieszenia taśmowe,  uchwyty  do  montażu  kabli,  napinacze,  złącza  uziomowe,  uziomy  itp.)  do  zawieszania przewodów i uziemień.</w:t>
      </w:r>
    </w:p>
    <w:p w14:paraId="691FEE6A" w14:textId="77777777" w:rsidR="00BA0803" w:rsidRPr="00BA0803" w:rsidRDefault="00BA0803" w:rsidP="00BA0803">
      <w:pPr>
        <w:autoSpaceDE w:val="0"/>
        <w:autoSpaceDN w:val="0"/>
        <w:adjustRightInd w:val="0"/>
        <w:spacing w:after="0"/>
        <w:rPr>
          <w:rFonts w:ascii="Times New Roman" w:hAnsi="Times New Roman" w:cs="Times New Roman"/>
        </w:rPr>
      </w:pPr>
    </w:p>
    <w:p w14:paraId="090A42D6"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lastRenderedPageBreak/>
        <w:t>Słup  kablowy</w:t>
      </w:r>
      <w:r w:rsidRPr="00BA0803">
        <w:rPr>
          <w:rFonts w:ascii="Times New Roman" w:hAnsi="Times New Roman" w:cs="Times New Roman"/>
        </w:rPr>
        <w:t xml:space="preserve">  -  słup  ustawiony  na  zakończeniu  linii,  przejmujący  jednostronny  naciąg  przewodów i przystosowany do wprowadzenia kabla.</w:t>
      </w:r>
    </w:p>
    <w:p w14:paraId="69B2B58D" w14:textId="77777777" w:rsidR="00BA0803" w:rsidRPr="00BA0803" w:rsidRDefault="00BA0803" w:rsidP="00BA0803">
      <w:pPr>
        <w:autoSpaceDE w:val="0"/>
        <w:autoSpaceDN w:val="0"/>
        <w:adjustRightInd w:val="0"/>
        <w:spacing w:after="0"/>
        <w:rPr>
          <w:rFonts w:ascii="Times New Roman" w:hAnsi="Times New Roman" w:cs="Times New Roman"/>
        </w:rPr>
      </w:pPr>
    </w:p>
    <w:p w14:paraId="07EBC9B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Podbudowa linii</w:t>
      </w:r>
      <w:r w:rsidRPr="00BA0803">
        <w:rPr>
          <w:rFonts w:ascii="Times New Roman" w:hAnsi="Times New Roman" w:cs="Times New Roman"/>
        </w:rPr>
        <w:t xml:space="preserve"> – słupy do zamocowania osprzętu.</w:t>
      </w:r>
    </w:p>
    <w:p w14:paraId="7BA5ABF2" w14:textId="77777777" w:rsidR="00BA0803" w:rsidRPr="00BA0803" w:rsidRDefault="00BA0803" w:rsidP="00BA0803">
      <w:pPr>
        <w:autoSpaceDE w:val="0"/>
        <w:autoSpaceDN w:val="0"/>
        <w:adjustRightInd w:val="0"/>
        <w:spacing w:after="0"/>
        <w:rPr>
          <w:rFonts w:ascii="Times New Roman" w:hAnsi="Times New Roman" w:cs="Times New Roman"/>
        </w:rPr>
      </w:pPr>
    </w:p>
    <w:p w14:paraId="1DC24D8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Przęsło</w:t>
      </w:r>
      <w:r w:rsidRPr="00BA0803">
        <w:rPr>
          <w:rFonts w:ascii="Times New Roman" w:hAnsi="Times New Roman" w:cs="Times New Roman"/>
        </w:rPr>
        <w:t xml:space="preserve"> – odcinek linii napowietrznej pomiędzy osiami sąsiednich słupów.</w:t>
      </w:r>
    </w:p>
    <w:p w14:paraId="42256CE4" w14:textId="77777777" w:rsidR="00BA0803" w:rsidRPr="00BA0803" w:rsidRDefault="00BA0803" w:rsidP="00BA0803">
      <w:pPr>
        <w:autoSpaceDE w:val="0"/>
        <w:autoSpaceDN w:val="0"/>
        <w:adjustRightInd w:val="0"/>
        <w:spacing w:after="0"/>
        <w:rPr>
          <w:rFonts w:ascii="Times New Roman" w:hAnsi="Times New Roman" w:cs="Times New Roman"/>
        </w:rPr>
      </w:pPr>
    </w:p>
    <w:p w14:paraId="30CF44C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Zwis f</w:t>
      </w:r>
      <w:r w:rsidRPr="00BA0803">
        <w:rPr>
          <w:rFonts w:ascii="Times New Roman" w:hAnsi="Times New Roman" w:cs="Times New Roman"/>
        </w:rPr>
        <w:t xml:space="preserve"> – odległość pionowa między przewodem a prostą łączącą punkty zawieszenia przewodu </w:t>
      </w:r>
    </w:p>
    <w:p w14:paraId="1A8ECAA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 środku rozpiętości przęsła.</w:t>
      </w:r>
    </w:p>
    <w:p w14:paraId="7302521F" w14:textId="77777777" w:rsidR="00BA0803" w:rsidRPr="00BA0803" w:rsidRDefault="00BA0803" w:rsidP="00BA0803">
      <w:pPr>
        <w:autoSpaceDE w:val="0"/>
        <w:autoSpaceDN w:val="0"/>
        <w:adjustRightInd w:val="0"/>
        <w:spacing w:after="0"/>
        <w:rPr>
          <w:rFonts w:ascii="Times New Roman" w:hAnsi="Times New Roman" w:cs="Times New Roman"/>
        </w:rPr>
      </w:pPr>
    </w:p>
    <w:p w14:paraId="3B15521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u w:val="single"/>
        </w:rPr>
        <w:t>Kabel telekomunikacyjny</w:t>
      </w:r>
      <w:r w:rsidRPr="00BA0803">
        <w:rPr>
          <w:rFonts w:ascii="Times New Roman" w:hAnsi="Times New Roman" w:cs="Times New Roman"/>
        </w:rPr>
        <w:t xml:space="preserve"> - przewód wielożyłowy izolowany przeznaczony do łączenia między sobą urządzeń telefonicznych.</w:t>
      </w:r>
    </w:p>
    <w:p w14:paraId="3BFB2CAC" w14:textId="77777777" w:rsidR="00BA0803" w:rsidRPr="00BA0803" w:rsidRDefault="00BA0803" w:rsidP="00BA0803">
      <w:pPr>
        <w:autoSpaceDE w:val="0"/>
        <w:autoSpaceDN w:val="0"/>
        <w:adjustRightInd w:val="0"/>
        <w:spacing w:after="0"/>
        <w:rPr>
          <w:rFonts w:ascii="Times New Roman" w:hAnsi="Times New Roman" w:cs="Times New Roman"/>
        </w:rPr>
      </w:pPr>
    </w:p>
    <w:p w14:paraId="2DEDA70A"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Ogólne wymagania dotyczące robót</w:t>
      </w:r>
    </w:p>
    <w:p w14:paraId="112DFB55" w14:textId="77777777" w:rsidR="00BA0803" w:rsidRPr="00BA0803" w:rsidRDefault="00BA0803" w:rsidP="00BA0803">
      <w:pPr>
        <w:autoSpaceDE w:val="0"/>
        <w:autoSpaceDN w:val="0"/>
        <w:adjustRightInd w:val="0"/>
        <w:spacing w:after="0"/>
        <w:rPr>
          <w:rFonts w:ascii="Times New Roman" w:hAnsi="Times New Roman" w:cs="Times New Roman"/>
          <w:b/>
          <w:bCs/>
        </w:rPr>
      </w:pPr>
    </w:p>
    <w:p w14:paraId="2C0FB76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Ogólne wymagania dotyczące robót podano w STWiORB DM.00.00.00.00 "Wymagania ogólne". Wykonawca robót jest odpowiedzialny za jakość ich wykonania oraz za zgodność z Dokumentacją Projektową, Specyfikacjami Technicznymi </w:t>
      </w:r>
      <w:r w:rsidRPr="00BA0803">
        <w:rPr>
          <w:rFonts w:ascii="Times New Roman" w:hAnsi="Times New Roman" w:cs="Times New Roman"/>
        </w:rPr>
        <w:br/>
        <w:t>i poleceniami Inżyniera.</w:t>
      </w:r>
    </w:p>
    <w:p w14:paraId="71FBEE37" w14:textId="77777777" w:rsidR="00BA0803" w:rsidRPr="00BA0803" w:rsidRDefault="00BA0803" w:rsidP="00BA0803">
      <w:pPr>
        <w:spacing w:after="0"/>
        <w:rPr>
          <w:rFonts w:ascii="Times New Roman" w:hAnsi="Times New Roman" w:cs="Times New Roman"/>
        </w:rPr>
      </w:pPr>
    </w:p>
    <w:p w14:paraId="68EEA139"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MATERIAŁY</w:t>
      </w:r>
    </w:p>
    <w:p w14:paraId="25AC019E" w14:textId="77777777" w:rsidR="00BA0803" w:rsidRPr="00BA0803" w:rsidRDefault="00BA0803" w:rsidP="00BA0803">
      <w:pPr>
        <w:pStyle w:val="Akapitzlist"/>
        <w:rPr>
          <w:b/>
          <w:sz w:val="22"/>
          <w:szCs w:val="22"/>
        </w:rPr>
      </w:pPr>
    </w:p>
    <w:p w14:paraId="52C6D22E"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Wymagania ogólne</w:t>
      </w:r>
    </w:p>
    <w:p w14:paraId="307A0900"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Wszystkie materiały użyte do budowy powinny pochodzić tylko ze źródeł uzgodnionych i zatwierdzonych przez Inspektora Nadzoru.</w:t>
      </w:r>
    </w:p>
    <w:p w14:paraId="54B81A1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Źródła materiałów powinny być wybrane przez Wykonawcę z wyprzedzeniem przed rozpoczęciem robót nie później niż 4 tygodnie.</w:t>
      </w:r>
    </w:p>
    <w:p w14:paraId="35CED7E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Do każdej ilości jednorazowo wysłanego materiału dołączony powinien być dokument potwierdzający jego jakość na podstawie przeprowadzonych badań lub deklaracja zgodności z odpowiednimi normami lub aprobatą techniczną.</w:t>
      </w:r>
    </w:p>
    <w:p w14:paraId="5B3E6F92" w14:textId="77777777" w:rsidR="00BA0803" w:rsidRPr="00BA0803" w:rsidRDefault="00BA0803" w:rsidP="00BA0803">
      <w:pPr>
        <w:autoSpaceDE w:val="0"/>
        <w:autoSpaceDN w:val="0"/>
        <w:adjustRightInd w:val="0"/>
        <w:spacing w:after="0"/>
        <w:rPr>
          <w:rFonts w:ascii="Times New Roman" w:hAnsi="Times New Roman" w:cs="Times New Roman"/>
        </w:rPr>
      </w:pPr>
    </w:p>
    <w:p w14:paraId="054B1107" w14:textId="77777777" w:rsidR="00BA0803" w:rsidRPr="00BA0803" w:rsidRDefault="00BA0803" w:rsidP="00904E6C">
      <w:pPr>
        <w:pStyle w:val="Akapitzlist"/>
        <w:numPr>
          <w:ilvl w:val="1"/>
          <w:numId w:val="310"/>
        </w:numPr>
        <w:overflowPunct/>
        <w:autoSpaceDE/>
        <w:autoSpaceDN/>
        <w:adjustRightInd/>
        <w:textAlignment w:val="auto"/>
        <w:rPr>
          <w:b/>
          <w:sz w:val="22"/>
          <w:szCs w:val="22"/>
        </w:rPr>
      </w:pPr>
      <w:r w:rsidRPr="00BA0803">
        <w:rPr>
          <w:b/>
          <w:sz w:val="22"/>
          <w:szCs w:val="22"/>
        </w:rPr>
        <w:t>Słupy i ustoje</w:t>
      </w:r>
    </w:p>
    <w:p w14:paraId="2BD8FCFB" w14:textId="77777777" w:rsidR="00BA0803" w:rsidRPr="00BA0803" w:rsidRDefault="00BA0803" w:rsidP="00BA0803">
      <w:pPr>
        <w:pStyle w:val="Normalny-SANKAT"/>
        <w:spacing w:before="0"/>
        <w:rPr>
          <w:rFonts w:ascii="Times New Roman" w:hAnsi="Times New Roman"/>
          <w:szCs w:val="22"/>
        </w:rPr>
      </w:pPr>
      <w:r w:rsidRPr="00BA0803">
        <w:rPr>
          <w:rFonts w:ascii="Times New Roman" w:hAnsi="Times New Roman"/>
          <w:szCs w:val="22"/>
        </w:rPr>
        <w:t>Jako słupy należy stosować słupy drewniane z drewna sosnowego lub świerkowego klasy WC01 impregnowanee środkami ekologicznymi np. Wolmanit Cx8.</w:t>
      </w:r>
    </w:p>
    <w:p w14:paraId="3E6DEEF1" w14:textId="77777777" w:rsidR="00BA0803" w:rsidRPr="00BA0803" w:rsidRDefault="00BA0803" w:rsidP="00BA0803">
      <w:pPr>
        <w:pStyle w:val="Normalny-SANKAT"/>
        <w:spacing w:before="0"/>
        <w:rPr>
          <w:rFonts w:ascii="Times New Roman" w:hAnsi="Times New Roman"/>
          <w:szCs w:val="22"/>
        </w:rPr>
      </w:pPr>
      <w:r w:rsidRPr="00BA0803">
        <w:rPr>
          <w:rFonts w:ascii="Times New Roman" w:hAnsi="Times New Roman"/>
          <w:szCs w:val="22"/>
        </w:rPr>
        <w:t>Szczudła żelbetowe powinny być wykonane zgodnie z normą PN-B-19501.</w:t>
      </w:r>
    </w:p>
    <w:p w14:paraId="1A747183" w14:textId="77777777" w:rsidR="00BA0803" w:rsidRPr="00BA0803" w:rsidRDefault="00BA0803" w:rsidP="00BA0803">
      <w:pPr>
        <w:pStyle w:val="Normalny-SANKAT"/>
        <w:spacing w:before="0"/>
        <w:rPr>
          <w:rFonts w:ascii="Times New Roman" w:hAnsi="Times New Roman"/>
          <w:szCs w:val="22"/>
        </w:rPr>
      </w:pPr>
      <w:r w:rsidRPr="00BA0803">
        <w:rPr>
          <w:rFonts w:ascii="Times New Roman" w:hAnsi="Times New Roman"/>
          <w:szCs w:val="22"/>
        </w:rPr>
        <w:t xml:space="preserve">Ustoje słupów powinny być wykonane z belek ustojowych betonowych wg BN-72/3231-20. </w:t>
      </w:r>
    </w:p>
    <w:p w14:paraId="00337FE4" w14:textId="77777777" w:rsidR="00BA0803" w:rsidRPr="00BA0803" w:rsidRDefault="00BA0803" w:rsidP="00BA0803">
      <w:pPr>
        <w:pStyle w:val="Normalny-SANKAT"/>
        <w:spacing w:before="0"/>
        <w:rPr>
          <w:rFonts w:ascii="Times New Roman" w:hAnsi="Times New Roman"/>
          <w:szCs w:val="22"/>
        </w:rPr>
      </w:pPr>
      <w:r w:rsidRPr="00BA0803">
        <w:rPr>
          <w:rFonts w:ascii="Times New Roman" w:hAnsi="Times New Roman"/>
          <w:szCs w:val="22"/>
        </w:rPr>
        <w:t xml:space="preserve">Obejmy do belek ustojowych powinny odpowiadać BN-72/3231-21. </w:t>
      </w:r>
    </w:p>
    <w:p w14:paraId="52BE0460" w14:textId="77777777" w:rsidR="00BA0803" w:rsidRPr="00BA0803" w:rsidRDefault="00BA0803" w:rsidP="00BA0803">
      <w:pPr>
        <w:pStyle w:val="Normalny-SANKAT"/>
        <w:spacing w:before="0"/>
        <w:rPr>
          <w:rFonts w:ascii="Times New Roman" w:hAnsi="Times New Roman"/>
          <w:szCs w:val="22"/>
        </w:rPr>
      </w:pPr>
      <w:r w:rsidRPr="00BA0803">
        <w:rPr>
          <w:rFonts w:ascii="Times New Roman" w:hAnsi="Times New Roman"/>
          <w:szCs w:val="22"/>
        </w:rPr>
        <w:t>Słupy drewniane, szczudła żelbetowe i ustoje należy składować na wyrównanym terenie w stosach z zastosowaniem przekładek i podkładek drewnianych.</w:t>
      </w:r>
    </w:p>
    <w:p w14:paraId="5EBAB9B5" w14:textId="77777777" w:rsidR="00BA0803" w:rsidRPr="00BA0803" w:rsidRDefault="00BA0803" w:rsidP="00BA0803">
      <w:pPr>
        <w:autoSpaceDE w:val="0"/>
        <w:autoSpaceDN w:val="0"/>
        <w:adjustRightInd w:val="0"/>
        <w:spacing w:after="0"/>
        <w:rPr>
          <w:rFonts w:ascii="Times New Roman" w:hAnsi="Times New Roman" w:cs="Times New Roman"/>
        </w:rPr>
      </w:pPr>
    </w:p>
    <w:p w14:paraId="3C732D05" w14:textId="77777777" w:rsidR="00BA0803" w:rsidRPr="00BA0803" w:rsidRDefault="00BA0803" w:rsidP="00904E6C">
      <w:pPr>
        <w:pStyle w:val="Akapitzlist"/>
        <w:numPr>
          <w:ilvl w:val="1"/>
          <w:numId w:val="310"/>
        </w:numPr>
        <w:overflowPunct/>
        <w:autoSpaceDE/>
        <w:autoSpaceDN/>
        <w:adjustRightInd/>
        <w:textAlignment w:val="auto"/>
        <w:rPr>
          <w:b/>
          <w:sz w:val="22"/>
          <w:szCs w:val="22"/>
        </w:rPr>
      </w:pPr>
      <w:r w:rsidRPr="00BA0803">
        <w:rPr>
          <w:b/>
          <w:sz w:val="22"/>
          <w:szCs w:val="22"/>
        </w:rPr>
        <w:t>Osprzęt do linii napowietrznych</w:t>
      </w:r>
    </w:p>
    <w:p w14:paraId="2992F19C"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Osprzęt do linii napowietrznych – zestaw elementów (poprzeczniki, uchwyty odciągowe, uchwyty  do  montażu  kabli,  napinacze,  złącza  uziomowe,  uziomy  itp.  do  zawieszania przewodów i uziemień wg wymagań normy ZN-OPL-027/06. </w:t>
      </w:r>
    </w:p>
    <w:p w14:paraId="054BAA8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Osprzęt do montażu linii napowietrznych powinien być zgodny z normą ZN-OPL-010/16.  </w:t>
      </w:r>
    </w:p>
    <w:p w14:paraId="42D95050"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Materiały  takie  jak  skrzynki  kablowe,  uchwyty  i  haki  można  składować  w  zamykanych pomieszczeniach.</w:t>
      </w:r>
    </w:p>
    <w:p w14:paraId="25EAD60B" w14:textId="77777777" w:rsidR="00BA0803" w:rsidRPr="00BA0803" w:rsidRDefault="00BA0803" w:rsidP="00BA0803">
      <w:pPr>
        <w:autoSpaceDE w:val="0"/>
        <w:autoSpaceDN w:val="0"/>
        <w:adjustRightInd w:val="0"/>
        <w:spacing w:after="0"/>
        <w:rPr>
          <w:rFonts w:ascii="Times New Roman" w:hAnsi="Times New Roman" w:cs="Times New Roman"/>
        </w:rPr>
      </w:pPr>
    </w:p>
    <w:p w14:paraId="3D223AB0"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Skrzynki kablowe</w:t>
      </w:r>
    </w:p>
    <w:p w14:paraId="653251D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Skrzynka kablowa 10-parowa powinna być zgodna z ZN-OPL-033/17. </w:t>
      </w:r>
    </w:p>
    <w:p w14:paraId="567AB87D" w14:textId="77777777" w:rsidR="00BA0803" w:rsidRPr="00BA0803" w:rsidRDefault="00BA0803" w:rsidP="00BA0803">
      <w:pPr>
        <w:autoSpaceDE w:val="0"/>
        <w:autoSpaceDN w:val="0"/>
        <w:adjustRightInd w:val="0"/>
        <w:spacing w:after="0"/>
        <w:rPr>
          <w:rFonts w:ascii="Times New Roman" w:hAnsi="Times New Roman" w:cs="Times New Roman"/>
        </w:rPr>
      </w:pPr>
    </w:p>
    <w:p w14:paraId="3D047844"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Rury</w:t>
      </w:r>
    </w:p>
    <w:p w14:paraId="6F868EE9" w14:textId="77777777" w:rsidR="00BA0803" w:rsidRPr="00BA0803" w:rsidRDefault="00BA0803" w:rsidP="00BA0803">
      <w:pPr>
        <w:autoSpaceDE w:val="0"/>
        <w:autoSpaceDN w:val="0"/>
        <w:adjustRightInd w:val="0"/>
        <w:spacing w:after="0"/>
        <w:rPr>
          <w:rFonts w:ascii="Times New Roman" w:hAnsi="Times New Roman" w:cs="Times New Roman"/>
          <w:lang w:val="en-US"/>
        </w:rPr>
      </w:pPr>
      <w:r w:rsidRPr="00BA0803">
        <w:rPr>
          <w:rFonts w:ascii="Times New Roman" w:hAnsi="Times New Roman" w:cs="Times New Roman"/>
          <w:lang w:val="en-US"/>
        </w:rPr>
        <w:lastRenderedPageBreak/>
        <w:t>Rury HDPE -UV 40/3,7 wg ZN-OPL-014/15 i PN-C-890200.</w:t>
      </w:r>
    </w:p>
    <w:p w14:paraId="1825620E" w14:textId="77777777" w:rsidR="00BA0803" w:rsidRPr="00BA0803" w:rsidRDefault="00BA0803" w:rsidP="00BA0803">
      <w:pPr>
        <w:autoSpaceDE w:val="0"/>
        <w:autoSpaceDN w:val="0"/>
        <w:adjustRightInd w:val="0"/>
        <w:spacing w:after="0"/>
        <w:rPr>
          <w:rFonts w:ascii="Times New Roman" w:hAnsi="Times New Roman" w:cs="Times New Roman"/>
          <w:lang w:val="en-US"/>
        </w:rPr>
      </w:pPr>
    </w:p>
    <w:p w14:paraId="6D2F6BA8"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Kable</w:t>
      </w:r>
    </w:p>
    <w:p w14:paraId="4F41EB3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Należy stosować kable typu XzTKMXpwn o ilości żył zgodnie z projektem.</w:t>
      </w:r>
    </w:p>
    <w:p w14:paraId="2EE884A7" w14:textId="77777777" w:rsidR="00BA0803" w:rsidRPr="00BA0803" w:rsidRDefault="00BA0803" w:rsidP="00BA0803">
      <w:pPr>
        <w:autoSpaceDE w:val="0"/>
        <w:autoSpaceDN w:val="0"/>
        <w:adjustRightInd w:val="0"/>
        <w:spacing w:after="0"/>
        <w:rPr>
          <w:rFonts w:ascii="Times New Roman" w:hAnsi="Times New Roman" w:cs="Times New Roman"/>
        </w:rPr>
      </w:pPr>
    </w:p>
    <w:p w14:paraId="2935C9F2" w14:textId="77777777" w:rsidR="00BA0803" w:rsidRPr="00BA0803" w:rsidRDefault="00BA0803" w:rsidP="00BA0803">
      <w:pPr>
        <w:autoSpaceDE w:val="0"/>
        <w:autoSpaceDN w:val="0"/>
        <w:adjustRightInd w:val="0"/>
        <w:spacing w:after="0"/>
        <w:rPr>
          <w:rFonts w:ascii="Times New Roman" w:hAnsi="Times New Roman" w:cs="Times New Roman"/>
        </w:rPr>
      </w:pPr>
    </w:p>
    <w:p w14:paraId="0F910323"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Składowanie materiałów na budowie.</w:t>
      </w:r>
    </w:p>
    <w:p w14:paraId="49320E5C"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Kable dostarczane są na bębnach drewnianych których wielkości są określone w normie PN-91/O-79353, Bębny z kablami należy na placu budowy umieścić na utwardzonym podłożu, na krawędziach tarcz (pionowo) lub na tarczach (płasko). </w:t>
      </w:r>
    </w:p>
    <w:p w14:paraId="205DC58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Materiały takie jak głowice kablowe, złącza, skrzynki kablowe można składować w przeznaczonych na ten cel zamykanych i suchych pomieszczeniach.</w:t>
      </w:r>
    </w:p>
    <w:p w14:paraId="48707BC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Rury HDPE mogą być składowane w miejscach nie narażonych na działanie korozji i uszkodzenia mechaniczne.</w:t>
      </w:r>
    </w:p>
    <w:p w14:paraId="1E4A4F8D" w14:textId="77777777" w:rsidR="00BA0803" w:rsidRPr="00BA0803" w:rsidRDefault="00BA0803" w:rsidP="00BA0803">
      <w:pPr>
        <w:autoSpaceDE w:val="0"/>
        <w:autoSpaceDN w:val="0"/>
        <w:adjustRightInd w:val="0"/>
        <w:spacing w:after="0"/>
        <w:rPr>
          <w:rFonts w:ascii="Times New Roman" w:hAnsi="Times New Roman" w:cs="Times New Roman"/>
        </w:rPr>
      </w:pPr>
    </w:p>
    <w:p w14:paraId="23DA932A"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Odbiór materiałów na budowie.</w:t>
      </w:r>
    </w:p>
    <w:p w14:paraId="134C7BE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Materiały należy dostarczyć na budowę wraz ze świadectwami jakości, kartami gwarancyjnymi </w:t>
      </w:r>
    </w:p>
    <w:p w14:paraId="783A88A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i protokołami odbioru technicznego. </w:t>
      </w:r>
    </w:p>
    <w:p w14:paraId="789AA91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Dostarczone na budowę materiały należy sprawdzić pod względem kompletności i zgodności z danymi producenta. Przeprowadzić oględziny materiałów dostarczonych na budowę.</w:t>
      </w:r>
    </w:p>
    <w:p w14:paraId="6056D45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 razie stwierdzenia wad lub powstania wątpliwości odnośnie jakości wykonania, materiały te przed wbudowaniem poddać badaniom określonym przez Inspektora Nadzoru.  </w:t>
      </w:r>
    </w:p>
    <w:p w14:paraId="7E1DE659" w14:textId="77777777" w:rsidR="00BA0803" w:rsidRPr="00BA0803" w:rsidRDefault="00BA0803" w:rsidP="00BA0803">
      <w:pPr>
        <w:autoSpaceDE w:val="0"/>
        <w:autoSpaceDN w:val="0"/>
        <w:adjustRightInd w:val="0"/>
        <w:spacing w:after="0"/>
        <w:rPr>
          <w:rFonts w:ascii="Times New Roman" w:hAnsi="Times New Roman" w:cs="Times New Roman"/>
        </w:rPr>
      </w:pPr>
    </w:p>
    <w:p w14:paraId="5C1ADA1E" w14:textId="77777777" w:rsidR="00BA0803" w:rsidRPr="00BA0803" w:rsidRDefault="00BA0803" w:rsidP="00BA0803">
      <w:pPr>
        <w:autoSpaceDE w:val="0"/>
        <w:autoSpaceDN w:val="0"/>
        <w:adjustRightInd w:val="0"/>
        <w:spacing w:after="0"/>
        <w:rPr>
          <w:rFonts w:ascii="Times New Roman" w:hAnsi="Times New Roman" w:cs="Times New Roman"/>
        </w:rPr>
      </w:pPr>
    </w:p>
    <w:p w14:paraId="0D2E9F6C"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SPRZĘT</w:t>
      </w:r>
    </w:p>
    <w:p w14:paraId="50A6A2A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Wykonawca jest zobowiązany do używania jedynie takiego sprzętu, który nie spowoduje niekorzystnego wpływu na jakość robót, zarówno w miejscu tych robót, jak też przy wykonywaniu czynności pomocniczych oraz w czasie transportu, załadunku i wyładunku materiałów, sprzętu itp. </w:t>
      </w:r>
    </w:p>
    <w:p w14:paraId="23BA2E1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Liczba i wydajność sprzętu powinna gwarantować wykonanie robót zgodnie z zasadami określonymi </w:t>
      </w:r>
    </w:p>
    <w:p w14:paraId="3887114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 Dokumentacji Projektowej.</w:t>
      </w:r>
    </w:p>
    <w:p w14:paraId="30ADCFD8" w14:textId="77777777" w:rsidR="00BA0803" w:rsidRPr="00BA0803" w:rsidRDefault="00BA0803" w:rsidP="00BA0803">
      <w:pPr>
        <w:autoSpaceDE w:val="0"/>
        <w:autoSpaceDN w:val="0"/>
        <w:adjustRightInd w:val="0"/>
        <w:spacing w:after="0"/>
        <w:rPr>
          <w:rFonts w:ascii="Times New Roman" w:hAnsi="Times New Roman" w:cs="Times New Roman"/>
        </w:rPr>
      </w:pPr>
    </w:p>
    <w:p w14:paraId="170B5428" w14:textId="77777777" w:rsidR="00BA0803" w:rsidRPr="00BA0803" w:rsidRDefault="00BA0803" w:rsidP="00BA0803">
      <w:pPr>
        <w:autoSpaceDE w:val="0"/>
        <w:autoSpaceDN w:val="0"/>
        <w:adjustRightInd w:val="0"/>
        <w:spacing w:after="0"/>
        <w:rPr>
          <w:rFonts w:ascii="Times New Roman" w:hAnsi="Times New Roman" w:cs="Times New Roman"/>
        </w:rPr>
      </w:pPr>
    </w:p>
    <w:p w14:paraId="28A84F56"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Sprzęt do montażu linii napowietrznej</w:t>
      </w:r>
    </w:p>
    <w:p w14:paraId="5BF850A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Do wykonania przebudowy napowietrznych linii telekomunikacyjnych należy stosować:</w:t>
      </w:r>
    </w:p>
    <w:p w14:paraId="603C3D7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żuraw samochodowy,</w:t>
      </w:r>
    </w:p>
    <w:p w14:paraId="020FBE2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ubijak spalinowy</w:t>
      </w:r>
    </w:p>
    <w:p w14:paraId="30FF8F0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lub inny sprzęt zaakceptowany przez Inspektora Nadzoru.</w:t>
      </w:r>
    </w:p>
    <w:p w14:paraId="571FC33C" w14:textId="77777777" w:rsidR="00BA0803" w:rsidRPr="00BA0803" w:rsidRDefault="00BA0803" w:rsidP="00BA0803">
      <w:pPr>
        <w:autoSpaceDE w:val="0"/>
        <w:autoSpaceDN w:val="0"/>
        <w:adjustRightInd w:val="0"/>
        <w:spacing w:after="0"/>
        <w:rPr>
          <w:rFonts w:ascii="Times New Roman" w:hAnsi="Times New Roman" w:cs="Times New Roman"/>
        </w:rPr>
      </w:pPr>
    </w:p>
    <w:p w14:paraId="7891B9A6" w14:textId="77777777" w:rsidR="00BA0803" w:rsidRPr="00BA0803" w:rsidRDefault="00BA0803" w:rsidP="00BA0803">
      <w:pPr>
        <w:autoSpaceDE w:val="0"/>
        <w:autoSpaceDN w:val="0"/>
        <w:adjustRightInd w:val="0"/>
        <w:spacing w:after="0"/>
        <w:rPr>
          <w:rFonts w:ascii="Times New Roman" w:hAnsi="Times New Roman" w:cs="Times New Roman"/>
        </w:rPr>
      </w:pPr>
    </w:p>
    <w:p w14:paraId="098C01E1"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TRANSPORT</w:t>
      </w:r>
    </w:p>
    <w:p w14:paraId="5B30CFDB"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Wykonawca jest obowiązany do stosowania jedynie takich środków transportu, które nie wpłyną niekorzystnie na jakość wykonywanych robót.</w:t>
      </w:r>
    </w:p>
    <w:p w14:paraId="7AA2EA7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Liczba środków transportu powinna gwarantować prowadzenie robót zgodnie z zasadami określonymi w Dokumentacji Projektowej w terminie przewidzianym umową.</w:t>
      </w:r>
    </w:p>
    <w:p w14:paraId="57098BE7" w14:textId="77777777" w:rsidR="00BA0803" w:rsidRPr="00BA0803" w:rsidRDefault="00BA0803" w:rsidP="00BA0803">
      <w:pPr>
        <w:pStyle w:val="Akapitzlist"/>
        <w:rPr>
          <w:b/>
          <w:bCs/>
          <w:sz w:val="22"/>
          <w:szCs w:val="22"/>
        </w:rPr>
      </w:pPr>
    </w:p>
    <w:p w14:paraId="2449116F" w14:textId="77777777" w:rsidR="00BA0803" w:rsidRPr="00BA0803" w:rsidRDefault="00BA0803" w:rsidP="00BA0803">
      <w:pPr>
        <w:pStyle w:val="Akapitzlist"/>
        <w:ind w:left="750"/>
        <w:rPr>
          <w:b/>
          <w:sz w:val="22"/>
          <w:szCs w:val="22"/>
        </w:rPr>
      </w:pPr>
    </w:p>
    <w:p w14:paraId="222E941C"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Transport materiałów</w:t>
      </w:r>
    </w:p>
    <w:p w14:paraId="6FF4C64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Wykonawca jest obowiązany do stosowania takich środków transportu, które pozwolą uniknąć uszkodzeń i trwałych odkształceń przewożonych materiałów. Materiały na budowę powinny być przewożone zgodnie z przepisami BHP i ruchu drogowego.</w:t>
      </w:r>
    </w:p>
    <w:p w14:paraId="1C67259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Liczba środków transportu powinna gwarantować prowadzenie robot zgodnie z zasadami określonymi na Rysunkach, Specyfikacji i wskazaniach Inspektora Nadzoru w terminie przewidzianym kontraktem.</w:t>
      </w:r>
    </w:p>
    <w:p w14:paraId="3C195072"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lastRenderedPageBreak/>
        <w:t>Wykonawca przystępujący do przebudowy linii telekomunikacyjnych powinien wykazać się możliwością korzystania z następujących środków transportu w zależności od zakresu robót:</w:t>
      </w:r>
    </w:p>
    <w:p w14:paraId="322FE94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samochód skrzyniowy, do 3,5 t, 5 t, </w:t>
      </w:r>
    </w:p>
    <w:p w14:paraId="7315F82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samochód pomiarowy,</w:t>
      </w:r>
    </w:p>
    <w:p w14:paraId="2CDEC1F2"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samochód dostawczy do 0,9 t,</w:t>
      </w:r>
    </w:p>
    <w:p w14:paraId="78C3347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przyczepa dłużycowa do 4,5 t,</w:t>
      </w:r>
    </w:p>
    <w:p w14:paraId="73C05AA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przyczepa do przewozu kabli,</w:t>
      </w:r>
    </w:p>
    <w:p w14:paraId="35626CBE" w14:textId="77777777" w:rsidR="00BA0803" w:rsidRPr="00BA0803" w:rsidRDefault="00BA0803" w:rsidP="00BA0803">
      <w:pPr>
        <w:autoSpaceDE w:val="0"/>
        <w:autoSpaceDN w:val="0"/>
        <w:adjustRightInd w:val="0"/>
        <w:spacing w:after="0"/>
        <w:rPr>
          <w:rFonts w:ascii="Times New Roman" w:hAnsi="Times New Roman" w:cs="Times New Roman"/>
          <w:b/>
          <w:bCs/>
        </w:rPr>
      </w:pPr>
      <w:r w:rsidRPr="00BA0803">
        <w:rPr>
          <w:rFonts w:ascii="Times New Roman" w:hAnsi="Times New Roman" w:cs="Times New Roman"/>
        </w:rPr>
        <w:t>Na środkach transportu przewożone materiały i elementy powinny być zabezpieczone przed ich przemieszczaniem, układane zgodnie z warunkami transportu wydanymi przez wytwórcę dla poszczególnych elementów.</w:t>
      </w:r>
    </w:p>
    <w:p w14:paraId="1BF29828" w14:textId="77777777" w:rsidR="00BA0803" w:rsidRPr="00BA0803" w:rsidRDefault="00BA0803" w:rsidP="00BA0803">
      <w:pPr>
        <w:autoSpaceDE w:val="0"/>
        <w:autoSpaceDN w:val="0"/>
        <w:adjustRightInd w:val="0"/>
        <w:spacing w:after="0"/>
        <w:rPr>
          <w:rFonts w:ascii="Times New Roman" w:hAnsi="Times New Roman" w:cs="Times New Roman"/>
        </w:rPr>
      </w:pPr>
    </w:p>
    <w:p w14:paraId="44C3F5EC"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WYKONANIE ROBÓT</w:t>
      </w:r>
    </w:p>
    <w:p w14:paraId="2CBE2BD6"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Ogólne wymagania dotyczące wykonania robót podano w STWIORB DM.00.00.00.00 „Wymagania ogólne”.</w:t>
      </w:r>
    </w:p>
    <w:p w14:paraId="16A48710" w14:textId="77777777" w:rsidR="00BA0803" w:rsidRPr="00BA0803" w:rsidRDefault="00BA0803" w:rsidP="00BA0803">
      <w:pPr>
        <w:autoSpaceDE w:val="0"/>
        <w:autoSpaceDN w:val="0"/>
        <w:adjustRightInd w:val="0"/>
        <w:spacing w:after="0"/>
        <w:rPr>
          <w:rFonts w:ascii="Times New Roman" w:hAnsi="Times New Roman" w:cs="Times New Roman"/>
        </w:rPr>
      </w:pPr>
    </w:p>
    <w:p w14:paraId="40DE2DE1"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Odszkodowania, wejścia w teren</w:t>
      </w:r>
    </w:p>
    <w:p w14:paraId="2692EC0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Dla prac prowadzonych poza terenem pasa drogowego wykonawca winien: </w:t>
      </w:r>
    </w:p>
    <w:p w14:paraId="6D749EF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ustalić z właścicielem lub zarządzającym warunki szczegółowe wejścia w teren, </w:t>
      </w:r>
    </w:p>
    <w:p w14:paraId="2E03DB00"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ustalić stan terenu i sporządzić dokumentację stanu terenu przed przystąpieniem do  prac poza pasem drogowym, </w:t>
      </w:r>
    </w:p>
    <w:p w14:paraId="64F56457"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po wykonaniu prac doprowadzić teren do stanu przed wejściem m. innymi na podstawie wcześniejszej dokumentacji</w:t>
      </w:r>
    </w:p>
    <w:p w14:paraId="3517598A" w14:textId="77777777" w:rsidR="00BA0803" w:rsidRPr="00BA0803" w:rsidRDefault="00BA0803" w:rsidP="00BA0803">
      <w:pPr>
        <w:autoSpaceDE w:val="0"/>
        <w:autoSpaceDN w:val="0"/>
        <w:adjustRightInd w:val="0"/>
        <w:spacing w:after="0"/>
        <w:rPr>
          <w:rFonts w:ascii="Times New Roman" w:hAnsi="Times New Roman" w:cs="Times New Roman"/>
        </w:rPr>
      </w:pPr>
    </w:p>
    <w:p w14:paraId="5BD2C73E"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Roboty przygotowawcze</w:t>
      </w:r>
    </w:p>
    <w:p w14:paraId="403273A2" w14:textId="77777777" w:rsidR="00BA0803" w:rsidRPr="00BA0803" w:rsidRDefault="00BA0803" w:rsidP="00BA0803">
      <w:pPr>
        <w:pStyle w:val="Tekstpodstawowy"/>
        <w:rPr>
          <w:sz w:val="22"/>
          <w:szCs w:val="22"/>
        </w:rPr>
      </w:pPr>
      <w:r w:rsidRPr="00BA0803">
        <w:rPr>
          <w:sz w:val="22"/>
          <w:szCs w:val="22"/>
        </w:rPr>
        <w:t>Przed przystąpieniem do przebudowy linii, należy uzgodnić z ORANGE Polska S.A. sposób prowadzenia robót i ewentualny nadzór ze strony operatorów.</w:t>
      </w:r>
    </w:p>
    <w:p w14:paraId="6A8AED15"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Trasowanie</w:t>
      </w:r>
    </w:p>
    <w:p w14:paraId="6EB639A9" w14:textId="77777777" w:rsidR="00BA0803" w:rsidRPr="00BA0803" w:rsidRDefault="00BA0803" w:rsidP="00BA0803">
      <w:pPr>
        <w:pStyle w:val="Tekstpodstawowy"/>
        <w:rPr>
          <w:sz w:val="22"/>
          <w:szCs w:val="22"/>
        </w:rPr>
      </w:pPr>
      <w:r w:rsidRPr="00BA0803">
        <w:rPr>
          <w:sz w:val="22"/>
          <w:szCs w:val="22"/>
        </w:rPr>
        <w:t>Podstawę wytyczenia trasy linii stanowi dokumentacja geodezyjna. Wytyczenie trasy powinno być dokonane przez odpowiednie służby geodezyjne lub specjalną służbę przedsiębiorstwa wykonującego linię. Należy sprawdzić zgodność trasy z rozwiązaniem przyjętym w Dokumentacji Projektowej, sprawdzając, czy w terenie nie nastąpiły zmiany mogące wpłynąć na konieczność aktualizacji tras linii.</w:t>
      </w:r>
    </w:p>
    <w:p w14:paraId="5FCEEBF9"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Podbudowa linii</w:t>
      </w:r>
    </w:p>
    <w:p w14:paraId="203F98BC"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Podbudowę  linii  powinny  stanowić  słupy  zgodne z projektem.</w:t>
      </w:r>
    </w:p>
    <w:p w14:paraId="42D31FA4" w14:textId="77777777" w:rsidR="00BA0803" w:rsidRPr="00BA0803" w:rsidRDefault="00BA0803" w:rsidP="00BA0803">
      <w:pPr>
        <w:autoSpaceDE w:val="0"/>
        <w:autoSpaceDN w:val="0"/>
        <w:adjustRightInd w:val="0"/>
        <w:spacing w:after="0"/>
        <w:rPr>
          <w:rFonts w:ascii="Times New Roman" w:hAnsi="Times New Roman" w:cs="Times New Roman"/>
        </w:rPr>
      </w:pPr>
    </w:p>
    <w:p w14:paraId="3871AB06"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Głębokość zakopania słupów</w:t>
      </w:r>
    </w:p>
    <w:p w14:paraId="7BBAD3D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 warunkach normalnych głębokość zakopania słupów powinna być: </w:t>
      </w:r>
    </w:p>
    <w:p w14:paraId="495E47C2"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1,4÷1,5 m w gruncie twardym, </w:t>
      </w:r>
    </w:p>
    <w:p w14:paraId="40F3B72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1,7 m w gruncie średnim, </w:t>
      </w:r>
    </w:p>
    <w:p w14:paraId="60C6B05B"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1,9 m w gruncie miękkim. </w:t>
      </w:r>
    </w:p>
    <w:p w14:paraId="416874B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Przy zasypywaniu zagłębień wykonywanych wykopem otwartym, wszelkiego rodzaju wykopów pomocniczych oraz po demontowanych słupach telekomunikacyjnych, podporach  itp. zwrócić szczególną uwagę na zagęszczenie gruntu warstwami do uzyskania wskaźnika zagęszczenia minimum 0,97 potwierdzonego badaniem laboratoryjnym.  </w:t>
      </w:r>
    </w:p>
    <w:p w14:paraId="5F5177C6"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Wykopy zasypywać kolejnymi warstwami ziemi ubijanej warstwami co 20 cm.</w:t>
      </w:r>
    </w:p>
    <w:p w14:paraId="536CE016" w14:textId="77777777" w:rsidR="00BA0803" w:rsidRPr="00BA0803" w:rsidRDefault="00BA0803" w:rsidP="00BA0803">
      <w:pPr>
        <w:autoSpaceDE w:val="0"/>
        <w:autoSpaceDN w:val="0"/>
        <w:adjustRightInd w:val="0"/>
        <w:spacing w:after="0"/>
        <w:rPr>
          <w:rFonts w:ascii="Times New Roman" w:hAnsi="Times New Roman" w:cs="Times New Roman"/>
        </w:rPr>
      </w:pPr>
    </w:p>
    <w:p w14:paraId="12DDA12F"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Zabezpieczenie wprowadzeń</w:t>
      </w:r>
    </w:p>
    <w:p w14:paraId="5B7D3ED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Zabezpieczenie wprowadzeń na słup kablowy należy wykonać zgodnie z normami ZN-OPL-036/15 i ZN-OPL-037/10.</w:t>
      </w:r>
    </w:p>
    <w:p w14:paraId="6EE0DC34" w14:textId="77777777" w:rsidR="00BA0803" w:rsidRPr="00BA0803" w:rsidRDefault="00BA0803" w:rsidP="00BA0803">
      <w:pPr>
        <w:autoSpaceDE w:val="0"/>
        <w:autoSpaceDN w:val="0"/>
        <w:adjustRightInd w:val="0"/>
        <w:spacing w:after="0"/>
        <w:rPr>
          <w:rFonts w:ascii="Times New Roman" w:hAnsi="Times New Roman" w:cs="Times New Roman"/>
        </w:rPr>
      </w:pPr>
    </w:p>
    <w:p w14:paraId="436C9AC5"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Zawieszenie kabli</w:t>
      </w:r>
    </w:p>
    <w:p w14:paraId="387A565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Kable nadziemne należy zawieszać na słupach teletechnicznych jako punktach wsporczych. </w:t>
      </w:r>
    </w:p>
    <w:p w14:paraId="484F8BEB" w14:textId="77777777" w:rsid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 zależności od charakteru linii jej zakończenie może być zrealizowane w skrzynce kablowej. Tory linii nadziemnej powinny być zabezpieczone wg  ZN-OPL-027/96. p.8. </w:t>
      </w:r>
    </w:p>
    <w:p w14:paraId="2EB78C51" w14:textId="77777777" w:rsidR="00AD0055" w:rsidRPr="00BA0803" w:rsidRDefault="00AD0055" w:rsidP="00BA0803">
      <w:pPr>
        <w:autoSpaceDE w:val="0"/>
        <w:autoSpaceDN w:val="0"/>
        <w:adjustRightInd w:val="0"/>
        <w:spacing w:after="0"/>
        <w:rPr>
          <w:rFonts w:ascii="Times New Roman" w:hAnsi="Times New Roman" w:cs="Times New Roman"/>
        </w:rPr>
      </w:pPr>
    </w:p>
    <w:p w14:paraId="528EC003" w14:textId="77777777" w:rsidR="00BA0803" w:rsidRPr="00BA0803" w:rsidRDefault="00BA0803" w:rsidP="00904E6C">
      <w:pPr>
        <w:pStyle w:val="Akapitzlist"/>
        <w:numPr>
          <w:ilvl w:val="1"/>
          <w:numId w:val="310"/>
        </w:numPr>
        <w:overflowPunct/>
        <w:autoSpaceDE/>
        <w:autoSpaceDN/>
        <w:adjustRightInd/>
        <w:jc w:val="left"/>
        <w:textAlignment w:val="auto"/>
        <w:rPr>
          <w:b/>
          <w:sz w:val="22"/>
          <w:szCs w:val="22"/>
        </w:rPr>
      </w:pPr>
      <w:r w:rsidRPr="00BA0803">
        <w:rPr>
          <w:b/>
          <w:sz w:val="22"/>
          <w:szCs w:val="22"/>
        </w:rPr>
        <w:t>Wprowadzenie kabli na słupy kablowe</w:t>
      </w:r>
    </w:p>
    <w:p w14:paraId="496922F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Odcinek kabla miedzianego wprowadzony do skrzynki kablowej na słupie linii napowietrznej powinien być zabezpieczony rurą ochronną HDPE-UV 40/3,7 do wysokości 3 m w górę i 0,5 m w dół od powierzchni terenu. Przy słupie powinien być ułożony zapas kabla zgodnie z BN-72/8984-22.  </w:t>
      </w:r>
    </w:p>
    <w:p w14:paraId="616EF21C"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Wprowadzone na słup kable należy zakończyć łączówką (wykonanie wg  ZN-OPL-032/05), mocowaną w skrzynce kablowej wykonanej wg ZN-OPL-033/17. </w:t>
      </w:r>
    </w:p>
    <w:p w14:paraId="784B059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Zabezpieczenie kabli wprowadzonych na słupy od wyładowań atmosferycznych i oddziaływań linii elektroenergetycznych powinno odpowiadać wymaganiom wg BN-72/8984-22 oraz ZN-OPL-027/96. p.8 Ochrona linii kablowych.</w:t>
      </w:r>
    </w:p>
    <w:p w14:paraId="712287DC" w14:textId="77777777" w:rsidR="00BA0803" w:rsidRPr="00BA0803" w:rsidRDefault="00BA0803" w:rsidP="00BA0803">
      <w:pPr>
        <w:autoSpaceDE w:val="0"/>
        <w:autoSpaceDN w:val="0"/>
        <w:adjustRightInd w:val="0"/>
        <w:spacing w:after="0"/>
        <w:rPr>
          <w:rFonts w:ascii="Times New Roman" w:hAnsi="Times New Roman" w:cs="Times New Roman"/>
        </w:rPr>
      </w:pPr>
    </w:p>
    <w:p w14:paraId="54C2F5A3" w14:textId="77777777" w:rsidR="00BA0803" w:rsidRPr="00BA0803" w:rsidRDefault="00BA0803" w:rsidP="00904E6C">
      <w:pPr>
        <w:pStyle w:val="Akapitzlist"/>
        <w:numPr>
          <w:ilvl w:val="1"/>
          <w:numId w:val="310"/>
        </w:numPr>
        <w:tabs>
          <w:tab w:val="left" w:pos="993"/>
        </w:tabs>
        <w:overflowPunct/>
        <w:ind w:left="426" w:firstLine="0"/>
        <w:jc w:val="left"/>
        <w:textAlignment w:val="auto"/>
        <w:rPr>
          <w:sz w:val="22"/>
          <w:szCs w:val="22"/>
        </w:rPr>
      </w:pPr>
      <w:r w:rsidRPr="00BA0803">
        <w:rPr>
          <w:b/>
          <w:sz w:val="22"/>
          <w:szCs w:val="22"/>
        </w:rPr>
        <w:t>Zakończenie kabli miedzianych na głowicach kablowych</w:t>
      </w:r>
    </w:p>
    <w:p w14:paraId="56564BA6" w14:textId="77777777" w:rsidR="00BA0803" w:rsidRPr="00BA0803" w:rsidRDefault="00BA0803" w:rsidP="00BA0803">
      <w:pPr>
        <w:pStyle w:val="Akapitzlist"/>
        <w:tabs>
          <w:tab w:val="left" w:pos="993"/>
        </w:tabs>
        <w:ind w:left="0"/>
        <w:rPr>
          <w:sz w:val="22"/>
          <w:szCs w:val="22"/>
        </w:rPr>
      </w:pPr>
      <w:r w:rsidRPr="00BA0803">
        <w:rPr>
          <w:sz w:val="22"/>
          <w:szCs w:val="22"/>
        </w:rPr>
        <w:t>Kable telekomunikacyjny w skrzynce powinien być zakończony na łączówce wg ZN-OPL-032/05. Metalowe pudła lub konstrukcje wsporcze powinny być uziemione.  Sposób  wykonania  uziemienia  powinien  być  zgodny  z  wymaganiami  normy  ZN-OPL-037/10. Łączówki powinny być tak umieszczone, aby nie było utrudnione wykonywanie prac instalacyjnych i konserwacyjnych.</w:t>
      </w:r>
    </w:p>
    <w:p w14:paraId="47A10C8D" w14:textId="77777777" w:rsidR="00BA0803" w:rsidRPr="00BA0803" w:rsidRDefault="00BA0803" w:rsidP="00BA0803">
      <w:pPr>
        <w:pStyle w:val="Akapitzlist"/>
        <w:tabs>
          <w:tab w:val="left" w:pos="993"/>
        </w:tabs>
        <w:ind w:left="0"/>
        <w:rPr>
          <w:sz w:val="22"/>
          <w:szCs w:val="22"/>
        </w:rPr>
      </w:pPr>
    </w:p>
    <w:p w14:paraId="086B509F" w14:textId="77777777" w:rsidR="00BA0803" w:rsidRPr="00BA0803" w:rsidRDefault="00BA0803" w:rsidP="00904E6C">
      <w:pPr>
        <w:pStyle w:val="Akapitzlist"/>
        <w:numPr>
          <w:ilvl w:val="1"/>
          <w:numId w:val="310"/>
        </w:numPr>
        <w:tabs>
          <w:tab w:val="left" w:pos="993"/>
        </w:tabs>
        <w:overflowPunct/>
        <w:jc w:val="left"/>
        <w:textAlignment w:val="auto"/>
        <w:rPr>
          <w:sz w:val="22"/>
          <w:szCs w:val="22"/>
        </w:rPr>
      </w:pPr>
      <w:r w:rsidRPr="00BA0803">
        <w:rPr>
          <w:b/>
          <w:sz w:val="22"/>
          <w:szCs w:val="22"/>
        </w:rPr>
        <w:t>Skrzyżowania i zbliżenia z liniami kablowymi elektroenergetycznymi</w:t>
      </w:r>
    </w:p>
    <w:p w14:paraId="18009D9C" w14:textId="77777777" w:rsidR="00BA0803" w:rsidRPr="00BA0803" w:rsidRDefault="00BA0803" w:rsidP="00BA0803">
      <w:pPr>
        <w:pStyle w:val="Tekstpodstawowywcity31"/>
        <w:rPr>
          <w:rFonts w:ascii="Times New Roman" w:hAnsi="Times New Roman"/>
          <w:sz w:val="22"/>
          <w:szCs w:val="22"/>
        </w:rPr>
      </w:pPr>
      <w:r w:rsidRPr="00BA0803">
        <w:rPr>
          <w:rFonts w:ascii="Times New Roman" w:hAnsi="Times New Roman"/>
          <w:sz w:val="22"/>
          <w:szCs w:val="22"/>
        </w:rPr>
        <w:t>Skrzyżowania i zbliżenia linii telekomunikacyjnych z kablowymi liniami elektroenergetycznymi powinny być wykonane wg wymagań N-SEP-E-004.</w:t>
      </w:r>
    </w:p>
    <w:p w14:paraId="6AAB25D6" w14:textId="77777777" w:rsidR="00BA0803" w:rsidRPr="00BA0803" w:rsidRDefault="00BA0803" w:rsidP="00BA0803">
      <w:pPr>
        <w:pStyle w:val="Tekstpodstawowywcity31"/>
        <w:rPr>
          <w:rFonts w:ascii="Times New Roman" w:hAnsi="Times New Roman"/>
          <w:sz w:val="22"/>
          <w:szCs w:val="22"/>
        </w:rPr>
      </w:pPr>
    </w:p>
    <w:p w14:paraId="42D77D7A" w14:textId="77777777" w:rsidR="00BA0803" w:rsidRPr="00BA0803" w:rsidRDefault="00BA0803" w:rsidP="00904E6C">
      <w:pPr>
        <w:pStyle w:val="Akapitzlist"/>
        <w:numPr>
          <w:ilvl w:val="1"/>
          <w:numId w:val="310"/>
        </w:numPr>
        <w:tabs>
          <w:tab w:val="left" w:pos="993"/>
        </w:tabs>
        <w:overflowPunct/>
        <w:jc w:val="left"/>
        <w:textAlignment w:val="auto"/>
        <w:rPr>
          <w:sz w:val="22"/>
          <w:szCs w:val="22"/>
        </w:rPr>
      </w:pPr>
      <w:r w:rsidRPr="00BA0803">
        <w:rPr>
          <w:b/>
          <w:sz w:val="22"/>
          <w:szCs w:val="22"/>
        </w:rPr>
        <w:t>Demontaż linii</w:t>
      </w:r>
    </w:p>
    <w:p w14:paraId="5FF57906"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Demontaż polega na: </w:t>
      </w:r>
    </w:p>
    <w:p w14:paraId="6730D4DC"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demontażu przewodów ze słupów, </w:t>
      </w:r>
    </w:p>
    <w:p w14:paraId="5762FB86"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sprawdzeniu stanu przewodów i ich posegregowaniu, </w:t>
      </w:r>
    </w:p>
    <w:p w14:paraId="0B582A56"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demontażu osprzętu, </w:t>
      </w:r>
    </w:p>
    <w:p w14:paraId="505CD2DF"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wykonaniu wykopów wokół słupa, </w:t>
      </w:r>
    </w:p>
    <w:p w14:paraId="1412A69B"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wyjęciu słupa z wykopu, </w:t>
      </w:r>
    </w:p>
    <w:p w14:paraId="2A8E49DF"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zasypaniu wykopu i uporządkowanie terenu. </w:t>
      </w:r>
    </w:p>
    <w:p w14:paraId="2FB4C761"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Odłączone  odcinki  linii  należy  usunąć.  Materiały  pochodzące  z  demontażu  należy  przekazać właścicielowi  sieci  telekomunikacyjnej.  Wyłączone  odcinki  sieci  należy  również  „usunąć”  z  map geodezyjnych lub zaznaczyć jako „nieczynne”.</w:t>
      </w:r>
    </w:p>
    <w:p w14:paraId="4551A623" w14:textId="77777777" w:rsidR="00BA0803" w:rsidRPr="00BA0803" w:rsidRDefault="00BA0803" w:rsidP="00BA0803">
      <w:pPr>
        <w:pStyle w:val="Akapitzlist"/>
        <w:tabs>
          <w:tab w:val="left" w:pos="993"/>
        </w:tabs>
        <w:ind w:left="0"/>
        <w:rPr>
          <w:sz w:val="22"/>
          <w:szCs w:val="22"/>
        </w:rPr>
      </w:pPr>
    </w:p>
    <w:p w14:paraId="685F54A5"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KONTROLA JAKOŚCI ROBÓT</w:t>
      </w:r>
    </w:p>
    <w:p w14:paraId="2C3F262B"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Celem kontroli jest stwierdzenie osiągnięcia założeń jakości wykonywanych robót. Wykonawca robót ma obowiązek wykonania pełnego zakresu badań na budowie w celu zgodności dostarczonych materiałów i realizowanych robót </w:t>
      </w:r>
      <w:r w:rsidRPr="00BA0803">
        <w:rPr>
          <w:rFonts w:ascii="Times New Roman" w:hAnsi="Times New Roman" w:cs="Times New Roman"/>
        </w:rPr>
        <w:br/>
        <w:t>z Dokumentacją Projektową.</w:t>
      </w:r>
    </w:p>
    <w:p w14:paraId="0DA80C80"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Przed przystąpieniem do badania kabli teletechnicznych Wykonawca powinien powiadomić Inspektora Nadzoru o rodzaju </w:t>
      </w:r>
      <w:r w:rsidRPr="00BA0803">
        <w:rPr>
          <w:rFonts w:ascii="Times New Roman" w:hAnsi="Times New Roman" w:cs="Times New Roman"/>
        </w:rPr>
        <w:br/>
        <w:t xml:space="preserve">i terminie badań. Po wykonaniu badania Wykonawca przedstawia na piśmie wyniki badań do akceptacji. </w:t>
      </w:r>
    </w:p>
    <w:p w14:paraId="02F44BEB"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Wykonawca powiadamia pisemnie o zakończeniu każdej roboty zanikającej, którą może kontynuować dopiero po pisemnej akceptacji odbioru przez Inspektora Nadzoru.</w:t>
      </w:r>
    </w:p>
    <w:p w14:paraId="7111196F"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Kontrola jakości robót telekomunikacyjnych powinna odbywać się w obecności przedstawiciela operatora.</w:t>
      </w:r>
    </w:p>
    <w:p w14:paraId="3809B7D4"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p>
    <w:p w14:paraId="67DE1E33" w14:textId="77777777" w:rsidR="00BA0803" w:rsidRPr="006D3392" w:rsidRDefault="00BA0803" w:rsidP="00904E6C">
      <w:pPr>
        <w:pStyle w:val="Akapitzlist"/>
        <w:numPr>
          <w:ilvl w:val="1"/>
          <w:numId w:val="310"/>
        </w:numPr>
        <w:tabs>
          <w:tab w:val="left" w:pos="993"/>
        </w:tabs>
        <w:overflowPunct/>
        <w:jc w:val="left"/>
        <w:textAlignment w:val="auto"/>
        <w:rPr>
          <w:b/>
          <w:sz w:val="22"/>
          <w:szCs w:val="22"/>
        </w:rPr>
      </w:pPr>
      <w:r w:rsidRPr="006D3392">
        <w:rPr>
          <w:b/>
          <w:sz w:val="22"/>
          <w:szCs w:val="22"/>
        </w:rPr>
        <w:lastRenderedPageBreak/>
        <w:t xml:space="preserve"> Kontrola jakości wykonania linii telekomunikacyjnej</w:t>
      </w:r>
    </w:p>
    <w:p w14:paraId="4F3970BB" w14:textId="77777777" w:rsidR="00BA0803" w:rsidRPr="00BA0803" w:rsidRDefault="00BA0803" w:rsidP="00BA0803">
      <w:pPr>
        <w:pStyle w:val="Tekstpodstawowy"/>
        <w:rPr>
          <w:sz w:val="22"/>
          <w:szCs w:val="22"/>
        </w:rPr>
      </w:pPr>
      <w:r w:rsidRPr="00BA0803">
        <w:rPr>
          <w:b/>
          <w:sz w:val="22"/>
          <w:szCs w:val="22"/>
        </w:rPr>
        <w:t xml:space="preserve">Sprawdzenie głębokości zakopania słupów </w:t>
      </w:r>
      <w:r w:rsidRPr="00BA0803">
        <w:rPr>
          <w:sz w:val="22"/>
          <w:szCs w:val="22"/>
        </w:rPr>
        <w:t>polega na zbadaniu:</w:t>
      </w:r>
    </w:p>
    <w:p w14:paraId="69A6867B" w14:textId="77777777" w:rsidR="00BA0803" w:rsidRPr="00BA0803" w:rsidRDefault="00BA0803" w:rsidP="00904E6C">
      <w:pPr>
        <w:pStyle w:val="Tekstpodstawowy"/>
        <w:numPr>
          <w:ilvl w:val="0"/>
          <w:numId w:val="312"/>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BA0803">
        <w:rPr>
          <w:sz w:val="22"/>
          <w:szCs w:val="22"/>
        </w:rPr>
        <w:t>ustoju i głębokości zakopania słupów,</w:t>
      </w:r>
    </w:p>
    <w:p w14:paraId="348200A4" w14:textId="77777777" w:rsidR="00BA0803" w:rsidRPr="00BA0803" w:rsidRDefault="00BA0803" w:rsidP="00BA0803">
      <w:pPr>
        <w:pStyle w:val="Tekstpodstawowy"/>
        <w:rPr>
          <w:sz w:val="22"/>
          <w:szCs w:val="22"/>
        </w:rPr>
      </w:pPr>
      <w:r w:rsidRPr="00BA0803">
        <w:rPr>
          <w:sz w:val="22"/>
          <w:szCs w:val="22"/>
        </w:rPr>
        <w:t>Sprawdzenie głębokości zakopania słupów powinno odbywać się przez pomiar części nadziemnej słupa w miejscach wskazanych przez komisję.</w:t>
      </w:r>
    </w:p>
    <w:p w14:paraId="7A5F52E4" w14:textId="77777777" w:rsidR="00BA0803" w:rsidRPr="00BA0803" w:rsidRDefault="00BA0803" w:rsidP="00BA0803">
      <w:pPr>
        <w:pStyle w:val="Tekstpodstawowy"/>
        <w:rPr>
          <w:sz w:val="22"/>
          <w:szCs w:val="22"/>
        </w:rPr>
      </w:pPr>
      <w:r w:rsidRPr="00BA0803">
        <w:rPr>
          <w:b/>
          <w:sz w:val="22"/>
          <w:szCs w:val="22"/>
        </w:rPr>
        <w:t>Sprawdzenie montażu osprzętu</w:t>
      </w:r>
      <w:r w:rsidRPr="00BA0803">
        <w:rPr>
          <w:sz w:val="22"/>
          <w:szCs w:val="22"/>
        </w:rPr>
        <w:t xml:space="preserve"> polega na zbadaniu:</w:t>
      </w:r>
    </w:p>
    <w:p w14:paraId="35FBE153" w14:textId="77777777" w:rsidR="00BA0803" w:rsidRPr="00BA0803" w:rsidRDefault="00BA0803" w:rsidP="00904E6C">
      <w:pPr>
        <w:pStyle w:val="Tekstpodstawowy"/>
        <w:numPr>
          <w:ilvl w:val="0"/>
          <w:numId w:val="311"/>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BA0803">
        <w:rPr>
          <w:sz w:val="22"/>
          <w:szCs w:val="22"/>
        </w:rPr>
        <w:t>zastosowanego osprzętu,</w:t>
      </w:r>
    </w:p>
    <w:p w14:paraId="1B000798" w14:textId="77777777" w:rsidR="00BA0803" w:rsidRPr="00BA0803" w:rsidRDefault="00BA0803" w:rsidP="00904E6C">
      <w:pPr>
        <w:pStyle w:val="Tekstpodstawowy"/>
        <w:numPr>
          <w:ilvl w:val="0"/>
          <w:numId w:val="311"/>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BA0803">
        <w:rPr>
          <w:sz w:val="22"/>
          <w:szCs w:val="22"/>
        </w:rPr>
        <w:t>montażu osprzętu.</w:t>
      </w:r>
    </w:p>
    <w:p w14:paraId="6B300EE9" w14:textId="77777777" w:rsidR="00BA0803" w:rsidRPr="00BA0803" w:rsidRDefault="00BA0803" w:rsidP="00BA0803">
      <w:pPr>
        <w:pStyle w:val="Tekstpodstawowy"/>
        <w:rPr>
          <w:sz w:val="22"/>
          <w:szCs w:val="22"/>
        </w:rPr>
      </w:pPr>
      <w:r w:rsidRPr="00BA0803">
        <w:rPr>
          <w:b/>
          <w:sz w:val="22"/>
          <w:szCs w:val="22"/>
        </w:rPr>
        <w:t>Sprawdzenie jakości montażu i rodzaju zastosowanych kabli</w:t>
      </w:r>
      <w:r w:rsidRPr="00BA0803">
        <w:rPr>
          <w:sz w:val="22"/>
          <w:szCs w:val="22"/>
        </w:rPr>
        <w:t xml:space="preserve"> polega na zbadaniu:</w:t>
      </w:r>
    </w:p>
    <w:p w14:paraId="2DB8DF6E" w14:textId="77777777" w:rsidR="00BA0803" w:rsidRPr="00BA0803" w:rsidRDefault="00BA0803" w:rsidP="00904E6C">
      <w:pPr>
        <w:pStyle w:val="Tekstpodstawowy"/>
        <w:numPr>
          <w:ilvl w:val="0"/>
          <w:numId w:val="313"/>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BA0803">
        <w:rPr>
          <w:sz w:val="22"/>
          <w:szCs w:val="22"/>
        </w:rPr>
        <w:t>montażu kabli,</w:t>
      </w:r>
    </w:p>
    <w:p w14:paraId="28605043" w14:textId="77777777" w:rsidR="00BA0803" w:rsidRPr="00BA0803" w:rsidRDefault="00BA0803" w:rsidP="00904E6C">
      <w:pPr>
        <w:pStyle w:val="Tekstpodstawowy"/>
        <w:numPr>
          <w:ilvl w:val="0"/>
          <w:numId w:val="313"/>
        </w:num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rPr>
          <w:sz w:val="22"/>
          <w:szCs w:val="22"/>
        </w:rPr>
      </w:pPr>
      <w:r w:rsidRPr="00BA0803">
        <w:rPr>
          <w:sz w:val="22"/>
          <w:szCs w:val="22"/>
        </w:rPr>
        <w:t>zastosowania kabli zgodnie z Dokumentacją Projektową.</w:t>
      </w:r>
    </w:p>
    <w:p w14:paraId="11F3D0E4"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p>
    <w:p w14:paraId="51A1774B" w14:textId="77777777" w:rsidR="00BA0803" w:rsidRPr="006D3392" w:rsidRDefault="00BA0803" w:rsidP="00904E6C">
      <w:pPr>
        <w:pStyle w:val="Akapitzlist"/>
        <w:numPr>
          <w:ilvl w:val="1"/>
          <w:numId w:val="310"/>
        </w:numPr>
        <w:tabs>
          <w:tab w:val="left" w:pos="993"/>
        </w:tabs>
        <w:overflowPunct/>
        <w:jc w:val="left"/>
        <w:textAlignment w:val="auto"/>
        <w:rPr>
          <w:b/>
          <w:sz w:val="22"/>
          <w:szCs w:val="22"/>
        </w:rPr>
      </w:pPr>
      <w:r w:rsidRPr="006D3392">
        <w:rPr>
          <w:b/>
          <w:sz w:val="22"/>
          <w:szCs w:val="22"/>
        </w:rPr>
        <w:t xml:space="preserve"> Ocena wyników badań</w:t>
      </w:r>
    </w:p>
    <w:p w14:paraId="3A6A687D" w14:textId="77777777" w:rsidR="00BA0803" w:rsidRPr="00BA0803" w:rsidRDefault="00BA0803" w:rsidP="00BA0803">
      <w:pPr>
        <w:pStyle w:val="Tekstpodstawowy"/>
        <w:rPr>
          <w:sz w:val="22"/>
          <w:szCs w:val="22"/>
        </w:rPr>
      </w:pPr>
      <w:r w:rsidRPr="00BA0803">
        <w:rPr>
          <w:sz w:val="22"/>
          <w:szCs w:val="22"/>
        </w:rPr>
        <w:t xml:space="preserve">Przedstawioną do odbioru telekomunikacyjną linię napowietrzną należy uznać za wykonaną zgodnie </w:t>
      </w:r>
      <w:r w:rsidRPr="00BA0803">
        <w:rPr>
          <w:sz w:val="22"/>
          <w:szCs w:val="22"/>
        </w:rPr>
        <w:br/>
        <w:t>z wymaganiami normy, jeżeli badania podane wyżej dały wyniki pozytywne.</w:t>
      </w:r>
    </w:p>
    <w:p w14:paraId="1F3760FF"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r w:rsidRPr="00BA0803">
        <w:rPr>
          <w:rFonts w:ascii="Times New Roman" w:hAnsi="Times New Roman" w:cs="Times New Roman"/>
        </w:rPr>
        <w:t>Elementy linii, które w wyniku przeprowadzonych badań otrzymały ocenę ujemną, powinny być poprawione lub wymienione i ponownie zgłoszone do odbioru.</w:t>
      </w:r>
    </w:p>
    <w:p w14:paraId="2A90EB75" w14:textId="77777777" w:rsidR="00BA0803" w:rsidRPr="00BA0803" w:rsidRDefault="00BA0803" w:rsidP="00BA0803">
      <w:pPr>
        <w:tabs>
          <w:tab w:val="left" w:pos="993"/>
        </w:tabs>
        <w:autoSpaceDE w:val="0"/>
        <w:autoSpaceDN w:val="0"/>
        <w:adjustRightInd w:val="0"/>
        <w:spacing w:after="0"/>
        <w:rPr>
          <w:rFonts w:ascii="Times New Roman" w:hAnsi="Times New Roman" w:cs="Times New Roman"/>
        </w:rPr>
      </w:pPr>
    </w:p>
    <w:p w14:paraId="14A5B2A9"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OBMIAR ROBÓT</w:t>
      </w:r>
    </w:p>
    <w:p w14:paraId="33C3B7FD" w14:textId="77777777" w:rsidR="00BA0803" w:rsidRPr="00BA0803" w:rsidRDefault="00BA0803" w:rsidP="00BA0803">
      <w:pPr>
        <w:pStyle w:val="Tekstpodstawowywcity31"/>
        <w:rPr>
          <w:rFonts w:ascii="Times New Roman" w:hAnsi="Times New Roman"/>
          <w:sz w:val="22"/>
          <w:szCs w:val="22"/>
        </w:rPr>
      </w:pPr>
      <w:r w:rsidRPr="00BA0803">
        <w:rPr>
          <w:rFonts w:ascii="Times New Roman" w:hAnsi="Times New Roman"/>
          <w:sz w:val="22"/>
          <w:szCs w:val="22"/>
        </w:rPr>
        <w:t>Ogólne zasady obmiaru robót podano w STWiORB 00.00.00.”Wymagania ogólne”.</w:t>
      </w:r>
    </w:p>
    <w:p w14:paraId="76764065" w14:textId="77777777" w:rsidR="00BA0803" w:rsidRPr="00BA0803" w:rsidRDefault="00BA0803" w:rsidP="00BA0803">
      <w:pPr>
        <w:pStyle w:val="Tekstpodstawowywcity31"/>
        <w:rPr>
          <w:rFonts w:ascii="Times New Roman" w:hAnsi="Times New Roman"/>
          <w:sz w:val="22"/>
          <w:szCs w:val="22"/>
        </w:rPr>
      </w:pPr>
    </w:p>
    <w:p w14:paraId="31915A94" w14:textId="77777777" w:rsidR="00BA0803" w:rsidRPr="00BA0803" w:rsidRDefault="00BA0803" w:rsidP="00904E6C">
      <w:pPr>
        <w:pStyle w:val="Akapitzlist"/>
        <w:numPr>
          <w:ilvl w:val="1"/>
          <w:numId w:val="310"/>
        </w:numPr>
        <w:tabs>
          <w:tab w:val="left" w:pos="993"/>
        </w:tabs>
        <w:overflowPunct/>
        <w:jc w:val="left"/>
        <w:textAlignment w:val="auto"/>
        <w:rPr>
          <w:b/>
          <w:sz w:val="22"/>
          <w:szCs w:val="22"/>
        </w:rPr>
      </w:pPr>
      <w:r w:rsidRPr="00BA0803">
        <w:rPr>
          <w:b/>
          <w:sz w:val="22"/>
          <w:szCs w:val="22"/>
        </w:rPr>
        <w:t>Jednostka obmiarowa</w:t>
      </w:r>
    </w:p>
    <w:p w14:paraId="304CAB38" w14:textId="77777777" w:rsidR="00BA0803" w:rsidRPr="00BA0803" w:rsidRDefault="00BA0803" w:rsidP="00BA0803">
      <w:pPr>
        <w:pStyle w:val="Akapitzlist"/>
        <w:ind w:left="750"/>
        <w:jc w:val="left"/>
        <w:rPr>
          <w:b/>
          <w:sz w:val="22"/>
          <w:szCs w:val="22"/>
        </w:rPr>
      </w:pPr>
    </w:p>
    <w:p w14:paraId="085159D1" w14:textId="77777777" w:rsidR="00BA0803" w:rsidRPr="00BA0803" w:rsidRDefault="00BA0803" w:rsidP="00BA0803">
      <w:pPr>
        <w:pStyle w:val="Tekstpodstawowy"/>
        <w:spacing w:after="0"/>
        <w:rPr>
          <w:sz w:val="22"/>
          <w:szCs w:val="22"/>
        </w:rPr>
      </w:pPr>
      <w:r w:rsidRPr="00BA0803">
        <w:rPr>
          <w:sz w:val="22"/>
          <w:szCs w:val="22"/>
        </w:rPr>
        <w:t>Jednostką obmiarową budowy słupa jest 1 szt. [sztuka].</w:t>
      </w:r>
    </w:p>
    <w:p w14:paraId="33EF4B91" w14:textId="77777777" w:rsidR="00BA0803" w:rsidRPr="00BA0803" w:rsidRDefault="00BA0803" w:rsidP="00BA0803">
      <w:pPr>
        <w:pStyle w:val="Tekstpodstawowy"/>
        <w:spacing w:after="0"/>
        <w:rPr>
          <w:sz w:val="22"/>
          <w:szCs w:val="22"/>
        </w:rPr>
      </w:pPr>
      <w:r w:rsidRPr="00BA0803">
        <w:rPr>
          <w:sz w:val="22"/>
          <w:szCs w:val="22"/>
        </w:rPr>
        <w:t>Jednostką obmiarową wprowadzenia kabla na słup jest 1 szt. [sztuka]</w:t>
      </w:r>
    </w:p>
    <w:p w14:paraId="7E32CCB1" w14:textId="77777777" w:rsidR="00BA0803" w:rsidRPr="00BA0803" w:rsidRDefault="00BA0803" w:rsidP="00BA0803">
      <w:pPr>
        <w:pStyle w:val="Tekstpodstawowy"/>
        <w:spacing w:after="0"/>
        <w:rPr>
          <w:sz w:val="22"/>
          <w:szCs w:val="22"/>
        </w:rPr>
      </w:pPr>
      <w:r w:rsidRPr="00BA0803">
        <w:rPr>
          <w:sz w:val="22"/>
          <w:szCs w:val="22"/>
        </w:rPr>
        <w:t>Jednostką obmiarową umocowania rury na słupie jest 1 szt. [sztuka]</w:t>
      </w:r>
    </w:p>
    <w:p w14:paraId="7DE3AC64" w14:textId="77777777" w:rsidR="00BA0803" w:rsidRPr="00BA0803" w:rsidRDefault="00BA0803" w:rsidP="00BA0803">
      <w:pPr>
        <w:pStyle w:val="Tekstpodstawowy"/>
        <w:spacing w:after="0"/>
        <w:rPr>
          <w:sz w:val="22"/>
          <w:szCs w:val="22"/>
        </w:rPr>
      </w:pPr>
      <w:r w:rsidRPr="00BA0803">
        <w:rPr>
          <w:sz w:val="22"/>
          <w:szCs w:val="22"/>
        </w:rPr>
        <w:t>Jednostką obmiarową montażu łączówek jest 1 szt. [sztuka]</w:t>
      </w:r>
    </w:p>
    <w:p w14:paraId="22596F8B" w14:textId="77777777" w:rsidR="00BA0803" w:rsidRPr="00BA0803" w:rsidRDefault="00BA0803" w:rsidP="00BA0803">
      <w:pPr>
        <w:pStyle w:val="Tekstpodstawowy"/>
        <w:spacing w:after="0"/>
        <w:rPr>
          <w:sz w:val="22"/>
          <w:szCs w:val="22"/>
        </w:rPr>
      </w:pPr>
      <w:r w:rsidRPr="00BA0803">
        <w:rPr>
          <w:sz w:val="22"/>
          <w:szCs w:val="22"/>
        </w:rPr>
        <w:t>Jednostką obmiarową montażu skrzynki słupowej jest 1 szt [sztuka].</w:t>
      </w:r>
    </w:p>
    <w:p w14:paraId="5C18DAAC" w14:textId="77777777" w:rsidR="00BA0803" w:rsidRPr="00BA0803" w:rsidRDefault="00BA0803" w:rsidP="00BA0803">
      <w:pPr>
        <w:pStyle w:val="Tekstpodstawowy"/>
        <w:spacing w:after="0"/>
        <w:rPr>
          <w:sz w:val="22"/>
          <w:szCs w:val="22"/>
        </w:rPr>
      </w:pPr>
      <w:r w:rsidRPr="00BA0803">
        <w:rPr>
          <w:sz w:val="22"/>
          <w:szCs w:val="22"/>
        </w:rPr>
        <w:t>Jednostką obmiarową montażu kabli napowietrznych jest 1 [metr].</w:t>
      </w:r>
    </w:p>
    <w:p w14:paraId="4089D4A5" w14:textId="77777777" w:rsidR="00BA0803" w:rsidRPr="00BA0803" w:rsidRDefault="00BA0803" w:rsidP="00BA0803">
      <w:pPr>
        <w:pStyle w:val="Tekstpodstawowy"/>
        <w:spacing w:after="0"/>
        <w:rPr>
          <w:sz w:val="22"/>
          <w:szCs w:val="22"/>
        </w:rPr>
      </w:pPr>
      <w:r w:rsidRPr="00BA0803">
        <w:rPr>
          <w:sz w:val="22"/>
          <w:szCs w:val="22"/>
        </w:rPr>
        <w:t>Jednostką obmiarową demontażu słupa jest 1 szt. [sztuka].</w:t>
      </w:r>
    </w:p>
    <w:p w14:paraId="02AFA7D2" w14:textId="77777777" w:rsidR="00BA0803" w:rsidRPr="00BA0803" w:rsidRDefault="00BA0803" w:rsidP="00BA0803">
      <w:pPr>
        <w:pStyle w:val="Tekstpodstawowy"/>
        <w:spacing w:after="0"/>
        <w:rPr>
          <w:sz w:val="22"/>
          <w:szCs w:val="22"/>
        </w:rPr>
      </w:pPr>
      <w:r w:rsidRPr="00BA0803">
        <w:rPr>
          <w:sz w:val="22"/>
          <w:szCs w:val="22"/>
        </w:rPr>
        <w:t>Jednostką obmiarową demontażu kabli napowietrznych jest 1 m [metr].</w:t>
      </w:r>
    </w:p>
    <w:p w14:paraId="27C5C9A7" w14:textId="77777777" w:rsidR="00BA0803" w:rsidRPr="00BA0803" w:rsidRDefault="00BA0803" w:rsidP="00BA0803">
      <w:pPr>
        <w:autoSpaceDE w:val="0"/>
        <w:autoSpaceDN w:val="0"/>
        <w:adjustRightInd w:val="0"/>
        <w:spacing w:after="0"/>
        <w:rPr>
          <w:rFonts w:ascii="Times New Roman" w:hAnsi="Times New Roman" w:cs="Times New Roman"/>
          <w:b/>
          <w:bCs/>
        </w:rPr>
      </w:pPr>
    </w:p>
    <w:p w14:paraId="69D5E582"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ODBIÓR ROBÓT</w:t>
      </w:r>
    </w:p>
    <w:p w14:paraId="4DD294E7" w14:textId="77777777" w:rsidR="00BA0803" w:rsidRPr="00BA0803" w:rsidRDefault="00BA0803" w:rsidP="00BA0803">
      <w:pPr>
        <w:pStyle w:val="Akapitzlist"/>
        <w:rPr>
          <w:b/>
          <w:bCs/>
          <w:sz w:val="22"/>
          <w:szCs w:val="22"/>
        </w:rPr>
      </w:pPr>
    </w:p>
    <w:p w14:paraId="22A7323E" w14:textId="77777777" w:rsidR="00BA0803" w:rsidRPr="00BA0803" w:rsidRDefault="00BA0803" w:rsidP="00904E6C">
      <w:pPr>
        <w:pStyle w:val="Akapitzlist"/>
        <w:numPr>
          <w:ilvl w:val="1"/>
          <w:numId w:val="310"/>
        </w:numPr>
        <w:tabs>
          <w:tab w:val="left" w:pos="993"/>
        </w:tabs>
        <w:overflowPunct/>
        <w:jc w:val="left"/>
        <w:textAlignment w:val="auto"/>
        <w:rPr>
          <w:b/>
          <w:sz w:val="22"/>
          <w:szCs w:val="22"/>
        </w:rPr>
      </w:pPr>
      <w:r w:rsidRPr="00BA0803">
        <w:rPr>
          <w:b/>
          <w:sz w:val="22"/>
          <w:szCs w:val="22"/>
        </w:rPr>
        <w:t>Ogólne zasady odbioru robót</w:t>
      </w:r>
    </w:p>
    <w:p w14:paraId="033F4394" w14:textId="77777777" w:rsidR="00BA0803" w:rsidRPr="00BA0803" w:rsidRDefault="00BA0803" w:rsidP="00BA0803">
      <w:pPr>
        <w:pStyle w:val="Akapitzlist"/>
        <w:ind w:left="750"/>
        <w:rPr>
          <w:b/>
          <w:bCs/>
          <w:sz w:val="22"/>
          <w:szCs w:val="22"/>
        </w:rPr>
      </w:pPr>
    </w:p>
    <w:p w14:paraId="2D102A1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Po wykonaniu linii napowietrznej w celu przekazania do eksploatacji, Wykonawca zobowiązany jest dostarczyć Inspektorowi Nadzoru następujące dokumenty:</w:t>
      </w:r>
    </w:p>
    <w:p w14:paraId="602B2CA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aktualną powykonawczą dokumentację techniczną,</w:t>
      </w:r>
    </w:p>
    <w:p w14:paraId="735C653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geodezyjną dokumentację powykonawczą,</w:t>
      </w:r>
    </w:p>
    <w:p w14:paraId="3AA406C9"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lastRenderedPageBreak/>
        <w:t>- protokoły z dokonanych pomiarów,</w:t>
      </w:r>
    </w:p>
    <w:p w14:paraId="41A52729"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protokół odbioru robót zanikających,</w:t>
      </w:r>
    </w:p>
    <w:p w14:paraId="77DC171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 protokół odbioru robót przez podpisany przez przedstawiciela właścicieli poszczególnych sieci. </w:t>
      </w:r>
    </w:p>
    <w:p w14:paraId="516E232C" w14:textId="77777777" w:rsidR="00BA0803" w:rsidRPr="00BA0803" w:rsidRDefault="00BA0803" w:rsidP="00BA0803">
      <w:pPr>
        <w:autoSpaceDE w:val="0"/>
        <w:autoSpaceDN w:val="0"/>
        <w:adjustRightInd w:val="0"/>
        <w:spacing w:after="0"/>
        <w:rPr>
          <w:rFonts w:ascii="Times New Roman" w:hAnsi="Times New Roman" w:cs="Times New Roman"/>
        </w:rPr>
      </w:pPr>
    </w:p>
    <w:p w14:paraId="09481EC9"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PODSTAWA PŁATNOŚCI</w:t>
      </w:r>
    </w:p>
    <w:p w14:paraId="2ED1C9A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Ogólne ustalenia dotyczące podstawy płatności podano w STWIORB DM.00.00.00.”Wymagania ogólne”.</w:t>
      </w:r>
    </w:p>
    <w:p w14:paraId="4131F431" w14:textId="77777777" w:rsidR="00BA0803" w:rsidRPr="00BA0803" w:rsidRDefault="00BA0803" w:rsidP="00BA0803">
      <w:pPr>
        <w:autoSpaceDE w:val="0"/>
        <w:autoSpaceDN w:val="0"/>
        <w:adjustRightInd w:val="0"/>
        <w:spacing w:after="0"/>
        <w:rPr>
          <w:rFonts w:ascii="Times New Roman" w:hAnsi="Times New Roman" w:cs="Times New Roman"/>
        </w:rPr>
      </w:pPr>
    </w:p>
    <w:p w14:paraId="3471E48D" w14:textId="77777777" w:rsidR="00BA0803" w:rsidRPr="00BA0803" w:rsidRDefault="00BA0803" w:rsidP="00904E6C">
      <w:pPr>
        <w:pStyle w:val="Akapitzlist"/>
        <w:numPr>
          <w:ilvl w:val="1"/>
          <w:numId w:val="310"/>
        </w:numPr>
        <w:tabs>
          <w:tab w:val="left" w:pos="993"/>
        </w:tabs>
        <w:overflowPunct/>
        <w:jc w:val="left"/>
        <w:textAlignment w:val="auto"/>
        <w:rPr>
          <w:b/>
          <w:sz w:val="22"/>
          <w:szCs w:val="22"/>
        </w:rPr>
      </w:pPr>
      <w:r w:rsidRPr="00BA0803">
        <w:rPr>
          <w:b/>
          <w:sz w:val="22"/>
          <w:szCs w:val="22"/>
        </w:rPr>
        <w:t>Cena jednostkowa</w:t>
      </w:r>
    </w:p>
    <w:p w14:paraId="1059CC84" w14:textId="77777777" w:rsidR="00BA0803" w:rsidRPr="00BA0803" w:rsidRDefault="00BA0803" w:rsidP="00BA0803">
      <w:pPr>
        <w:pStyle w:val="Tekstpodstawowy"/>
        <w:rPr>
          <w:sz w:val="22"/>
          <w:szCs w:val="22"/>
        </w:rPr>
      </w:pPr>
      <w:r w:rsidRPr="00BA0803">
        <w:rPr>
          <w:sz w:val="22"/>
          <w:szCs w:val="22"/>
        </w:rPr>
        <w:t>Cena jednostkowa przebudowy napowietrznej linii telekomunikacyjnej obejmuje:</w:t>
      </w:r>
    </w:p>
    <w:p w14:paraId="6007AEE1"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roboty przygotowawcze,</w:t>
      </w:r>
    </w:p>
    <w:p w14:paraId="21CCE028"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oznakowanie robót,</w:t>
      </w:r>
    </w:p>
    <w:p w14:paraId="4BC02005"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roboty ziemne,</w:t>
      </w:r>
    </w:p>
    <w:p w14:paraId="24993037"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zakup i transport materiałów oraz sprzętu,</w:t>
      </w:r>
    </w:p>
    <w:p w14:paraId="23DB8400"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pomiary i połączenie z linią istniejącą,</w:t>
      </w:r>
    </w:p>
    <w:p w14:paraId="3763BB8F"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demontaż kolidujących z drogą linii istniejących:</w:t>
      </w:r>
    </w:p>
    <w:p w14:paraId="081F2256"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 xml:space="preserve">transport zdemontowanych materiałów </w:t>
      </w:r>
    </w:p>
    <w:p w14:paraId="2D74F85D"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wykonanie geodezyjnej inwentaryzacji powykonawczej.</w:t>
      </w:r>
    </w:p>
    <w:p w14:paraId="7B68C752"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1080"/>
        </w:tabs>
        <w:suppressAutoHyphens/>
        <w:spacing w:before="0" w:after="0" w:line="240" w:lineRule="auto"/>
        <w:ind w:left="142" w:hanging="142"/>
        <w:rPr>
          <w:sz w:val="22"/>
          <w:szCs w:val="22"/>
        </w:rPr>
      </w:pPr>
      <w:r w:rsidRPr="00BA0803">
        <w:rPr>
          <w:sz w:val="22"/>
          <w:szCs w:val="22"/>
        </w:rPr>
        <w:t xml:space="preserve">wykonanie dokumentacji powykonawczej </w:t>
      </w:r>
      <w:r w:rsidRPr="00BA0803">
        <w:rPr>
          <w:sz w:val="22"/>
          <w:szCs w:val="22"/>
          <w:lang w:val="cs-CZ"/>
        </w:rPr>
        <w:t>(poprawek powykonawczych w egzemplarzu Dokumentacji Projektowej),</w:t>
      </w:r>
    </w:p>
    <w:p w14:paraId="7DB39630" w14:textId="77777777" w:rsidR="00BA0803" w:rsidRPr="00BA0803" w:rsidRDefault="00BA0803" w:rsidP="00904E6C">
      <w:pPr>
        <w:pStyle w:val="Tekstpodstawowy"/>
        <w:numPr>
          <w:ilvl w:val="0"/>
          <w:numId w:val="251"/>
        </w:numPr>
        <w:tabs>
          <w:tab w:val="clear" w:pos="-1725"/>
          <w:tab w:val="clear" w:pos="-1440"/>
          <w:tab w:val="clear" w:pos="-1005"/>
          <w:tab w:val="clear" w:pos="-720"/>
          <w:tab w:val="clear" w:pos="-285"/>
          <w:tab w:val="clear" w:pos="284"/>
          <w:tab w:val="clear" w:pos="435"/>
          <w:tab w:val="clear" w:pos="720"/>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num" w:pos="0"/>
          <w:tab w:val="left" w:pos="567"/>
          <w:tab w:val="left" w:pos="1080"/>
        </w:tabs>
        <w:suppressAutoHyphens/>
        <w:spacing w:before="0" w:after="0" w:line="240" w:lineRule="auto"/>
        <w:ind w:left="142" w:hanging="142"/>
        <w:rPr>
          <w:sz w:val="22"/>
          <w:szCs w:val="22"/>
        </w:rPr>
      </w:pPr>
      <w:r w:rsidRPr="00BA0803">
        <w:rPr>
          <w:sz w:val="22"/>
          <w:szCs w:val="22"/>
        </w:rPr>
        <w:t>koszty uzgodnień i nadzoru właściciela linii,</w:t>
      </w:r>
    </w:p>
    <w:p w14:paraId="6D95A3F3" w14:textId="77777777" w:rsidR="00BA0803" w:rsidRPr="00BA0803" w:rsidRDefault="00BA0803" w:rsidP="00BA0803">
      <w:pPr>
        <w:autoSpaceDE w:val="0"/>
        <w:autoSpaceDN w:val="0"/>
        <w:adjustRightInd w:val="0"/>
        <w:spacing w:after="0"/>
        <w:rPr>
          <w:rFonts w:ascii="Times New Roman" w:hAnsi="Times New Roman" w:cs="Times New Roman"/>
        </w:rPr>
      </w:pPr>
    </w:p>
    <w:p w14:paraId="20BF8C81" w14:textId="77777777" w:rsidR="00BA0803" w:rsidRPr="00BA0803" w:rsidRDefault="00BA0803" w:rsidP="00904E6C">
      <w:pPr>
        <w:pStyle w:val="Akapitzlist"/>
        <w:numPr>
          <w:ilvl w:val="0"/>
          <w:numId w:val="310"/>
        </w:numPr>
        <w:overflowPunct/>
        <w:autoSpaceDE/>
        <w:autoSpaceDN/>
        <w:adjustRightInd/>
        <w:jc w:val="left"/>
        <w:textAlignment w:val="auto"/>
        <w:rPr>
          <w:b/>
          <w:sz w:val="22"/>
          <w:szCs w:val="22"/>
        </w:rPr>
      </w:pPr>
      <w:r w:rsidRPr="00BA0803">
        <w:rPr>
          <w:b/>
          <w:sz w:val="22"/>
          <w:szCs w:val="22"/>
        </w:rPr>
        <w:t>PRZEPISY ZWIĄZANE</w:t>
      </w:r>
    </w:p>
    <w:p w14:paraId="6F7DE1A4" w14:textId="77777777" w:rsidR="00BA0803" w:rsidRPr="00BA0803" w:rsidRDefault="00BA0803" w:rsidP="00BA0803">
      <w:pPr>
        <w:pStyle w:val="Akapitzlist"/>
        <w:rPr>
          <w:b/>
          <w:bCs/>
          <w:sz w:val="22"/>
          <w:szCs w:val="22"/>
        </w:rPr>
      </w:pPr>
    </w:p>
    <w:p w14:paraId="4B4633EF" w14:textId="77777777" w:rsidR="00BA0803" w:rsidRPr="00BA0803" w:rsidRDefault="00BA0803" w:rsidP="00904E6C">
      <w:pPr>
        <w:pStyle w:val="Akapitzlist"/>
        <w:numPr>
          <w:ilvl w:val="1"/>
          <w:numId w:val="310"/>
        </w:numPr>
        <w:tabs>
          <w:tab w:val="left" w:pos="993"/>
        </w:tabs>
        <w:overflowPunct/>
        <w:jc w:val="left"/>
        <w:textAlignment w:val="auto"/>
        <w:rPr>
          <w:b/>
          <w:sz w:val="22"/>
          <w:szCs w:val="22"/>
        </w:rPr>
      </w:pPr>
      <w:r w:rsidRPr="00BA0803">
        <w:rPr>
          <w:b/>
          <w:sz w:val="22"/>
          <w:szCs w:val="22"/>
        </w:rPr>
        <w:t xml:space="preserve">Normy </w:t>
      </w:r>
    </w:p>
    <w:p w14:paraId="5F432C44" w14:textId="77777777" w:rsidR="00BA0803" w:rsidRPr="00BA0803" w:rsidRDefault="00BA0803" w:rsidP="00BA0803">
      <w:pPr>
        <w:pStyle w:val="Akapitzlist"/>
        <w:ind w:left="750"/>
        <w:rPr>
          <w:b/>
          <w:bCs/>
          <w:sz w:val="22"/>
          <w:szCs w:val="22"/>
        </w:rPr>
      </w:pPr>
    </w:p>
    <w:p w14:paraId="2F0621B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PN-E-05100-1  Elektroenergetyczne linie napowietrzne. Projektowanie i budowa </w:t>
      </w:r>
    </w:p>
    <w:p w14:paraId="1949453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BN-74/3231-24 Telekomunikacyjne linie napowietrzne. Słupy żelbetowe. </w:t>
      </w:r>
    </w:p>
    <w:p w14:paraId="2AF1755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BN-76/8984-09 Telekomunikacyjne linie napowietrzne. Ogólne wymagania i badania. </w:t>
      </w:r>
    </w:p>
    <w:p w14:paraId="0C2EADEC"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ZN-OPL-027/96 Telekomunikacyjne  sieci  miejscowe.  Linie  kablowe  o  żyłach metalowych. </w:t>
      </w:r>
    </w:p>
    <w:p w14:paraId="75D2F61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Ogólne wymagania techniczne. </w:t>
      </w:r>
    </w:p>
    <w:p w14:paraId="3938F6B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ZN-OPL-030/05 Telekomunikacyjne sieci miejscowe. Łączniki żył. Wymagania i badania </w:t>
      </w:r>
    </w:p>
    <w:p w14:paraId="595E13F6"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ZN-OPL-031/11 Telekomunikacyjne sieci miejscowe. Osłony złączowe - termokurczliwe i owijane. Wymagania i badania. </w:t>
      </w:r>
    </w:p>
    <w:p w14:paraId="0930AEC5"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ZN-OPL-032/05 Telekomunikacyjne sieci miejscowe. Łączówki i zespoły łączówkowe, kablowe </w:t>
      </w:r>
    </w:p>
    <w:p w14:paraId="2BAD6C59"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i przełącznicowe. Wymagania i badania. </w:t>
      </w:r>
    </w:p>
    <w:p w14:paraId="37224F5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ZN-OPL-033/17 Telekomunikacyjne sieci miejscowe. Obudowy zakończeń kablowych. </w:t>
      </w:r>
    </w:p>
    <w:p w14:paraId="3A49F77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Wymagania i badania. </w:t>
      </w:r>
    </w:p>
    <w:p w14:paraId="42A6B78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ZN-OPL-035/12 Telekomunikacyjne sieci miejscowe. Przyłącze abonenckie i sieć </w:t>
      </w:r>
    </w:p>
    <w:p w14:paraId="10DB1A66"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przyłączeniowa. Wymagania i badania. </w:t>
      </w:r>
    </w:p>
    <w:p w14:paraId="40906D8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ZN-OPL-036/15 Telekomunikacyjne  sieci miejscowe. Urządzenia ochrony ludzi i sieci telekomunikacyjnej przed przepięciami i przetężeniami. Wymagania i badania. </w:t>
      </w:r>
    </w:p>
    <w:p w14:paraId="7FC7CAC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ZN-OPL-037/10 Telekomunikacyjne sieci miejscowe. Systemy uziemiające telekomunikacyjnych obiektów budowlanych. Wymagania i badania. </w:t>
      </w:r>
    </w:p>
    <w:p w14:paraId="2EBA5D1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BN-75/3231-14  Telekomunikacyjne linie napowietrzne. Haki do izolatorów.</w:t>
      </w:r>
    </w:p>
    <w:p w14:paraId="3E91919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BN-72/8984-22  Telekomunikacyjne  linie  napowietrzne.  Urządzenia  zabezpieczające.  Ogólne </w:t>
      </w:r>
    </w:p>
    <w:p w14:paraId="718C53E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wymagania. </w:t>
      </w:r>
    </w:p>
    <w:p w14:paraId="2F7CC321"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BN-75/8984-03  Telekomunikacyjne  linie  napowietrzne.  Urządzenia  ochrony  odgromowej </w:t>
      </w:r>
    </w:p>
    <w:p w14:paraId="6056919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konstrukcji wsporczych. Przepisy budowy. </w:t>
      </w:r>
    </w:p>
    <w:p w14:paraId="741C4E6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BN-88/8984-17/03  Telekomunikacyjne  sieci  miejscowe.  Linie  kablowe.  Ogólne  wymagania  </w:t>
      </w:r>
    </w:p>
    <w:p w14:paraId="7CF9C679"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i badania. </w:t>
      </w:r>
    </w:p>
    <w:p w14:paraId="153FFB2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lastRenderedPageBreak/>
        <w:t xml:space="preserve">BN-72/3231-20  Prefabrykowane belki ustojowe żelbetowe. </w:t>
      </w:r>
    </w:p>
    <w:p w14:paraId="5293EADA"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PN-E-05100  Elektroenergetyczne linie napowietrzne. Projektowanie i budowa. </w:t>
      </w:r>
    </w:p>
    <w:p w14:paraId="0FA5908E"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BN-72/3231-21  Obejmy do belek ustojowych. </w:t>
      </w:r>
    </w:p>
    <w:p w14:paraId="5DA74584"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PN-T-90333  Telekomunikacyjne  kable  miejscowe  z  wiązkami  czwórkowymi  pęczkowe, samonośne, o izolacji i powłoce polietylenowej z zaporą przeciwwilgociową. </w:t>
      </w:r>
    </w:p>
    <w:p w14:paraId="7522C00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Katalog SWW 1128  Kable telekomunikacyjne. WEMA. 1991. </w:t>
      </w:r>
    </w:p>
    <w:p w14:paraId="512EB087"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PN-C-89200  Rury z nieplastyfikowanego polichlorku winylu. Wymiary.</w:t>
      </w:r>
    </w:p>
    <w:p w14:paraId="073703F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PN-91/O-79353 Opakowania transportowe drewniane. Bębny do kabli i przewodów.</w:t>
      </w:r>
    </w:p>
    <w:p w14:paraId="64A0A553"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PN-B-19501 Prefabrykaty z betonu - Prefabrykaty Żelbetowe dla telekomunikacji.</w:t>
      </w:r>
    </w:p>
    <w:p w14:paraId="01F345A3" w14:textId="77777777" w:rsidR="00BA0803" w:rsidRPr="00BA0803" w:rsidRDefault="00BA0803" w:rsidP="00BA0803">
      <w:pPr>
        <w:autoSpaceDE w:val="0"/>
        <w:autoSpaceDN w:val="0"/>
        <w:adjustRightInd w:val="0"/>
        <w:spacing w:after="0"/>
        <w:rPr>
          <w:rFonts w:ascii="Times New Roman" w:hAnsi="Times New Roman" w:cs="Times New Roman"/>
        </w:rPr>
      </w:pPr>
    </w:p>
    <w:p w14:paraId="6CC32194" w14:textId="77777777" w:rsidR="00BA0803" w:rsidRPr="00BA0803" w:rsidRDefault="00BA0803" w:rsidP="00904E6C">
      <w:pPr>
        <w:pStyle w:val="Akapitzlist"/>
        <w:numPr>
          <w:ilvl w:val="1"/>
          <w:numId w:val="310"/>
        </w:numPr>
        <w:tabs>
          <w:tab w:val="left" w:pos="993"/>
        </w:tabs>
        <w:overflowPunct/>
        <w:jc w:val="left"/>
        <w:textAlignment w:val="auto"/>
        <w:rPr>
          <w:b/>
          <w:sz w:val="22"/>
          <w:szCs w:val="22"/>
        </w:rPr>
      </w:pPr>
      <w:r w:rsidRPr="00BA0803">
        <w:rPr>
          <w:b/>
          <w:sz w:val="22"/>
          <w:szCs w:val="22"/>
        </w:rPr>
        <w:t>Inne dokumenty</w:t>
      </w:r>
    </w:p>
    <w:p w14:paraId="14EC20C8"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Rozporządzenie Ministra Infrastruktury z dnia 26 października 2005 r. w sprawie warunków technicznych, jakim powinny odpowiadać telekomunikacyjne obiekty budowlane i ich usytuowanie. </w:t>
      </w:r>
    </w:p>
    <w:p w14:paraId="41B2665B"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Ustawa z dnia 21 marca 1985 r. o drogach publicznych (Dz. U. Nr 414 z 1985 r. z późn. zmianami)</w:t>
      </w:r>
    </w:p>
    <w:p w14:paraId="740D98C2"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Ustawa z dnia 7 lipca 1994 r. Prawo budowlane (Dz. U. Nr 89 z 1994 r. z późn. zmianami) </w:t>
      </w:r>
    </w:p>
    <w:p w14:paraId="48AA334D"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Wytyczne  o  ochronie  linii  i  urządzeń  telekomunikacyjnych  przed szkodliwym oddziaływaniem  linii elektroenergetycznych i trakcji elektrycznej prądu stałego wprowadzone Zarządzeniem Nr 13 Ministra Łączności z dn. 28.II.1986 r. </w:t>
      </w:r>
    </w:p>
    <w:p w14:paraId="447EEF4F"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 xml:space="preserve">Instrukcja  TP  SA  dotycząca  zawieszania  telekomunikacyjnych  kablowych  linii  napowietrznych  na </w:t>
      </w:r>
    </w:p>
    <w:p w14:paraId="54AF7779" w14:textId="77777777" w:rsidR="00BA0803" w:rsidRPr="00BA0803" w:rsidRDefault="00BA0803" w:rsidP="00BA0803">
      <w:pPr>
        <w:autoSpaceDE w:val="0"/>
        <w:autoSpaceDN w:val="0"/>
        <w:adjustRightInd w:val="0"/>
        <w:spacing w:after="0"/>
        <w:rPr>
          <w:rFonts w:ascii="Times New Roman" w:hAnsi="Times New Roman" w:cs="Times New Roman"/>
        </w:rPr>
      </w:pPr>
      <w:r w:rsidRPr="00BA0803">
        <w:rPr>
          <w:rFonts w:ascii="Times New Roman" w:hAnsi="Times New Roman" w:cs="Times New Roman"/>
        </w:rPr>
        <w:t>słupach linii elektroenergetycznych o napięciu do 1 kV.</w:t>
      </w:r>
    </w:p>
    <w:p w14:paraId="6A874BA0" w14:textId="77777777" w:rsidR="00BA0803" w:rsidRPr="00BA0803" w:rsidRDefault="00BA0803" w:rsidP="00BA0803">
      <w:pPr>
        <w:autoSpaceDE w:val="0"/>
        <w:autoSpaceDN w:val="0"/>
        <w:adjustRightInd w:val="0"/>
        <w:spacing w:after="0"/>
        <w:rPr>
          <w:rFonts w:ascii="Times New Roman" w:hAnsi="Times New Roman" w:cs="Times New Roman"/>
        </w:rPr>
      </w:pPr>
    </w:p>
    <w:p w14:paraId="636D1DD4" w14:textId="77777777" w:rsidR="00BA0803" w:rsidRPr="00BA0803" w:rsidRDefault="00BA0803" w:rsidP="00BA0803">
      <w:pPr>
        <w:spacing w:after="0"/>
        <w:rPr>
          <w:rFonts w:ascii="Times New Roman" w:hAnsi="Times New Roman" w:cs="Times New Roman"/>
        </w:rPr>
      </w:pPr>
      <w:r w:rsidRPr="00BA0803">
        <w:rPr>
          <w:rFonts w:ascii="Times New Roman" w:hAnsi="Times New Roman" w:cs="Times New Roman"/>
        </w:rPr>
        <w:t xml:space="preserve">. </w:t>
      </w:r>
    </w:p>
    <w:p w14:paraId="6C1E2CA6" w14:textId="77777777" w:rsidR="00BA0803" w:rsidRPr="00BA0803" w:rsidRDefault="00BA0803" w:rsidP="00BA0803">
      <w:pPr>
        <w:rPr>
          <w:rFonts w:ascii="Times New Roman" w:hAnsi="Times New Roman" w:cs="Times New Roman"/>
        </w:rPr>
      </w:pPr>
    </w:p>
    <w:p w14:paraId="5CA3C5F4" w14:textId="77777777" w:rsidR="00BA0803" w:rsidRPr="00326BBF" w:rsidRDefault="00BA0803" w:rsidP="00BA0803">
      <w:pPr>
        <w:pStyle w:val="Nagwek1"/>
        <w:rPr>
          <w:sz w:val="22"/>
          <w:szCs w:val="22"/>
          <w:lang w:val="pl-PL"/>
        </w:rPr>
        <w:sectPr w:rsidR="00BA0803" w:rsidRPr="00326BBF" w:rsidSect="00BA0803">
          <w:headerReference w:type="default" r:id="rId104"/>
          <w:footerReference w:type="default" r:id="rId105"/>
          <w:pgSz w:w="11906" w:h="16838"/>
          <w:pgMar w:top="1417" w:right="1417" w:bottom="1417" w:left="1418" w:header="708" w:footer="708" w:gutter="0"/>
          <w:cols w:space="708"/>
          <w:docGrid w:linePitch="360"/>
        </w:sectPr>
      </w:pPr>
    </w:p>
    <w:p w14:paraId="11EDFFFA" w14:textId="77777777" w:rsidR="009D57D0" w:rsidRPr="00326BBF" w:rsidRDefault="009D57D0" w:rsidP="00CE1E11">
      <w:pPr>
        <w:pStyle w:val="Nagwek1"/>
        <w:spacing w:before="0" w:after="0" w:line="240" w:lineRule="auto"/>
        <w:rPr>
          <w:sz w:val="22"/>
          <w:szCs w:val="22"/>
          <w:lang w:val="pl-PL"/>
        </w:rPr>
      </w:pPr>
      <w:bookmarkStart w:id="946" w:name="_Toc89891910"/>
      <w:r w:rsidRPr="00326BBF">
        <w:rPr>
          <w:sz w:val="22"/>
          <w:szCs w:val="22"/>
          <w:lang w:val="pl-PL"/>
        </w:rPr>
        <w:lastRenderedPageBreak/>
        <w:t>D.01.03.04 Przebudowa kablowych linii telekomunikacyjnych i budowa kanału technologicznego</w:t>
      </w:r>
      <w:bookmarkEnd w:id="946"/>
      <w:r w:rsidRPr="00326BBF">
        <w:rPr>
          <w:sz w:val="22"/>
          <w:szCs w:val="22"/>
          <w:lang w:val="pl-PL"/>
        </w:rPr>
        <w:t xml:space="preserve"> </w:t>
      </w:r>
    </w:p>
    <w:p w14:paraId="7281E798" w14:textId="77777777" w:rsidR="009D57D0" w:rsidRPr="00BC479C" w:rsidRDefault="009D57D0" w:rsidP="00CE1E11">
      <w:pPr>
        <w:spacing w:after="0" w:line="240" w:lineRule="auto"/>
        <w:rPr>
          <w:rFonts w:ascii="Times New Roman" w:hAnsi="Times New Roman" w:cs="Times New Roman"/>
        </w:rPr>
      </w:pPr>
    </w:p>
    <w:p w14:paraId="7C9EA0E2" w14:textId="77777777" w:rsidR="009D57D0" w:rsidRDefault="009D57D0" w:rsidP="00904E6C">
      <w:pPr>
        <w:pStyle w:val="Nagwek1Title1"/>
        <w:numPr>
          <w:ilvl w:val="0"/>
          <w:numId w:val="365"/>
        </w:numPr>
        <w:jc w:val="both"/>
        <w:rPr>
          <w:sz w:val="22"/>
          <w:szCs w:val="22"/>
        </w:rPr>
      </w:pPr>
      <w:r w:rsidRPr="00BC479C">
        <w:rPr>
          <w:sz w:val="22"/>
          <w:szCs w:val="22"/>
        </w:rPr>
        <w:t>WSTĘP</w:t>
      </w:r>
    </w:p>
    <w:p w14:paraId="6C8F093E" w14:textId="77777777" w:rsidR="009D57D0" w:rsidRPr="009D57D0" w:rsidRDefault="009D57D0" w:rsidP="00CE1E11">
      <w:pPr>
        <w:spacing w:after="0" w:line="240" w:lineRule="auto"/>
        <w:rPr>
          <w:lang w:eastAsia="ar-SA"/>
        </w:rPr>
      </w:pPr>
    </w:p>
    <w:p w14:paraId="46627533" w14:textId="77777777" w:rsidR="009D57D0" w:rsidRPr="009D57D0" w:rsidRDefault="009D57D0" w:rsidP="00904E6C">
      <w:pPr>
        <w:pStyle w:val="Nagwek"/>
        <w:numPr>
          <w:ilvl w:val="1"/>
          <w:numId w:val="364"/>
        </w:numPr>
        <w:tabs>
          <w:tab w:val="clear" w:pos="4536"/>
          <w:tab w:val="left" w:pos="0"/>
          <w:tab w:val="center" w:pos="709"/>
        </w:tabs>
        <w:suppressAutoHyphens/>
        <w:jc w:val="left"/>
        <w:rPr>
          <w:b/>
          <w:sz w:val="22"/>
        </w:rPr>
      </w:pPr>
      <w:r w:rsidRPr="00BC479C">
        <w:rPr>
          <w:b/>
          <w:sz w:val="22"/>
        </w:rPr>
        <w:t xml:space="preserve">Przedmiot Specyfikacji </w:t>
      </w:r>
      <w:r>
        <w:rPr>
          <w:b/>
          <w:sz w:val="22"/>
        </w:rPr>
        <w:t>ST</w:t>
      </w:r>
      <w:r w:rsidRPr="009D57D0">
        <w:rPr>
          <w:b/>
          <w:sz w:val="22"/>
        </w:rPr>
        <w:t>.</w:t>
      </w:r>
    </w:p>
    <w:p w14:paraId="4A371219" w14:textId="77777777" w:rsidR="009D57D0" w:rsidRDefault="009D57D0" w:rsidP="00CE1E11">
      <w:pPr>
        <w:autoSpaceDE w:val="0"/>
        <w:autoSpaceDN w:val="0"/>
        <w:adjustRightInd w:val="0"/>
        <w:spacing w:after="0" w:line="240" w:lineRule="auto"/>
        <w:rPr>
          <w:rFonts w:ascii="Times New Roman" w:hAnsi="Times New Roman" w:cs="Times New Roman"/>
          <w:b/>
        </w:rPr>
      </w:pPr>
      <w:r w:rsidRPr="00BC479C">
        <w:rPr>
          <w:rFonts w:ascii="Times New Roman" w:hAnsi="Times New Roman" w:cs="Times New Roman"/>
        </w:rPr>
        <w:tab/>
        <w:t xml:space="preserve"> Przedmiotem niniejszej Specyfikacji Technicznej są wymagania dotyczące wykonania i odbioru robót związanych z  przebudową teletechnicznych linii kablowych w związku z realizacją zadania </w:t>
      </w:r>
      <w:r w:rsidR="00990FC6" w:rsidRPr="00FD3B41">
        <w:rPr>
          <w:rFonts w:ascii="Times New Roman" w:hAnsi="Times New Roman" w:cs="Times New Roman"/>
          <w:b/>
          <w:color w:val="000000" w:themeColor="text1"/>
        </w:rPr>
        <w:t>„Rozbudowa drogi wojewódzkiej nr 461 w m. Dąbrówka Łubniańska i Łubniany” – Etap I ( km od 9+741,88 do 10+371,13)</w:t>
      </w:r>
    </w:p>
    <w:p w14:paraId="3DBE2A7D" w14:textId="77777777" w:rsidR="00990FC6" w:rsidRDefault="00990FC6" w:rsidP="00CE1E11">
      <w:pPr>
        <w:autoSpaceDE w:val="0"/>
        <w:autoSpaceDN w:val="0"/>
        <w:adjustRightInd w:val="0"/>
        <w:spacing w:after="0" w:line="240" w:lineRule="auto"/>
        <w:rPr>
          <w:rFonts w:ascii="Times New Roman" w:hAnsi="Times New Roman" w:cs="Times New Roman"/>
        </w:rPr>
      </w:pPr>
    </w:p>
    <w:p w14:paraId="4370DC58" w14:textId="77777777" w:rsidR="009D57D0" w:rsidRPr="00BC479C" w:rsidRDefault="009D57D0" w:rsidP="00904E6C">
      <w:pPr>
        <w:pStyle w:val="Nagwek"/>
        <w:numPr>
          <w:ilvl w:val="1"/>
          <w:numId w:val="363"/>
        </w:numPr>
        <w:tabs>
          <w:tab w:val="clear" w:pos="4536"/>
          <w:tab w:val="left" w:pos="0"/>
          <w:tab w:val="center" w:pos="709"/>
        </w:tabs>
        <w:suppressAutoHyphens/>
        <w:jc w:val="left"/>
        <w:rPr>
          <w:b/>
          <w:sz w:val="22"/>
        </w:rPr>
      </w:pPr>
      <w:r w:rsidRPr="00BC479C">
        <w:rPr>
          <w:b/>
          <w:sz w:val="22"/>
        </w:rPr>
        <w:t xml:space="preserve">Zakres stosowania </w:t>
      </w:r>
      <w:r>
        <w:rPr>
          <w:b/>
          <w:i/>
          <w:sz w:val="22"/>
        </w:rPr>
        <w:t>ST</w:t>
      </w:r>
      <w:r w:rsidRPr="00BC479C">
        <w:rPr>
          <w:b/>
          <w:sz w:val="22"/>
        </w:rPr>
        <w:t>.</w:t>
      </w:r>
    </w:p>
    <w:p w14:paraId="5BC1FB20" w14:textId="77777777" w:rsidR="009D57D0" w:rsidRPr="00BC479C" w:rsidRDefault="009D57D0" w:rsidP="00CE1E11">
      <w:pPr>
        <w:pStyle w:val="Tekstpodstawowywcity21"/>
        <w:tabs>
          <w:tab w:val="left" w:pos="0"/>
        </w:tabs>
        <w:spacing w:line="240" w:lineRule="auto"/>
        <w:ind w:firstLine="1"/>
        <w:rPr>
          <w:sz w:val="22"/>
          <w:szCs w:val="22"/>
        </w:rPr>
      </w:pPr>
      <w:r w:rsidRPr="00BC479C">
        <w:rPr>
          <w:sz w:val="22"/>
          <w:szCs w:val="22"/>
        </w:rPr>
        <w:tab/>
        <w:t>STWiORB jest stosowana jako dokument przetargowy i kontraktowy przy zlecaniu i realizacji robót wymienionych w punkcie 1.1.</w:t>
      </w:r>
    </w:p>
    <w:p w14:paraId="3BCBEEB1" w14:textId="77777777" w:rsidR="009D57D0" w:rsidRPr="009D57D0" w:rsidRDefault="009D57D0" w:rsidP="00CE1E11">
      <w:pPr>
        <w:pStyle w:val="Nagwek"/>
        <w:tabs>
          <w:tab w:val="clear" w:pos="4536"/>
          <w:tab w:val="left" w:pos="0"/>
          <w:tab w:val="center" w:pos="709"/>
        </w:tabs>
        <w:suppressAutoHyphens/>
        <w:ind w:left="792" w:firstLine="0"/>
        <w:jc w:val="left"/>
        <w:rPr>
          <w:b/>
          <w:sz w:val="22"/>
        </w:rPr>
      </w:pPr>
    </w:p>
    <w:p w14:paraId="1990BDA4" w14:textId="77777777" w:rsidR="009D57D0" w:rsidRPr="009D57D0" w:rsidRDefault="009D57D0" w:rsidP="00904E6C">
      <w:pPr>
        <w:pStyle w:val="Nagwek"/>
        <w:numPr>
          <w:ilvl w:val="1"/>
          <w:numId w:val="363"/>
        </w:numPr>
        <w:tabs>
          <w:tab w:val="clear" w:pos="4536"/>
          <w:tab w:val="left" w:pos="0"/>
          <w:tab w:val="center" w:pos="709"/>
        </w:tabs>
        <w:suppressAutoHyphens/>
        <w:jc w:val="left"/>
        <w:rPr>
          <w:b/>
          <w:sz w:val="22"/>
        </w:rPr>
      </w:pPr>
      <w:r w:rsidRPr="00BC479C">
        <w:rPr>
          <w:b/>
          <w:sz w:val="22"/>
        </w:rPr>
        <w:t xml:space="preserve">Zakres robót objętych </w:t>
      </w:r>
      <w:r w:rsidRPr="009D57D0">
        <w:rPr>
          <w:b/>
          <w:sz w:val="22"/>
        </w:rPr>
        <w:t>STWiORB.</w:t>
      </w:r>
    </w:p>
    <w:p w14:paraId="60C7FF0A" w14:textId="77777777" w:rsidR="009D57D0" w:rsidRPr="00BC479C" w:rsidRDefault="009D57D0" w:rsidP="00CE1E11">
      <w:pPr>
        <w:spacing w:after="0" w:line="240" w:lineRule="auto"/>
        <w:rPr>
          <w:rFonts w:ascii="Times New Roman" w:hAnsi="Times New Roman" w:cs="Times New Roman"/>
        </w:rPr>
      </w:pPr>
    </w:p>
    <w:p w14:paraId="739000E4" w14:textId="77777777" w:rsidR="009D57D0" w:rsidRPr="00BC479C" w:rsidRDefault="009D57D0" w:rsidP="00CE1E11">
      <w:pPr>
        <w:pStyle w:val="Tekstpodstawowy31"/>
        <w:rPr>
          <w:sz w:val="22"/>
          <w:szCs w:val="22"/>
        </w:rPr>
      </w:pPr>
      <w:r w:rsidRPr="00BC479C">
        <w:rPr>
          <w:sz w:val="22"/>
          <w:szCs w:val="22"/>
        </w:rPr>
        <w:t xml:space="preserve">Ustalenia zawarte w niniejszej Specyfikacji Technicznej Wykonania i Odbioru Robót Budowlanych dotyczą wykonania Robót wymienionych w p. 1.1, przyporządkowanych poszczególnym zadaniom: </w:t>
      </w:r>
    </w:p>
    <w:p w14:paraId="767F17FF" w14:textId="77777777" w:rsidR="009D57D0" w:rsidRPr="00BC479C" w:rsidRDefault="009D57D0" w:rsidP="00CE1E11">
      <w:pPr>
        <w:spacing w:after="0" w:line="240" w:lineRule="auto"/>
        <w:rPr>
          <w:rFonts w:ascii="Times New Roman" w:hAnsi="Times New Roman" w:cs="Times New Roman"/>
        </w:rPr>
      </w:pPr>
    </w:p>
    <w:p w14:paraId="04C88481"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W zakres tych robót wchodzą:</w:t>
      </w:r>
    </w:p>
    <w:p w14:paraId="1B900DE0"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wykonanie wykopu pod studnię kablowe,</w:t>
      </w:r>
    </w:p>
    <w:p w14:paraId="00710905"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wykonanie i zasypanie, wykopu pod rury,</w:t>
      </w:r>
    </w:p>
    <w:p w14:paraId="0B73B29A"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budowa studni kablowych,</w:t>
      </w:r>
    </w:p>
    <w:p w14:paraId="709770BF"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ułożenie rur,</w:t>
      </w:r>
    </w:p>
    <w:p w14:paraId="7CCD3A91"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wykonanie przewiertów,</w:t>
      </w:r>
    </w:p>
    <w:p w14:paraId="684CD9EA"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układanie kabli w kanalizacji kablowej,</w:t>
      </w:r>
    </w:p>
    <w:p w14:paraId="6750CEFB"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montaż kabli, </w:t>
      </w:r>
    </w:p>
    <w:p w14:paraId="22215F62"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montaż złączy na kablach </w:t>
      </w:r>
    </w:p>
    <w:p w14:paraId="7554F12A"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znakowanie kabli, </w:t>
      </w:r>
    </w:p>
    <w:p w14:paraId="56B4CBCC"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pomiary kabli miedzianych,</w:t>
      </w:r>
    </w:p>
    <w:p w14:paraId="70FB2E8B"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pomiary kabli światowodowych</w:t>
      </w:r>
    </w:p>
    <w:p w14:paraId="6F3577BD"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ochrona kabli przed korozją </w:t>
      </w:r>
    </w:p>
    <w:p w14:paraId="713F8791"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ochrona kabli przed wyładowaniami atmosferycznymi </w:t>
      </w:r>
    </w:p>
    <w:p w14:paraId="2D40B3E6"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ochrona kabli przed szkodliwym oddziaływaniem linii elektroenergetycznych i trakcji </w:t>
      </w:r>
    </w:p>
    <w:p w14:paraId="26423986"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wszelkie czynności konieczne dla zachowania ciągłości łączności w czasie połączeń</w:t>
      </w:r>
    </w:p>
    <w:p w14:paraId="55A5A1A5"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demontaż kabli, </w:t>
      </w:r>
    </w:p>
    <w:p w14:paraId="4E371A39"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demontaż kanalizacji,</w:t>
      </w:r>
    </w:p>
    <w:p w14:paraId="32F5CA09" w14:textId="77777777" w:rsidR="009D57D0" w:rsidRPr="00BC479C" w:rsidRDefault="009D57D0" w:rsidP="00904E6C">
      <w:pPr>
        <w:numPr>
          <w:ilvl w:val="0"/>
          <w:numId w:val="399"/>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uporządkowanie terenu po wykonaniu przebudowy kanalizacji,</w:t>
      </w:r>
    </w:p>
    <w:p w14:paraId="1A548022" w14:textId="77777777" w:rsidR="009D57D0" w:rsidRPr="00BC479C" w:rsidRDefault="009D57D0" w:rsidP="00CE1E11">
      <w:pPr>
        <w:spacing w:after="0" w:line="240" w:lineRule="auto"/>
        <w:rPr>
          <w:rFonts w:ascii="Times New Roman" w:hAnsi="Times New Roman" w:cs="Times New Roman"/>
        </w:rPr>
      </w:pPr>
    </w:p>
    <w:p w14:paraId="36C4490E"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Zakres rzeczowy robót zgodnie z Dokumentacją Projektową.</w:t>
      </w:r>
    </w:p>
    <w:p w14:paraId="23337A79" w14:textId="77777777" w:rsidR="009D57D0" w:rsidRPr="00BC479C" w:rsidRDefault="009D57D0" w:rsidP="00CE1E11">
      <w:pPr>
        <w:pStyle w:val="Nagwek"/>
        <w:tabs>
          <w:tab w:val="clear" w:pos="4536"/>
          <w:tab w:val="clear" w:pos="9072"/>
        </w:tabs>
        <w:rPr>
          <w:sz w:val="22"/>
        </w:rPr>
      </w:pPr>
    </w:p>
    <w:p w14:paraId="08EE4C60" w14:textId="77777777" w:rsidR="009D57D0" w:rsidRPr="009D57D0" w:rsidRDefault="009D57D0" w:rsidP="00904E6C">
      <w:pPr>
        <w:pStyle w:val="Nagwek"/>
        <w:numPr>
          <w:ilvl w:val="1"/>
          <w:numId w:val="363"/>
        </w:numPr>
        <w:tabs>
          <w:tab w:val="clear" w:pos="4536"/>
          <w:tab w:val="left" w:pos="0"/>
          <w:tab w:val="center" w:pos="709"/>
        </w:tabs>
        <w:suppressAutoHyphens/>
        <w:jc w:val="left"/>
        <w:rPr>
          <w:b/>
          <w:sz w:val="22"/>
        </w:rPr>
      </w:pPr>
      <w:r w:rsidRPr="00BC479C">
        <w:rPr>
          <w:b/>
          <w:sz w:val="22"/>
        </w:rPr>
        <w:t>Określenia podstawowe</w:t>
      </w:r>
      <w:r w:rsidRPr="009D57D0">
        <w:rPr>
          <w:b/>
          <w:sz w:val="22"/>
        </w:rPr>
        <w:t>.</w:t>
      </w:r>
    </w:p>
    <w:p w14:paraId="38F4BF3D" w14:textId="77777777" w:rsidR="009D57D0" w:rsidRPr="00BC479C" w:rsidRDefault="009D57D0" w:rsidP="00CE1E11">
      <w:pPr>
        <w:spacing w:after="0" w:line="240" w:lineRule="auto"/>
        <w:rPr>
          <w:rFonts w:ascii="Times New Roman" w:hAnsi="Times New Roman" w:cs="Times New Roman"/>
        </w:rPr>
      </w:pPr>
    </w:p>
    <w:p w14:paraId="20596220" w14:textId="77777777" w:rsidR="009D57D0" w:rsidRPr="00BC479C" w:rsidRDefault="009D57D0" w:rsidP="00777055">
      <w:pPr>
        <w:pStyle w:val="Nagwek3"/>
      </w:pPr>
      <w:r w:rsidRPr="00BC479C">
        <w:t>Kanalizacja kablowa</w:t>
      </w:r>
    </w:p>
    <w:p w14:paraId="20162CBC" w14:textId="77777777" w:rsidR="009D57D0" w:rsidRPr="00BC479C" w:rsidRDefault="009D57D0" w:rsidP="00CE1E11">
      <w:pPr>
        <w:tabs>
          <w:tab w:val="left" w:pos="360"/>
          <w:tab w:val="left" w:pos="540"/>
        </w:tabs>
        <w:spacing w:after="0" w:line="240" w:lineRule="auto"/>
        <w:rPr>
          <w:rFonts w:ascii="Times New Roman" w:hAnsi="Times New Roman" w:cs="Times New Roman"/>
        </w:rPr>
      </w:pPr>
    </w:p>
    <w:p w14:paraId="0DBEEA3D" w14:textId="77777777" w:rsidR="009D57D0" w:rsidRPr="00BC479C" w:rsidRDefault="009D57D0" w:rsidP="00904E6C">
      <w:pPr>
        <w:numPr>
          <w:ilvl w:val="0"/>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zespół ciągów podziemnych z wbudowanymi studniami przeznaczony do prowadzenia kabli telekomunikacyjnych.</w:t>
      </w:r>
    </w:p>
    <w:p w14:paraId="702CD3A4" w14:textId="77777777" w:rsidR="009D57D0" w:rsidRPr="00BC479C" w:rsidRDefault="009D57D0" w:rsidP="00CE1E11">
      <w:pPr>
        <w:pStyle w:val="Tekstpodstawowy"/>
        <w:spacing w:before="0" w:after="0" w:line="240" w:lineRule="auto"/>
        <w:rPr>
          <w:sz w:val="22"/>
          <w:szCs w:val="22"/>
        </w:rPr>
      </w:pPr>
    </w:p>
    <w:p w14:paraId="02C01E3D" w14:textId="77777777" w:rsidR="009D57D0" w:rsidRPr="00BC479C" w:rsidRDefault="009D57D0" w:rsidP="00777055">
      <w:pPr>
        <w:pStyle w:val="Nagwek3"/>
      </w:pPr>
      <w:r w:rsidRPr="00BC479C">
        <w:t xml:space="preserve">Kanalizacja pierwotna </w:t>
      </w:r>
    </w:p>
    <w:p w14:paraId="1F54ADC1"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kanalizacja kablowa, do której wciąga się kable telekomunikacyjne lub rury kanalizacji wtórnej</w:t>
      </w:r>
    </w:p>
    <w:p w14:paraId="0E9A834F" w14:textId="77777777" w:rsidR="009D57D0" w:rsidRPr="00BC479C" w:rsidRDefault="009D57D0" w:rsidP="00CE1E11">
      <w:pPr>
        <w:spacing w:after="0" w:line="240" w:lineRule="auto"/>
        <w:rPr>
          <w:rFonts w:ascii="Times New Roman" w:hAnsi="Times New Roman" w:cs="Times New Roman"/>
        </w:rPr>
      </w:pPr>
    </w:p>
    <w:p w14:paraId="58AC2F09" w14:textId="77777777" w:rsidR="009D57D0" w:rsidRPr="00BC479C" w:rsidRDefault="009D57D0" w:rsidP="00777055">
      <w:pPr>
        <w:pStyle w:val="Nagwek3"/>
      </w:pPr>
      <w:r w:rsidRPr="00BC479C">
        <w:lastRenderedPageBreak/>
        <w:t xml:space="preserve">Kanalizacja magistralna </w:t>
      </w:r>
    </w:p>
    <w:p w14:paraId="60955518"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kanalizacja kablowa wielootworowa przeznaczona dla kabli linii magistralnych, międzycentralowych, międzymiastowych okręgowych i pośrednich.</w:t>
      </w:r>
    </w:p>
    <w:p w14:paraId="5BEE57FA" w14:textId="77777777" w:rsidR="009D57D0" w:rsidRPr="00BC479C" w:rsidRDefault="009D57D0" w:rsidP="00CE1E11">
      <w:pPr>
        <w:pStyle w:val="Tekstpodstawowy"/>
        <w:spacing w:before="0" w:after="0" w:line="240" w:lineRule="auto"/>
        <w:rPr>
          <w:sz w:val="22"/>
          <w:szCs w:val="22"/>
        </w:rPr>
      </w:pPr>
    </w:p>
    <w:p w14:paraId="61B1FEFD" w14:textId="77777777" w:rsidR="009D57D0" w:rsidRPr="00BC479C" w:rsidRDefault="009D57D0" w:rsidP="00777055">
      <w:pPr>
        <w:pStyle w:val="Nagwek3"/>
      </w:pPr>
      <w:r w:rsidRPr="00BC479C">
        <w:t xml:space="preserve">Ciąg kanalizacji </w:t>
      </w:r>
    </w:p>
    <w:p w14:paraId="049022B4"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rury ułożone w wykopie jeden za drugim i połączone pojedynczo lub w zestawach pozwalających uzyskać potrzebną liczbę otworów kanalizacji.</w:t>
      </w:r>
    </w:p>
    <w:p w14:paraId="2890115C" w14:textId="77777777" w:rsidR="009D57D0" w:rsidRPr="00BC479C" w:rsidRDefault="009D57D0" w:rsidP="00CE1E11">
      <w:pPr>
        <w:tabs>
          <w:tab w:val="left" w:pos="360"/>
          <w:tab w:val="left" w:pos="540"/>
        </w:tabs>
        <w:spacing w:after="0" w:line="240" w:lineRule="auto"/>
        <w:rPr>
          <w:rFonts w:ascii="Times New Roman" w:hAnsi="Times New Roman" w:cs="Times New Roman"/>
        </w:rPr>
      </w:pPr>
    </w:p>
    <w:p w14:paraId="39F6B237" w14:textId="77777777" w:rsidR="009D57D0" w:rsidRPr="00BC479C" w:rsidRDefault="009D57D0" w:rsidP="00777055">
      <w:pPr>
        <w:pStyle w:val="Nagwek3"/>
      </w:pPr>
      <w:r w:rsidRPr="00BC479C">
        <w:t>Ciąg kanału technologicznego</w:t>
      </w:r>
    </w:p>
    <w:p w14:paraId="481FBFDF" w14:textId="77777777" w:rsidR="009D57D0" w:rsidRPr="00BC479C" w:rsidRDefault="009D57D0" w:rsidP="00CE1E11">
      <w:pPr>
        <w:tabs>
          <w:tab w:val="left" w:pos="360"/>
          <w:tab w:val="left" w:pos="540"/>
        </w:tabs>
        <w:spacing w:after="0" w:line="240" w:lineRule="auto"/>
        <w:rPr>
          <w:rFonts w:ascii="Times New Roman" w:hAnsi="Times New Roman" w:cs="Times New Roman"/>
        </w:rPr>
      </w:pPr>
      <w:r w:rsidRPr="00BC479C">
        <w:rPr>
          <w:rFonts w:ascii="Times New Roman" w:hAnsi="Times New Roman" w:cs="Times New Roman"/>
        </w:rPr>
        <w:t>– odcinek między sąsiednimi studniami kablowymi lub zasobnikami, ułożonych jeden za drugim i połączonych ze sobą elementów kanału technologicznego, zakopanych w ziemi lub umieszczonych w konstrukcjach drogowych obiektów inżynierskich.</w:t>
      </w:r>
    </w:p>
    <w:p w14:paraId="0510AA54" w14:textId="77777777" w:rsidR="009D57D0" w:rsidRPr="00BC479C" w:rsidRDefault="009D57D0" w:rsidP="00CE1E11">
      <w:pPr>
        <w:pStyle w:val="Tekstpodstawowy"/>
        <w:spacing w:before="0" w:after="0" w:line="240" w:lineRule="auto"/>
        <w:rPr>
          <w:sz w:val="22"/>
          <w:szCs w:val="22"/>
        </w:rPr>
      </w:pPr>
    </w:p>
    <w:p w14:paraId="6B630399" w14:textId="77777777" w:rsidR="009D57D0" w:rsidRPr="00BC479C" w:rsidRDefault="009D57D0" w:rsidP="00777055">
      <w:pPr>
        <w:pStyle w:val="Nagwek3"/>
      </w:pPr>
      <w:r w:rsidRPr="00BC479C">
        <w:t xml:space="preserve"> Kanał technologiczny przepustowy KTp </w:t>
      </w:r>
    </w:p>
    <w:p w14:paraId="508DEF6E"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ciąg kanału technologicznego usytuowany w pasie drogowym, przebiegający pod przeszkodami terenowymi, </w:t>
      </w:r>
      <w:r w:rsidRPr="00BC479C">
        <w:rPr>
          <w:rFonts w:ascii="Times New Roman" w:hAnsi="Times New Roman" w:cs="Times New Roman"/>
        </w:rPr>
        <w:br/>
        <w:t>w szczególności pod konstrukcją nawierzchni drogowych, utwardzonych poboczy oraz pod miejscami postojowymi przeznaczonymi dla wszystkich rodzajów pojazdów drogowych, a także w miejscach zbliżeń i skrzyżowań z innymi obiektami budowlanymi</w:t>
      </w:r>
    </w:p>
    <w:p w14:paraId="702729B2" w14:textId="77777777" w:rsidR="009D57D0" w:rsidRPr="00BC479C" w:rsidRDefault="009D57D0" w:rsidP="00CE1E11">
      <w:pPr>
        <w:pStyle w:val="Tekstpodstawowy"/>
        <w:spacing w:before="0" w:after="0" w:line="240" w:lineRule="auto"/>
        <w:rPr>
          <w:sz w:val="22"/>
          <w:szCs w:val="22"/>
        </w:rPr>
      </w:pPr>
    </w:p>
    <w:p w14:paraId="29779098" w14:textId="77777777" w:rsidR="009D57D0" w:rsidRPr="00BC479C" w:rsidRDefault="009D57D0" w:rsidP="00777055">
      <w:pPr>
        <w:pStyle w:val="Nagwek3"/>
      </w:pPr>
      <w:r w:rsidRPr="00BC479C">
        <w:t xml:space="preserve">Kanał technologiczny uliczny KTu </w:t>
      </w:r>
    </w:p>
    <w:p w14:paraId="6AF2E5AB" w14:textId="77777777" w:rsidR="009D57D0" w:rsidRPr="00BC479C" w:rsidRDefault="009D57D0" w:rsidP="00CE1E11">
      <w:pPr>
        <w:pStyle w:val="Tekstpodstawowy"/>
        <w:spacing w:before="0" w:after="0" w:line="240" w:lineRule="auto"/>
        <w:rPr>
          <w:sz w:val="22"/>
          <w:szCs w:val="22"/>
        </w:rPr>
      </w:pPr>
      <w:r w:rsidRPr="00BC479C">
        <w:rPr>
          <w:sz w:val="22"/>
          <w:szCs w:val="22"/>
        </w:rPr>
        <w:t>– ciąg kanału technologicznego usytuowany w pasie drogowym, w szczególności w miejscach przeznaczonych wyłącznie dla pieszych i rowerzystów oraz obszarach parkingowych przeznaczonych dla samochodów osobowych, a także w przypadkach współwykorzystania z innymi obiektami budowlanymi.</w:t>
      </w:r>
    </w:p>
    <w:p w14:paraId="0361B1C8" w14:textId="77777777" w:rsidR="009D57D0" w:rsidRPr="00BC479C" w:rsidRDefault="009D57D0" w:rsidP="00CE1E11">
      <w:pPr>
        <w:pStyle w:val="Tekstpodstawowy"/>
        <w:spacing w:before="0" w:after="0" w:line="240" w:lineRule="auto"/>
        <w:rPr>
          <w:sz w:val="22"/>
          <w:szCs w:val="22"/>
        </w:rPr>
      </w:pPr>
    </w:p>
    <w:p w14:paraId="55EE056B" w14:textId="77777777" w:rsidR="009D57D0" w:rsidRPr="00BC479C" w:rsidRDefault="009D57D0" w:rsidP="00777055">
      <w:pPr>
        <w:pStyle w:val="Nagwek3"/>
      </w:pPr>
      <w:r w:rsidRPr="00BC479C">
        <w:t xml:space="preserve">Studnia kablowa </w:t>
      </w:r>
    </w:p>
    <w:p w14:paraId="2752C9D1"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pomieszczenia podziemne wbudowane między ciągi kanalizacji kablowej w celu umożliwienia wciągania, montażu i konserwacji kabli.</w:t>
      </w:r>
    </w:p>
    <w:p w14:paraId="2E1518A4" w14:textId="77777777" w:rsidR="009D57D0" w:rsidRPr="00BC479C" w:rsidRDefault="009D57D0" w:rsidP="00CE1E11">
      <w:pPr>
        <w:spacing w:after="0" w:line="240" w:lineRule="auto"/>
        <w:rPr>
          <w:rFonts w:ascii="Times New Roman" w:hAnsi="Times New Roman" w:cs="Times New Roman"/>
        </w:rPr>
      </w:pPr>
    </w:p>
    <w:p w14:paraId="7A5F0A84" w14:textId="77777777" w:rsidR="009D57D0" w:rsidRPr="00BC479C" w:rsidRDefault="009D57D0" w:rsidP="00777055">
      <w:pPr>
        <w:pStyle w:val="Nagwek3"/>
      </w:pPr>
      <w:r w:rsidRPr="00BC479C">
        <w:t xml:space="preserve">Studnia kablowa magistralna </w:t>
      </w:r>
    </w:p>
    <w:p w14:paraId="2B2359F9"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studnia kablowa wbudowana między ciągi kanalizacji magistralnej.</w:t>
      </w:r>
    </w:p>
    <w:p w14:paraId="063F6E37" w14:textId="77777777" w:rsidR="009D57D0" w:rsidRPr="009D57D0" w:rsidRDefault="009D57D0" w:rsidP="00777055">
      <w:pPr>
        <w:pStyle w:val="Nagwek3"/>
      </w:pPr>
    </w:p>
    <w:p w14:paraId="4A73F5C4" w14:textId="77777777" w:rsidR="009D57D0" w:rsidRPr="00BC479C" w:rsidRDefault="009D57D0" w:rsidP="00777055">
      <w:pPr>
        <w:pStyle w:val="Nagwek3"/>
      </w:pPr>
      <w:r w:rsidRPr="00BC479C">
        <w:t xml:space="preserve">Studnia kablowa rozdzielcza </w:t>
      </w:r>
    </w:p>
    <w:p w14:paraId="5DA84C79"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studnia kablowa wbudowana między ciągi kanalizacji rozdzielczej.</w:t>
      </w:r>
    </w:p>
    <w:p w14:paraId="1C8AA9DB" w14:textId="77777777" w:rsidR="009D57D0" w:rsidRPr="00BC479C" w:rsidRDefault="009D57D0" w:rsidP="00CE1E11">
      <w:pPr>
        <w:pStyle w:val="Tekstpodstawowy"/>
        <w:spacing w:before="0" w:after="0" w:line="240" w:lineRule="auto"/>
        <w:rPr>
          <w:sz w:val="22"/>
          <w:szCs w:val="22"/>
        </w:rPr>
      </w:pPr>
    </w:p>
    <w:p w14:paraId="0EA2FF9E" w14:textId="77777777" w:rsidR="009D57D0" w:rsidRPr="00BC479C" w:rsidRDefault="009D57D0" w:rsidP="00777055">
      <w:pPr>
        <w:pStyle w:val="Nagwek3"/>
      </w:pPr>
      <w:r w:rsidRPr="00BC479C">
        <w:t xml:space="preserve">Komora studni </w:t>
      </w:r>
    </w:p>
    <w:p w14:paraId="1E3507B3"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środkowa część studni kablowej </w:t>
      </w:r>
    </w:p>
    <w:p w14:paraId="73751373" w14:textId="77777777" w:rsidR="009D57D0" w:rsidRPr="00BC479C" w:rsidRDefault="009D57D0" w:rsidP="00CE1E11">
      <w:pPr>
        <w:pStyle w:val="Tekstpodstawowy"/>
        <w:spacing w:before="0" w:after="0" w:line="240" w:lineRule="auto"/>
        <w:rPr>
          <w:sz w:val="22"/>
          <w:szCs w:val="22"/>
        </w:rPr>
      </w:pPr>
    </w:p>
    <w:p w14:paraId="6D78102C" w14:textId="77777777" w:rsidR="009D57D0" w:rsidRPr="00BC479C" w:rsidRDefault="009D57D0" w:rsidP="00777055">
      <w:pPr>
        <w:pStyle w:val="Nagwek3"/>
      </w:pPr>
      <w:r w:rsidRPr="00BC479C">
        <w:t xml:space="preserve">Gardło studni </w:t>
      </w:r>
    </w:p>
    <w:p w14:paraId="32114951"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zwężona część studni między komorą a czołem zestawów kanalizacji wprowadzanych do studni kablowych</w:t>
      </w:r>
    </w:p>
    <w:p w14:paraId="5C368077" w14:textId="77777777" w:rsidR="009D57D0" w:rsidRPr="00BC479C" w:rsidRDefault="009D57D0" w:rsidP="00CE1E11">
      <w:pPr>
        <w:pStyle w:val="Tekstpodstawowy"/>
        <w:spacing w:before="0" w:after="0" w:line="240" w:lineRule="auto"/>
        <w:rPr>
          <w:sz w:val="22"/>
          <w:szCs w:val="22"/>
        </w:rPr>
      </w:pPr>
    </w:p>
    <w:p w14:paraId="31EB3F7B" w14:textId="77777777" w:rsidR="009D57D0" w:rsidRPr="00BC479C" w:rsidRDefault="009D57D0" w:rsidP="00777055">
      <w:pPr>
        <w:pStyle w:val="Nagwek3"/>
      </w:pPr>
      <w:r w:rsidRPr="00BC479C">
        <w:t xml:space="preserve">Osadnik studni </w:t>
      </w:r>
    </w:p>
    <w:p w14:paraId="28EF1AE4"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zagłębienie w dnie studni i stanowiące zbiornik wody ściekowej.</w:t>
      </w:r>
    </w:p>
    <w:p w14:paraId="77E7620F" w14:textId="77777777" w:rsidR="009D57D0" w:rsidRPr="00BC479C" w:rsidRDefault="009D57D0" w:rsidP="00CE1E11">
      <w:pPr>
        <w:pStyle w:val="Tekstpodstawowy"/>
        <w:spacing w:before="0" w:after="0" w:line="240" w:lineRule="auto"/>
        <w:rPr>
          <w:sz w:val="22"/>
          <w:szCs w:val="22"/>
        </w:rPr>
      </w:pPr>
    </w:p>
    <w:p w14:paraId="02A9D35D" w14:textId="77777777" w:rsidR="009D57D0" w:rsidRPr="00BC479C" w:rsidRDefault="009D57D0" w:rsidP="00777055">
      <w:pPr>
        <w:pStyle w:val="Nagwek3"/>
      </w:pPr>
      <w:r w:rsidRPr="00BC479C">
        <w:t xml:space="preserve">Właz studni </w:t>
      </w:r>
    </w:p>
    <w:p w14:paraId="481E3847"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otwór wejściowy do studni kablowej zamykany pokrywą.</w:t>
      </w:r>
    </w:p>
    <w:p w14:paraId="4A61DD0D" w14:textId="77777777" w:rsidR="009D57D0" w:rsidRPr="00BC479C" w:rsidRDefault="009D57D0" w:rsidP="00CE1E11">
      <w:pPr>
        <w:pStyle w:val="Tekstpodstawowy"/>
        <w:spacing w:before="0" w:after="0" w:line="240" w:lineRule="auto"/>
        <w:rPr>
          <w:sz w:val="22"/>
          <w:szCs w:val="22"/>
        </w:rPr>
      </w:pPr>
    </w:p>
    <w:p w14:paraId="276A23BA" w14:textId="77777777" w:rsidR="009D57D0" w:rsidRPr="00BC479C" w:rsidRDefault="009D57D0" w:rsidP="00777055">
      <w:pPr>
        <w:pStyle w:val="Nagwek3"/>
      </w:pPr>
      <w:r w:rsidRPr="00BC479C">
        <w:t xml:space="preserve">Rama włazu </w:t>
      </w:r>
    </w:p>
    <w:p w14:paraId="2DE94E8B"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obramowanie włazu studni kablowej.</w:t>
      </w:r>
    </w:p>
    <w:p w14:paraId="6A76F845" w14:textId="77777777" w:rsidR="009D57D0" w:rsidRPr="00BC479C" w:rsidRDefault="009D57D0" w:rsidP="00CE1E11">
      <w:pPr>
        <w:pStyle w:val="Tekstpodstawowy"/>
        <w:spacing w:before="0" w:after="0" w:line="240" w:lineRule="auto"/>
        <w:rPr>
          <w:sz w:val="22"/>
          <w:szCs w:val="22"/>
        </w:rPr>
      </w:pPr>
    </w:p>
    <w:p w14:paraId="711F5DBC" w14:textId="77777777" w:rsidR="009D57D0" w:rsidRPr="00BC479C" w:rsidRDefault="009D57D0" w:rsidP="00777055">
      <w:pPr>
        <w:pStyle w:val="Nagwek3"/>
      </w:pPr>
      <w:r w:rsidRPr="00BC479C">
        <w:lastRenderedPageBreak/>
        <w:t xml:space="preserve">Pokrywa studni </w:t>
      </w:r>
    </w:p>
    <w:p w14:paraId="5B5BDA00"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oprawa wypełniona betonem lub asfaltem.</w:t>
      </w:r>
    </w:p>
    <w:p w14:paraId="6DC710A2" w14:textId="77777777" w:rsidR="009D57D0" w:rsidRPr="00BC479C" w:rsidRDefault="009D57D0" w:rsidP="00CE1E11">
      <w:pPr>
        <w:pStyle w:val="Tekstpodstawowy"/>
        <w:spacing w:before="0" w:after="0" w:line="240" w:lineRule="auto"/>
        <w:rPr>
          <w:sz w:val="22"/>
          <w:szCs w:val="22"/>
        </w:rPr>
      </w:pPr>
    </w:p>
    <w:p w14:paraId="08D60081" w14:textId="77777777" w:rsidR="009D57D0" w:rsidRPr="00BC479C" w:rsidRDefault="009D57D0" w:rsidP="00777055">
      <w:pPr>
        <w:pStyle w:val="Nagwek3"/>
      </w:pPr>
      <w:r w:rsidRPr="00BC479C">
        <w:t xml:space="preserve">Wietrznik studni </w:t>
      </w:r>
    </w:p>
    <w:p w14:paraId="14DE0CD6"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tarcza żeliwna z otworami do wietrzenia studni osadzona w pokrywie</w:t>
      </w:r>
    </w:p>
    <w:p w14:paraId="259F3B85" w14:textId="77777777" w:rsidR="009D57D0" w:rsidRPr="00BC479C" w:rsidRDefault="009D57D0" w:rsidP="00CE1E11">
      <w:pPr>
        <w:pStyle w:val="Tekstpodstawowy"/>
        <w:spacing w:before="0" w:after="0" w:line="240" w:lineRule="auto"/>
        <w:rPr>
          <w:sz w:val="22"/>
          <w:szCs w:val="22"/>
        </w:rPr>
      </w:pPr>
    </w:p>
    <w:p w14:paraId="68BB259F" w14:textId="77777777" w:rsidR="009D57D0" w:rsidRPr="00BC479C" w:rsidRDefault="009D57D0" w:rsidP="00777055">
      <w:pPr>
        <w:pStyle w:val="Nagwek3"/>
      </w:pPr>
      <w:r w:rsidRPr="00BC479C">
        <w:t xml:space="preserve">Ucho do wciągania kabli </w:t>
      </w:r>
    </w:p>
    <w:p w14:paraId="6E9F2976"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wygięty pręt stalowy przeznaczony do mocowania krążka kierunkowego przy wciąganiu i wyciąganiu kabli.</w:t>
      </w:r>
    </w:p>
    <w:p w14:paraId="6B0698DD" w14:textId="77777777" w:rsidR="009D57D0" w:rsidRPr="00BC479C" w:rsidRDefault="009D57D0" w:rsidP="00CE1E11">
      <w:pPr>
        <w:pStyle w:val="Tekstpodstawowy"/>
        <w:spacing w:before="0" w:after="0" w:line="240" w:lineRule="auto"/>
        <w:rPr>
          <w:sz w:val="22"/>
          <w:szCs w:val="22"/>
        </w:rPr>
      </w:pPr>
    </w:p>
    <w:p w14:paraId="77234002" w14:textId="77777777" w:rsidR="009D57D0" w:rsidRPr="00BC479C" w:rsidRDefault="009D57D0" w:rsidP="00777055">
      <w:pPr>
        <w:pStyle w:val="Nagwek3"/>
      </w:pPr>
      <w:r w:rsidRPr="00BC479C">
        <w:t xml:space="preserve">Słupek wspornikowy studni </w:t>
      </w:r>
    </w:p>
    <w:p w14:paraId="1E5B71F5"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odcinek rury stalowej osadzony w studni przeznaczony do montowania wsporników kablowych.</w:t>
      </w:r>
    </w:p>
    <w:p w14:paraId="352F86C4" w14:textId="77777777" w:rsidR="009D57D0" w:rsidRPr="00BC479C" w:rsidRDefault="009D57D0" w:rsidP="00CE1E11">
      <w:pPr>
        <w:pStyle w:val="Tekstpodstawowy"/>
        <w:spacing w:before="0" w:after="0" w:line="240" w:lineRule="auto"/>
        <w:rPr>
          <w:sz w:val="22"/>
          <w:szCs w:val="22"/>
        </w:rPr>
      </w:pPr>
    </w:p>
    <w:p w14:paraId="7B51E0F8" w14:textId="77777777" w:rsidR="009D57D0" w:rsidRPr="00BC479C" w:rsidRDefault="009D57D0" w:rsidP="00777055">
      <w:pPr>
        <w:pStyle w:val="Nagwek3"/>
      </w:pPr>
      <w:r w:rsidRPr="00BC479C">
        <w:t xml:space="preserve">Rura kanalizacji kablowej pierwotnej </w:t>
      </w:r>
    </w:p>
    <w:p w14:paraId="0F308D26"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rura osłonowa z polipropylenu (PP) lub innego materiału o nie gorszych właściwościach, a także rura stalowa, stosowana do zestawiania ciągów kanalizacji kablowej.</w:t>
      </w:r>
    </w:p>
    <w:p w14:paraId="54A39271" w14:textId="77777777" w:rsidR="009D57D0" w:rsidRPr="00BC479C" w:rsidRDefault="009D57D0" w:rsidP="00CE1E11">
      <w:pPr>
        <w:pStyle w:val="Tekstpodstawowy"/>
        <w:tabs>
          <w:tab w:val="left" w:pos="540"/>
        </w:tabs>
        <w:spacing w:before="0" w:after="0" w:line="240" w:lineRule="auto"/>
        <w:rPr>
          <w:sz w:val="22"/>
          <w:szCs w:val="22"/>
        </w:rPr>
      </w:pPr>
    </w:p>
    <w:p w14:paraId="2235D644" w14:textId="77777777" w:rsidR="009D57D0" w:rsidRPr="00BC479C" w:rsidRDefault="009D57D0" w:rsidP="00777055">
      <w:pPr>
        <w:pStyle w:val="Nagwek3"/>
      </w:pPr>
      <w:r w:rsidRPr="00BC479C">
        <w:t xml:space="preserve">Rura cienkościenna (kanalizacji pierwotnej)  </w:t>
      </w:r>
    </w:p>
    <w:p w14:paraId="0669A0AF" w14:textId="77777777" w:rsidR="009D57D0" w:rsidRPr="00BC479C" w:rsidRDefault="009D57D0" w:rsidP="00904E6C">
      <w:pPr>
        <w:numPr>
          <w:ilvl w:val="0"/>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rura z tworzywa termoplastycznego  o grubości ścianki od 2 do 5 mm, przeznaczona do budowy ciągów kanalizacyjnych w miejscach o mniejszym zagrożeniu uszkodzeniami mechanicznymi.</w:t>
      </w:r>
    </w:p>
    <w:p w14:paraId="1D4612F9" w14:textId="77777777" w:rsidR="009D57D0" w:rsidRPr="00BC479C" w:rsidRDefault="009D57D0" w:rsidP="00CE1E11">
      <w:pPr>
        <w:pStyle w:val="Tekstpodstawowy"/>
        <w:spacing w:before="0" w:after="0" w:line="240" w:lineRule="auto"/>
        <w:rPr>
          <w:sz w:val="22"/>
          <w:szCs w:val="22"/>
        </w:rPr>
      </w:pPr>
    </w:p>
    <w:p w14:paraId="2452932E" w14:textId="77777777" w:rsidR="009D57D0" w:rsidRPr="00BC479C" w:rsidRDefault="009D57D0" w:rsidP="00777055">
      <w:pPr>
        <w:pStyle w:val="Nagwek3"/>
      </w:pPr>
      <w:r w:rsidRPr="00BC479C">
        <w:t xml:space="preserve">Rura grubościenna (kanalizacji pierwotnej) </w:t>
      </w:r>
    </w:p>
    <w:p w14:paraId="0EE51272" w14:textId="77777777" w:rsidR="009D57D0" w:rsidRPr="00BC479C" w:rsidRDefault="009D57D0" w:rsidP="00904E6C">
      <w:pPr>
        <w:numPr>
          <w:ilvl w:val="0"/>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rura z tworzywa termoplastycznego  o grubości ścianki nie mniejszej niż5 mm, przeznaczona do budowy ciągów kanalizacyjnych w miejscach  szczególnie obciążonych np. pod jezdniami, placami, torowiskami itp.</w:t>
      </w:r>
    </w:p>
    <w:p w14:paraId="050164E0" w14:textId="77777777" w:rsidR="009D57D0" w:rsidRPr="00BC479C" w:rsidRDefault="009D57D0" w:rsidP="00CE1E11">
      <w:pPr>
        <w:pStyle w:val="Tekstpodstawowy"/>
        <w:spacing w:before="0" w:after="0" w:line="240" w:lineRule="auto"/>
        <w:rPr>
          <w:sz w:val="22"/>
          <w:szCs w:val="22"/>
        </w:rPr>
      </w:pPr>
    </w:p>
    <w:p w14:paraId="2187A777" w14:textId="77777777" w:rsidR="009D57D0" w:rsidRPr="00BC479C" w:rsidRDefault="009D57D0" w:rsidP="00777055">
      <w:pPr>
        <w:pStyle w:val="Nagwek3"/>
      </w:pPr>
      <w:r w:rsidRPr="00BC479C">
        <w:t xml:space="preserve">Rura specjalna </w:t>
      </w:r>
    </w:p>
    <w:p w14:paraId="6C303BA5"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rura grubościenna do budowa przejść kanalizacji przez przeszkody terenowe.</w:t>
      </w:r>
    </w:p>
    <w:p w14:paraId="116D2AB8" w14:textId="77777777" w:rsidR="009D57D0" w:rsidRPr="00BC479C" w:rsidRDefault="009D57D0" w:rsidP="00CE1E11">
      <w:pPr>
        <w:pStyle w:val="Tekstpodstawowy"/>
        <w:spacing w:before="0" w:after="0" w:line="240" w:lineRule="auto"/>
        <w:rPr>
          <w:sz w:val="22"/>
          <w:szCs w:val="22"/>
        </w:rPr>
      </w:pPr>
    </w:p>
    <w:p w14:paraId="240C9F66" w14:textId="77777777" w:rsidR="009D57D0" w:rsidRPr="00BC479C" w:rsidRDefault="009D57D0" w:rsidP="00777055">
      <w:pPr>
        <w:pStyle w:val="Nagwek3"/>
      </w:pPr>
      <w:r w:rsidRPr="00BC479C">
        <w:t xml:space="preserve">Rura przepustowa </w:t>
      </w:r>
    </w:p>
    <w:p w14:paraId="134BDBA2"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rura grubościenna z tworzywa sztucznego, rura stalowa lub z innego materiału o nie gorszych właściwościach, przeznaczona do budowy przepustów dla kabli lub rurociągów kablowych w miejscach z krzyżowań z innymi urządzeniami uzbrojenia terenowego lub z drogami i torami.</w:t>
      </w:r>
    </w:p>
    <w:p w14:paraId="60358594" w14:textId="77777777" w:rsidR="009D57D0" w:rsidRPr="00BC479C" w:rsidRDefault="009D57D0" w:rsidP="00CE1E11">
      <w:pPr>
        <w:tabs>
          <w:tab w:val="left" w:pos="540"/>
        </w:tabs>
        <w:spacing w:after="0" w:line="240" w:lineRule="auto"/>
        <w:ind w:left="540" w:hanging="540"/>
        <w:rPr>
          <w:rFonts w:ascii="Times New Roman" w:hAnsi="Times New Roman" w:cs="Times New Roman"/>
        </w:rPr>
      </w:pPr>
    </w:p>
    <w:p w14:paraId="005273A8" w14:textId="77777777" w:rsidR="009D57D0" w:rsidRPr="00BC479C" w:rsidRDefault="009D57D0" w:rsidP="00777055">
      <w:pPr>
        <w:pStyle w:val="Nagwek3"/>
      </w:pPr>
      <w:r w:rsidRPr="00BC479C">
        <w:t xml:space="preserve">Złączka rurowa </w:t>
      </w:r>
    </w:p>
    <w:p w14:paraId="762BB54A"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element osprzętu służący do połączenia rur polietylenowych lub innych, z których budowana jest kanalizacja pierwotna, wtórna lub rurociąg kablowy.</w:t>
      </w:r>
    </w:p>
    <w:p w14:paraId="05D6E01C" w14:textId="77777777" w:rsidR="009D57D0" w:rsidRPr="00BC479C" w:rsidRDefault="009D57D0" w:rsidP="00CE1E11">
      <w:pPr>
        <w:spacing w:after="0" w:line="240" w:lineRule="auto"/>
        <w:rPr>
          <w:rFonts w:ascii="Times New Roman" w:hAnsi="Times New Roman" w:cs="Times New Roman"/>
        </w:rPr>
      </w:pPr>
    </w:p>
    <w:p w14:paraId="1F603637" w14:textId="77777777" w:rsidR="009D57D0" w:rsidRPr="00BC479C" w:rsidRDefault="009D57D0" w:rsidP="00777055">
      <w:pPr>
        <w:pStyle w:val="Nagwek3"/>
      </w:pPr>
      <w:r w:rsidRPr="00BC479C">
        <w:t xml:space="preserve">Uszczelki końców rur </w:t>
      </w:r>
    </w:p>
    <w:p w14:paraId="490C9D9E"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zespół elementów służących do uszczelnienia rur kanalizacji kablowej wraz z ułożonymi w nich kablami lub rurami polietylenowymi kanalizacji wtórnej i rurociągów kablowych wraz z ułożonymi w nich kablami, a także do uszczelnienia wszystkich rodzajów rur pustych.</w:t>
      </w:r>
    </w:p>
    <w:p w14:paraId="040794BD" w14:textId="77777777" w:rsidR="009D57D0" w:rsidRPr="00BC479C" w:rsidRDefault="009D57D0" w:rsidP="00CE1E11">
      <w:pPr>
        <w:pStyle w:val="Tekstpodstawowy"/>
        <w:spacing w:before="0" w:after="0" w:line="240" w:lineRule="auto"/>
        <w:rPr>
          <w:sz w:val="22"/>
          <w:szCs w:val="22"/>
        </w:rPr>
      </w:pPr>
    </w:p>
    <w:p w14:paraId="31E1BE13" w14:textId="77777777" w:rsidR="009D57D0" w:rsidRPr="00BC479C" w:rsidRDefault="009D57D0" w:rsidP="00777055">
      <w:pPr>
        <w:pStyle w:val="Nagwek3"/>
      </w:pPr>
      <w:r w:rsidRPr="00BC479C">
        <w:t xml:space="preserve">Przywieszka identyfikacyjna </w:t>
      </w:r>
    </w:p>
    <w:p w14:paraId="3C45A735"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element mocowany do kabla lub rury kanalizacji wtórnej pozwalający na ich identyfikację na podstawie oględzin</w:t>
      </w:r>
    </w:p>
    <w:p w14:paraId="572C80F5" w14:textId="77777777" w:rsidR="009D57D0" w:rsidRPr="00BC479C" w:rsidRDefault="009D57D0" w:rsidP="00CE1E11">
      <w:pPr>
        <w:pStyle w:val="Tekstpodstawowy"/>
        <w:spacing w:before="0" w:after="0" w:line="240" w:lineRule="auto"/>
        <w:rPr>
          <w:sz w:val="22"/>
          <w:szCs w:val="22"/>
        </w:rPr>
      </w:pPr>
    </w:p>
    <w:p w14:paraId="615C15A3" w14:textId="77777777" w:rsidR="009D57D0" w:rsidRPr="00BC479C" w:rsidRDefault="009D57D0" w:rsidP="00777055">
      <w:pPr>
        <w:pStyle w:val="Nagwek3"/>
      </w:pPr>
      <w:r w:rsidRPr="00BC479C">
        <w:t xml:space="preserve">Taśma ostrzegawcza </w:t>
      </w:r>
    </w:p>
    <w:p w14:paraId="24B6F7DE"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taśma zazwyczaj polietylenowa z napisem UWAGA! KABEL ŚWIATŁOWODOWY lub UWAGA! KABEL TELEKOMUNIKACYJNY układana nad kablem lub rurociągiem kablowym w celu ostrzeżenia o zakopanym kablu telekomunikacyjnym.</w:t>
      </w:r>
    </w:p>
    <w:p w14:paraId="1A4FB779" w14:textId="77777777" w:rsidR="009D57D0" w:rsidRPr="00BC479C" w:rsidRDefault="009D57D0" w:rsidP="00CE1E11">
      <w:pPr>
        <w:pStyle w:val="Tekstpodstawowy"/>
        <w:spacing w:before="0" w:after="0" w:line="240" w:lineRule="auto"/>
        <w:rPr>
          <w:sz w:val="22"/>
          <w:szCs w:val="22"/>
        </w:rPr>
      </w:pPr>
    </w:p>
    <w:p w14:paraId="7F3E5CCB" w14:textId="77777777" w:rsidR="009D57D0" w:rsidRPr="00BC479C" w:rsidRDefault="009D57D0" w:rsidP="00777055">
      <w:pPr>
        <w:pStyle w:val="Nagwek3"/>
      </w:pPr>
      <w:r w:rsidRPr="00BC479C">
        <w:lastRenderedPageBreak/>
        <w:t xml:space="preserve">Taśma ostrzegawczo – lokalizacyjna </w:t>
      </w:r>
    </w:p>
    <w:p w14:paraId="167ACEA9" w14:textId="77777777" w:rsidR="009D57D0" w:rsidRPr="00BC479C" w:rsidRDefault="009D57D0" w:rsidP="00904E6C">
      <w:pPr>
        <w:numPr>
          <w:ilvl w:val="1"/>
          <w:numId w:val="227"/>
        </w:numPr>
        <w:tabs>
          <w:tab w:val="clear" w:pos="283"/>
          <w:tab w:val="left" w:pos="0"/>
          <w:tab w:val="left" w:pos="360"/>
          <w:tab w:val="left" w:pos="540"/>
        </w:tabs>
        <w:suppressAutoHyphens/>
        <w:spacing w:after="0" w:line="240" w:lineRule="auto"/>
        <w:jc w:val="both"/>
        <w:rPr>
          <w:rFonts w:ascii="Times New Roman" w:hAnsi="Times New Roman" w:cs="Times New Roman"/>
        </w:rPr>
      </w:pPr>
      <w:r w:rsidRPr="00BC479C">
        <w:rPr>
          <w:rFonts w:ascii="Times New Roman" w:hAnsi="Times New Roman" w:cs="Times New Roman"/>
        </w:rPr>
        <w:t>taśma zazwyczaj polietylenowa z napisem UWAGA! KABEL ŚWIATŁOWODOWY zawierająca czynnik lokalizacyjny np. taśmę stalową i układana nad rurociągiem kablowym.</w:t>
      </w:r>
    </w:p>
    <w:p w14:paraId="0056E711" w14:textId="77777777" w:rsidR="009D57D0" w:rsidRPr="00BC479C" w:rsidRDefault="009D57D0" w:rsidP="00CE1E11">
      <w:pPr>
        <w:spacing w:after="0" w:line="240" w:lineRule="auto"/>
        <w:rPr>
          <w:rFonts w:ascii="Times New Roman" w:hAnsi="Times New Roman" w:cs="Times New Roman"/>
        </w:rPr>
      </w:pPr>
    </w:p>
    <w:p w14:paraId="20EB1719" w14:textId="77777777" w:rsidR="009D57D0" w:rsidRPr="00BC479C" w:rsidRDefault="009D57D0" w:rsidP="00777055">
      <w:pPr>
        <w:pStyle w:val="Nagwek3"/>
      </w:pPr>
      <w:r w:rsidRPr="00BC479C">
        <w:t xml:space="preserve">Długość trasowa linii kablowej lub jej odcinka </w:t>
      </w:r>
    </w:p>
    <w:p w14:paraId="75E1DC18"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długość przebiegu trasy linii bez uwzględnienia falowania i zapasów kabla. </w:t>
      </w:r>
    </w:p>
    <w:p w14:paraId="74C56DEA" w14:textId="77777777" w:rsidR="009D57D0" w:rsidRPr="00BC479C" w:rsidRDefault="009D57D0" w:rsidP="00CE1E11">
      <w:pPr>
        <w:spacing w:after="0" w:line="240" w:lineRule="auto"/>
        <w:rPr>
          <w:rFonts w:ascii="Times New Roman" w:hAnsi="Times New Roman" w:cs="Times New Roman"/>
        </w:rPr>
      </w:pPr>
    </w:p>
    <w:p w14:paraId="5516AB1C" w14:textId="77777777" w:rsidR="009D57D0" w:rsidRPr="00BC479C" w:rsidRDefault="009D57D0" w:rsidP="00777055">
      <w:pPr>
        <w:pStyle w:val="Nagwek3"/>
      </w:pPr>
      <w:r w:rsidRPr="00BC479C">
        <w:t xml:space="preserve">Długość elektryczna </w:t>
      </w:r>
    </w:p>
    <w:p w14:paraId="61AF29CF"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rzeczywista długość zmontowanego kabla z uwzględnieniem falowania i zapasów kabla. </w:t>
      </w:r>
    </w:p>
    <w:p w14:paraId="17E3E5D5" w14:textId="77777777" w:rsidR="009D57D0" w:rsidRPr="00BC479C" w:rsidRDefault="009D57D0" w:rsidP="00CE1E11">
      <w:pPr>
        <w:spacing w:after="0" w:line="240" w:lineRule="auto"/>
        <w:rPr>
          <w:rFonts w:ascii="Times New Roman" w:hAnsi="Times New Roman" w:cs="Times New Roman"/>
        </w:rPr>
      </w:pPr>
    </w:p>
    <w:p w14:paraId="1CF4EAFB" w14:textId="77777777" w:rsidR="009D57D0" w:rsidRPr="00BC479C" w:rsidRDefault="009D57D0" w:rsidP="00777055">
      <w:pPr>
        <w:pStyle w:val="Nagwek3"/>
      </w:pPr>
      <w:r w:rsidRPr="00BC479C">
        <w:t xml:space="preserve">Falowanie kabla </w:t>
      </w:r>
    </w:p>
    <w:p w14:paraId="7AE76769"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sposób układania kabla, przy którym długość kabla układanego jest większa od długości trasy. na której układa się kabel. </w:t>
      </w:r>
    </w:p>
    <w:p w14:paraId="1A772B3F" w14:textId="77777777" w:rsidR="009D57D0" w:rsidRPr="00BC479C" w:rsidRDefault="009D57D0" w:rsidP="00777055">
      <w:pPr>
        <w:pStyle w:val="Nagwek3"/>
      </w:pPr>
    </w:p>
    <w:p w14:paraId="68C2CC5A" w14:textId="77777777" w:rsidR="009D57D0" w:rsidRPr="00BC479C" w:rsidRDefault="009D57D0" w:rsidP="00777055">
      <w:pPr>
        <w:pStyle w:val="Nagwek3"/>
      </w:pPr>
      <w:r w:rsidRPr="00BC479C">
        <w:t xml:space="preserve">Określenia dotyczące korozji </w:t>
      </w:r>
    </w:p>
    <w:p w14:paraId="142688F1"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wg PN-90/E-05030/10. </w:t>
      </w:r>
    </w:p>
    <w:p w14:paraId="25603CC6" w14:textId="77777777" w:rsidR="009D57D0" w:rsidRPr="00BC479C" w:rsidRDefault="009D57D0" w:rsidP="00CE1E11">
      <w:pPr>
        <w:spacing w:after="0" w:line="240" w:lineRule="auto"/>
        <w:rPr>
          <w:rFonts w:ascii="Times New Roman" w:hAnsi="Times New Roman" w:cs="Times New Roman"/>
        </w:rPr>
      </w:pPr>
    </w:p>
    <w:p w14:paraId="78084CBF" w14:textId="77777777" w:rsidR="009D57D0" w:rsidRPr="00BC479C" w:rsidRDefault="009D57D0" w:rsidP="00777055">
      <w:pPr>
        <w:pStyle w:val="Nagwek3"/>
      </w:pPr>
      <w:r w:rsidRPr="00BC479C">
        <w:t xml:space="preserve">Pozostałe określenia </w:t>
      </w:r>
    </w:p>
    <w:p w14:paraId="71752CE7"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wg PN/T -01001 , PN/T -01002 i PN/T -01003. </w:t>
      </w:r>
    </w:p>
    <w:p w14:paraId="37487AF3" w14:textId="77777777" w:rsidR="009D57D0" w:rsidRPr="00BC479C" w:rsidRDefault="009D57D0" w:rsidP="00CE1E11">
      <w:pPr>
        <w:spacing w:after="0" w:line="240" w:lineRule="auto"/>
        <w:rPr>
          <w:rFonts w:ascii="Times New Roman" w:hAnsi="Times New Roman" w:cs="Times New Roman"/>
        </w:rPr>
      </w:pPr>
    </w:p>
    <w:p w14:paraId="72A19ECE" w14:textId="77777777" w:rsidR="009D57D0" w:rsidRPr="00BC479C" w:rsidRDefault="009D57D0" w:rsidP="00777055">
      <w:pPr>
        <w:pStyle w:val="Nagwek3"/>
      </w:pPr>
      <w:r w:rsidRPr="00BC479C">
        <w:t xml:space="preserve">Odcinek instalacyjny kabla </w:t>
      </w:r>
    </w:p>
    <w:p w14:paraId="3D563F92" w14:textId="77777777" w:rsidR="009D57D0" w:rsidRPr="00BC479C" w:rsidRDefault="009D57D0" w:rsidP="00904E6C">
      <w:pPr>
        <w:numPr>
          <w:ilvl w:val="0"/>
          <w:numId w:val="358"/>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odcinek kabla między dwoma sąsiednimi złączami. </w:t>
      </w:r>
    </w:p>
    <w:p w14:paraId="30D18BE6" w14:textId="77777777" w:rsidR="009D57D0" w:rsidRPr="00BC479C" w:rsidRDefault="009D57D0" w:rsidP="00CE1E11">
      <w:pPr>
        <w:spacing w:after="0" w:line="240" w:lineRule="auto"/>
        <w:rPr>
          <w:rFonts w:ascii="Times New Roman" w:hAnsi="Times New Roman" w:cs="Times New Roman"/>
        </w:rPr>
      </w:pPr>
    </w:p>
    <w:p w14:paraId="71F0B172" w14:textId="77777777" w:rsidR="009D57D0" w:rsidRPr="00BC479C" w:rsidRDefault="009D57D0" w:rsidP="00777055">
      <w:pPr>
        <w:pStyle w:val="Nagwek3"/>
      </w:pPr>
      <w:r w:rsidRPr="00BC479C">
        <w:t>Światłowód (telekomunikacyjny)</w:t>
      </w:r>
    </w:p>
    <w:p w14:paraId="39D459C7"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 xml:space="preserve">element transmisyjny kabla optotelekomunikacyjnego w postaci włókna optycznego, złożonego </w:t>
      </w:r>
      <w:r w:rsidRPr="00BC479C">
        <w:rPr>
          <w:rFonts w:ascii="Times New Roman" w:hAnsi="Times New Roman" w:cs="Times New Roman"/>
          <w:i/>
        </w:rPr>
        <w:t>z </w:t>
      </w:r>
      <w:r w:rsidRPr="00BC479C">
        <w:rPr>
          <w:rFonts w:ascii="Times New Roman" w:hAnsi="Times New Roman" w:cs="Times New Roman"/>
        </w:rPr>
        <w:t>rdzenia i płaszcza wraz z pokryciami, pozwalający na transmisję fali świetlnej.</w:t>
      </w:r>
    </w:p>
    <w:p w14:paraId="2284E868" w14:textId="77777777" w:rsidR="009D57D0" w:rsidRPr="00BC479C" w:rsidRDefault="009D57D0" w:rsidP="00CE1E11">
      <w:pPr>
        <w:tabs>
          <w:tab w:val="left" w:pos="204"/>
        </w:tabs>
        <w:spacing w:after="0" w:line="240" w:lineRule="auto"/>
        <w:rPr>
          <w:rFonts w:ascii="Times New Roman" w:hAnsi="Times New Roman" w:cs="Times New Roman"/>
        </w:rPr>
      </w:pPr>
    </w:p>
    <w:p w14:paraId="5FD4B1B3" w14:textId="77777777" w:rsidR="009D57D0" w:rsidRPr="00BC479C" w:rsidRDefault="009D57D0" w:rsidP="00777055">
      <w:pPr>
        <w:pStyle w:val="Nagwek3"/>
      </w:pPr>
      <w:r w:rsidRPr="00BC479C">
        <w:t>Światłowód jednomodowy</w:t>
      </w:r>
    </w:p>
    <w:p w14:paraId="7DB20AA6"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światłowód (J), w którym rozchodzi się tylko jeden mod, w danym zakresie długości fal.</w:t>
      </w:r>
    </w:p>
    <w:p w14:paraId="324F6E5A" w14:textId="77777777" w:rsidR="009D57D0" w:rsidRPr="00BC479C" w:rsidRDefault="009D57D0" w:rsidP="00CE1E11">
      <w:pPr>
        <w:spacing w:after="0" w:line="240" w:lineRule="auto"/>
        <w:rPr>
          <w:rFonts w:ascii="Times New Roman" w:hAnsi="Times New Roman" w:cs="Times New Roman"/>
        </w:rPr>
      </w:pPr>
    </w:p>
    <w:p w14:paraId="2C4949D7" w14:textId="77777777" w:rsidR="009D57D0" w:rsidRPr="00BC479C" w:rsidRDefault="009D57D0" w:rsidP="00777055">
      <w:pPr>
        <w:pStyle w:val="Nagwek3"/>
      </w:pPr>
      <w:r w:rsidRPr="00BC479C">
        <w:t>Kabel optotelekomunikacyjny</w:t>
      </w:r>
    </w:p>
    <w:p w14:paraId="12A27A1A"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kabel OTK - kabel zawierający światłowody do transmisji telekomunikacyjnej.</w:t>
      </w:r>
    </w:p>
    <w:p w14:paraId="7E32E55F" w14:textId="77777777" w:rsidR="009D57D0" w:rsidRPr="00BC479C" w:rsidRDefault="009D57D0" w:rsidP="00CE1E11">
      <w:pPr>
        <w:tabs>
          <w:tab w:val="left" w:pos="204"/>
        </w:tabs>
        <w:spacing w:after="0" w:line="240" w:lineRule="auto"/>
        <w:rPr>
          <w:rFonts w:ascii="Times New Roman" w:hAnsi="Times New Roman" w:cs="Times New Roman"/>
        </w:rPr>
      </w:pPr>
    </w:p>
    <w:p w14:paraId="01967AFB" w14:textId="77777777" w:rsidR="009D57D0" w:rsidRPr="00BC479C" w:rsidRDefault="009D57D0" w:rsidP="00777055">
      <w:pPr>
        <w:pStyle w:val="Nagwek3"/>
      </w:pPr>
      <w:r w:rsidRPr="00BC479C">
        <w:t>Kabel tubowy</w:t>
      </w:r>
    </w:p>
    <w:p w14:paraId="04F8A044"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kabel optotelekomunikacyjny, zawieraja</w:t>
      </w:r>
      <w:r w:rsidRPr="00BC479C">
        <w:rPr>
          <w:rFonts w:ascii="Times New Roman" w:hAnsi="Times New Roman" w:cs="Times New Roman"/>
          <w:vertAlign w:val="subscript"/>
        </w:rPr>
        <w:t>1</w:t>
      </w:r>
      <w:r w:rsidRPr="00BC479C">
        <w:rPr>
          <w:rFonts w:ascii="Times New Roman" w:hAnsi="Times New Roman" w:cs="Times New Roman"/>
        </w:rPr>
        <w:t>cy w ośrodku światłowody w pokryciu wtórnym, w postaci luźnych tub, skręconych wokół elementu wytrzymałościowego.</w:t>
      </w:r>
    </w:p>
    <w:p w14:paraId="51290335" w14:textId="77777777" w:rsidR="009D57D0" w:rsidRPr="00BC479C" w:rsidRDefault="009D57D0" w:rsidP="00CE1E11">
      <w:pPr>
        <w:tabs>
          <w:tab w:val="left" w:pos="204"/>
        </w:tabs>
        <w:spacing w:after="0" w:line="240" w:lineRule="auto"/>
        <w:rPr>
          <w:rFonts w:ascii="Times New Roman" w:hAnsi="Times New Roman" w:cs="Times New Roman"/>
        </w:rPr>
      </w:pPr>
    </w:p>
    <w:p w14:paraId="2D6CD790" w14:textId="77777777" w:rsidR="009D57D0" w:rsidRPr="00BC479C" w:rsidRDefault="009D57D0" w:rsidP="00777055">
      <w:pPr>
        <w:pStyle w:val="Nagwek3"/>
      </w:pPr>
      <w:r w:rsidRPr="00BC479C">
        <w:t>Kabel (optotelekomunikacyjny) dielektryczny, (d)</w:t>
      </w:r>
    </w:p>
    <w:p w14:paraId="43967898"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kabel optotelekomunikacyjny nie zawierający elementów metalowych</w:t>
      </w:r>
    </w:p>
    <w:p w14:paraId="7E9D2B6B" w14:textId="77777777" w:rsidR="009D57D0" w:rsidRPr="00BC479C" w:rsidRDefault="009D57D0" w:rsidP="00CE1E11">
      <w:pPr>
        <w:tabs>
          <w:tab w:val="left" w:pos="204"/>
        </w:tabs>
        <w:spacing w:after="0" w:line="240" w:lineRule="auto"/>
        <w:rPr>
          <w:rFonts w:ascii="Times New Roman" w:hAnsi="Times New Roman" w:cs="Times New Roman"/>
        </w:rPr>
      </w:pPr>
    </w:p>
    <w:p w14:paraId="6E979DA8" w14:textId="77777777" w:rsidR="009D57D0" w:rsidRPr="00BC479C" w:rsidRDefault="009D57D0" w:rsidP="00777055">
      <w:pPr>
        <w:pStyle w:val="Nagwek3"/>
      </w:pPr>
      <w:r w:rsidRPr="00BC479C">
        <w:t>Łącznik światłowodu</w:t>
      </w:r>
    </w:p>
    <w:p w14:paraId="4988248D" w14:textId="77777777" w:rsidR="009D57D0" w:rsidRPr="00BC479C" w:rsidRDefault="009D57D0" w:rsidP="00904E6C">
      <w:pPr>
        <w:numPr>
          <w:ilvl w:val="0"/>
          <w:numId w:val="354"/>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element osprzętu stosowany do trwałego łączenia włókien światłowodowych</w:t>
      </w:r>
    </w:p>
    <w:p w14:paraId="06EF0C11" w14:textId="77777777" w:rsidR="009D57D0" w:rsidRPr="00BC479C" w:rsidRDefault="009D57D0" w:rsidP="00CE1E11">
      <w:pPr>
        <w:tabs>
          <w:tab w:val="left" w:pos="204"/>
        </w:tabs>
        <w:spacing w:after="0" w:line="240" w:lineRule="auto"/>
        <w:rPr>
          <w:rFonts w:ascii="Times New Roman" w:hAnsi="Times New Roman" w:cs="Times New Roman"/>
        </w:rPr>
      </w:pPr>
    </w:p>
    <w:p w14:paraId="1BAEAFA9"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Pozostałe określenia podane w niniejszej STWiORB są zgodne z odpowiednimi normami oraz określeniami podanymi w STWiORB DM.00.00.00. “Wymagania Ogólne”.</w:t>
      </w:r>
    </w:p>
    <w:p w14:paraId="1795A4D0" w14:textId="77777777" w:rsidR="009D57D0" w:rsidRPr="00BC479C" w:rsidRDefault="009D57D0" w:rsidP="00CE1E11">
      <w:pPr>
        <w:spacing w:after="0" w:line="240" w:lineRule="auto"/>
        <w:rPr>
          <w:rFonts w:ascii="Times New Roman" w:hAnsi="Times New Roman" w:cs="Times New Roman"/>
          <w:b/>
        </w:rPr>
      </w:pPr>
    </w:p>
    <w:p w14:paraId="62E07ECD" w14:textId="77777777" w:rsidR="009D57D0" w:rsidRPr="00BC479C" w:rsidRDefault="009D57D0" w:rsidP="00904E6C">
      <w:pPr>
        <w:pStyle w:val="Nagwek1Title1"/>
        <w:numPr>
          <w:ilvl w:val="0"/>
          <w:numId w:val="365"/>
        </w:numPr>
        <w:jc w:val="both"/>
        <w:rPr>
          <w:sz w:val="22"/>
          <w:szCs w:val="22"/>
        </w:rPr>
      </w:pPr>
      <w:r w:rsidRPr="00BC479C">
        <w:rPr>
          <w:sz w:val="22"/>
          <w:szCs w:val="22"/>
        </w:rPr>
        <w:t>Materiały</w:t>
      </w:r>
    </w:p>
    <w:p w14:paraId="596D6400" w14:textId="77777777" w:rsidR="009D57D0" w:rsidRPr="00BC479C" w:rsidRDefault="009D57D0" w:rsidP="00CE1E11">
      <w:pPr>
        <w:spacing w:after="0" w:line="240" w:lineRule="auto"/>
        <w:rPr>
          <w:rFonts w:ascii="Times New Roman" w:hAnsi="Times New Roman" w:cs="Times New Roman"/>
          <w:b/>
          <w:caps/>
        </w:rPr>
      </w:pPr>
    </w:p>
    <w:p w14:paraId="54A2328F"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Wymagania ogólne</w:t>
      </w:r>
    </w:p>
    <w:p w14:paraId="6D7A7AA1" w14:textId="77777777" w:rsidR="009D57D0" w:rsidRPr="00BC479C" w:rsidRDefault="009D57D0" w:rsidP="00CE1E11">
      <w:pPr>
        <w:spacing w:after="0" w:line="240" w:lineRule="auto"/>
        <w:rPr>
          <w:rFonts w:ascii="Times New Roman" w:hAnsi="Times New Roman" w:cs="Times New Roman"/>
          <w:b/>
          <w:i/>
        </w:rPr>
      </w:pPr>
    </w:p>
    <w:p w14:paraId="0EBF54CC"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lastRenderedPageBreak/>
        <w:t>Wszystkie materiały użyte do budowy powinny pochodzić tylko ze źródeł uzgodnionych i zatwierdzonych przez Kierownika Robót.</w:t>
      </w:r>
    </w:p>
    <w:p w14:paraId="5D24D592"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Źródła materiałów powinny być wybrane przez Wykonawcę z wyprzedzeniem przed rozpoczęciem robót nie później niż 4 tygodnie.</w:t>
      </w:r>
    </w:p>
    <w:p w14:paraId="69223C78"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Do każdej ilości jednorazowo wysłanego materiału dołączony powinien być dokument potwierdzający jego jakość na podstawie przeprowadzonych badań lub deklaracja zgodności z odpowiednimi normami lub aprobatą techniczną.</w:t>
      </w:r>
    </w:p>
    <w:p w14:paraId="6176C027" w14:textId="77777777" w:rsidR="009D57D0" w:rsidRPr="00BC479C" w:rsidRDefault="009D57D0" w:rsidP="00CE1E11">
      <w:pPr>
        <w:spacing w:after="0" w:line="240" w:lineRule="auto"/>
        <w:rPr>
          <w:rFonts w:ascii="Times New Roman" w:hAnsi="Times New Roman" w:cs="Times New Roman"/>
        </w:rPr>
      </w:pPr>
    </w:p>
    <w:p w14:paraId="23B67BF9"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Składowanie materiałów na budowie.</w:t>
      </w:r>
    </w:p>
    <w:p w14:paraId="2ABED733" w14:textId="77777777" w:rsidR="009D57D0" w:rsidRPr="00BC479C" w:rsidRDefault="009D57D0" w:rsidP="00CE1E11">
      <w:pPr>
        <w:tabs>
          <w:tab w:val="left" w:pos="900"/>
        </w:tabs>
        <w:spacing w:after="0" w:line="240" w:lineRule="auto"/>
        <w:rPr>
          <w:rFonts w:ascii="Times New Roman" w:hAnsi="Times New Roman" w:cs="Times New Roman"/>
        </w:rPr>
      </w:pPr>
    </w:p>
    <w:p w14:paraId="76528DE6"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b/>
        </w:rPr>
        <w:t xml:space="preserve"> </w:t>
      </w:r>
      <w:r w:rsidRPr="00BC479C">
        <w:rPr>
          <w:rFonts w:ascii="Times New Roman" w:hAnsi="Times New Roman" w:cs="Times New Roman"/>
        </w:rPr>
        <w:t xml:space="preserve">Kable dostarczane są na bębnach drewnianych których wielkości są określone w normie PN-91/0-79353, Bębny z kablami należy na placu budowy umieścić na utwardzonym podłożu, na krawędziach tarcz (pionowo) lub na tarczach (płasko). </w:t>
      </w:r>
    </w:p>
    <w:p w14:paraId="581AB09B"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Materiały takie jak głowice kablowe, złącza, skrzynki kablowe można składować w przeznaczonych na ten cel zamykanych </w:t>
      </w:r>
      <w:r w:rsidRPr="00BC479C">
        <w:rPr>
          <w:rFonts w:ascii="Times New Roman" w:hAnsi="Times New Roman" w:cs="Times New Roman"/>
        </w:rPr>
        <w:br/>
        <w:t>i suchych pomieszczeniach.</w:t>
      </w:r>
    </w:p>
    <w:p w14:paraId="12F6147C"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 Rury na przepusty kablowe i bednarka mogą być składowane w miejscach nie narażonych na działanie korozji i uszkodzenia mechaniczne.</w:t>
      </w:r>
    </w:p>
    <w:p w14:paraId="057C9B4A" w14:textId="77777777" w:rsidR="009D57D0" w:rsidRPr="00BC479C" w:rsidRDefault="009D57D0" w:rsidP="00CE1E11">
      <w:pPr>
        <w:spacing w:after="0" w:line="240" w:lineRule="auto"/>
        <w:rPr>
          <w:rFonts w:ascii="Times New Roman" w:hAnsi="Times New Roman" w:cs="Times New Roman"/>
        </w:rPr>
      </w:pPr>
    </w:p>
    <w:p w14:paraId="185E08E1"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Przechowywanie i składowanie rur i mikrorur.</w:t>
      </w:r>
    </w:p>
    <w:p w14:paraId="6A874C8B" w14:textId="77777777" w:rsidR="009D57D0" w:rsidRPr="00BC479C" w:rsidRDefault="009D57D0" w:rsidP="00CE1E11">
      <w:pPr>
        <w:tabs>
          <w:tab w:val="left" w:pos="900"/>
        </w:tabs>
        <w:spacing w:after="0" w:line="240" w:lineRule="auto"/>
        <w:rPr>
          <w:rFonts w:ascii="Times New Roman" w:hAnsi="Times New Roman" w:cs="Times New Roman"/>
        </w:rPr>
      </w:pPr>
    </w:p>
    <w:p w14:paraId="63906229"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rPr>
        <w:t xml:space="preserve">Przed ułożeniem rur należy sprawdzić czy nie są uszkodzone. Części podlegające połączeniu trzeba oczyścić, a części uszkodzone odrzucić.   </w:t>
      </w:r>
    </w:p>
    <w:p w14:paraId="3512ADCA"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rPr>
        <w:t xml:space="preserve">Rury należy przechowywać a sposób uniemożlwiający ich deformację i uszkodzenie. Nie składować zbyt długo na zewnątrz </w:t>
      </w:r>
      <w:r w:rsidRPr="00BC479C">
        <w:rPr>
          <w:rFonts w:ascii="Times New Roman" w:hAnsi="Times New Roman" w:cs="Times New Roman"/>
        </w:rPr>
        <w:br/>
        <w:t>i nie wystawiać ich na długotrwałe działanie promieni słonecznych. Chronić przed kontaktem z substancjami szkodliwymi, np. benzyną, rozpuszczalnikami, itd.</w:t>
      </w:r>
    </w:p>
    <w:p w14:paraId="28A1F1A1" w14:textId="77777777" w:rsidR="009D57D0" w:rsidRPr="00BC479C" w:rsidRDefault="009D57D0" w:rsidP="00CE1E11">
      <w:pPr>
        <w:spacing w:after="0" w:line="240" w:lineRule="auto"/>
        <w:rPr>
          <w:rFonts w:ascii="Times New Roman" w:hAnsi="Times New Roman" w:cs="Times New Roman"/>
        </w:rPr>
      </w:pPr>
    </w:p>
    <w:p w14:paraId="67BF7FC2"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 xml:space="preserve">Odbiór materiałów na budowie </w:t>
      </w:r>
    </w:p>
    <w:p w14:paraId="38952040" w14:textId="77777777" w:rsidR="009D57D0" w:rsidRPr="00BC479C" w:rsidRDefault="009D57D0" w:rsidP="00CE1E11">
      <w:pPr>
        <w:tabs>
          <w:tab w:val="left" w:pos="900"/>
        </w:tabs>
        <w:spacing w:after="0" w:line="240" w:lineRule="auto"/>
        <w:rPr>
          <w:rFonts w:ascii="Times New Roman" w:hAnsi="Times New Roman" w:cs="Times New Roman"/>
        </w:rPr>
      </w:pPr>
    </w:p>
    <w:p w14:paraId="4C030ADF"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rPr>
        <w:t xml:space="preserve">Materiały należy dostarczyć na budowę wraz ze świadectwami jakości, kartami gwarancyjnymi i protokołami odbioru technicznego. </w:t>
      </w:r>
    </w:p>
    <w:p w14:paraId="2BC4DBC3"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rPr>
        <w:t>Dostarczone na budowę materiały należy sprawdzić pod względem kompletności i zgodności z danymi producenta. Przeprowadzić oględziny materiałów dostarczonych na budowę.</w:t>
      </w:r>
    </w:p>
    <w:p w14:paraId="3A2F9E02" w14:textId="77777777" w:rsidR="009D57D0" w:rsidRPr="00BC479C" w:rsidRDefault="009D57D0" w:rsidP="00CE1E11">
      <w:pPr>
        <w:tabs>
          <w:tab w:val="left" w:pos="900"/>
        </w:tabs>
        <w:spacing w:after="0" w:line="240" w:lineRule="auto"/>
        <w:rPr>
          <w:rFonts w:ascii="Times New Roman" w:hAnsi="Times New Roman" w:cs="Times New Roman"/>
        </w:rPr>
      </w:pPr>
      <w:r w:rsidRPr="00BC479C">
        <w:rPr>
          <w:rFonts w:ascii="Times New Roman" w:hAnsi="Times New Roman" w:cs="Times New Roman"/>
        </w:rPr>
        <w:t xml:space="preserve">W razie stwierdzenia wad lub powstania wątpliwości odnośnie jakości wykonania, materiały te przed wbudowaniem poddać badaniom określonym przez Kierownika Robót (dozór techniczny).  </w:t>
      </w:r>
    </w:p>
    <w:p w14:paraId="4FCD8838" w14:textId="77777777" w:rsidR="009D57D0" w:rsidRPr="00BC479C" w:rsidRDefault="009D57D0" w:rsidP="00CE1E11">
      <w:pPr>
        <w:tabs>
          <w:tab w:val="left" w:pos="900"/>
        </w:tabs>
        <w:spacing w:after="0" w:line="240" w:lineRule="auto"/>
        <w:rPr>
          <w:rFonts w:ascii="Times New Roman" w:hAnsi="Times New Roman" w:cs="Times New Roman"/>
        </w:rPr>
      </w:pPr>
    </w:p>
    <w:p w14:paraId="1AEFAFDA"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SPRZĘT</w:t>
      </w:r>
    </w:p>
    <w:p w14:paraId="7839FA0F" w14:textId="77777777" w:rsidR="009D57D0" w:rsidRPr="00BC479C" w:rsidRDefault="009D57D0" w:rsidP="00CE1E11">
      <w:pPr>
        <w:spacing w:after="0" w:line="240" w:lineRule="auto"/>
        <w:rPr>
          <w:rFonts w:ascii="Times New Roman" w:hAnsi="Times New Roman" w:cs="Times New Roman"/>
          <w:b/>
        </w:rPr>
      </w:pPr>
    </w:p>
    <w:p w14:paraId="633B16AB"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Ogólne wymagania</w:t>
      </w:r>
    </w:p>
    <w:p w14:paraId="6CE19CD3" w14:textId="77777777" w:rsidR="009D57D0" w:rsidRPr="00BC479C" w:rsidRDefault="009D57D0" w:rsidP="00CE1E11">
      <w:pPr>
        <w:spacing w:after="0" w:line="240" w:lineRule="auto"/>
        <w:rPr>
          <w:rFonts w:ascii="Times New Roman" w:hAnsi="Times New Roman" w:cs="Times New Roman"/>
        </w:rPr>
      </w:pPr>
    </w:p>
    <w:p w14:paraId="264A2A6A"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Wykonawca jest zobowiązany do używania jedynie takiego sprzętu, który nie spowoduje niekorzystnego wpływu na jakość robót, zarówno w miejscu tych robót, jak też przy wykonywaniu czynności pomocniczych oraz w czasie transportu, załadunku i wyładunku materiałów, sprzętu itp. </w:t>
      </w:r>
    </w:p>
    <w:p w14:paraId="0649DD62"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Liczba i wydajność sprzętu powinna gwarantować wykonanie robót zgodnie z zasadami określonymi w Dokumentacji Projektowej.</w:t>
      </w:r>
    </w:p>
    <w:p w14:paraId="5ABEA6E8" w14:textId="77777777" w:rsidR="009D57D0" w:rsidRPr="00BC479C" w:rsidRDefault="009D57D0" w:rsidP="00CE1E11">
      <w:pPr>
        <w:spacing w:after="0" w:line="240" w:lineRule="auto"/>
        <w:rPr>
          <w:rFonts w:ascii="Times New Roman" w:hAnsi="Times New Roman" w:cs="Times New Roman"/>
          <w:b/>
        </w:rPr>
      </w:pPr>
    </w:p>
    <w:p w14:paraId="5F15F5DC"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Sprzęt do budowy linii telekomunikacyjnych</w:t>
      </w:r>
    </w:p>
    <w:p w14:paraId="6885E21E" w14:textId="77777777" w:rsidR="009D57D0" w:rsidRPr="00BC479C" w:rsidRDefault="009D57D0" w:rsidP="00CE1E11">
      <w:pPr>
        <w:spacing w:after="0" w:line="240" w:lineRule="auto"/>
        <w:rPr>
          <w:rFonts w:ascii="Times New Roman" w:hAnsi="Times New Roman" w:cs="Times New Roman"/>
        </w:rPr>
      </w:pPr>
    </w:p>
    <w:p w14:paraId="734099FF"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Wykonawca przystępujący do wykonywania przebudowy linii telekomunikacyjnych powinien wykazać się możliwością korzystania z następujących robót gwarantujących właściwą jakość robót:</w:t>
      </w:r>
    </w:p>
    <w:p w14:paraId="1060CA92"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ubijak spalinowy 50 KG,</w:t>
      </w:r>
    </w:p>
    <w:p w14:paraId="6C47EB20"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żurawik samochodowy do 4 t ,</w:t>
      </w:r>
    </w:p>
    <w:p w14:paraId="1E140B49"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żuraw samochodowy 6 t,</w:t>
      </w:r>
    </w:p>
    <w:p w14:paraId="0201AF4A"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samochód montażowy do 0,9t,</w:t>
      </w:r>
    </w:p>
    <w:p w14:paraId="15AE4D1A"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lastRenderedPageBreak/>
        <w:t>sprężarka powietrzna spalinowa przewoźna 0,5 m</w:t>
      </w:r>
      <w:r w:rsidRPr="00BC479C">
        <w:rPr>
          <w:rFonts w:ascii="Times New Roman" w:hAnsi="Times New Roman" w:cs="Times New Roman"/>
          <w:vertAlign w:val="superscript"/>
        </w:rPr>
        <w:t>3</w:t>
      </w:r>
      <w:r w:rsidRPr="00BC479C">
        <w:rPr>
          <w:rFonts w:ascii="Times New Roman" w:hAnsi="Times New Roman" w:cs="Times New Roman"/>
        </w:rPr>
        <w:t>/min,</w:t>
      </w:r>
    </w:p>
    <w:p w14:paraId="5AD0A029"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wciągarka mechaniczna kabli z rejestratorem siły naciągu,</w:t>
      </w:r>
    </w:p>
    <w:p w14:paraId="109D1AD7"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urządzenie przeciskowe,</w:t>
      </w:r>
    </w:p>
    <w:p w14:paraId="761B6AB1"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spawarka  włókien światłowodowych,</w:t>
      </w:r>
    </w:p>
    <w:p w14:paraId="14D8F82C"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sprężarka powietrzna spalinowa przewoźna 5 - 10 m</w:t>
      </w:r>
      <w:r w:rsidRPr="00BC479C">
        <w:rPr>
          <w:rFonts w:ascii="Times New Roman" w:hAnsi="Times New Roman" w:cs="Times New Roman"/>
          <w:vertAlign w:val="superscript"/>
        </w:rPr>
        <w:t>3</w:t>
      </w:r>
      <w:r w:rsidRPr="00BC479C">
        <w:rPr>
          <w:rFonts w:ascii="Times New Roman" w:hAnsi="Times New Roman" w:cs="Times New Roman"/>
        </w:rPr>
        <w:t>/min,</w:t>
      </w:r>
    </w:p>
    <w:p w14:paraId="62B56ACD"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vertAlign w:val="superscript"/>
        </w:rPr>
      </w:pPr>
      <w:r w:rsidRPr="00BC479C">
        <w:rPr>
          <w:rFonts w:ascii="Times New Roman" w:hAnsi="Times New Roman" w:cs="Times New Roman"/>
        </w:rPr>
        <w:t>koparka – spycharka na podłożu ciąg. kołowego 0,15 m</w:t>
      </w:r>
      <w:r w:rsidRPr="00BC479C">
        <w:rPr>
          <w:rFonts w:ascii="Times New Roman" w:hAnsi="Times New Roman" w:cs="Times New Roman"/>
          <w:vertAlign w:val="superscript"/>
        </w:rPr>
        <w:t>3,</w:t>
      </w:r>
    </w:p>
    <w:p w14:paraId="64CF2ADD"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koparka jednonaczyniowa kołowa,</w:t>
      </w:r>
    </w:p>
    <w:p w14:paraId="7AAC4BCE"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przyrządy pomiarowe (megaomierz, mostek kablowy, próbnik wytrzymałości izolacji, próbnik pomiaru izolacji, miernik oporności pozornej, miernik poziomu do 20 kHz, generator poziomu do 20 kHz, oscyloskopowy miernik sprzężeń, poziomoskop, reflektometr, przesłuchomierz, równoważnik nastawny wzmacniacz mocy, wzmacniacz heterodynowy, transformator symetryzujący,).</w:t>
      </w:r>
    </w:p>
    <w:p w14:paraId="3EE510C7"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Dmuchawa gorącego powietrza.</w:t>
      </w:r>
    </w:p>
    <w:p w14:paraId="74C16E58" w14:textId="77777777" w:rsidR="009D57D0" w:rsidRPr="00CE1E11" w:rsidRDefault="009D57D0" w:rsidP="00CE1E11">
      <w:pPr>
        <w:pStyle w:val="Nagwek1Title1"/>
        <w:numPr>
          <w:ilvl w:val="0"/>
          <w:numId w:val="0"/>
        </w:numPr>
        <w:ind w:left="720"/>
        <w:jc w:val="both"/>
        <w:rPr>
          <w:sz w:val="22"/>
          <w:szCs w:val="22"/>
        </w:rPr>
      </w:pPr>
    </w:p>
    <w:p w14:paraId="3BB30DD2"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Transport</w:t>
      </w:r>
    </w:p>
    <w:p w14:paraId="5F2601D6" w14:textId="77777777" w:rsidR="009D57D0" w:rsidRPr="00BC479C" w:rsidRDefault="009D57D0" w:rsidP="00CE1E11">
      <w:pPr>
        <w:spacing w:after="0" w:line="240" w:lineRule="auto"/>
        <w:rPr>
          <w:rFonts w:ascii="Times New Roman" w:hAnsi="Times New Roman" w:cs="Times New Roman"/>
          <w:b/>
          <w:caps/>
        </w:rPr>
      </w:pPr>
    </w:p>
    <w:p w14:paraId="502152B2"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Wymagania ogólne</w:t>
      </w:r>
    </w:p>
    <w:p w14:paraId="296E5C58" w14:textId="77777777" w:rsidR="009D57D0" w:rsidRPr="00BC479C" w:rsidRDefault="009D57D0" w:rsidP="00CE1E11">
      <w:pPr>
        <w:spacing w:after="0" w:line="240" w:lineRule="auto"/>
        <w:rPr>
          <w:rFonts w:ascii="Times New Roman" w:hAnsi="Times New Roman" w:cs="Times New Roman"/>
        </w:rPr>
      </w:pPr>
    </w:p>
    <w:p w14:paraId="09D9621B"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Wykonawca jest obowiązany do stosowania jedynie takich środków transportu, które nie wpłyną niekorzystnie na jakość wykonywanych robót.</w:t>
      </w:r>
    </w:p>
    <w:p w14:paraId="739559E2"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Liczba środków transportu powinna gwarantować prowadzenie robót zgodnie z zasadami określonymi w Dokumentacji Projektowej w terminie przewidzianym umową.</w:t>
      </w:r>
    </w:p>
    <w:p w14:paraId="43A61628" w14:textId="77777777" w:rsidR="009D57D0" w:rsidRPr="00BC479C" w:rsidRDefault="009D57D0" w:rsidP="00CE1E11">
      <w:pPr>
        <w:spacing w:after="0" w:line="240" w:lineRule="auto"/>
        <w:ind w:left="705"/>
        <w:rPr>
          <w:rFonts w:ascii="Times New Roman" w:hAnsi="Times New Roman" w:cs="Times New Roman"/>
        </w:rPr>
      </w:pPr>
    </w:p>
    <w:p w14:paraId="55ACDB77"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Transport materiałów i elementów</w:t>
      </w:r>
    </w:p>
    <w:p w14:paraId="636C4363" w14:textId="77777777" w:rsidR="009D57D0" w:rsidRPr="00BC479C" w:rsidRDefault="009D57D0" w:rsidP="00CE1E11">
      <w:pPr>
        <w:spacing w:after="0" w:line="240" w:lineRule="auto"/>
        <w:rPr>
          <w:rFonts w:ascii="Times New Roman" w:hAnsi="Times New Roman" w:cs="Times New Roman"/>
        </w:rPr>
      </w:pPr>
    </w:p>
    <w:p w14:paraId="4B622107"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Wykonawca jest obowiązany do stosowania takich środków transportu, które pozwolą uniknąć uszkodzeń i trwałych odkształceń przewożonych materiałów. Materiały na budowę powinny być przewożone zgodnie z przepisami BHP i ruchu drogowego.</w:t>
      </w:r>
    </w:p>
    <w:p w14:paraId="0E99F13F"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Liczba środków transportu powinna gwarantować prowadzenie robot zgodnie z zasadami określonymi na Rysunkach, Specyfikacji i wskazaniach Kierownika Budowy w terminie przewidzianym kontraktem.</w:t>
      </w:r>
    </w:p>
    <w:p w14:paraId="42C8C059"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Wykonawca przystępujący do przebudowy linii telekomunikacyjnych powinien wykazać się możliwością korzystania z następujących środków transportu w zależności od zakresu robót:</w:t>
      </w:r>
    </w:p>
    <w:p w14:paraId="2A87F498"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 xml:space="preserve">samochód skrzyniowy, do 3,5 t, 5 t, </w:t>
      </w:r>
    </w:p>
    <w:p w14:paraId="3CBF3207"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samochód skrzyniowy,  5 - 10 t</w:t>
      </w:r>
    </w:p>
    <w:p w14:paraId="0DEF02F9"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samochód samowyładowczy do 5 t,</w:t>
      </w:r>
    </w:p>
    <w:p w14:paraId="2551C86D"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samochód dostawczy do 0,9 t,</w:t>
      </w:r>
    </w:p>
    <w:p w14:paraId="4D82B964"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przyczepa dłużycowa do 4,5 t,</w:t>
      </w:r>
    </w:p>
    <w:p w14:paraId="2B0F0938" w14:textId="77777777" w:rsidR="009D57D0" w:rsidRPr="00BC479C" w:rsidRDefault="009D57D0" w:rsidP="00904E6C">
      <w:pPr>
        <w:numPr>
          <w:ilvl w:val="0"/>
          <w:numId w:val="276"/>
        </w:numPr>
        <w:tabs>
          <w:tab w:val="clear" w:pos="283"/>
          <w:tab w:val="left" w:pos="0"/>
          <w:tab w:val="left" w:pos="360"/>
          <w:tab w:val="left" w:pos="426"/>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przyczepa do przewozu kabli,</w:t>
      </w:r>
    </w:p>
    <w:p w14:paraId="7AE185A7"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Na środkach transportu przewożone materiały i elementy powinny być zabezpieczone przed ich przemieszczaniem, układane zgodnie z warunkami transportu wydanymi przez wytwórcę dla poszczególnych elementów.</w:t>
      </w:r>
    </w:p>
    <w:p w14:paraId="38D14F7B" w14:textId="77777777" w:rsidR="009D57D0" w:rsidRPr="00BC479C" w:rsidRDefault="009D57D0" w:rsidP="00CE1E11">
      <w:pPr>
        <w:spacing w:after="0" w:line="240" w:lineRule="auto"/>
        <w:rPr>
          <w:rFonts w:ascii="Times New Roman" w:hAnsi="Times New Roman" w:cs="Times New Roman"/>
        </w:rPr>
      </w:pPr>
    </w:p>
    <w:p w14:paraId="50E2E63E"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Wykonanie robót</w:t>
      </w:r>
    </w:p>
    <w:p w14:paraId="2BA7BA15" w14:textId="77777777" w:rsidR="009D57D0" w:rsidRPr="00BC479C" w:rsidRDefault="009D57D0" w:rsidP="00CE1E11">
      <w:pPr>
        <w:pStyle w:val="Nagwek"/>
        <w:tabs>
          <w:tab w:val="clear" w:pos="4536"/>
          <w:tab w:val="clear" w:pos="9072"/>
        </w:tabs>
        <w:rPr>
          <w:sz w:val="22"/>
        </w:rPr>
      </w:pPr>
    </w:p>
    <w:p w14:paraId="5C9A7E23"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Projekt Technologii i Organizacji Robót</w:t>
      </w:r>
    </w:p>
    <w:p w14:paraId="2DE5DBA2" w14:textId="77777777" w:rsidR="009D57D0" w:rsidRPr="00BC479C" w:rsidRDefault="009D57D0" w:rsidP="00CE1E11">
      <w:pPr>
        <w:spacing w:after="0" w:line="240" w:lineRule="auto"/>
        <w:rPr>
          <w:rFonts w:ascii="Times New Roman" w:hAnsi="Times New Roman" w:cs="Times New Roman"/>
        </w:rPr>
      </w:pPr>
    </w:p>
    <w:p w14:paraId="6627A44D" w14:textId="77777777" w:rsidR="009D57D0" w:rsidRPr="00BC479C" w:rsidRDefault="009D57D0" w:rsidP="00CE1E11">
      <w:pPr>
        <w:pStyle w:val="Tekstpodstawowy"/>
        <w:spacing w:before="0" w:after="0" w:line="240" w:lineRule="auto"/>
        <w:rPr>
          <w:sz w:val="22"/>
          <w:szCs w:val="22"/>
        </w:rPr>
      </w:pPr>
      <w:r w:rsidRPr="00BC479C">
        <w:rPr>
          <w:sz w:val="22"/>
          <w:szCs w:val="22"/>
        </w:rPr>
        <w:t>Wykonawca przedstawi Kierownikowi Robót do akceptacji Projekt Technologii i Organizacji Robót oraz Program Zapewnienia Jakości uwzględniający wszystkie warunki, w jakich będą wykonywane roboty.</w:t>
      </w:r>
    </w:p>
    <w:p w14:paraId="19D6FEA2" w14:textId="77777777" w:rsidR="009D57D0" w:rsidRPr="00BC479C" w:rsidRDefault="009D57D0" w:rsidP="00CE1E11">
      <w:pPr>
        <w:pStyle w:val="Nagwek2Title2"/>
        <w:ind w:left="0" w:firstLine="0"/>
        <w:rPr>
          <w:sz w:val="22"/>
          <w:szCs w:val="22"/>
        </w:rPr>
      </w:pPr>
    </w:p>
    <w:p w14:paraId="67F34C77"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Ogólna charakterystyka robót</w:t>
      </w:r>
    </w:p>
    <w:p w14:paraId="7BC9533C" w14:textId="77777777" w:rsidR="009D57D0" w:rsidRPr="00BC479C" w:rsidRDefault="009D57D0" w:rsidP="00CE1E11">
      <w:pPr>
        <w:pStyle w:val="Nagwek"/>
        <w:tabs>
          <w:tab w:val="clear" w:pos="4536"/>
          <w:tab w:val="clear" w:pos="9072"/>
        </w:tabs>
        <w:rPr>
          <w:b/>
          <w:sz w:val="22"/>
        </w:rPr>
      </w:pPr>
    </w:p>
    <w:p w14:paraId="758B151D"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Roboty telekomunikacyjne prowadzić pod stałym nadzorem właścicieli infrastruktury telekomunikacyjnej.</w:t>
      </w:r>
    </w:p>
    <w:p w14:paraId="73B5DE29" w14:textId="77777777" w:rsidR="009D57D0" w:rsidRPr="00BC479C" w:rsidRDefault="009D57D0" w:rsidP="00CE1E11">
      <w:pPr>
        <w:spacing w:after="0" w:line="240" w:lineRule="auto"/>
        <w:rPr>
          <w:rFonts w:ascii="Times New Roman" w:hAnsi="Times New Roman" w:cs="Times New Roman"/>
        </w:rPr>
      </w:pPr>
    </w:p>
    <w:p w14:paraId="2318C90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Kolizyjne kablowe linie telekomunikacyjne należy przebudować, zachowując następującą </w:t>
      </w:r>
      <w:r w:rsidRPr="00BC479C">
        <w:rPr>
          <w:rFonts w:ascii="Times New Roman" w:hAnsi="Times New Roman" w:cs="Times New Roman"/>
        </w:rPr>
        <w:lastRenderedPageBreak/>
        <w:t>kolejność robót:</w:t>
      </w:r>
    </w:p>
    <w:p w14:paraId="08E3D374" w14:textId="77777777" w:rsidR="009D57D0" w:rsidRPr="00BC479C" w:rsidRDefault="009D57D0" w:rsidP="00904E6C">
      <w:pPr>
        <w:widowControl w:val="0"/>
        <w:numPr>
          <w:ilvl w:val="0"/>
          <w:numId w:val="228"/>
        </w:numPr>
        <w:tabs>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wybudować nowy nie kolidujący odcinek kanalizacji i rurociągu</w:t>
      </w:r>
    </w:p>
    <w:p w14:paraId="2733C370" w14:textId="77777777" w:rsidR="009D57D0" w:rsidRPr="00BC479C" w:rsidRDefault="009D57D0" w:rsidP="00904E6C">
      <w:pPr>
        <w:widowControl w:val="0"/>
        <w:numPr>
          <w:ilvl w:val="0"/>
          <w:numId w:val="228"/>
        </w:numPr>
        <w:tabs>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wykonać połączenia nowego odcinka linii z istniejącym poza obszarem kolizji z drogą przy zachowaniu ciągłości pracy poszczególnych obwodów linii,</w:t>
      </w:r>
    </w:p>
    <w:p w14:paraId="07DD5F4E" w14:textId="77777777" w:rsidR="009D57D0" w:rsidRPr="00BC479C" w:rsidRDefault="009D57D0" w:rsidP="00904E6C">
      <w:pPr>
        <w:widowControl w:val="0"/>
        <w:numPr>
          <w:ilvl w:val="0"/>
          <w:numId w:val="228"/>
        </w:numPr>
        <w:tabs>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 xml:space="preserve">zdemontować kolizyjny odcinek linii. </w:t>
      </w:r>
    </w:p>
    <w:p w14:paraId="529DEEFA" w14:textId="77777777" w:rsidR="009D57D0" w:rsidRPr="00BC479C" w:rsidRDefault="009D57D0" w:rsidP="00CE1E11">
      <w:pPr>
        <w:widowControl w:val="0"/>
        <w:tabs>
          <w:tab w:val="left" w:pos="-1418"/>
        </w:tabs>
        <w:spacing w:after="0" w:line="240" w:lineRule="auto"/>
        <w:ind w:left="491"/>
        <w:rPr>
          <w:rFonts w:ascii="Times New Roman" w:hAnsi="Times New Roman" w:cs="Times New Roman"/>
        </w:rPr>
      </w:pPr>
      <w:r w:rsidRPr="00BC479C">
        <w:rPr>
          <w:rFonts w:ascii="Times New Roman" w:hAnsi="Times New Roman" w:cs="Times New Roman"/>
        </w:rPr>
        <w:tab/>
        <w:t>Demontaż kolizyjnych odcinków kanalizacji należy wykonać zgodnie z dokumentacją projektową i STWIORB oraz zaleceniami użytkownika tych urządzeń.</w:t>
      </w:r>
    </w:p>
    <w:p w14:paraId="0FE5DD2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Wykonawca ma obowiązek wykonania demontażu linii. W szczególnych przypadkach Wykonawca może pozostawić elementy linii bez demontażu o ile uzyska zgodę Kierownika Kontraktu.</w:t>
      </w:r>
    </w:p>
    <w:p w14:paraId="00616C46"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Wykopy pozostałe po demontażu elementów linii powinny być zasypane zagęszczonym gruntem i wyrównane do poziomu terenu. Wskaźnik zagęszczenia powinien być równy 0,8. Wykonawca staje się właścicielem zdemontowanych materiałów. </w:t>
      </w:r>
    </w:p>
    <w:p w14:paraId="348363C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Między studniami ułożyć kanalizację kablową z rur 3x RHDPEp oraz RHDPEk-S 110/95.</w:t>
      </w:r>
    </w:p>
    <w:p w14:paraId="2F9721B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Do wykonanej kanalizacji należy wciągać kable miedziane typu XzTKMXpw zgodnie z dokumentacją projektową. Prace należy wykonać zgodnie z normami i przepisami budowy, bezpieczeństwa i higieny pracy.</w:t>
      </w:r>
    </w:p>
    <w:p w14:paraId="53F5EEC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1CD54A9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Kanał technologiczny należy wybudować odpowiednio:</w:t>
      </w:r>
    </w:p>
    <w:p w14:paraId="3D9A5818" w14:textId="77777777" w:rsidR="009D57D0" w:rsidRPr="00BC479C" w:rsidRDefault="009D57D0" w:rsidP="00904E6C">
      <w:pPr>
        <w:pStyle w:val="Akapitzlist"/>
        <w:numPr>
          <w:ilvl w:val="0"/>
          <w:numId w:val="362"/>
        </w:numPr>
        <w:overflowPunct/>
        <w:autoSpaceDE/>
        <w:autoSpaceDN/>
        <w:adjustRightInd/>
        <w:textAlignment w:val="auto"/>
        <w:rPr>
          <w:iCs/>
          <w:sz w:val="22"/>
          <w:szCs w:val="22"/>
        </w:rPr>
      </w:pPr>
      <w:r w:rsidRPr="00BC479C">
        <w:rPr>
          <w:iCs/>
          <w:sz w:val="22"/>
          <w:szCs w:val="22"/>
        </w:rPr>
        <w:t>kanał technologiczny KTu o profilu podstawowym składający się z rur:</w:t>
      </w:r>
    </w:p>
    <w:p w14:paraId="65326C21"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bookmarkStart w:id="947" w:name="_Toc82459941"/>
      <w:bookmarkStart w:id="948" w:name="_Toc82460032"/>
      <w:bookmarkEnd w:id="947"/>
      <w:bookmarkEnd w:id="948"/>
      <w:r w:rsidRPr="00BC479C">
        <w:rPr>
          <w:rFonts w:ascii="Times New Roman" w:hAnsi="Times New Roman" w:cs="Times New Roman"/>
          <w:iCs/>
        </w:rPr>
        <w:t>1x RO (RHDPEk-S 110/7,5)</w:t>
      </w:r>
    </w:p>
    <w:p w14:paraId="5A6B1EE7"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3x RS (HDPE 40/3,7)</w:t>
      </w:r>
    </w:p>
    <w:p w14:paraId="5A8D79DB"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1x WMR 7x10</w:t>
      </w:r>
    </w:p>
    <w:p w14:paraId="00889CA8" w14:textId="77777777" w:rsidR="009D57D0" w:rsidRPr="00BC479C" w:rsidRDefault="009D57D0" w:rsidP="00904E6C">
      <w:pPr>
        <w:pStyle w:val="Akapitzlist"/>
        <w:numPr>
          <w:ilvl w:val="0"/>
          <w:numId w:val="362"/>
        </w:numPr>
        <w:overflowPunct/>
        <w:autoSpaceDE/>
        <w:autoSpaceDN/>
        <w:adjustRightInd/>
        <w:textAlignment w:val="auto"/>
        <w:rPr>
          <w:iCs/>
          <w:sz w:val="22"/>
          <w:szCs w:val="22"/>
        </w:rPr>
      </w:pPr>
      <w:r w:rsidRPr="00BC479C">
        <w:rPr>
          <w:iCs/>
          <w:sz w:val="22"/>
          <w:szCs w:val="22"/>
        </w:rPr>
        <w:t>w miejscach przekroczenia ulic metodą przewiertu kanał technologiczny należy wykonać jako KTp składający się z rur:</w:t>
      </w:r>
    </w:p>
    <w:p w14:paraId="13EE8132"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1x RO (RHDPEp 125/7,1)</w:t>
      </w:r>
    </w:p>
    <w:p w14:paraId="3FDF1C6E"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1x RO (RHDPEp 125/7,1)</w:t>
      </w:r>
    </w:p>
    <w:p w14:paraId="6D526EF4"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3x RS (HDPE 40/3,7)</w:t>
      </w:r>
    </w:p>
    <w:p w14:paraId="0E7777A3" w14:textId="77777777" w:rsidR="009D57D0" w:rsidRPr="00BC479C" w:rsidRDefault="009D57D0" w:rsidP="00904E6C">
      <w:pPr>
        <w:numPr>
          <w:ilvl w:val="0"/>
          <w:numId w:val="361"/>
        </w:numPr>
        <w:suppressAutoHyphens/>
        <w:spacing w:after="0" w:line="240" w:lineRule="auto"/>
        <w:rPr>
          <w:rFonts w:ascii="Times New Roman" w:hAnsi="Times New Roman" w:cs="Times New Roman"/>
          <w:iCs/>
        </w:rPr>
      </w:pPr>
      <w:r w:rsidRPr="00BC479C">
        <w:rPr>
          <w:rFonts w:ascii="Times New Roman" w:hAnsi="Times New Roman" w:cs="Times New Roman"/>
          <w:iCs/>
        </w:rPr>
        <w:t>1x WMR 7x10</w:t>
      </w:r>
    </w:p>
    <w:p w14:paraId="18355866"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518CECAA"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Odszkodowania, wejścia w teren</w:t>
      </w:r>
    </w:p>
    <w:p w14:paraId="266004A9" w14:textId="77777777" w:rsidR="009D57D0" w:rsidRPr="00BC479C" w:rsidRDefault="009D57D0" w:rsidP="00CE1E11">
      <w:pPr>
        <w:spacing w:after="0" w:line="240" w:lineRule="auto"/>
        <w:rPr>
          <w:rFonts w:ascii="Times New Roman" w:hAnsi="Times New Roman" w:cs="Times New Roman"/>
        </w:rPr>
      </w:pPr>
    </w:p>
    <w:p w14:paraId="4C9F8523"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Dla prac prowadzonych poza terenem pasa drogowego wykonawca winien: </w:t>
      </w:r>
    </w:p>
    <w:p w14:paraId="1EC35CF8" w14:textId="77777777" w:rsidR="009D57D0" w:rsidRPr="00BC479C" w:rsidRDefault="009D57D0" w:rsidP="00904E6C">
      <w:pPr>
        <w:numPr>
          <w:ilvl w:val="0"/>
          <w:numId w:val="359"/>
        </w:numPr>
        <w:suppressAutoHyphens/>
        <w:spacing w:after="0" w:line="240" w:lineRule="auto"/>
        <w:rPr>
          <w:rFonts w:ascii="Times New Roman" w:hAnsi="Times New Roman" w:cs="Times New Roman"/>
        </w:rPr>
      </w:pPr>
      <w:r w:rsidRPr="00BC479C">
        <w:rPr>
          <w:rFonts w:ascii="Times New Roman" w:hAnsi="Times New Roman" w:cs="Times New Roman"/>
        </w:rPr>
        <w:t xml:space="preserve">ustalić z właścicielem lub zarządzającym warunki szczegółowe wejścia w teren, </w:t>
      </w:r>
    </w:p>
    <w:p w14:paraId="47D253FC" w14:textId="77777777" w:rsidR="009D57D0" w:rsidRPr="00BC479C" w:rsidRDefault="009D57D0" w:rsidP="00904E6C">
      <w:pPr>
        <w:numPr>
          <w:ilvl w:val="0"/>
          <w:numId w:val="359"/>
        </w:numPr>
        <w:suppressAutoHyphens/>
        <w:spacing w:after="0" w:line="240" w:lineRule="auto"/>
        <w:rPr>
          <w:rFonts w:ascii="Times New Roman" w:hAnsi="Times New Roman" w:cs="Times New Roman"/>
        </w:rPr>
      </w:pPr>
      <w:r w:rsidRPr="00BC479C">
        <w:rPr>
          <w:rFonts w:ascii="Times New Roman" w:hAnsi="Times New Roman" w:cs="Times New Roman"/>
        </w:rPr>
        <w:t xml:space="preserve">ustalić stan terenu i sporządzić dokumentację stanu terenu przed przystąpieniem do prac poza pasem drogowym, </w:t>
      </w:r>
    </w:p>
    <w:p w14:paraId="6AECC5BB" w14:textId="77777777" w:rsidR="009D57D0" w:rsidRPr="00BC479C" w:rsidRDefault="009D57D0" w:rsidP="00904E6C">
      <w:pPr>
        <w:numPr>
          <w:ilvl w:val="0"/>
          <w:numId w:val="359"/>
        </w:numPr>
        <w:suppressAutoHyphens/>
        <w:spacing w:after="0" w:line="240" w:lineRule="auto"/>
        <w:rPr>
          <w:rFonts w:ascii="Times New Roman" w:hAnsi="Times New Roman" w:cs="Times New Roman"/>
        </w:rPr>
      </w:pPr>
      <w:r w:rsidRPr="00BC479C">
        <w:rPr>
          <w:rFonts w:ascii="Times New Roman" w:hAnsi="Times New Roman" w:cs="Times New Roman"/>
        </w:rPr>
        <w:t>po wykonaniu prac doprowadzić teren do stanu przed wejściem m. innymi na podstawie wcześniejszej dokumentacji</w:t>
      </w:r>
    </w:p>
    <w:p w14:paraId="186A995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4C8847A3"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Trasowanie sieci teletechnicznej.</w:t>
      </w:r>
    </w:p>
    <w:p w14:paraId="23310D30" w14:textId="77777777" w:rsidR="009D57D0" w:rsidRPr="00BC479C" w:rsidRDefault="009D57D0" w:rsidP="00CE1E11">
      <w:pPr>
        <w:spacing w:after="0" w:line="240" w:lineRule="auto"/>
        <w:rPr>
          <w:rFonts w:ascii="Times New Roman" w:hAnsi="Times New Roman" w:cs="Times New Roman"/>
        </w:rPr>
      </w:pPr>
    </w:p>
    <w:p w14:paraId="2BD39D2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Podstawę wytyczenia trasy linii kablowej stanowi dokumentacja prawna i techniczna. Wytyczenie trasy powinno być dokonane przez odpowiednie służby geodezyjne lub specjalną służbę przedsiębiorstwa wykonującego linię. Należy sprawdzić zgodność trasy z rozwiązaniem przyjętym na Rysunkach, sprawdzając czy w terenie nie nastąpiły zmiany mogące wpłynąć na konieczność zmian na Rysunkach. </w:t>
      </w:r>
    </w:p>
    <w:p w14:paraId="70412CF8"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0F6728B2" w14:textId="77777777" w:rsidR="009D57D0" w:rsidRPr="00BC479C" w:rsidRDefault="009D57D0" w:rsidP="00904E6C">
      <w:pPr>
        <w:pStyle w:val="Nagwek2Title2"/>
        <w:numPr>
          <w:ilvl w:val="1"/>
          <w:numId w:val="366"/>
        </w:numPr>
        <w:tabs>
          <w:tab w:val="left" w:pos="57"/>
        </w:tabs>
        <w:rPr>
          <w:sz w:val="22"/>
          <w:szCs w:val="22"/>
        </w:rPr>
      </w:pPr>
      <w:r w:rsidRPr="00BC479C">
        <w:rPr>
          <w:sz w:val="22"/>
          <w:szCs w:val="22"/>
        </w:rPr>
        <w:t>Usytuowanie kanalizacji</w:t>
      </w:r>
    </w:p>
    <w:p w14:paraId="0390FF39" w14:textId="77777777" w:rsidR="009D57D0" w:rsidRPr="00BC479C" w:rsidRDefault="009D57D0" w:rsidP="00CE1E11">
      <w:pPr>
        <w:widowControl w:val="0"/>
        <w:tabs>
          <w:tab w:val="left" w:pos="426"/>
        </w:tabs>
        <w:spacing w:after="0" w:line="240" w:lineRule="auto"/>
        <w:rPr>
          <w:rFonts w:ascii="Times New Roman" w:hAnsi="Times New Roman" w:cs="Times New Roman"/>
        </w:rPr>
      </w:pPr>
    </w:p>
    <w:p w14:paraId="6C9BD6EA" w14:textId="77777777" w:rsidR="009D57D0" w:rsidRPr="00BC479C" w:rsidRDefault="009D57D0" w:rsidP="00904E6C">
      <w:pPr>
        <w:pStyle w:val="Nagwek3"/>
        <w:numPr>
          <w:ilvl w:val="2"/>
          <w:numId w:val="253"/>
        </w:numPr>
      </w:pPr>
      <w:r w:rsidRPr="00BC479C">
        <w:t>Usytuowanie studni kablowych</w:t>
      </w:r>
    </w:p>
    <w:p w14:paraId="3190CB7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1ADA62D5"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Studnie kablowe typu SKR-2 oraz SKO-2g (kanał technologiczny) należy zlokalizować zgodnie z planem sytuacyjnym dołączonym do projektu.</w:t>
      </w:r>
    </w:p>
    <w:p w14:paraId="470E4D9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0AC43769" w14:textId="77777777" w:rsidR="009D57D0" w:rsidRPr="00BC479C" w:rsidRDefault="009D57D0" w:rsidP="00904E6C">
      <w:pPr>
        <w:pStyle w:val="Nagwek3"/>
        <w:numPr>
          <w:ilvl w:val="2"/>
          <w:numId w:val="253"/>
        </w:numPr>
      </w:pPr>
      <w:r w:rsidRPr="00BC479C">
        <w:lastRenderedPageBreak/>
        <w:t>Głębokość ułożenia kanalizacji</w:t>
      </w:r>
    </w:p>
    <w:p w14:paraId="248E738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07F3380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Kanalizację należy budować na głębokości 0,8m. Natomiast w miejscach przekroczenia dróg na głębokości minimum 1,2m. </w:t>
      </w:r>
    </w:p>
    <w:p w14:paraId="18B9DFB5"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2DC7D0D6" w14:textId="77777777" w:rsidR="009D57D0" w:rsidRPr="00BC479C" w:rsidRDefault="009D57D0" w:rsidP="00904E6C">
      <w:pPr>
        <w:pStyle w:val="Nagwek3"/>
        <w:numPr>
          <w:ilvl w:val="2"/>
          <w:numId w:val="253"/>
        </w:numPr>
      </w:pPr>
      <w:r w:rsidRPr="00BC479C">
        <w:t>Prostoliniowość przebiegu</w:t>
      </w:r>
    </w:p>
    <w:p w14:paraId="65A3706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Kanalizacja kablowa powinna na odcinkach miedzy sąsiednimi studniami przebiegać po linii prostej bez załamań </w:t>
      </w:r>
      <w:r w:rsidRPr="00BC479C">
        <w:rPr>
          <w:rFonts w:ascii="Times New Roman" w:hAnsi="Times New Roman" w:cs="Times New Roman"/>
        </w:rPr>
        <w:br/>
        <w:t>i wyboczeń.</w:t>
      </w:r>
    </w:p>
    <w:p w14:paraId="4A1C8812"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439CF427" w14:textId="77777777" w:rsidR="009D57D0" w:rsidRPr="00BC479C" w:rsidRDefault="009D57D0" w:rsidP="00904E6C">
      <w:pPr>
        <w:pStyle w:val="Nagwek3"/>
        <w:numPr>
          <w:ilvl w:val="2"/>
          <w:numId w:val="253"/>
        </w:numPr>
      </w:pPr>
      <w:r w:rsidRPr="00BC479C">
        <w:t>Spadek kanalizacji</w:t>
      </w:r>
    </w:p>
    <w:p w14:paraId="774F5F4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 terenie płaskim kanalizacja powinna być układana ze spadkiem od 1 do 3 %.</w:t>
      </w:r>
    </w:p>
    <w:p w14:paraId="3B07CC5D"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3537D90A"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Ciągi kanalizacji</w:t>
      </w:r>
    </w:p>
    <w:p w14:paraId="3A8E1286"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776979DD" w14:textId="77777777" w:rsidR="009D57D0" w:rsidRPr="00BC479C" w:rsidRDefault="009D57D0" w:rsidP="00904E6C">
      <w:pPr>
        <w:pStyle w:val="Nagwek3"/>
        <w:numPr>
          <w:ilvl w:val="2"/>
          <w:numId w:val="253"/>
        </w:numPr>
      </w:pPr>
      <w:r w:rsidRPr="00BC479C">
        <w:t>Wymagania ogólne</w:t>
      </w:r>
    </w:p>
    <w:p w14:paraId="247515A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Ilość otworów kanalizacji kablowej powinna być zgodna z Rysunkami.</w:t>
      </w:r>
    </w:p>
    <w:p w14:paraId="3ACCD055"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5E6121D9" w14:textId="77777777" w:rsidR="009D57D0" w:rsidRPr="00BC479C" w:rsidRDefault="009D57D0" w:rsidP="00904E6C">
      <w:pPr>
        <w:pStyle w:val="Nagwek3"/>
        <w:numPr>
          <w:ilvl w:val="2"/>
          <w:numId w:val="253"/>
        </w:numPr>
      </w:pPr>
      <w:r w:rsidRPr="00BC479C">
        <w:t>Zestawy z rur</w:t>
      </w:r>
    </w:p>
    <w:p w14:paraId="4F5C5AE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Do zestawów kanalizacji należy używać rur wykonanych z polietylenu (PE) np. typu: RHDPEp, RHDPEk-S </w:t>
      </w:r>
    </w:p>
    <w:p w14:paraId="2518E874" w14:textId="77777777" w:rsidR="009D57D0" w:rsidRPr="00BC479C" w:rsidRDefault="009D57D0" w:rsidP="00CE1E11">
      <w:pPr>
        <w:spacing w:after="0" w:line="240" w:lineRule="auto"/>
        <w:rPr>
          <w:rFonts w:ascii="Times New Roman" w:hAnsi="Times New Roman" w:cs="Times New Roman"/>
        </w:rPr>
      </w:pPr>
    </w:p>
    <w:p w14:paraId="479A6004"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Roboty ziemne</w:t>
      </w:r>
    </w:p>
    <w:p w14:paraId="086243F0" w14:textId="77777777" w:rsidR="009D57D0" w:rsidRPr="00BC479C" w:rsidRDefault="009D57D0" w:rsidP="00CE1E11">
      <w:pPr>
        <w:pStyle w:val="Nagwek"/>
        <w:tabs>
          <w:tab w:val="clear" w:pos="4536"/>
          <w:tab w:val="clear" w:pos="9072"/>
        </w:tabs>
        <w:rPr>
          <w:sz w:val="22"/>
        </w:rPr>
      </w:pPr>
    </w:p>
    <w:p w14:paraId="3CD4F06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Wytyczona trasa kanalizacji kablowej ir urociągu powinna być zgodna z podaną w Dokumentacji Projektowej.</w:t>
      </w:r>
    </w:p>
    <w:p w14:paraId="5018862D"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Głębokości wykopów podane są w tablicy 3 normy BN-73/8984-05 i tablicy 1 i 2 ZN96/TPSA-012. W przypadkach przewidywanej rozbudowy kanalizacji wykopy powinny być odpowiednio głębsze.</w:t>
      </w:r>
    </w:p>
    <w:p w14:paraId="57E03A7F"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Wykopy powinny być tak przygotowane, aby spełniały wymagania podane w punkcie 5.9 normy BN-75/8984-05. Ściany wykopów powinny być pochyłe.</w:t>
      </w:r>
    </w:p>
    <w:p w14:paraId="5031054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Przed ułożeniem kanalizacji dno wykopu powinno być wyrównane i ukształtowane ze spadkiem zgodnie z wymaganiami pkt. 3.6 normy BN-73/8984-05. W gruntach mało spoistych na dno wykopu należy ułożyć ławę z betonu kl. B20 o grubości, co najmniej 10 cm.</w:t>
      </w:r>
    </w:p>
    <w:p w14:paraId="03A4919F" w14:textId="77777777" w:rsidR="009D57D0" w:rsidRPr="00BC479C" w:rsidRDefault="009D57D0" w:rsidP="00CE1E11">
      <w:pPr>
        <w:widowControl w:val="0"/>
        <w:tabs>
          <w:tab w:val="left" w:pos="1865"/>
        </w:tabs>
        <w:spacing w:after="0" w:line="240" w:lineRule="auto"/>
        <w:ind w:left="1866"/>
        <w:rPr>
          <w:rFonts w:ascii="Times New Roman" w:hAnsi="Times New Roman" w:cs="Times New Roman"/>
        </w:rPr>
      </w:pPr>
    </w:p>
    <w:p w14:paraId="5B733AE8" w14:textId="77777777" w:rsidR="009D57D0" w:rsidRPr="00BC479C" w:rsidRDefault="009D57D0" w:rsidP="00904E6C">
      <w:pPr>
        <w:pStyle w:val="Nagwek3"/>
        <w:numPr>
          <w:ilvl w:val="2"/>
          <w:numId w:val="253"/>
        </w:numPr>
      </w:pPr>
      <w:r w:rsidRPr="00BC479C">
        <w:t>Długości wykopów</w:t>
      </w:r>
    </w:p>
    <w:p w14:paraId="6EA7AE5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Wykop dla układania rur powinien być realizowany jednorazowo na odcinku, co najmniej pomiędzy poszczególnymi studniami. Krótsze odcinki wykopów mogą być wykonywane, jeżeli wymaga tego zachowanie bezpieczeństwa ruchu kołowego i pieszego oraz w wypadku budynków niepodpiwniczonych, gdzie długości wykopów są ograniczone ze względów bezpieczeństwa.</w:t>
      </w:r>
    </w:p>
    <w:p w14:paraId="31D76A0A"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300BCAFD" w14:textId="77777777" w:rsidR="009D57D0" w:rsidRPr="00BC479C" w:rsidRDefault="009D57D0" w:rsidP="00904E6C">
      <w:pPr>
        <w:pStyle w:val="Nagwek3"/>
        <w:numPr>
          <w:ilvl w:val="2"/>
          <w:numId w:val="253"/>
        </w:numPr>
      </w:pPr>
      <w:r w:rsidRPr="00BC479C">
        <w:t>Przygotowanie wykopów</w:t>
      </w:r>
    </w:p>
    <w:p w14:paraId="4F771F1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Wykopy powinny być tak przygotowane, aby spełniały wymagania podane w pkt.5.5.1., 5.5.2. 5.5.3. ściany wykopów powinny być pochyłe w stopniu uzależnionym od rodzaju gruntu.</w:t>
      </w:r>
    </w:p>
    <w:p w14:paraId="27F033EF"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4505205B" w14:textId="77777777" w:rsidR="009D57D0" w:rsidRPr="00BC479C" w:rsidRDefault="009D57D0" w:rsidP="00904E6C">
      <w:pPr>
        <w:pStyle w:val="Nagwek3"/>
        <w:numPr>
          <w:ilvl w:val="2"/>
          <w:numId w:val="253"/>
        </w:numPr>
      </w:pPr>
      <w:r w:rsidRPr="00BC479C">
        <w:t>Wyrównanie i wzmocnienie dna wykopu</w:t>
      </w:r>
    </w:p>
    <w:p w14:paraId="70B7164D"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Przed ułożeniem kanalizacji dno wykopu powinno być wyrównane i ukształtowane ze spadkiem. </w:t>
      </w:r>
      <w:r w:rsidRPr="00BC479C">
        <w:rPr>
          <w:rFonts w:ascii="Times New Roman" w:hAnsi="Times New Roman" w:cs="Times New Roman"/>
        </w:rPr>
        <w:br/>
        <w:t xml:space="preserve">W gruntach małospoistych, jak próchnica, suchy piasek bez spoiwa lub w gruntach przesyconych woda, jak kurzawki, muły i torfy, na dno wykopu należy ułożyć ławę z betonu marki 1000 grubości co najmniej 10 cm. Ławę betonową na dnie wykopu należy układać również w przypadku możliwości osiadania gruntu, np. przy przebudowach ulic w świeżo wzruszonej lub nasypanej ziemi. Ława betonowa na dnie wykopu oraz dno wykopu w gruntach kategorii od III do VI powinny być wysypane warstwą piasku lub przesianej ziemi o grubości warstwy nie mniejszej niż </w:t>
      </w:r>
      <w:r w:rsidRPr="00BC479C">
        <w:rPr>
          <w:rFonts w:ascii="Times New Roman" w:hAnsi="Times New Roman" w:cs="Times New Roman"/>
        </w:rPr>
        <w:lastRenderedPageBreak/>
        <w:t>5 cm.</w:t>
      </w:r>
    </w:p>
    <w:p w14:paraId="3ADF809C"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2B55A53C"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Układanie ciągów kanalizacji</w:t>
      </w:r>
    </w:p>
    <w:p w14:paraId="0FB0A9FE"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07763BC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Układanie ciągów kanalizacji i rurociągów powinno być zgodne z normą BN-73/8984-05, ZN-9511P S.A.-011T i ZN-951T S.A.-012/T.</w:t>
      </w:r>
    </w:p>
    <w:p w14:paraId="5DE03E92"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7ECD5BD9" w14:textId="77777777" w:rsidR="009D57D0" w:rsidRPr="00BC479C" w:rsidRDefault="009D57D0" w:rsidP="00904E6C">
      <w:pPr>
        <w:pStyle w:val="Nagwek3"/>
        <w:numPr>
          <w:ilvl w:val="2"/>
          <w:numId w:val="253"/>
        </w:numPr>
      </w:pPr>
      <w:r w:rsidRPr="00BC479C">
        <w:t>Układanie i łączenie rur</w:t>
      </w:r>
    </w:p>
    <w:p w14:paraId="27499AD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Rury RHDPEp bez kielichów należy łączyć na gorąco przy użyciu podgrzewacza elektrycznego lub benzynowego. Rury kielichowe należy łączyć na zimno przy użyciu uszczelniacza. Końce wszystkich rur przed ich położeniem powinny być oczyszczone, a połączone rury powinny zachować współosiowość. Z pojedynczych rur należy tworzyć zestawy </w:t>
      </w:r>
      <w:r w:rsidRPr="00BC479C">
        <w:rPr>
          <w:rFonts w:ascii="Times New Roman" w:hAnsi="Times New Roman" w:cs="Times New Roman"/>
        </w:rPr>
        <w:br/>
        <w:t>o odpowiednich profilach ustalonych z Urzędem Telekomunikacyjnym.</w:t>
      </w:r>
    </w:p>
    <w:p w14:paraId="4DC6835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Odległości między poszczególnymi rurami w warstwie nie powinny być mniejsze od 2 cm, a między warstwami od 3 cm.</w:t>
      </w:r>
    </w:p>
    <w:p w14:paraId="53A8D0B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Na przygotowane dno wykopu należy ułożyć jedną lub kilka rur w jednej warstwie. W przypadku układania następnych warstw, ułożoną warstwę rur należy zasypać piaskiem lub przesianą ziemią, wyrównać i lekko ubić dla  dokładnego wypełnienia szczelin między rurami. Piasek lub przesianą ziemię zaleca się polewać wodą.</w:t>
      </w:r>
    </w:p>
    <w:p w14:paraId="0E5C7E03"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Przy wielowarstwowym układaniu rur należy przestrzegać symetrii pionowej w tworzonych zestawach.</w:t>
      </w:r>
    </w:p>
    <w:p w14:paraId="0D5AF808"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75EA148F" w14:textId="77777777" w:rsidR="009D57D0" w:rsidRPr="00BC479C" w:rsidRDefault="009D57D0" w:rsidP="00904E6C">
      <w:pPr>
        <w:pStyle w:val="Nagwek3"/>
        <w:numPr>
          <w:ilvl w:val="2"/>
          <w:numId w:val="253"/>
        </w:numPr>
      </w:pPr>
      <w:r w:rsidRPr="00BC479C">
        <w:t>Zasypywanie kanalizacji i rurociągów z rur</w:t>
      </w:r>
    </w:p>
    <w:p w14:paraId="3023A0FF"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Zasypywanie wykopów należy wykonać po ułożeniu całego ciągu rur między dwiema studniami. Zasypanie krótszego odcinka dopuszcza się tylko w przypadkach konieczności zachowania ciągłości ruchu kołowego lub ulicznego oraz przy budynkach nie podpiwniczonych, gdzie długości wykopów są ograniczone ze względów bezpieczeństwa.</w:t>
      </w:r>
    </w:p>
    <w:p w14:paraId="61E4119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Ostatnią warstwę rur należy przysypać warstwą piasku do grubości przykrycia nie mniejszej niż 20 cm, a następnie warstwą piasku lub nie przesianej ziemi grubości około 20 cm.</w:t>
      </w:r>
    </w:p>
    <w:p w14:paraId="05843F4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Ziemia nie powinna zawierać gruzu i kamieni o średnicy większej od 5 cm. Następnie należy zasypywać wykop ziemią warstwami co 20 cm, warstwy ziemi ubijać. Stopień zagęszczenia gruntu powinien być badany stosownie do wymagań administracji terenowej.</w:t>
      </w:r>
    </w:p>
    <w:p w14:paraId="3D7C43B6"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633E6A71"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Wprowadzenie kanalizacji do studni</w:t>
      </w:r>
    </w:p>
    <w:p w14:paraId="6C865C45" w14:textId="77777777" w:rsidR="009D57D0" w:rsidRPr="00BC479C" w:rsidRDefault="009D57D0" w:rsidP="00CE1E11">
      <w:pPr>
        <w:widowControl w:val="0"/>
        <w:tabs>
          <w:tab w:val="left" w:pos="0"/>
          <w:tab w:val="left" w:pos="430"/>
        </w:tabs>
        <w:spacing w:after="0" w:line="240" w:lineRule="auto"/>
        <w:rPr>
          <w:rFonts w:ascii="Times New Roman" w:hAnsi="Times New Roman" w:cs="Times New Roman"/>
        </w:rPr>
      </w:pPr>
    </w:p>
    <w:p w14:paraId="798EC07E" w14:textId="77777777" w:rsidR="009D57D0" w:rsidRPr="00BC479C" w:rsidRDefault="009D57D0" w:rsidP="00904E6C">
      <w:pPr>
        <w:pStyle w:val="Nagwek3"/>
        <w:numPr>
          <w:ilvl w:val="2"/>
          <w:numId w:val="253"/>
        </w:numPr>
      </w:pPr>
      <w:r w:rsidRPr="00BC479C">
        <w:t>Przygotowanie rur</w:t>
      </w:r>
    </w:p>
    <w:p w14:paraId="747BA4A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Powierzchnia końca rury z tworzywa sztucznego na odcinkach podlegających wmurowaniu lub zabetonowaniu powinna być oczyszczona np. papierem ściernym na długości około 0,5 m, następnie pokryta klejem i obsypana cementem z piaskiem. Tak przygotowana rura może być wbudowana dopiero po</w:t>
      </w:r>
      <w:r w:rsidRPr="00BC479C">
        <w:rPr>
          <w:rFonts w:ascii="Times New Roman" w:hAnsi="Times New Roman" w:cs="Times New Roman"/>
          <w:b/>
        </w:rPr>
        <w:t xml:space="preserve"> </w:t>
      </w:r>
      <w:r w:rsidRPr="00BC479C">
        <w:rPr>
          <w:rFonts w:ascii="Times New Roman" w:hAnsi="Times New Roman" w:cs="Times New Roman"/>
        </w:rPr>
        <w:t>upływie 2 godzin.</w:t>
      </w:r>
    </w:p>
    <w:p w14:paraId="466940E9"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4EEC102C" w14:textId="77777777" w:rsidR="009D57D0" w:rsidRPr="00BC479C" w:rsidRDefault="009D57D0" w:rsidP="00904E6C">
      <w:pPr>
        <w:pStyle w:val="Nagwek3"/>
        <w:numPr>
          <w:ilvl w:val="2"/>
          <w:numId w:val="253"/>
        </w:numPr>
      </w:pPr>
      <w:r w:rsidRPr="00BC479C">
        <w:t>Wprowadzenie kanalizacji do studni kablowych.</w:t>
      </w:r>
    </w:p>
    <w:p w14:paraId="5135468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Wprowadzane ciągi kanalizacji kablowej powinny kończyć się w zabetonowanej części gardła, a rury powinny być przygotowane zgodnie z wymaganiami w pkt.5.9.1. Ponadto rury z tworzywa sztucznego (warstwy) powinny być złączone zaprawą cementową na długości około 0,5 m od początku gardła.</w:t>
      </w:r>
    </w:p>
    <w:p w14:paraId="03E0252E" w14:textId="77777777" w:rsidR="009D57D0" w:rsidRPr="00BC479C" w:rsidRDefault="009D57D0" w:rsidP="00CE1E11">
      <w:pPr>
        <w:widowControl w:val="0"/>
        <w:tabs>
          <w:tab w:val="left" w:pos="0"/>
          <w:tab w:val="left" w:pos="204"/>
        </w:tabs>
        <w:spacing w:after="0" w:line="240" w:lineRule="auto"/>
        <w:rPr>
          <w:rFonts w:ascii="Times New Roman" w:hAnsi="Times New Roman" w:cs="Times New Roman"/>
        </w:rPr>
      </w:pPr>
    </w:p>
    <w:p w14:paraId="48FF11A7"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Skrzyżowanie i zbliżenia</w:t>
      </w:r>
    </w:p>
    <w:p w14:paraId="7C55197E" w14:textId="77777777" w:rsidR="009D57D0" w:rsidRPr="00BC479C" w:rsidRDefault="009D57D0" w:rsidP="00CE1E11">
      <w:pPr>
        <w:widowControl w:val="0"/>
        <w:tabs>
          <w:tab w:val="left" w:pos="0"/>
          <w:tab w:val="left" w:pos="430"/>
        </w:tabs>
        <w:spacing w:after="0" w:line="240" w:lineRule="auto"/>
        <w:rPr>
          <w:rFonts w:ascii="Times New Roman" w:hAnsi="Times New Roman" w:cs="Times New Roman"/>
        </w:rPr>
      </w:pPr>
    </w:p>
    <w:p w14:paraId="67BFF134" w14:textId="77777777" w:rsidR="009D57D0" w:rsidRPr="00BC479C" w:rsidRDefault="009D57D0" w:rsidP="00904E6C">
      <w:pPr>
        <w:pStyle w:val="Nagwek3"/>
        <w:numPr>
          <w:ilvl w:val="2"/>
          <w:numId w:val="253"/>
        </w:numPr>
      </w:pPr>
      <w:r w:rsidRPr="00BC479C">
        <w:t>Skrzyżowanie z ulicami i drogami publicznymi</w:t>
      </w:r>
    </w:p>
    <w:p w14:paraId="4995509A" w14:textId="77777777" w:rsidR="009D57D0" w:rsidRPr="00BC479C" w:rsidRDefault="009D57D0" w:rsidP="00CE1E11">
      <w:pPr>
        <w:spacing w:after="0" w:line="240" w:lineRule="auto"/>
        <w:rPr>
          <w:rFonts w:ascii="Times New Roman" w:hAnsi="Times New Roman" w:cs="Times New Roman"/>
        </w:rPr>
      </w:pPr>
    </w:p>
    <w:p w14:paraId="0041EF54" w14:textId="77777777" w:rsidR="009D57D0" w:rsidRPr="00BC479C" w:rsidRDefault="009D57D0" w:rsidP="00904E6C">
      <w:pPr>
        <w:pStyle w:val="Nagwek4"/>
        <w:numPr>
          <w:ilvl w:val="3"/>
          <w:numId w:val="253"/>
        </w:numPr>
        <w:tabs>
          <w:tab w:val="clear" w:pos="284"/>
          <w:tab w:val="left" w:pos="426"/>
          <w:tab w:val="left" w:pos="1276"/>
        </w:tabs>
        <w:spacing w:before="0" w:line="240" w:lineRule="auto"/>
        <w:ind w:left="426" w:firstLine="0"/>
        <w:jc w:val="left"/>
        <w:rPr>
          <w:rFonts w:ascii="Times New Roman" w:hAnsi="Times New Roman" w:cs="Times New Roman"/>
          <w:color w:val="auto"/>
          <w:sz w:val="22"/>
        </w:rPr>
      </w:pPr>
      <w:r w:rsidRPr="00BC479C">
        <w:rPr>
          <w:rFonts w:ascii="Times New Roman" w:hAnsi="Times New Roman" w:cs="Times New Roman"/>
          <w:color w:val="auto"/>
          <w:sz w:val="22"/>
        </w:rPr>
        <w:t>Trasa kanalizacji</w:t>
      </w:r>
    </w:p>
    <w:p w14:paraId="7C8712A6"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Na skrzyżowaniach z ulicami i drogami publicznymi trasa kanalizacji powinna być prostopadła do osi jezdni z dopuszczalną odchyłką 15</w:t>
      </w:r>
      <w:r w:rsidRPr="00BC479C">
        <w:rPr>
          <w:rFonts w:ascii="Times New Roman" w:hAnsi="Times New Roman" w:cs="Times New Roman"/>
          <w:vertAlign w:val="superscript"/>
        </w:rPr>
        <w:t>o</w:t>
      </w:r>
      <w:r w:rsidRPr="00BC479C">
        <w:rPr>
          <w:rFonts w:ascii="Times New Roman" w:hAnsi="Times New Roman" w:cs="Times New Roman"/>
        </w:rPr>
        <w:t>.</w:t>
      </w:r>
    </w:p>
    <w:p w14:paraId="64E35FCB" w14:textId="77777777" w:rsidR="009D57D0" w:rsidRPr="00BC479C" w:rsidRDefault="009D57D0" w:rsidP="00CE1E11">
      <w:pPr>
        <w:widowControl w:val="0"/>
        <w:tabs>
          <w:tab w:val="left" w:pos="0"/>
          <w:tab w:val="left" w:pos="1213"/>
          <w:tab w:val="left" w:pos="8793"/>
        </w:tabs>
        <w:spacing w:after="0" w:line="240" w:lineRule="auto"/>
        <w:rPr>
          <w:rFonts w:ascii="Times New Roman" w:hAnsi="Times New Roman" w:cs="Times New Roman"/>
          <w:b/>
        </w:rPr>
      </w:pPr>
    </w:p>
    <w:p w14:paraId="01DECFC8" w14:textId="77777777" w:rsidR="009D57D0" w:rsidRPr="00BC479C" w:rsidRDefault="009D57D0" w:rsidP="00904E6C">
      <w:pPr>
        <w:pStyle w:val="Nagwek4"/>
        <w:numPr>
          <w:ilvl w:val="3"/>
          <w:numId w:val="253"/>
        </w:numPr>
        <w:tabs>
          <w:tab w:val="clear" w:pos="284"/>
          <w:tab w:val="left" w:pos="426"/>
          <w:tab w:val="left" w:pos="1276"/>
        </w:tabs>
        <w:spacing w:before="0" w:line="240" w:lineRule="auto"/>
        <w:ind w:left="426" w:firstLine="0"/>
        <w:jc w:val="left"/>
        <w:rPr>
          <w:rFonts w:ascii="Times New Roman" w:hAnsi="Times New Roman" w:cs="Times New Roman"/>
          <w:color w:val="auto"/>
          <w:sz w:val="22"/>
        </w:rPr>
      </w:pPr>
      <w:r w:rsidRPr="00BC479C">
        <w:rPr>
          <w:rFonts w:ascii="Times New Roman" w:hAnsi="Times New Roman" w:cs="Times New Roman"/>
          <w:color w:val="auto"/>
          <w:sz w:val="22"/>
        </w:rPr>
        <w:t>Zapewnienie bezpieczeństwa i ciągłości ruchu</w:t>
      </w:r>
    </w:p>
    <w:p w14:paraId="5BD5E7BF"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Przy wykonywaniu skrzyżowania bez wstrzymania ruchu metodą otwartego wykopu należy najpierw wykonać wykop </w:t>
      </w:r>
      <w:r w:rsidRPr="00BC479C">
        <w:rPr>
          <w:rFonts w:ascii="Times New Roman" w:hAnsi="Times New Roman" w:cs="Times New Roman"/>
        </w:rPr>
        <w:br/>
        <w:t>i ułożyć rury na połowie jezdni tak, aby ruch kołowy mógł się odbywać bez przeszkód.</w:t>
      </w:r>
    </w:p>
    <w:p w14:paraId="38287E2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Prace na drugiej połowie jezdni można rozpocząć dopiero po zasypaniu wykopu i prowizorycznym zabrukowaniu potowy jezdni lub ułożeniu odpowiedniego pomostu z drewnianych bali nad wykopem z barierą desek od strony wykopu.</w:t>
      </w:r>
    </w:p>
    <w:p w14:paraId="047C810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Wykop powinien być ze wszystkich stron zabezpieczony zastawami i tarczami ostrzegawczymi, a w nocy lampami ostrzegawczymi.</w:t>
      </w:r>
    </w:p>
    <w:p w14:paraId="376DA6E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Dla zachowania ciągłości ruchu zaleca się w miarę możliwości wykonywanie przejść kanalizacji pod jezdniami metodą przewiertu lub tunelową.</w:t>
      </w:r>
    </w:p>
    <w:p w14:paraId="04A7E354" w14:textId="77777777" w:rsidR="009D57D0" w:rsidRPr="00BC479C" w:rsidRDefault="009D57D0" w:rsidP="00CE1E11">
      <w:pPr>
        <w:widowControl w:val="0"/>
        <w:tabs>
          <w:tab w:val="left" w:pos="0"/>
          <w:tab w:val="left" w:pos="1201"/>
        </w:tabs>
        <w:spacing w:after="0" w:line="240" w:lineRule="auto"/>
        <w:rPr>
          <w:rFonts w:ascii="Times New Roman" w:hAnsi="Times New Roman" w:cs="Times New Roman"/>
        </w:rPr>
      </w:pPr>
    </w:p>
    <w:p w14:paraId="37C8BBF9" w14:textId="77777777" w:rsidR="009D57D0" w:rsidRPr="00BC479C" w:rsidRDefault="009D57D0" w:rsidP="00904E6C">
      <w:pPr>
        <w:pStyle w:val="Nagwek3"/>
        <w:numPr>
          <w:ilvl w:val="2"/>
          <w:numId w:val="253"/>
        </w:numPr>
      </w:pPr>
      <w:r w:rsidRPr="00BC479C">
        <w:t>Ciągi kanalizacji układane metodą wiertniczą i tunelową</w:t>
      </w:r>
    </w:p>
    <w:p w14:paraId="2AE00A9D"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Do budowy ciągów kanalizacji metodą wiertniczą przeciskową należy stosować rury  RHDPEp 110/6,3.</w:t>
      </w:r>
    </w:p>
    <w:p w14:paraId="7003E3A0" w14:textId="77777777" w:rsidR="009D57D0" w:rsidRPr="00BC479C" w:rsidRDefault="009D57D0" w:rsidP="00CE1E11">
      <w:pPr>
        <w:widowControl w:val="0"/>
        <w:tabs>
          <w:tab w:val="left" w:pos="0"/>
          <w:tab w:val="left" w:pos="1201"/>
        </w:tabs>
        <w:spacing w:after="0" w:line="240" w:lineRule="auto"/>
        <w:rPr>
          <w:rFonts w:ascii="Times New Roman" w:hAnsi="Times New Roman" w:cs="Times New Roman"/>
        </w:rPr>
      </w:pPr>
    </w:p>
    <w:p w14:paraId="604072F9" w14:textId="77777777" w:rsidR="009D57D0" w:rsidRPr="00BC479C" w:rsidRDefault="009D57D0" w:rsidP="00904E6C">
      <w:pPr>
        <w:pStyle w:val="Nagwek3"/>
        <w:numPr>
          <w:ilvl w:val="2"/>
          <w:numId w:val="253"/>
        </w:numPr>
      </w:pPr>
      <w:r w:rsidRPr="00BC479C">
        <w:t>Skrzyżowania i zbliżenia z urządzeniami podziemnymi</w:t>
      </w:r>
    </w:p>
    <w:p w14:paraId="2387B26B" w14:textId="77777777" w:rsidR="009D57D0"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Skrzyżowania i zbliżenia z urządzeniami podziemnymi należy wykonać zgodnie z Rozporządzeniem  Ministra Infrastruktury z dnia  26.10.2005 r. w sprawie warunków technicznych jakim powinny odpowiadać telekomunikacyjne obiekty budowlane i ich usytuowanie(DU nr 219 z 31.10.2005 poz. 1864) </w:t>
      </w:r>
    </w:p>
    <w:p w14:paraId="27D4854B" w14:textId="77777777" w:rsidR="00022365" w:rsidRPr="00BC479C" w:rsidRDefault="00022365" w:rsidP="00CE1E11">
      <w:pPr>
        <w:widowControl w:val="0"/>
        <w:tabs>
          <w:tab w:val="left" w:pos="-1418"/>
        </w:tabs>
        <w:spacing w:after="0" w:line="240" w:lineRule="auto"/>
        <w:ind w:left="284"/>
        <w:rPr>
          <w:rFonts w:ascii="Times New Roman" w:hAnsi="Times New Roman" w:cs="Times New Roman"/>
        </w:rPr>
      </w:pPr>
    </w:p>
    <w:p w14:paraId="1F0A6098" w14:textId="77777777" w:rsidR="009D57D0" w:rsidRPr="00022365" w:rsidRDefault="009D57D0" w:rsidP="00904E6C">
      <w:pPr>
        <w:pStyle w:val="Nagwek2Title2"/>
        <w:numPr>
          <w:ilvl w:val="1"/>
          <w:numId w:val="366"/>
        </w:numPr>
        <w:tabs>
          <w:tab w:val="left" w:pos="66"/>
        </w:tabs>
        <w:rPr>
          <w:sz w:val="22"/>
          <w:szCs w:val="22"/>
        </w:rPr>
      </w:pPr>
      <w:r w:rsidRPr="00022365">
        <w:rPr>
          <w:sz w:val="22"/>
          <w:szCs w:val="22"/>
        </w:rPr>
        <w:t>Studnie kablowe</w:t>
      </w:r>
    </w:p>
    <w:p w14:paraId="6C287298" w14:textId="77777777" w:rsidR="009D57D0" w:rsidRPr="00BC479C" w:rsidRDefault="009D57D0" w:rsidP="00CE1E11">
      <w:pPr>
        <w:widowControl w:val="0"/>
        <w:tabs>
          <w:tab w:val="left" w:pos="640"/>
        </w:tabs>
        <w:spacing w:after="0" w:line="240" w:lineRule="auto"/>
        <w:rPr>
          <w:rFonts w:ascii="Times New Roman" w:hAnsi="Times New Roman" w:cs="Times New Roman"/>
          <w:b/>
        </w:rPr>
      </w:pPr>
    </w:p>
    <w:p w14:paraId="66C12714" w14:textId="77777777" w:rsidR="009D57D0" w:rsidRPr="00BC479C" w:rsidRDefault="009D57D0" w:rsidP="00904E6C">
      <w:pPr>
        <w:pStyle w:val="Nagwek3"/>
        <w:numPr>
          <w:ilvl w:val="2"/>
          <w:numId w:val="253"/>
        </w:numPr>
      </w:pPr>
      <w:r w:rsidRPr="00BC479C">
        <w:t>Typy studni</w:t>
      </w:r>
    </w:p>
    <w:p w14:paraId="1B051FD5"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Należy stosować studnie kablowe typu: SKR-2 i SKO-2g (kanał technologiczny) zgodnie z rysunkami i wymaganiami  norm zakładowych.</w:t>
      </w:r>
    </w:p>
    <w:p w14:paraId="2EA2E1A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Studnie należy wykonać jako prefabrykowane.</w:t>
      </w:r>
    </w:p>
    <w:p w14:paraId="39B6C09E"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33085327" w14:textId="77777777" w:rsidR="009D57D0" w:rsidRPr="00BC479C" w:rsidRDefault="009D57D0" w:rsidP="00904E6C">
      <w:pPr>
        <w:pStyle w:val="Nagwek3"/>
        <w:numPr>
          <w:ilvl w:val="2"/>
          <w:numId w:val="253"/>
        </w:numPr>
      </w:pPr>
      <w:r w:rsidRPr="00BC479C">
        <w:t>Osadzenie sprzętu</w:t>
      </w:r>
    </w:p>
    <w:p w14:paraId="616ACC4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Należy osadzić i zabetonować</w:t>
      </w:r>
    </w:p>
    <w:p w14:paraId="592B4962" w14:textId="77777777" w:rsidR="009D57D0" w:rsidRPr="00BC479C" w:rsidRDefault="009D57D0" w:rsidP="00904E6C">
      <w:pPr>
        <w:numPr>
          <w:ilvl w:val="0"/>
          <w:numId w:val="257"/>
        </w:numPr>
        <w:tabs>
          <w:tab w:val="clear" w:pos="340"/>
          <w:tab w:val="num" w:pos="0"/>
          <w:tab w:val="left" w:pos="705"/>
          <w:tab w:val="left" w:pos="1065"/>
        </w:tabs>
        <w:suppressAutoHyphens/>
        <w:spacing w:after="0" w:line="240" w:lineRule="auto"/>
        <w:ind w:left="705" w:firstLine="0"/>
        <w:jc w:val="both"/>
        <w:rPr>
          <w:rFonts w:ascii="Times New Roman" w:hAnsi="Times New Roman" w:cs="Times New Roman"/>
        </w:rPr>
      </w:pPr>
      <w:r w:rsidRPr="00BC479C">
        <w:rPr>
          <w:rFonts w:ascii="Times New Roman" w:hAnsi="Times New Roman" w:cs="Times New Roman"/>
        </w:rPr>
        <w:t>rury wspornikowe - w ścianach komory lub w ścianach komory i dnie studzien,</w:t>
      </w:r>
    </w:p>
    <w:p w14:paraId="6CAB1807" w14:textId="77777777" w:rsidR="009D57D0" w:rsidRPr="00BC479C" w:rsidRDefault="009D57D0" w:rsidP="00904E6C">
      <w:pPr>
        <w:numPr>
          <w:ilvl w:val="0"/>
          <w:numId w:val="257"/>
        </w:numPr>
        <w:tabs>
          <w:tab w:val="clear" w:pos="340"/>
          <w:tab w:val="num" w:pos="0"/>
          <w:tab w:val="left" w:pos="705"/>
          <w:tab w:val="left" w:pos="1065"/>
        </w:tabs>
        <w:suppressAutoHyphens/>
        <w:spacing w:after="0" w:line="240" w:lineRule="auto"/>
        <w:ind w:left="705" w:firstLine="0"/>
        <w:jc w:val="both"/>
        <w:rPr>
          <w:rFonts w:ascii="Times New Roman" w:hAnsi="Times New Roman" w:cs="Times New Roman"/>
        </w:rPr>
      </w:pPr>
      <w:r w:rsidRPr="00BC479C">
        <w:rPr>
          <w:rFonts w:ascii="Times New Roman" w:hAnsi="Times New Roman" w:cs="Times New Roman"/>
        </w:rPr>
        <w:t>ramę na włazie studni.</w:t>
      </w:r>
    </w:p>
    <w:p w14:paraId="7AC5C62A" w14:textId="77777777" w:rsidR="009D57D0" w:rsidRPr="00BC479C" w:rsidRDefault="009D57D0" w:rsidP="00CE1E11">
      <w:pPr>
        <w:spacing w:after="0" w:line="240" w:lineRule="auto"/>
        <w:ind w:left="1065"/>
        <w:rPr>
          <w:rFonts w:ascii="Times New Roman" w:hAnsi="Times New Roman" w:cs="Times New Roman"/>
        </w:rPr>
      </w:pPr>
    </w:p>
    <w:p w14:paraId="105042C1" w14:textId="77777777" w:rsidR="009D57D0" w:rsidRPr="00BC479C" w:rsidRDefault="009D57D0" w:rsidP="00904E6C">
      <w:pPr>
        <w:pStyle w:val="Nagwek3"/>
        <w:numPr>
          <w:ilvl w:val="2"/>
          <w:numId w:val="253"/>
        </w:numPr>
      </w:pPr>
      <w:r w:rsidRPr="00BC479C">
        <w:t>Osadzenie ramy</w:t>
      </w:r>
    </w:p>
    <w:p w14:paraId="721DA593"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Ramę należy ustawić w taki sposób, aby jej górna płaszczyzna leżała w płaszczyźnie powierzchni chodnika lub jezdni. Okap zewnętrzny ramy powinien wystawać możliwie jednakowo poza pionowe ściany ze wszystkich stron włazu. Zamocowanie ramy należy wykonać za pomocą drutu wiązadłowego w ten sposób, aby rama została unieruchomiona na podłożu.</w:t>
      </w:r>
    </w:p>
    <w:p w14:paraId="7665F2D5"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Druty wiązadeł po zamocowaniu ramy należy oczyścić razem z przyległymi częściami ramy na długości po</w:t>
      </w:r>
      <w:r w:rsidRPr="00BC479C">
        <w:rPr>
          <w:rFonts w:ascii="Times New Roman" w:hAnsi="Times New Roman" w:cs="Times New Roman"/>
          <w:b/>
        </w:rPr>
        <w:t xml:space="preserve"> </w:t>
      </w:r>
      <w:r w:rsidRPr="00BC479C">
        <w:rPr>
          <w:rFonts w:ascii="Times New Roman" w:hAnsi="Times New Roman" w:cs="Times New Roman"/>
        </w:rPr>
        <w:t>około 30 mm od miejsca dociśnięcia i pokryć warstwą zaprawy betonowej o grubości, co najmniej 10 mm.</w:t>
      </w:r>
    </w:p>
    <w:p w14:paraId="4021CE1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Włazy studzien znajdujących się w miejscach bez trwałej nawierzchni (chodniki nie pokryte płytami, ścieżki w parkach, trawniki itp.) powinny być wzmocnione przez obłożnie pasami masy betonowej gęstoplastycznej marki 200 szerokości około 10 cm.</w:t>
      </w:r>
    </w:p>
    <w:p w14:paraId="6BEC13C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W terenie o poziomie nieuregulowanym (o nawierzchni tymczasowej) ramę należy ustawić według poziomu terenu przewidywanego po</w:t>
      </w:r>
      <w:r w:rsidRPr="00BC479C">
        <w:rPr>
          <w:rFonts w:ascii="Times New Roman" w:hAnsi="Times New Roman" w:cs="Times New Roman"/>
          <w:b/>
        </w:rPr>
        <w:t xml:space="preserve"> </w:t>
      </w:r>
      <w:r w:rsidRPr="00BC479C">
        <w:rPr>
          <w:rFonts w:ascii="Times New Roman" w:hAnsi="Times New Roman" w:cs="Times New Roman"/>
        </w:rPr>
        <w:t>regulacji, lecz nie niżej od poziomu obecnego.</w:t>
      </w:r>
    </w:p>
    <w:p w14:paraId="5AC0C2A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Ramę włazu studni należy bezpośrednio po zabetonowaniu przykryć pokrywą.</w:t>
      </w:r>
    </w:p>
    <w:p w14:paraId="2FF8E547" w14:textId="77777777" w:rsidR="009D57D0" w:rsidRPr="00BC479C" w:rsidRDefault="009D57D0" w:rsidP="00CE1E11">
      <w:pPr>
        <w:tabs>
          <w:tab w:val="left" w:pos="204"/>
        </w:tabs>
        <w:spacing w:after="0" w:line="240" w:lineRule="auto"/>
        <w:rPr>
          <w:rFonts w:ascii="Times New Roman" w:hAnsi="Times New Roman" w:cs="Times New Roman"/>
        </w:rPr>
      </w:pPr>
    </w:p>
    <w:p w14:paraId="7A808F62" w14:textId="77777777" w:rsidR="009D57D0" w:rsidRPr="00BC479C" w:rsidRDefault="009D57D0" w:rsidP="00904E6C">
      <w:pPr>
        <w:pStyle w:val="Nagwek3"/>
        <w:numPr>
          <w:ilvl w:val="2"/>
          <w:numId w:val="253"/>
        </w:numPr>
      </w:pPr>
      <w:r w:rsidRPr="00BC479C">
        <w:t>Wykończenie studni</w:t>
      </w:r>
    </w:p>
    <w:p w14:paraId="3109A47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Po osadzeniu osprzętu, w czasie, gdy beton jest jeszcze wilgotny, należy nierówności wnętrza studni wyprawić zaprawą cementową marki 120. </w:t>
      </w:r>
    </w:p>
    <w:p w14:paraId="59F6C7BC" w14:textId="77777777" w:rsidR="009D57D0" w:rsidRPr="00BC479C" w:rsidRDefault="009D57D0" w:rsidP="00CE1E11">
      <w:pPr>
        <w:tabs>
          <w:tab w:val="left" w:pos="204"/>
        </w:tabs>
        <w:spacing w:after="0" w:line="240" w:lineRule="auto"/>
        <w:rPr>
          <w:rFonts w:ascii="Times New Roman" w:hAnsi="Times New Roman" w:cs="Times New Roman"/>
        </w:rPr>
      </w:pPr>
    </w:p>
    <w:p w14:paraId="6B597014" w14:textId="77777777" w:rsidR="009D57D0" w:rsidRPr="00BC479C" w:rsidRDefault="009D57D0" w:rsidP="00904E6C">
      <w:pPr>
        <w:pStyle w:val="Nagwek3"/>
        <w:numPr>
          <w:ilvl w:val="2"/>
          <w:numId w:val="253"/>
        </w:numPr>
      </w:pPr>
      <w:r w:rsidRPr="00BC479C">
        <w:lastRenderedPageBreak/>
        <w:t>Wykonywanie studni z prefabrykatów</w:t>
      </w:r>
    </w:p>
    <w:p w14:paraId="612DA7F9" w14:textId="77777777" w:rsidR="009D57D0" w:rsidRPr="00BC479C" w:rsidRDefault="009D57D0" w:rsidP="00CE1E11">
      <w:pPr>
        <w:widowControl w:val="0"/>
        <w:tabs>
          <w:tab w:val="left" w:pos="-1418"/>
        </w:tabs>
        <w:spacing w:after="0" w:line="240" w:lineRule="auto"/>
        <w:ind w:left="284" w:hanging="57"/>
        <w:rPr>
          <w:rFonts w:ascii="Times New Roman" w:hAnsi="Times New Roman" w:cs="Times New Roman"/>
        </w:rPr>
      </w:pPr>
      <w:r w:rsidRPr="00BC479C">
        <w:rPr>
          <w:rFonts w:ascii="Times New Roman" w:hAnsi="Times New Roman" w:cs="Times New Roman"/>
        </w:rPr>
        <w:tab/>
        <w:t>Wykonywanie studni z prefabrykatów powinno być zgodne z wymaganiami zawartymi w BN 85/8984-O1 oraz Rysunkami.</w:t>
      </w:r>
    </w:p>
    <w:p w14:paraId="2F91ED46"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0C486CE7"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Czyszczenie kanalizacji</w:t>
      </w:r>
    </w:p>
    <w:p w14:paraId="51867E8F"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Czyszczenie otworów w ciągach kanalizacji należy wykonywać za pomocą szczotki wg BN67/3238-01 i sprawdzianu wg BN-76/3238-12 na całym odcinku wybudowanej kanalizacji.</w:t>
      </w:r>
    </w:p>
    <w:p w14:paraId="2FB206F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Czyszczenie studzien należy wykonać po uprzednim oczyszczeniu otworów w ciągach kanalizacji.</w:t>
      </w:r>
    </w:p>
    <w:p w14:paraId="5BC23BD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Należy także zabezpieczyć przed korozją widoczne części stalowe ram i pokryw studni.</w:t>
      </w:r>
    </w:p>
    <w:p w14:paraId="457DDE6D"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08CACE19" w14:textId="77777777" w:rsidR="009D57D0" w:rsidRPr="00BC479C" w:rsidRDefault="009D57D0" w:rsidP="00904E6C">
      <w:pPr>
        <w:pStyle w:val="Nagwek2Title2"/>
        <w:numPr>
          <w:ilvl w:val="1"/>
          <w:numId w:val="253"/>
        </w:numPr>
        <w:tabs>
          <w:tab w:val="clear" w:pos="284"/>
          <w:tab w:val="num" w:pos="0"/>
          <w:tab w:val="left" w:pos="66"/>
          <w:tab w:val="left" w:pos="851"/>
        </w:tabs>
        <w:ind w:left="66" w:firstLine="0"/>
        <w:rPr>
          <w:sz w:val="22"/>
          <w:szCs w:val="22"/>
        </w:rPr>
      </w:pPr>
      <w:r w:rsidRPr="00BC479C">
        <w:rPr>
          <w:sz w:val="22"/>
          <w:szCs w:val="22"/>
        </w:rPr>
        <w:t>Zabezpieczenie pokrywy włazu przed ingerencją osób nieuprawnionych</w:t>
      </w:r>
    </w:p>
    <w:p w14:paraId="67514808" w14:textId="77777777" w:rsidR="009D57D0" w:rsidRPr="00BC479C" w:rsidRDefault="009D57D0" w:rsidP="00CE1E11">
      <w:pPr>
        <w:widowControl w:val="0"/>
        <w:tabs>
          <w:tab w:val="left" w:pos="532"/>
        </w:tabs>
        <w:spacing w:after="0" w:line="240" w:lineRule="auto"/>
        <w:rPr>
          <w:rFonts w:ascii="Times New Roman" w:hAnsi="Times New Roman" w:cs="Times New Roman"/>
          <w:b/>
        </w:rPr>
      </w:pPr>
    </w:p>
    <w:p w14:paraId="34454887" w14:textId="77777777" w:rsidR="009D57D0" w:rsidRPr="00BC479C" w:rsidRDefault="009D57D0" w:rsidP="00904E6C">
      <w:pPr>
        <w:pStyle w:val="Nagwek3"/>
        <w:numPr>
          <w:ilvl w:val="2"/>
          <w:numId w:val="253"/>
        </w:numPr>
      </w:pPr>
      <w:r w:rsidRPr="00BC479C">
        <w:t>Zabezpieczenie studni przed ingerencją osób nieuprawnionych powinno zawierać zamek z układem zasuwowo-ryglowym.</w:t>
      </w:r>
    </w:p>
    <w:p w14:paraId="60FC32EA" w14:textId="77777777" w:rsidR="009D57D0" w:rsidRPr="00BC479C" w:rsidRDefault="009D57D0" w:rsidP="00CE1E11">
      <w:pPr>
        <w:spacing w:after="0" w:line="240" w:lineRule="auto"/>
        <w:rPr>
          <w:rFonts w:ascii="Times New Roman" w:hAnsi="Times New Roman" w:cs="Times New Roman"/>
        </w:rPr>
      </w:pPr>
    </w:p>
    <w:p w14:paraId="463A2CF9" w14:textId="77777777" w:rsidR="009D57D0" w:rsidRPr="00BC479C" w:rsidRDefault="009D57D0" w:rsidP="00904E6C">
      <w:pPr>
        <w:pStyle w:val="Nagwek3"/>
        <w:numPr>
          <w:ilvl w:val="2"/>
          <w:numId w:val="253"/>
        </w:numPr>
      </w:pPr>
      <w:r w:rsidRPr="00BC479C">
        <w:t>Rodzaje zabezpieczeń studni:</w:t>
      </w:r>
    </w:p>
    <w:p w14:paraId="40DC30DC" w14:textId="77777777" w:rsidR="009D57D0" w:rsidRPr="00BC479C" w:rsidRDefault="009D57D0" w:rsidP="00CE1E11">
      <w:pPr>
        <w:widowControl w:val="0"/>
        <w:tabs>
          <w:tab w:val="left" w:pos="720"/>
          <w:tab w:val="left" w:pos="946"/>
        </w:tabs>
        <w:spacing w:after="0" w:line="240" w:lineRule="auto"/>
        <w:ind w:left="720" w:hanging="57"/>
        <w:rPr>
          <w:rFonts w:ascii="Times New Roman" w:hAnsi="Times New Roman" w:cs="Times New Roman"/>
        </w:rPr>
      </w:pPr>
      <w:r w:rsidRPr="00BC479C">
        <w:rPr>
          <w:rFonts w:ascii="Times New Roman" w:hAnsi="Times New Roman" w:cs="Times New Roman"/>
        </w:rPr>
        <w:t>a)</w:t>
      </w:r>
      <w:r w:rsidRPr="00BC479C">
        <w:rPr>
          <w:rFonts w:ascii="Times New Roman" w:hAnsi="Times New Roman" w:cs="Times New Roman"/>
        </w:rPr>
        <w:tab/>
        <w:t>pokrywa (standardowa) włazu i właz wyposażone w zabezpieczenia wg pkt.5.11.3,</w:t>
      </w:r>
    </w:p>
    <w:p w14:paraId="5A4B510C" w14:textId="77777777" w:rsidR="009D57D0" w:rsidRPr="00BC479C" w:rsidRDefault="009D57D0" w:rsidP="00CE1E11">
      <w:pPr>
        <w:widowControl w:val="0"/>
        <w:tabs>
          <w:tab w:val="left" w:pos="720"/>
          <w:tab w:val="left" w:pos="946"/>
        </w:tabs>
        <w:spacing w:after="0" w:line="240" w:lineRule="auto"/>
        <w:ind w:left="720" w:hanging="57"/>
        <w:rPr>
          <w:rFonts w:ascii="Times New Roman" w:hAnsi="Times New Roman" w:cs="Times New Roman"/>
        </w:rPr>
      </w:pPr>
      <w:r w:rsidRPr="00BC479C">
        <w:rPr>
          <w:rFonts w:ascii="Times New Roman" w:hAnsi="Times New Roman" w:cs="Times New Roman"/>
        </w:rPr>
        <w:t>b)</w:t>
      </w:r>
      <w:r w:rsidRPr="00BC479C">
        <w:rPr>
          <w:rFonts w:ascii="Times New Roman" w:hAnsi="Times New Roman" w:cs="Times New Roman"/>
        </w:rPr>
        <w:tab/>
        <w:t>pokrywa (dodatkowa) i właz, wyposażone w zabezpieczenie wg pkt.5.11.3.</w:t>
      </w:r>
    </w:p>
    <w:p w14:paraId="16710D22" w14:textId="77777777" w:rsidR="009D57D0" w:rsidRPr="00BC479C" w:rsidRDefault="009D57D0" w:rsidP="00CE1E11">
      <w:pPr>
        <w:widowControl w:val="0"/>
        <w:tabs>
          <w:tab w:val="left" w:pos="720"/>
          <w:tab w:val="left" w:pos="946"/>
        </w:tabs>
        <w:spacing w:after="0" w:line="240" w:lineRule="auto"/>
        <w:ind w:left="720" w:hanging="57"/>
        <w:rPr>
          <w:rFonts w:ascii="Times New Roman" w:hAnsi="Times New Roman" w:cs="Times New Roman"/>
        </w:rPr>
      </w:pPr>
    </w:p>
    <w:p w14:paraId="0A1187AE" w14:textId="77777777" w:rsidR="009D57D0" w:rsidRPr="00BC479C" w:rsidRDefault="009D57D0" w:rsidP="00904E6C">
      <w:pPr>
        <w:pStyle w:val="Nagwek3"/>
        <w:numPr>
          <w:ilvl w:val="2"/>
          <w:numId w:val="253"/>
        </w:numPr>
      </w:pPr>
      <w:r w:rsidRPr="00BC479C">
        <w:t>Zabezpieczenie studni powinno spełniać następujące wymagania podstawowe:</w:t>
      </w:r>
    </w:p>
    <w:p w14:paraId="5D8EC5C6" w14:textId="77777777" w:rsidR="009D57D0" w:rsidRPr="00BC479C" w:rsidRDefault="009D57D0" w:rsidP="00CE1E11">
      <w:pPr>
        <w:widowControl w:val="0"/>
        <w:tabs>
          <w:tab w:val="left" w:pos="720"/>
          <w:tab w:val="left" w:pos="946"/>
        </w:tabs>
        <w:spacing w:after="0" w:line="240" w:lineRule="auto"/>
        <w:ind w:left="720"/>
        <w:rPr>
          <w:rFonts w:ascii="Times New Roman" w:hAnsi="Times New Roman" w:cs="Times New Roman"/>
        </w:rPr>
      </w:pPr>
      <w:r w:rsidRPr="00BC479C">
        <w:rPr>
          <w:rFonts w:ascii="Times New Roman" w:hAnsi="Times New Roman" w:cs="Times New Roman"/>
        </w:rPr>
        <w:t>a)</w:t>
      </w:r>
      <w:r w:rsidRPr="00BC479C">
        <w:rPr>
          <w:rFonts w:ascii="Times New Roman" w:hAnsi="Times New Roman" w:cs="Times New Roman"/>
        </w:rPr>
        <w:tab/>
        <w:t>wytrzymałość na wyłamanie (wyrwanie): &gt;10 kN,</w:t>
      </w:r>
    </w:p>
    <w:p w14:paraId="4946132C" w14:textId="77777777" w:rsidR="009D57D0" w:rsidRPr="00BC479C" w:rsidRDefault="009D57D0" w:rsidP="00CE1E11">
      <w:pPr>
        <w:widowControl w:val="0"/>
        <w:tabs>
          <w:tab w:val="left" w:pos="720"/>
          <w:tab w:val="left" w:pos="946"/>
        </w:tabs>
        <w:spacing w:after="0" w:line="240" w:lineRule="auto"/>
        <w:ind w:left="720" w:hanging="720"/>
        <w:rPr>
          <w:rFonts w:ascii="Times New Roman" w:hAnsi="Times New Roman" w:cs="Times New Roman"/>
        </w:rPr>
      </w:pPr>
      <w:r w:rsidRPr="00BC479C">
        <w:rPr>
          <w:rFonts w:ascii="Times New Roman" w:hAnsi="Times New Roman" w:cs="Times New Roman"/>
        </w:rPr>
        <w:tab/>
        <w:t>b)</w:t>
      </w:r>
      <w:r w:rsidRPr="00BC479C">
        <w:rPr>
          <w:rFonts w:ascii="Times New Roman" w:hAnsi="Times New Roman" w:cs="Times New Roman"/>
        </w:rPr>
        <w:tab/>
        <w:t>łatwość otwierania i zamykania podczas wieloletniej eksploatacji w warunkach agresywnej wilgoci, zalewania wodą oraz zasypywania kurzem i piaskiem,</w:t>
      </w:r>
    </w:p>
    <w:p w14:paraId="205A5B73" w14:textId="77777777" w:rsidR="009D57D0" w:rsidRPr="00BC479C" w:rsidRDefault="009D57D0" w:rsidP="00CE1E11">
      <w:pPr>
        <w:widowControl w:val="0"/>
        <w:tabs>
          <w:tab w:val="left" w:pos="720"/>
          <w:tab w:val="left" w:pos="946"/>
        </w:tabs>
        <w:spacing w:after="0" w:line="240" w:lineRule="auto"/>
        <w:ind w:left="720"/>
        <w:rPr>
          <w:rFonts w:ascii="Times New Roman" w:hAnsi="Times New Roman" w:cs="Times New Roman"/>
        </w:rPr>
      </w:pPr>
      <w:r w:rsidRPr="00BC479C">
        <w:rPr>
          <w:rFonts w:ascii="Times New Roman" w:hAnsi="Times New Roman" w:cs="Times New Roman"/>
        </w:rPr>
        <w:t>c)</w:t>
      </w:r>
      <w:r w:rsidRPr="00BC479C">
        <w:rPr>
          <w:rFonts w:ascii="Times New Roman" w:hAnsi="Times New Roman" w:cs="Times New Roman"/>
          <w:b/>
        </w:rPr>
        <w:tab/>
      </w:r>
      <w:r w:rsidRPr="00BC479C">
        <w:rPr>
          <w:rFonts w:ascii="Times New Roman" w:hAnsi="Times New Roman" w:cs="Times New Roman"/>
        </w:rPr>
        <w:t>dostosowanie do różnych konstrukcji istniejących i nowych studni,</w:t>
      </w:r>
    </w:p>
    <w:p w14:paraId="457303CC" w14:textId="77777777" w:rsidR="009D57D0" w:rsidRPr="00BC479C" w:rsidRDefault="009D57D0" w:rsidP="00CE1E11">
      <w:pPr>
        <w:widowControl w:val="0"/>
        <w:tabs>
          <w:tab w:val="left" w:pos="720"/>
          <w:tab w:val="left" w:pos="946"/>
        </w:tabs>
        <w:spacing w:after="0" w:line="240" w:lineRule="auto"/>
        <w:rPr>
          <w:rFonts w:ascii="Times New Roman" w:hAnsi="Times New Roman" w:cs="Times New Roman"/>
        </w:rPr>
      </w:pPr>
    </w:p>
    <w:p w14:paraId="68658BB6"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Szczelność studni, uszczelnienia</w:t>
      </w:r>
    </w:p>
    <w:p w14:paraId="1AADC6D2" w14:textId="77777777" w:rsidR="009D57D0" w:rsidRPr="00BC479C" w:rsidRDefault="009D57D0" w:rsidP="00CE1E11">
      <w:pPr>
        <w:widowControl w:val="0"/>
        <w:tabs>
          <w:tab w:val="left" w:pos="600"/>
        </w:tabs>
        <w:spacing w:after="0" w:line="240" w:lineRule="auto"/>
        <w:rPr>
          <w:rFonts w:ascii="Times New Roman" w:hAnsi="Times New Roman" w:cs="Times New Roman"/>
        </w:rPr>
      </w:pPr>
    </w:p>
    <w:p w14:paraId="17B129E1" w14:textId="77777777" w:rsidR="009D57D0" w:rsidRPr="00BC479C" w:rsidRDefault="009D57D0" w:rsidP="00904E6C">
      <w:pPr>
        <w:pStyle w:val="Nagwek3"/>
        <w:numPr>
          <w:ilvl w:val="2"/>
          <w:numId w:val="253"/>
        </w:numPr>
      </w:pPr>
      <w:r w:rsidRPr="00BC479C">
        <w:t>Ściany i strop</w:t>
      </w:r>
    </w:p>
    <w:p w14:paraId="02A04A13" w14:textId="77777777" w:rsidR="009D57D0" w:rsidRPr="00BC479C" w:rsidRDefault="009D57D0" w:rsidP="00CE1E11">
      <w:pPr>
        <w:widowControl w:val="0"/>
        <w:tabs>
          <w:tab w:val="left" w:pos="-1418"/>
        </w:tabs>
        <w:spacing w:after="0" w:line="240" w:lineRule="auto"/>
        <w:ind w:left="284" w:hanging="57"/>
        <w:rPr>
          <w:rFonts w:ascii="Times New Roman" w:hAnsi="Times New Roman" w:cs="Times New Roman"/>
        </w:rPr>
      </w:pPr>
      <w:r w:rsidRPr="00BC479C">
        <w:rPr>
          <w:rFonts w:ascii="Times New Roman" w:hAnsi="Times New Roman" w:cs="Times New Roman"/>
        </w:rPr>
        <w:tab/>
        <w:t>Ściany i strop całkowicie zmontowanej studni kablowej, z wprowadzonymi ciągami rur kanalizacji, powinny być szczelne w takim stopniu, aby nie występowały przecieki wody powierzchniowej ani zamulanie komory studni.</w:t>
      </w:r>
    </w:p>
    <w:p w14:paraId="5A466A41" w14:textId="77777777" w:rsidR="009D57D0" w:rsidRPr="00BC479C" w:rsidRDefault="009D57D0" w:rsidP="00CE1E11">
      <w:pPr>
        <w:widowControl w:val="0"/>
        <w:tabs>
          <w:tab w:val="left" w:pos="204"/>
        </w:tabs>
        <w:spacing w:after="0" w:line="240" w:lineRule="auto"/>
        <w:ind w:hanging="57"/>
        <w:rPr>
          <w:rFonts w:ascii="Times New Roman" w:hAnsi="Times New Roman" w:cs="Times New Roman"/>
        </w:rPr>
      </w:pPr>
    </w:p>
    <w:p w14:paraId="5A673806" w14:textId="77777777" w:rsidR="009D57D0" w:rsidRPr="00BC479C" w:rsidRDefault="009D57D0" w:rsidP="00904E6C">
      <w:pPr>
        <w:pStyle w:val="Nagwek3"/>
        <w:numPr>
          <w:ilvl w:val="2"/>
          <w:numId w:val="253"/>
        </w:numPr>
      </w:pPr>
      <w:r w:rsidRPr="00BC479C">
        <w:t>Zewnętrzne powierzchnie studni</w:t>
      </w:r>
    </w:p>
    <w:p w14:paraId="44DD2B0D" w14:textId="77777777" w:rsidR="009D57D0" w:rsidRPr="00BC479C" w:rsidRDefault="009D57D0" w:rsidP="00CE1E11">
      <w:pPr>
        <w:widowControl w:val="0"/>
        <w:tabs>
          <w:tab w:val="left" w:pos="-1418"/>
        </w:tabs>
        <w:spacing w:after="0" w:line="240" w:lineRule="auto"/>
        <w:ind w:left="284" w:hanging="57"/>
        <w:rPr>
          <w:rFonts w:ascii="Times New Roman" w:hAnsi="Times New Roman" w:cs="Times New Roman"/>
        </w:rPr>
      </w:pPr>
      <w:r w:rsidRPr="00BC479C">
        <w:rPr>
          <w:rFonts w:ascii="Times New Roman" w:hAnsi="Times New Roman" w:cs="Times New Roman"/>
        </w:rPr>
        <w:tab/>
        <w:t>Powinny one mieć uszczelniające i ochronne pokrycie bitumiczne wykonane zgodnie z właściwą dokumentacją.</w:t>
      </w:r>
    </w:p>
    <w:p w14:paraId="73C968A3" w14:textId="77777777" w:rsidR="009D57D0" w:rsidRPr="00BC479C" w:rsidRDefault="009D57D0" w:rsidP="00CE1E11">
      <w:pPr>
        <w:widowControl w:val="0"/>
        <w:tabs>
          <w:tab w:val="left" w:pos="600"/>
        </w:tabs>
        <w:spacing w:after="0" w:line="240" w:lineRule="auto"/>
        <w:ind w:hanging="57"/>
        <w:rPr>
          <w:rFonts w:ascii="Times New Roman" w:hAnsi="Times New Roman" w:cs="Times New Roman"/>
        </w:rPr>
      </w:pPr>
    </w:p>
    <w:p w14:paraId="10C02A08" w14:textId="77777777" w:rsidR="009D57D0" w:rsidRPr="00BC479C" w:rsidRDefault="009D57D0" w:rsidP="00904E6C">
      <w:pPr>
        <w:pStyle w:val="Nagwek3"/>
        <w:numPr>
          <w:ilvl w:val="2"/>
          <w:numId w:val="253"/>
        </w:numPr>
      </w:pPr>
      <w:r w:rsidRPr="00BC479C">
        <w:t>Otwory rur</w:t>
      </w:r>
    </w:p>
    <w:p w14:paraId="37192F4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Otwory rur wprowadzonych do studni powinny być zaślepione (uszczelnione) w taki sposób, aby nie mogło nastąpić zamulenie rur ani falowe (swobodne) przenikanie gazu z kanalizacji do komory studni. Po wprowadzeniu kabla lub rury kanalizacji wtórnej, otwór rury pierwotnej powinien być ponownie uszczelniony.</w:t>
      </w:r>
    </w:p>
    <w:p w14:paraId="5C377D6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Środki użyte do zaślepienia (uszczelniania) końców rur powinny być zgodne z dokumentacją akceptowaną przez odbiorcę (operatora) i normą ZN-95/TP S.A.-021/T.</w:t>
      </w:r>
    </w:p>
    <w:p w14:paraId="57D1A9C2" w14:textId="77777777" w:rsidR="009D57D0" w:rsidRPr="00BC479C" w:rsidRDefault="009D57D0" w:rsidP="00CE1E11">
      <w:pPr>
        <w:spacing w:after="0" w:line="240" w:lineRule="auto"/>
        <w:rPr>
          <w:rFonts w:ascii="Times New Roman" w:hAnsi="Times New Roman" w:cs="Times New Roman"/>
        </w:rPr>
      </w:pPr>
    </w:p>
    <w:p w14:paraId="216A682C"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Wymagania mechaniczne</w:t>
      </w:r>
    </w:p>
    <w:p w14:paraId="0A2B1AA8" w14:textId="77777777" w:rsidR="009D57D0" w:rsidRPr="00BC479C" w:rsidRDefault="009D57D0" w:rsidP="00CE1E11">
      <w:pPr>
        <w:spacing w:after="0" w:line="240" w:lineRule="auto"/>
        <w:rPr>
          <w:rFonts w:ascii="Times New Roman" w:hAnsi="Times New Roman" w:cs="Times New Roman"/>
        </w:rPr>
      </w:pPr>
    </w:p>
    <w:p w14:paraId="32AA5B20" w14:textId="77777777" w:rsidR="009D57D0" w:rsidRPr="00BC479C" w:rsidRDefault="009D57D0" w:rsidP="00904E6C">
      <w:pPr>
        <w:pStyle w:val="Nagwek3"/>
        <w:numPr>
          <w:ilvl w:val="2"/>
          <w:numId w:val="253"/>
        </w:numPr>
      </w:pPr>
      <w:r w:rsidRPr="00BC479C">
        <w:t>Odporność korpusu studni na zgniatanie</w:t>
      </w:r>
    </w:p>
    <w:p w14:paraId="4C76A80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Korpus studni kablowej zmontowany zgodnie z instrukcją montażu, bez wprowadzania rur kanalizacji i bez zakopywania w gruncie, powinien wytrzymać przez 5 minut bez uszkodzeń nacisk siły:</w:t>
      </w:r>
    </w:p>
    <w:p w14:paraId="7F18E05E" w14:textId="77777777" w:rsidR="009D57D0" w:rsidRPr="00BC479C" w:rsidRDefault="009D57D0" w:rsidP="00904E6C">
      <w:pPr>
        <w:widowControl w:val="0"/>
        <w:numPr>
          <w:ilvl w:val="0"/>
          <w:numId w:val="357"/>
        </w:numPr>
        <w:tabs>
          <w:tab w:val="left" w:pos="669"/>
          <w:tab w:val="left" w:pos="1029"/>
        </w:tabs>
        <w:suppressAutoHyphens/>
        <w:spacing w:after="0" w:line="240" w:lineRule="auto"/>
        <w:ind w:left="669"/>
        <w:jc w:val="both"/>
        <w:rPr>
          <w:rFonts w:ascii="Times New Roman" w:hAnsi="Times New Roman" w:cs="Times New Roman"/>
        </w:rPr>
      </w:pPr>
      <w:r w:rsidRPr="00BC479C">
        <w:rPr>
          <w:rFonts w:ascii="Times New Roman" w:hAnsi="Times New Roman" w:cs="Times New Roman"/>
        </w:rPr>
        <w:t xml:space="preserve">10 kN - dla studni rozdzielczej, </w:t>
      </w:r>
    </w:p>
    <w:p w14:paraId="78646F74" w14:textId="77777777" w:rsidR="009D57D0" w:rsidRPr="00BC479C" w:rsidRDefault="009D57D0" w:rsidP="00904E6C">
      <w:pPr>
        <w:widowControl w:val="0"/>
        <w:numPr>
          <w:ilvl w:val="0"/>
          <w:numId w:val="357"/>
        </w:numPr>
        <w:tabs>
          <w:tab w:val="left" w:pos="669"/>
          <w:tab w:val="left" w:pos="1029"/>
        </w:tabs>
        <w:suppressAutoHyphens/>
        <w:spacing w:after="0" w:line="240" w:lineRule="auto"/>
        <w:ind w:left="669"/>
        <w:jc w:val="both"/>
        <w:rPr>
          <w:rFonts w:ascii="Times New Roman" w:hAnsi="Times New Roman" w:cs="Times New Roman"/>
        </w:rPr>
      </w:pPr>
      <w:r w:rsidRPr="00BC479C">
        <w:rPr>
          <w:rFonts w:ascii="Times New Roman" w:hAnsi="Times New Roman" w:cs="Times New Roman"/>
        </w:rPr>
        <w:t>50 kN - dla studni magistralnej i szafkowej.</w:t>
      </w:r>
    </w:p>
    <w:p w14:paraId="4014B857" w14:textId="77777777" w:rsidR="009D57D0" w:rsidRPr="00BC479C" w:rsidRDefault="009D57D0" w:rsidP="00CE1E11">
      <w:pPr>
        <w:widowControl w:val="0"/>
        <w:tabs>
          <w:tab w:val="left" w:pos="668"/>
          <w:tab w:val="left" w:pos="895"/>
        </w:tabs>
        <w:spacing w:after="0" w:line="240" w:lineRule="auto"/>
        <w:rPr>
          <w:rFonts w:ascii="Times New Roman" w:hAnsi="Times New Roman" w:cs="Times New Roman"/>
        </w:rPr>
      </w:pPr>
    </w:p>
    <w:p w14:paraId="75F0BD8A" w14:textId="77777777" w:rsidR="009D57D0" w:rsidRPr="00BC479C" w:rsidRDefault="009D57D0" w:rsidP="00904E6C">
      <w:pPr>
        <w:pStyle w:val="Nagwek3"/>
        <w:numPr>
          <w:ilvl w:val="2"/>
          <w:numId w:val="253"/>
        </w:numPr>
      </w:pPr>
      <w:r w:rsidRPr="00BC479C">
        <w:lastRenderedPageBreak/>
        <w:t>Odporność zakopanej studni na nacisk</w:t>
      </w:r>
    </w:p>
    <w:p w14:paraId="2FA4527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Studnia kablowa całkowicie zmontowana, z wprowadzonymi rurami kanalizacji lub bez nich, zakopana z przykryciem najmniejszą dopuszczalną warstwą gruntu, z nałożoną pokrywą, powinna wytrzymać bez uszkodzeń 10-krotny przejazd z prędkością 5 do 10 km/h kołami samochodu o</w:t>
      </w:r>
      <w:r w:rsidRPr="00BC479C">
        <w:rPr>
          <w:rFonts w:ascii="Times New Roman" w:hAnsi="Times New Roman" w:cs="Times New Roman"/>
          <w:b/>
        </w:rPr>
        <w:t xml:space="preserve"> </w:t>
      </w:r>
      <w:r w:rsidRPr="00BC479C">
        <w:rPr>
          <w:rFonts w:ascii="Times New Roman" w:hAnsi="Times New Roman" w:cs="Times New Roman"/>
        </w:rPr>
        <w:t>masie całkowitej:</w:t>
      </w:r>
    </w:p>
    <w:p w14:paraId="4DFC7878" w14:textId="77777777" w:rsidR="009D57D0" w:rsidRPr="00BC479C" w:rsidRDefault="009D57D0" w:rsidP="00904E6C">
      <w:pPr>
        <w:widowControl w:val="0"/>
        <w:numPr>
          <w:ilvl w:val="0"/>
          <w:numId w:val="81"/>
        </w:numPr>
        <w:tabs>
          <w:tab w:val="clear" w:pos="720"/>
          <w:tab w:val="num" w:pos="0"/>
          <w:tab w:val="left" w:pos="669"/>
          <w:tab w:val="left" w:pos="1029"/>
        </w:tabs>
        <w:suppressAutoHyphens/>
        <w:spacing w:after="0" w:line="240" w:lineRule="auto"/>
        <w:ind w:left="669" w:firstLine="0"/>
        <w:jc w:val="both"/>
        <w:rPr>
          <w:rFonts w:ascii="Times New Roman" w:hAnsi="Times New Roman" w:cs="Times New Roman"/>
        </w:rPr>
      </w:pPr>
      <w:r w:rsidRPr="00BC479C">
        <w:rPr>
          <w:rFonts w:ascii="Times New Roman" w:hAnsi="Times New Roman" w:cs="Times New Roman"/>
        </w:rPr>
        <w:t xml:space="preserve">1,5 t - dla studni rozdzielczej, </w:t>
      </w:r>
    </w:p>
    <w:p w14:paraId="69A67A3E" w14:textId="77777777" w:rsidR="009D57D0" w:rsidRPr="00BC479C" w:rsidRDefault="009D57D0" w:rsidP="00904E6C">
      <w:pPr>
        <w:widowControl w:val="0"/>
        <w:numPr>
          <w:ilvl w:val="0"/>
          <w:numId w:val="81"/>
        </w:numPr>
        <w:tabs>
          <w:tab w:val="clear" w:pos="720"/>
          <w:tab w:val="num" w:pos="0"/>
          <w:tab w:val="left" w:pos="669"/>
          <w:tab w:val="left" w:pos="1029"/>
        </w:tabs>
        <w:suppressAutoHyphens/>
        <w:spacing w:after="0" w:line="240" w:lineRule="auto"/>
        <w:ind w:left="669" w:firstLine="0"/>
        <w:jc w:val="both"/>
        <w:rPr>
          <w:rFonts w:ascii="Times New Roman" w:hAnsi="Times New Roman" w:cs="Times New Roman"/>
        </w:rPr>
      </w:pPr>
      <w:r w:rsidRPr="00BC479C">
        <w:rPr>
          <w:rFonts w:ascii="Times New Roman" w:hAnsi="Times New Roman" w:cs="Times New Roman"/>
        </w:rPr>
        <w:t>15 t - dla studni magistralnej i szafkowej,</w:t>
      </w:r>
    </w:p>
    <w:p w14:paraId="32AC96E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przy czym nacisk jednego koła powinien być nie większy niż wynikający z 30% masy całkowitej. Wartość próbnego nacisku dla studni specjalnych, np. instalowanych pod jezdnia ulicy, powinna być uzgodniona z odpowiednimi służbami, np. drogowymi.</w:t>
      </w:r>
    </w:p>
    <w:p w14:paraId="22252755"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0662A972" w14:textId="77777777" w:rsidR="009D57D0" w:rsidRPr="00BC479C" w:rsidRDefault="009D57D0" w:rsidP="00904E6C">
      <w:pPr>
        <w:pStyle w:val="Nagwek3"/>
        <w:numPr>
          <w:ilvl w:val="2"/>
          <w:numId w:val="253"/>
        </w:numPr>
      </w:pPr>
      <w:r w:rsidRPr="00BC479C">
        <w:t>Odporność ucha zaczepowego</w:t>
      </w:r>
    </w:p>
    <w:p w14:paraId="120B2B6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Ucho zaczepowe umocowane w ścianie studni kablowej powinno wytrzymać bez odkształceń i obluzowań działanie w czasie 1 minuty wyciągającej o wartości 5 kN, prostopadłej do ściany, w której umocowane jest ucho.</w:t>
      </w:r>
    </w:p>
    <w:p w14:paraId="518D79C4"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3B854280" w14:textId="77777777" w:rsidR="009D57D0" w:rsidRPr="00BC479C" w:rsidRDefault="009D57D0" w:rsidP="00904E6C">
      <w:pPr>
        <w:pStyle w:val="Nagwek3"/>
        <w:numPr>
          <w:ilvl w:val="2"/>
          <w:numId w:val="253"/>
        </w:numPr>
      </w:pPr>
      <w:r w:rsidRPr="00BC479C">
        <w:t xml:space="preserve"> Odporność klamry</w:t>
      </w:r>
    </w:p>
    <w:p w14:paraId="0254EA5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Klamra umocowana w ścianie włazu studni kablowej powinna wytrzymać bez odkształceń i obluzowań działanie w czasie 1 minuty siły wyciągającej o wartości 1500 N  kierunku działania odchylonym o</w:t>
      </w:r>
      <w:r w:rsidRPr="00BC479C">
        <w:rPr>
          <w:rFonts w:ascii="Times New Roman" w:hAnsi="Times New Roman" w:cs="Times New Roman"/>
          <w:b/>
        </w:rPr>
        <w:t xml:space="preserve"> </w:t>
      </w:r>
      <w:r w:rsidRPr="00BC479C">
        <w:rPr>
          <w:rFonts w:ascii="Times New Roman" w:hAnsi="Times New Roman" w:cs="Times New Roman"/>
        </w:rPr>
        <w:t>30</w:t>
      </w:r>
      <w:r w:rsidRPr="00BC479C">
        <w:rPr>
          <w:rFonts w:ascii="Times New Roman" w:hAnsi="Times New Roman" w:cs="Times New Roman"/>
          <w:vertAlign w:val="superscript"/>
        </w:rPr>
        <w:t>o</w:t>
      </w:r>
      <w:r w:rsidRPr="00BC479C">
        <w:rPr>
          <w:rFonts w:ascii="Times New Roman" w:hAnsi="Times New Roman" w:cs="Times New Roman"/>
        </w:rPr>
        <w:t xml:space="preserve"> od pionu, przyłożonej do klamry jednocześnie w dwóch miejscach odległych od siebie o 20 cm, symetrycznie względem ośrodka długości klamry.</w:t>
      </w:r>
    </w:p>
    <w:p w14:paraId="0EAFBEA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0732412D" w14:textId="77777777" w:rsidR="009D57D0" w:rsidRPr="00BC479C" w:rsidRDefault="009D57D0" w:rsidP="00904E6C">
      <w:pPr>
        <w:pStyle w:val="Nagwek3"/>
        <w:numPr>
          <w:ilvl w:val="2"/>
          <w:numId w:val="253"/>
        </w:numPr>
      </w:pPr>
      <w:r w:rsidRPr="00BC479C">
        <w:t>Odporność kolumny wsporczej</w:t>
      </w:r>
    </w:p>
    <w:p w14:paraId="2DFB156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Kolumna wsporcza rurowa umocowana w komorze studni kablowej powinna wytrzymać w czasie 1 minuty, bez trwałych odkształceń i obluzowań działanie:</w:t>
      </w:r>
    </w:p>
    <w:p w14:paraId="14717AF2" w14:textId="77777777" w:rsidR="009D57D0" w:rsidRPr="00BC479C" w:rsidRDefault="009D57D0" w:rsidP="00904E6C">
      <w:pPr>
        <w:widowControl w:val="0"/>
        <w:numPr>
          <w:ilvl w:val="0"/>
          <w:numId w:val="353"/>
        </w:numPr>
        <w:tabs>
          <w:tab w:val="clear" w:pos="720"/>
          <w:tab w:val="num" w:pos="0"/>
          <w:tab w:val="left" w:pos="669"/>
          <w:tab w:val="left" w:pos="1029"/>
        </w:tabs>
        <w:suppressAutoHyphens/>
        <w:spacing w:after="0" w:line="240" w:lineRule="auto"/>
        <w:ind w:left="669" w:firstLine="0"/>
        <w:jc w:val="both"/>
        <w:rPr>
          <w:rFonts w:ascii="Times New Roman" w:hAnsi="Times New Roman" w:cs="Times New Roman"/>
        </w:rPr>
      </w:pPr>
      <w:r w:rsidRPr="00BC479C">
        <w:rPr>
          <w:rFonts w:ascii="Times New Roman" w:hAnsi="Times New Roman" w:cs="Times New Roman"/>
        </w:rPr>
        <w:t>siły 250 N - przyłożonej w środku długości rury i działającej prostopadle w kierunku od ściany studni,</w:t>
      </w:r>
      <w:r w:rsidRPr="00BC479C">
        <w:rPr>
          <w:rFonts w:ascii="Times New Roman" w:hAnsi="Times New Roman" w:cs="Times New Roman"/>
        </w:rPr>
        <w:tab/>
        <w:t>.</w:t>
      </w:r>
    </w:p>
    <w:p w14:paraId="60865DEB" w14:textId="77777777" w:rsidR="009D57D0" w:rsidRPr="00BC479C" w:rsidRDefault="009D57D0" w:rsidP="00904E6C">
      <w:pPr>
        <w:widowControl w:val="0"/>
        <w:numPr>
          <w:ilvl w:val="0"/>
          <w:numId w:val="353"/>
        </w:numPr>
        <w:tabs>
          <w:tab w:val="clear" w:pos="720"/>
          <w:tab w:val="num" w:pos="0"/>
          <w:tab w:val="left" w:pos="669"/>
          <w:tab w:val="left" w:pos="1029"/>
        </w:tabs>
        <w:suppressAutoHyphens/>
        <w:spacing w:after="0" w:line="240" w:lineRule="auto"/>
        <w:ind w:left="669" w:firstLine="0"/>
        <w:jc w:val="both"/>
        <w:rPr>
          <w:rFonts w:ascii="Times New Roman" w:hAnsi="Times New Roman" w:cs="Times New Roman"/>
        </w:rPr>
      </w:pPr>
      <w:r w:rsidRPr="00BC479C">
        <w:rPr>
          <w:rFonts w:ascii="Times New Roman" w:hAnsi="Times New Roman" w:cs="Times New Roman"/>
        </w:rPr>
        <w:t>momentu siły M = (200 x L) n.m - przyłożonego na sztywnym ramieniu umocowanym w środku długości rury z siła działającą pionowo w dół, przy czym L = robocza długość rury (w m).</w:t>
      </w:r>
    </w:p>
    <w:p w14:paraId="1DCDEF91"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006C566F" w14:textId="77777777" w:rsidR="009D57D0" w:rsidRPr="00BC479C" w:rsidRDefault="009D57D0" w:rsidP="00904E6C">
      <w:pPr>
        <w:pStyle w:val="Nagwek3"/>
        <w:numPr>
          <w:ilvl w:val="2"/>
          <w:numId w:val="253"/>
        </w:numPr>
      </w:pPr>
      <w:r w:rsidRPr="00BC479C">
        <w:t>Cechowanie</w:t>
      </w:r>
    </w:p>
    <w:p w14:paraId="573CA21C"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Prefabrykowane elementy korpusu studni kablowej i elementy wyposażenia studni powinny mieć czytelny znak producenta wykonany w miejscu widocznym po zmontowaniu studni.</w:t>
      </w:r>
    </w:p>
    <w:p w14:paraId="4C23F87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Forma znaku I miejsce jego umieszczenia powinny mieć zgodne z podanymi w dokumentacji akceptowanej przez odbiorcę (operatora).</w:t>
      </w:r>
    </w:p>
    <w:p w14:paraId="1AFEFE6A"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4372E98C"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Inne wymagania</w:t>
      </w:r>
    </w:p>
    <w:p w14:paraId="2A766CD0"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1C392FF2" w14:textId="77777777" w:rsidR="009D57D0" w:rsidRPr="00BC479C" w:rsidRDefault="009D57D0" w:rsidP="00904E6C">
      <w:pPr>
        <w:pStyle w:val="Nagwek3"/>
        <w:numPr>
          <w:ilvl w:val="2"/>
          <w:numId w:val="253"/>
        </w:numPr>
      </w:pPr>
      <w:r w:rsidRPr="00BC479C">
        <w:t>Przestrzeń robocza</w:t>
      </w:r>
    </w:p>
    <w:p w14:paraId="58F11C3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Przestrzeń w komorze studni przewidzianej jako miejsce pracy montera, przy</w:t>
      </w:r>
      <w:r w:rsidRPr="00BC479C">
        <w:rPr>
          <w:rFonts w:ascii="Times New Roman" w:hAnsi="Times New Roman" w:cs="Times New Roman"/>
          <w:b/>
        </w:rPr>
        <w:t xml:space="preserve"> </w:t>
      </w:r>
      <w:r w:rsidRPr="00BC479C">
        <w:rPr>
          <w:rFonts w:ascii="Times New Roman" w:hAnsi="Times New Roman" w:cs="Times New Roman"/>
        </w:rPr>
        <w:t>pełnym wyposażeniu w sprzęt i kable, powinna mieć szerokość co najmniej 60 cm, a wysokość co najmniej 120 cm.</w:t>
      </w:r>
    </w:p>
    <w:p w14:paraId="34D49139"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59D3FB5E" w14:textId="77777777" w:rsidR="009D57D0" w:rsidRPr="00BC479C" w:rsidRDefault="009D57D0" w:rsidP="00904E6C">
      <w:pPr>
        <w:pStyle w:val="Nagwek3"/>
        <w:numPr>
          <w:ilvl w:val="2"/>
          <w:numId w:val="253"/>
        </w:numPr>
      </w:pPr>
      <w:r w:rsidRPr="00BC479C">
        <w:t>Pakowanie, przechowywanie i transport</w:t>
      </w:r>
    </w:p>
    <w:p w14:paraId="345F1FD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Pakowanie, przechowywanie i transport elementów studni kablowej i jej wyposażenia powinny być zgodne z odpowiednimi normami przedmiotowymi i/lub dokumentacją producenta.</w:t>
      </w:r>
    </w:p>
    <w:p w14:paraId="4054402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7B2E3750" w14:textId="77777777" w:rsidR="009D57D0" w:rsidRPr="00BC479C" w:rsidRDefault="009D57D0" w:rsidP="00904E6C">
      <w:pPr>
        <w:pStyle w:val="Nagwek2Title2"/>
        <w:numPr>
          <w:ilvl w:val="1"/>
          <w:numId w:val="253"/>
        </w:numPr>
        <w:tabs>
          <w:tab w:val="clear" w:pos="284"/>
          <w:tab w:val="num" w:pos="0"/>
          <w:tab w:val="left" w:pos="66"/>
          <w:tab w:val="left" w:pos="360"/>
          <w:tab w:val="left" w:pos="851"/>
        </w:tabs>
        <w:ind w:left="66" w:firstLine="0"/>
        <w:rPr>
          <w:sz w:val="22"/>
          <w:szCs w:val="22"/>
        </w:rPr>
      </w:pPr>
      <w:r w:rsidRPr="00BC479C">
        <w:rPr>
          <w:sz w:val="22"/>
          <w:szCs w:val="22"/>
        </w:rPr>
        <w:t xml:space="preserve">Układanie kabli w kanalizacji </w:t>
      </w:r>
    </w:p>
    <w:p w14:paraId="370CF0C6" w14:textId="77777777" w:rsidR="009D57D0" w:rsidRPr="00BC479C" w:rsidRDefault="009D57D0" w:rsidP="00CE1E11">
      <w:pPr>
        <w:spacing w:after="0" w:line="240" w:lineRule="auto"/>
        <w:rPr>
          <w:rFonts w:ascii="Times New Roman" w:hAnsi="Times New Roman" w:cs="Times New Roman"/>
        </w:rPr>
      </w:pPr>
    </w:p>
    <w:p w14:paraId="067DA763" w14:textId="77777777" w:rsidR="009D57D0" w:rsidRPr="00BC479C" w:rsidRDefault="009D57D0" w:rsidP="00904E6C">
      <w:pPr>
        <w:pStyle w:val="Nagwek3"/>
        <w:numPr>
          <w:ilvl w:val="2"/>
          <w:numId w:val="253"/>
        </w:numPr>
      </w:pPr>
      <w:r w:rsidRPr="00BC479C">
        <w:t>Zasady ogólne</w:t>
      </w:r>
    </w:p>
    <w:p w14:paraId="1D8B311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 </w:t>
      </w:r>
      <w:r w:rsidRPr="00BC479C">
        <w:rPr>
          <w:rFonts w:ascii="Times New Roman" w:hAnsi="Times New Roman" w:cs="Times New Roman"/>
        </w:rPr>
        <w:tab/>
        <w:t>W kanalizacji należy układać kable nieopancerzone. Dopuszcza się instalowanie kabli opancerzanych z osłoną termoplastyczną na pancerzu w krótkich odcinkach kanalizacji szczególnie narażonych na uszkodzenia korozyjne lub oddziaływanie linii elektroenergetycznych i trakcyjnych</w:t>
      </w:r>
    </w:p>
    <w:p w14:paraId="7FE64A8A"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lastRenderedPageBreak/>
        <w:t>Osprzęt do budowy krajowej sieci optotelekomunikacyjnej powinien posiadać świadectwo homologacji.</w:t>
      </w:r>
    </w:p>
    <w:p w14:paraId="40C6898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Osprzęt złączowy powinien być dostosowany do wymiarów i konstrukcji kabla, z którego budowana jest linia. Osprzęt powinien posiadać trwałość nie gorszą niż trwałość kabli OTK oraz powinien być łatwy w montażu.</w:t>
      </w:r>
    </w:p>
    <w:p w14:paraId="1B9670AF"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Do przebudowy linii światłowodowych stosować osprzęt kablowy zgodny z wymogami użytkownika.</w:t>
      </w:r>
    </w:p>
    <w:p w14:paraId="756DBA58" w14:textId="77777777" w:rsidR="009D57D0" w:rsidRPr="00BC479C" w:rsidRDefault="009D57D0" w:rsidP="00CE1E11">
      <w:pPr>
        <w:spacing w:after="0" w:line="240" w:lineRule="auto"/>
        <w:rPr>
          <w:rFonts w:ascii="Times New Roman" w:hAnsi="Times New Roman" w:cs="Times New Roman"/>
        </w:rPr>
      </w:pPr>
    </w:p>
    <w:p w14:paraId="0D92BAD5" w14:textId="77777777" w:rsidR="009D57D0" w:rsidRPr="00BC479C" w:rsidRDefault="009D57D0" w:rsidP="00904E6C">
      <w:pPr>
        <w:pStyle w:val="Nagwek3"/>
        <w:numPr>
          <w:ilvl w:val="2"/>
          <w:numId w:val="253"/>
        </w:numPr>
      </w:pPr>
      <w:r w:rsidRPr="00BC479C">
        <w:t xml:space="preserve">Odcinki instalacyjne kabli </w:t>
      </w:r>
    </w:p>
    <w:p w14:paraId="51163068"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Odcinki kabli układanych w kanalizacji kablowej wg BN-73/8984-05 i ZN-95/TP S.A.-012/T powinny być tak dobierane, aby liczba złączy przelotowych była możliwie najmniejsza łączenie i odgałęzienie kabli należy wykonywać w studniach kablowych. </w:t>
      </w:r>
    </w:p>
    <w:p w14:paraId="5B4BD40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Kabel optotelekomunikacyjny powinnien być układany bezpośrednio kanalizacji z rur polietylenowych.</w:t>
      </w:r>
    </w:p>
    <w:p w14:paraId="07111C7C" w14:textId="77777777" w:rsidR="009D57D0" w:rsidRPr="00BC479C" w:rsidRDefault="009D57D0" w:rsidP="00CE1E11">
      <w:pPr>
        <w:spacing w:after="0" w:line="240" w:lineRule="auto"/>
        <w:rPr>
          <w:rFonts w:ascii="Times New Roman" w:hAnsi="Times New Roman" w:cs="Times New Roman"/>
        </w:rPr>
      </w:pPr>
    </w:p>
    <w:p w14:paraId="367E66A9" w14:textId="77777777" w:rsidR="009D57D0" w:rsidRPr="00BC479C" w:rsidRDefault="009D57D0" w:rsidP="00904E6C">
      <w:pPr>
        <w:pStyle w:val="Nagwek3"/>
        <w:numPr>
          <w:ilvl w:val="2"/>
          <w:numId w:val="253"/>
        </w:numPr>
      </w:pPr>
      <w:r w:rsidRPr="00BC479C">
        <w:t xml:space="preserve">Zajętość otworów </w:t>
      </w:r>
    </w:p>
    <w:p w14:paraId="2A35424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W pierwszej kolejności należy zajmować otwory w dolnej warstwie ciągu kanalizacji. W jednym otworze powinien być ułożony tylko jeden kabel. </w:t>
      </w:r>
    </w:p>
    <w:p w14:paraId="583C725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Dopuszcza się układanie w jednym otworze kilku kabli: w tym przypadku da jednego otworu nie walna wciągać więcej niż</w:t>
      </w:r>
    </w:p>
    <w:p w14:paraId="21FA3CB5"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 xml:space="preserve">2 kable -jeżeli suma ich średnic nie przekracza 0,75 średnicy otworu, </w:t>
      </w:r>
    </w:p>
    <w:p w14:paraId="17F7B6D6"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3 i więcej kabli -jeżeli suma ich średnic nie przekracza wielkości średnicy otworu kanalizacji. Miejsca wprowadzenia kabli do otworów (rur). a także wloty wolnych otworów powinny być uszczelnione -zgodnie z ZN-95TP S-A—021/T</w:t>
      </w:r>
    </w:p>
    <w:p w14:paraId="152DE35F" w14:textId="77777777" w:rsidR="009D57D0" w:rsidRPr="00BC479C" w:rsidRDefault="009D57D0" w:rsidP="00CE1E11">
      <w:pPr>
        <w:spacing w:after="0" w:line="240" w:lineRule="auto"/>
        <w:rPr>
          <w:rFonts w:ascii="Times New Roman" w:hAnsi="Times New Roman" w:cs="Times New Roman"/>
        </w:rPr>
      </w:pPr>
    </w:p>
    <w:p w14:paraId="1C786CC2" w14:textId="77777777" w:rsidR="009D57D0" w:rsidRPr="00BC479C" w:rsidRDefault="009D57D0" w:rsidP="00904E6C">
      <w:pPr>
        <w:pStyle w:val="Nagwek3"/>
        <w:numPr>
          <w:ilvl w:val="2"/>
          <w:numId w:val="253"/>
        </w:numPr>
      </w:pPr>
      <w:r w:rsidRPr="00BC479C">
        <w:t xml:space="preserve">Układanie kabli w studniach kablowych </w:t>
      </w:r>
    </w:p>
    <w:p w14:paraId="52F11FA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Powinno być wykonywane z zachowaniem następujących postanowień: </w:t>
      </w:r>
    </w:p>
    <w:p w14:paraId="07570C1A"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a) kable powinny być układane na wspornikach kablowych: kable rozdzielcze małoparowe mogą być układane na wspornikach wspólnie po 2 lub 3 kable w jednym uchwycie. </w:t>
      </w:r>
    </w:p>
    <w:p w14:paraId="31780628"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b) kable nie powinny zasłaniać wolnych otworów kanalizacji. lecz przebiegać równolegle do siebie i do ścian bocznych studni, </w:t>
      </w:r>
    </w:p>
    <w:p w14:paraId="6490F5A9"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c) kable przelotowe nie powinny krzyżować się, </w:t>
      </w:r>
    </w:p>
    <w:p w14:paraId="282D3906"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d) łuki na wygięciach powinny być łagodne. a promień gięcia kabla nie powinien być mniejszy od jego 10-krotnej średnicy zewnętrznej, </w:t>
      </w:r>
    </w:p>
    <w:p w14:paraId="69F172D8"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e) złącza kablowe powinny być usytuowane przy ścianach wzdłużnych i umocowane na wspornikach kablowych wg BN-74/3233-19 lub ZN-95/TP S.A.-023/T. </w:t>
      </w:r>
    </w:p>
    <w:p w14:paraId="6ECFB63C" w14:textId="77777777" w:rsidR="009D57D0" w:rsidRPr="00BC479C" w:rsidRDefault="009D57D0" w:rsidP="00CE1E11">
      <w:pPr>
        <w:widowControl w:val="0"/>
        <w:tabs>
          <w:tab w:val="left" w:pos="946"/>
        </w:tabs>
        <w:spacing w:after="0" w:line="240" w:lineRule="auto"/>
        <w:ind w:left="993" w:hanging="273"/>
        <w:rPr>
          <w:rFonts w:ascii="Times New Roman" w:hAnsi="Times New Roman" w:cs="Times New Roman"/>
        </w:rPr>
      </w:pPr>
      <w:r w:rsidRPr="00BC479C">
        <w:rPr>
          <w:rFonts w:ascii="Times New Roman" w:hAnsi="Times New Roman" w:cs="Times New Roman"/>
        </w:rPr>
        <w:t xml:space="preserve">f) zapasy kabli w studniach kablowych wynikające z wyłożenia na wspornikach powinny być zgodne z podanymi w poniższej tabeli. </w:t>
      </w:r>
    </w:p>
    <w:p w14:paraId="318F1FF9" w14:textId="77777777" w:rsidR="009D57D0" w:rsidRPr="00BC479C" w:rsidRDefault="009D57D0" w:rsidP="00CE1E11">
      <w:pPr>
        <w:spacing w:after="0" w:line="240" w:lineRule="auto"/>
        <w:rPr>
          <w:rFonts w:ascii="Times New Roman" w:hAnsi="Times New Roman" w:cs="Times New Roman"/>
        </w:rPr>
      </w:pPr>
    </w:p>
    <w:tbl>
      <w:tblPr>
        <w:tblW w:w="0" w:type="auto"/>
        <w:tblInd w:w="5" w:type="dxa"/>
        <w:tblLayout w:type="fixed"/>
        <w:tblCellMar>
          <w:left w:w="0" w:type="dxa"/>
          <w:right w:w="0" w:type="dxa"/>
        </w:tblCellMar>
        <w:tblLook w:val="0000" w:firstRow="0" w:lastRow="0" w:firstColumn="0" w:lastColumn="0" w:noHBand="0" w:noVBand="0"/>
      </w:tblPr>
      <w:tblGrid>
        <w:gridCol w:w="567"/>
        <w:gridCol w:w="2694"/>
        <w:gridCol w:w="1417"/>
        <w:gridCol w:w="1418"/>
        <w:gridCol w:w="1417"/>
        <w:gridCol w:w="1443"/>
      </w:tblGrid>
      <w:tr w:rsidR="009D57D0" w:rsidRPr="00BC479C" w14:paraId="09BAC142" w14:textId="77777777" w:rsidTr="009D57D0">
        <w:trPr>
          <w:cantSplit/>
          <w:trHeight w:hRule="exact" w:val="240"/>
        </w:trPr>
        <w:tc>
          <w:tcPr>
            <w:tcW w:w="567" w:type="dxa"/>
            <w:vMerge w:val="restart"/>
            <w:tcBorders>
              <w:top w:val="single" w:sz="4" w:space="0" w:color="000000"/>
              <w:left w:val="single" w:sz="4" w:space="0" w:color="000000"/>
              <w:bottom w:val="single" w:sz="4" w:space="0" w:color="000000"/>
            </w:tcBorders>
            <w:shd w:val="clear" w:color="auto" w:fill="auto"/>
            <w:vAlign w:val="center"/>
          </w:tcPr>
          <w:p w14:paraId="5ACA56D1"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L.p.</w:t>
            </w:r>
          </w:p>
        </w:tc>
        <w:tc>
          <w:tcPr>
            <w:tcW w:w="2694" w:type="dxa"/>
            <w:vMerge w:val="restart"/>
            <w:tcBorders>
              <w:top w:val="single" w:sz="4" w:space="0" w:color="000000"/>
              <w:left w:val="single" w:sz="4" w:space="0" w:color="000000"/>
              <w:bottom w:val="single" w:sz="4" w:space="0" w:color="000000"/>
            </w:tcBorders>
            <w:shd w:val="clear" w:color="auto" w:fill="auto"/>
            <w:vAlign w:val="center"/>
          </w:tcPr>
          <w:p w14:paraId="1F717515"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Rodzaj studni</w:t>
            </w:r>
          </w:p>
        </w:tc>
        <w:tc>
          <w:tcPr>
            <w:tcW w:w="5695" w:type="dxa"/>
            <w:gridSpan w:val="4"/>
            <w:tcBorders>
              <w:top w:val="single" w:sz="4" w:space="0" w:color="000000"/>
              <w:left w:val="single" w:sz="4" w:space="0" w:color="000000"/>
              <w:bottom w:val="single" w:sz="4" w:space="0" w:color="000000"/>
              <w:right w:val="single" w:sz="4" w:space="0" w:color="000000"/>
            </w:tcBorders>
            <w:shd w:val="clear" w:color="auto" w:fill="auto"/>
          </w:tcPr>
          <w:p w14:paraId="5EA56258"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Długość zapasu kabla w studni typu, (m)</w:t>
            </w:r>
          </w:p>
        </w:tc>
      </w:tr>
      <w:tr w:rsidR="009D57D0" w:rsidRPr="00BC479C" w14:paraId="085CF552" w14:textId="77777777" w:rsidTr="009D57D0">
        <w:trPr>
          <w:cantSplit/>
        </w:trPr>
        <w:tc>
          <w:tcPr>
            <w:tcW w:w="567" w:type="dxa"/>
            <w:vMerge/>
            <w:tcBorders>
              <w:top w:val="single" w:sz="4" w:space="0" w:color="000000"/>
              <w:left w:val="single" w:sz="4" w:space="0" w:color="000000"/>
              <w:bottom w:val="single" w:sz="4" w:space="0" w:color="000000"/>
            </w:tcBorders>
            <w:shd w:val="clear" w:color="auto" w:fill="auto"/>
            <w:vAlign w:val="center"/>
          </w:tcPr>
          <w:p w14:paraId="5C94BB0B" w14:textId="77777777" w:rsidR="009D57D0" w:rsidRPr="00BC479C" w:rsidRDefault="009D57D0" w:rsidP="00CE1E11">
            <w:pPr>
              <w:snapToGrid w:val="0"/>
              <w:spacing w:after="0" w:line="240" w:lineRule="auto"/>
              <w:rPr>
                <w:rFonts w:ascii="Times New Roman" w:hAnsi="Times New Roman" w:cs="Times New Roman"/>
              </w:rPr>
            </w:pPr>
          </w:p>
        </w:tc>
        <w:tc>
          <w:tcPr>
            <w:tcW w:w="2694" w:type="dxa"/>
            <w:vMerge/>
            <w:tcBorders>
              <w:top w:val="single" w:sz="4" w:space="0" w:color="000000"/>
              <w:left w:val="single" w:sz="4" w:space="0" w:color="000000"/>
              <w:bottom w:val="single" w:sz="4" w:space="0" w:color="000000"/>
            </w:tcBorders>
            <w:shd w:val="clear" w:color="auto" w:fill="auto"/>
            <w:vAlign w:val="center"/>
          </w:tcPr>
          <w:p w14:paraId="50D88C6E" w14:textId="77777777" w:rsidR="009D57D0" w:rsidRPr="00BC479C" w:rsidRDefault="009D57D0" w:rsidP="00CE1E11">
            <w:pPr>
              <w:snapToGrid w:val="0"/>
              <w:spacing w:after="0" w:line="240" w:lineRule="auto"/>
              <w:rPr>
                <w:rFonts w:ascii="Times New Roman" w:hAnsi="Times New Roman" w:cs="Times New Roman"/>
              </w:rPr>
            </w:pPr>
          </w:p>
        </w:tc>
        <w:tc>
          <w:tcPr>
            <w:tcW w:w="1417" w:type="dxa"/>
            <w:tcBorders>
              <w:left w:val="single" w:sz="4" w:space="0" w:color="000000"/>
              <w:bottom w:val="single" w:sz="4" w:space="0" w:color="000000"/>
            </w:tcBorders>
            <w:shd w:val="clear" w:color="auto" w:fill="auto"/>
          </w:tcPr>
          <w:p w14:paraId="1E904655"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SKR</w:t>
            </w:r>
          </w:p>
        </w:tc>
        <w:tc>
          <w:tcPr>
            <w:tcW w:w="1418" w:type="dxa"/>
            <w:tcBorders>
              <w:left w:val="single" w:sz="4" w:space="0" w:color="000000"/>
              <w:bottom w:val="single" w:sz="4" w:space="0" w:color="000000"/>
            </w:tcBorders>
            <w:shd w:val="clear" w:color="auto" w:fill="auto"/>
          </w:tcPr>
          <w:p w14:paraId="1FE6F3B6"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SKM-4</w:t>
            </w:r>
          </w:p>
        </w:tc>
        <w:tc>
          <w:tcPr>
            <w:tcW w:w="1417" w:type="dxa"/>
            <w:tcBorders>
              <w:left w:val="single" w:sz="4" w:space="0" w:color="000000"/>
              <w:bottom w:val="single" w:sz="4" w:space="0" w:color="000000"/>
            </w:tcBorders>
            <w:shd w:val="clear" w:color="auto" w:fill="auto"/>
          </w:tcPr>
          <w:p w14:paraId="7A2055DF"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SKM-6</w:t>
            </w:r>
          </w:p>
        </w:tc>
        <w:tc>
          <w:tcPr>
            <w:tcW w:w="1443" w:type="dxa"/>
            <w:tcBorders>
              <w:left w:val="single" w:sz="4" w:space="0" w:color="000000"/>
              <w:bottom w:val="single" w:sz="4" w:space="0" w:color="000000"/>
              <w:right w:val="single" w:sz="4" w:space="0" w:color="000000"/>
            </w:tcBorders>
            <w:shd w:val="clear" w:color="auto" w:fill="auto"/>
          </w:tcPr>
          <w:p w14:paraId="458B3429"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SKM-8</w:t>
            </w:r>
          </w:p>
        </w:tc>
      </w:tr>
      <w:tr w:rsidR="009D57D0" w:rsidRPr="00BC479C" w14:paraId="6B572720" w14:textId="77777777" w:rsidTr="009D57D0">
        <w:trPr>
          <w:cantSplit/>
        </w:trPr>
        <w:tc>
          <w:tcPr>
            <w:tcW w:w="567" w:type="dxa"/>
            <w:tcBorders>
              <w:left w:val="single" w:sz="4" w:space="0" w:color="000000"/>
              <w:bottom w:val="single" w:sz="4" w:space="0" w:color="000000"/>
            </w:tcBorders>
            <w:shd w:val="clear" w:color="auto" w:fill="auto"/>
          </w:tcPr>
          <w:p w14:paraId="713BF7E5"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1</w:t>
            </w:r>
          </w:p>
        </w:tc>
        <w:tc>
          <w:tcPr>
            <w:tcW w:w="2694" w:type="dxa"/>
            <w:tcBorders>
              <w:left w:val="single" w:sz="4" w:space="0" w:color="000000"/>
              <w:bottom w:val="single" w:sz="4" w:space="0" w:color="000000"/>
            </w:tcBorders>
            <w:shd w:val="clear" w:color="auto" w:fill="auto"/>
          </w:tcPr>
          <w:p w14:paraId="24A1F35F" w14:textId="77777777" w:rsidR="009D57D0" w:rsidRPr="00BC479C" w:rsidRDefault="009D57D0" w:rsidP="00CE1E11">
            <w:pPr>
              <w:pStyle w:val="Nagwek"/>
              <w:tabs>
                <w:tab w:val="clear" w:pos="4536"/>
                <w:tab w:val="clear" w:pos="9072"/>
              </w:tabs>
              <w:snapToGrid w:val="0"/>
              <w:rPr>
                <w:sz w:val="22"/>
              </w:rPr>
            </w:pPr>
            <w:r w:rsidRPr="00BC479C">
              <w:rPr>
                <w:sz w:val="22"/>
              </w:rPr>
              <w:t>Przelotowa</w:t>
            </w:r>
          </w:p>
        </w:tc>
        <w:tc>
          <w:tcPr>
            <w:tcW w:w="1417" w:type="dxa"/>
            <w:tcBorders>
              <w:left w:val="single" w:sz="4" w:space="0" w:color="000000"/>
              <w:bottom w:val="single" w:sz="4" w:space="0" w:color="000000"/>
            </w:tcBorders>
            <w:shd w:val="clear" w:color="auto" w:fill="auto"/>
          </w:tcPr>
          <w:p w14:paraId="74023BA1"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0,5</w:t>
            </w:r>
          </w:p>
        </w:tc>
        <w:tc>
          <w:tcPr>
            <w:tcW w:w="1418" w:type="dxa"/>
            <w:tcBorders>
              <w:left w:val="single" w:sz="4" w:space="0" w:color="000000"/>
              <w:bottom w:val="single" w:sz="4" w:space="0" w:color="000000"/>
            </w:tcBorders>
            <w:shd w:val="clear" w:color="auto" w:fill="auto"/>
          </w:tcPr>
          <w:p w14:paraId="14B69191"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1,0</w:t>
            </w:r>
          </w:p>
        </w:tc>
        <w:tc>
          <w:tcPr>
            <w:tcW w:w="1417" w:type="dxa"/>
            <w:tcBorders>
              <w:left w:val="single" w:sz="4" w:space="0" w:color="000000"/>
              <w:bottom w:val="single" w:sz="4" w:space="0" w:color="000000"/>
            </w:tcBorders>
            <w:shd w:val="clear" w:color="auto" w:fill="auto"/>
          </w:tcPr>
          <w:p w14:paraId="3AFB27BD"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1,2</w:t>
            </w:r>
          </w:p>
        </w:tc>
        <w:tc>
          <w:tcPr>
            <w:tcW w:w="1443" w:type="dxa"/>
            <w:tcBorders>
              <w:left w:val="single" w:sz="4" w:space="0" w:color="000000"/>
              <w:bottom w:val="single" w:sz="4" w:space="0" w:color="000000"/>
              <w:right w:val="single" w:sz="4" w:space="0" w:color="000000"/>
            </w:tcBorders>
            <w:shd w:val="clear" w:color="auto" w:fill="auto"/>
          </w:tcPr>
          <w:p w14:paraId="5030631D"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1,4</w:t>
            </w:r>
          </w:p>
        </w:tc>
      </w:tr>
      <w:tr w:rsidR="009D57D0" w:rsidRPr="00BC479C" w14:paraId="5204EE96" w14:textId="77777777" w:rsidTr="009D57D0">
        <w:trPr>
          <w:cantSplit/>
        </w:trPr>
        <w:tc>
          <w:tcPr>
            <w:tcW w:w="567" w:type="dxa"/>
            <w:tcBorders>
              <w:left w:val="single" w:sz="4" w:space="0" w:color="000000"/>
              <w:bottom w:val="single" w:sz="4" w:space="0" w:color="000000"/>
            </w:tcBorders>
            <w:shd w:val="clear" w:color="auto" w:fill="auto"/>
          </w:tcPr>
          <w:p w14:paraId="0984DD6E"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2</w:t>
            </w:r>
          </w:p>
        </w:tc>
        <w:tc>
          <w:tcPr>
            <w:tcW w:w="2694" w:type="dxa"/>
            <w:tcBorders>
              <w:left w:val="single" w:sz="4" w:space="0" w:color="000000"/>
              <w:bottom w:val="single" w:sz="4" w:space="0" w:color="000000"/>
            </w:tcBorders>
            <w:shd w:val="clear" w:color="auto" w:fill="auto"/>
          </w:tcPr>
          <w:p w14:paraId="492F8087" w14:textId="77777777" w:rsidR="009D57D0" w:rsidRPr="00BC479C" w:rsidRDefault="009D57D0" w:rsidP="00CE1E11">
            <w:pPr>
              <w:snapToGrid w:val="0"/>
              <w:spacing w:after="0" w:line="240" w:lineRule="auto"/>
              <w:rPr>
                <w:rFonts w:ascii="Times New Roman" w:hAnsi="Times New Roman" w:cs="Times New Roman"/>
                <w:vertAlign w:val="superscript"/>
              </w:rPr>
            </w:pPr>
            <w:r w:rsidRPr="00BC479C">
              <w:rPr>
                <w:rFonts w:ascii="Times New Roman" w:hAnsi="Times New Roman" w:cs="Times New Roman"/>
              </w:rPr>
              <w:t>Odgałęźna lub narożna</w:t>
            </w:r>
            <w:r w:rsidRPr="00BC479C">
              <w:rPr>
                <w:rFonts w:ascii="Times New Roman" w:hAnsi="Times New Roman" w:cs="Times New Roman"/>
                <w:vertAlign w:val="superscript"/>
              </w:rPr>
              <w:t>1)</w:t>
            </w:r>
          </w:p>
        </w:tc>
        <w:tc>
          <w:tcPr>
            <w:tcW w:w="1417" w:type="dxa"/>
            <w:tcBorders>
              <w:left w:val="single" w:sz="4" w:space="0" w:color="000000"/>
              <w:bottom w:val="single" w:sz="4" w:space="0" w:color="000000"/>
            </w:tcBorders>
            <w:shd w:val="clear" w:color="auto" w:fill="auto"/>
          </w:tcPr>
          <w:p w14:paraId="3E62A464"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1,0</w:t>
            </w:r>
          </w:p>
        </w:tc>
        <w:tc>
          <w:tcPr>
            <w:tcW w:w="1418" w:type="dxa"/>
            <w:tcBorders>
              <w:left w:val="single" w:sz="4" w:space="0" w:color="000000"/>
              <w:bottom w:val="single" w:sz="4" w:space="0" w:color="000000"/>
            </w:tcBorders>
            <w:shd w:val="clear" w:color="auto" w:fill="auto"/>
          </w:tcPr>
          <w:p w14:paraId="69497900" w14:textId="77777777" w:rsidR="009D57D0" w:rsidRPr="00BC479C" w:rsidRDefault="009D57D0" w:rsidP="00CE1E11">
            <w:pPr>
              <w:snapToGrid w:val="0"/>
              <w:spacing w:after="0" w:line="240" w:lineRule="auto"/>
              <w:rPr>
                <w:rFonts w:ascii="Times New Roman" w:hAnsi="Times New Roman" w:cs="Times New Roman"/>
                <w:b/>
                <w:bCs/>
              </w:rPr>
            </w:pPr>
            <w:r w:rsidRPr="00BC479C">
              <w:rPr>
                <w:rFonts w:ascii="Times New Roman" w:hAnsi="Times New Roman" w:cs="Times New Roman"/>
                <w:b/>
                <w:bCs/>
              </w:rPr>
              <w:t>2,5</w:t>
            </w:r>
          </w:p>
        </w:tc>
        <w:tc>
          <w:tcPr>
            <w:tcW w:w="1417" w:type="dxa"/>
            <w:tcBorders>
              <w:left w:val="single" w:sz="4" w:space="0" w:color="000000"/>
              <w:bottom w:val="single" w:sz="4" w:space="0" w:color="000000"/>
            </w:tcBorders>
            <w:shd w:val="clear" w:color="auto" w:fill="auto"/>
          </w:tcPr>
          <w:p w14:paraId="42B3EBB0"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3,2</w:t>
            </w:r>
          </w:p>
        </w:tc>
        <w:tc>
          <w:tcPr>
            <w:tcW w:w="1443" w:type="dxa"/>
            <w:tcBorders>
              <w:left w:val="single" w:sz="4" w:space="0" w:color="000000"/>
              <w:bottom w:val="single" w:sz="4" w:space="0" w:color="000000"/>
              <w:right w:val="single" w:sz="4" w:space="0" w:color="000000"/>
            </w:tcBorders>
            <w:shd w:val="clear" w:color="auto" w:fill="auto"/>
          </w:tcPr>
          <w:p w14:paraId="0B658DFE"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rPr>
              <w:t>3,4</w:t>
            </w:r>
          </w:p>
        </w:tc>
      </w:tr>
      <w:tr w:rsidR="009D57D0" w:rsidRPr="00BC479C" w14:paraId="2B58E6B6" w14:textId="77777777" w:rsidTr="009D57D0">
        <w:trPr>
          <w:cantSplit/>
        </w:trPr>
        <w:tc>
          <w:tcPr>
            <w:tcW w:w="8956" w:type="dxa"/>
            <w:gridSpan w:val="6"/>
            <w:tcBorders>
              <w:left w:val="single" w:sz="4" w:space="0" w:color="000000"/>
              <w:bottom w:val="single" w:sz="4" w:space="0" w:color="000000"/>
              <w:right w:val="single" w:sz="4" w:space="0" w:color="000000"/>
            </w:tcBorders>
            <w:shd w:val="clear" w:color="auto" w:fill="auto"/>
          </w:tcPr>
          <w:p w14:paraId="2241DBDE" w14:textId="77777777" w:rsidR="009D57D0" w:rsidRPr="00BC479C" w:rsidRDefault="009D57D0" w:rsidP="00CE1E11">
            <w:pPr>
              <w:snapToGrid w:val="0"/>
              <w:spacing w:after="0" w:line="240" w:lineRule="auto"/>
              <w:rPr>
                <w:rFonts w:ascii="Times New Roman" w:hAnsi="Times New Roman" w:cs="Times New Roman"/>
              </w:rPr>
            </w:pPr>
            <w:r w:rsidRPr="00BC479C">
              <w:rPr>
                <w:rFonts w:ascii="Times New Roman" w:hAnsi="Times New Roman" w:cs="Times New Roman"/>
                <w:vertAlign w:val="superscript"/>
              </w:rPr>
              <w:t>1)</w:t>
            </w:r>
            <w:r w:rsidRPr="00BC479C">
              <w:rPr>
                <w:rFonts w:ascii="Times New Roman" w:hAnsi="Times New Roman" w:cs="Times New Roman"/>
              </w:rPr>
              <w:t>Zapasy dotyczą wykładania kabla wzdłuż małych łuków.</w:t>
            </w:r>
          </w:p>
          <w:p w14:paraId="539C924A" w14:textId="77777777" w:rsidR="009D57D0" w:rsidRPr="00BC479C" w:rsidRDefault="009D57D0" w:rsidP="00CE1E11">
            <w:pPr>
              <w:pStyle w:val="Zwykytekst1"/>
              <w:jc w:val="both"/>
              <w:rPr>
                <w:rFonts w:ascii="Times New Roman" w:hAnsi="Times New Roman"/>
                <w:sz w:val="22"/>
                <w:szCs w:val="22"/>
              </w:rPr>
            </w:pPr>
            <w:r w:rsidRPr="00BC479C">
              <w:rPr>
                <w:rFonts w:ascii="Times New Roman" w:hAnsi="Times New Roman"/>
                <w:sz w:val="22"/>
                <w:szCs w:val="22"/>
              </w:rPr>
              <w:t>Na wykładanie kabla wzdłuż małych łuków nie należy przyjmować zapasów.</w:t>
            </w:r>
          </w:p>
          <w:p w14:paraId="38A4F507"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Na wykładanie kabla wprowadzonego przelotowo przez studnię odgałęźną należy przyjmować zapasy jak dla odpowiedniej studni przelotowej.</w:t>
            </w:r>
          </w:p>
        </w:tc>
      </w:tr>
    </w:tbl>
    <w:p w14:paraId="0C978D71" w14:textId="77777777" w:rsidR="009D57D0" w:rsidRPr="00BC479C" w:rsidRDefault="009D57D0" w:rsidP="00CE1E11">
      <w:pPr>
        <w:spacing w:after="0" w:line="240" w:lineRule="auto"/>
        <w:rPr>
          <w:rFonts w:ascii="Times New Roman" w:hAnsi="Times New Roman" w:cs="Times New Roman"/>
        </w:rPr>
      </w:pPr>
    </w:p>
    <w:p w14:paraId="2D19D9CE" w14:textId="77777777" w:rsidR="009D57D0" w:rsidRPr="00BC479C" w:rsidRDefault="009D57D0" w:rsidP="00904E6C">
      <w:pPr>
        <w:pStyle w:val="Nagwek2Title2"/>
        <w:numPr>
          <w:ilvl w:val="1"/>
          <w:numId w:val="253"/>
        </w:numPr>
        <w:tabs>
          <w:tab w:val="clear" w:pos="284"/>
          <w:tab w:val="num" w:pos="0"/>
          <w:tab w:val="left" w:pos="66"/>
          <w:tab w:val="left" w:pos="360"/>
          <w:tab w:val="left" w:pos="851"/>
        </w:tabs>
        <w:ind w:left="66" w:firstLine="0"/>
        <w:rPr>
          <w:sz w:val="22"/>
          <w:szCs w:val="22"/>
        </w:rPr>
      </w:pPr>
      <w:r w:rsidRPr="00BC479C">
        <w:rPr>
          <w:sz w:val="22"/>
          <w:szCs w:val="22"/>
        </w:rPr>
        <w:t>Montaż kabli miedzianych</w:t>
      </w:r>
    </w:p>
    <w:p w14:paraId="53C57EB0" w14:textId="77777777" w:rsidR="009D57D0" w:rsidRPr="00BC479C" w:rsidRDefault="009D57D0" w:rsidP="00CE1E11">
      <w:pPr>
        <w:spacing w:after="0" w:line="240" w:lineRule="auto"/>
        <w:rPr>
          <w:rFonts w:ascii="Times New Roman" w:hAnsi="Times New Roman" w:cs="Times New Roman"/>
        </w:rPr>
      </w:pPr>
    </w:p>
    <w:p w14:paraId="5A9A1162" w14:textId="77777777" w:rsidR="009D57D0" w:rsidRPr="00BC479C" w:rsidRDefault="009D57D0" w:rsidP="00904E6C">
      <w:pPr>
        <w:pStyle w:val="Nagwek3"/>
        <w:numPr>
          <w:ilvl w:val="2"/>
          <w:numId w:val="253"/>
        </w:numPr>
      </w:pPr>
      <w:r w:rsidRPr="00BC479C">
        <w:t>Złącza na kablach miedzianych</w:t>
      </w:r>
    </w:p>
    <w:p w14:paraId="6399C89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Złącza na kablach w powłokach ołowianych powinny odpowiadać wymaganiom BN-65/8984-11. Złącza na kablach o izolacji żył z tworzyw termoplastycznych i o powłokach z tworzyw termoplastycznych powinny być wykonywane wg instrukcji technologicznych przy zachowaniu </w:t>
      </w:r>
      <w:r w:rsidRPr="00BC479C">
        <w:rPr>
          <w:rFonts w:ascii="Times New Roman" w:hAnsi="Times New Roman" w:cs="Times New Roman"/>
        </w:rPr>
        <w:lastRenderedPageBreak/>
        <w:t>postanowień podanych w 5.5.</w:t>
      </w:r>
    </w:p>
    <w:p w14:paraId="1DB07F6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Złącza powinny być tak umieszczone aby nie było utrudnione wykonywanie prac instalacyjnych jak również konserwacyjnych. </w:t>
      </w:r>
    </w:p>
    <w:p w14:paraId="1715522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Wszystkie złącza kabli ułożonych bezpośrednio w ziemi powinny być chronione przed uszkodzeniami mechanicznymi. </w:t>
      </w:r>
    </w:p>
    <w:p w14:paraId="27FCE4E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Sposób i dokładność montażu powinny umożliwiać utrzymanie szczelności oraz uzyskanie wymaganych parametrów elektrycznych linii. </w:t>
      </w:r>
    </w:p>
    <w:p w14:paraId="2BE54F40"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W zmontowanych liniach tory o liczbie nie mniejszej od znamionowej nie powinny wykazywać przerw żył oraz zwarć między nimi i z powłoką lub ekranem (zaporą przeciwwilgociową). </w:t>
      </w:r>
    </w:p>
    <w:p w14:paraId="171E16F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Sposób i wykonanie montażu powinny zapewniać zachowanie ciągłości ekranu zmontowanej linii. Ekran powinien być w punktach zakończenia linii wyprowadzony i uziemiony. </w:t>
      </w:r>
    </w:p>
    <w:p w14:paraId="78644EA8"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Pary lokalizacyjne kabli powinny być wyprowadzone w punktach zakończenia linii umieszczone na ostatnich lub specjalnych zaciskach głowic lub łączówek i trwale wyróżnione. </w:t>
      </w:r>
    </w:p>
    <w:p w14:paraId="3B2A7B1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Do montażu kabli światłowodowych powinny być stosowane osłony złączowe wg norm operatorów, z tworzyw sztucznych odpornych na korozję, wytrzymałych mechanicznie i zapewniających długotrwałą hermetyczność przy umieszczaniu złączy w zasobnikach, studniach kablowych na słupach nadziemnych lub bezpośrednio w ziemi.</w:t>
      </w:r>
    </w:p>
    <w:p w14:paraId="67C014B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Osłony złączowe powinny zapewniać łatwe ułożenie wewnątrz nich wszystkich włókien światłowodowych (wraz z ich zapasami) złączonych odcinków kabli, bez przekraczania dopuszczalnego promienia zginania światłowodów (R&gt;35 mm).</w:t>
      </w:r>
    </w:p>
    <w:p w14:paraId="4EE78CA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Osłony złączowe umieszczane na słupach powinny być odporne na bezpośrednie działanie światła słonecznego albo umieszczane w przystosowanych do tego celu skrzynkach kablowych. Osłony złączowe powinny umożliwiać ich wielokrotne otwieranie, a także wyprowadzanie kabli odgałęźnych bez potrzeby odcinania kabla i wykonywania nowych połączeń światłowodów oraz potrzeby wymiany całego osprzętu złączowego.</w:t>
      </w:r>
    </w:p>
    <w:p w14:paraId="240B5974" w14:textId="77777777" w:rsidR="009D57D0" w:rsidRPr="00BC479C" w:rsidRDefault="009D57D0" w:rsidP="00CE1E11">
      <w:pPr>
        <w:spacing w:after="0" w:line="240" w:lineRule="auto"/>
        <w:rPr>
          <w:rFonts w:ascii="Times New Roman" w:hAnsi="Times New Roman" w:cs="Times New Roman"/>
        </w:rPr>
      </w:pPr>
    </w:p>
    <w:p w14:paraId="627383DE" w14:textId="77777777" w:rsidR="009D57D0" w:rsidRPr="00BC479C" w:rsidRDefault="009D57D0" w:rsidP="00904E6C">
      <w:pPr>
        <w:pStyle w:val="Nagwek3"/>
        <w:numPr>
          <w:ilvl w:val="2"/>
          <w:numId w:val="253"/>
        </w:numPr>
      </w:pPr>
      <w:r w:rsidRPr="00BC479C">
        <w:t xml:space="preserve">Mocowanie kabli miedzianych </w:t>
      </w:r>
    </w:p>
    <w:p w14:paraId="0496B57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Kable należy mocować do ścian, sufitów konstrukcji wsporczych za pomocą uchwytów lub wieszaków o szerokości równej, co najmniej zewnętrznej średnicy kabla. Kształt uchwytów i wieszaków powinien być taki, aby kabel nie uległ uszkodzeniu. </w:t>
      </w:r>
    </w:p>
    <w:p w14:paraId="24BD4E16"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Kable układane poziomo powinny być umocowane po obu stronach złączy przelotowych. Umocowanie to powinno uniemożliwiać osiowe i poprzeczne przesunięcie się kabla w uchwycie nie powodując jego odkształcenia. Zaleca się mocowanie kabli na łukach. Na pozostałych odcinkach kabel może być ułożony lub zawieszony swobodnie na wieszakach lub konsolach. Kable układane powinny być mocowane tak, aby odległości między punktami zamocowania lub zawieszania nie przekraczały: </w:t>
      </w:r>
    </w:p>
    <w:p w14:paraId="0D695506"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30 cm - dla kabli o powłoce ołowianej nieopancerzonych przy zawieszaniu poziomym lub pochyłym do 30</w:t>
      </w:r>
      <w:r w:rsidRPr="00BC479C">
        <w:rPr>
          <w:rFonts w:ascii="Times New Roman" w:hAnsi="Times New Roman" w:cs="Times New Roman"/>
          <w:vertAlign w:val="superscript"/>
        </w:rPr>
        <w:t>o</w:t>
      </w:r>
      <w:r w:rsidRPr="00BC479C">
        <w:rPr>
          <w:rFonts w:ascii="Times New Roman" w:hAnsi="Times New Roman" w:cs="Times New Roman"/>
        </w:rPr>
        <w:t xml:space="preserve"> </w:t>
      </w:r>
    </w:p>
    <w:p w14:paraId="1CEF6F0B"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50 cm - dla kabli o powłoce ołowianej opancerzonych oraz kabli w powłokach z tworzyw termoplastycznych przy zawieszaniu poziomym lub pochyłym do 30°.</w:t>
      </w:r>
    </w:p>
    <w:p w14:paraId="2883C4C0"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150 cm - dla kabli o powłoce ołowianej opancerzonych. kabli w powłokach z tworzyw termoplastycznych, przy zawieszeniu pionowym lub pochyłym pod kątem większym niż 30</w:t>
      </w:r>
      <w:r w:rsidRPr="00BC479C">
        <w:rPr>
          <w:rFonts w:ascii="Times New Roman" w:hAnsi="Times New Roman" w:cs="Times New Roman"/>
          <w:vertAlign w:val="superscript"/>
        </w:rPr>
        <w:t>o</w:t>
      </w:r>
      <w:r w:rsidRPr="00BC479C">
        <w:rPr>
          <w:rFonts w:ascii="Times New Roman" w:hAnsi="Times New Roman" w:cs="Times New Roman"/>
          <w:i/>
        </w:rPr>
        <w:t xml:space="preserve"> .</w:t>
      </w:r>
      <w:r w:rsidRPr="00BC479C">
        <w:rPr>
          <w:rFonts w:ascii="Times New Roman" w:hAnsi="Times New Roman" w:cs="Times New Roman"/>
        </w:rPr>
        <w:t xml:space="preserve"> </w:t>
      </w:r>
    </w:p>
    <w:p w14:paraId="621FC5BA" w14:textId="77777777" w:rsidR="009D57D0" w:rsidRPr="00BC479C" w:rsidRDefault="009D57D0" w:rsidP="00CE1E11">
      <w:pPr>
        <w:spacing w:after="0" w:line="240" w:lineRule="auto"/>
        <w:rPr>
          <w:rFonts w:ascii="Times New Roman" w:hAnsi="Times New Roman" w:cs="Times New Roman"/>
        </w:rPr>
      </w:pPr>
    </w:p>
    <w:p w14:paraId="77F15173" w14:textId="77777777" w:rsidR="009D57D0" w:rsidRPr="00BC479C" w:rsidRDefault="009D57D0" w:rsidP="00904E6C">
      <w:pPr>
        <w:pStyle w:val="Nagwek3"/>
        <w:numPr>
          <w:ilvl w:val="2"/>
          <w:numId w:val="253"/>
        </w:numPr>
      </w:pPr>
      <w:r w:rsidRPr="00BC479C">
        <w:t>Łączenie kabli i światłowodów</w:t>
      </w:r>
    </w:p>
    <w:p w14:paraId="7FCEA3A8" w14:textId="77777777" w:rsidR="009D57D0" w:rsidRPr="00BC479C" w:rsidRDefault="009D57D0" w:rsidP="00CE1E11">
      <w:pPr>
        <w:spacing w:after="0" w:line="240" w:lineRule="auto"/>
        <w:rPr>
          <w:rFonts w:ascii="Times New Roman" w:hAnsi="Times New Roman" w:cs="Times New Roman"/>
        </w:rPr>
      </w:pPr>
    </w:p>
    <w:p w14:paraId="3569600A"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Łączenie i odgałęzianie kabli w liniach budowanych w kanalizacji kablowej należy wykonywać w studniach kablowych. W liniach, w których kable układane są w rurociągach kablowych, złącza kablowe należy umieszczać w zasobnikach złączowych wg norm operatorów.</w:t>
      </w:r>
    </w:p>
    <w:p w14:paraId="26962ACA"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Kable powinny być łączone w osłonach złączowych. Przy każdym złączu należy pozostawić zapasy włókien światłowodowych, umieszczone w paletach, o długości po ok. 1,5 m po obu stronach połączenia, jako rezerwy na wypadek konieczności naprawy połączenia.</w:t>
      </w:r>
    </w:p>
    <w:p w14:paraId="69F441F9"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 xml:space="preserve">światłowody powinny być łączone przez spawanie. Należy zwrócić uwagę na to, aby proces spawania przebiegał w atmosferze suchego powietrza. Dopuszcza się łączenie światłowodów przy użyciu łączników nierozłącznych, zaciskanych mechanicznie tub rozłącznych (np. rurkowych), </w:t>
      </w:r>
      <w:r w:rsidRPr="00BC479C">
        <w:rPr>
          <w:rFonts w:ascii="Times New Roman" w:hAnsi="Times New Roman" w:cs="Times New Roman"/>
        </w:rPr>
        <w:lastRenderedPageBreak/>
        <w:t>gwarantujących uzyskanie właściwych i trwałych parametrów transmisyjnych, w liniach niezbyt długich, gdy bilans mocy na to pozwoli. Metoda i osprzęt do łączenia światłowodów powinny być dostosowane do typu łączonego światłowodu. W złączach na mostach, w rzece, na terenach bagnistych itp., światłowody należy łączyć przez spawanie.</w:t>
      </w:r>
    </w:p>
    <w:p w14:paraId="5A93EF4E"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W przypadku usuwania awarii dopuszcza się łączenie włókien przy zastosowaniu łączników nierozłącznych lub rozłącznych.</w:t>
      </w:r>
    </w:p>
    <w:p w14:paraId="78507B38" w14:textId="77777777" w:rsidR="009D57D0" w:rsidRPr="00BC479C" w:rsidRDefault="009D57D0" w:rsidP="00904E6C">
      <w:pPr>
        <w:numPr>
          <w:ilvl w:val="0"/>
          <w:numId w:val="226"/>
        </w:numPr>
        <w:tabs>
          <w:tab w:val="clear" w:pos="283"/>
          <w:tab w:val="num" w:pos="0"/>
          <w:tab w:val="left" w:pos="491"/>
          <w:tab w:val="left" w:pos="851"/>
        </w:tabs>
        <w:suppressAutoHyphens/>
        <w:spacing w:after="0" w:line="240" w:lineRule="auto"/>
        <w:ind w:left="491" w:firstLine="0"/>
        <w:jc w:val="both"/>
        <w:rPr>
          <w:rFonts w:ascii="Times New Roman" w:hAnsi="Times New Roman" w:cs="Times New Roman"/>
        </w:rPr>
      </w:pPr>
      <w:r w:rsidRPr="00BC479C">
        <w:rPr>
          <w:rFonts w:ascii="Times New Roman" w:hAnsi="Times New Roman" w:cs="Times New Roman"/>
        </w:rPr>
        <w:t>Każde złącze kabla OTK powinno być zaopatrzone w woreczek ze świeżo wysuszonym barwionym żelem krzemionkowym, pochłaniającym wilgoć, gromadzącą się w osłonie złączowej podczas montażu i wieloletniej eksploatacji linii.</w:t>
      </w:r>
    </w:p>
    <w:p w14:paraId="4294052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Pozostałe postanowienia ogólne dotyczące złączy kablowych powinny być zgodne z BN-89/8984-17/03, pkt.5.2.</w:t>
      </w:r>
    </w:p>
    <w:p w14:paraId="4396CC70" w14:textId="77777777" w:rsidR="009D57D0" w:rsidRPr="00BC479C" w:rsidRDefault="009D57D0" w:rsidP="00CE1E11">
      <w:pPr>
        <w:spacing w:after="0" w:line="240" w:lineRule="auto"/>
        <w:rPr>
          <w:rFonts w:ascii="Times New Roman" w:hAnsi="Times New Roman" w:cs="Times New Roman"/>
        </w:rPr>
      </w:pPr>
    </w:p>
    <w:p w14:paraId="0B2DB6AA" w14:textId="77777777" w:rsidR="009D57D0" w:rsidRPr="00BC479C" w:rsidRDefault="009D57D0" w:rsidP="00904E6C">
      <w:pPr>
        <w:pStyle w:val="Nagwek3"/>
        <w:numPr>
          <w:ilvl w:val="2"/>
          <w:numId w:val="253"/>
        </w:numPr>
      </w:pPr>
      <w:r w:rsidRPr="00BC479C">
        <w:t>Zakończenia kabli</w:t>
      </w:r>
    </w:p>
    <w:p w14:paraId="73C5404B"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Kable powinny być zakańczane na łączówkach kablowych. </w:t>
      </w:r>
    </w:p>
    <w:p w14:paraId="71406159" w14:textId="77777777" w:rsidR="009D57D0" w:rsidRPr="00BC479C" w:rsidRDefault="009D57D0" w:rsidP="00CE1E11">
      <w:pPr>
        <w:spacing w:after="0" w:line="240" w:lineRule="auto"/>
        <w:rPr>
          <w:rFonts w:ascii="Times New Roman" w:hAnsi="Times New Roman" w:cs="Times New Roman"/>
        </w:rPr>
      </w:pPr>
    </w:p>
    <w:p w14:paraId="4DE386F2" w14:textId="77777777" w:rsidR="009D57D0" w:rsidRPr="00BC479C" w:rsidRDefault="009D57D0" w:rsidP="00904E6C">
      <w:pPr>
        <w:pStyle w:val="Nagwek2Title2"/>
        <w:numPr>
          <w:ilvl w:val="1"/>
          <w:numId w:val="253"/>
        </w:numPr>
        <w:tabs>
          <w:tab w:val="clear" w:pos="284"/>
          <w:tab w:val="num" w:pos="0"/>
          <w:tab w:val="left" w:pos="66"/>
          <w:tab w:val="left" w:pos="360"/>
          <w:tab w:val="left" w:pos="851"/>
        </w:tabs>
        <w:ind w:left="66" w:firstLine="0"/>
        <w:rPr>
          <w:sz w:val="22"/>
          <w:szCs w:val="22"/>
        </w:rPr>
      </w:pPr>
      <w:r w:rsidRPr="00BC479C">
        <w:rPr>
          <w:sz w:val="22"/>
          <w:szCs w:val="22"/>
        </w:rPr>
        <w:t>Ochrona linii kablowych</w:t>
      </w:r>
    </w:p>
    <w:p w14:paraId="2CBCD63F" w14:textId="77777777" w:rsidR="009D57D0" w:rsidRPr="00BC479C" w:rsidRDefault="009D57D0" w:rsidP="00CE1E11">
      <w:pPr>
        <w:spacing w:after="0" w:line="240" w:lineRule="auto"/>
        <w:rPr>
          <w:rFonts w:ascii="Times New Roman" w:hAnsi="Times New Roman" w:cs="Times New Roman"/>
        </w:rPr>
      </w:pPr>
    </w:p>
    <w:p w14:paraId="6373EAAD" w14:textId="77777777" w:rsidR="009D57D0" w:rsidRPr="00BC479C" w:rsidRDefault="009D57D0" w:rsidP="00904E6C">
      <w:pPr>
        <w:pStyle w:val="Nagwek3"/>
        <w:numPr>
          <w:ilvl w:val="2"/>
          <w:numId w:val="253"/>
        </w:numPr>
      </w:pPr>
      <w:r w:rsidRPr="00BC479C">
        <w:t>Ochrona izolacji kabla</w:t>
      </w:r>
    </w:p>
    <w:p w14:paraId="70FEED1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Podczas przechowywania, układania i montażu końce kabli należy zabezpieczać przed przenikaniem wody i wilgoci do ośrodków kabli. Ponadto odcinki instalacyjne kabli o liczbie czwórek większej lub równej 50 powinny być utrzymywane pod kontrolą sprężonego powietrza. </w:t>
      </w:r>
    </w:p>
    <w:p w14:paraId="7EDADAC1" w14:textId="77777777" w:rsidR="009D57D0" w:rsidRPr="00BC479C" w:rsidRDefault="009D57D0" w:rsidP="00CE1E11">
      <w:pPr>
        <w:spacing w:after="0" w:line="240" w:lineRule="auto"/>
        <w:rPr>
          <w:rFonts w:ascii="Times New Roman" w:hAnsi="Times New Roman" w:cs="Times New Roman"/>
        </w:rPr>
      </w:pPr>
    </w:p>
    <w:p w14:paraId="2D0715ED" w14:textId="77777777" w:rsidR="009D57D0" w:rsidRPr="00BC479C" w:rsidRDefault="009D57D0" w:rsidP="00904E6C">
      <w:pPr>
        <w:pStyle w:val="Nagwek3"/>
        <w:numPr>
          <w:ilvl w:val="2"/>
          <w:numId w:val="253"/>
        </w:numPr>
      </w:pPr>
      <w:r w:rsidRPr="00BC479C">
        <w:t xml:space="preserve">Ochrona przed uszkodzeniami mechanicznymi </w:t>
      </w:r>
    </w:p>
    <w:p w14:paraId="03E0E9A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W miejscach, w których w zwykłych warunkach użytkowania przewiduje się występowanie  zagrożeń mechanicznych mogących spowodować uszkodzenie kabla, należy go układać w kanalizacji kablowej. Dopuszcza się zabezpieczenie kabla przed uszkodzeniami mechanicznymi przez stosowanie przykryw kablowych lub cegieł </w:t>
      </w:r>
    </w:p>
    <w:p w14:paraId="6670B396"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W szczególności należy chronić kable: </w:t>
      </w:r>
    </w:p>
    <w:p w14:paraId="0CA66E5E"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 xml:space="preserve">ułożone w ziemi pod drogami, </w:t>
      </w:r>
    </w:p>
    <w:p w14:paraId="67E4BCB3"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 xml:space="preserve">w miejscach wyjścia z rur lub bloków kanalizacyjnych kable należy tak ułożyć i zabezpieczyć, aby nie były narażone na uszkodzenia. </w:t>
      </w:r>
    </w:p>
    <w:p w14:paraId="4D2813D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Kable układane w ziemi powinny być zabezpieczone przed uszkodzenia mechanicznymi przez zastosowanie taśmy ostrzegawczej w następujących przypadkach: </w:t>
      </w:r>
    </w:p>
    <w:p w14:paraId="158DFFC4"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na terenach zabudowanych w granicach administracyjnych miast, osiedli i wsi</w:t>
      </w:r>
    </w:p>
    <w:p w14:paraId="0399C1D2"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 xml:space="preserve">po obu stronach złączy, </w:t>
      </w:r>
    </w:p>
    <w:p w14:paraId="3CAD50EF"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 xml:space="preserve">w innych miejscach na trasie, gdzie spodziewane jest prowadzenie robot ziemnych np. w związku z przebudową dróg, </w:t>
      </w:r>
    </w:p>
    <w:p w14:paraId="6006AAC7" w14:textId="77777777" w:rsidR="009D57D0" w:rsidRPr="00BC479C" w:rsidRDefault="009D57D0" w:rsidP="00904E6C">
      <w:pPr>
        <w:numPr>
          <w:ilvl w:val="0"/>
          <w:numId w:val="356"/>
        </w:numPr>
        <w:tabs>
          <w:tab w:val="left" w:pos="633"/>
          <w:tab w:val="left" w:pos="993"/>
        </w:tabs>
        <w:suppressAutoHyphens/>
        <w:spacing w:after="0" w:line="240" w:lineRule="auto"/>
        <w:ind w:left="633"/>
        <w:jc w:val="both"/>
        <w:rPr>
          <w:rFonts w:ascii="Times New Roman" w:hAnsi="Times New Roman" w:cs="Times New Roman"/>
        </w:rPr>
      </w:pPr>
      <w:r w:rsidRPr="00BC479C">
        <w:rPr>
          <w:rFonts w:ascii="Times New Roman" w:hAnsi="Times New Roman" w:cs="Times New Roman"/>
        </w:rPr>
        <w:t xml:space="preserve">w pobliżu słupów linii telekomunikacyjnych i elektroenergetycznych, jeżeli odległość kabla od słupów jest mniejsza niż 2 m. </w:t>
      </w:r>
    </w:p>
    <w:p w14:paraId="7AD278D8"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Taśma ostrzegawcza powinna być ułożona na połowie głębokości ułożenia kabla.</w:t>
      </w:r>
    </w:p>
    <w:p w14:paraId="7772ED87"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Zabezpieczenie kabli i urządzeń telekomunikacyjnych przed wyładowaniami atmosferycznymi i obcymi napięciami </w:t>
      </w:r>
    </w:p>
    <w:p w14:paraId="0F0F4603"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 xml:space="preserve">Kable telekomunikacyjne wyprowadzone na słupy należy zabezpieczyć wg PN-72/8984-22 w skrzynkach kablowych na słupach kablowych przez stosowanie zespołów zabezpieczających na wszystkich torach napowietrznych wprowadzonych do skrzynki. </w:t>
      </w:r>
    </w:p>
    <w:p w14:paraId="57FD9F3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p>
    <w:p w14:paraId="37D17DFC" w14:textId="77777777" w:rsidR="009D57D0" w:rsidRPr="00BC479C" w:rsidRDefault="009D57D0" w:rsidP="00904E6C">
      <w:pPr>
        <w:pStyle w:val="Nagwek3"/>
        <w:numPr>
          <w:ilvl w:val="2"/>
          <w:numId w:val="253"/>
        </w:numPr>
      </w:pPr>
      <w:r w:rsidRPr="00BC479C">
        <w:t xml:space="preserve">Ochrona telekomunikacyjnych linii kablowych przed szkodliwym oddziaływaniem linii elektroenergetycznych. </w:t>
      </w:r>
    </w:p>
    <w:p w14:paraId="7ADAFC31"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Telekomunikacyjne linie kablowe powinny być zabezpieczone przed szkodliwym oddziaływaniem linii i urządzeń elektroenergetycznych. W miarę możliwości kable telekomunikacyjne przy skrzyżowaniach i zbliżeniach powinny być ułożone poza zasięgiem szkodliwych oddziaływań linii elektroenergetycznych i urządzeń trakcji elektrycznej. </w:t>
      </w:r>
    </w:p>
    <w:p w14:paraId="3E09E73A" w14:textId="77777777" w:rsidR="009D57D0" w:rsidRPr="00BC479C" w:rsidRDefault="009D57D0" w:rsidP="00CE1E11">
      <w:pPr>
        <w:pStyle w:val="TxBrp13"/>
        <w:spacing w:line="240" w:lineRule="auto"/>
        <w:ind w:left="1020"/>
        <w:jc w:val="both"/>
        <w:rPr>
          <w:sz w:val="22"/>
          <w:szCs w:val="22"/>
        </w:rPr>
      </w:pPr>
    </w:p>
    <w:p w14:paraId="1CF866A0" w14:textId="77777777" w:rsidR="009D57D0" w:rsidRPr="00BC479C" w:rsidRDefault="009D57D0" w:rsidP="00904E6C">
      <w:pPr>
        <w:pStyle w:val="Nagwek3"/>
        <w:numPr>
          <w:ilvl w:val="2"/>
          <w:numId w:val="253"/>
        </w:numPr>
      </w:pPr>
      <w:r w:rsidRPr="00BC479C">
        <w:lastRenderedPageBreak/>
        <w:t>Ochrona kabli przed korozją</w:t>
      </w:r>
    </w:p>
    <w:p w14:paraId="0085D7B4" w14:textId="77777777" w:rsidR="009D57D0" w:rsidRPr="00BC479C" w:rsidRDefault="009D57D0" w:rsidP="00777055">
      <w:pPr>
        <w:pStyle w:val="Nagwek3"/>
      </w:pPr>
    </w:p>
    <w:p w14:paraId="29B0C41F" w14:textId="77777777" w:rsidR="009D57D0" w:rsidRPr="00BC479C" w:rsidRDefault="009D57D0" w:rsidP="00904E6C">
      <w:pPr>
        <w:pStyle w:val="Nagwek4"/>
        <w:numPr>
          <w:ilvl w:val="3"/>
          <w:numId w:val="253"/>
        </w:numPr>
        <w:tabs>
          <w:tab w:val="clear" w:pos="284"/>
        </w:tabs>
        <w:spacing w:before="0" w:line="240" w:lineRule="auto"/>
        <w:ind w:left="0" w:firstLine="0"/>
        <w:jc w:val="left"/>
        <w:rPr>
          <w:rFonts w:ascii="Times New Roman" w:hAnsi="Times New Roman" w:cs="Times New Roman"/>
          <w:color w:val="auto"/>
          <w:sz w:val="22"/>
        </w:rPr>
      </w:pPr>
      <w:r w:rsidRPr="00BC479C">
        <w:rPr>
          <w:rFonts w:ascii="Times New Roman" w:hAnsi="Times New Roman" w:cs="Times New Roman"/>
          <w:color w:val="auto"/>
          <w:sz w:val="22"/>
        </w:rPr>
        <w:t>Środki ochronne</w:t>
      </w:r>
    </w:p>
    <w:p w14:paraId="7D60A7C9"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Kable linii telekomunikacyjnych powinny być zabezpieczone przed działaniem korozji elektrochemicznej przez zastosowanie ochrony biernej i ochrony katodowej zgodnie z PN-90/E-05030/00 I 01.</w:t>
      </w:r>
    </w:p>
    <w:p w14:paraId="0011BD27" w14:textId="77777777" w:rsidR="009D57D0" w:rsidRPr="00BC479C" w:rsidRDefault="009D57D0" w:rsidP="00CE1E11">
      <w:pPr>
        <w:pStyle w:val="TxBrp11"/>
        <w:tabs>
          <w:tab w:val="left" w:pos="0"/>
        </w:tabs>
        <w:spacing w:line="240" w:lineRule="auto"/>
        <w:jc w:val="both"/>
        <w:rPr>
          <w:sz w:val="22"/>
          <w:szCs w:val="22"/>
        </w:rPr>
      </w:pPr>
    </w:p>
    <w:p w14:paraId="4392250F" w14:textId="77777777" w:rsidR="009D57D0" w:rsidRPr="00BC479C" w:rsidRDefault="009D57D0" w:rsidP="00904E6C">
      <w:pPr>
        <w:pStyle w:val="Nagwek4"/>
        <w:numPr>
          <w:ilvl w:val="3"/>
          <w:numId w:val="253"/>
        </w:numPr>
        <w:tabs>
          <w:tab w:val="clear" w:pos="284"/>
        </w:tabs>
        <w:spacing w:before="0" w:line="240" w:lineRule="auto"/>
        <w:ind w:left="0" w:firstLine="0"/>
        <w:jc w:val="left"/>
        <w:rPr>
          <w:rFonts w:ascii="Times New Roman" w:hAnsi="Times New Roman" w:cs="Times New Roman"/>
          <w:color w:val="auto"/>
          <w:sz w:val="22"/>
        </w:rPr>
      </w:pPr>
      <w:r w:rsidRPr="00BC479C">
        <w:rPr>
          <w:rFonts w:ascii="Times New Roman" w:hAnsi="Times New Roman" w:cs="Times New Roman"/>
          <w:color w:val="auto"/>
          <w:sz w:val="22"/>
        </w:rPr>
        <w:t>Ochrona bierna</w:t>
      </w:r>
    </w:p>
    <w:p w14:paraId="58A48A83"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Rezystancja izolacji osłon ochronnych w odcinkach wzmacniakowych powinna spełniać następujące wymagania:</w:t>
      </w:r>
    </w:p>
    <w:p w14:paraId="3B62B7CE" w14:textId="77777777" w:rsidR="009D57D0" w:rsidRPr="00BC479C" w:rsidRDefault="009D57D0" w:rsidP="00904E6C">
      <w:pPr>
        <w:numPr>
          <w:ilvl w:val="0"/>
          <w:numId w:val="230"/>
        </w:numPr>
        <w:tabs>
          <w:tab w:val="clear" w:pos="283"/>
          <w:tab w:val="num" w:pos="0"/>
          <w:tab w:val="left" w:pos="633"/>
          <w:tab w:val="left" w:pos="993"/>
        </w:tabs>
        <w:suppressAutoHyphens/>
        <w:spacing w:after="0" w:line="240" w:lineRule="auto"/>
        <w:ind w:left="633" w:firstLine="0"/>
        <w:jc w:val="both"/>
        <w:rPr>
          <w:rFonts w:ascii="Times New Roman" w:hAnsi="Times New Roman" w:cs="Times New Roman"/>
        </w:rPr>
      </w:pPr>
      <w:r w:rsidRPr="00BC479C">
        <w:rPr>
          <w:rFonts w:ascii="Times New Roman" w:hAnsi="Times New Roman" w:cs="Times New Roman"/>
        </w:rPr>
        <w:t>na ułożonych odcinkach instalacyjnych, przed wykonaniem złączy, miedzy powłoką a pancerzem oraz między pancerzem a ziemią, co najmniej 1 Mohm/km - w przypadku osłon polietylenowych i 0,5 Mohm/km w przypadku osłon polwinitowych,</w:t>
      </w:r>
    </w:p>
    <w:p w14:paraId="5532291C" w14:textId="77777777" w:rsidR="009D57D0" w:rsidRPr="00BC479C" w:rsidRDefault="009D57D0" w:rsidP="00904E6C">
      <w:pPr>
        <w:numPr>
          <w:ilvl w:val="0"/>
          <w:numId w:val="230"/>
        </w:numPr>
        <w:tabs>
          <w:tab w:val="clear" w:pos="283"/>
          <w:tab w:val="num" w:pos="0"/>
          <w:tab w:val="left" w:pos="633"/>
          <w:tab w:val="left" w:pos="993"/>
        </w:tabs>
        <w:suppressAutoHyphens/>
        <w:spacing w:after="0" w:line="240" w:lineRule="auto"/>
        <w:ind w:left="633" w:firstLine="0"/>
        <w:jc w:val="both"/>
        <w:rPr>
          <w:rFonts w:ascii="Times New Roman" w:hAnsi="Times New Roman" w:cs="Times New Roman"/>
        </w:rPr>
      </w:pPr>
      <w:r w:rsidRPr="00BC479C">
        <w:rPr>
          <w:rFonts w:ascii="Times New Roman" w:hAnsi="Times New Roman" w:cs="Times New Roman"/>
        </w:rPr>
        <w:t>b) przy wprowadzeniu izolowanymi przewodami powłoki i pancerza na słupki pomiarowe, na zmontowanych odcinkach wzmacniakowych, między powłoką a pancerzem oraz między pancerzem a ziemią co najmniej 0,5 Mohm/km - w przypadku osłon polietylenowych i 0,1 Mohm/</w:t>
      </w:r>
      <w:r w:rsidRPr="00BC479C">
        <w:rPr>
          <w:rFonts w:ascii="Times New Roman" w:hAnsi="Times New Roman" w:cs="Times New Roman"/>
          <w:i/>
        </w:rPr>
        <w:t xml:space="preserve"> </w:t>
      </w:r>
      <w:r w:rsidRPr="00BC479C">
        <w:rPr>
          <w:rFonts w:ascii="Times New Roman" w:hAnsi="Times New Roman" w:cs="Times New Roman"/>
        </w:rPr>
        <w:t>km w przypadku osłon polwinitowych..</w:t>
      </w:r>
    </w:p>
    <w:p w14:paraId="005FF7C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Pomiary należy przeprowadzać przy temperaturze powietrza nie niższej niż 10°C i wilgotności względnej nie przekraczającej 80%.</w:t>
      </w:r>
    </w:p>
    <w:p w14:paraId="7CB0861E"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W wyjątkowych przypadkach braku badań fabrycznych w zakresie rezystancji izolacji osłon ochronnych dla odcinków instalacyjnych można odstąpić od tych wymagań dla wbudowanych odcinków kabli.</w:t>
      </w:r>
    </w:p>
    <w:p w14:paraId="1B163965" w14:textId="77777777" w:rsidR="009D57D0" w:rsidRPr="00BC479C" w:rsidRDefault="009D57D0" w:rsidP="00CE1E11">
      <w:pPr>
        <w:spacing w:after="0" w:line="240" w:lineRule="auto"/>
        <w:rPr>
          <w:rFonts w:ascii="Times New Roman" w:hAnsi="Times New Roman" w:cs="Times New Roman"/>
        </w:rPr>
      </w:pPr>
    </w:p>
    <w:p w14:paraId="3EA4895F"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 xml:space="preserve">Znakowanie i numeracja </w:t>
      </w:r>
    </w:p>
    <w:p w14:paraId="4936C566" w14:textId="77777777" w:rsidR="009D57D0" w:rsidRPr="00BC479C" w:rsidRDefault="009D57D0" w:rsidP="00CE1E11">
      <w:pPr>
        <w:spacing w:after="0" w:line="240" w:lineRule="auto"/>
        <w:rPr>
          <w:rFonts w:ascii="Times New Roman" w:hAnsi="Times New Roman" w:cs="Times New Roman"/>
        </w:rPr>
      </w:pPr>
    </w:p>
    <w:p w14:paraId="553FA342" w14:textId="77777777" w:rsidR="009D57D0" w:rsidRPr="00BC479C" w:rsidRDefault="009D57D0" w:rsidP="00904E6C">
      <w:pPr>
        <w:pStyle w:val="Nagwek3"/>
        <w:numPr>
          <w:ilvl w:val="2"/>
          <w:numId w:val="253"/>
        </w:numPr>
      </w:pPr>
      <w:r w:rsidRPr="00BC479C">
        <w:t xml:space="preserve">Wymagania ogólne </w:t>
      </w:r>
    </w:p>
    <w:p w14:paraId="05670694"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Trwałą. i wyraźną numerację należy umieszczać na szafkach kablowych, kablach, głowicach kablowych oraz puszkach i skrzynkach kablowych. Numerację należy wykonywać za pomocą. szablonów wg BN-7313238-08 lub w inny sposób zapewniający trwałość i czytelność. </w:t>
      </w:r>
    </w:p>
    <w:p w14:paraId="5C7408F2" w14:textId="77777777" w:rsidR="009D57D0" w:rsidRPr="00BC479C" w:rsidRDefault="009D57D0" w:rsidP="00CE1E11">
      <w:pPr>
        <w:widowControl w:val="0"/>
        <w:tabs>
          <w:tab w:val="left" w:pos="-1418"/>
        </w:tabs>
        <w:spacing w:after="0" w:line="240" w:lineRule="auto"/>
        <w:ind w:left="284"/>
        <w:rPr>
          <w:rFonts w:ascii="Times New Roman" w:hAnsi="Times New Roman" w:cs="Times New Roman"/>
        </w:rPr>
      </w:pPr>
      <w:r w:rsidRPr="00BC479C">
        <w:rPr>
          <w:rFonts w:ascii="Times New Roman" w:hAnsi="Times New Roman" w:cs="Times New Roman"/>
        </w:rPr>
        <w:tab/>
        <w:t xml:space="preserve">Podane poniżej zasady znakowania i numeracji dotyczą. telekomunikacyjnych sieci miejscowych i użytku publicznego. </w:t>
      </w:r>
    </w:p>
    <w:p w14:paraId="6A881A0E" w14:textId="77777777" w:rsidR="009D57D0" w:rsidRPr="00BC479C" w:rsidRDefault="009D57D0" w:rsidP="00CE1E11">
      <w:pPr>
        <w:spacing w:after="0" w:line="240" w:lineRule="auto"/>
        <w:rPr>
          <w:rFonts w:ascii="Times New Roman" w:hAnsi="Times New Roman" w:cs="Times New Roman"/>
        </w:rPr>
      </w:pPr>
    </w:p>
    <w:p w14:paraId="025C8BBE" w14:textId="77777777" w:rsidR="009D57D0" w:rsidRPr="00BC479C" w:rsidRDefault="009D57D0" w:rsidP="00904E6C">
      <w:pPr>
        <w:pStyle w:val="Nagwek2Title2"/>
        <w:numPr>
          <w:ilvl w:val="1"/>
          <w:numId w:val="366"/>
        </w:numPr>
        <w:tabs>
          <w:tab w:val="left" w:pos="66"/>
        </w:tabs>
        <w:rPr>
          <w:sz w:val="22"/>
          <w:szCs w:val="22"/>
        </w:rPr>
      </w:pPr>
      <w:r w:rsidRPr="00BC479C">
        <w:rPr>
          <w:sz w:val="22"/>
          <w:szCs w:val="22"/>
        </w:rPr>
        <w:t xml:space="preserve">Demontaż.  </w:t>
      </w:r>
    </w:p>
    <w:p w14:paraId="3369A6C8" w14:textId="77777777" w:rsidR="009D57D0" w:rsidRPr="00BC479C" w:rsidRDefault="009D57D0" w:rsidP="00CE1E11">
      <w:pPr>
        <w:spacing w:after="0" w:line="240" w:lineRule="auto"/>
        <w:rPr>
          <w:rFonts w:ascii="Times New Roman" w:hAnsi="Times New Roman" w:cs="Times New Roman"/>
        </w:rPr>
      </w:pPr>
    </w:p>
    <w:p w14:paraId="77300752"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Demontaż kabli miedzianych i optotelekomunikacyjnych polega na: </w:t>
      </w:r>
    </w:p>
    <w:p w14:paraId="0895BC45" w14:textId="77777777" w:rsidR="009D57D0" w:rsidRPr="00BC479C" w:rsidRDefault="009D57D0" w:rsidP="00904E6C">
      <w:pPr>
        <w:numPr>
          <w:ilvl w:val="0"/>
          <w:numId w:val="275"/>
        </w:numPr>
        <w:tabs>
          <w:tab w:val="clear" w:pos="283"/>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wyciągnięciu kabla z kanalizacji kablowej,</w:t>
      </w:r>
    </w:p>
    <w:p w14:paraId="736450B2"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6A78AE41" w14:textId="77777777" w:rsidR="009D57D0" w:rsidRPr="00BC479C" w:rsidRDefault="009D57D0" w:rsidP="00CE1E11">
      <w:pPr>
        <w:widowControl w:val="0"/>
        <w:tabs>
          <w:tab w:val="left" w:pos="204"/>
        </w:tabs>
        <w:spacing w:after="0" w:line="240" w:lineRule="auto"/>
        <w:rPr>
          <w:rFonts w:ascii="Times New Roman" w:hAnsi="Times New Roman" w:cs="Times New Roman"/>
        </w:rPr>
      </w:pPr>
      <w:r w:rsidRPr="00BC479C">
        <w:rPr>
          <w:rFonts w:ascii="Times New Roman" w:hAnsi="Times New Roman" w:cs="Times New Roman"/>
        </w:rPr>
        <w:t>Demontaż kanalizacji kablowej polega na:</w:t>
      </w:r>
    </w:p>
    <w:p w14:paraId="32C1DB8A"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odtworzeniu trasy przebiegu,</w:t>
      </w:r>
    </w:p>
    <w:p w14:paraId="52101480"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wykonaniu wykopu,</w:t>
      </w:r>
    </w:p>
    <w:p w14:paraId="4DEF4465"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rozebraniu nieczynnej kanalizacji,</w:t>
      </w:r>
    </w:p>
    <w:p w14:paraId="6F1FC4FC"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zasypaniu rowu,</w:t>
      </w:r>
    </w:p>
    <w:p w14:paraId="30D4DFC6"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uzupełnieniu niedoboru ziemi i piasku,</w:t>
      </w:r>
    </w:p>
    <w:p w14:paraId="71997BE1" w14:textId="77777777" w:rsidR="009D57D0" w:rsidRPr="00BC479C" w:rsidRDefault="009D57D0" w:rsidP="00904E6C">
      <w:pPr>
        <w:widowControl w:val="0"/>
        <w:numPr>
          <w:ilvl w:val="0"/>
          <w:numId w:val="252"/>
        </w:numPr>
        <w:tabs>
          <w:tab w:val="clear" w:pos="284"/>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wyrównaniu terenu.</w:t>
      </w:r>
    </w:p>
    <w:p w14:paraId="2832557C" w14:textId="77777777" w:rsidR="009D57D0" w:rsidRPr="00BC479C" w:rsidRDefault="009D57D0" w:rsidP="00CE1E11">
      <w:pPr>
        <w:widowControl w:val="0"/>
        <w:tabs>
          <w:tab w:val="left" w:pos="204"/>
        </w:tabs>
        <w:spacing w:after="0" w:line="240" w:lineRule="auto"/>
        <w:rPr>
          <w:rFonts w:ascii="Times New Roman" w:hAnsi="Times New Roman" w:cs="Times New Roman"/>
        </w:rPr>
      </w:pPr>
    </w:p>
    <w:p w14:paraId="2E063B82"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KONTROLA JAKOŚCI ROBÓT</w:t>
      </w:r>
    </w:p>
    <w:p w14:paraId="4025AC50" w14:textId="77777777" w:rsidR="009D57D0" w:rsidRPr="00BC479C" w:rsidRDefault="009D57D0" w:rsidP="00CE1E11">
      <w:pPr>
        <w:spacing w:after="0" w:line="240" w:lineRule="auto"/>
        <w:rPr>
          <w:rFonts w:ascii="Times New Roman" w:hAnsi="Times New Roman" w:cs="Times New Roman"/>
        </w:rPr>
      </w:pPr>
    </w:p>
    <w:p w14:paraId="00505AD9" w14:textId="77777777" w:rsidR="009D57D0" w:rsidRPr="00BC479C" w:rsidRDefault="009D57D0" w:rsidP="00904E6C">
      <w:pPr>
        <w:pStyle w:val="Nagwek2Title2"/>
        <w:numPr>
          <w:ilvl w:val="1"/>
          <w:numId w:val="253"/>
        </w:numPr>
        <w:tabs>
          <w:tab w:val="clear" w:pos="284"/>
          <w:tab w:val="num" w:pos="0"/>
          <w:tab w:val="left" w:pos="57"/>
        </w:tabs>
        <w:ind w:left="57" w:firstLine="0"/>
        <w:rPr>
          <w:sz w:val="22"/>
          <w:szCs w:val="22"/>
        </w:rPr>
      </w:pPr>
      <w:r w:rsidRPr="00BC479C">
        <w:rPr>
          <w:sz w:val="22"/>
          <w:szCs w:val="22"/>
        </w:rPr>
        <w:t xml:space="preserve">Zasady wykonania kontroli </w:t>
      </w:r>
    </w:p>
    <w:p w14:paraId="25B9EBE2"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Celem kontroli jest stwierdzenie osiągnięcia założeń jakości wykonywanych robót. Wykonawca robót ma obowiązek wykonania pełnego zakresu badań na budowie w celu zgodności dostarczonych materiałów i realizowanych robót z Dokumentacją Projektową.</w:t>
      </w:r>
    </w:p>
    <w:p w14:paraId="689B07A8"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 xml:space="preserve">Przed przystąpieniem do badania kabli teletechnicznych Wykonawca powinien powiadomić Kierownika Kontraktu o rodzaju i terminie badań. Po wykonaniu badania Wykonawca przedstawia na piśmie wyniki badań do akceptacji. </w:t>
      </w:r>
    </w:p>
    <w:p w14:paraId="1E8195FE"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lastRenderedPageBreak/>
        <w:t>Wykonawca powiadamia pisemnie o zakończeniu każdej roboty zanikającej, którą może kontynuować dopiero po pisemnej akceptacji odbioru przez Kierownika Kontraktu.</w:t>
      </w:r>
    </w:p>
    <w:p w14:paraId="6C640291"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Kontrola jakości robót telekomunikacyjnych powinna odbywać się w obecności właścicieli poszczególnej infrastruktury telekomunikacyjnej</w:t>
      </w:r>
    </w:p>
    <w:p w14:paraId="53C377F3" w14:textId="77777777" w:rsidR="009D57D0" w:rsidRPr="00CE1E11" w:rsidRDefault="009D57D0" w:rsidP="00CE1E11">
      <w:pPr>
        <w:pStyle w:val="Nagwek1Title1"/>
        <w:numPr>
          <w:ilvl w:val="0"/>
          <w:numId w:val="0"/>
        </w:numPr>
        <w:ind w:left="720"/>
        <w:jc w:val="both"/>
        <w:rPr>
          <w:sz w:val="22"/>
          <w:szCs w:val="22"/>
        </w:rPr>
      </w:pPr>
    </w:p>
    <w:p w14:paraId="0CDD881C"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OBMIAR ROBÓT</w:t>
      </w:r>
    </w:p>
    <w:p w14:paraId="29BB640E" w14:textId="77777777" w:rsidR="009D57D0" w:rsidRPr="00BC479C" w:rsidRDefault="009D57D0" w:rsidP="00CE1E11">
      <w:pPr>
        <w:spacing w:after="0" w:line="240" w:lineRule="auto"/>
        <w:rPr>
          <w:rFonts w:ascii="Times New Roman" w:hAnsi="Times New Roman" w:cs="Times New Roman"/>
        </w:rPr>
      </w:pPr>
    </w:p>
    <w:p w14:paraId="14FA2450"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Ogólne wymagania dotyczące obmiaru robót podano w SST DM.00.00.00 “Wymagania Ogólne”.</w:t>
      </w:r>
    </w:p>
    <w:p w14:paraId="5B4FBF84"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Jednostka obmiarową demontażu kabli optotelekomunikacyjnych jest 1 km [kilometr].</w:t>
      </w:r>
    </w:p>
    <w:p w14:paraId="1D731C79"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Jednostka obmiarową demontażu kabli miedzianych jest 1 m [metr].</w:t>
      </w:r>
    </w:p>
    <w:p w14:paraId="6418088D"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Jednostką obmiarową budowy kanału technologicznego  jest 1 m [metr].</w:t>
      </w:r>
    </w:p>
    <w:p w14:paraId="090CE4B7"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Jednostką obmiarową budowy studni jest 1 szt. [sztuka].</w:t>
      </w:r>
    </w:p>
    <w:p w14:paraId="4EAEEBA3"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Jednostka obmiarową montażu kabli optotelekomunikacyjnych jest 1 km [kilometr].</w:t>
      </w:r>
    </w:p>
    <w:p w14:paraId="2792BE08"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Jednostka obmiarową montażu kabli miedzianych jest 1 m [metr].</w:t>
      </w:r>
    </w:p>
    <w:p w14:paraId="43910F60"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Jednostką obmiarową montażu złączy jest 1 szt. [sztuka].</w:t>
      </w:r>
    </w:p>
    <w:p w14:paraId="2F07A0E1"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Jednostka obmiarową pomiarów jest 1 odc. [odcinek].</w:t>
      </w:r>
    </w:p>
    <w:p w14:paraId="52B3AAC2" w14:textId="77777777" w:rsidR="009D57D0" w:rsidRPr="00CE1E11" w:rsidRDefault="009D57D0" w:rsidP="00CE1E11">
      <w:pPr>
        <w:pStyle w:val="Nagwek1Title1"/>
        <w:numPr>
          <w:ilvl w:val="0"/>
          <w:numId w:val="0"/>
        </w:numPr>
        <w:ind w:left="720"/>
        <w:jc w:val="both"/>
        <w:rPr>
          <w:sz w:val="22"/>
          <w:szCs w:val="22"/>
        </w:rPr>
      </w:pPr>
    </w:p>
    <w:p w14:paraId="51AAB835"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ODBIÓR ROBÓT</w:t>
      </w:r>
    </w:p>
    <w:p w14:paraId="1D699A07" w14:textId="77777777" w:rsidR="009D57D0" w:rsidRPr="00BC479C" w:rsidRDefault="009D57D0" w:rsidP="00CE1E11">
      <w:pPr>
        <w:spacing w:after="0" w:line="240" w:lineRule="auto"/>
        <w:rPr>
          <w:rFonts w:ascii="Times New Roman" w:hAnsi="Times New Roman" w:cs="Times New Roman"/>
        </w:rPr>
      </w:pPr>
    </w:p>
    <w:p w14:paraId="7746D109"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Po wykonaniu kanalizacji teletechnicznej w celu przekazania do eksploatacji, Wykonawca zobowiązany jest dostarczyć Kierownikowi Robót następujące dokumenty:</w:t>
      </w:r>
    </w:p>
    <w:p w14:paraId="72CE45F2" w14:textId="77777777" w:rsidR="009D57D0" w:rsidRPr="00BC479C" w:rsidRDefault="009D57D0" w:rsidP="00904E6C">
      <w:pPr>
        <w:numPr>
          <w:ilvl w:val="0"/>
          <w:numId w:val="255"/>
        </w:numPr>
        <w:tabs>
          <w:tab w:val="clear" w:pos="283"/>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aktualną powykonawczą dokumentację techniczną,</w:t>
      </w:r>
    </w:p>
    <w:p w14:paraId="6E5E4288" w14:textId="77777777" w:rsidR="009D57D0" w:rsidRPr="00BC479C" w:rsidRDefault="009D57D0" w:rsidP="00904E6C">
      <w:pPr>
        <w:numPr>
          <w:ilvl w:val="0"/>
          <w:numId w:val="255"/>
        </w:numPr>
        <w:tabs>
          <w:tab w:val="clear" w:pos="283"/>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geodezyjną dokumentację powykonawczą,</w:t>
      </w:r>
    </w:p>
    <w:p w14:paraId="312B51B8" w14:textId="77777777" w:rsidR="009D57D0" w:rsidRPr="00BC479C" w:rsidRDefault="009D57D0" w:rsidP="00904E6C">
      <w:pPr>
        <w:numPr>
          <w:ilvl w:val="0"/>
          <w:numId w:val="255"/>
        </w:numPr>
        <w:tabs>
          <w:tab w:val="clear" w:pos="283"/>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protokoły z dokonanych pomiarów,</w:t>
      </w:r>
    </w:p>
    <w:p w14:paraId="65EAD27D" w14:textId="77777777" w:rsidR="009D57D0" w:rsidRPr="00BC479C" w:rsidRDefault="009D57D0" w:rsidP="00904E6C">
      <w:pPr>
        <w:numPr>
          <w:ilvl w:val="0"/>
          <w:numId w:val="255"/>
        </w:numPr>
        <w:tabs>
          <w:tab w:val="clear" w:pos="283"/>
          <w:tab w:val="left" w:pos="0"/>
          <w:tab w:val="left" w:pos="360"/>
        </w:tabs>
        <w:suppressAutoHyphens/>
        <w:spacing w:after="0" w:line="240" w:lineRule="auto"/>
        <w:ind w:left="0" w:firstLine="0"/>
        <w:jc w:val="both"/>
        <w:rPr>
          <w:rFonts w:ascii="Times New Roman" w:hAnsi="Times New Roman" w:cs="Times New Roman"/>
        </w:rPr>
      </w:pPr>
      <w:r w:rsidRPr="00BC479C">
        <w:rPr>
          <w:rFonts w:ascii="Times New Roman" w:hAnsi="Times New Roman" w:cs="Times New Roman"/>
        </w:rPr>
        <w:t>protokół odbioru robót zanikających,</w:t>
      </w:r>
    </w:p>
    <w:p w14:paraId="7C99ECA8" w14:textId="77777777" w:rsidR="009D57D0" w:rsidRPr="00BC479C" w:rsidRDefault="009D57D0" w:rsidP="00904E6C">
      <w:pPr>
        <w:numPr>
          <w:ilvl w:val="0"/>
          <w:numId w:val="355"/>
        </w:numPr>
        <w:tabs>
          <w:tab w:val="left" w:pos="0"/>
          <w:tab w:val="left" w:pos="360"/>
        </w:tabs>
        <w:suppressAutoHyphens/>
        <w:spacing w:after="0" w:line="240" w:lineRule="auto"/>
        <w:jc w:val="both"/>
        <w:rPr>
          <w:rFonts w:ascii="Times New Roman" w:hAnsi="Times New Roman" w:cs="Times New Roman"/>
        </w:rPr>
      </w:pPr>
      <w:r w:rsidRPr="00BC479C">
        <w:rPr>
          <w:rFonts w:ascii="Times New Roman" w:hAnsi="Times New Roman" w:cs="Times New Roman"/>
        </w:rPr>
        <w:t>protokół odbioru robót przez poszczególnych właścicieli urządzeń teletechnicznych</w:t>
      </w:r>
    </w:p>
    <w:p w14:paraId="3818F4C6" w14:textId="77777777" w:rsidR="009D57D0" w:rsidRPr="00BC479C" w:rsidRDefault="009D57D0" w:rsidP="00CE1E11">
      <w:pPr>
        <w:spacing w:after="0" w:line="240" w:lineRule="auto"/>
        <w:rPr>
          <w:rFonts w:ascii="Times New Roman" w:hAnsi="Times New Roman" w:cs="Times New Roman"/>
          <w:b/>
          <w:caps/>
        </w:rPr>
      </w:pPr>
    </w:p>
    <w:p w14:paraId="307320A1" w14:textId="77777777" w:rsidR="009D57D0" w:rsidRPr="00BC479C" w:rsidRDefault="009D57D0" w:rsidP="00904E6C">
      <w:pPr>
        <w:pStyle w:val="Nagwek2Title2"/>
        <w:numPr>
          <w:ilvl w:val="1"/>
          <w:numId w:val="253"/>
        </w:numPr>
        <w:tabs>
          <w:tab w:val="clear" w:pos="284"/>
          <w:tab w:val="num" w:pos="0"/>
          <w:tab w:val="left" w:pos="57"/>
        </w:tabs>
        <w:ind w:left="57" w:firstLine="0"/>
        <w:rPr>
          <w:sz w:val="22"/>
          <w:szCs w:val="22"/>
        </w:rPr>
      </w:pPr>
      <w:r w:rsidRPr="00BC479C">
        <w:rPr>
          <w:sz w:val="22"/>
          <w:szCs w:val="22"/>
        </w:rPr>
        <w:t>Ogólne ustalenia dotyczące płatności</w:t>
      </w:r>
    </w:p>
    <w:p w14:paraId="4BB78C04" w14:textId="77777777" w:rsidR="009D57D0" w:rsidRPr="00BC479C" w:rsidRDefault="009D57D0" w:rsidP="00CE1E11">
      <w:pPr>
        <w:spacing w:after="0" w:line="240" w:lineRule="auto"/>
        <w:rPr>
          <w:rFonts w:ascii="Times New Roman" w:hAnsi="Times New Roman" w:cs="Times New Roman"/>
          <w:b/>
          <w:caps/>
        </w:rPr>
      </w:pPr>
    </w:p>
    <w:p w14:paraId="5B8352E3"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Ogólne ustalenia dotyczące płatności podano w STWiORB D-M.00.00.00.  “Wymagania Ogólne”.</w:t>
      </w:r>
    </w:p>
    <w:p w14:paraId="580FBBB6" w14:textId="77777777" w:rsidR="009D57D0" w:rsidRPr="00BC479C" w:rsidRDefault="009D57D0" w:rsidP="00CE1E11">
      <w:pPr>
        <w:spacing w:after="0" w:line="240" w:lineRule="auto"/>
        <w:rPr>
          <w:rFonts w:ascii="Times New Roman" w:hAnsi="Times New Roman" w:cs="Times New Roman"/>
          <w:b/>
          <w:caps/>
        </w:rPr>
      </w:pPr>
    </w:p>
    <w:p w14:paraId="6EA10883" w14:textId="77777777" w:rsidR="009D57D0" w:rsidRPr="00BC479C" w:rsidRDefault="009D57D0" w:rsidP="00904E6C">
      <w:pPr>
        <w:pStyle w:val="Nagwek2Title2"/>
        <w:numPr>
          <w:ilvl w:val="1"/>
          <w:numId w:val="253"/>
        </w:numPr>
        <w:tabs>
          <w:tab w:val="clear" w:pos="284"/>
          <w:tab w:val="num" w:pos="0"/>
          <w:tab w:val="left" w:pos="57"/>
        </w:tabs>
        <w:ind w:left="57" w:firstLine="0"/>
        <w:rPr>
          <w:sz w:val="22"/>
          <w:szCs w:val="22"/>
        </w:rPr>
      </w:pPr>
      <w:r w:rsidRPr="00BC479C">
        <w:rPr>
          <w:sz w:val="22"/>
          <w:szCs w:val="22"/>
        </w:rPr>
        <w:t>Cena jednostki obmiarowej</w:t>
      </w:r>
    </w:p>
    <w:p w14:paraId="32D069CD"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Płatność tą ustala się na podstawie obmiaru oceny jakości wykonanych robót, atestów producenta urządzeń, oględzin i pomiarów sprawdzających oraz zgodnie z określeniami podanymi w p. 7.</w:t>
      </w:r>
    </w:p>
    <w:p w14:paraId="007799A5" w14:textId="77777777" w:rsidR="009D57D0" w:rsidRPr="00BC479C" w:rsidRDefault="009D57D0" w:rsidP="00CE1E11">
      <w:pPr>
        <w:spacing w:after="0" w:line="240" w:lineRule="auto"/>
        <w:rPr>
          <w:rFonts w:ascii="Times New Roman" w:hAnsi="Times New Roman" w:cs="Times New Roman"/>
        </w:rPr>
      </w:pPr>
      <w:r w:rsidRPr="00BC479C">
        <w:rPr>
          <w:rFonts w:ascii="Times New Roman" w:hAnsi="Times New Roman" w:cs="Times New Roman"/>
        </w:rPr>
        <w:t>Cena jednostkowa jest cena uśredniona dla podanego sposobu wykonania i obejmuje:</w:t>
      </w:r>
    </w:p>
    <w:p w14:paraId="074DFCF3" w14:textId="77777777" w:rsidR="009D57D0" w:rsidRPr="00DF17EA" w:rsidRDefault="009D57D0" w:rsidP="00904E6C">
      <w:pPr>
        <w:pStyle w:val="Akapitzlist"/>
        <w:numPr>
          <w:ilvl w:val="0"/>
          <w:numId w:val="367"/>
        </w:numPr>
        <w:tabs>
          <w:tab w:val="left" w:pos="705"/>
          <w:tab w:val="left" w:pos="1065"/>
        </w:tabs>
        <w:suppressAutoHyphens/>
      </w:pPr>
      <w:r w:rsidRPr="00DF17EA">
        <w:t>opracowanie Projektu Technologii i Organizacji robót oraz Programu Zapewnienia Jakości</w:t>
      </w:r>
    </w:p>
    <w:p w14:paraId="55EDBDFC"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roboty przygotowawcze,</w:t>
      </w:r>
    </w:p>
    <w:p w14:paraId="1C9E4B5F"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dostarczenie i budowa nowej kanalizacji i rurociągu</w:t>
      </w:r>
    </w:p>
    <w:p w14:paraId="7FBE3CFF"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uruchomienie przebudowywanych urządzeń,</w:t>
      </w:r>
    </w:p>
    <w:p w14:paraId="4036F966"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wykonanie inwentaryzacji urządzeń telekomunikacyjnych przeprowadzenie prób i konserwowanie urządzeń wynikające z niniejszej SST</w:t>
      </w:r>
    </w:p>
    <w:p w14:paraId="180A9426"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demontaż istniejących urządzeń.</w:t>
      </w:r>
    </w:p>
    <w:p w14:paraId="68E24454"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koszt nadzoru branży</w:t>
      </w:r>
    </w:p>
    <w:p w14:paraId="4B643224"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koszt nadzoru użytkownika</w:t>
      </w:r>
    </w:p>
    <w:p w14:paraId="5DE470EF"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roboty odtworzeniowe związane z przebudową a nie ujęte w innych branżach</w:t>
      </w:r>
    </w:p>
    <w:p w14:paraId="1FCD6335" w14:textId="77777777" w:rsidR="009D57D0" w:rsidRPr="00BC479C" w:rsidRDefault="009D57D0" w:rsidP="00904E6C">
      <w:pPr>
        <w:numPr>
          <w:ilvl w:val="0"/>
          <w:numId w:val="367"/>
        </w:numPr>
        <w:tabs>
          <w:tab w:val="left" w:pos="705"/>
          <w:tab w:val="left" w:pos="1065"/>
        </w:tabs>
        <w:suppressAutoHyphens/>
        <w:spacing w:after="0" w:line="240" w:lineRule="auto"/>
        <w:jc w:val="both"/>
        <w:rPr>
          <w:rFonts w:ascii="Times New Roman" w:hAnsi="Times New Roman" w:cs="Times New Roman"/>
        </w:rPr>
      </w:pPr>
      <w:r w:rsidRPr="00BC479C">
        <w:rPr>
          <w:rFonts w:ascii="Times New Roman" w:hAnsi="Times New Roman" w:cs="Times New Roman"/>
        </w:rPr>
        <w:t>inne prace niezbędne do budowy linii</w:t>
      </w:r>
    </w:p>
    <w:p w14:paraId="2563AEB0" w14:textId="77777777" w:rsidR="009D57D0" w:rsidRPr="00BC479C" w:rsidRDefault="009D57D0" w:rsidP="00CE1E11">
      <w:pPr>
        <w:spacing w:after="0" w:line="240" w:lineRule="auto"/>
        <w:rPr>
          <w:rFonts w:ascii="Times New Roman" w:hAnsi="Times New Roman" w:cs="Times New Roman"/>
        </w:rPr>
      </w:pPr>
    </w:p>
    <w:p w14:paraId="7C3165E2" w14:textId="77777777" w:rsidR="009D57D0" w:rsidRPr="00022365" w:rsidRDefault="009D57D0" w:rsidP="00904E6C">
      <w:pPr>
        <w:pStyle w:val="Nagwek2Title2"/>
        <w:numPr>
          <w:ilvl w:val="0"/>
          <w:numId w:val="366"/>
        </w:numPr>
        <w:tabs>
          <w:tab w:val="left" w:pos="57"/>
        </w:tabs>
        <w:rPr>
          <w:b/>
          <w:sz w:val="22"/>
          <w:szCs w:val="22"/>
        </w:rPr>
      </w:pPr>
      <w:r w:rsidRPr="00022365">
        <w:rPr>
          <w:b/>
          <w:sz w:val="22"/>
          <w:szCs w:val="22"/>
        </w:rPr>
        <w:t>Przepisy związane</w:t>
      </w:r>
    </w:p>
    <w:p w14:paraId="0E1E880A" w14:textId="77777777" w:rsidR="009D57D0" w:rsidRPr="00BC479C" w:rsidRDefault="009D57D0" w:rsidP="00CE1E11">
      <w:pPr>
        <w:spacing w:after="0" w:line="240" w:lineRule="auto"/>
        <w:rPr>
          <w:rFonts w:ascii="Times New Roman" w:hAnsi="Times New Roman" w:cs="Times New Roman"/>
        </w:rPr>
      </w:pPr>
    </w:p>
    <w:p w14:paraId="4455A1B4" w14:textId="77777777" w:rsidR="009D57D0" w:rsidRPr="00BC479C" w:rsidRDefault="009D57D0" w:rsidP="00904E6C">
      <w:pPr>
        <w:pStyle w:val="Nagwek2Title2"/>
        <w:numPr>
          <w:ilvl w:val="1"/>
          <w:numId w:val="253"/>
        </w:numPr>
        <w:tabs>
          <w:tab w:val="clear" w:pos="284"/>
          <w:tab w:val="num" w:pos="0"/>
          <w:tab w:val="left" w:pos="57"/>
        </w:tabs>
        <w:ind w:left="57" w:firstLine="0"/>
        <w:rPr>
          <w:sz w:val="22"/>
          <w:szCs w:val="22"/>
        </w:rPr>
      </w:pPr>
      <w:r w:rsidRPr="00BC479C">
        <w:rPr>
          <w:sz w:val="22"/>
          <w:szCs w:val="22"/>
        </w:rPr>
        <w:t>Normy</w:t>
      </w:r>
    </w:p>
    <w:p w14:paraId="24294777" w14:textId="77777777" w:rsidR="009D57D0" w:rsidRPr="00BC479C" w:rsidRDefault="009D57D0" w:rsidP="00CE1E11">
      <w:pPr>
        <w:spacing w:after="0" w:line="240" w:lineRule="auto"/>
        <w:rPr>
          <w:rFonts w:ascii="Times New Roman" w:hAnsi="Times New Roman" w:cs="Times New Roman"/>
          <w:b/>
          <w:caps/>
        </w:rPr>
      </w:pPr>
    </w:p>
    <w:p w14:paraId="5EA7683C"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PN-B-11113</w:t>
      </w:r>
      <w:r w:rsidRPr="00BC479C">
        <w:rPr>
          <w:rFonts w:ascii="Times New Roman" w:hAnsi="Times New Roman"/>
          <w:szCs w:val="22"/>
        </w:rPr>
        <w:tab/>
      </w:r>
      <w:r w:rsidRPr="00BC479C">
        <w:rPr>
          <w:rFonts w:ascii="Times New Roman" w:hAnsi="Times New Roman"/>
          <w:szCs w:val="22"/>
        </w:rPr>
        <w:tab/>
        <w:t>Kruszywa naturalne do nawierzchni drogowych; piasek.</w:t>
      </w:r>
    </w:p>
    <w:p w14:paraId="5756B4FD"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 xml:space="preserve">PN-88/B-32250 </w:t>
      </w:r>
      <w:r w:rsidRPr="00BC479C">
        <w:rPr>
          <w:rFonts w:ascii="Times New Roman" w:hAnsi="Times New Roman"/>
          <w:szCs w:val="22"/>
        </w:rPr>
        <w:tab/>
      </w:r>
      <w:r w:rsidRPr="00BC479C">
        <w:rPr>
          <w:rFonts w:ascii="Times New Roman" w:hAnsi="Times New Roman"/>
          <w:szCs w:val="22"/>
        </w:rPr>
        <w:tab/>
        <w:t>Materiały budowlane. Woda do betonów i zapraw.</w:t>
      </w:r>
    </w:p>
    <w:p w14:paraId="346A3D08" w14:textId="77777777" w:rsidR="009D57D0" w:rsidRPr="00BC479C" w:rsidRDefault="009D57D0" w:rsidP="00904E6C">
      <w:pPr>
        <w:pStyle w:val="Normalny-SANKAT"/>
        <w:numPr>
          <w:ilvl w:val="0"/>
          <w:numId w:val="360"/>
        </w:numPr>
        <w:spacing w:before="0"/>
        <w:rPr>
          <w:rFonts w:ascii="Times New Roman" w:hAnsi="Times New Roman"/>
          <w:szCs w:val="22"/>
          <w:lang w:val="de-DE"/>
        </w:rPr>
      </w:pPr>
      <w:r w:rsidRPr="00BC479C">
        <w:rPr>
          <w:rFonts w:ascii="Times New Roman" w:hAnsi="Times New Roman"/>
          <w:szCs w:val="22"/>
          <w:lang w:val="de-DE"/>
        </w:rPr>
        <w:tab/>
        <w:t>PN-EN 206-1</w:t>
      </w:r>
      <w:r w:rsidRPr="00BC479C">
        <w:rPr>
          <w:rFonts w:ascii="Times New Roman" w:hAnsi="Times New Roman"/>
          <w:szCs w:val="22"/>
          <w:lang w:val="de-DE"/>
        </w:rPr>
        <w:tab/>
      </w:r>
      <w:r w:rsidRPr="00BC479C">
        <w:rPr>
          <w:rFonts w:ascii="Times New Roman" w:hAnsi="Times New Roman"/>
          <w:szCs w:val="22"/>
          <w:lang w:val="de-DE"/>
        </w:rPr>
        <w:tab/>
        <w:t>Beton zwykły.</w:t>
      </w:r>
    </w:p>
    <w:p w14:paraId="6AB41DB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lastRenderedPageBreak/>
        <w:tab/>
        <w:t>BN-85/8984-01</w:t>
      </w:r>
      <w:r w:rsidRPr="00BC479C">
        <w:rPr>
          <w:rFonts w:ascii="Times New Roman" w:hAnsi="Times New Roman"/>
          <w:szCs w:val="22"/>
        </w:rPr>
        <w:tab/>
      </w:r>
      <w:r w:rsidRPr="00BC479C">
        <w:rPr>
          <w:rFonts w:ascii="Times New Roman" w:hAnsi="Times New Roman"/>
          <w:szCs w:val="22"/>
        </w:rPr>
        <w:tab/>
        <w:t xml:space="preserve">Telekomunikacyjne sieci kablowe miejscowe. Studnie kablowe. </w:t>
      </w:r>
    </w:p>
    <w:p w14:paraId="1AE3FB93" w14:textId="77777777" w:rsidR="009D57D0" w:rsidRPr="00BC479C" w:rsidRDefault="009D57D0" w:rsidP="00CE1E11">
      <w:pPr>
        <w:pStyle w:val="Normalny-SANKAT"/>
        <w:spacing w:before="0"/>
        <w:ind w:left="720"/>
        <w:rPr>
          <w:rFonts w:ascii="Times New Roman" w:hAnsi="Times New Roman"/>
          <w:szCs w:val="22"/>
        </w:rPr>
      </w:pPr>
      <w:r w:rsidRPr="00BC479C">
        <w:rPr>
          <w:rFonts w:ascii="Times New Roman" w:hAnsi="Times New Roman"/>
          <w:szCs w:val="22"/>
        </w:rPr>
        <w:t xml:space="preserve">Klasyfikacja i wymiary </w:t>
      </w:r>
    </w:p>
    <w:p w14:paraId="3736FBF0"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BN-74/3233-15</w:t>
      </w:r>
      <w:r w:rsidRPr="00BC479C">
        <w:rPr>
          <w:rFonts w:ascii="Times New Roman" w:hAnsi="Times New Roman"/>
          <w:szCs w:val="22"/>
        </w:rPr>
        <w:tab/>
      </w:r>
      <w:r w:rsidRPr="00BC479C">
        <w:rPr>
          <w:rFonts w:ascii="Times New Roman" w:hAnsi="Times New Roman"/>
          <w:szCs w:val="22"/>
        </w:rPr>
        <w:tab/>
        <w:t>Bloki betonowe płaskie.</w:t>
      </w:r>
    </w:p>
    <w:p w14:paraId="536BEF3E"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BN-80/C-89205</w:t>
      </w:r>
      <w:r w:rsidRPr="00BC479C">
        <w:rPr>
          <w:rFonts w:ascii="Times New Roman" w:hAnsi="Times New Roman"/>
          <w:szCs w:val="22"/>
        </w:rPr>
        <w:tab/>
      </w:r>
      <w:r w:rsidRPr="00BC479C">
        <w:rPr>
          <w:rFonts w:ascii="Times New Roman" w:hAnsi="Times New Roman"/>
          <w:szCs w:val="22"/>
        </w:rPr>
        <w:tab/>
        <w:t>Rury z nieplastyfikowanego polichlorku winylu (PCW)</w:t>
      </w:r>
    </w:p>
    <w:p w14:paraId="6EC5FB2E"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PN-98/S-02205</w:t>
      </w:r>
      <w:r w:rsidRPr="00BC479C">
        <w:rPr>
          <w:rFonts w:ascii="Times New Roman" w:hAnsi="Times New Roman"/>
          <w:szCs w:val="22"/>
        </w:rPr>
        <w:tab/>
      </w:r>
      <w:r w:rsidRPr="00BC479C">
        <w:rPr>
          <w:rFonts w:ascii="Times New Roman" w:hAnsi="Times New Roman"/>
          <w:szCs w:val="22"/>
        </w:rPr>
        <w:tab/>
        <w:t>Roboty ziemne.</w:t>
      </w:r>
    </w:p>
    <w:p w14:paraId="3C4215DD"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BN-73/8984-05</w:t>
      </w:r>
      <w:r w:rsidRPr="00BC479C">
        <w:rPr>
          <w:rFonts w:ascii="Times New Roman" w:hAnsi="Times New Roman"/>
          <w:szCs w:val="22"/>
        </w:rPr>
        <w:tab/>
      </w:r>
      <w:r w:rsidRPr="00BC479C">
        <w:rPr>
          <w:rFonts w:ascii="Times New Roman" w:hAnsi="Times New Roman"/>
          <w:szCs w:val="22"/>
        </w:rPr>
        <w:tab/>
        <w:t>Kanalizacja kablowa. Ogólne wymagania i badania.</w:t>
      </w:r>
    </w:p>
    <w:p w14:paraId="4E4D8664"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BN-76/3238-13</w:t>
      </w:r>
      <w:r w:rsidRPr="00BC479C">
        <w:rPr>
          <w:rFonts w:ascii="Times New Roman" w:hAnsi="Times New Roman"/>
          <w:szCs w:val="22"/>
        </w:rPr>
        <w:tab/>
      </w:r>
      <w:r w:rsidRPr="00BC479C">
        <w:rPr>
          <w:rFonts w:ascii="Times New Roman" w:hAnsi="Times New Roman"/>
          <w:szCs w:val="22"/>
        </w:rPr>
        <w:tab/>
        <w:t>Narzędzia teletechniczne i przybory pomocnicze. Sprawdzian do układania bloków betonowych</w:t>
      </w:r>
    </w:p>
    <w:p w14:paraId="0F2992A2"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PN-83/T-90331</w:t>
      </w:r>
      <w:r w:rsidRPr="00BC479C">
        <w:rPr>
          <w:rFonts w:ascii="Times New Roman" w:hAnsi="Times New Roman"/>
          <w:szCs w:val="22"/>
        </w:rPr>
        <w:tab/>
      </w:r>
      <w:r w:rsidRPr="00BC479C">
        <w:rPr>
          <w:rFonts w:ascii="Times New Roman" w:hAnsi="Times New Roman"/>
          <w:szCs w:val="22"/>
        </w:rPr>
        <w:tab/>
        <w:t>Telekomunikacyjne kable miejscowe z wiązkami czwórkowymi, pęczkowe, o izolacji polietylenowej z zaporą przeciwwilgociową,nieopancerzone i opancerzone, osłoną polietylenową lub polwinitow</w:t>
      </w:r>
    </w:p>
    <w:p w14:paraId="48EAFE55"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PN-83/T-90330</w:t>
      </w:r>
      <w:r w:rsidRPr="00BC479C">
        <w:rPr>
          <w:rFonts w:ascii="Times New Roman" w:hAnsi="Times New Roman"/>
          <w:szCs w:val="22"/>
        </w:rPr>
        <w:tab/>
      </w:r>
      <w:r w:rsidRPr="00BC479C">
        <w:rPr>
          <w:rFonts w:ascii="Times New Roman" w:hAnsi="Times New Roman"/>
          <w:szCs w:val="22"/>
        </w:rPr>
        <w:tab/>
        <w:t>Telekomunikacyjne kable miejscowe z wiązkami czwórkowymi, pęczkowe, o izolacji polietylenowej. Ogólne wymagania i badania.</w:t>
      </w:r>
    </w:p>
    <w:p w14:paraId="7A2BE688"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BN-80/3231-25</w:t>
      </w:r>
      <w:r w:rsidRPr="00BC479C">
        <w:rPr>
          <w:rFonts w:ascii="Times New Roman" w:hAnsi="Times New Roman"/>
          <w:szCs w:val="22"/>
        </w:rPr>
        <w:tab/>
      </w:r>
      <w:r w:rsidRPr="00BC479C">
        <w:rPr>
          <w:rFonts w:ascii="Times New Roman" w:hAnsi="Times New Roman"/>
          <w:szCs w:val="22"/>
        </w:rPr>
        <w:tab/>
        <w:t>Skrzynka kablowa 10/20.</w:t>
      </w:r>
    </w:p>
    <w:p w14:paraId="0137DF94"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BN-65/8984-11</w:t>
      </w:r>
      <w:r w:rsidRPr="00BC479C">
        <w:rPr>
          <w:rFonts w:ascii="Times New Roman" w:hAnsi="Times New Roman"/>
          <w:szCs w:val="22"/>
        </w:rPr>
        <w:tab/>
      </w:r>
      <w:r w:rsidRPr="00BC479C">
        <w:rPr>
          <w:rFonts w:ascii="Times New Roman" w:hAnsi="Times New Roman"/>
          <w:szCs w:val="22"/>
        </w:rPr>
        <w:tab/>
        <w:t>Złącze lutowane. Wymagania techniczne.</w:t>
      </w:r>
    </w:p>
    <w:p w14:paraId="5788E118"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BN-87/8984-17</w:t>
      </w:r>
      <w:r w:rsidRPr="00BC479C">
        <w:rPr>
          <w:rFonts w:ascii="Times New Roman" w:hAnsi="Times New Roman"/>
          <w:szCs w:val="22"/>
        </w:rPr>
        <w:tab/>
      </w:r>
      <w:r w:rsidRPr="00BC479C">
        <w:rPr>
          <w:rFonts w:ascii="Times New Roman" w:hAnsi="Times New Roman"/>
          <w:szCs w:val="22"/>
        </w:rPr>
        <w:tab/>
        <w:t>Telekomunikacyjne sieci miejscowe. Ogólne wymagania.</w:t>
      </w:r>
    </w:p>
    <w:p w14:paraId="393035A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PN-76/E05125</w:t>
      </w:r>
      <w:r w:rsidRPr="00BC479C">
        <w:rPr>
          <w:rFonts w:ascii="Times New Roman" w:hAnsi="Times New Roman"/>
          <w:szCs w:val="22"/>
        </w:rPr>
        <w:tab/>
      </w:r>
      <w:r w:rsidRPr="00BC479C">
        <w:rPr>
          <w:rFonts w:ascii="Times New Roman" w:hAnsi="Times New Roman"/>
          <w:szCs w:val="22"/>
        </w:rPr>
        <w:tab/>
        <w:t>Elektroenergetyczne i sygnalizacyjne linie kablowe. Projektowanie i budowa.</w:t>
      </w:r>
    </w:p>
    <w:p w14:paraId="0986339D"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BN-73/3238-08</w:t>
      </w:r>
      <w:r w:rsidRPr="00BC479C">
        <w:rPr>
          <w:rFonts w:ascii="Times New Roman" w:hAnsi="Times New Roman"/>
          <w:szCs w:val="22"/>
        </w:rPr>
        <w:tab/>
      </w:r>
      <w:r w:rsidRPr="00BC479C">
        <w:rPr>
          <w:rFonts w:ascii="Times New Roman" w:hAnsi="Times New Roman"/>
          <w:szCs w:val="22"/>
        </w:rPr>
        <w:tab/>
        <w:t>Telekomunikacyjne linie napowietrzne i kablowe sieci miejskiej. Szablony do znakowania.</w:t>
      </w:r>
    </w:p>
    <w:p w14:paraId="7C76C48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BN-72/3233-13</w:t>
      </w:r>
      <w:r w:rsidRPr="00BC479C">
        <w:rPr>
          <w:rFonts w:ascii="Times New Roman" w:hAnsi="Times New Roman"/>
          <w:szCs w:val="22"/>
        </w:rPr>
        <w:tab/>
      </w:r>
      <w:r w:rsidRPr="00BC479C">
        <w:rPr>
          <w:rFonts w:ascii="Times New Roman" w:hAnsi="Times New Roman"/>
          <w:szCs w:val="22"/>
        </w:rPr>
        <w:tab/>
        <w:t>Telekomunikacyjne linie kablowe.  Opaski oznaczeniowe.</w:t>
      </w:r>
    </w:p>
    <w:p w14:paraId="735D8B16"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BN-74/3233-17</w:t>
      </w:r>
      <w:r w:rsidRPr="00BC479C">
        <w:rPr>
          <w:rFonts w:ascii="Times New Roman" w:hAnsi="Times New Roman"/>
          <w:szCs w:val="22"/>
        </w:rPr>
        <w:tab/>
      </w:r>
      <w:r w:rsidRPr="00BC479C">
        <w:rPr>
          <w:rFonts w:ascii="Times New Roman" w:hAnsi="Times New Roman"/>
          <w:szCs w:val="22"/>
        </w:rPr>
        <w:tab/>
        <w:t>Telekomunikacyjne linie kablowe. Słupki oznaczeniowe i oznaczeniowo-pomiarowe.</w:t>
      </w:r>
    </w:p>
    <w:p w14:paraId="66ADBF8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PN-83/T-90332</w:t>
      </w:r>
      <w:r w:rsidRPr="00BC479C">
        <w:rPr>
          <w:rFonts w:ascii="Times New Roman" w:hAnsi="Times New Roman"/>
          <w:szCs w:val="22"/>
        </w:rPr>
        <w:tab/>
      </w:r>
      <w:r w:rsidRPr="00BC479C">
        <w:rPr>
          <w:rFonts w:ascii="Times New Roman" w:hAnsi="Times New Roman"/>
          <w:szCs w:val="22"/>
        </w:rPr>
        <w:tab/>
        <w:t xml:space="preserve">Telekomunikacyjne kable miejscowe z wiązkami czwórkowymi, </w:t>
      </w:r>
    </w:p>
    <w:p w14:paraId="3298A316" w14:textId="77777777" w:rsidR="009D57D0" w:rsidRPr="00BC479C" w:rsidRDefault="009D57D0" w:rsidP="00CE1E11">
      <w:pPr>
        <w:pStyle w:val="Normalny-SANKAT"/>
        <w:spacing w:before="0"/>
        <w:ind w:left="720"/>
        <w:rPr>
          <w:rFonts w:ascii="Times New Roman" w:hAnsi="Times New Roman"/>
          <w:szCs w:val="22"/>
        </w:rPr>
      </w:pPr>
      <w:r w:rsidRPr="00BC479C">
        <w:rPr>
          <w:rFonts w:ascii="Times New Roman" w:hAnsi="Times New Roman"/>
          <w:szCs w:val="22"/>
        </w:rPr>
        <w:t>pęczkowe, o izolacji polietylenowej, o powłoce stalowej, spawanej,  falowanej, osłoną polietylenową  lub polwinitową.</w:t>
      </w:r>
    </w:p>
    <w:p w14:paraId="24B55A10"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WT-84/K-187</w:t>
      </w:r>
      <w:r w:rsidRPr="00BC479C">
        <w:rPr>
          <w:rFonts w:ascii="Times New Roman" w:hAnsi="Times New Roman"/>
          <w:szCs w:val="22"/>
        </w:rPr>
        <w:tab/>
      </w:r>
      <w:r w:rsidRPr="00BC479C">
        <w:rPr>
          <w:rFonts w:ascii="Times New Roman" w:hAnsi="Times New Roman"/>
          <w:szCs w:val="22"/>
        </w:rPr>
        <w:tab/>
        <w:t>Telekomunikacyjne kable miejscowe pęczkowe, o izolacji polietylenowej, ekranowe o powłoce stalowej spawanej, falowanej i osłoną polietylenową.</w:t>
      </w:r>
    </w:p>
    <w:p w14:paraId="5C4CCDD6"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BN-89/8984-17/03</w:t>
      </w:r>
      <w:r w:rsidRPr="00BC479C">
        <w:rPr>
          <w:rFonts w:ascii="Times New Roman" w:hAnsi="Times New Roman"/>
          <w:szCs w:val="22"/>
        </w:rPr>
        <w:tab/>
      </w:r>
      <w:r w:rsidRPr="00BC479C">
        <w:rPr>
          <w:rFonts w:ascii="Times New Roman" w:hAnsi="Times New Roman"/>
          <w:szCs w:val="22"/>
        </w:rPr>
        <w:tab/>
        <w:t>Telekomunikacyjne sieci miejscowe. Linie kablowe. Ogólne wymagania i badania.</w:t>
      </w:r>
    </w:p>
    <w:p w14:paraId="09816329"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BN-79/8976-78</w:t>
      </w:r>
      <w:r w:rsidRPr="00BC479C">
        <w:rPr>
          <w:rFonts w:ascii="Times New Roman" w:hAnsi="Times New Roman"/>
          <w:szCs w:val="22"/>
        </w:rPr>
        <w:tab/>
      </w:r>
      <w:r w:rsidRPr="00BC479C">
        <w:rPr>
          <w:rFonts w:ascii="Times New Roman" w:hAnsi="Times New Roman"/>
          <w:szCs w:val="22"/>
        </w:rPr>
        <w:tab/>
        <w:t>Pustak kablowy.</w:t>
      </w:r>
    </w:p>
    <w:p w14:paraId="43C5DC42"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BN-72/3233-72</w:t>
      </w:r>
      <w:r w:rsidRPr="00BC479C">
        <w:rPr>
          <w:rFonts w:ascii="Times New Roman" w:hAnsi="Times New Roman"/>
          <w:szCs w:val="22"/>
        </w:rPr>
        <w:tab/>
      </w:r>
      <w:r w:rsidRPr="00BC479C">
        <w:rPr>
          <w:rFonts w:ascii="Times New Roman" w:hAnsi="Times New Roman"/>
          <w:szCs w:val="22"/>
        </w:rPr>
        <w:tab/>
        <w:t>Prefabrykowana przykrywa żelbetowa.</w:t>
      </w:r>
    </w:p>
    <w:p w14:paraId="189FAAF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PN-90/E-05030/00 i 0</w:t>
      </w:r>
      <w:r w:rsidRPr="00BC479C">
        <w:rPr>
          <w:rFonts w:ascii="Times New Roman" w:hAnsi="Times New Roman"/>
          <w:szCs w:val="22"/>
        </w:rPr>
        <w:tab/>
        <w:t>Ochrona przed korozją. Ochrona katodowa wspólne wymagania i badania. Ochrona metalowych części podziemnych.</w:t>
      </w:r>
    </w:p>
    <w:p w14:paraId="406DA6A8"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BN-89/8984-18</w:t>
      </w:r>
      <w:r w:rsidRPr="00BC479C">
        <w:rPr>
          <w:rFonts w:ascii="Times New Roman" w:hAnsi="Times New Roman"/>
          <w:szCs w:val="22"/>
        </w:rPr>
        <w:tab/>
      </w:r>
      <w:r w:rsidRPr="00BC479C">
        <w:rPr>
          <w:rFonts w:ascii="Times New Roman" w:hAnsi="Times New Roman"/>
          <w:szCs w:val="22"/>
        </w:rPr>
        <w:tab/>
        <w:t>Telekomunikacyjne linie kablowe dalekosiężne. Ogólne wymagania i badania.</w:t>
      </w:r>
    </w:p>
    <w:p w14:paraId="499F6355"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PN-88/B-30000</w:t>
      </w:r>
      <w:r w:rsidRPr="00BC479C">
        <w:rPr>
          <w:rFonts w:ascii="Times New Roman" w:hAnsi="Times New Roman"/>
          <w:szCs w:val="22"/>
        </w:rPr>
        <w:tab/>
      </w:r>
      <w:r w:rsidRPr="00BC479C">
        <w:rPr>
          <w:rFonts w:ascii="Times New Roman" w:hAnsi="Times New Roman"/>
          <w:szCs w:val="22"/>
        </w:rPr>
        <w:tab/>
        <w:t>Projekty budowlane. Obliczenia statyczne.</w:t>
      </w:r>
    </w:p>
    <w:p w14:paraId="02B287BA"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BN-73/3233-02</w:t>
      </w:r>
      <w:r w:rsidRPr="00BC479C">
        <w:rPr>
          <w:rFonts w:ascii="Times New Roman" w:hAnsi="Times New Roman"/>
          <w:szCs w:val="22"/>
        </w:rPr>
        <w:tab/>
      </w:r>
      <w:r w:rsidRPr="00BC479C">
        <w:rPr>
          <w:rFonts w:ascii="Times New Roman" w:hAnsi="Times New Roman"/>
          <w:szCs w:val="22"/>
        </w:rPr>
        <w:tab/>
        <w:t>Telekomunikacyjne sieci kablowe miejscowe. Wietrznik do pokryw.</w:t>
      </w:r>
    </w:p>
    <w:p w14:paraId="160DA7DD"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BN-73/3233-03</w:t>
      </w:r>
      <w:r w:rsidRPr="00BC479C">
        <w:rPr>
          <w:rFonts w:ascii="Times New Roman" w:hAnsi="Times New Roman"/>
          <w:szCs w:val="22"/>
        </w:rPr>
        <w:tab/>
      </w:r>
      <w:r w:rsidRPr="00BC479C">
        <w:rPr>
          <w:rFonts w:ascii="Times New Roman" w:hAnsi="Times New Roman"/>
          <w:szCs w:val="22"/>
        </w:rPr>
        <w:tab/>
        <w:t>Ramy i oprawy pokryw.</w:t>
      </w:r>
    </w:p>
    <w:p w14:paraId="24ED9318"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BN-70/3233-05</w:t>
      </w:r>
      <w:r w:rsidRPr="00BC479C">
        <w:rPr>
          <w:rFonts w:ascii="Times New Roman" w:hAnsi="Times New Roman"/>
          <w:szCs w:val="22"/>
        </w:rPr>
        <w:tab/>
      </w:r>
      <w:r w:rsidRPr="00BC479C">
        <w:rPr>
          <w:rFonts w:ascii="Times New Roman" w:hAnsi="Times New Roman"/>
          <w:szCs w:val="22"/>
        </w:rPr>
        <w:tab/>
        <w:t>Haczyk i opaski do zawieszania telefonicznych kabli miejscowych.</w:t>
      </w:r>
    </w:p>
    <w:p w14:paraId="4930C6FA"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BN-88/6731-08</w:t>
      </w:r>
      <w:r w:rsidRPr="00BC479C">
        <w:rPr>
          <w:rFonts w:ascii="Times New Roman" w:hAnsi="Times New Roman"/>
          <w:szCs w:val="22"/>
        </w:rPr>
        <w:tab/>
      </w:r>
      <w:r w:rsidRPr="00BC479C">
        <w:rPr>
          <w:rFonts w:ascii="Times New Roman" w:hAnsi="Times New Roman"/>
          <w:szCs w:val="22"/>
        </w:rPr>
        <w:tab/>
        <w:t>Cement. Transport i przechowywanie.</w:t>
      </w:r>
    </w:p>
    <w:p w14:paraId="6F4E34B1"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ab/>
        <w:t>ZN-OPL-001/93 Telekomunikacyjne sieci miejscowe. Kablowe linie optotelekomunikacyjne. Ogólne wymagania techniczne.ZN-OPL-004/15 Telekomunikacyjne linie kablowe. Zbliżenia i skrzyżowania z innymi obiektami budowlanymi. Wymagania i badania.</w:t>
      </w:r>
    </w:p>
    <w:p w14:paraId="26485C45"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 xml:space="preserve">ZN-OPL-011/96 Telekomunikacyjna kanalizacja kablowa. Ogólne wymagania techniczne. </w:t>
      </w:r>
    </w:p>
    <w:p w14:paraId="4108812F"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ZN-OPL-012/15 Telekomunikacyjna kanalizacja kablowa. Kanalizacja pierwotna i rurociągi kablowe. Wymagania i badania.</w:t>
      </w:r>
    </w:p>
    <w:p w14:paraId="7E50B1CD"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ZN-OPL-013/15 Telekomunikacyjna kanalizacja kablowa. Kanalizacja wtórna. Wymagania i badania.</w:t>
      </w:r>
    </w:p>
    <w:p w14:paraId="78C1FB7B"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ZN-OPL-014/15 Telekomunikacyjna kanalizacja kablowa. Elementy kanalizacji. Wymagania i badania.</w:t>
      </w:r>
    </w:p>
    <w:p w14:paraId="44D9A12F"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ZN-OPL-023/16 Telekomunikacyjna kanalizacja kablowa. Studnie kablowe. Wymagania i badania.</w:t>
      </w:r>
    </w:p>
    <w:p w14:paraId="6C095985" w14:textId="77777777" w:rsidR="009D57D0" w:rsidRPr="00BC479C" w:rsidRDefault="009D57D0" w:rsidP="00904E6C">
      <w:pPr>
        <w:pStyle w:val="Normalny-SANKAT"/>
        <w:numPr>
          <w:ilvl w:val="0"/>
          <w:numId w:val="360"/>
        </w:numPr>
        <w:spacing w:before="0"/>
        <w:rPr>
          <w:rFonts w:ascii="Times New Roman" w:hAnsi="Times New Roman"/>
          <w:szCs w:val="22"/>
        </w:rPr>
      </w:pPr>
      <w:r w:rsidRPr="00BC479C">
        <w:rPr>
          <w:rFonts w:ascii="Times New Roman" w:hAnsi="Times New Roman"/>
          <w:szCs w:val="22"/>
        </w:rPr>
        <w:t>ZN-OPL-025/17 Telekomunikacyjne linie kablowe. Elementy do oznaczania podziemnej infrastruktury telekomunikacyjnej. Wymagania i badania.</w:t>
      </w:r>
    </w:p>
    <w:p w14:paraId="3DBC2E2A" w14:textId="77777777" w:rsidR="009D57D0" w:rsidRPr="00BC479C" w:rsidRDefault="009D57D0" w:rsidP="00CE1E11">
      <w:pPr>
        <w:spacing w:after="0" w:line="240" w:lineRule="auto"/>
        <w:rPr>
          <w:rFonts w:ascii="Times New Roman" w:hAnsi="Times New Roman" w:cs="Times New Roman"/>
          <w:i/>
        </w:rPr>
      </w:pPr>
    </w:p>
    <w:p w14:paraId="7743DBFE" w14:textId="77777777" w:rsidR="009D57D0" w:rsidRPr="00BC479C" w:rsidRDefault="009D57D0" w:rsidP="00904E6C">
      <w:pPr>
        <w:pStyle w:val="Nagwek2Title2"/>
        <w:numPr>
          <w:ilvl w:val="1"/>
          <w:numId w:val="253"/>
        </w:numPr>
        <w:tabs>
          <w:tab w:val="clear" w:pos="284"/>
          <w:tab w:val="num" w:pos="0"/>
          <w:tab w:val="left" w:pos="57"/>
        </w:tabs>
        <w:ind w:left="57" w:firstLine="0"/>
        <w:rPr>
          <w:sz w:val="22"/>
          <w:szCs w:val="22"/>
        </w:rPr>
      </w:pPr>
      <w:r w:rsidRPr="00BC479C">
        <w:rPr>
          <w:sz w:val="22"/>
          <w:szCs w:val="22"/>
        </w:rPr>
        <w:t>Inne dokumenty</w:t>
      </w:r>
    </w:p>
    <w:p w14:paraId="015B9E35" w14:textId="77777777" w:rsidR="009D57D0" w:rsidRPr="00BC479C" w:rsidRDefault="009D57D0" w:rsidP="00CE1E11">
      <w:pPr>
        <w:spacing w:after="0" w:line="240" w:lineRule="auto"/>
        <w:rPr>
          <w:rFonts w:ascii="Times New Roman" w:hAnsi="Times New Roman" w:cs="Times New Roman"/>
          <w:i/>
        </w:rPr>
      </w:pPr>
    </w:p>
    <w:p w14:paraId="32D0FF57" w14:textId="77777777" w:rsidR="009D57D0" w:rsidRPr="00BC479C" w:rsidRDefault="009D57D0" w:rsidP="00904E6C">
      <w:pPr>
        <w:pStyle w:val="Akapitzlist"/>
        <w:numPr>
          <w:ilvl w:val="0"/>
          <w:numId w:val="360"/>
        </w:numPr>
        <w:tabs>
          <w:tab w:val="left" w:pos="1410"/>
        </w:tabs>
        <w:suppressAutoHyphens/>
        <w:overflowPunct/>
        <w:autoSpaceDE/>
        <w:autoSpaceDN/>
        <w:adjustRightInd/>
        <w:textAlignment w:val="auto"/>
        <w:rPr>
          <w:sz w:val="22"/>
          <w:szCs w:val="22"/>
        </w:rPr>
      </w:pPr>
      <w:r w:rsidRPr="00BC479C">
        <w:rPr>
          <w:sz w:val="22"/>
          <w:szCs w:val="22"/>
        </w:rPr>
        <w:t>Rozporządzenie  Ministra Infrastruktury z dnia  26.10.2005 r. w sprawie warunków technicznych jakim powinny odpowiadać telekomunikacyjne obiekty budowlane i ich usytuowanie(DzU nr 219 z 31.10.2005 poz. 1864)</w:t>
      </w:r>
    </w:p>
    <w:p w14:paraId="16E08D44" w14:textId="77777777" w:rsidR="009D57D0" w:rsidRPr="00BC479C" w:rsidRDefault="009D57D0" w:rsidP="00904E6C">
      <w:pPr>
        <w:pStyle w:val="Akapitzlist"/>
        <w:numPr>
          <w:ilvl w:val="0"/>
          <w:numId w:val="360"/>
        </w:numPr>
        <w:tabs>
          <w:tab w:val="left" w:pos="1410"/>
        </w:tabs>
        <w:suppressAutoHyphens/>
        <w:overflowPunct/>
        <w:autoSpaceDE/>
        <w:autoSpaceDN/>
        <w:adjustRightInd/>
        <w:textAlignment w:val="auto"/>
        <w:rPr>
          <w:sz w:val="22"/>
          <w:szCs w:val="22"/>
        </w:rPr>
      </w:pPr>
      <w:r w:rsidRPr="00BC479C">
        <w:rPr>
          <w:sz w:val="22"/>
          <w:szCs w:val="22"/>
        </w:rPr>
        <w:t>Rozporządzenie Ministra Administracji i Cyfryzacji z dnia 21 kwietnia 2015r. w sprawie warunków technicznych jakimi powinny odpowiadać kanały technologiczne Dz. U. 2015 poz. 680,</w:t>
      </w:r>
    </w:p>
    <w:p w14:paraId="3F9834D2" w14:textId="77777777" w:rsidR="009D57D0" w:rsidRPr="00BC479C" w:rsidRDefault="009D57D0" w:rsidP="00904E6C">
      <w:pPr>
        <w:pStyle w:val="Akapitzlist"/>
        <w:numPr>
          <w:ilvl w:val="0"/>
          <w:numId w:val="360"/>
        </w:numPr>
        <w:tabs>
          <w:tab w:val="left" w:pos="1410"/>
        </w:tabs>
        <w:suppressAutoHyphens/>
        <w:overflowPunct/>
        <w:autoSpaceDE/>
        <w:autoSpaceDN/>
        <w:adjustRightInd/>
        <w:textAlignment w:val="auto"/>
        <w:rPr>
          <w:sz w:val="22"/>
          <w:szCs w:val="22"/>
        </w:rPr>
      </w:pPr>
      <w:r w:rsidRPr="00BC479C">
        <w:rPr>
          <w:sz w:val="22"/>
          <w:szCs w:val="22"/>
        </w:rPr>
        <w:t>Instrukcja montażu telefonicznych kabli miejscowych o izolacji papierowo - powietrznej i powłoce polietylenowej z zaporą przeciwwilgociową (XTKM) - ZBŁ – 1970 r.</w:t>
      </w:r>
    </w:p>
    <w:p w14:paraId="4D2F2694" w14:textId="77777777" w:rsidR="009D57D0" w:rsidRPr="00BC479C" w:rsidRDefault="009D57D0" w:rsidP="00904E6C">
      <w:pPr>
        <w:pStyle w:val="Akapitzlist"/>
        <w:numPr>
          <w:ilvl w:val="0"/>
          <w:numId w:val="360"/>
        </w:numPr>
        <w:tabs>
          <w:tab w:val="left" w:pos="1410"/>
        </w:tabs>
        <w:suppressAutoHyphens/>
        <w:overflowPunct/>
        <w:autoSpaceDE/>
        <w:autoSpaceDN/>
        <w:adjustRightInd/>
        <w:textAlignment w:val="auto"/>
        <w:rPr>
          <w:sz w:val="22"/>
          <w:szCs w:val="22"/>
        </w:rPr>
      </w:pPr>
      <w:r w:rsidRPr="00BC479C">
        <w:rPr>
          <w:sz w:val="22"/>
          <w:szCs w:val="22"/>
        </w:rPr>
        <w:t>Ustawa Rady Ministrów nr 60 z dnia 21 marca 1985 r. – o drogach publicznych.</w:t>
      </w:r>
    </w:p>
    <w:p w14:paraId="24E7EC76" w14:textId="77777777" w:rsidR="009D57D0" w:rsidRPr="00BC479C" w:rsidRDefault="009D57D0" w:rsidP="00904E6C">
      <w:pPr>
        <w:pStyle w:val="Akapitzlist"/>
        <w:numPr>
          <w:ilvl w:val="0"/>
          <w:numId w:val="360"/>
        </w:numPr>
        <w:overflowPunct/>
        <w:autoSpaceDE/>
        <w:autoSpaceDN/>
        <w:adjustRightInd/>
        <w:textAlignment w:val="auto"/>
        <w:rPr>
          <w:sz w:val="22"/>
          <w:szCs w:val="22"/>
        </w:rPr>
      </w:pPr>
      <w:r w:rsidRPr="00BC479C">
        <w:rPr>
          <w:sz w:val="22"/>
          <w:szCs w:val="22"/>
        </w:rPr>
        <w:t>Rozporządzenie Ministra Budownictwa i Przemysłu Maszyn Budowlanych w sprawie bezpieczeństwa i higieny pracy przy wykonywaniu robót budowlano – montażowych i rozbiórkowych. Dziennik Ustaw nr 13 z dnia 10 kwietnia 1972 r.</w:t>
      </w:r>
    </w:p>
    <w:p w14:paraId="70672589" w14:textId="77777777" w:rsidR="009D57D0" w:rsidRPr="00BC479C" w:rsidRDefault="009D57D0" w:rsidP="009D57D0">
      <w:pPr>
        <w:ind w:left="1416"/>
        <w:rPr>
          <w:rFonts w:ascii="Times New Roman" w:hAnsi="Times New Roman" w:cs="Times New Roman"/>
        </w:rPr>
      </w:pPr>
    </w:p>
    <w:p w14:paraId="4017DB3A" w14:textId="77777777" w:rsidR="009D57D0" w:rsidRPr="00BC479C" w:rsidRDefault="009D57D0" w:rsidP="009D57D0">
      <w:pPr>
        <w:rPr>
          <w:rFonts w:ascii="Times New Roman" w:hAnsi="Times New Roman" w:cs="Times New Roman"/>
          <w:color w:val="FF0000"/>
        </w:rPr>
      </w:pPr>
    </w:p>
    <w:p w14:paraId="6E420D9E" w14:textId="77777777" w:rsidR="009D57D0" w:rsidRPr="00BC479C" w:rsidRDefault="009D57D0">
      <w:pPr>
        <w:rPr>
          <w:rFonts w:ascii="Times New Roman" w:hAnsi="Times New Roman" w:cs="Times New Roman"/>
        </w:rPr>
      </w:pPr>
    </w:p>
    <w:p w14:paraId="77116686" w14:textId="77777777" w:rsidR="0094044A" w:rsidRPr="00BA0803" w:rsidRDefault="0094044A" w:rsidP="00BA0803">
      <w:pPr>
        <w:rPr>
          <w:rFonts w:ascii="Times New Roman" w:hAnsi="Times New Roman" w:cs="Times New Roman"/>
          <w:color w:val="000000" w:themeColor="text1"/>
        </w:rPr>
      </w:pPr>
    </w:p>
    <w:sectPr w:rsidR="0094044A" w:rsidRPr="00BA0803" w:rsidSect="009D57D0">
      <w:pgSz w:w="11906" w:h="16838"/>
      <w:pgMar w:top="1417" w:right="1417"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3D6A4D" w14:textId="77777777" w:rsidR="005B7E46" w:rsidRDefault="005B7E46">
      <w:pPr>
        <w:spacing w:after="0" w:line="240" w:lineRule="auto"/>
      </w:pPr>
      <w:r>
        <w:separator/>
      </w:r>
    </w:p>
  </w:endnote>
  <w:endnote w:type="continuationSeparator" w:id="0">
    <w:p w14:paraId="13B7E5C2" w14:textId="77777777" w:rsidR="005B7E46" w:rsidRDefault="005B7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Yu Gothic"/>
    <w:charset w:val="00"/>
    <w:family w:val="roman"/>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OpenSymbol">
    <w:altName w:val="Calibri"/>
    <w:charset w:val="00"/>
    <w:family w:val="auto"/>
    <w:pitch w:val="variable"/>
    <w:sig w:usb0="800000AF" w:usb1="1001ECEA" w:usb2="00000000" w:usb3="00000000" w:csb0="00000001"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000" w:usb1="08070000" w:usb2="00000010" w:usb3="00000000" w:csb0="00020000" w:csb1="00000000"/>
  </w:font>
  <w:font w:name="SymbolMT">
    <w:charset w:val="00"/>
    <w:family w:val="roman"/>
    <w:pitch w:val="default"/>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IDFont+F1">
    <w:altName w:val="MS Gothic"/>
    <w:panose1 w:val="00000000000000000000"/>
    <w:charset w:val="80"/>
    <w:family w:val="auto"/>
    <w:notTrueType/>
    <w:pitch w:val="default"/>
    <w:sig w:usb0="00000000"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CG Times">
    <w:altName w:val="Times New Roman"/>
    <w:charset w:val="EE"/>
    <w:family w:val="roman"/>
    <w:pitch w:val="variable"/>
    <w:sig w:usb0="00000007" w:usb1="00000000" w:usb2="00000000" w:usb3="00000000" w:csb0="00000093" w:csb1="00000000"/>
  </w:font>
  <w:font w:name="TimesNewRomanPS">
    <w:altName w:val="Times New Roman"/>
    <w:panose1 w:val="00000000000000000000"/>
    <w:charset w:val="00"/>
    <w:family w:val="roman"/>
    <w:notTrueType/>
    <w:pitch w:val="variable"/>
    <w:sig w:usb0="00000007" w:usb1="00000000" w:usb2="00000000" w:usb3="00000000" w:csb0="00000003" w:csb1="00000000"/>
  </w:font>
  <w:font w:name="TimesEE">
    <w:altName w:val="Times New Roman"/>
    <w:charset w:val="00"/>
    <w:family w:val="auto"/>
    <w:pitch w:val="default"/>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Garamond,Bold">
    <w:panose1 w:val="00000000000000000000"/>
    <w:charset w:val="EE"/>
    <w:family w:val="auto"/>
    <w:notTrueType/>
    <w:pitch w:val="default"/>
    <w:sig w:usb0="00000005" w:usb1="00000000" w:usb2="00000000" w:usb3="00000000" w:csb0="00000002" w:csb1="00000000"/>
  </w:font>
  <w:font w:name="TimesNewRoman">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0019231"/>
      <w:docPartObj>
        <w:docPartGallery w:val="Page Numbers (Bottom of Page)"/>
        <w:docPartUnique/>
      </w:docPartObj>
    </w:sdtPr>
    <w:sdtEndPr/>
    <w:sdtContent>
      <w:p w14:paraId="777A460E" w14:textId="77777777" w:rsidR="004A6EFA" w:rsidRDefault="004A6EFA">
        <w:pPr>
          <w:pStyle w:val="Stopka"/>
          <w:jc w:val="right"/>
        </w:pPr>
        <w:r>
          <w:fldChar w:fldCharType="begin"/>
        </w:r>
        <w:r>
          <w:instrText>PAGE   \* MERGEFORMAT</w:instrText>
        </w:r>
        <w:r>
          <w:fldChar w:fldCharType="separate"/>
        </w:r>
        <w:r w:rsidR="00002E63">
          <w:rPr>
            <w:noProof/>
          </w:rPr>
          <w:t>422</w:t>
        </w:r>
        <w:r>
          <w:fldChar w:fldCharType="end"/>
        </w:r>
      </w:p>
    </w:sdtContent>
  </w:sdt>
  <w:p w14:paraId="28DE8C4F" w14:textId="77777777" w:rsidR="004A6EFA" w:rsidRDefault="004A6EF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61B91" w14:textId="77777777" w:rsidR="005B7E46" w:rsidRDefault="005B7E46">
      <w:pPr>
        <w:spacing w:after="0" w:line="240" w:lineRule="auto"/>
      </w:pPr>
      <w:r>
        <w:separator/>
      </w:r>
    </w:p>
  </w:footnote>
  <w:footnote w:type="continuationSeparator" w:id="0">
    <w:p w14:paraId="7397CFBC" w14:textId="77777777" w:rsidR="005B7E46" w:rsidRDefault="005B7E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87C0" w14:textId="77777777" w:rsidR="004A6EFA" w:rsidRDefault="004A6EFA" w:rsidP="000A15D6">
    <w:pPr>
      <w:pStyle w:val="Nagwek"/>
      <w:tabs>
        <w:tab w:val="clear" w:pos="4536"/>
        <w:tab w:val="clear" w:pos="9072"/>
        <w:tab w:val="left" w:pos="42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BF0E39E"/>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FFFFFFFF"/>
    <w:lvl w:ilvl="0">
      <w:start w:val="1"/>
      <w:numFmt w:val="decimal"/>
      <w:lvlText w:val="%1."/>
      <w:legacy w:legacy="1" w:legacySpace="170" w:legacyIndent="0"/>
      <w:lvlJc w:val="left"/>
      <w:rPr>
        <w:b/>
        <w:i w:val="0"/>
      </w:rPr>
    </w:lvl>
    <w:lvl w:ilvl="1">
      <w:start w:val="1"/>
      <w:numFmt w:val="decimal"/>
      <w:lvlText w:val="%1.%2."/>
      <w:legacy w:legacy="1" w:legacySpace="170" w:legacyIndent="0"/>
      <w:lvlJc w:val="left"/>
      <w:rPr>
        <w:b/>
        <w:i w:val="0"/>
      </w:rPr>
    </w:lvl>
    <w:lvl w:ilvl="2">
      <w:start w:val="1"/>
      <w:numFmt w:val="decimal"/>
      <w:lvlText w:val="%1.%2.%3."/>
      <w:legacy w:legacy="1" w:legacySpace="170" w:legacyIndent="0"/>
      <w:lvlJc w:val="left"/>
      <w:rPr>
        <w:b/>
        <w:i w:val="0"/>
      </w:rPr>
    </w:lvl>
    <w:lvl w:ilvl="3">
      <w:start w:val="1"/>
      <w:numFmt w:val="decimal"/>
      <w:lvlText w:val="%1.%2.%3.%4."/>
      <w:legacy w:legacy="1" w:legacySpace="170" w:legacyIndent="0"/>
      <w:lvlJc w:val="left"/>
      <w:rPr>
        <w:b/>
        <w:i w:val="0"/>
      </w:rPr>
    </w:lvl>
    <w:lvl w:ilvl="4">
      <w:start w:val="1"/>
      <w:numFmt w:val="decimal"/>
      <w:lvlText w:val="%1.%2.%3.%4.%5."/>
      <w:legacy w:legacy="1" w:legacySpace="170" w:legacyIndent="0"/>
      <w:lvlJc w:val="left"/>
      <w:rPr>
        <w:b/>
        <w:i w:val="0"/>
      </w:rPr>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2" w15:restartNumberingAfterBreak="0">
    <w:nsid w:val="FFFFFFFE"/>
    <w:multiLevelType w:val="singleLevel"/>
    <w:tmpl w:val="9A8A1574"/>
    <w:lvl w:ilvl="0">
      <w:numFmt w:val="bullet"/>
      <w:lvlText w:val="*"/>
      <w:lvlJc w:val="left"/>
      <w:pPr>
        <w:ind w:left="0" w:firstLine="0"/>
      </w:pPr>
    </w:lvl>
  </w:abstractNum>
  <w:abstractNum w:abstractNumId="3"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Times New Roman" w:hAnsi="Times New Roman" w:cs="Times New Roman" w:hint="default"/>
      </w:rPr>
    </w:lvl>
  </w:abstractNum>
  <w:abstractNum w:abstractNumId="5"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6" w15:restartNumberingAfterBreak="0">
    <w:nsid w:val="00000004"/>
    <w:multiLevelType w:val="singleLevel"/>
    <w:tmpl w:val="00000004"/>
    <w:name w:val="WW8Num18"/>
    <w:lvl w:ilvl="0">
      <w:start w:val="1"/>
      <w:numFmt w:val="bullet"/>
      <w:lvlText w:val="–"/>
      <w:lvlJc w:val="left"/>
      <w:pPr>
        <w:tabs>
          <w:tab w:val="num" w:pos="284"/>
        </w:tabs>
        <w:ind w:left="284" w:hanging="284"/>
      </w:pPr>
      <w:rPr>
        <w:rFonts w:ascii="Times New Roman" w:hAnsi="Times New Roman" w:cs="Times New Roman" w:hint="default"/>
      </w:rPr>
    </w:lvl>
  </w:abstractNum>
  <w:abstractNum w:abstractNumId="7" w15:restartNumberingAfterBreak="0">
    <w:nsid w:val="00000005"/>
    <w:multiLevelType w:val="singleLevel"/>
    <w:tmpl w:val="00000005"/>
    <w:name w:val="WW8Num19"/>
    <w:lvl w:ilvl="0">
      <w:start w:val="1"/>
      <w:numFmt w:val="bullet"/>
      <w:lvlText w:val="-"/>
      <w:lvlJc w:val="left"/>
      <w:pPr>
        <w:tabs>
          <w:tab w:val="num" w:pos="720"/>
        </w:tabs>
        <w:ind w:left="720" w:hanging="360"/>
      </w:pPr>
      <w:rPr>
        <w:rFonts w:ascii="Times New Roman" w:hAnsi="Times New Roman" w:cs="Times New Roman" w:hint="default"/>
        <w:szCs w:val="20"/>
      </w:rPr>
    </w:lvl>
  </w:abstractNum>
  <w:abstractNum w:abstractNumId="8" w15:restartNumberingAfterBreak="0">
    <w:nsid w:val="00000006"/>
    <w:multiLevelType w:val="singleLevel"/>
    <w:tmpl w:val="00000006"/>
    <w:name w:val="WW8Num14"/>
    <w:lvl w:ilvl="0">
      <w:start w:val="1"/>
      <w:numFmt w:val="lowerLetter"/>
      <w:lvlText w:val="%1)"/>
      <w:lvlJc w:val="left"/>
      <w:pPr>
        <w:tabs>
          <w:tab w:val="num" w:pos="283"/>
        </w:tabs>
        <w:ind w:left="283" w:hanging="283"/>
      </w:pPr>
    </w:lvl>
  </w:abstractNum>
  <w:abstractNum w:abstractNumId="9" w15:restartNumberingAfterBreak="0">
    <w:nsid w:val="00000007"/>
    <w:multiLevelType w:val="singleLevel"/>
    <w:tmpl w:val="00000007"/>
    <w:lvl w:ilvl="0">
      <w:numFmt w:val="bullet"/>
      <w:lvlText w:val=""/>
      <w:lvlJc w:val="left"/>
      <w:pPr>
        <w:tabs>
          <w:tab w:val="num" w:pos="283"/>
        </w:tabs>
        <w:ind w:left="283" w:hanging="283"/>
      </w:pPr>
      <w:rPr>
        <w:rFonts w:ascii="Symbol" w:hAnsi="Symbol" w:cs="Symbol" w:hint="default"/>
        <w:sz w:val="20"/>
      </w:rPr>
    </w:lvl>
  </w:abstractNum>
  <w:abstractNum w:abstractNumId="10" w15:restartNumberingAfterBreak="0">
    <w:nsid w:val="00000008"/>
    <w:multiLevelType w:val="multilevel"/>
    <w:tmpl w:val="00000008"/>
    <w:name w:val="WW8Num8"/>
    <w:lvl w:ilvl="0">
      <w:numFmt w:val="bullet"/>
      <w:lvlText w:val="-"/>
      <w:lvlJc w:val="left"/>
      <w:pPr>
        <w:tabs>
          <w:tab w:val="num" w:pos="0"/>
        </w:tabs>
        <w:ind w:left="0" w:firstLine="0"/>
      </w:pPr>
      <w:rPr>
        <w:rFonts w:ascii="StarSymbol" w:hAnsi="StarSymbol"/>
      </w:rPr>
    </w:lvl>
    <w:lvl w:ilvl="1">
      <w:start w:val="1"/>
      <w:numFmt w:val="bullet"/>
      <w:lvlText w:val="o"/>
      <w:lvlJc w:val="left"/>
      <w:pPr>
        <w:tabs>
          <w:tab w:val="num" w:pos="0"/>
        </w:tabs>
        <w:ind w:left="0" w:firstLine="0"/>
      </w:pPr>
      <w:rPr>
        <w:rFonts w:ascii="Courier New" w:hAnsi="Courier New"/>
      </w:rPr>
    </w:lvl>
    <w:lvl w:ilvl="2">
      <w:start w:val="1"/>
      <w:numFmt w:val="bullet"/>
      <w:lvlText w:val=""/>
      <w:lvlJc w:val="left"/>
      <w:pPr>
        <w:tabs>
          <w:tab w:val="num" w:pos="0"/>
        </w:tabs>
        <w:ind w:left="0" w:firstLine="0"/>
      </w:pPr>
      <w:rPr>
        <w:rFonts w:ascii="Wingdings" w:hAnsi="Wingdings"/>
      </w:rPr>
    </w:lvl>
    <w:lvl w:ilvl="3">
      <w:start w:val="1"/>
      <w:numFmt w:val="bullet"/>
      <w:lvlText w:val=""/>
      <w:lvlJc w:val="left"/>
      <w:pPr>
        <w:tabs>
          <w:tab w:val="num" w:pos="0"/>
        </w:tabs>
        <w:ind w:left="0" w:firstLine="0"/>
      </w:pPr>
      <w:rPr>
        <w:rFonts w:ascii="Symbol" w:hAnsi="Symbol"/>
      </w:rPr>
    </w:lvl>
    <w:lvl w:ilvl="4">
      <w:start w:val="1"/>
      <w:numFmt w:val="bullet"/>
      <w:lvlText w:val="o"/>
      <w:lvlJc w:val="left"/>
      <w:pPr>
        <w:tabs>
          <w:tab w:val="num" w:pos="0"/>
        </w:tabs>
        <w:ind w:left="0" w:firstLine="0"/>
      </w:pPr>
      <w:rPr>
        <w:rFonts w:ascii="Courier New" w:hAnsi="Courier New"/>
      </w:rPr>
    </w:lvl>
    <w:lvl w:ilvl="5">
      <w:start w:val="1"/>
      <w:numFmt w:val="bullet"/>
      <w:lvlText w:val=""/>
      <w:lvlJc w:val="left"/>
      <w:pPr>
        <w:tabs>
          <w:tab w:val="num" w:pos="0"/>
        </w:tabs>
        <w:ind w:left="0" w:firstLine="0"/>
      </w:pPr>
      <w:rPr>
        <w:rFonts w:ascii="Wingdings" w:hAnsi="Wingdings"/>
      </w:rPr>
    </w:lvl>
    <w:lvl w:ilvl="6">
      <w:start w:val="1"/>
      <w:numFmt w:val="bullet"/>
      <w:lvlText w:val=""/>
      <w:lvlJc w:val="left"/>
      <w:pPr>
        <w:tabs>
          <w:tab w:val="num" w:pos="0"/>
        </w:tabs>
        <w:ind w:left="0" w:firstLine="0"/>
      </w:pPr>
      <w:rPr>
        <w:rFonts w:ascii="Symbol" w:hAnsi="Symbol"/>
      </w:rPr>
    </w:lvl>
    <w:lvl w:ilvl="7">
      <w:start w:val="1"/>
      <w:numFmt w:val="bullet"/>
      <w:lvlText w:val="o"/>
      <w:lvlJc w:val="left"/>
      <w:pPr>
        <w:tabs>
          <w:tab w:val="num" w:pos="0"/>
        </w:tabs>
        <w:ind w:left="0" w:firstLine="0"/>
      </w:pPr>
      <w:rPr>
        <w:rFonts w:ascii="Courier New" w:hAnsi="Courier New"/>
      </w:rPr>
    </w:lvl>
    <w:lvl w:ilvl="8">
      <w:start w:val="1"/>
      <w:numFmt w:val="bullet"/>
      <w:lvlText w:val=""/>
      <w:lvlJc w:val="left"/>
      <w:pPr>
        <w:tabs>
          <w:tab w:val="num" w:pos="0"/>
        </w:tabs>
        <w:ind w:left="0" w:firstLine="0"/>
      </w:pPr>
      <w:rPr>
        <w:rFonts w:ascii="Wingdings" w:hAnsi="Wingdings"/>
      </w:rPr>
    </w:lvl>
  </w:abstractNum>
  <w:abstractNum w:abstractNumId="11" w15:restartNumberingAfterBreak="0">
    <w:nsid w:val="00000009"/>
    <w:multiLevelType w:val="multilevel"/>
    <w:tmpl w:val="00000009"/>
    <w:name w:val="WW8Num9"/>
    <w:lvl w:ilvl="0">
      <w:start w:val="1"/>
      <w:numFmt w:val="bullet"/>
      <w:lvlText w:val="-"/>
      <w:lvlJc w:val="left"/>
      <w:pPr>
        <w:tabs>
          <w:tab w:val="num" w:pos="0"/>
        </w:tabs>
        <w:ind w:left="0" w:firstLine="0"/>
      </w:pPr>
      <w:rPr>
        <w:rFonts w:ascii="Times New Roman" w:hAnsi="Times New Roman"/>
      </w:rPr>
    </w:lvl>
    <w:lvl w:ilvl="1">
      <w:start w:val="1"/>
      <w:numFmt w:val="bullet"/>
      <w:lvlText w:val="o"/>
      <w:lvlJc w:val="left"/>
      <w:pPr>
        <w:tabs>
          <w:tab w:val="num" w:pos="0"/>
        </w:tabs>
        <w:ind w:left="0" w:firstLine="0"/>
      </w:pPr>
      <w:rPr>
        <w:rFonts w:ascii="Courier New" w:hAnsi="Courier New"/>
      </w:rPr>
    </w:lvl>
    <w:lvl w:ilvl="2">
      <w:start w:val="1"/>
      <w:numFmt w:val="bullet"/>
      <w:lvlText w:val=""/>
      <w:lvlJc w:val="left"/>
      <w:pPr>
        <w:tabs>
          <w:tab w:val="num" w:pos="0"/>
        </w:tabs>
        <w:ind w:left="0" w:firstLine="0"/>
      </w:pPr>
      <w:rPr>
        <w:rFonts w:ascii="Wingdings" w:hAnsi="Wingdings"/>
      </w:rPr>
    </w:lvl>
    <w:lvl w:ilvl="3">
      <w:start w:val="1"/>
      <w:numFmt w:val="bullet"/>
      <w:lvlText w:val=""/>
      <w:lvlJc w:val="left"/>
      <w:pPr>
        <w:tabs>
          <w:tab w:val="num" w:pos="0"/>
        </w:tabs>
        <w:ind w:left="0" w:firstLine="0"/>
      </w:pPr>
      <w:rPr>
        <w:rFonts w:ascii="Symbol" w:hAnsi="Symbol"/>
      </w:rPr>
    </w:lvl>
    <w:lvl w:ilvl="4">
      <w:start w:val="1"/>
      <w:numFmt w:val="bullet"/>
      <w:lvlText w:val="o"/>
      <w:lvlJc w:val="left"/>
      <w:pPr>
        <w:tabs>
          <w:tab w:val="num" w:pos="0"/>
        </w:tabs>
        <w:ind w:left="0" w:firstLine="0"/>
      </w:pPr>
      <w:rPr>
        <w:rFonts w:ascii="Courier New" w:hAnsi="Courier New"/>
      </w:rPr>
    </w:lvl>
    <w:lvl w:ilvl="5">
      <w:start w:val="1"/>
      <w:numFmt w:val="bullet"/>
      <w:lvlText w:val=""/>
      <w:lvlJc w:val="left"/>
      <w:pPr>
        <w:tabs>
          <w:tab w:val="num" w:pos="0"/>
        </w:tabs>
        <w:ind w:left="0" w:firstLine="0"/>
      </w:pPr>
      <w:rPr>
        <w:rFonts w:ascii="Wingdings" w:hAnsi="Wingdings"/>
      </w:rPr>
    </w:lvl>
    <w:lvl w:ilvl="6">
      <w:start w:val="1"/>
      <w:numFmt w:val="bullet"/>
      <w:lvlText w:val=""/>
      <w:lvlJc w:val="left"/>
      <w:pPr>
        <w:tabs>
          <w:tab w:val="num" w:pos="0"/>
        </w:tabs>
        <w:ind w:left="0" w:firstLine="0"/>
      </w:pPr>
      <w:rPr>
        <w:rFonts w:ascii="Symbol" w:hAnsi="Symbol"/>
      </w:rPr>
    </w:lvl>
    <w:lvl w:ilvl="7">
      <w:start w:val="1"/>
      <w:numFmt w:val="bullet"/>
      <w:lvlText w:val="o"/>
      <w:lvlJc w:val="left"/>
      <w:pPr>
        <w:tabs>
          <w:tab w:val="num" w:pos="0"/>
        </w:tabs>
        <w:ind w:left="0" w:firstLine="0"/>
      </w:pPr>
      <w:rPr>
        <w:rFonts w:ascii="Courier New" w:hAnsi="Courier New"/>
      </w:rPr>
    </w:lvl>
    <w:lvl w:ilvl="8">
      <w:start w:val="1"/>
      <w:numFmt w:val="bullet"/>
      <w:lvlText w:val=""/>
      <w:lvlJc w:val="left"/>
      <w:pPr>
        <w:tabs>
          <w:tab w:val="num" w:pos="0"/>
        </w:tabs>
        <w:ind w:left="0" w:firstLine="0"/>
      </w:pPr>
      <w:rPr>
        <w:rFonts w:ascii="Wingdings" w:hAnsi="Wingdings"/>
      </w:rPr>
    </w:lvl>
  </w:abstractNum>
  <w:abstractNum w:abstractNumId="12" w15:restartNumberingAfterBreak="0">
    <w:nsid w:val="0000000A"/>
    <w:multiLevelType w:val="singleLevel"/>
    <w:tmpl w:val="0000000A"/>
    <w:lvl w:ilvl="0">
      <w:numFmt w:val="bullet"/>
      <w:lvlText w:val=""/>
      <w:lvlJc w:val="left"/>
      <w:pPr>
        <w:tabs>
          <w:tab w:val="num" w:pos="283"/>
        </w:tabs>
        <w:ind w:left="283" w:hanging="283"/>
      </w:pPr>
      <w:rPr>
        <w:rFonts w:ascii="Symbol" w:hAnsi="Symbol" w:cs="Symbol" w:hint="default"/>
      </w:rPr>
    </w:lvl>
  </w:abstractNum>
  <w:abstractNum w:abstractNumId="13" w15:restartNumberingAfterBreak="0">
    <w:nsid w:val="0000000B"/>
    <w:multiLevelType w:val="singleLevel"/>
    <w:tmpl w:val="0000000B"/>
    <w:lvl w:ilvl="0">
      <w:numFmt w:val="bullet"/>
      <w:lvlText w:val="-"/>
      <w:lvlJc w:val="left"/>
      <w:pPr>
        <w:tabs>
          <w:tab w:val="num" w:pos="283"/>
        </w:tabs>
        <w:ind w:left="0" w:firstLine="0"/>
      </w:pPr>
      <w:rPr>
        <w:rFonts w:ascii="Bookman Old Style" w:hAnsi="Bookman Old Style" w:cs="Bookman Old Style" w:hint="default"/>
        <w:sz w:val="24"/>
      </w:rPr>
    </w:lvl>
  </w:abstractNum>
  <w:abstractNum w:abstractNumId="14" w15:restartNumberingAfterBreak="0">
    <w:nsid w:val="0000000C"/>
    <w:multiLevelType w:val="singleLevel"/>
    <w:tmpl w:val="0000000C"/>
    <w:name w:val="WW8Num12"/>
    <w:lvl w:ilvl="0">
      <w:start w:val="1"/>
      <w:numFmt w:val="lowerLetter"/>
      <w:lvlText w:val="%1)"/>
      <w:lvlJc w:val="left"/>
      <w:pPr>
        <w:tabs>
          <w:tab w:val="num" w:pos="0"/>
        </w:tabs>
        <w:ind w:left="0" w:firstLine="0"/>
      </w:pPr>
    </w:lvl>
  </w:abstractNum>
  <w:abstractNum w:abstractNumId="15" w15:restartNumberingAfterBreak="0">
    <w:nsid w:val="0000000D"/>
    <w:multiLevelType w:val="singleLevel"/>
    <w:tmpl w:val="0000000D"/>
    <w:name w:val="WW8Num13"/>
    <w:lvl w:ilvl="0">
      <w:start w:val="1"/>
      <w:numFmt w:val="lowerLetter"/>
      <w:lvlText w:val="%1)"/>
      <w:lvlJc w:val="left"/>
      <w:pPr>
        <w:tabs>
          <w:tab w:val="num" w:pos="0"/>
        </w:tabs>
        <w:ind w:left="0" w:firstLine="0"/>
      </w:pPr>
    </w:lvl>
  </w:abstractNum>
  <w:abstractNum w:abstractNumId="16" w15:restartNumberingAfterBreak="0">
    <w:nsid w:val="0000000E"/>
    <w:multiLevelType w:val="multilevel"/>
    <w:tmpl w:val="1E8C69B0"/>
    <w:lvl w:ilvl="0">
      <w:start w:val="1"/>
      <w:numFmt w:val="bullet"/>
      <w:lvlText w:val=""/>
      <w:lvlJc w:val="left"/>
      <w:pPr>
        <w:tabs>
          <w:tab w:val="num" w:pos="992"/>
        </w:tabs>
        <w:ind w:left="992" w:hanging="283"/>
      </w:pPr>
      <w:rPr>
        <w:rFonts w:ascii="Symbol" w:hAnsi="Symbol" w:hint="default"/>
        <w:b/>
        <w:i w:val="0"/>
        <w:strike w:val="0"/>
        <w:dstrike w:val="0"/>
        <w:sz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0F"/>
    <w:multiLevelType w:val="multilevel"/>
    <w:tmpl w:val="0000000F"/>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0"/>
    <w:multiLevelType w:val="multilevel"/>
    <w:tmpl w:val="00000010"/>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1"/>
    <w:multiLevelType w:val="multilevel"/>
    <w:tmpl w:val="00000011"/>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00000012"/>
    <w:multiLevelType w:val="multilevel"/>
    <w:tmpl w:val="00000012"/>
    <w:lvl w:ilvl="0">
      <w:start w:val="14"/>
      <w:numFmt w:val="decimal"/>
      <w:lvlText w:val="%1."/>
      <w:lvlJc w:val="left"/>
      <w:pPr>
        <w:tabs>
          <w:tab w:val="num" w:pos="424"/>
        </w:tabs>
        <w:ind w:left="424"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00000013"/>
    <w:multiLevelType w:val="singleLevel"/>
    <w:tmpl w:val="00000013"/>
    <w:name w:val="WW8Num46"/>
    <w:lvl w:ilvl="0">
      <w:start w:val="1"/>
      <w:numFmt w:val="bullet"/>
      <w:lvlText w:val="–"/>
      <w:lvlJc w:val="left"/>
      <w:pPr>
        <w:tabs>
          <w:tab w:val="num" w:pos="284"/>
        </w:tabs>
        <w:ind w:left="284" w:hanging="284"/>
      </w:pPr>
      <w:rPr>
        <w:rFonts w:ascii="Times New Roman" w:hAnsi="Times New Roman" w:cs="Times New Roman" w:hint="default"/>
      </w:rPr>
    </w:lvl>
  </w:abstractNum>
  <w:abstractNum w:abstractNumId="22" w15:restartNumberingAfterBreak="0">
    <w:nsid w:val="00000014"/>
    <w:multiLevelType w:val="singleLevel"/>
    <w:tmpl w:val="00000014"/>
    <w:name w:val="WW8Num48"/>
    <w:lvl w:ilvl="0">
      <w:start w:val="1"/>
      <w:numFmt w:val="bullet"/>
      <w:lvlText w:val="–"/>
      <w:lvlJc w:val="left"/>
      <w:pPr>
        <w:tabs>
          <w:tab w:val="num" w:pos="284"/>
        </w:tabs>
        <w:ind w:left="284" w:hanging="284"/>
      </w:pPr>
      <w:rPr>
        <w:rFonts w:ascii="Times New Roman" w:hAnsi="Times New Roman" w:cs="Times New Roman" w:hint="default"/>
      </w:rPr>
    </w:lvl>
  </w:abstractNum>
  <w:abstractNum w:abstractNumId="23" w15:restartNumberingAfterBreak="0">
    <w:nsid w:val="00000015"/>
    <w:multiLevelType w:val="multilevel"/>
    <w:tmpl w:val="00000015"/>
    <w:name w:val="WW8Num50"/>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vanish w:val="0"/>
        <w:position w:val="0"/>
        <w:sz w:val="28"/>
        <w:szCs w:val="28"/>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mallCaps w:val="0"/>
        <w:strike w:val="0"/>
        <w:dstrike w:val="0"/>
        <w:outline w:val="0"/>
        <w:shadow w:val="0"/>
        <w:vanish w:val="0"/>
        <w:position w:val="0"/>
        <w:sz w:val="20"/>
        <w:szCs w:val="24"/>
        <w:vertAlign w:val="baseline"/>
      </w:rPr>
    </w:lvl>
    <w:lvl w:ilvl="2">
      <w:start w:val="1"/>
      <w:numFmt w:val="decimal"/>
      <w:lvlText w:val="%1.%2.%3."/>
      <w:lvlJc w:val="left"/>
      <w:pPr>
        <w:tabs>
          <w:tab w:val="num" w:pos="993"/>
        </w:tabs>
        <w:ind w:left="993" w:hanging="851"/>
      </w:pPr>
      <w:rPr>
        <w:rFonts w:ascii="Times New Roman" w:hAnsi="Times New Roman" w:cs="Times New Roman" w:hint="default"/>
        <w:b/>
        <w:i w:val="0"/>
        <w:caps w:val="0"/>
        <w:smallCaps w:val="0"/>
        <w:strike w:val="0"/>
        <w:dstrike w:val="0"/>
        <w:outline w:val="0"/>
        <w:shadow w:val="0"/>
        <w:vanish w:val="0"/>
        <w:position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vanish w:val="0"/>
        <w:position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24" w15:restartNumberingAfterBreak="0">
    <w:nsid w:val="00000016"/>
    <w:multiLevelType w:val="multilevel"/>
    <w:tmpl w:val="00000016"/>
    <w:name w:val="WW8Num22"/>
    <w:lvl w:ilvl="0">
      <w:numFmt w:val="bullet"/>
      <w:lvlText w:val="-"/>
      <w:lvlJc w:val="left"/>
      <w:pPr>
        <w:tabs>
          <w:tab w:val="num" w:pos="0"/>
        </w:tabs>
        <w:ind w:left="0" w:firstLine="0"/>
      </w:pPr>
      <w:rPr>
        <w:rFonts w:ascii="StarSymbol" w:hAnsi="StarSymbol"/>
      </w:rPr>
    </w:lvl>
    <w:lvl w:ilvl="1">
      <w:start w:val="1"/>
      <w:numFmt w:val="bullet"/>
      <w:lvlText w:val="o"/>
      <w:lvlJc w:val="left"/>
      <w:pPr>
        <w:tabs>
          <w:tab w:val="num" w:pos="0"/>
        </w:tabs>
        <w:ind w:left="0" w:firstLine="0"/>
      </w:pPr>
      <w:rPr>
        <w:rFonts w:ascii="Courier New" w:hAnsi="Courier New"/>
      </w:rPr>
    </w:lvl>
    <w:lvl w:ilvl="2">
      <w:start w:val="1"/>
      <w:numFmt w:val="bullet"/>
      <w:lvlText w:val=""/>
      <w:lvlJc w:val="left"/>
      <w:pPr>
        <w:tabs>
          <w:tab w:val="num" w:pos="0"/>
        </w:tabs>
        <w:ind w:left="0" w:firstLine="0"/>
      </w:pPr>
      <w:rPr>
        <w:rFonts w:ascii="Wingdings" w:hAnsi="Wingdings"/>
      </w:rPr>
    </w:lvl>
    <w:lvl w:ilvl="3">
      <w:start w:val="1"/>
      <w:numFmt w:val="bullet"/>
      <w:lvlText w:val=""/>
      <w:lvlJc w:val="left"/>
      <w:pPr>
        <w:tabs>
          <w:tab w:val="num" w:pos="0"/>
        </w:tabs>
        <w:ind w:left="0" w:firstLine="0"/>
      </w:pPr>
      <w:rPr>
        <w:rFonts w:ascii="Symbol" w:hAnsi="Symbol"/>
      </w:rPr>
    </w:lvl>
    <w:lvl w:ilvl="4">
      <w:start w:val="1"/>
      <w:numFmt w:val="bullet"/>
      <w:lvlText w:val="o"/>
      <w:lvlJc w:val="left"/>
      <w:pPr>
        <w:tabs>
          <w:tab w:val="num" w:pos="0"/>
        </w:tabs>
        <w:ind w:left="0" w:firstLine="0"/>
      </w:pPr>
      <w:rPr>
        <w:rFonts w:ascii="Courier New" w:hAnsi="Courier New"/>
      </w:rPr>
    </w:lvl>
    <w:lvl w:ilvl="5">
      <w:start w:val="1"/>
      <w:numFmt w:val="bullet"/>
      <w:lvlText w:val=""/>
      <w:lvlJc w:val="left"/>
      <w:pPr>
        <w:tabs>
          <w:tab w:val="num" w:pos="0"/>
        </w:tabs>
        <w:ind w:left="0" w:firstLine="0"/>
      </w:pPr>
      <w:rPr>
        <w:rFonts w:ascii="Wingdings" w:hAnsi="Wingdings"/>
      </w:rPr>
    </w:lvl>
    <w:lvl w:ilvl="6">
      <w:start w:val="1"/>
      <w:numFmt w:val="bullet"/>
      <w:lvlText w:val=""/>
      <w:lvlJc w:val="left"/>
      <w:pPr>
        <w:tabs>
          <w:tab w:val="num" w:pos="0"/>
        </w:tabs>
        <w:ind w:left="0" w:firstLine="0"/>
      </w:pPr>
      <w:rPr>
        <w:rFonts w:ascii="Symbol" w:hAnsi="Symbol"/>
      </w:rPr>
    </w:lvl>
    <w:lvl w:ilvl="7">
      <w:start w:val="1"/>
      <w:numFmt w:val="bullet"/>
      <w:lvlText w:val="o"/>
      <w:lvlJc w:val="left"/>
      <w:pPr>
        <w:tabs>
          <w:tab w:val="num" w:pos="0"/>
        </w:tabs>
        <w:ind w:left="0" w:firstLine="0"/>
      </w:pPr>
      <w:rPr>
        <w:rFonts w:ascii="Courier New" w:hAnsi="Courier New"/>
      </w:rPr>
    </w:lvl>
    <w:lvl w:ilvl="8">
      <w:start w:val="1"/>
      <w:numFmt w:val="bullet"/>
      <w:lvlText w:val=""/>
      <w:lvlJc w:val="left"/>
      <w:pPr>
        <w:tabs>
          <w:tab w:val="num" w:pos="0"/>
        </w:tabs>
        <w:ind w:left="0" w:firstLine="0"/>
      </w:pPr>
      <w:rPr>
        <w:rFonts w:ascii="Wingdings" w:hAnsi="Wingdings"/>
      </w:rPr>
    </w:lvl>
  </w:abstractNum>
  <w:abstractNum w:abstractNumId="25" w15:restartNumberingAfterBreak="0">
    <w:nsid w:val="00000017"/>
    <w:multiLevelType w:val="singleLevel"/>
    <w:tmpl w:val="00000017"/>
    <w:lvl w:ilvl="0">
      <w:numFmt w:val="bullet"/>
      <w:lvlText w:val=""/>
      <w:lvlJc w:val="left"/>
      <w:pPr>
        <w:tabs>
          <w:tab w:val="num" w:pos="283"/>
        </w:tabs>
        <w:ind w:left="283" w:hanging="283"/>
      </w:pPr>
      <w:rPr>
        <w:rFonts w:ascii="Symbol" w:hAnsi="Symbol" w:cs="Symbol" w:hint="default"/>
        <w:sz w:val="20"/>
      </w:rPr>
    </w:lvl>
  </w:abstractNum>
  <w:abstractNum w:abstractNumId="26" w15:restartNumberingAfterBreak="0">
    <w:nsid w:val="00000018"/>
    <w:multiLevelType w:val="multilevel"/>
    <w:tmpl w:val="00000018"/>
    <w:lvl w:ilvl="0">
      <w:start w:val="1"/>
      <w:numFmt w:val="bullet"/>
      <w:lvlText w:val="–"/>
      <w:lvlJc w:val="left"/>
      <w:pPr>
        <w:tabs>
          <w:tab w:val="num" w:pos="284"/>
        </w:tabs>
        <w:ind w:left="284" w:hanging="284"/>
      </w:pPr>
      <w:rPr>
        <w:rFonts w:ascii="Times New Roman" w:hAnsi="Times New Roman" w:cs="Times New Roman" w:hint="default"/>
      </w:rPr>
    </w:lvl>
    <w:lvl w:ilvl="1">
      <w:start w:val="1"/>
      <w:numFmt w:val="lowerLetter"/>
      <w:lvlText w:val="%2)"/>
      <w:lvlJc w:val="left"/>
      <w:pPr>
        <w:tabs>
          <w:tab w:val="num" w:pos="708"/>
        </w:tabs>
        <w:ind w:left="964" w:hanging="397"/>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0000001A"/>
    <w:multiLevelType w:val="multilevel"/>
    <w:tmpl w:val="0000001A"/>
    <w:lvl w:ilvl="0">
      <w:start w:val="1"/>
      <w:numFmt w:val="lowerLetter"/>
      <w:lvlText w:val="%1)"/>
      <w:lvlJc w:val="left"/>
      <w:pPr>
        <w:tabs>
          <w:tab w:val="num" w:pos="340"/>
        </w:tabs>
        <w:ind w:left="340" w:hanging="34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0000001B"/>
    <w:multiLevelType w:val="multilevel"/>
    <w:tmpl w:val="0000001B"/>
    <w:lvl w:ilvl="0">
      <w:start w:val="1"/>
      <w:numFmt w:val="lowerLetter"/>
      <w:lvlText w:val="%1)"/>
      <w:lvlJc w:val="left"/>
      <w:pPr>
        <w:tabs>
          <w:tab w:val="num" w:pos="340"/>
        </w:tabs>
        <w:ind w:left="340" w:hanging="34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0000001C"/>
    <w:multiLevelType w:val="multilevel"/>
    <w:tmpl w:val="0000001C"/>
    <w:lvl w:ilvl="0">
      <w:start w:val="1"/>
      <w:numFmt w:val="lowerLetter"/>
      <w:lvlText w:val="%1)"/>
      <w:lvlJc w:val="left"/>
      <w:pPr>
        <w:tabs>
          <w:tab w:val="num" w:pos="340"/>
        </w:tabs>
        <w:ind w:left="340" w:hanging="34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0000001D"/>
    <w:multiLevelType w:val="multilevel"/>
    <w:tmpl w:val="0000001D"/>
    <w:lvl w:ilvl="0">
      <w:start w:val="2"/>
      <w:numFmt w:val="decimal"/>
      <w:lvlText w:val="%1."/>
      <w:lvlJc w:val="left"/>
      <w:pPr>
        <w:tabs>
          <w:tab w:val="num" w:pos="540"/>
        </w:tabs>
        <w:ind w:left="540" w:hanging="540"/>
      </w:pPr>
      <w:rPr>
        <w:b/>
      </w:rPr>
    </w:lvl>
    <w:lvl w:ilvl="1">
      <w:start w:val="2"/>
      <w:numFmt w:val="decimal"/>
      <w:lvlText w:val="%1.%2."/>
      <w:lvlJc w:val="left"/>
      <w:pPr>
        <w:tabs>
          <w:tab w:val="num" w:pos="540"/>
        </w:tabs>
        <w:ind w:left="540" w:hanging="540"/>
      </w:pPr>
      <w:rPr>
        <w:b/>
      </w:rPr>
    </w:lvl>
    <w:lvl w:ilvl="2">
      <w:start w:val="5"/>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31" w15:restartNumberingAfterBreak="0">
    <w:nsid w:val="0000001E"/>
    <w:multiLevelType w:val="multilevel"/>
    <w:tmpl w:val="0000001E"/>
    <w:lvl w:ilvl="0">
      <w:start w:val="1"/>
      <w:numFmt w:val="lowerLetter"/>
      <w:lvlText w:val="%1)"/>
      <w:lvlJc w:val="left"/>
      <w:pPr>
        <w:tabs>
          <w:tab w:val="num" w:pos="737"/>
        </w:tabs>
        <w:ind w:left="737" w:hanging="377"/>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0000001F"/>
    <w:multiLevelType w:val="multilevel"/>
    <w:tmpl w:val="0000001F"/>
    <w:lvl w:ilvl="0">
      <w:start w:val="1"/>
      <w:numFmt w:val="decimal"/>
      <w:lvlText w:val="%1. "/>
      <w:lvlJc w:val="left"/>
      <w:pPr>
        <w:tabs>
          <w:tab w:val="num" w:pos="283"/>
        </w:tabs>
        <w:ind w:left="283" w:hanging="283"/>
      </w:pPr>
      <w:rPr>
        <w:rFonts w:ascii="Times New Roman" w:hAnsi="Times New Roman" w:cs="Times New Roman" w:hint="default"/>
        <w:b w:val="0"/>
        <w:i w:val="0"/>
        <w:strike w:val="0"/>
        <w:dstrike w:val="0"/>
        <w:sz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00000020"/>
    <w:multiLevelType w:val="multilevel"/>
    <w:tmpl w:val="00000020"/>
    <w:lvl w:ilvl="0">
      <w:start w:val="1"/>
      <w:numFmt w:val="lowerLetter"/>
      <w:lvlText w:val="%1)"/>
      <w:lvlJc w:val="left"/>
      <w:pPr>
        <w:tabs>
          <w:tab w:val="num" w:pos="397"/>
        </w:tabs>
        <w:ind w:left="397" w:hanging="397"/>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005A1CA9"/>
    <w:multiLevelType w:val="hybridMultilevel"/>
    <w:tmpl w:val="8C5C428E"/>
    <w:lvl w:ilvl="0" w:tplc="AFE47436">
      <w:start w:val="1"/>
      <w:numFmt w:val="decimal"/>
      <w:lvlText w:val="%1"/>
      <w:lvlJc w:val="left"/>
      <w:pPr>
        <w:ind w:left="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D4D0B57C">
      <w:start w:val="1"/>
      <w:numFmt w:val="lowerLetter"/>
      <w:lvlText w:val="%2"/>
      <w:lvlJc w:val="left"/>
      <w:pPr>
        <w:ind w:left="128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F8E40C68">
      <w:start w:val="1"/>
      <w:numFmt w:val="lowerRoman"/>
      <w:lvlText w:val="%3"/>
      <w:lvlJc w:val="left"/>
      <w:pPr>
        <w:ind w:left="200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7C67944">
      <w:start w:val="1"/>
      <w:numFmt w:val="decimal"/>
      <w:lvlText w:val="%4"/>
      <w:lvlJc w:val="left"/>
      <w:pPr>
        <w:ind w:left="272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9465D24">
      <w:start w:val="1"/>
      <w:numFmt w:val="lowerLetter"/>
      <w:lvlText w:val="%5"/>
      <w:lvlJc w:val="left"/>
      <w:pPr>
        <w:ind w:left="344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CBBA4542">
      <w:start w:val="1"/>
      <w:numFmt w:val="lowerRoman"/>
      <w:lvlText w:val="%6"/>
      <w:lvlJc w:val="left"/>
      <w:pPr>
        <w:ind w:left="416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63B6A4B8">
      <w:start w:val="1"/>
      <w:numFmt w:val="decimal"/>
      <w:lvlText w:val="%7"/>
      <w:lvlJc w:val="left"/>
      <w:pPr>
        <w:ind w:left="488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D0B8CA42">
      <w:start w:val="1"/>
      <w:numFmt w:val="lowerLetter"/>
      <w:lvlText w:val="%8"/>
      <w:lvlJc w:val="left"/>
      <w:pPr>
        <w:ind w:left="560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CBCCDC3E">
      <w:start w:val="1"/>
      <w:numFmt w:val="lowerRoman"/>
      <w:lvlText w:val="%9"/>
      <w:lvlJc w:val="left"/>
      <w:pPr>
        <w:ind w:left="632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00892757"/>
    <w:multiLevelType w:val="hybridMultilevel"/>
    <w:tmpl w:val="DE248BD0"/>
    <w:lvl w:ilvl="0" w:tplc="25AC8F5A">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6A27F08">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30CD606">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7A0551E">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114499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5A893D8">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552F658">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238A04A">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2846C0A">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00A015CB"/>
    <w:multiLevelType w:val="multilevel"/>
    <w:tmpl w:val="A704D01C"/>
    <w:lvl w:ilvl="0">
      <w:start w:val="1"/>
      <w:numFmt w:val="decimal"/>
      <w:lvlText w:val="%1."/>
      <w:lvlJc w:val="left"/>
      <w:pPr>
        <w:ind w:left="0"/>
      </w:pPr>
      <w:rPr>
        <w:rFonts w:ascii="Times New Roman" w:eastAsia="Verdana"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0"/>
      </w:pPr>
      <w:rPr>
        <w:rFonts w:ascii="Times New Roman" w:eastAsia="Verdana" w:hAnsi="Times New Roman" w:cs="Times New Roman" w:hint="default"/>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00B42A9D"/>
    <w:multiLevelType w:val="hybridMultilevel"/>
    <w:tmpl w:val="14F8F1BC"/>
    <w:lvl w:ilvl="0" w:tplc="593A6F46">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EEC234C">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D4C5AEC">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F503B5E">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CF83A4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B24B6D0">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A6A3962">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46A8E0E">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5C8F38E">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00F94880"/>
    <w:multiLevelType w:val="multilevel"/>
    <w:tmpl w:val="8B304A4C"/>
    <w:lvl w:ilvl="0">
      <w:start w:val="2"/>
      <w:numFmt w:val="decimal"/>
      <w:lvlText w:val="%1."/>
      <w:lvlJc w:val="left"/>
      <w:pPr>
        <w:tabs>
          <w:tab w:val="num" w:pos="570"/>
        </w:tabs>
        <w:ind w:left="570" w:hanging="570"/>
      </w:pPr>
      <w:rPr>
        <w:rFonts w:ascii="Times New Roman" w:hAnsi="Times New Roman" w:cs="Times New Roman"/>
        <w:b/>
        <w:bCs/>
        <w:sz w:val="24"/>
        <w:szCs w:val="24"/>
      </w:rPr>
    </w:lvl>
    <w:lvl w:ilvl="1">
      <w:start w:val="1"/>
      <w:numFmt w:val="decimal"/>
      <w:lvlText w:val="%1.%2."/>
      <w:lvlJc w:val="left"/>
      <w:pPr>
        <w:tabs>
          <w:tab w:val="num" w:pos="420"/>
        </w:tabs>
        <w:ind w:left="420" w:hanging="420"/>
      </w:pPr>
      <w:rPr>
        <w:rFonts w:ascii="Arial" w:hAnsi="Arial" w:cs="Arial"/>
        <w:b/>
        <w:bCs/>
        <w:sz w:val="18"/>
        <w:szCs w:val="18"/>
      </w:rPr>
    </w:lvl>
    <w:lvl w:ilvl="2">
      <w:start w:val="1"/>
      <w:numFmt w:val="decimal"/>
      <w:lvlText w:val="%1.2.%3."/>
      <w:lvlJc w:val="left"/>
      <w:pPr>
        <w:tabs>
          <w:tab w:val="num" w:pos="675"/>
        </w:tabs>
        <w:ind w:left="675" w:hanging="675"/>
      </w:pPr>
      <w:rPr>
        <w:rFonts w:ascii="Arial" w:hAnsi="Arial" w:cs="Arial"/>
        <w:b/>
        <w:bCs/>
        <w:sz w:val="18"/>
        <w:szCs w:val="18"/>
      </w:rPr>
    </w:lvl>
    <w:lvl w:ilvl="3">
      <w:start w:val="1"/>
      <w:numFmt w:val="decimal"/>
      <w:lvlText w:val="%1.%2.%3.%4."/>
      <w:lvlJc w:val="left"/>
      <w:pPr>
        <w:tabs>
          <w:tab w:val="num" w:pos="720"/>
        </w:tabs>
        <w:ind w:left="720" w:hanging="720"/>
      </w:pPr>
      <w:rPr>
        <w:rFonts w:ascii="Times New Roman" w:hAnsi="Times New Roman" w:cs="Times New Roman"/>
        <w:b/>
        <w:bCs/>
        <w:sz w:val="24"/>
        <w:szCs w:val="24"/>
      </w:rPr>
    </w:lvl>
    <w:lvl w:ilvl="4">
      <w:start w:val="1"/>
      <w:numFmt w:val="decimal"/>
      <w:lvlText w:val="%1.%2.%3.%4.%5."/>
      <w:lvlJc w:val="left"/>
      <w:pPr>
        <w:tabs>
          <w:tab w:val="num" w:pos="1080"/>
        </w:tabs>
        <w:ind w:left="1080" w:hanging="1080"/>
      </w:pPr>
      <w:rPr>
        <w:rFonts w:ascii="Times New Roman" w:hAnsi="Times New Roman" w:cs="Times New Roman"/>
        <w:b/>
        <w:bCs/>
        <w:sz w:val="24"/>
        <w:szCs w:val="24"/>
      </w:rPr>
    </w:lvl>
    <w:lvl w:ilvl="5">
      <w:start w:val="1"/>
      <w:numFmt w:val="decimal"/>
      <w:lvlText w:val="%1.%2.%3.%4.%5.%6."/>
      <w:lvlJc w:val="left"/>
      <w:pPr>
        <w:tabs>
          <w:tab w:val="num" w:pos="1080"/>
        </w:tabs>
        <w:ind w:left="1080" w:hanging="1080"/>
      </w:pPr>
      <w:rPr>
        <w:rFonts w:ascii="Times New Roman" w:hAnsi="Times New Roman" w:cs="Times New Roman"/>
        <w:b/>
        <w:bCs/>
        <w:sz w:val="24"/>
        <w:szCs w:val="24"/>
      </w:rPr>
    </w:lvl>
    <w:lvl w:ilvl="6">
      <w:start w:val="1"/>
      <w:numFmt w:val="decimal"/>
      <w:lvlText w:val="%1.%2.%3.%4.%5.%6.%7."/>
      <w:lvlJc w:val="left"/>
      <w:pPr>
        <w:tabs>
          <w:tab w:val="num" w:pos="1080"/>
        </w:tabs>
        <w:ind w:left="1080" w:hanging="1080"/>
      </w:pPr>
      <w:rPr>
        <w:rFonts w:ascii="Times New Roman" w:hAnsi="Times New Roman" w:cs="Times New Roman"/>
        <w:b/>
        <w:bCs/>
        <w:sz w:val="24"/>
        <w:szCs w:val="24"/>
      </w:rPr>
    </w:lvl>
    <w:lvl w:ilvl="7">
      <w:start w:val="1"/>
      <w:numFmt w:val="decimal"/>
      <w:lvlText w:val="%1.%2.%3.%4.%5.%6.%7.%8."/>
      <w:lvlJc w:val="left"/>
      <w:pPr>
        <w:tabs>
          <w:tab w:val="num" w:pos="1440"/>
        </w:tabs>
        <w:ind w:left="1440" w:hanging="1440"/>
      </w:pPr>
      <w:rPr>
        <w:rFonts w:ascii="Times New Roman" w:hAnsi="Times New Roman" w:cs="Times New Roman"/>
        <w:b/>
        <w:bCs/>
        <w:sz w:val="24"/>
        <w:szCs w:val="24"/>
      </w:rPr>
    </w:lvl>
    <w:lvl w:ilvl="8">
      <w:start w:val="1"/>
      <w:numFmt w:val="decimal"/>
      <w:lvlText w:val="%1.%2.%3.%4.%5.%6.%7.%8.%9."/>
      <w:lvlJc w:val="left"/>
      <w:pPr>
        <w:tabs>
          <w:tab w:val="num" w:pos="1440"/>
        </w:tabs>
        <w:ind w:left="1440" w:hanging="1440"/>
      </w:pPr>
      <w:rPr>
        <w:rFonts w:ascii="Times New Roman" w:hAnsi="Times New Roman" w:cs="Times New Roman"/>
        <w:b/>
        <w:bCs/>
        <w:sz w:val="24"/>
        <w:szCs w:val="24"/>
      </w:rPr>
    </w:lvl>
  </w:abstractNum>
  <w:abstractNum w:abstractNumId="39" w15:restartNumberingAfterBreak="0">
    <w:nsid w:val="012647B9"/>
    <w:multiLevelType w:val="hybridMultilevel"/>
    <w:tmpl w:val="780E15DA"/>
    <w:lvl w:ilvl="0" w:tplc="AAC01A82">
      <w:start w:val="1"/>
      <w:numFmt w:val="bullet"/>
      <w:lvlText w:val="–"/>
      <w:lvlJc w:val="left"/>
      <w:pPr>
        <w:ind w:left="5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C3E693C">
      <w:start w:val="1"/>
      <w:numFmt w:val="bullet"/>
      <w:lvlText w:val="o"/>
      <w:lvlJc w:val="left"/>
      <w:pPr>
        <w:ind w:left="12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0CCBAEE">
      <w:start w:val="1"/>
      <w:numFmt w:val="bullet"/>
      <w:lvlText w:val="▪"/>
      <w:lvlJc w:val="left"/>
      <w:pPr>
        <w:ind w:left="20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59EDB48">
      <w:start w:val="1"/>
      <w:numFmt w:val="bullet"/>
      <w:lvlText w:val="•"/>
      <w:lvlJc w:val="left"/>
      <w:pPr>
        <w:ind w:left="27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BA0C864">
      <w:start w:val="1"/>
      <w:numFmt w:val="bullet"/>
      <w:lvlText w:val="o"/>
      <w:lvlJc w:val="left"/>
      <w:pPr>
        <w:ind w:left="34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4901D84">
      <w:start w:val="1"/>
      <w:numFmt w:val="bullet"/>
      <w:lvlText w:val="▪"/>
      <w:lvlJc w:val="left"/>
      <w:pPr>
        <w:ind w:left="41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8381E34">
      <w:start w:val="1"/>
      <w:numFmt w:val="bullet"/>
      <w:lvlText w:val="•"/>
      <w:lvlJc w:val="left"/>
      <w:pPr>
        <w:ind w:left="48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89EE026">
      <w:start w:val="1"/>
      <w:numFmt w:val="bullet"/>
      <w:lvlText w:val="o"/>
      <w:lvlJc w:val="left"/>
      <w:pPr>
        <w:ind w:left="56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82C34FC">
      <w:start w:val="1"/>
      <w:numFmt w:val="bullet"/>
      <w:lvlText w:val="▪"/>
      <w:lvlJc w:val="left"/>
      <w:pPr>
        <w:ind w:left="63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0" w15:restartNumberingAfterBreak="0">
    <w:nsid w:val="0156655B"/>
    <w:multiLevelType w:val="singleLevel"/>
    <w:tmpl w:val="4232E3F4"/>
    <w:lvl w:ilvl="0">
      <w:start w:val="3"/>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41" w15:restartNumberingAfterBreak="0">
    <w:nsid w:val="01F36BFD"/>
    <w:multiLevelType w:val="hybridMultilevel"/>
    <w:tmpl w:val="1914691C"/>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B6AC7BA6">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3A6760A">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80E01A2">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1848DDA">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FA88D74">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950927A">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5D87844">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9A69CCC">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2" w15:restartNumberingAfterBreak="0">
    <w:nsid w:val="032D122B"/>
    <w:multiLevelType w:val="multilevel"/>
    <w:tmpl w:val="F8DCDBC6"/>
    <w:lvl w:ilvl="0">
      <w:start w:val="5"/>
      <w:numFmt w:val="decimal"/>
      <w:lvlText w:val="%1"/>
      <w:lvlJc w:val="left"/>
      <w:pPr>
        <w:ind w:left="480" w:hanging="480"/>
      </w:pPr>
      <w:rPr>
        <w:rFonts w:hint="default"/>
      </w:rPr>
    </w:lvl>
    <w:lvl w:ilvl="1">
      <w:start w:val="5"/>
      <w:numFmt w:val="decimal"/>
      <w:lvlText w:val="%1.%2"/>
      <w:lvlJc w:val="left"/>
      <w:pPr>
        <w:ind w:left="971" w:hanging="720"/>
      </w:pPr>
      <w:rPr>
        <w:rFonts w:hint="default"/>
      </w:rPr>
    </w:lvl>
    <w:lvl w:ilvl="2">
      <w:start w:val="2"/>
      <w:numFmt w:val="decimal"/>
      <w:lvlText w:val="%1.%2.%3"/>
      <w:lvlJc w:val="left"/>
      <w:pPr>
        <w:ind w:left="1222" w:hanging="720"/>
      </w:pPr>
      <w:rPr>
        <w:rFonts w:hint="default"/>
        <w:b/>
      </w:rPr>
    </w:lvl>
    <w:lvl w:ilvl="3">
      <w:start w:val="1"/>
      <w:numFmt w:val="decimal"/>
      <w:lvlText w:val="%1.%2.%3.%4"/>
      <w:lvlJc w:val="left"/>
      <w:pPr>
        <w:ind w:left="1833" w:hanging="1080"/>
      </w:pPr>
      <w:rPr>
        <w:rFonts w:hint="default"/>
      </w:rPr>
    </w:lvl>
    <w:lvl w:ilvl="4">
      <w:start w:val="1"/>
      <w:numFmt w:val="decimal"/>
      <w:lvlText w:val="%1.%2.%3.%4.%5"/>
      <w:lvlJc w:val="left"/>
      <w:pPr>
        <w:ind w:left="2084" w:hanging="1080"/>
      </w:pPr>
      <w:rPr>
        <w:rFonts w:hint="default"/>
      </w:rPr>
    </w:lvl>
    <w:lvl w:ilvl="5">
      <w:start w:val="1"/>
      <w:numFmt w:val="decimal"/>
      <w:lvlText w:val="%1.%2.%3.%4.%5.%6"/>
      <w:lvlJc w:val="left"/>
      <w:pPr>
        <w:ind w:left="2695" w:hanging="1440"/>
      </w:pPr>
      <w:rPr>
        <w:rFonts w:hint="default"/>
      </w:rPr>
    </w:lvl>
    <w:lvl w:ilvl="6">
      <w:start w:val="1"/>
      <w:numFmt w:val="decimal"/>
      <w:lvlText w:val="%1.%2.%3.%4.%5.%6.%7"/>
      <w:lvlJc w:val="left"/>
      <w:pPr>
        <w:ind w:left="2946" w:hanging="1440"/>
      </w:pPr>
      <w:rPr>
        <w:rFonts w:hint="default"/>
      </w:rPr>
    </w:lvl>
    <w:lvl w:ilvl="7">
      <w:start w:val="1"/>
      <w:numFmt w:val="decimal"/>
      <w:lvlText w:val="%1.%2.%3.%4.%5.%6.%7.%8"/>
      <w:lvlJc w:val="left"/>
      <w:pPr>
        <w:ind w:left="3557" w:hanging="1800"/>
      </w:pPr>
      <w:rPr>
        <w:rFonts w:hint="default"/>
      </w:rPr>
    </w:lvl>
    <w:lvl w:ilvl="8">
      <w:start w:val="1"/>
      <w:numFmt w:val="decimal"/>
      <w:lvlText w:val="%1.%2.%3.%4.%5.%6.%7.%8.%9"/>
      <w:lvlJc w:val="left"/>
      <w:pPr>
        <w:ind w:left="4168" w:hanging="2160"/>
      </w:pPr>
      <w:rPr>
        <w:rFonts w:hint="default"/>
      </w:rPr>
    </w:lvl>
  </w:abstractNum>
  <w:abstractNum w:abstractNumId="43" w15:restartNumberingAfterBreak="0">
    <w:nsid w:val="034C16BB"/>
    <w:multiLevelType w:val="multilevel"/>
    <w:tmpl w:val="0415001D"/>
    <w:styleLink w:val="DoSTWiORB"/>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036B52A4"/>
    <w:multiLevelType w:val="hybridMultilevel"/>
    <w:tmpl w:val="0D34CAEC"/>
    <w:lvl w:ilvl="0" w:tplc="3B243C9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4462B01"/>
    <w:multiLevelType w:val="hybridMultilevel"/>
    <w:tmpl w:val="FCC49B0E"/>
    <w:lvl w:ilvl="0" w:tplc="E438C4E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2C6B3EA">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DAAD8E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E9897FA">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CCE739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1A63252">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0FA64D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6ACD6A0">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6A06BC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6" w15:restartNumberingAfterBreak="0">
    <w:nsid w:val="04921164"/>
    <w:multiLevelType w:val="hybridMultilevel"/>
    <w:tmpl w:val="A036B886"/>
    <w:lvl w:ilvl="0" w:tplc="787A656E">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DF8A656">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F80DB24">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6D07240">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5ACC1F4">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B7CBBC4">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47ECDF6">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226AEC2">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DB06132">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7" w15:restartNumberingAfterBreak="0">
    <w:nsid w:val="04A022F9"/>
    <w:multiLevelType w:val="hybridMultilevel"/>
    <w:tmpl w:val="CFB4ACD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056A6692"/>
    <w:multiLevelType w:val="hybridMultilevel"/>
    <w:tmpl w:val="8E9EAC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05B23AF3"/>
    <w:multiLevelType w:val="hybridMultilevel"/>
    <w:tmpl w:val="96FCEC18"/>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06285AC1"/>
    <w:multiLevelType w:val="hybridMultilevel"/>
    <w:tmpl w:val="C8865900"/>
    <w:lvl w:ilvl="0" w:tplc="2F789A32">
      <w:start w:val="1"/>
      <w:numFmt w:val="bullet"/>
      <w:lvlText w:val=""/>
      <w:lvlJc w:val="left"/>
      <w:pPr>
        <w:ind w:left="1212"/>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B4C809D2">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9A63C82">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F5EEB56">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F20D8FC">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6608430">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ECC8CEE">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71256BE">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8AE6E3C">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065820D1"/>
    <w:multiLevelType w:val="hybridMultilevel"/>
    <w:tmpl w:val="4FA02D44"/>
    <w:lvl w:ilvl="0" w:tplc="0B54EAC8">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460EBD4">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C103C54">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1C056D8">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D98A52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D2CEB8C">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BC822B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7327538">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9241E86">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2" w15:restartNumberingAfterBreak="0">
    <w:nsid w:val="07225F65"/>
    <w:multiLevelType w:val="multilevel"/>
    <w:tmpl w:val="C58C0ADC"/>
    <w:lvl w:ilvl="0">
      <w:numFmt w:val="bullet"/>
      <w:lvlText w:val=""/>
      <w:lvlJc w:val="left"/>
      <w:pPr>
        <w:tabs>
          <w:tab w:val="num" w:pos="360"/>
        </w:tabs>
        <w:ind w:left="360" w:hanging="360"/>
      </w:pPr>
      <w:rPr>
        <w:rFonts w:ascii="Symbol" w:hAnsi="Symbol" w:cs="Symbol" w:hint="default"/>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073B0EAA"/>
    <w:multiLevelType w:val="hybridMultilevel"/>
    <w:tmpl w:val="829AAE1E"/>
    <w:lvl w:ilvl="0" w:tplc="0FD268FC">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54" w15:restartNumberingAfterBreak="0">
    <w:nsid w:val="0771316A"/>
    <w:multiLevelType w:val="hybridMultilevel"/>
    <w:tmpl w:val="AC8032D4"/>
    <w:lvl w:ilvl="0" w:tplc="66CC1BFE">
      <w:start w:val="1"/>
      <w:numFmt w:val="decimal"/>
      <w:lvlText w:val="%1."/>
      <w:lvlJc w:val="left"/>
      <w:pPr>
        <w:ind w:left="360"/>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024EB658">
      <w:start w:val="1"/>
      <w:numFmt w:val="lowerLetter"/>
      <w:lvlText w:val="%2"/>
      <w:lvlJc w:val="left"/>
      <w:pPr>
        <w:ind w:left="114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DBBC7D64">
      <w:start w:val="1"/>
      <w:numFmt w:val="lowerRoman"/>
      <w:lvlText w:val="%3"/>
      <w:lvlJc w:val="left"/>
      <w:pPr>
        <w:ind w:left="186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F0F6963C">
      <w:start w:val="1"/>
      <w:numFmt w:val="decimal"/>
      <w:lvlText w:val="%4"/>
      <w:lvlJc w:val="left"/>
      <w:pPr>
        <w:ind w:left="258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29224F36">
      <w:start w:val="1"/>
      <w:numFmt w:val="lowerLetter"/>
      <w:lvlText w:val="%5"/>
      <w:lvlJc w:val="left"/>
      <w:pPr>
        <w:ind w:left="330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1B68CEBE">
      <w:start w:val="1"/>
      <w:numFmt w:val="lowerRoman"/>
      <w:lvlText w:val="%6"/>
      <w:lvlJc w:val="left"/>
      <w:pPr>
        <w:ind w:left="402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07407752">
      <w:start w:val="1"/>
      <w:numFmt w:val="decimal"/>
      <w:lvlText w:val="%7"/>
      <w:lvlJc w:val="left"/>
      <w:pPr>
        <w:ind w:left="474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F3849ADC">
      <w:start w:val="1"/>
      <w:numFmt w:val="lowerLetter"/>
      <w:lvlText w:val="%8"/>
      <w:lvlJc w:val="left"/>
      <w:pPr>
        <w:ind w:left="546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CD8B82A">
      <w:start w:val="1"/>
      <w:numFmt w:val="lowerRoman"/>
      <w:lvlText w:val="%9"/>
      <w:lvlJc w:val="left"/>
      <w:pPr>
        <w:ind w:left="618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55" w15:restartNumberingAfterBreak="0">
    <w:nsid w:val="079334DA"/>
    <w:multiLevelType w:val="hybridMultilevel"/>
    <w:tmpl w:val="BF247EF2"/>
    <w:lvl w:ilvl="0" w:tplc="0FD268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07E34CE5"/>
    <w:multiLevelType w:val="hybridMultilevel"/>
    <w:tmpl w:val="57F6D65E"/>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A8B25820">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7724700">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CD4B58C">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9D23EC2">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9C9414">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752A4A6">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CA68BF0">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450B6E4">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7" w15:restartNumberingAfterBreak="0">
    <w:nsid w:val="07E47015"/>
    <w:multiLevelType w:val="multilevel"/>
    <w:tmpl w:val="1250DBC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8" w15:restartNumberingAfterBreak="0">
    <w:nsid w:val="0801385B"/>
    <w:multiLevelType w:val="singleLevel"/>
    <w:tmpl w:val="52D2D37A"/>
    <w:lvl w:ilvl="0">
      <w:start w:val="1"/>
      <w:numFmt w:val="decimal"/>
      <w:pStyle w:val="Litera"/>
      <w:lvlText w:val="%1."/>
      <w:legacy w:legacy="1" w:legacySpace="0" w:legacyIndent="288"/>
      <w:lvlJc w:val="left"/>
      <w:pPr>
        <w:ind w:left="288" w:hanging="288"/>
      </w:pPr>
    </w:lvl>
  </w:abstractNum>
  <w:abstractNum w:abstractNumId="59" w15:restartNumberingAfterBreak="0">
    <w:nsid w:val="085E3460"/>
    <w:multiLevelType w:val="singleLevel"/>
    <w:tmpl w:val="12FCC392"/>
    <w:lvl w:ilvl="0">
      <w:start w:val="1"/>
      <w:numFmt w:val="lowerLetter"/>
      <w:lvlText w:val="%1)"/>
      <w:legacy w:legacy="1" w:legacySpace="0" w:legacyIndent="283"/>
      <w:lvlJc w:val="left"/>
      <w:pPr>
        <w:ind w:left="283" w:hanging="283"/>
      </w:pPr>
    </w:lvl>
  </w:abstractNum>
  <w:abstractNum w:abstractNumId="60" w15:restartNumberingAfterBreak="0">
    <w:nsid w:val="086B1CEB"/>
    <w:multiLevelType w:val="hybridMultilevel"/>
    <w:tmpl w:val="DFDCBD60"/>
    <w:lvl w:ilvl="0" w:tplc="D23031AC">
      <w:start w:val="1"/>
      <w:numFmt w:val="bullet"/>
      <w:lvlText w:val="–"/>
      <w:lvlJc w:val="left"/>
      <w:pPr>
        <w:ind w:left="720" w:hanging="360"/>
      </w:pPr>
      <w:rPr>
        <w:rFonts w:ascii="Times New Roman" w:eastAsia="Times New Roman" w:hAnsi="Times New Roman" w:cs="Times New Roman" w:hint="default"/>
        <w:b w:val="0"/>
        <w:i w:val="0"/>
        <w:strike w:val="0"/>
        <w:dstrike w:val="0"/>
        <w:color w:val="000000"/>
        <w:sz w:val="16"/>
        <w:szCs w:val="16"/>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088C18CA"/>
    <w:multiLevelType w:val="hybridMultilevel"/>
    <w:tmpl w:val="563834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08AF466D"/>
    <w:multiLevelType w:val="multilevel"/>
    <w:tmpl w:val="2C4E198C"/>
    <w:lvl w:ilvl="0">
      <w:start w:val="1"/>
      <w:numFmt w:val="lowerLetter"/>
      <w:lvlText w:val="%1)"/>
      <w:lvlJc w:val="left"/>
      <w:pPr>
        <w:tabs>
          <w:tab w:val="num" w:pos="360"/>
        </w:tabs>
        <w:ind w:left="360" w:hanging="360"/>
      </w:pPr>
      <w:rPr>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3" w15:restartNumberingAfterBreak="0">
    <w:nsid w:val="099246F8"/>
    <w:multiLevelType w:val="hybridMultilevel"/>
    <w:tmpl w:val="CE260338"/>
    <w:lvl w:ilvl="0" w:tplc="DB643F26">
      <w:start w:val="1"/>
      <w:numFmt w:val="decimal"/>
      <w:lvlText w:val="%1."/>
      <w:lvlJc w:val="left"/>
      <w:pPr>
        <w:ind w:left="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1" w:tplc="F4645D52">
      <w:start w:val="1"/>
      <w:numFmt w:val="lowerLetter"/>
      <w:lvlText w:val="%2"/>
      <w:lvlJc w:val="left"/>
      <w:pPr>
        <w:ind w:left="11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2" w:tplc="72909584">
      <w:start w:val="1"/>
      <w:numFmt w:val="lowerRoman"/>
      <w:lvlText w:val="%3"/>
      <w:lvlJc w:val="left"/>
      <w:pPr>
        <w:ind w:left="18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3" w:tplc="8FC85F9A">
      <w:start w:val="1"/>
      <w:numFmt w:val="decimal"/>
      <w:lvlText w:val="%4"/>
      <w:lvlJc w:val="left"/>
      <w:pPr>
        <w:ind w:left="25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4" w:tplc="204C6A82">
      <w:start w:val="1"/>
      <w:numFmt w:val="lowerLetter"/>
      <w:lvlText w:val="%5"/>
      <w:lvlJc w:val="left"/>
      <w:pPr>
        <w:ind w:left="331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5" w:tplc="97BEF674">
      <w:start w:val="1"/>
      <w:numFmt w:val="lowerRoman"/>
      <w:lvlText w:val="%6"/>
      <w:lvlJc w:val="left"/>
      <w:pPr>
        <w:ind w:left="403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6" w:tplc="7946131A">
      <w:start w:val="1"/>
      <w:numFmt w:val="decimal"/>
      <w:lvlText w:val="%7"/>
      <w:lvlJc w:val="left"/>
      <w:pPr>
        <w:ind w:left="47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7" w:tplc="1B46BC68">
      <w:start w:val="1"/>
      <w:numFmt w:val="lowerLetter"/>
      <w:lvlText w:val="%8"/>
      <w:lvlJc w:val="left"/>
      <w:pPr>
        <w:ind w:left="54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8" w:tplc="70EC9EDC">
      <w:start w:val="1"/>
      <w:numFmt w:val="lowerRoman"/>
      <w:lvlText w:val="%9"/>
      <w:lvlJc w:val="left"/>
      <w:pPr>
        <w:ind w:left="61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abstractNum>
  <w:abstractNum w:abstractNumId="64" w15:restartNumberingAfterBreak="0">
    <w:nsid w:val="09DB3B50"/>
    <w:multiLevelType w:val="hybridMultilevel"/>
    <w:tmpl w:val="7B364C68"/>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5" w15:restartNumberingAfterBreak="0">
    <w:nsid w:val="09F812CC"/>
    <w:multiLevelType w:val="multilevel"/>
    <w:tmpl w:val="A5A64C7E"/>
    <w:lvl w:ilvl="0">
      <w:start w:val="1"/>
      <w:numFmt w:val="bullet"/>
      <w:pStyle w:val="ListanormAII"/>
      <w:lvlText w:val=""/>
      <w:lvlJc w:val="left"/>
      <w:pPr>
        <w:tabs>
          <w:tab w:val="num" w:pos="851"/>
        </w:tabs>
        <w:ind w:left="2438" w:hanging="1984"/>
      </w:pPr>
      <w:rPr>
        <w:rFonts w:ascii="Symbol" w:hAnsi="Symbol" w:hint="default"/>
        <w:sz w:val="18"/>
      </w:rPr>
    </w:lvl>
    <w:lvl w:ilvl="1">
      <w:start w:val="1"/>
      <w:numFmt w:val="decimal"/>
      <w:lvlText w:val="%2"/>
      <w:lvlJc w:val="left"/>
      <w:pPr>
        <w:tabs>
          <w:tab w:val="num" w:pos="851"/>
        </w:tabs>
        <w:ind w:left="2438" w:hanging="1984"/>
      </w:pPr>
      <w:rPr>
        <w:rFonts w:hint="default"/>
      </w:rPr>
    </w:lvl>
    <w:lvl w:ilvl="2">
      <w:start w:val="1"/>
      <w:numFmt w:val="ordinal"/>
      <w:lvlText w:val="%3"/>
      <w:lvlJc w:val="left"/>
      <w:pPr>
        <w:tabs>
          <w:tab w:val="num" w:pos="851"/>
        </w:tabs>
        <w:ind w:left="2438" w:hanging="1984"/>
      </w:pPr>
      <w:rPr>
        <w:rFonts w:hint="default"/>
      </w:rPr>
    </w:lvl>
    <w:lvl w:ilvl="3">
      <w:start w:val="1"/>
      <w:numFmt w:val="decimalZero"/>
      <w:lvlText w:val="(%4)"/>
      <w:lvlJc w:val="left"/>
      <w:pPr>
        <w:tabs>
          <w:tab w:val="num" w:pos="851"/>
        </w:tabs>
        <w:ind w:left="2438" w:hanging="1984"/>
      </w:pPr>
      <w:rPr>
        <w:rFonts w:hint="default"/>
      </w:rPr>
    </w:lvl>
    <w:lvl w:ilvl="4">
      <w:start w:val="1"/>
      <w:numFmt w:val="decimal"/>
      <w:lvlText w:val="[%5]"/>
      <w:lvlJc w:val="left"/>
      <w:pPr>
        <w:tabs>
          <w:tab w:val="num" w:pos="851"/>
        </w:tabs>
        <w:ind w:left="2438" w:hanging="1984"/>
      </w:pPr>
      <w:rPr>
        <w:rFonts w:hint="default"/>
      </w:rPr>
    </w:lvl>
    <w:lvl w:ilvl="5">
      <w:start w:val="1"/>
      <w:numFmt w:val="lowerRoman"/>
      <w:lvlText w:val="(%6)"/>
      <w:lvlJc w:val="left"/>
      <w:pPr>
        <w:tabs>
          <w:tab w:val="num" w:pos="851"/>
        </w:tabs>
        <w:ind w:left="2438" w:hanging="1984"/>
      </w:pPr>
      <w:rPr>
        <w:rFonts w:hint="default"/>
      </w:rPr>
    </w:lvl>
    <w:lvl w:ilvl="6">
      <w:start w:val="1"/>
      <w:numFmt w:val="decimal"/>
      <w:lvlText w:val="%7."/>
      <w:lvlJc w:val="left"/>
      <w:pPr>
        <w:tabs>
          <w:tab w:val="num" w:pos="851"/>
        </w:tabs>
        <w:ind w:left="2438" w:hanging="1984"/>
      </w:pPr>
      <w:rPr>
        <w:rFonts w:hint="default"/>
      </w:rPr>
    </w:lvl>
    <w:lvl w:ilvl="7">
      <w:start w:val="1"/>
      <w:numFmt w:val="lowerLetter"/>
      <w:lvlText w:val="%8."/>
      <w:lvlJc w:val="left"/>
      <w:pPr>
        <w:tabs>
          <w:tab w:val="num" w:pos="851"/>
        </w:tabs>
        <w:ind w:left="2438" w:hanging="1984"/>
      </w:pPr>
      <w:rPr>
        <w:rFonts w:hint="default"/>
      </w:rPr>
    </w:lvl>
    <w:lvl w:ilvl="8">
      <w:start w:val="1"/>
      <w:numFmt w:val="lowerRoman"/>
      <w:lvlText w:val="%9."/>
      <w:lvlJc w:val="left"/>
      <w:pPr>
        <w:tabs>
          <w:tab w:val="num" w:pos="851"/>
        </w:tabs>
        <w:ind w:left="2438" w:hanging="1984"/>
      </w:pPr>
      <w:rPr>
        <w:rFonts w:hint="default"/>
      </w:rPr>
    </w:lvl>
  </w:abstractNum>
  <w:abstractNum w:abstractNumId="66" w15:restartNumberingAfterBreak="0">
    <w:nsid w:val="0A1D398C"/>
    <w:multiLevelType w:val="multilevel"/>
    <w:tmpl w:val="832240C6"/>
    <w:lvl w:ilvl="0">
      <w:start w:val="3"/>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0ADB359E"/>
    <w:multiLevelType w:val="singleLevel"/>
    <w:tmpl w:val="7F64BF86"/>
    <w:lvl w:ilvl="0">
      <w:start w:val="5"/>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68" w15:restartNumberingAfterBreak="0">
    <w:nsid w:val="0B154807"/>
    <w:multiLevelType w:val="hybridMultilevel"/>
    <w:tmpl w:val="E96A1CD2"/>
    <w:lvl w:ilvl="0" w:tplc="7CF2E9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0BA277A5"/>
    <w:multiLevelType w:val="hybridMultilevel"/>
    <w:tmpl w:val="735E728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0BF55C1F"/>
    <w:multiLevelType w:val="hybridMultilevel"/>
    <w:tmpl w:val="C332D5BA"/>
    <w:name w:val="Lista STWiORB3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0C0A021D"/>
    <w:multiLevelType w:val="hybridMultilevel"/>
    <w:tmpl w:val="897E37AA"/>
    <w:lvl w:ilvl="0" w:tplc="02A4AEC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A48A356">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A6EB50C">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C42C46A">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B56AE4A">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AACD4A6">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EA6F12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CFC40E8">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EC277B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2" w15:restartNumberingAfterBreak="0">
    <w:nsid w:val="0C18331B"/>
    <w:multiLevelType w:val="hybridMultilevel"/>
    <w:tmpl w:val="03761B16"/>
    <w:lvl w:ilvl="0" w:tplc="DF0C7486">
      <w:start w:val="1"/>
      <w:numFmt w:val="lowerLetter"/>
      <w:lvlText w:val="%1)"/>
      <w:lvlJc w:val="left"/>
      <w:pPr>
        <w:tabs>
          <w:tab w:val="num" w:pos="0"/>
        </w:tabs>
        <w:ind w:left="283" w:hanging="283"/>
      </w:pPr>
      <w:rPr>
        <w:rFonts w:hint="default"/>
      </w:rPr>
    </w:lvl>
    <w:lvl w:ilvl="1" w:tplc="D410FAD4">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3" w15:restartNumberingAfterBreak="0">
    <w:nsid w:val="0C6940D6"/>
    <w:multiLevelType w:val="multilevel"/>
    <w:tmpl w:val="623AE0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4" w15:restartNumberingAfterBreak="0">
    <w:nsid w:val="0C6F3071"/>
    <w:multiLevelType w:val="hybridMultilevel"/>
    <w:tmpl w:val="EB7465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0C746AF5"/>
    <w:multiLevelType w:val="singleLevel"/>
    <w:tmpl w:val="EB968DA6"/>
    <w:lvl w:ilvl="0">
      <w:start w:val="7"/>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76" w15:restartNumberingAfterBreak="0">
    <w:nsid w:val="0CB1228D"/>
    <w:multiLevelType w:val="hybridMultilevel"/>
    <w:tmpl w:val="5F7A27E0"/>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77" w15:restartNumberingAfterBreak="0">
    <w:nsid w:val="0CD85D43"/>
    <w:multiLevelType w:val="hybridMultilevel"/>
    <w:tmpl w:val="197E75B4"/>
    <w:lvl w:ilvl="0" w:tplc="EB548EA0">
      <w:start w:val="1"/>
      <w:numFmt w:val="bullet"/>
      <w:lvlText w:val=""/>
      <w:lvlJc w:val="left"/>
      <w:pPr>
        <w:ind w:left="2717" w:hanging="360"/>
      </w:pPr>
      <w:rPr>
        <w:rFonts w:ascii="Symbol" w:hAnsi="Symbol" w:hint="default"/>
      </w:rPr>
    </w:lvl>
    <w:lvl w:ilvl="1" w:tplc="04150003" w:tentative="1">
      <w:start w:val="1"/>
      <w:numFmt w:val="bullet"/>
      <w:lvlText w:val="o"/>
      <w:lvlJc w:val="left"/>
      <w:pPr>
        <w:ind w:left="3437" w:hanging="360"/>
      </w:pPr>
      <w:rPr>
        <w:rFonts w:ascii="Courier New" w:hAnsi="Courier New" w:cs="Courier New" w:hint="default"/>
      </w:rPr>
    </w:lvl>
    <w:lvl w:ilvl="2" w:tplc="04150005" w:tentative="1">
      <w:start w:val="1"/>
      <w:numFmt w:val="bullet"/>
      <w:lvlText w:val=""/>
      <w:lvlJc w:val="left"/>
      <w:pPr>
        <w:ind w:left="4157" w:hanging="360"/>
      </w:pPr>
      <w:rPr>
        <w:rFonts w:ascii="Wingdings" w:hAnsi="Wingdings" w:hint="default"/>
      </w:rPr>
    </w:lvl>
    <w:lvl w:ilvl="3" w:tplc="04150001" w:tentative="1">
      <w:start w:val="1"/>
      <w:numFmt w:val="bullet"/>
      <w:lvlText w:val=""/>
      <w:lvlJc w:val="left"/>
      <w:pPr>
        <w:ind w:left="4877" w:hanging="360"/>
      </w:pPr>
      <w:rPr>
        <w:rFonts w:ascii="Symbol" w:hAnsi="Symbol" w:hint="default"/>
      </w:rPr>
    </w:lvl>
    <w:lvl w:ilvl="4" w:tplc="04150003" w:tentative="1">
      <w:start w:val="1"/>
      <w:numFmt w:val="bullet"/>
      <w:lvlText w:val="o"/>
      <w:lvlJc w:val="left"/>
      <w:pPr>
        <w:ind w:left="5597" w:hanging="360"/>
      </w:pPr>
      <w:rPr>
        <w:rFonts w:ascii="Courier New" w:hAnsi="Courier New" w:cs="Courier New" w:hint="default"/>
      </w:rPr>
    </w:lvl>
    <w:lvl w:ilvl="5" w:tplc="04150005" w:tentative="1">
      <w:start w:val="1"/>
      <w:numFmt w:val="bullet"/>
      <w:lvlText w:val=""/>
      <w:lvlJc w:val="left"/>
      <w:pPr>
        <w:ind w:left="6317" w:hanging="360"/>
      </w:pPr>
      <w:rPr>
        <w:rFonts w:ascii="Wingdings" w:hAnsi="Wingdings" w:hint="default"/>
      </w:rPr>
    </w:lvl>
    <w:lvl w:ilvl="6" w:tplc="04150001" w:tentative="1">
      <w:start w:val="1"/>
      <w:numFmt w:val="bullet"/>
      <w:lvlText w:val=""/>
      <w:lvlJc w:val="left"/>
      <w:pPr>
        <w:ind w:left="7037" w:hanging="360"/>
      </w:pPr>
      <w:rPr>
        <w:rFonts w:ascii="Symbol" w:hAnsi="Symbol" w:hint="default"/>
      </w:rPr>
    </w:lvl>
    <w:lvl w:ilvl="7" w:tplc="04150003" w:tentative="1">
      <w:start w:val="1"/>
      <w:numFmt w:val="bullet"/>
      <w:lvlText w:val="o"/>
      <w:lvlJc w:val="left"/>
      <w:pPr>
        <w:ind w:left="7757" w:hanging="360"/>
      </w:pPr>
      <w:rPr>
        <w:rFonts w:ascii="Courier New" w:hAnsi="Courier New" w:cs="Courier New" w:hint="default"/>
      </w:rPr>
    </w:lvl>
    <w:lvl w:ilvl="8" w:tplc="04150005" w:tentative="1">
      <w:start w:val="1"/>
      <w:numFmt w:val="bullet"/>
      <w:lvlText w:val=""/>
      <w:lvlJc w:val="left"/>
      <w:pPr>
        <w:ind w:left="8477" w:hanging="360"/>
      </w:pPr>
      <w:rPr>
        <w:rFonts w:ascii="Wingdings" w:hAnsi="Wingdings" w:hint="default"/>
      </w:rPr>
    </w:lvl>
  </w:abstractNum>
  <w:abstractNum w:abstractNumId="78" w15:restartNumberingAfterBreak="0">
    <w:nsid w:val="0CF25725"/>
    <w:multiLevelType w:val="hybridMultilevel"/>
    <w:tmpl w:val="EA22D3C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0DD010DF"/>
    <w:multiLevelType w:val="hybridMultilevel"/>
    <w:tmpl w:val="E68896C8"/>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0DDC56D3"/>
    <w:multiLevelType w:val="hybridMultilevel"/>
    <w:tmpl w:val="4D6C954E"/>
    <w:lvl w:ilvl="0" w:tplc="EB548EA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1" w15:restartNumberingAfterBreak="0">
    <w:nsid w:val="0DDF5EDB"/>
    <w:multiLevelType w:val="hybridMultilevel"/>
    <w:tmpl w:val="90A8F20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0EA3447B"/>
    <w:multiLevelType w:val="hybridMultilevel"/>
    <w:tmpl w:val="AF1AEB14"/>
    <w:lvl w:ilvl="0" w:tplc="0936B6FA">
      <w:start w:val="1"/>
      <w:numFmt w:val="bullet"/>
      <w:lvlText w:val="–"/>
      <w:lvlJc w:val="left"/>
      <w:pPr>
        <w:ind w:left="3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2CA377E">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730862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33E510E">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70EE030">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5405EF6">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4D6459C">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E96874A">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C56332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3" w15:restartNumberingAfterBreak="0">
    <w:nsid w:val="0ED074A6"/>
    <w:multiLevelType w:val="hybridMultilevel"/>
    <w:tmpl w:val="A4B2CE8E"/>
    <w:lvl w:ilvl="0" w:tplc="00000007">
      <w:start w:val="1"/>
      <w:numFmt w:val="bullet"/>
      <w:lvlText w:val="-"/>
      <w:lvlJc w:val="left"/>
      <w:pPr>
        <w:ind w:left="720" w:hanging="360"/>
      </w:pPr>
      <w:rPr>
        <w:rFonts w:ascii="StarSymbol" w:hAnsi="StarSymbol"/>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10153A4A"/>
    <w:multiLevelType w:val="hybridMultilevel"/>
    <w:tmpl w:val="6D3E79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0176CEA"/>
    <w:multiLevelType w:val="hybridMultilevel"/>
    <w:tmpl w:val="14A8E0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10400852"/>
    <w:multiLevelType w:val="hybridMultilevel"/>
    <w:tmpl w:val="9B76AE14"/>
    <w:lvl w:ilvl="0" w:tplc="E0A8306A">
      <w:start w:val="5"/>
      <w:numFmt w:val="decimal"/>
      <w:lvlText w:val="%1."/>
      <w:lvlJc w:val="left"/>
      <w:pPr>
        <w:ind w:left="502" w:hanging="360"/>
      </w:pPr>
      <w:rPr>
        <w:rFonts w:hint="default"/>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105829EA"/>
    <w:multiLevelType w:val="multilevel"/>
    <w:tmpl w:val="7332CDD8"/>
    <w:lvl w:ilvl="0">
      <w:start w:val="1"/>
      <w:numFmt w:val="decimal"/>
      <w:lvlText w:val="%1."/>
      <w:legacy w:legacy="1" w:legacySpace="0" w:legacyIndent="432"/>
      <w:lvlJc w:val="left"/>
      <w:pPr>
        <w:ind w:left="432" w:hanging="432"/>
      </w:pPr>
    </w:lvl>
    <w:lvl w:ilvl="1">
      <w:start w:val="5"/>
      <w:numFmt w:val="decimal"/>
      <w:isLgl/>
      <w:lvlText w:val="%1.%2."/>
      <w:lvlJc w:val="left"/>
      <w:pPr>
        <w:ind w:left="540" w:hanging="540"/>
      </w:pPr>
      <w:rPr>
        <w:rFonts w:hint="default"/>
      </w:rPr>
    </w:lvl>
    <w:lvl w:ilvl="2">
      <w:start w:val="4"/>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8" w15:restartNumberingAfterBreak="0">
    <w:nsid w:val="11510254"/>
    <w:multiLevelType w:val="hybridMultilevel"/>
    <w:tmpl w:val="FC80862A"/>
    <w:lvl w:ilvl="0" w:tplc="641E5A70">
      <w:start w:val="1"/>
      <w:numFmt w:val="bullet"/>
      <w:lvlText w:val="–"/>
      <w:lvlJc w:val="left"/>
      <w:pPr>
        <w:ind w:left="7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CE4826C0">
      <w:start w:val="1"/>
      <w:numFmt w:val="bullet"/>
      <w:lvlText w:val="o"/>
      <w:lvlJc w:val="left"/>
      <w:pPr>
        <w:ind w:left="14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D6E0D358">
      <w:start w:val="1"/>
      <w:numFmt w:val="bullet"/>
      <w:lvlText w:val="▪"/>
      <w:lvlJc w:val="left"/>
      <w:pPr>
        <w:ind w:left="21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76B43CC4">
      <w:start w:val="1"/>
      <w:numFmt w:val="bullet"/>
      <w:lvlText w:val="•"/>
      <w:lvlJc w:val="left"/>
      <w:pPr>
        <w:ind w:left="28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A3CA11F6">
      <w:start w:val="1"/>
      <w:numFmt w:val="bullet"/>
      <w:lvlText w:val="o"/>
      <w:lvlJc w:val="left"/>
      <w:pPr>
        <w:ind w:left="36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666E1F94">
      <w:start w:val="1"/>
      <w:numFmt w:val="bullet"/>
      <w:lvlText w:val="▪"/>
      <w:lvlJc w:val="left"/>
      <w:pPr>
        <w:ind w:left="43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E84A1B08">
      <w:start w:val="1"/>
      <w:numFmt w:val="bullet"/>
      <w:lvlText w:val="•"/>
      <w:lvlJc w:val="left"/>
      <w:pPr>
        <w:ind w:left="5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7A2EAFAC">
      <w:start w:val="1"/>
      <w:numFmt w:val="bullet"/>
      <w:lvlText w:val="o"/>
      <w:lvlJc w:val="left"/>
      <w:pPr>
        <w:ind w:left="57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FD2AC6CA">
      <w:start w:val="1"/>
      <w:numFmt w:val="bullet"/>
      <w:lvlText w:val="▪"/>
      <w:lvlJc w:val="left"/>
      <w:pPr>
        <w:ind w:left="64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9" w15:restartNumberingAfterBreak="0">
    <w:nsid w:val="115B7CF4"/>
    <w:multiLevelType w:val="hybridMultilevel"/>
    <w:tmpl w:val="D2CC6ACE"/>
    <w:lvl w:ilvl="0" w:tplc="6B249FA6">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11EC4420"/>
    <w:multiLevelType w:val="hybridMultilevel"/>
    <w:tmpl w:val="8E34CB6A"/>
    <w:lvl w:ilvl="0" w:tplc="D1EE44E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1202172B"/>
    <w:multiLevelType w:val="multilevel"/>
    <w:tmpl w:val="F6F2458A"/>
    <w:lvl w:ilvl="0">
      <w:start w:val="2"/>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2" w15:restartNumberingAfterBreak="0">
    <w:nsid w:val="127F53CB"/>
    <w:multiLevelType w:val="singleLevel"/>
    <w:tmpl w:val="AB625C9E"/>
    <w:lvl w:ilvl="0">
      <w:start w:val="1"/>
      <w:numFmt w:val="lowerLetter"/>
      <w:lvlText w:val="%1)"/>
      <w:legacy w:legacy="1" w:legacySpace="0" w:legacyIndent="283"/>
      <w:lvlJc w:val="left"/>
      <w:pPr>
        <w:ind w:left="283" w:hanging="283"/>
      </w:pPr>
    </w:lvl>
  </w:abstractNum>
  <w:abstractNum w:abstractNumId="93" w15:restartNumberingAfterBreak="0">
    <w:nsid w:val="1295105B"/>
    <w:multiLevelType w:val="hybridMultilevel"/>
    <w:tmpl w:val="2A567F04"/>
    <w:lvl w:ilvl="0" w:tplc="44028DF6">
      <w:start w:val="1"/>
      <w:numFmt w:val="bullet"/>
      <w:lvlText w:val="–"/>
      <w:lvlJc w:val="left"/>
      <w:pPr>
        <w:ind w:left="5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03C8AE8">
      <w:start w:val="1"/>
      <w:numFmt w:val="bullet"/>
      <w:lvlText w:val="o"/>
      <w:lvlJc w:val="left"/>
      <w:pPr>
        <w:ind w:left="12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610CCFA">
      <w:start w:val="1"/>
      <w:numFmt w:val="bullet"/>
      <w:lvlText w:val="▪"/>
      <w:lvlJc w:val="left"/>
      <w:pPr>
        <w:ind w:left="20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F82ED9A">
      <w:start w:val="1"/>
      <w:numFmt w:val="bullet"/>
      <w:lvlText w:val="•"/>
      <w:lvlJc w:val="left"/>
      <w:pPr>
        <w:ind w:left="27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A6E1E3E">
      <w:start w:val="1"/>
      <w:numFmt w:val="bullet"/>
      <w:lvlText w:val="o"/>
      <w:lvlJc w:val="left"/>
      <w:pPr>
        <w:ind w:left="34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FAA2338">
      <w:start w:val="1"/>
      <w:numFmt w:val="bullet"/>
      <w:lvlText w:val="▪"/>
      <w:lvlJc w:val="left"/>
      <w:pPr>
        <w:ind w:left="41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70A54CA">
      <w:start w:val="1"/>
      <w:numFmt w:val="bullet"/>
      <w:lvlText w:val="•"/>
      <w:lvlJc w:val="left"/>
      <w:pPr>
        <w:ind w:left="48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59A62F0">
      <w:start w:val="1"/>
      <w:numFmt w:val="bullet"/>
      <w:lvlText w:val="o"/>
      <w:lvlJc w:val="left"/>
      <w:pPr>
        <w:ind w:left="56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DB0DE70">
      <w:start w:val="1"/>
      <w:numFmt w:val="bullet"/>
      <w:lvlText w:val="▪"/>
      <w:lvlJc w:val="left"/>
      <w:pPr>
        <w:ind w:left="63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4" w15:restartNumberingAfterBreak="0">
    <w:nsid w:val="12B431E7"/>
    <w:multiLevelType w:val="hybridMultilevel"/>
    <w:tmpl w:val="BE6CC776"/>
    <w:lvl w:ilvl="0" w:tplc="D23031AC">
      <w:start w:val="1"/>
      <w:numFmt w:val="bullet"/>
      <w:lvlText w:val="–"/>
      <w:lvlJc w:val="left"/>
      <w:pPr>
        <w:tabs>
          <w:tab w:val="num" w:pos="720"/>
        </w:tabs>
        <w:ind w:left="720"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5" w15:restartNumberingAfterBreak="0">
    <w:nsid w:val="12C13C43"/>
    <w:multiLevelType w:val="hybridMultilevel"/>
    <w:tmpl w:val="31C249BC"/>
    <w:lvl w:ilvl="0" w:tplc="1F3CCC34">
      <w:start w:val="1"/>
      <w:numFmt w:val="decimal"/>
      <w:lvlText w:val="%1."/>
      <w:lvlJc w:val="left"/>
      <w:pPr>
        <w:ind w:left="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1" w:tplc="73B43184">
      <w:start w:val="1"/>
      <w:numFmt w:val="lowerLetter"/>
      <w:lvlText w:val="%2"/>
      <w:lvlJc w:val="left"/>
      <w:pPr>
        <w:ind w:left="11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2" w:tplc="E4FC24B6">
      <w:start w:val="1"/>
      <w:numFmt w:val="lowerRoman"/>
      <w:lvlText w:val="%3"/>
      <w:lvlJc w:val="left"/>
      <w:pPr>
        <w:ind w:left="18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3" w:tplc="C5FABD6A">
      <w:start w:val="1"/>
      <w:numFmt w:val="decimal"/>
      <w:lvlText w:val="%4"/>
      <w:lvlJc w:val="left"/>
      <w:pPr>
        <w:ind w:left="25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4" w:tplc="2EA00DF6">
      <w:start w:val="1"/>
      <w:numFmt w:val="lowerLetter"/>
      <w:lvlText w:val="%5"/>
      <w:lvlJc w:val="left"/>
      <w:pPr>
        <w:ind w:left="331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5" w:tplc="DA4C3FE6">
      <w:start w:val="1"/>
      <w:numFmt w:val="lowerRoman"/>
      <w:lvlText w:val="%6"/>
      <w:lvlJc w:val="left"/>
      <w:pPr>
        <w:ind w:left="403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6" w:tplc="C93822DC">
      <w:start w:val="1"/>
      <w:numFmt w:val="decimal"/>
      <w:lvlText w:val="%7"/>
      <w:lvlJc w:val="left"/>
      <w:pPr>
        <w:ind w:left="47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7" w:tplc="D0F01402">
      <w:start w:val="1"/>
      <w:numFmt w:val="lowerLetter"/>
      <w:lvlText w:val="%8"/>
      <w:lvlJc w:val="left"/>
      <w:pPr>
        <w:ind w:left="54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8" w:tplc="D5FE2204">
      <w:start w:val="1"/>
      <w:numFmt w:val="lowerRoman"/>
      <w:lvlText w:val="%9"/>
      <w:lvlJc w:val="left"/>
      <w:pPr>
        <w:ind w:left="61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abstractNum>
  <w:abstractNum w:abstractNumId="96" w15:restartNumberingAfterBreak="0">
    <w:nsid w:val="131E169E"/>
    <w:multiLevelType w:val="singleLevel"/>
    <w:tmpl w:val="D6841144"/>
    <w:lvl w:ilvl="0">
      <w:start w:val="1"/>
      <w:numFmt w:val="decimal"/>
      <w:lvlText w:val="%1. "/>
      <w:legacy w:legacy="1" w:legacySpace="0" w:legacyIndent="283"/>
      <w:lvlJc w:val="left"/>
      <w:pPr>
        <w:ind w:left="283" w:hanging="283"/>
      </w:pPr>
      <w:rPr>
        <w:rFonts w:ascii="Times New Roman" w:hAnsi="Times New Roman" w:cs="Times New Roman" w:hint="default"/>
        <w:b w:val="0"/>
        <w:i w:val="0"/>
        <w:sz w:val="20"/>
        <w:u w:val="none"/>
      </w:rPr>
    </w:lvl>
  </w:abstractNum>
  <w:abstractNum w:abstractNumId="97" w15:restartNumberingAfterBreak="0">
    <w:nsid w:val="1334642F"/>
    <w:multiLevelType w:val="singleLevel"/>
    <w:tmpl w:val="B9C8CC9C"/>
    <w:lvl w:ilvl="0">
      <w:start w:val="20"/>
      <w:numFmt w:val="decimal"/>
      <w:lvlText w:val="%1."/>
      <w:legacy w:legacy="1" w:legacySpace="0" w:legacyIndent="369"/>
      <w:lvlJc w:val="right"/>
      <w:pPr>
        <w:ind w:left="369" w:hanging="369"/>
      </w:pPr>
    </w:lvl>
  </w:abstractNum>
  <w:abstractNum w:abstractNumId="98" w15:restartNumberingAfterBreak="0">
    <w:nsid w:val="13710726"/>
    <w:multiLevelType w:val="hybridMultilevel"/>
    <w:tmpl w:val="536A9C46"/>
    <w:lvl w:ilvl="0" w:tplc="00000003">
      <w:start w:val="1"/>
      <w:numFmt w:val="bullet"/>
      <w:lvlText w:val=""/>
      <w:lvlJc w:val="left"/>
      <w:pPr>
        <w:ind w:left="1003" w:hanging="360"/>
      </w:pPr>
      <w:rPr>
        <w:rFonts w:ascii="Symbol" w:hAnsi="Symbol" w:cs="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99" w15:restartNumberingAfterBreak="0">
    <w:nsid w:val="13A30DD7"/>
    <w:multiLevelType w:val="hybridMultilevel"/>
    <w:tmpl w:val="30A695C0"/>
    <w:lvl w:ilvl="0" w:tplc="04150005">
      <w:start w:val="1"/>
      <w:numFmt w:val="decimal"/>
      <w:pStyle w:val="Nagwek1Title1"/>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13CE7908"/>
    <w:multiLevelType w:val="hybridMultilevel"/>
    <w:tmpl w:val="EC60A5F8"/>
    <w:lvl w:ilvl="0" w:tplc="EB548EA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1" w15:restartNumberingAfterBreak="0">
    <w:nsid w:val="141815D8"/>
    <w:multiLevelType w:val="hybridMultilevel"/>
    <w:tmpl w:val="433EF2E2"/>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14665071"/>
    <w:multiLevelType w:val="hybridMultilevel"/>
    <w:tmpl w:val="93E6483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14AD6EE4"/>
    <w:multiLevelType w:val="hybridMultilevel"/>
    <w:tmpl w:val="D21C1158"/>
    <w:lvl w:ilvl="0" w:tplc="C038DDA2">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9C6C49A">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DECABB4">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BAC9A60">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FF2F30C">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2426952">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66E5E12">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6861ADA">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F2899BA">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4" w15:restartNumberingAfterBreak="0">
    <w:nsid w:val="152678D6"/>
    <w:multiLevelType w:val="hybridMultilevel"/>
    <w:tmpl w:val="00ECA95A"/>
    <w:lvl w:ilvl="0" w:tplc="57DE4F6A">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5" w15:restartNumberingAfterBreak="0">
    <w:nsid w:val="15784108"/>
    <w:multiLevelType w:val="hybridMultilevel"/>
    <w:tmpl w:val="489E559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15B62B4F"/>
    <w:multiLevelType w:val="multilevel"/>
    <w:tmpl w:val="7CEE55EC"/>
    <w:lvl w:ilvl="0">
      <w:start w:val="8"/>
      <w:numFmt w:val="bullet"/>
      <w:lvlText w:val="-"/>
      <w:lvlJc w:val="left"/>
      <w:pPr>
        <w:tabs>
          <w:tab w:val="num" w:pos="1425"/>
        </w:tabs>
        <w:ind w:left="1425" w:hanging="72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7" w15:restartNumberingAfterBreak="0">
    <w:nsid w:val="16254830"/>
    <w:multiLevelType w:val="hybridMultilevel"/>
    <w:tmpl w:val="E16802A6"/>
    <w:lvl w:ilvl="0" w:tplc="B3DC956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16254A74"/>
    <w:multiLevelType w:val="hybridMultilevel"/>
    <w:tmpl w:val="CD6C2ED8"/>
    <w:lvl w:ilvl="0" w:tplc="3B243C94">
      <w:start w:val="1"/>
      <w:numFmt w:val="bullet"/>
      <w:lvlText w:val=""/>
      <w:lvlJc w:val="left"/>
      <w:pPr>
        <w:ind w:left="714" w:hanging="360"/>
      </w:pPr>
      <w:rPr>
        <w:rFonts w:ascii="Symbol" w:hAnsi="Symbol" w:hint="default"/>
      </w:rPr>
    </w:lvl>
    <w:lvl w:ilvl="1" w:tplc="04150003" w:tentative="1">
      <w:start w:val="1"/>
      <w:numFmt w:val="bullet"/>
      <w:lvlText w:val="o"/>
      <w:lvlJc w:val="left"/>
      <w:pPr>
        <w:ind w:left="1434" w:hanging="360"/>
      </w:pPr>
      <w:rPr>
        <w:rFonts w:ascii="Courier New" w:hAnsi="Courier New" w:cs="Courier New" w:hint="default"/>
      </w:rPr>
    </w:lvl>
    <w:lvl w:ilvl="2" w:tplc="04150005" w:tentative="1">
      <w:start w:val="1"/>
      <w:numFmt w:val="bullet"/>
      <w:lvlText w:val=""/>
      <w:lvlJc w:val="left"/>
      <w:pPr>
        <w:ind w:left="2154" w:hanging="360"/>
      </w:pPr>
      <w:rPr>
        <w:rFonts w:ascii="Wingdings" w:hAnsi="Wingdings" w:hint="default"/>
      </w:rPr>
    </w:lvl>
    <w:lvl w:ilvl="3" w:tplc="04150001" w:tentative="1">
      <w:start w:val="1"/>
      <w:numFmt w:val="bullet"/>
      <w:lvlText w:val=""/>
      <w:lvlJc w:val="left"/>
      <w:pPr>
        <w:ind w:left="2874" w:hanging="360"/>
      </w:pPr>
      <w:rPr>
        <w:rFonts w:ascii="Symbol" w:hAnsi="Symbol" w:hint="default"/>
      </w:rPr>
    </w:lvl>
    <w:lvl w:ilvl="4" w:tplc="04150003" w:tentative="1">
      <w:start w:val="1"/>
      <w:numFmt w:val="bullet"/>
      <w:lvlText w:val="o"/>
      <w:lvlJc w:val="left"/>
      <w:pPr>
        <w:ind w:left="3594" w:hanging="360"/>
      </w:pPr>
      <w:rPr>
        <w:rFonts w:ascii="Courier New" w:hAnsi="Courier New" w:cs="Courier New" w:hint="default"/>
      </w:rPr>
    </w:lvl>
    <w:lvl w:ilvl="5" w:tplc="04150005" w:tentative="1">
      <w:start w:val="1"/>
      <w:numFmt w:val="bullet"/>
      <w:lvlText w:val=""/>
      <w:lvlJc w:val="left"/>
      <w:pPr>
        <w:ind w:left="4314" w:hanging="360"/>
      </w:pPr>
      <w:rPr>
        <w:rFonts w:ascii="Wingdings" w:hAnsi="Wingdings" w:hint="default"/>
      </w:rPr>
    </w:lvl>
    <w:lvl w:ilvl="6" w:tplc="04150001" w:tentative="1">
      <w:start w:val="1"/>
      <w:numFmt w:val="bullet"/>
      <w:lvlText w:val=""/>
      <w:lvlJc w:val="left"/>
      <w:pPr>
        <w:ind w:left="5034" w:hanging="360"/>
      </w:pPr>
      <w:rPr>
        <w:rFonts w:ascii="Symbol" w:hAnsi="Symbol" w:hint="default"/>
      </w:rPr>
    </w:lvl>
    <w:lvl w:ilvl="7" w:tplc="04150003" w:tentative="1">
      <w:start w:val="1"/>
      <w:numFmt w:val="bullet"/>
      <w:lvlText w:val="o"/>
      <w:lvlJc w:val="left"/>
      <w:pPr>
        <w:ind w:left="5754" w:hanging="360"/>
      </w:pPr>
      <w:rPr>
        <w:rFonts w:ascii="Courier New" w:hAnsi="Courier New" w:cs="Courier New" w:hint="default"/>
      </w:rPr>
    </w:lvl>
    <w:lvl w:ilvl="8" w:tplc="04150005" w:tentative="1">
      <w:start w:val="1"/>
      <w:numFmt w:val="bullet"/>
      <w:lvlText w:val=""/>
      <w:lvlJc w:val="left"/>
      <w:pPr>
        <w:ind w:left="6474" w:hanging="360"/>
      </w:pPr>
      <w:rPr>
        <w:rFonts w:ascii="Wingdings" w:hAnsi="Wingdings" w:hint="default"/>
      </w:rPr>
    </w:lvl>
  </w:abstractNum>
  <w:abstractNum w:abstractNumId="109" w15:restartNumberingAfterBreak="0">
    <w:nsid w:val="166E3520"/>
    <w:multiLevelType w:val="multilevel"/>
    <w:tmpl w:val="00000015"/>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vanish w:val="0"/>
        <w:position w:val="0"/>
        <w:sz w:val="28"/>
        <w:szCs w:val="28"/>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mallCaps w:val="0"/>
        <w:strike w:val="0"/>
        <w:dstrike w:val="0"/>
        <w:outline w:val="0"/>
        <w:shadow w:val="0"/>
        <w:vanish w:val="0"/>
        <w:position w:val="0"/>
        <w:sz w:val="20"/>
        <w:szCs w:val="24"/>
        <w:vertAlign w:val="baseline"/>
      </w:rPr>
    </w:lvl>
    <w:lvl w:ilvl="2">
      <w:start w:val="1"/>
      <w:numFmt w:val="decimal"/>
      <w:lvlText w:val="%1.%2.%3."/>
      <w:lvlJc w:val="left"/>
      <w:pPr>
        <w:tabs>
          <w:tab w:val="num" w:pos="993"/>
        </w:tabs>
        <w:ind w:left="993" w:hanging="851"/>
      </w:pPr>
      <w:rPr>
        <w:rFonts w:ascii="Times New Roman" w:hAnsi="Times New Roman" w:cs="Times New Roman" w:hint="default"/>
        <w:b/>
        <w:i w:val="0"/>
        <w:caps w:val="0"/>
        <w:smallCaps w:val="0"/>
        <w:strike w:val="0"/>
        <w:dstrike w:val="0"/>
        <w:outline w:val="0"/>
        <w:shadow w:val="0"/>
        <w:vanish w:val="0"/>
        <w:position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vanish w:val="0"/>
        <w:position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110" w15:restartNumberingAfterBreak="0">
    <w:nsid w:val="16C40FFD"/>
    <w:multiLevelType w:val="hybridMultilevel"/>
    <w:tmpl w:val="24B6CBE2"/>
    <w:lvl w:ilvl="0" w:tplc="140C917A">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B248882">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5203184">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D5C9946">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4F276E2">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862364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D9815E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C70DDBA">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19AE844">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11" w15:restartNumberingAfterBreak="0">
    <w:nsid w:val="16E62C76"/>
    <w:multiLevelType w:val="multilevel"/>
    <w:tmpl w:val="D206E0F8"/>
    <w:lvl w:ilvl="0">
      <w:start w:val="1"/>
      <w:numFmt w:val="bullet"/>
      <w:lvlText w:val=""/>
      <w:lvlJc w:val="left"/>
      <w:pPr>
        <w:tabs>
          <w:tab w:val="num" w:pos="283"/>
        </w:tabs>
        <w:ind w:left="283" w:hanging="283"/>
      </w:pPr>
      <w:rPr>
        <w:rFonts w:ascii="Symbol" w:hAnsi="Symbol" w:cs="Symbol" w:hint="default"/>
        <w:b/>
        <w:i w:val="0"/>
        <w:strike w:val="0"/>
        <w:dstrike w:val="0"/>
        <w:sz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2" w15:restartNumberingAfterBreak="0">
    <w:nsid w:val="16F0186D"/>
    <w:multiLevelType w:val="hybridMultilevel"/>
    <w:tmpl w:val="A58204B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17153F2F"/>
    <w:multiLevelType w:val="hybridMultilevel"/>
    <w:tmpl w:val="3740088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14" w15:restartNumberingAfterBreak="0">
    <w:nsid w:val="1734676C"/>
    <w:multiLevelType w:val="hybridMultilevel"/>
    <w:tmpl w:val="FD7AE09A"/>
    <w:lvl w:ilvl="0" w:tplc="D23031AC">
      <w:start w:val="1"/>
      <w:numFmt w:val="bullet"/>
      <w:lvlText w:val="–"/>
      <w:lvlJc w:val="left"/>
      <w:pPr>
        <w:ind w:left="5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9188A49A">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078C94C">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92C32B2">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40841A0">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4B60CF6">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836E53C">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A64AFBE">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C4A44EE">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5" w15:restartNumberingAfterBreak="0">
    <w:nsid w:val="176E12C3"/>
    <w:multiLevelType w:val="hybridMultilevel"/>
    <w:tmpl w:val="098225DC"/>
    <w:lvl w:ilvl="0" w:tplc="00000003">
      <w:start w:val="1"/>
      <w:numFmt w:val="bullet"/>
      <w:lvlText w:val=""/>
      <w:lvlJc w:val="left"/>
      <w:pPr>
        <w:ind w:left="1003" w:hanging="360"/>
      </w:pPr>
      <w:rPr>
        <w:rFonts w:ascii="Symbol" w:hAnsi="Symbol" w:cs="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16" w15:restartNumberingAfterBreak="0">
    <w:nsid w:val="17F96C02"/>
    <w:multiLevelType w:val="hybridMultilevel"/>
    <w:tmpl w:val="8FBA8048"/>
    <w:lvl w:ilvl="0" w:tplc="EDC68DA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DFC6A3A">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9FE1FE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61A219A">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93AB2BA">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4045C7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406716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040778E">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86C0ECE">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17" w15:restartNumberingAfterBreak="0">
    <w:nsid w:val="18605923"/>
    <w:multiLevelType w:val="singleLevel"/>
    <w:tmpl w:val="C03EBEDA"/>
    <w:lvl w:ilvl="0">
      <w:start w:val="5"/>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118" w15:restartNumberingAfterBreak="0">
    <w:nsid w:val="19A87303"/>
    <w:multiLevelType w:val="hybridMultilevel"/>
    <w:tmpl w:val="3876541E"/>
    <w:lvl w:ilvl="0" w:tplc="5BCC208C">
      <w:start w:val="1"/>
      <w:numFmt w:val="lowerLetter"/>
      <w:lvlText w:val="%1."/>
      <w:lvlJc w:val="left"/>
      <w:pPr>
        <w:ind w:left="12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E4843252">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EF6458B2">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03D6A454">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D318F52E">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94E45BAA">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E7A4444E">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D8ACFC00">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11BA6A8C">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19" w15:restartNumberingAfterBreak="0">
    <w:nsid w:val="19CE3C70"/>
    <w:multiLevelType w:val="hybridMultilevel"/>
    <w:tmpl w:val="B65A4032"/>
    <w:lvl w:ilvl="0" w:tplc="F5DCB7DE">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19EE00C8"/>
    <w:multiLevelType w:val="hybridMultilevel"/>
    <w:tmpl w:val="8D8A76C8"/>
    <w:lvl w:ilvl="0" w:tplc="70FC0988">
      <w:start w:val="1"/>
      <w:numFmt w:val="upperLetter"/>
      <w:lvlText w:val="%1."/>
      <w:lvlJc w:val="left"/>
      <w:pPr>
        <w:ind w:left="360" w:hanging="360"/>
      </w:pPr>
      <w:rPr>
        <w:rFonts w:hint="default"/>
        <w:b/>
        <w:bCs/>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15:restartNumberingAfterBreak="0">
    <w:nsid w:val="19F20DA4"/>
    <w:multiLevelType w:val="hybridMultilevel"/>
    <w:tmpl w:val="DDEE996C"/>
    <w:name w:val="Lista STWiORB322222"/>
    <w:lvl w:ilvl="0" w:tplc="A6A0D88A">
      <w:start w:val="2"/>
      <w:numFmt w:val="bullet"/>
      <w:lvlText w:val="•"/>
      <w:lvlJc w:val="left"/>
      <w:pPr>
        <w:ind w:left="1065" w:hanging="705"/>
      </w:pPr>
      <w:rPr>
        <w:rFonts w:ascii="Times New Roman" w:eastAsiaTheme="minorHAns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1A1F522B"/>
    <w:multiLevelType w:val="hybridMultilevel"/>
    <w:tmpl w:val="0ECE2F70"/>
    <w:lvl w:ilvl="0" w:tplc="5E94F070">
      <w:start w:val="1"/>
      <w:numFmt w:val="lowerLetter"/>
      <w:lvlText w:val="%1."/>
      <w:lvlJc w:val="left"/>
      <w:pPr>
        <w:ind w:left="1277"/>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604A5440">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8FDEDF36">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9572D124">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0FDE003A">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F93C1A40">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60DC3082">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AFE88D2">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600E4F4C">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24" w15:restartNumberingAfterBreak="0">
    <w:nsid w:val="1A48FD68"/>
    <w:multiLevelType w:val="singleLevel"/>
    <w:tmpl w:val="3A7F00AE"/>
    <w:lvl w:ilvl="0">
      <w:numFmt w:val="bullet"/>
      <w:lvlText w:val="·"/>
      <w:lvlJc w:val="left"/>
      <w:pPr>
        <w:tabs>
          <w:tab w:val="num" w:pos="285"/>
        </w:tabs>
        <w:ind w:left="285" w:hanging="285"/>
      </w:pPr>
      <w:rPr>
        <w:rFonts w:ascii="Symbol" w:hAnsi="Symbol" w:cs="Symbol"/>
        <w:sz w:val="24"/>
        <w:szCs w:val="24"/>
      </w:rPr>
    </w:lvl>
  </w:abstractNum>
  <w:abstractNum w:abstractNumId="125" w15:restartNumberingAfterBreak="0">
    <w:nsid w:val="1A5F31B5"/>
    <w:multiLevelType w:val="multilevel"/>
    <w:tmpl w:val="81D651E8"/>
    <w:lvl w:ilvl="0">
      <w:numFmt w:val="bullet"/>
      <w:lvlText w:val="–"/>
      <w:lvlJc w:val="left"/>
      <w:pPr>
        <w:tabs>
          <w:tab w:val="num" w:pos="0"/>
        </w:tabs>
        <w:ind w:left="285" w:hanging="285"/>
      </w:pPr>
      <w:rPr>
        <w:rFonts w:ascii="Arial" w:hAnsi="Arial" w:cs="Arial"/>
        <w:sz w:val="18"/>
        <w:szCs w:val="18"/>
      </w:rPr>
    </w:lvl>
    <w:lvl w:ilvl="1">
      <w:start w:val="1"/>
      <w:numFmt w:val="decimal"/>
      <w:lvlText w:val="%2."/>
      <w:lvlJc w:val="left"/>
      <w:pPr>
        <w:tabs>
          <w:tab w:val="num" w:pos="285"/>
        </w:tabs>
        <w:ind w:left="285" w:hanging="285"/>
      </w:pPr>
      <w:rPr>
        <w:rFonts w:ascii="Arial" w:hAnsi="Arial" w:cs="Arial"/>
        <w:sz w:val="18"/>
        <w:szCs w:val="18"/>
      </w:rPr>
    </w:lvl>
    <w:lvl w:ilvl="2">
      <w:start w:val="1"/>
      <w:numFmt w:val="lowerLetter"/>
      <w:lvlText w:val="%3)"/>
      <w:lvlJc w:val="left"/>
      <w:pPr>
        <w:tabs>
          <w:tab w:val="num" w:pos="2160"/>
        </w:tabs>
        <w:ind w:left="2160" w:hanging="360"/>
      </w:pPr>
      <w:rPr>
        <w:rFonts w:ascii="Times New Roman" w:hAnsi="Times New Roman" w:cs="Times New Roman"/>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26" w15:restartNumberingAfterBreak="0">
    <w:nsid w:val="1A83599F"/>
    <w:multiLevelType w:val="singleLevel"/>
    <w:tmpl w:val="EB5E2758"/>
    <w:lvl w:ilvl="0">
      <w:start w:val="1"/>
      <w:numFmt w:val="decimal"/>
      <w:lvlText w:val="%1."/>
      <w:legacy w:legacy="1" w:legacySpace="0" w:legacyIndent="432"/>
      <w:lvlJc w:val="left"/>
      <w:pPr>
        <w:ind w:left="432" w:hanging="432"/>
      </w:pPr>
    </w:lvl>
  </w:abstractNum>
  <w:abstractNum w:abstractNumId="127" w15:restartNumberingAfterBreak="0">
    <w:nsid w:val="1A90C4A2"/>
    <w:multiLevelType w:val="multilevel"/>
    <w:tmpl w:val="291C8F10"/>
    <w:lvl w:ilvl="0">
      <w:start w:val="1"/>
      <w:numFmt w:val="lowerLetter"/>
      <w:lvlText w:val="%1)"/>
      <w:lvlJc w:val="left"/>
      <w:pPr>
        <w:tabs>
          <w:tab w:val="num" w:pos="720"/>
        </w:tabs>
        <w:ind w:left="720" w:hanging="360"/>
      </w:pPr>
      <w:rPr>
        <w:rFonts w:ascii="Arial" w:hAnsi="Arial" w:cs="Arial" w:hint="default"/>
        <w:sz w:val="18"/>
        <w:szCs w:val="18"/>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28" w15:restartNumberingAfterBreak="0">
    <w:nsid w:val="1AFF70E9"/>
    <w:multiLevelType w:val="hybridMultilevel"/>
    <w:tmpl w:val="BE08DADC"/>
    <w:lvl w:ilvl="0" w:tplc="E506AD9A">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AD89804">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EF4725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B587C14">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1EA40E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388DCB4">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4BCAD5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7686B12">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E04BABE">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9" w15:restartNumberingAfterBreak="0">
    <w:nsid w:val="1B4136AB"/>
    <w:multiLevelType w:val="singleLevel"/>
    <w:tmpl w:val="12FCC392"/>
    <w:lvl w:ilvl="0">
      <w:start w:val="1"/>
      <w:numFmt w:val="lowerLetter"/>
      <w:lvlText w:val="%1)"/>
      <w:legacy w:legacy="1" w:legacySpace="0" w:legacyIndent="283"/>
      <w:lvlJc w:val="left"/>
      <w:pPr>
        <w:ind w:left="283" w:hanging="283"/>
      </w:pPr>
    </w:lvl>
  </w:abstractNum>
  <w:abstractNum w:abstractNumId="130" w15:restartNumberingAfterBreak="0">
    <w:nsid w:val="1B70465B"/>
    <w:multiLevelType w:val="hybridMultilevel"/>
    <w:tmpl w:val="00BA201A"/>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1B8C7A12"/>
    <w:multiLevelType w:val="hybridMultilevel"/>
    <w:tmpl w:val="99E42DF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1D1F699F"/>
    <w:multiLevelType w:val="hybridMultilevel"/>
    <w:tmpl w:val="B880971A"/>
    <w:lvl w:ilvl="0" w:tplc="376E012C">
      <w:start w:val="1"/>
      <w:numFmt w:val="decimal"/>
      <w:lvlText w:val="%1"/>
      <w:legacy w:legacy="1" w:legacySpace="120" w:legacyIndent="360"/>
      <w:lvlJc w:val="left"/>
      <w:pPr>
        <w:ind w:left="0" w:firstLine="0"/>
      </w:pPr>
    </w:lvl>
    <w:lvl w:ilvl="1" w:tplc="4D62364C">
      <w:start w:val="1"/>
      <w:numFmt w:val="bullet"/>
      <w:lvlText w:val=""/>
      <w:legacy w:legacy="1" w:legacySpace="0" w:legacyIndent="283"/>
      <w:lvlJc w:val="left"/>
      <w:pPr>
        <w:ind w:left="1363" w:hanging="283"/>
      </w:pPr>
      <w:rPr>
        <w:rFonts w:ascii="Symbol" w:hAnsi="Symbol" w:hint="default"/>
        <w:sz w:val="2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3" w15:restartNumberingAfterBreak="0">
    <w:nsid w:val="1D237B20"/>
    <w:multiLevelType w:val="hybridMultilevel"/>
    <w:tmpl w:val="9820720A"/>
    <w:lvl w:ilvl="0" w:tplc="51D6104E">
      <w:start w:val="20"/>
      <w:numFmt w:val="decimal"/>
      <w:lvlText w:val="%1."/>
      <w:lvlJc w:val="left"/>
      <w:pPr>
        <w:tabs>
          <w:tab w:val="num" w:pos="567"/>
        </w:tabs>
        <w:ind w:left="567" w:hanging="56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4" w15:restartNumberingAfterBreak="0">
    <w:nsid w:val="1D5E5E6D"/>
    <w:multiLevelType w:val="hybridMultilevel"/>
    <w:tmpl w:val="96A2637C"/>
    <w:lvl w:ilvl="0" w:tplc="253A7076">
      <w:start w:val="1"/>
      <w:numFmt w:val="lowerLetter"/>
      <w:lvlText w:val="%1."/>
      <w:lvlJc w:val="left"/>
      <w:pPr>
        <w:ind w:left="12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DF8C656">
      <w:start w:val="1"/>
      <w:numFmt w:val="bullet"/>
      <w:lvlText w:val="•"/>
      <w:lvlJc w:val="left"/>
      <w:pPr>
        <w:ind w:left="212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DEA0C62">
      <w:start w:val="1"/>
      <w:numFmt w:val="bullet"/>
      <w:lvlText w:val="▪"/>
      <w:lvlJc w:val="left"/>
      <w:pPr>
        <w:ind w:left="25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362B882">
      <w:start w:val="1"/>
      <w:numFmt w:val="bullet"/>
      <w:lvlText w:val="•"/>
      <w:lvlJc w:val="left"/>
      <w:pPr>
        <w:ind w:left="32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F6D2E8">
      <w:start w:val="1"/>
      <w:numFmt w:val="bullet"/>
      <w:lvlText w:val="o"/>
      <w:lvlJc w:val="left"/>
      <w:pPr>
        <w:ind w:left="40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9B0F1F6">
      <w:start w:val="1"/>
      <w:numFmt w:val="bullet"/>
      <w:lvlText w:val="▪"/>
      <w:lvlJc w:val="left"/>
      <w:pPr>
        <w:ind w:left="47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D22BB04">
      <w:start w:val="1"/>
      <w:numFmt w:val="bullet"/>
      <w:lvlText w:val="•"/>
      <w:lvlJc w:val="left"/>
      <w:pPr>
        <w:ind w:left="54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19EFE52">
      <w:start w:val="1"/>
      <w:numFmt w:val="bullet"/>
      <w:lvlText w:val="o"/>
      <w:lvlJc w:val="left"/>
      <w:pPr>
        <w:ind w:left="61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8143B38">
      <w:start w:val="1"/>
      <w:numFmt w:val="bullet"/>
      <w:lvlText w:val="▪"/>
      <w:lvlJc w:val="left"/>
      <w:pPr>
        <w:ind w:left="68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5" w15:restartNumberingAfterBreak="0">
    <w:nsid w:val="1E9D1592"/>
    <w:multiLevelType w:val="hybridMultilevel"/>
    <w:tmpl w:val="561E20EA"/>
    <w:lvl w:ilvl="0" w:tplc="24264DA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EC88E10">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50C3474">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84A94C0">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0E6428A">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83AA97A">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EEC63F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408D8A0">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61803EC">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6" w15:restartNumberingAfterBreak="0">
    <w:nsid w:val="1ED5792E"/>
    <w:multiLevelType w:val="hybridMultilevel"/>
    <w:tmpl w:val="6622A256"/>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7" w15:restartNumberingAfterBreak="0">
    <w:nsid w:val="1EEA2865"/>
    <w:multiLevelType w:val="singleLevel"/>
    <w:tmpl w:val="AC0E3F54"/>
    <w:lvl w:ilvl="0">
      <w:start w:val="9"/>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138" w15:restartNumberingAfterBreak="0">
    <w:nsid w:val="1EF71719"/>
    <w:multiLevelType w:val="hybridMultilevel"/>
    <w:tmpl w:val="6CE4D5E4"/>
    <w:lvl w:ilvl="0" w:tplc="04150001">
      <w:start w:val="1"/>
      <w:numFmt w:val="bullet"/>
      <w:lvlText w:val=""/>
      <w:lvlJc w:val="left"/>
      <w:pPr>
        <w:ind w:left="2717" w:hanging="360"/>
      </w:pPr>
      <w:rPr>
        <w:rFonts w:ascii="Symbol" w:hAnsi="Symbol" w:hint="default"/>
      </w:rPr>
    </w:lvl>
    <w:lvl w:ilvl="1" w:tplc="04150003" w:tentative="1">
      <w:start w:val="1"/>
      <w:numFmt w:val="bullet"/>
      <w:lvlText w:val="o"/>
      <w:lvlJc w:val="left"/>
      <w:pPr>
        <w:ind w:left="3437" w:hanging="360"/>
      </w:pPr>
      <w:rPr>
        <w:rFonts w:ascii="Courier New" w:hAnsi="Courier New" w:cs="Courier New" w:hint="default"/>
      </w:rPr>
    </w:lvl>
    <w:lvl w:ilvl="2" w:tplc="04150005" w:tentative="1">
      <w:start w:val="1"/>
      <w:numFmt w:val="bullet"/>
      <w:lvlText w:val=""/>
      <w:lvlJc w:val="left"/>
      <w:pPr>
        <w:ind w:left="4157" w:hanging="360"/>
      </w:pPr>
      <w:rPr>
        <w:rFonts w:ascii="Wingdings" w:hAnsi="Wingdings" w:hint="default"/>
      </w:rPr>
    </w:lvl>
    <w:lvl w:ilvl="3" w:tplc="04150001" w:tentative="1">
      <w:start w:val="1"/>
      <w:numFmt w:val="bullet"/>
      <w:lvlText w:val=""/>
      <w:lvlJc w:val="left"/>
      <w:pPr>
        <w:ind w:left="4877" w:hanging="360"/>
      </w:pPr>
      <w:rPr>
        <w:rFonts w:ascii="Symbol" w:hAnsi="Symbol" w:hint="default"/>
      </w:rPr>
    </w:lvl>
    <w:lvl w:ilvl="4" w:tplc="04150003" w:tentative="1">
      <w:start w:val="1"/>
      <w:numFmt w:val="bullet"/>
      <w:lvlText w:val="o"/>
      <w:lvlJc w:val="left"/>
      <w:pPr>
        <w:ind w:left="5597" w:hanging="360"/>
      </w:pPr>
      <w:rPr>
        <w:rFonts w:ascii="Courier New" w:hAnsi="Courier New" w:cs="Courier New" w:hint="default"/>
      </w:rPr>
    </w:lvl>
    <w:lvl w:ilvl="5" w:tplc="04150005" w:tentative="1">
      <w:start w:val="1"/>
      <w:numFmt w:val="bullet"/>
      <w:lvlText w:val=""/>
      <w:lvlJc w:val="left"/>
      <w:pPr>
        <w:ind w:left="6317" w:hanging="360"/>
      </w:pPr>
      <w:rPr>
        <w:rFonts w:ascii="Wingdings" w:hAnsi="Wingdings" w:hint="default"/>
      </w:rPr>
    </w:lvl>
    <w:lvl w:ilvl="6" w:tplc="04150001" w:tentative="1">
      <w:start w:val="1"/>
      <w:numFmt w:val="bullet"/>
      <w:lvlText w:val=""/>
      <w:lvlJc w:val="left"/>
      <w:pPr>
        <w:ind w:left="7037" w:hanging="360"/>
      </w:pPr>
      <w:rPr>
        <w:rFonts w:ascii="Symbol" w:hAnsi="Symbol" w:hint="default"/>
      </w:rPr>
    </w:lvl>
    <w:lvl w:ilvl="7" w:tplc="04150003" w:tentative="1">
      <w:start w:val="1"/>
      <w:numFmt w:val="bullet"/>
      <w:lvlText w:val="o"/>
      <w:lvlJc w:val="left"/>
      <w:pPr>
        <w:ind w:left="7757" w:hanging="360"/>
      </w:pPr>
      <w:rPr>
        <w:rFonts w:ascii="Courier New" w:hAnsi="Courier New" w:cs="Courier New" w:hint="default"/>
      </w:rPr>
    </w:lvl>
    <w:lvl w:ilvl="8" w:tplc="04150005" w:tentative="1">
      <w:start w:val="1"/>
      <w:numFmt w:val="bullet"/>
      <w:lvlText w:val=""/>
      <w:lvlJc w:val="left"/>
      <w:pPr>
        <w:ind w:left="8477" w:hanging="360"/>
      </w:pPr>
      <w:rPr>
        <w:rFonts w:ascii="Wingdings" w:hAnsi="Wingdings" w:hint="default"/>
      </w:rPr>
    </w:lvl>
  </w:abstractNum>
  <w:abstractNum w:abstractNumId="139" w15:restartNumberingAfterBreak="0">
    <w:nsid w:val="1F2E6DE0"/>
    <w:multiLevelType w:val="hybridMultilevel"/>
    <w:tmpl w:val="4CA83F16"/>
    <w:lvl w:ilvl="0" w:tplc="9A3689C8">
      <w:start w:val="1"/>
      <w:numFmt w:val="bullet"/>
      <w:pStyle w:val="mylnik"/>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1F617FF0"/>
    <w:multiLevelType w:val="hybridMultilevel"/>
    <w:tmpl w:val="FF74C00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1F820908"/>
    <w:multiLevelType w:val="singleLevel"/>
    <w:tmpl w:val="4156FF76"/>
    <w:lvl w:ilvl="0">
      <w:start w:val="2"/>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142" w15:restartNumberingAfterBreak="0">
    <w:nsid w:val="1FA070B7"/>
    <w:multiLevelType w:val="hybridMultilevel"/>
    <w:tmpl w:val="F50EE1A2"/>
    <w:lvl w:ilvl="0" w:tplc="A6F45298">
      <w:start w:val="1"/>
      <w:numFmt w:val="bullet"/>
      <w:lvlText w:val="–"/>
      <w:lvlJc w:val="left"/>
      <w:pPr>
        <w:ind w:left="7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1E66879A">
      <w:start w:val="1"/>
      <w:numFmt w:val="bullet"/>
      <w:lvlText w:val="o"/>
      <w:lvlJc w:val="left"/>
      <w:pPr>
        <w:ind w:left="14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A33A7984">
      <w:start w:val="1"/>
      <w:numFmt w:val="bullet"/>
      <w:lvlText w:val="▪"/>
      <w:lvlJc w:val="left"/>
      <w:pPr>
        <w:ind w:left="21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5E4AB536">
      <w:start w:val="1"/>
      <w:numFmt w:val="bullet"/>
      <w:lvlText w:val="•"/>
      <w:lvlJc w:val="left"/>
      <w:pPr>
        <w:ind w:left="28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47340BA8">
      <w:start w:val="1"/>
      <w:numFmt w:val="bullet"/>
      <w:lvlText w:val="o"/>
      <w:lvlJc w:val="left"/>
      <w:pPr>
        <w:ind w:left="36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90E4F7E6">
      <w:start w:val="1"/>
      <w:numFmt w:val="bullet"/>
      <w:lvlText w:val="▪"/>
      <w:lvlJc w:val="left"/>
      <w:pPr>
        <w:ind w:left="43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9EC1CB4">
      <w:start w:val="1"/>
      <w:numFmt w:val="bullet"/>
      <w:lvlText w:val="•"/>
      <w:lvlJc w:val="left"/>
      <w:pPr>
        <w:ind w:left="5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98B49B5C">
      <w:start w:val="1"/>
      <w:numFmt w:val="bullet"/>
      <w:lvlText w:val="o"/>
      <w:lvlJc w:val="left"/>
      <w:pPr>
        <w:ind w:left="57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9364E0D2">
      <w:start w:val="1"/>
      <w:numFmt w:val="bullet"/>
      <w:lvlText w:val="▪"/>
      <w:lvlJc w:val="left"/>
      <w:pPr>
        <w:ind w:left="64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43" w15:restartNumberingAfterBreak="0">
    <w:nsid w:val="1FF00399"/>
    <w:multiLevelType w:val="hybridMultilevel"/>
    <w:tmpl w:val="2F8A2006"/>
    <w:lvl w:ilvl="0" w:tplc="3B243C9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20545D26"/>
    <w:multiLevelType w:val="hybridMultilevel"/>
    <w:tmpl w:val="73B6AFEC"/>
    <w:lvl w:ilvl="0" w:tplc="3B243C9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205F1861"/>
    <w:multiLevelType w:val="hybridMultilevel"/>
    <w:tmpl w:val="12EC43B8"/>
    <w:lvl w:ilvl="0" w:tplc="0464CA9A">
      <w:start w:val="1"/>
      <w:numFmt w:val="bullet"/>
      <w:lvlText w:val="-"/>
      <w:lvlJc w:val="left"/>
      <w:pPr>
        <w:tabs>
          <w:tab w:val="num" w:pos="720"/>
        </w:tabs>
        <w:ind w:left="720" w:hanging="360"/>
      </w:pPr>
      <w:rPr>
        <w:rFonts w:ascii="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206620C5"/>
    <w:multiLevelType w:val="hybridMultilevel"/>
    <w:tmpl w:val="A912AC9C"/>
    <w:lvl w:ilvl="0" w:tplc="FAD6A726">
      <w:start w:val="1"/>
      <w:numFmt w:val="bullet"/>
      <w:lvlText w:val="–"/>
      <w:lvlJc w:val="left"/>
      <w:pPr>
        <w:tabs>
          <w:tab w:val="num" w:pos="170"/>
        </w:tabs>
        <w:ind w:left="170" w:hanging="170"/>
      </w:pPr>
      <w:rPr>
        <w:rFonts w:ascii="Times New Roman" w:hAnsi="Times New Roman" w:cs="Times New Roman" w:hint="default"/>
      </w:rPr>
    </w:lvl>
    <w:lvl w:ilvl="1" w:tplc="04150003" w:tentative="1">
      <w:start w:val="1"/>
      <w:numFmt w:val="bullet"/>
      <w:lvlText w:val="o"/>
      <w:lvlJc w:val="left"/>
      <w:pPr>
        <w:tabs>
          <w:tab w:val="num" w:pos="1594"/>
        </w:tabs>
        <w:ind w:left="1594" w:hanging="360"/>
      </w:pPr>
      <w:rPr>
        <w:rFonts w:ascii="Courier New" w:hAnsi="Courier New" w:cs="Courier New" w:hint="default"/>
      </w:rPr>
    </w:lvl>
    <w:lvl w:ilvl="2" w:tplc="04150005" w:tentative="1">
      <w:start w:val="1"/>
      <w:numFmt w:val="bullet"/>
      <w:lvlText w:val=""/>
      <w:lvlJc w:val="left"/>
      <w:pPr>
        <w:tabs>
          <w:tab w:val="num" w:pos="2314"/>
        </w:tabs>
        <w:ind w:left="2314" w:hanging="360"/>
      </w:pPr>
      <w:rPr>
        <w:rFonts w:ascii="Wingdings" w:hAnsi="Wingdings" w:hint="default"/>
      </w:rPr>
    </w:lvl>
    <w:lvl w:ilvl="3" w:tplc="04150001" w:tentative="1">
      <w:start w:val="1"/>
      <w:numFmt w:val="bullet"/>
      <w:lvlText w:val=""/>
      <w:lvlJc w:val="left"/>
      <w:pPr>
        <w:tabs>
          <w:tab w:val="num" w:pos="3034"/>
        </w:tabs>
        <w:ind w:left="3034" w:hanging="360"/>
      </w:pPr>
      <w:rPr>
        <w:rFonts w:ascii="Symbol" w:hAnsi="Symbol" w:hint="default"/>
      </w:rPr>
    </w:lvl>
    <w:lvl w:ilvl="4" w:tplc="04150003" w:tentative="1">
      <w:start w:val="1"/>
      <w:numFmt w:val="bullet"/>
      <w:lvlText w:val="o"/>
      <w:lvlJc w:val="left"/>
      <w:pPr>
        <w:tabs>
          <w:tab w:val="num" w:pos="3754"/>
        </w:tabs>
        <w:ind w:left="3754" w:hanging="360"/>
      </w:pPr>
      <w:rPr>
        <w:rFonts w:ascii="Courier New" w:hAnsi="Courier New" w:cs="Courier New" w:hint="default"/>
      </w:rPr>
    </w:lvl>
    <w:lvl w:ilvl="5" w:tplc="04150005" w:tentative="1">
      <w:start w:val="1"/>
      <w:numFmt w:val="bullet"/>
      <w:lvlText w:val=""/>
      <w:lvlJc w:val="left"/>
      <w:pPr>
        <w:tabs>
          <w:tab w:val="num" w:pos="4474"/>
        </w:tabs>
        <w:ind w:left="4474" w:hanging="360"/>
      </w:pPr>
      <w:rPr>
        <w:rFonts w:ascii="Wingdings" w:hAnsi="Wingdings" w:hint="default"/>
      </w:rPr>
    </w:lvl>
    <w:lvl w:ilvl="6" w:tplc="04150001" w:tentative="1">
      <w:start w:val="1"/>
      <w:numFmt w:val="bullet"/>
      <w:lvlText w:val=""/>
      <w:lvlJc w:val="left"/>
      <w:pPr>
        <w:tabs>
          <w:tab w:val="num" w:pos="5194"/>
        </w:tabs>
        <w:ind w:left="5194" w:hanging="360"/>
      </w:pPr>
      <w:rPr>
        <w:rFonts w:ascii="Symbol" w:hAnsi="Symbol" w:hint="default"/>
      </w:rPr>
    </w:lvl>
    <w:lvl w:ilvl="7" w:tplc="04150003" w:tentative="1">
      <w:start w:val="1"/>
      <w:numFmt w:val="bullet"/>
      <w:lvlText w:val="o"/>
      <w:lvlJc w:val="left"/>
      <w:pPr>
        <w:tabs>
          <w:tab w:val="num" w:pos="5914"/>
        </w:tabs>
        <w:ind w:left="5914" w:hanging="360"/>
      </w:pPr>
      <w:rPr>
        <w:rFonts w:ascii="Courier New" w:hAnsi="Courier New" w:cs="Courier New" w:hint="default"/>
      </w:rPr>
    </w:lvl>
    <w:lvl w:ilvl="8" w:tplc="04150005" w:tentative="1">
      <w:start w:val="1"/>
      <w:numFmt w:val="bullet"/>
      <w:lvlText w:val=""/>
      <w:lvlJc w:val="left"/>
      <w:pPr>
        <w:tabs>
          <w:tab w:val="num" w:pos="6634"/>
        </w:tabs>
        <w:ind w:left="6634" w:hanging="360"/>
      </w:pPr>
      <w:rPr>
        <w:rFonts w:ascii="Wingdings" w:hAnsi="Wingdings" w:hint="default"/>
      </w:rPr>
    </w:lvl>
  </w:abstractNum>
  <w:abstractNum w:abstractNumId="147" w15:restartNumberingAfterBreak="0">
    <w:nsid w:val="20687B17"/>
    <w:multiLevelType w:val="hybridMultilevel"/>
    <w:tmpl w:val="D714BDAC"/>
    <w:name w:val="Lista STWiORB322222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206C7488"/>
    <w:multiLevelType w:val="hybridMultilevel"/>
    <w:tmpl w:val="9460C296"/>
    <w:lvl w:ilvl="0" w:tplc="04150017">
      <w:start w:val="1"/>
      <w:numFmt w:val="lowerLetter"/>
      <w:lvlText w:val="%1)"/>
      <w:lvlJc w:val="left"/>
      <w:pPr>
        <w:ind w:left="1003" w:hanging="360"/>
      </w:p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149" w15:restartNumberingAfterBreak="0">
    <w:nsid w:val="206EFE4B"/>
    <w:multiLevelType w:val="multilevel"/>
    <w:tmpl w:val="488FAE74"/>
    <w:lvl w:ilvl="0">
      <w:numFmt w:val="bullet"/>
      <w:lvlText w:val="·"/>
      <w:lvlJc w:val="left"/>
      <w:pPr>
        <w:tabs>
          <w:tab w:val="num" w:pos="285"/>
        </w:tabs>
        <w:ind w:left="285" w:hanging="285"/>
      </w:pPr>
      <w:rPr>
        <w:rFonts w:ascii="Symbol" w:hAnsi="Symbol" w:cs="Symbol"/>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50" w15:restartNumberingAfterBreak="0">
    <w:nsid w:val="2094777E"/>
    <w:multiLevelType w:val="hybridMultilevel"/>
    <w:tmpl w:val="E072F912"/>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21002DB6"/>
    <w:multiLevelType w:val="singleLevel"/>
    <w:tmpl w:val="B9FC73D8"/>
    <w:lvl w:ilvl="0">
      <w:start w:val="2"/>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152" w15:restartNumberingAfterBreak="0">
    <w:nsid w:val="221D6703"/>
    <w:multiLevelType w:val="hybridMultilevel"/>
    <w:tmpl w:val="6AFA99E0"/>
    <w:lvl w:ilvl="0" w:tplc="0FD268FC">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53" w15:restartNumberingAfterBreak="0">
    <w:nsid w:val="22DB5D50"/>
    <w:multiLevelType w:val="hybridMultilevel"/>
    <w:tmpl w:val="0804DA8E"/>
    <w:lvl w:ilvl="0" w:tplc="20E42F84">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247A25AA"/>
    <w:multiLevelType w:val="hybridMultilevel"/>
    <w:tmpl w:val="B2E211B4"/>
    <w:lvl w:ilvl="0" w:tplc="E8DCE8F8">
      <w:start w:val="25"/>
      <w:numFmt w:val="decimal"/>
      <w:lvlText w:val="%1."/>
      <w:lvlJc w:val="left"/>
      <w:pPr>
        <w:tabs>
          <w:tab w:val="num" w:pos="720"/>
        </w:tabs>
        <w:ind w:left="720" w:hanging="72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55" w15:restartNumberingAfterBreak="0">
    <w:nsid w:val="24DC4673"/>
    <w:multiLevelType w:val="hybridMultilevel"/>
    <w:tmpl w:val="84C63186"/>
    <w:lvl w:ilvl="0" w:tplc="DF8A358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15:restartNumberingAfterBreak="0">
    <w:nsid w:val="252F2B04"/>
    <w:multiLevelType w:val="singleLevel"/>
    <w:tmpl w:val="D4EAB958"/>
    <w:lvl w:ilvl="0">
      <w:start w:val="3"/>
      <w:numFmt w:val="decimal"/>
      <w:lvlText w:val="5.3.%1. "/>
      <w:legacy w:legacy="1" w:legacySpace="0" w:legacyIndent="283"/>
      <w:lvlJc w:val="left"/>
      <w:pPr>
        <w:ind w:left="283" w:hanging="283"/>
      </w:pPr>
      <w:rPr>
        <w:rFonts w:ascii="Times New Roman" w:hAnsi="Times New Roman" w:hint="default"/>
        <w:b/>
        <w:i w:val="0"/>
        <w:sz w:val="20"/>
        <w:u w:val="none"/>
      </w:rPr>
    </w:lvl>
  </w:abstractNum>
  <w:abstractNum w:abstractNumId="157" w15:restartNumberingAfterBreak="0">
    <w:nsid w:val="253A6485"/>
    <w:multiLevelType w:val="hybridMultilevel"/>
    <w:tmpl w:val="14E29C40"/>
    <w:lvl w:ilvl="0" w:tplc="B512FE0A">
      <w:start w:val="1"/>
      <w:numFmt w:val="lowerLetter"/>
      <w:lvlText w:val="%1."/>
      <w:lvlJc w:val="left"/>
      <w:pPr>
        <w:ind w:left="1277"/>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CE0E822C">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BF6D110">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0E16A9AC">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B9E63046">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34146DEA">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DB2AF5A">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E568DDE">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0012F17A">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58" w15:restartNumberingAfterBreak="0">
    <w:nsid w:val="254344AC"/>
    <w:multiLevelType w:val="hybridMultilevel"/>
    <w:tmpl w:val="717053B2"/>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9" w15:restartNumberingAfterBreak="0">
    <w:nsid w:val="25695D24"/>
    <w:multiLevelType w:val="multilevel"/>
    <w:tmpl w:val="70C0134A"/>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15:restartNumberingAfterBreak="0">
    <w:nsid w:val="25835047"/>
    <w:multiLevelType w:val="hybridMultilevel"/>
    <w:tmpl w:val="EF18F896"/>
    <w:lvl w:ilvl="0" w:tplc="21F4D30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38CD006">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3C02AF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806F482">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648A14A">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BA82C76">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BB06C96">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1C8E938">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180B7E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1" w15:restartNumberingAfterBreak="0">
    <w:nsid w:val="25D955B1"/>
    <w:multiLevelType w:val="multilevel"/>
    <w:tmpl w:val="6602CD2E"/>
    <w:lvl w:ilvl="0">
      <w:start w:val="1"/>
      <w:numFmt w:val="decimal"/>
      <w:lvlText w:val="%1."/>
      <w:lvlJc w:val="left"/>
      <w:pPr>
        <w:tabs>
          <w:tab w:val="num" w:pos="285"/>
        </w:tabs>
        <w:ind w:left="285" w:hanging="285"/>
      </w:pPr>
      <w:rPr>
        <w:rFonts w:ascii="Arial" w:hAnsi="Arial" w:cs="Arial"/>
        <w:sz w:val="18"/>
        <w:szCs w:val="18"/>
      </w:rPr>
    </w:lvl>
    <w:lvl w:ilvl="1">
      <w:start w:val="1"/>
      <w:numFmt w:val="decimal"/>
      <w:lvlText w:val="%2."/>
      <w:lvlJc w:val="left"/>
      <w:pPr>
        <w:tabs>
          <w:tab w:val="num" w:pos="1440"/>
        </w:tabs>
        <w:ind w:left="1440" w:hanging="360"/>
      </w:pPr>
      <w:rPr>
        <w:rFonts w:ascii="Times New Roman" w:hAnsi="Times New Roman" w:cs="Times New Roman"/>
        <w:sz w:val="18"/>
        <w:szCs w:val="18"/>
      </w:rPr>
    </w:lvl>
    <w:lvl w:ilvl="2">
      <w:numFmt w:val="bullet"/>
      <w:lvlText w:val="–"/>
      <w:lvlJc w:val="left"/>
      <w:pPr>
        <w:tabs>
          <w:tab w:val="num" w:pos="1800"/>
        </w:tabs>
        <w:ind w:left="2085" w:hanging="285"/>
      </w:pPr>
      <w:rPr>
        <w:rFonts w:ascii="Arial" w:hAnsi="Arial" w:cs="Arial"/>
        <w:sz w:val="18"/>
        <w:szCs w:val="18"/>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62" w15:restartNumberingAfterBreak="0">
    <w:nsid w:val="26357EE0"/>
    <w:multiLevelType w:val="hybridMultilevel"/>
    <w:tmpl w:val="5A46CB6C"/>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163" w15:restartNumberingAfterBreak="0">
    <w:nsid w:val="266060FE"/>
    <w:multiLevelType w:val="singleLevel"/>
    <w:tmpl w:val="6E16D64E"/>
    <w:lvl w:ilvl="0">
      <w:start w:val="7"/>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164" w15:restartNumberingAfterBreak="0">
    <w:nsid w:val="26E71B5D"/>
    <w:multiLevelType w:val="multilevel"/>
    <w:tmpl w:val="353EF140"/>
    <w:lvl w:ilvl="0">
      <w:start w:val="5"/>
      <w:numFmt w:val="decimal"/>
      <w:lvlText w:val="%1"/>
      <w:lvlJc w:val="left"/>
      <w:pPr>
        <w:ind w:left="3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start w:val="17"/>
      <w:numFmt w:val="decimal"/>
      <w:lvlText w:val="%1.%2"/>
      <w:lvlJc w:val="left"/>
      <w:pPr>
        <w:ind w:left="3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start w:val="5"/>
      <w:numFmt w:val="decimal"/>
      <w:lvlRestart w:val="0"/>
      <w:lvlText w:val="%1.%2.%3."/>
      <w:lvlJc w:val="left"/>
      <w:pPr>
        <w:ind w:left="1572"/>
      </w:pPr>
      <w:rPr>
        <w:rFonts w:ascii="Times New Roman" w:eastAsia="Verdana"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65" w15:restartNumberingAfterBreak="0">
    <w:nsid w:val="26EE2C8E"/>
    <w:multiLevelType w:val="hybridMultilevel"/>
    <w:tmpl w:val="00C6F450"/>
    <w:lvl w:ilvl="0" w:tplc="3E7EDAAC">
      <w:start w:val="7"/>
      <w:numFmt w:val="decimal"/>
      <w:lvlText w:val="%1. "/>
      <w:lvlJc w:val="left"/>
      <w:pPr>
        <w:ind w:left="283" w:hanging="283"/>
      </w:pPr>
      <w:rPr>
        <w:rFonts w:ascii="Times New Roman" w:hAnsi="Times New Roman" w:cs="Times New Roman" w:hint="default"/>
        <w:b w:val="0"/>
        <w:i w:val="0"/>
        <w:strike w:val="0"/>
        <w:dstrike w:val="0"/>
        <w:sz w:val="20"/>
        <w:u w:val="none"/>
        <w:effect w:val="none"/>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66" w15:restartNumberingAfterBreak="0">
    <w:nsid w:val="26F25219"/>
    <w:multiLevelType w:val="hybridMultilevel"/>
    <w:tmpl w:val="955ED24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27094753"/>
    <w:multiLevelType w:val="hybridMultilevel"/>
    <w:tmpl w:val="18CA6D88"/>
    <w:lvl w:ilvl="0" w:tplc="89F85D08">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27BE5BC7"/>
    <w:multiLevelType w:val="hybridMultilevel"/>
    <w:tmpl w:val="246C8A64"/>
    <w:lvl w:ilvl="0" w:tplc="3D9270DC">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70" w15:restartNumberingAfterBreak="0">
    <w:nsid w:val="28225287"/>
    <w:multiLevelType w:val="hybridMultilevel"/>
    <w:tmpl w:val="7C1CB736"/>
    <w:name w:val="Lista STWiORB3222222222"/>
    <w:lvl w:ilvl="0" w:tplc="04150005">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15:restartNumberingAfterBreak="0">
    <w:nsid w:val="29554AF3"/>
    <w:multiLevelType w:val="hybridMultilevel"/>
    <w:tmpl w:val="206050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29BE97CC"/>
    <w:multiLevelType w:val="multilevel"/>
    <w:tmpl w:val="45316E5B"/>
    <w:lvl w:ilvl="0">
      <w:numFmt w:val="bullet"/>
      <w:lvlText w:val="–"/>
      <w:lvlJc w:val="left"/>
      <w:pPr>
        <w:tabs>
          <w:tab w:val="num" w:pos="720"/>
        </w:tabs>
        <w:ind w:left="720" w:hanging="360"/>
      </w:pPr>
      <w:rPr>
        <w:rFonts w:ascii="Times New Roman" w:hAnsi="Times New Roman" w:cs="Times New Roman"/>
        <w:sz w:val="20"/>
        <w:szCs w:val="20"/>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73" w15:restartNumberingAfterBreak="0">
    <w:nsid w:val="29F26C5C"/>
    <w:multiLevelType w:val="hybridMultilevel"/>
    <w:tmpl w:val="25CC5E8A"/>
    <w:lvl w:ilvl="0" w:tplc="5770EBE8">
      <w:start w:val="1"/>
      <w:numFmt w:val="decimal"/>
      <w:lvlText w:val="%1."/>
      <w:lvlJc w:val="left"/>
      <w:pPr>
        <w:ind w:left="427"/>
      </w:pPr>
      <w:rPr>
        <w:rFonts w:ascii="Times New Roman" w:eastAsia="Verdana" w:hAnsi="Times New Roman" w:cs="Times New Roman" w:hint="default"/>
        <w:b w:val="0"/>
        <w:i w:val="0"/>
        <w:strike w:val="0"/>
        <w:dstrike w:val="0"/>
        <w:color w:val="000000"/>
        <w:sz w:val="22"/>
        <w:szCs w:val="20"/>
        <w:u w:val="none" w:color="000000"/>
        <w:bdr w:val="none" w:sz="0" w:space="0" w:color="auto"/>
        <w:shd w:val="clear" w:color="auto" w:fill="auto"/>
        <w:vertAlign w:val="baseline"/>
      </w:rPr>
    </w:lvl>
    <w:lvl w:ilvl="1" w:tplc="009CB60A">
      <w:start w:val="1"/>
      <w:numFmt w:val="lowerLetter"/>
      <w:lvlText w:val="%2"/>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1E1C7520">
      <w:start w:val="1"/>
      <w:numFmt w:val="lowerRoman"/>
      <w:lvlText w:val="%3"/>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CB308EB8">
      <w:start w:val="1"/>
      <w:numFmt w:val="decimal"/>
      <w:lvlText w:val="%4"/>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E8CC110">
      <w:start w:val="1"/>
      <w:numFmt w:val="lowerLetter"/>
      <w:lvlText w:val="%5"/>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2F6A4218">
      <w:start w:val="1"/>
      <w:numFmt w:val="lowerRoman"/>
      <w:lvlText w:val="%6"/>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C10E0E6">
      <w:start w:val="1"/>
      <w:numFmt w:val="decimal"/>
      <w:lvlText w:val="%7"/>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69623626">
      <w:start w:val="1"/>
      <w:numFmt w:val="lowerLetter"/>
      <w:lvlText w:val="%8"/>
      <w:lvlJc w:val="left"/>
      <w:pPr>
        <w:ind w:left="54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DA4048A6">
      <w:start w:val="1"/>
      <w:numFmt w:val="lowerRoman"/>
      <w:lvlText w:val="%9"/>
      <w:lvlJc w:val="left"/>
      <w:pPr>
        <w:ind w:left="61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74" w15:restartNumberingAfterBreak="0">
    <w:nsid w:val="2B312783"/>
    <w:multiLevelType w:val="hybridMultilevel"/>
    <w:tmpl w:val="2B2CB9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15:restartNumberingAfterBreak="0">
    <w:nsid w:val="2B331191"/>
    <w:multiLevelType w:val="hybridMultilevel"/>
    <w:tmpl w:val="BAB2E700"/>
    <w:lvl w:ilvl="0" w:tplc="EB548E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2B970CB7"/>
    <w:multiLevelType w:val="hybridMultilevel"/>
    <w:tmpl w:val="E396954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2BB74218"/>
    <w:multiLevelType w:val="multilevel"/>
    <w:tmpl w:val="C7685EDE"/>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emboss w:val="0"/>
        <w:imprint w:val="0"/>
        <w:vanish w:val="0"/>
        <w:sz w:val="22"/>
        <w:szCs w:val="22"/>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4"/>
        <w:vertAlign w:val="baseline"/>
      </w:rPr>
    </w:lvl>
    <w:lvl w:ilvl="2">
      <w:start w:val="1"/>
      <w:numFmt w:val="decimal"/>
      <w:lvlText w:val="%1.%2.%3."/>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178" w15:restartNumberingAfterBreak="0">
    <w:nsid w:val="2BB91F1F"/>
    <w:multiLevelType w:val="singleLevel"/>
    <w:tmpl w:val="2964514C"/>
    <w:lvl w:ilvl="0">
      <w:start w:val="1"/>
      <w:numFmt w:val="lowerLetter"/>
      <w:lvlText w:val="%1)"/>
      <w:legacy w:legacy="1" w:legacySpace="0" w:legacyIndent="283"/>
      <w:lvlJc w:val="left"/>
      <w:pPr>
        <w:ind w:left="283" w:hanging="283"/>
      </w:pPr>
    </w:lvl>
  </w:abstractNum>
  <w:abstractNum w:abstractNumId="179" w15:restartNumberingAfterBreak="0">
    <w:nsid w:val="2BFF1147"/>
    <w:multiLevelType w:val="hybridMultilevel"/>
    <w:tmpl w:val="F866E5A2"/>
    <w:lvl w:ilvl="0" w:tplc="0FD268FC">
      <w:start w:val="1"/>
      <w:numFmt w:val="bullet"/>
      <w:lvlText w:val=""/>
      <w:lvlJc w:val="left"/>
      <w:pPr>
        <w:ind w:left="720" w:hanging="360"/>
      </w:pPr>
      <w:rPr>
        <w:rFonts w:ascii="Symbol" w:hAnsi="Symbol" w:hint="default"/>
      </w:rPr>
    </w:lvl>
    <w:lvl w:ilvl="1" w:tplc="0FD268FC">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2C0B553D"/>
    <w:multiLevelType w:val="hybridMultilevel"/>
    <w:tmpl w:val="A2B44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2C5E4D34"/>
    <w:multiLevelType w:val="multilevel"/>
    <w:tmpl w:val="B96C05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2" w15:restartNumberingAfterBreak="0">
    <w:nsid w:val="2C9A4663"/>
    <w:multiLevelType w:val="hybridMultilevel"/>
    <w:tmpl w:val="B7863A90"/>
    <w:lvl w:ilvl="0" w:tplc="3B243C9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15:restartNumberingAfterBreak="0">
    <w:nsid w:val="2D32068C"/>
    <w:multiLevelType w:val="hybridMultilevel"/>
    <w:tmpl w:val="C67061AA"/>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84" w15:restartNumberingAfterBreak="0">
    <w:nsid w:val="2E7029AB"/>
    <w:multiLevelType w:val="hybridMultilevel"/>
    <w:tmpl w:val="5F3A9EA8"/>
    <w:lvl w:ilvl="0" w:tplc="FE1AC52A">
      <w:start w:val="1"/>
      <w:numFmt w:val="lowerLetter"/>
      <w:lvlText w:val="%1)"/>
      <w:lvlJc w:val="left"/>
      <w:pPr>
        <w:tabs>
          <w:tab w:val="num" w:pos="737"/>
        </w:tabs>
        <w:ind w:left="737" w:hanging="37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5" w15:restartNumberingAfterBreak="0">
    <w:nsid w:val="2E7D2211"/>
    <w:multiLevelType w:val="hybridMultilevel"/>
    <w:tmpl w:val="3556A624"/>
    <w:lvl w:ilvl="0" w:tplc="3F808614">
      <w:start w:val="1"/>
      <w:numFmt w:val="bullet"/>
      <w:lvlText w:val="•"/>
      <w:lvlJc w:val="left"/>
      <w:pPr>
        <w:ind w:left="113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4B2ED06">
      <w:start w:val="1"/>
      <w:numFmt w:val="bullet"/>
      <w:lvlText w:val="o"/>
      <w:lvlJc w:val="left"/>
      <w:pPr>
        <w:ind w:left="17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66421E8">
      <w:start w:val="1"/>
      <w:numFmt w:val="bullet"/>
      <w:lvlText w:val="▪"/>
      <w:lvlJc w:val="left"/>
      <w:pPr>
        <w:ind w:left="25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5C67984">
      <w:start w:val="1"/>
      <w:numFmt w:val="bullet"/>
      <w:lvlText w:val="•"/>
      <w:lvlJc w:val="left"/>
      <w:pPr>
        <w:ind w:left="32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EED188">
      <w:start w:val="1"/>
      <w:numFmt w:val="bullet"/>
      <w:lvlText w:val="o"/>
      <w:lvlJc w:val="left"/>
      <w:pPr>
        <w:ind w:left="39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76E2FFE">
      <w:start w:val="1"/>
      <w:numFmt w:val="bullet"/>
      <w:lvlText w:val="▪"/>
      <w:lvlJc w:val="left"/>
      <w:pPr>
        <w:ind w:left="46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698D7EE">
      <w:start w:val="1"/>
      <w:numFmt w:val="bullet"/>
      <w:lvlText w:val="•"/>
      <w:lvlJc w:val="left"/>
      <w:pPr>
        <w:ind w:left="53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5722EF4">
      <w:start w:val="1"/>
      <w:numFmt w:val="bullet"/>
      <w:lvlText w:val="o"/>
      <w:lvlJc w:val="left"/>
      <w:pPr>
        <w:ind w:left="61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800B9E8">
      <w:start w:val="1"/>
      <w:numFmt w:val="bullet"/>
      <w:lvlText w:val="▪"/>
      <w:lvlJc w:val="left"/>
      <w:pPr>
        <w:ind w:left="68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6" w15:restartNumberingAfterBreak="0">
    <w:nsid w:val="2E92198F"/>
    <w:multiLevelType w:val="multilevel"/>
    <w:tmpl w:val="A72A6A32"/>
    <w:lvl w:ilvl="0">
      <w:start w:val="1"/>
      <w:numFmt w:val="lowerLetter"/>
      <w:lvlText w:val="%1)"/>
      <w:lvlJc w:val="left"/>
      <w:pPr>
        <w:tabs>
          <w:tab w:val="num" w:pos="720"/>
        </w:tabs>
        <w:ind w:left="720" w:hanging="360"/>
      </w:pPr>
      <w:rPr>
        <w:rFonts w:ascii="Arial" w:hAnsi="Arial" w:cs="Arial" w:hint="default"/>
        <w:sz w:val="18"/>
        <w:szCs w:val="18"/>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87" w15:restartNumberingAfterBreak="0">
    <w:nsid w:val="2E95CA4A"/>
    <w:multiLevelType w:val="singleLevel"/>
    <w:tmpl w:val="2E3161A8"/>
    <w:lvl w:ilvl="0">
      <w:numFmt w:val="bullet"/>
      <w:lvlText w:val="–"/>
      <w:lvlJc w:val="left"/>
      <w:pPr>
        <w:tabs>
          <w:tab w:val="num" w:pos="405"/>
        </w:tabs>
        <w:ind w:left="285" w:hanging="285"/>
      </w:pPr>
      <w:rPr>
        <w:rFonts w:ascii="Arial" w:hAnsi="Arial" w:cs="Arial"/>
        <w:sz w:val="24"/>
        <w:szCs w:val="24"/>
      </w:rPr>
    </w:lvl>
  </w:abstractNum>
  <w:abstractNum w:abstractNumId="188" w15:restartNumberingAfterBreak="0">
    <w:nsid w:val="2EB22459"/>
    <w:multiLevelType w:val="hybridMultilevel"/>
    <w:tmpl w:val="2846738E"/>
    <w:lvl w:ilvl="0" w:tplc="00000006">
      <w:start w:val="5"/>
      <w:numFmt w:val="bullet"/>
      <w:lvlText w:val="-"/>
      <w:lvlJc w:val="left"/>
      <w:pPr>
        <w:ind w:left="720" w:hanging="360"/>
      </w:pPr>
      <w:rPr>
        <w:rFonts w:ascii="StarSymbol" w:hAnsi="StarSymbol"/>
        <w:b/>
        <w:i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2F0F7C26"/>
    <w:multiLevelType w:val="hybridMultilevel"/>
    <w:tmpl w:val="286C1A36"/>
    <w:lvl w:ilvl="0" w:tplc="04150001">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90" w15:restartNumberingAfterBreak="0">
    <w:nsid w:val="2F7678EE"/>
    <w:multiLevelType w:val="hybridMultilevel"/>
    <w:tmpl w:val="41083E74"/>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91" w15:restartNumberingAfterBreak="0">
    <w:nsid w:val="2F8303DA"/>
    <w:multiLevelType w:val="hybridMultilevel"/>
    <w:tmpl w:val="BE788406"/>
    <w:lvl w:ilvl="0" w:tplc="3F6684F4">
      <w:start w:val="1"/>
      <w:numFmt w:val="decimal"/>
      <w:lvlText w:val="%1."/>
      <w:lvlJc w:val="left"/>
      <w:pPr>
        <w:ind w:left="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1" w:tplc="227C3DC6">
      <w:start w:val="1"/>
      <w:numFmt w:val="lowerLetter"/>
      <w:lvlText w:val="%2"/>
      <w:lvlJc w:val="left"/>
      <w:pPr>
        <w:ind w:left="11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2" w:tplc="235ABE72">
      <w:start w:val="1"/>
      <w:numFmt w:val="lowerRoman"/>
      <w:lvlText w:val="%3"/>
      <w:lvlJc w:val="left"/>
      <w:pPr>
        <w:ind w:left="18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3" w:tplc="AC6EA3B2">
      <w:start w:val="1"/>
      <w:numFmt w:val="decimal"/>
      <w:lvlText w:val="%4"/>
      <w:lvlJc w:val="left"/>
      <w:pPr>
        <w:ind w:left="25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4" w:tplc="57D61EB0">
      <w:start w:val="1"/>
      <w:numFmt w:val="lowerLetter"/>
      <w:lvlText w:val="%5"/>
      <w:lvlJc w:val="left"/>
      <w:pPr>
        <w:ind w:left="331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5" w:tplc="8DFA1C68">
      <w:start w:val="1"/>
      <w:numFmt w:val="lowerRoman"/>
      <w:lvlText w:val="%6"/>
      <w:lvlJc w:val="left"/>
      <w:pPr>
        <w:ind w:left="403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6" w:tplc="0B367022">
      <w:start w:val="1"/>
      <w:numFmt w:val="decimal"/>
      <w:lvlText w:val="%7"/>
      <w:lvlJc w:val="left"/>
      <w:pPr>
        <w:ind w:left="47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7" w:tplc="5ACCB1BA">
      <w:start w:val="1"/>
      <w:numFmt w:val="lowerLetter"/>
      <w:lvlText w:val="%8"/>
      <w:lvlJc w:val="left"/>
      <w:pPr>
        <w:ind w:left="54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8" w:tplc="CA2EDBAC">
      <w:start w:val="1"/>
      <w:numFmt w:val="lowerRoman"/>
      <w:lvlText w:val="%9"/>
      <w:lvlJc w:val="left"/>
      <w:pPr>
        <w:ind w:left="61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abstractNum>
  <w:abstractNum w:abstractNumId="192" w15:restartNumberingAfterBreak="0">
    <w:nsid w:val="2FA45FA1"/>
    <w:multiLevelType w:val="singleLevel"/>
    <w:tmpl w:val="F2D470BA"/>
    <w:lvl w:ilvl="0">
      <w:start w:val="4"/>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193" w15:restartNumberingAfterBreak="0">
    <w:nsid w:val="2FAA277C"/>
    <w:multiLevelType w:val="singleLevel"/>
    <w:tmpl w:val="0576CC7A"/>
    <w:lvl w:ilvl="0">
      <w:start w:val="1"/>
      <w:numFmt w:val="decimal"/>
      <w:lvlText w:val="%1."/>
      <w:lvlJc w:val="left"/>
      <w:pPr>
        <w:tabs>
          <w:tab w:val="num" w:pos="285"/>
        </w:tabs>
        <w:ind w:left="285" w:hanging="285"/>
      </w:pPr>
      <w:rPr>
        <w:rFonts w:ascii="Arial" w:hAnsi="Arial" w:cs="Arial"/>
        <w:sz w:val="18"/>
        <w:szCs w:val="18"/>
      </w:rPr>
    </w:lvl>
  </w:abstractNum>
  <w:abstractNum w:abstractNumId="194" w15:restartNumberingAfterBreak="0">
    <w:nsid w:val="2FB57797"/>
    <w:multiLevelType w:val="hybridMultilevel"/>
    <w:tmpl w:val="43CA08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30EB6CC3"/>
    <w:multiLevelType w:val="hybridMultilevel"/>
    <w:tmpl w:val="7592E472"/>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310E1292"/>
    <w:multiLevelType w:val="hybridMultilevel"/>
    <w:tmpl w:val="4402792C"/>
    <w:lvl w:ilvl="0" w:tplc="D23031AC">
      <w:start w:val="1"/>
      <w:numFmt w:val="bullet"/>
      <w:lvlText w:val="–"/>
      <w:lvlJc w:val="left"/>
      <w:pPr>
        <w:ind w:left="941"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03" w:tentative="1">
      <w:start w:val="1"/>
      <w:numFmt w:val="bullet"/>
      <w:lvlText w:val="o"/>
      <w:lvlJc w:val="left"/>
      <w:pPr>
        <w:ind w:left="1661" w:hanging="360"/>
      </w:pPr>
      <w:rPr>
        <w:rFonts w:ascii="Courier New" w:hAnsi="Courier New" w:cs="Courier New" w:hint="default"/>
      </w:rPr>
    </w:lvl>
    <w:lvl w:ilvl="2" w:tplc="04150005" w:tentative="1">
      <w:start w:val="1"/>
      <w:numFmt w:val="bullet"/>
      <w:lvlText w:val=""/>
      <w:lvlJc w:val="left"/>
      <w:pPr>
        <w:ind w:left="2381" w:hanging="360"/>
      </w:pPr>
      <w:rPr>
        <w:rFonts w:ascii="Wingdings" w:hAnsi="Wingdings" w:hint="default"/>
      </w:rPr>
    </w:lvl>
    <w:lvl w:ilvl="3" w:tplc="04150001" w:tentative="1">
      <w:start w:val="1"/>
      <w:numFmt w:val="bullet"/>
      <w:lvlText w:val=""/>
      <w:lvlJc w:val="left"/>
      <w:pPr>
        <w:ind w:left="3101" w:hanging="360"/>
      </w:pPr>
      <w:rPr>
        <w:rFonts w:ascii="Symbol" w:hAnsi="Symbol" w:hint="default"/>
      </w:rPr>
    </w:lvl>
    <w:lvl w:ilvl="4" w:tplc="04150003" w:tentative="1">
      <w:start w:val="1"/>
      <w:numFmt w:val="bullet"/>
      <w:lvlText w:val="o"/>
      <w:lvlJc w:val="left"/>
      <w:pPr>
        <w:ind w:left="3821" w:hanging="360"/>
      </w:pPr>
      <w:rPr>
        <w:rFonts w:ascii="Courier New" w:hAnsi="Courier New" w:cs="Courier New" w:hint="default"/>
      </w:rPr>
    </w:lvl>
    <w:lvl w:ilvl="5" w:tplc="04150005" w:tentative="1">
      <w:start w:val="1"/>
      <w:numFmt w:val="bullet"/>
      <w:lvlText w:val=""/>
      <w:lvlJc w:val="left"/>
      <w:pPr>
        <w:ind w:left="4541" w:hanging="360"/>
      </w:pPr>
      <w:rPr>
        <w:rFonts w:ascii="Wingdings" w:hAnsi="Wingdings" w:hint="default"/>
      </w:rPr>
    </w:lvl>
    <w:lvl w:ilvl="6" w:tplc="04150001" w:tentative="1">
      <w:start w:val="1"/>
      <w:numFmt w:val="bullet"/>
      <w:lvlText w:val=""/>
      <w:lvlJc w:val="left"/>
      <w:pPr>
        <w:ind w:left="5261" w:hanging="360"/>
      </w:pPr>
      <w:rPr>
        <w:rFonts w:ascii="Symbol" w:hAnsi="Symbol" w:hint="default"/>
      </w:rPr>
    </w:lvl>
    <w:lvl w:ilvl="7" w:tplc="04150003" w:tentative="1">
      <w:start w:val="1"/>
      <w:numFmt w:val="bullet"/>
      <w:lvlText w:val="o"/>
      <w:lvlJc w:val="left"/>
      <w:pPr>
        <w:ind w:left="5981" w:hanging="360"/>
      </w:pPr>
      <w:rPr>
        <w:rFonts w:ascii="Courier New" w:hAnsi="Courier New" w:cs="Courier New" w:hint="default"/>
      </w:rPr>
    </w:lvl>
    <w:lvl w:ilvl="8" w:tplc="04150005" w:tentative="1">
      <w:start w:val="1"/>
      <w:numFmt w:val="bullet"/>
      <w:lvlText w:val=""/>
      <w:lvlJc w:val="left"/>
      <w:pPr>
        <w:ind w:left="6701" w:hanging="360"/>
      </w:pPr>
      <w:rPr>
        <w:rFonts w:ascii="Wingdings" w:hAnsi="Wingdings" w:hint="default"/>
      </w:rPr>
    </w:lvl>
  </w:abstractNum>
  <w:abstractNum w:abstractNumId="197" w15:restartNumberingAfterBreak="0">
    <w:nsid w:val="31415870"/>
    <w:multiLevelType w:val="multilevel"/>
    <w:tmpl w:val="2D80026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8" w15:restartNumberingAfterBreak="0">
    <w:nsid w:val="318871F5"/>
    <w:multiLevelType w:val="hybridMultilevel"/>
    <w:tmpl w:val="105E6A5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9" w15:restartNumberingAfterBreak="0">
    <w:nsid w:val="324B3546"/>
    <w:multiLevelType w:val="hybridMultilevel"/>
    <w:tmpl w:val="16B0E1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326D45D0"/>
    <w:multiLevelType w:val="hybridMultilevel"/>
    <w:tmpl w:val="8964436A"/>
    <w:lvl w:ilvl="0" w:tplc="ACB2D836">
      <w:start w:val="1"/>
      <w:numFmt w:val="lowerLetter"/>
      <w:lvlText w:val="%1."/>
      <w:lvlJc w:val="left"/>
      <w:pPr>
        <w:ind w:left="1277"/>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22A09944">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53C8B32C">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3AFAE2F4">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9F22B92">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0B227B72">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6216838A">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E5EE62C6">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DB6087A2">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335D3E72"/>
    <w:multiLevelType w:val="hybridMultilevel"/>
    <w:tmpl w:val="D550129A"/>
    <w:name w:val="Lista STWiORB322"/>
    <w:lvl w:ilvl="0" w:tplc="04150005">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15:restartNumberingAfterBreak="0">
    <w:nsid w:val="33736DDD"/>
    <w:multiLevelType w:val="hybridMultilevel"/>
    <w:tmpl w:val="006815CA"/>
    <w:name w:val="Lista STWiORB32222222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3455601D"/>
    <w:multiLevelType w:val="hybridMultilevel"/>
    <w:tmpl w:val="B5A89B16"/>
    <w:lvl w:ilvl="0" w:tplc="9B522570">
      <w:start w:val="1"/>
      <w:numFmt w:val="lowerLetter"/>
      <w:lvlText w:val="%1)"/>
      <w:lvlJc w:val="left"/>
      <w:pPr>
        <w:tabs>
          <w:tab w:val="num" w:pos="720"/>
        </w:tabs>
        <w:ind w:left="720" w:hanging="436"/>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04" w15:restartNumberingAfterBreak="0">
    <w:nsid w:val="348A4474"/>
    <w:multiLevelType w:val="hybridMultilevel"/>
    <w:tmpl w:val="90603B60"/>
    <w:lvl w:ilvl="0" w:tplc="4D62364C">
      <w:start w:val="1"/>
      <w:numFmt w:val="bullet"/>
      <w:lvlText w:val=""/>
      <w:legacy w:legacy="1" w:legacySpace="0" w:legacyIndent="283"/>
      <w:lvlJc w:val="left"/>
      <w:pPr>
        <w:ind w:left="136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05" w15:restartNumberingAfterBreak="0">
    <w:nsid w:val="349C153E"/>
    <w:multiLevelType w:val="hybridMultilevel"/>
    <w:tmpl w:val="9ECA38D8"/>
    <w:lvl w:ilvl="0" w:tplc="EB548E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15:restartNumberingAfterBreak="0">
    <w:nsid w:val="3512313B"/>
    <w:multiLevelType w:val="hybridMultilevel"/>
    <w:tmpl w:val="BD62FE7E"/>
    <w:name w:val="Lista STWiORB322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352334CF"/>
    <w:multiLevelType w:val="multilevel"/>
    <w:tmpl w:val="34BEC5AA"/>
    <w:lvl w:ilvl="0">
      <w:start w:val="1"/>
      <w:numFmt w:val="decimal"/>
      <w:lvlText w:val="%1"/>
      <w:legacy w:legacy="1" w:legacySpace="120" w:legacyIndent="360"/>
      <w:lvlJc w:val="left"/>
      <w:pPr>
        <w:ind w:left="0" w:firstLine="0"/>
      </w:pPr>
    </w:lvl>
    <w:lvl w:ilvl="1">
      <w:start w:val="1"/>
      <w:numFmt w:val="decimal"/>
      <w:isLgl/>
      <w:lvlText w:val="%1.%2"/>
      <w:lvlJc w:val="left"/>
      <w:pPr>
        <w:ind w:left="360" w:hanging="360"/>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8" w15:restartNumberingAfterBreak="0">
    <w:nsid w:val="35635AA4"/>
    <w:multiLevelType w:val="singleLevel"/>
    <w:tmpl w:val="D23031AC"/>
    <w:lvl w:ilvl="0">
      <w:start w:val="1"/>
      <w:numFmt w:val="bullet"/>
      <w:lvlText w:val="–"/>
      <w:lvlJc w:val="left"/>
      <w:pPr>
        <w:ind w:left="360" w:hanging="360"/>
      </w:pPr>
      <w:rPr>
        <w:rFonts w:ascii="Times New Roman" w:eastAsia="Times New Roman" w:hAnsi="Times New Roman" w:cs="Times New Roman" w:hint="default"/>
        <w:b w:val="0"/>
        <w:i w:val="0"/>
        <w:strike w:val="0"/>
        <w:dstrike w:val="0"/>
        <w:color w:val="000000"/>
        <w:sz w:val="16"/>
        <w:szCs w:val="16"/>
        <w:u w:val="none" w:color="000000"/>
        <w:bdr w:val="none" w:sz="0" w:space="0" w:color="auto"/>
        <w:shd w:val="clear" w:color="auto" w:fill="auto"/>
        <w:vertAlign w:val="baseline"/>
      </w:rPr>
    </w:lvl>
  </w:abstractNum>
  <w:abstractNum w:abstractNumId="209" w15:restartNumberingAfterBreak="0">
    <w:nsid w:val="35A00542"/>
    <w:multiLevelType w:val="hybridMultilevel"/>
    <w:tmpl w:val="CBF64F00"/>
    <w:lvl w:ilvl="0" w:tplc="C3A6517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0" w15:restartNumberingAfterBreak="0">
    <w:nsid w:val="35A52A0A"/>
    <w:multiLevelType w:val="hybridMultilevel"/>
    <w:tmpl w:val="EE1AF0F0"/>
    <w:lvl w:ilvl="0" w:tplc="E36C5498">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E401FCE">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3363DB2">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176EEE8">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53AA4AC">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7A2BDE0">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4B476B8">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B18A0EC">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D52435C">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1" w15:restartNumberingAfterBreak="0">
    <w:nsid w:val="35BA5865"/>
    <w:multiLevelType w:val="hybridMultilevel"/>
    <w:tmpl w:val="E2DEF450"/>
    <w:lvl w:ilvl="0" w:tplc="2AFC7A5C">
      <w:start w:val="1"/>
      <w:numFmt w:val="decimal"/>
      <w:lvlText w:val="%1."/>
      <w:lvlJc w:val="righ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2" w15:restartNumberingAfterBreak="0">
    <w:nsid w:val="36092FD2"/>
    <w:multiLevelType w:val="singleLevel"/>
    <w:tmpl w:val="EE5856DA"/>
    <w:lvl w:ilvl="0">
      <w:start w:val="1"/>
      <w:numFmt w:val="lowerLetter"/>
      <w:lvlText w:val="(%1) "/>
      <w:lvlJc w:val="left"/>
      <w:pPr>
        <w:tabs>
          <w:tab w:val="num" w:pos="1800"/>
        </w:tabs>
        <w:ind w:left="1723" w:hanging="283"/>
      </w:pPr>
      <w:rPr>
        <w:rFonts w:ascii="Times New Roman" w:hAnsi="Times New Roman" w:hint="default"/>
        <w:b w:val="0"/>
        <w:i w:val="0"/>
        <w:sz w:val="20"/>
        <w:u w:val="none"/>
      </w:rPr>
    </w:lvl>
  </w:abstractNum>
  <w:abstractNum w:abstractNumId="213" w15:restartNumberingAfterBreak="0">
    <w:nsid w:val="36E645C6"/>
    <w:multiLevelType w:val="hybridMultilevel"/>
    <w:tmpl w:val="FE942A6A"/>
    <w:lvl w:ilvl="0" w:tplc="8CE0D996">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FB2F8A4">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0C61E70">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E7E12BA">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B1CF358">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91854FC">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F5A2046">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3B4D736">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84E9E3A">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4" w15:restartNumberingAfterBreak="0">
    <w:nsid w:val="37877501"/>
    <w:multiLevelType w:val="multilevel"/>
    <w:tmpl w:val="E9F01D56"/>
    <w:lvl w:ilvl="0">
      <w:start w:val="1"/>
      <w:numFmt w:val="bullet"/>
      <w:lvlText w:val="–"/>
      <w:lvlJc w:val="left"/>
      <w:pPr>
        <w:tabs>
          <w:tab w:val="num" w:pos="454"/>
        </w:tabs>
        <w:ind w:left="454" w:hanging="397"/>
      </w:pPr>
      <w:rPr>
        <w:rFonts w:ascii="Times New Roman" w:hAnsi="Times New Roman" w:cs="Times New Roman" w:hint="default"/>
      </w:rPr>
    </w:lvl>
    <w:lvl w:ilvl="1">
      <w:start w:val="2"/>
      <w:numFmt w:val="decimal"/>
      <w:lvlText w:val="%1.%2."/>
      <w:lvlJc w:val="left"/>
      <w:pPr>
        <w:ind w:left="450" w:hanging="45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5."/>
      <w:lvlJc w:val="left"/>
      <w:pPr>
        <w:tabs>
          <w:tab w:val="num" w:pos="360"/>
        </w:tabs>
        <w:ind w:left="360" w:hanging="360"/>
      </w:pPr>
      <w:rPr>
        <w:rFonts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15" w15:restartNumberingAfterBreak="0">
    <w:nsid w:val="37CD01EC"/>
    <w:multiLevelType w:val="hybridMultilevel"/>
    <w:tmpl w:val="B3A69CBA"/>
    <w:lvl w:ilvl="0" w:tplc="13B8F7C6">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76001C0">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2C0C45A">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B7C4D86">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16480E2">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66EF3F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11EE58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48AD8A6">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F1A8174">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6" w15:restartNumberingAfterBreak="0">
    <w:nsid w:val="37F03722"/>
    <w:multiLevelType w:val="hybridMultilevel"/>
    <w:tmpl w:val="90E62ED8"/>
    <w:lvl w:ilvl="0" w:tplc="7FDA417E">
      <w:start w:val="1"/>
      <w:numFmt w:val="lowerLetter"/>
      <w:lvlText w:val="%1)"/>
      <w:lvlJc w:val="left"/>
      <w:pPr>
        <w:ind w:left="12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404E468">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FC526E30">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91584AAA">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BB12415C">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CB4473E0">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964753C">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0742F370">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B1C2E81E">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17" w15:restartNumberingAfterBreak="0">
    <w:nsid w:val="382BD553"/>
    <w:multiLevelType w:val="multilevel"/>
    <w:tmpl w:val="5B5D1FDC"/>
    <w:lvl w:ilvl="0">
      <w:numFmt w:val="bullet"/>
      <w:lvlText w:val="–"/>
      <w:lvlJc w:val="left"/>
      <w:pPr>
        <w:tabs>
          <w:tab w:val="num" w:pos="285"/>
        </w:tabs>
        <w:ind w:left="285" w:hanging="285"/>
      </w:pPr>
      <w:rPr>
        <w:rFonts w:ascii="Arial" w:hAnsi="Arial" w:cs="Arial"/>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18"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38CB7490"/>
    <w:multiLevelType w:val="hybridMultilevel"/>
    <w:tmpl w:val="280A7DA2"/>
    <w:lvl w:ilvl="0" w:tplc="32C2BCF0">
      <w:start w:val="1"/>
      <w:numFmt w:val="bullet"/>
      <w:lvlText w:val="•"/>
      <w:lvlJc w:val="left"/>
      <w:pPr>
        <w:ind w:left="141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D68684A">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9EEC036">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AC6603A">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33AE7EE">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C2C37AA">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D5A434A">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8D6713A">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89AA38C">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20" w15:restartNumberingAfterBreak="0">
    <w:nsid w:val="393320CB"/>
    <w:multiLevelType w:val="hybridMultilevel"/>
    <w:tmpl w:val="C908B54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1" w15:restartNumberingAfterBreak="0">
    <w:nsid w:val="393C60C7"/>
    <w:multiLevelType w:val="hybridMultilevel"/>
    <w:tmpl w:val="0B84257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22" w15:restartNumberingAfterBreak="0">
    <w:nsid w:val="39693FB7"/>
    <w:multiLevelType w:val="hybridMultilevel"/>
    <w:tmpl w:val="40E4C06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39831F12"/>
    <w:multiLevelType w:val="hybridMultilevel"/>
    <w:tmpl w:val="2B362154"/>
    <w:lvl w:ilvl="0" w:tplc="9ED6190C">
      <w:start w:val="10"/>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39FE7D6E"/>
    <w:multiLevelType w:val="hybridMultilevel"/>
    <w:tmpl w:val="7A1AC1F8"/>
    <w:lvl w:ilvl="0" w:tplc="CE9A6718">
      <w:start w:val="1"/>
      <w:numFmt w:val="decimal"/>
      <w:lvlText w:val="%1"/>
      <w:lvlJc w:val="left"/>
      <w:pPr>
        <w:ind w:left="73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87F2B72E">
      <w:start w:val="1"/>
      <w:numFmt w:val="lowerLetter"/>
      <w:lvlText w:val="%2"/>
      <w:lvlJc w:val="left"/>
      <w:pPr>
        <w:ind w:left="124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EE8060FE">
      <w:start w:val="1"/>
      <w:numFmt w:val="lowerRoman"/>
      <w:lvlText w:val="%3"/>
      <w:lvlJc w:val="left"/>
      <w:pPr>
        <w:ind w:left="196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4A1C82E0">
      <w:start w:val="1"/>
      <w:numFmt w:val="decimal"/>
      <w:lvlText w:val="%4"/>
      <w:lvlJc w:val="left"/>
      <w:pPr>
        <w:ind w:left="268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3258A746">
      <w:start w:val="1"/>
      <w:numFmt w:val="lowerLetter"/>
      <w:lvlText w:val="%5"/>
      <w:lvlJc w:val="left"/>
      <w:pPr>
        <w:ind w:left="340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974E34DC">
      <w:start w:val="1"/>
      <w:numFmt w:val="lowerRoman"/>
      <w:lvlText w:val="%6"/>
      <w:lvlJc w:val="left"/>
      <w:pPr>
        <w:ind w:left="412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485EA6EC">
      <w:start w:val="1"/>
      <w:numFmt w:val="decimal"/>
      <w:lvlText w:val="%7"/>
      <w:lvlJc w:val="left"/>
      <w:pPr>
        <w:ind w:left="484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1780E40A">
      <w:start w:val="1"/>
      <w:numFmt w:val="lowerLetter"/>
      <w:lvlText w:val="%8"/>
      <w:lvlJc w:val="left"/>
      <w:pPr>
        <w:ind w:left="556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D12C34F4">
      <w:start w:val="1"/>
      <w:numFmt w:val="lowerRoman"/>
      <w:lvlText w:val="%9"/>
      <w:lvlJc w:val="left"/>
      <w:pPr>
        <w:ind w:left="628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25" w15:restartNumberingAfterBreak="0">
    <w:nsid w:val="3A174112"/>
    <w:multiLevelType w:val="multilevel"/>
    <w:tmpl w:val="A01AB208"/>
    <w:lvl w:ilvl="0">
      <w:start w:val="1"/>
      <w:numFmt w:val="decimal"/>
      <w:lvlText w:val="%1."/>
      <w:lvlJc w:val="left"/>
      <w:pPr>
        <w:tabs>
          <w:tab w:val="num" w:pos="360"/>
        </w:tabs>
        <w:ind w:left="360" w:hanging="360"/>
      </w:pPr>
      <w:rPr>
        <w:rFonts w:ascii="Arial" w:hAnsi="Arial" w:cs="Arial"/>
        <w:b/>
        <w:bCs/>
        <w:sz w:val="20"/>
        <w:szCs w:val="20"/>
      </w:rPr>
    </w:lvl>
    <w:lvl w:ilvl="1">
      <w:start w:val="1"/>
      <w:numFmt w:val="decimal"/>
      <w:isLgl/>
      <w:lvlText w:val="%1.%2."/>
      <w:lvlJc w:val="left"/>
      <w:pPr>
        <w:tabs>
          <w:tab w:val="num" w:pos="420"/>
        </w:tabs>
        <w:ind w:left="420" w:hanging="420"/>
      </w:pPr>
      <w:rPr>
        <w:rFonts w:ascii="Times New Roman" w:hAnsi="Times New Roman" w:cs="Times New Roman" w:hint="default"/>
        <w:b/>
        <w:bCs/>
        <w:sz w:val="22"/>
        <w:szCs w:val="22"/>
      </w:rPr>
    </w:lvl>
    <w:lvl w:ilvl="2">
      <w:start w:val="1"/>
      <w:numFmt w:val="decimal"/>
      <w:isLgl/>
      <w:lvlText w:val="%1.%2.%3."/>
      <w:lvlJc w:val="left"/>
      <w:pPr>
        <w:tabs>
          <w:tab w:val="num" w:pos="735"/>
        </w:tabs>
        <w:ind w:left="735" w:hanging="735"/>
      </w:pPr>
      <w:rPr>
        <w:rFonts w:ascii="Arial" w:hAnsi="Arial" w:cs="Arial"/>
        <w:b/>
        <w:bCs/>
        <w:sz w:val="18"/>
        <w:szCs w:val="18"/>
      </w:rPr>
    </w:lvl>
    <w:lvl w:ilvl="3">
      <w:start w:val="1"/>
      <w:numFmt w:val="decimal"/>
      <w:isLgl/>
      <w:lvlText w:val="%1.%2.%3.%4."/>
      <w:lvlJc w:val="left"/>
      <w:pPr>
        <w:tabs>
          <w:tab w:val="num" w:pos="720"/>
        </w:tabs>
        <w:ind w:left="720" w:hanging="720"/>
      </w:pPr>
      <w:rPr>
        <w:rFonts w:ascii="Times New Roman" w:hAnsi="Times New Roman" w:cs="Times New Roman"/>
        <w:sz w:val="24"/>
        <w:szCs w:val="24"/>
      </w:rPr>
    </w:lvl>
    <w:lvl w:ilvl="4">
      <w:start w:val="1"/>
      <w:numFmt w:val="decimal"/>
      <w:isLgl/>
      <w:lvlText w:val="%1.%2.%3.%4.%5."/>
      <w:lvlJc w:val="left"/>
      <w:pPr>
        <w:tabs>
          <w:tab w:val="num" w:pos="1080"/>
        </w:tabs>
        <w:ind w:left="1080" w:hanging="1080"/>
      </w:pPr>
      <w:rPr>
        <w:rFonts w:ascii="Times New Roman" w:hAnsi="Times New Roman" w:cs="Times New Roman"/>
        <w:sz w:val="24"/>
        <w:szCs w:val="24"/>
      </w:rPr>
    </w:lvl>
    <w:lvl w:ilvl="5">
      <w:start w:val="1"/>
      <w:numFmt w:val="decimal"/>
      <w:isLgl/>
      <w:lvlText w:val="%1.%2.%3.%4.%5.%6."/>
      <w:lvlJc w:val="left"/>
      <w:pPr>
        <w:tabs>
          <w:tab w:val="num" w:pos="1080"/>
        </w:tabs>
        <w:ind w:left="1080" w:hanging="1080"/>
      </w:pPr>
      <w:rPr>
        <w:rFonts w:ascii="Times New Roman" w:hAnsi="Times New Roman" w:cs="Times New Roman"/>
        <w:sz w:val="24"/>
        <w:szCs w:val="24"/>
      </w:rPr>
    </w:lvl>
    <w:lvl w:ilvl="6">
      <w:start w:val="1"/>
      <w:numFmt w:val="decimal"/>
      <w:isLgl/>
      <w:lvlText w:val="%1.%2.%3.%4.%5.%6.%7."/>
      <w:lvlJc w:val="left"/>
      <w:pPr>
        <w:tabs>
          <w:tab w:val="num" w:pos="1440"/>
        </w:tabs>
        <w:ind w:left="1440" w:hanging="1440"/>
      </w:pPr>
      <w:rPr>
        <w:rFonts w:ascii="Times New Roman" w:hAnsi="Times New Roman" w:cs="Times New Roman"/>
        <w:sz w:val="24"/>
        <w:szCs w:val="24"/>
      </w:rPr>
    </w:lvl>
    <w:lvl w:ilvl="7">
      <w:start w:val="1"/>
      <w:numFmt w:val="decimal"/>
      <w:isLgl/>
      <w:lvlText w:val="%1.%2.%3.%4.%5.%6.%7.%8."/>
      <w:lvlJc w:val="left"/>
      <w:pPr>
        <w:tabs>
          <w:tab w:val="num" w:pos="1440"/>
        </w:tabs>
        <w:ind w:left="1440" w:hanging="1440"/>
      </w:pPr>
      <w:rPr>
        <w:rFonts w:ascii="Times New Roman" w:hAnsi="Times New Roman" w:cs="Times New Roman"/>
        <w:sz w:val="24"/>
        <w:szCs w:val="24"/>
      </w:rPr>
    </w:lvl>
    <w:lvl w:ilvl="8">
      <w:start w:val="1"/>
      <w:numFmt w:val="decimal"/>
      <w:isLgl/>
      <w:lvlText w:val="%1.%2.%3.%4.%5.%6.%7.%8.%9."/>
      <w:lvlJc w:val="left"/>
      <w:pPr>
        <w:tabs>
          <w:tab w:val="num" w:pos="1800"/>
        </w:tabs>
        <w:ind w:left="1800" w:hanging="1800"/>
      </w:pPr>
      <w:rPr>
        <w:rFonts w:ascii="Times New Roman" w:hAnsi="Times New Roman" w:cs="Times New Roman"/>
        <w:sz w:val="24"/>
        <w:szCs w:val="24"/>
      </w:rPr>
    </w:lvl>
  </w:abstractNum>
  <w:abstractNum w:abstractNumId="226" w15:restartNumberingAfterBreak="0">
    <w:nsid w:val="3A6F04D4"/>
    <w:multiLevelType w:val="singleLevel"/>
    <w:tmpl w:val="F35228D2"/>
    <w:lvl w:ilvl="0">
      <w:start w:val="2"/>
      <w:numFmt w:val="decimal"/>
      <w:lvlText w:val="5.3.%1. "/>
      <w:legacy w:legacy="1" w:legacySpace="0" w:legacyIndent="283"/>
      <w:lvlJc w:val="left"/>
      <w:pPr>
        <w:ind w:left="283" w:hanging="283"/>
      </w:pPr>
      <w:rPr>
        <w:rFonts w:ascii="Times New Roman" w:hAnsi="Times New Roman" w:hint="default"/>
        <w:b/>
        <w:i w:val="0"/>
        <w:sz w:val="20"/>
        <w:u w:val="none"/>
      </w:rPr>
    </w:lvl>
  </w:abstractNum>
  <w:abstractNum w:abstractNumId="227" w15:restartNumberingAfterBreak="0">
    <w:nsid w:val="3A784A14"/>
    <w:multiLevelType w:val="hybridMultilevel"/>
    <w:tmpl w:val="5BC8747E"/>
    <w:lvl w:ilvl="0" w:tplc="8A80F1AE">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F6ACE60">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3A22C5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0E699EC">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AC63A30">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B544BB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278AB72">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C0C3A54">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1329BC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8" w15:restartNumberingAfterBreak="0">
    <w:nsid w:val="3AAD2DC6"/>
    <w:multiLevelType w:val="hybridMultilevel"/>
    <w:tmpl w:val="674C6D54"/>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29" w15:restartNumberingAfterBreak="0">
    <w:nsid w:val="3AD136C6"/>
    <w:multiLevelType w:val="hybridMultilevel"/>
    <w:tmpl w:val="EC46C3D2"/>
    <w:lvl w:ilvl="0" w:tplc="039CB82C">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20865BA">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D5C5296">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1E860F6">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28EFF80">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BF471B6">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59EC912">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A3C2104">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EE0CC80">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0" w15:restartNumberingAfterBreak="0">
    <w:nsid w:val="3AF394DD"/>
    <w:multiLevelType w:val="multilevel"/>
    <w:tmpl w:val="409A115E"/>
    <w:lvl w:ilvl="0">
      <w:numFmt w:val="bullet"/>
      <w:lvlText w:val="–"/>
      <w:lvlJc w:val="left"/>
      <w:pPr>
        <w:tabs>
          <w:tab w:val="num" w:pos="285"/>
        </w:tabs>
        <w:ind w:left="285" w:hanging="285"/>
      </w:pPr>
      <w:rPr>
        <w:rFonts w:ascii="Arial" w:hAnsi="Arial" w:cs="Arial"/>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31" w15:restartNumberingAfterBreak="0">
    <w:nsid w:val="3C0D6F4C"/>
    <w:multiLevelType w:val="hybridMultilevel"/>
    <w:tmpl w:val="2DC8A596"/>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2" w15:restartNumberingAfterBreak="0">
    <w:nsid w:val="3C4F7562"/>
    <w:multiLevelType w:val="hybridMultilevel"/>
    <w:tmpl w:val="5EB82AAC"/>
    <w:lvl w:ilvl="0" w:tplc="D23031AC">
      <w:start w:val="1"/>
      <w:numFmt w:val="bullet"/>
      <w:lvlText w:val="–"/>
      <w:lvlJc w:val="left"/>
      <w:pPr>
        <w:ind w:left="852"/>
      </w:pPr>
      <w:rPr>
        <w:rFonts w:ascii="Times New Roman" w:eastAsia="Times New Roman" w:hAnsi="Times New Roman" w:cs="Times New Roman" w:hint="default"/>
        <w:b w:val="0"/>
        <w:i w:val="0"/>
        <w:strike w:val="0"/>
        <w:dstrike w:val="0"/>
        <w:color w:val="000000"/>
        <w:sz w:val="16"/>
        <w:szCs w:val="16"/>
        <w:u w:val="none" w:color="000000"/>
        <w:bdr w:val="none" w:sz="0" w:space="0" w:color="auto"/>
        <w:shd w:val="clear" w:color="auto" w:fill="auto"/>
        <w:vertAlign w:val="baseline"/>
      </w:rPr>
    </w:lvl>
    <w:lvl w:ilvl="1" w:tplc="2D00C798">
      <w:start w:val="1"/>
      <w:numFmt w:val="bullet"/>
      <w:lvlText w:val="o"/>
      <w:lvlJc w:val="left"/>
      <w:pPr>
        <w:ind w:left="164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64E4618">
      <w:start w:val="1"/>
      <w:numFmt w:val="bullet"/>
      <w:lvlText w:val="▪"/>
      <w:lvlJc w:val="left"/>
      <w:pPr>
        <w:ind w:left="236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5789CA0">
      <w:start w:val="1"/>
      <w:numFmt w:val="bullet"/>
      <w:lvlText w:val="•"/>
      <w:lvlJc w:val="left"/>
      <w:pPr>
        <w:ind w:left="308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252CE14">
      <w:start w:val="1"/>
      <w:numFmt w:val="bullet"/>
      <w:lvlText w:val="o"/>
      <w:lvlJc w:val="left"/>
      <w:pPr>
        <w:ind w:left="380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7B48EF2">
      <w:start w:val="1"/>
      <w:numFmt w:val="bullet"/>
      <w:lvlText w:val="▪"/>
      <w:lvlJc w:val="left"/>
      <w:pPr>
        <w:ind w:left="452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972957C">
      <w:start w:val="1"/>
      <w:numFmt w:val="bullet"/>
      <w:lvlText w:val="•"/>
      <w:lvlJc w:val="left"/>
      <w:pPr>
        <w:ind w:left="524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80ED96">
      <w:start w:val="1"/>
      <w:numFmt w:val="bullet"/>
      <w:lvlText w:val="o"/>
      <w:lvlJc w:val="left"/>
      <w:pPr>
        <w:ind w:left="596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DC8C724">
      <w:start w:val="1"/>
      <w:numFmt w:val="bullet"/>
      <w:lvlText w:val="▪"/>
      <w:lvlJc w:val="left"/>
      <w:pPr>
        <w:ind w:left="66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3" w15:restartNumberingAfterBreak="0">
    <w:nsid w:val="3D094007"/>
    <w:multiLevelType w:val="singleLevel"/>
    <w:tmpl w:val="AB625C9E"/>
    <w:lvl w:ilvl="0">
      <w:start w:val="1"/>
      <w:numFmt w:val="lowerLetter"/>
      <w:lvlText w:val="%1)"/>
      <w:legacy w:legacy="1" w:legacySpace="0" w:legacyIndent="283"/>
      <w:lvlJc w:val="left"/>
      <w:pPr>
        <w:ind w:left="523" w:hanging="283"/>
      </w:pPr>
    </w:lvl>
  </w:abstractNum>
  <w:abstractNum w:abstractNumId="234" w15:restartNumberingAfterBreak="0">
    <w:nsid w:val="3D802329"/>
    <w:multiLevelType w:val="hybridMultilevel"/>
    <w:tmpl w:val="31FE6D24"/>
    <w:lvl w:ilvl="0" w:tplc="07BE41F4">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3DA0628C"/>
    <w:multiLevelType w:val="hybridMultilevel"/>
    <w:tmpl w:val="CE0C4328"/>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6" w15:restartNumberingAfterBreak="0">
    <w:nsid w:val="3E5047AF"/>
    <w:multiLevelType w:val="hybridMultilevel"/>
    <w:tmpl w:val="8EC2242A"/>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37" w15:restartNumberingAfterBreak="0">
    <w:nsid w:val="3E704963"/>
    <w:multiLevelType w:val="multilevel"/>
    <w:tmpl w:val="2D4890AD"/>
    <w:lvl w:ilvl="0">
      <w:numFmt w:val="bullet"/>
      <w:lvlText w:val="–"/>
      <w:lvlJc w:val="left"/>
      <w:pPr>
        <w:tabs>
          <w:tab w:val="num" w:pos="285"/>
        </w:tabs>
        <w:ind w:left="285" w:hanging="285"/>
      </w:pPr>
      <w:rPr>
        <w:rFonts w:ascii="Arial" w:hAnsi="Arial" w:cs="Arial"/>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38" w15:restartNumberingAfterBreak="0">
    <w:nsid w:val="3F236D11"/>
    <w:multiLevelType w:val="hybridMultilevel"/>
    <w:tmpl w:val="EBAE2FFE"/>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9" w15:restartNumberingAfterBreak="0">
    <w:nsid w:val="3F6138E8"/>
    <w:multiLevelType w:val="hybridMultilevel"/>
    <w:tmpl w:val="D3B68C7C"/>
    <w:lvl w:ilvl="0" w:tplc="FE80189C">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3FC81D7D"/>
    <w:multiLevelType w:val="singleLevel"/>
    <w:tmpl w:val="EFDA3724"/>
    <w:lvl w:ilvl="0">
      <w:start w:val="1"/>
      <w:numFmt w:val="lowerLetter"/>
      <w:lvlText w:val="%1)"/>
      <w:legacy w:legacy="1" w:legacySpace="0" w:legacyIndent="283"/>
      <w:lvlJc w:val="left"/>
      <w:pPr>
        <w:ind w:left="283" w:hanging="283"/>
      </w:pPr>
    </w:lvl>
  </w:abstractNum>
  <w:abstractNum w:abstractNumId="241" w15:restartNumberingAfterBreak="0">
    <w:nsid w:val="406A6B4A"/>
    <w:multiLevelType w:val="hybridMultilevel"/>
    <w:tmpl w:val="6B54DA44"/>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42" w15:restartNumberingAfterBreak="0">
    <w:nsid w:val="415238B1"/>
    <w:multiLevelType w:val="hybridMultilevel"/>
    <w:tmpl w:val="312A80B8"/>
    <w:lvl w:ilvl="0" w:tplc="A0F6A5EE">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92AD424">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3C48262">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4EC45AA">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562B866">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9B0B762">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22C43A">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0741756">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D6202F6">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3"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15:restartNumberingAfterBreak="0">
    <w:nsid w:val="421A2691"/>
    <w:multiLevelType w:val="hybridMultilevel"/>
    <w:tmpl w:val="9AD2D4CE"/>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432656AD"/>
    <w:multiLevelType w:val="singleLevel"/>
    <w:tmpl w:val="CA3293B2"/>
    <w:lvl w:ilvl="0">
      <w:start w:val="9"/>
      <w:numFmt w:val="decimal"/>
      <w:lvlText w:val="1.4.%1. "/>
      <w:legacy w:legacy="1" w:legacySpace="0" w:legacyIndent="283"/>
      <w:lvlJc w:val="left"/>
      <w:pPr>
        <w:ind w:left="283" w:hanging="283"/>
      </w:pPr>
      <w:rPr>
        <w:rFonts w:ascii="Times New Roman" w:hAnsi="Times New Roman" w:hint="default"/>
        <w:b/>
        <w:i w:val="0"/>
        <w:sz w:val="20"/>
        <w:u w:val="none"/>
      </w:rPr>
    </w:lvl>
  </w:abstractNum>
  <w:abstractNum w:abstractNumId="246" w15:restartNumberingAfterBreak="0">
    <w:nsid w:val="437928EF"/>
    <w:multiLevelType w:val="hybridMultilevel"/>
    <w:tmpl w:val="43626E26"/>
    <w:lvl w:ilvl="0" w:tplc="3828C6CC">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4B0E990">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9B8433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A081610">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F88A4B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9148224">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4E873C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D10A2EC">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8369104">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7" w15:restartNumberingAfterBreak="0">
    <w:nsid w:val="44AE02DF"/>
    <w:multiLevelType w:val="singleLevel"/>
    <w:tmpl w:val="FA6E094E"/>
    <w:lvl w:ilvl="0">
      <w:start w:val="1"/>
      <w:numFmt w:val="bullet"/>
      <w:lvlText w:val=""/>
      <w:lvlJc w:val="left"/>
      <w:pPr>
        <w:tabs>
          <w:tab w:val="num" w:pos="425"/>
        </w:tabs>
        <w:ind w:left="425" w:hanging="425"/>
      </w:pPr>
      <w:rPr>
        <w:rFonts w:ascii="Symbol" w:hAnsi="Symbol" w:hint="default"/>
      </w:rPr>
    </w:lvl>
  </w:abstractNum>
  <w:abstractNum w:abstractNumId="248" w15:restartNumberingAfterBreak="0">
    <w:nsid w:val="44E673E1"/>
    <w:multiLevelType w:val="hybridMultilevel"/>
    <w:tmpl w:val="A520545E"/>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49" w15:restartNumberingAfterBreak="0">
    <w:nsid w:val="45316E5B"/>
    <w:multiLevelType w:val="multilevel"/>
    <w:tmpl w:val="76BDEB44"/>
    <w:lvl w:ilvl="0">
      <w:numFmt w:val="bullet"/>
      <w:lvlText w:val="–"/>
      <w:lvlJc w:val="left"/>
      <w:pPr>
        <w:tabs>
          <w:tab w:val="num" w:pos="390"/>
        </w:tabs>
        <w:ind w:left="390" w:hanging="390"/>
      </w:pPr>
      <w:rPr>
        <w:rFonts w:ascii="Times New Roman" w:hAnsi="Times New Roman" w:cs="Times New Roman"/>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50" w15:restartNumberingAfterBreak="0">
    <w:nsid w:val="4536A7F7"/>
    <w:multiLevelType w:val="multilevel"/>
    <w:tmpl w:val="9C9ECE38"/>
    <w:lvl w:ilvl="0">
      <w:start w:val="1"/>
      <w:numFmt w:val="decimal"/>
      <w:pStyle w:val="STpunkt1"/>
      <w:lvlText w:val="%1."/>
      <w:lvlJc w:val="left"/>
      <w:pPr>
        <w:tabs>
          <w:tab w:val="num" w:pos="360"/>
        </w:tabs>
        <w:ind w:left="360" w:hanging="360"/>
      </w:pPr>
      <w:rPr>
        <w:rFonts w:ascii="Arial" w:hAnsi="Arial" w:cs="Arial" w:hint="default"/>
        <w:b/>
        <w:sz w:val="20"/>
        <w:szCs w:val="20"/>
      </w:rPr>
    </w:lvl>
    <w:lvl w:ilvl="1">
      <w:start w:val="1"/>
      <w:numFmt w:val="decimal"/>
      <w:pStyle w:val="STpodkt1"/>
      <w:isLgl/>
      <w:lvlText w:val="%1.%2."/>
      <w:lvlJc w:val="left"/>
      <w:pPr>
        <w:tabs>
          <w:tab w:val="num" w:pos="420"/>
        </w:tabs>
        <w:ind w:left="420" w:hanging="420"/>
      </w:pPr>
      <w:rPr>
        <w:rFonts w:ascii="Arial" w:hAnsi="Arial" w:cs="Arial" w:hint="default"/>
        <w:b/>
        <w:sz w:val="20"/>
        <w:szCs w:val="20"/>
      </w:rPr>
    </w:lvl>
    <w:lvl w:ilvl="2">
      <w:start w:val="1"/>
      <w:numFmt w:val="decimal"/>
      <w:pStyle w:val="STpodkt2"/>
      <w:isLgl/>
      <w:lvlText w:val="%1.%2.%3."/>
      <w:lvlJc w:val="left"/>
      <w:pPr>
        <w:tabs>
          <w:tab w:val="num" w:pos="720"/>
        </w:tabs>
        <w:ind w:left="720" w:hanging="720"/>
      </w:pPr>
      <w:rPr>
        <w:rFonts w:ascii="Arial" w:hAnsi="Arial" w:cs="Arial" w:hint="default"/>
        <w:sz w:val="18"/>
        <w:szCs w:val="18"/>
      </w:rPr>
    </w:lvl>
    <w:lvl w:ilvl="3">
      <w:start w:val="1"/>
      <w:numFmt w:val="decimal"/>
      <w:isLgl/>
      <w:lvlText w:val="%1.%2.%3.%4."/>
      <w:lvlJc w:val="left"/>
      <w:pPr>
        <w:tabs>
          <w:tab w:val="num" w:pos="720"/>
        </w:tabs>
        <w:ind w:left="720" w:hanging="720"/>
      </w:pPr>
      <w:rPr>
        <w:rFonts w:ascii="Times New Roman" w:hAnsi="Times New Roman" w:cs="Times New Roman"/>
        <w:sz w:val="24"/>
        <w:szCs w:val="24"/>
      </w:rPr>
    </w:lvl>
    <w:lvl w:ilvl="4">
      <w:start w:val="1"/>
      <w:numFmt w:val="decimal"/>
      <w:isLgl/>
      <w:lvlText w:val="%1.%2.%3.%4.%5."/>
      <w:lvlJc w:val="left"/>
      <w:pPr>
        <w:tabs>
          <w:tab w:val="num" w:pos="1080"/>
        </w:tabs>
        <w:ind w:left="1080" w:hanging="1080"/>
      </w:pPr>
      <w:rPr>
        <w:rFonts w:ascii="Times New Roman" w:hAnsi="Times New Roman" w:cs="Times New Roman"/>
        <w:sz w:val="24"/>
        <w:szCs w:val="24"/>
      </w:rPr>
    </w:lvl>
    <w:lvl w:ilvl="5">
      <w:start w:val="1"/>
      <w:numFmt w:val="decimal"/>
      <w:isLgl/>
      <w:lvlText w:val="%1.%2.%3.%4.%5.%6."/>
      <w:lvlJc w:val="left"/>
      <w:pPr>
        <w:tabs>
          <w:tab w:val="num" w:pos="1080"/>
        </w:tabs>
        <w:ind w:left="1080" w:hanging="1080"/>
      </w:pPr>
      <w:rPr>
        <w:rFonts w:ascii="Times New Roman" w:hAnsi="Times New Roman" w:cs="Times New Roman"/>
        <w:sz w:val="24"/>
        <w:szCs w:val="24"/>
      </w:rPr>
    </w:lvl>
    <w:lvl w:ilvl="6">
      <w:start w:val="1"/>
      <w:numFmt w:val="decimal"/>
      <w:isLgl/>
      <w:lvlText w:val="%1.%2.%3.%4.%5.%6.%7."/>
      <w:lvlJc w:val="left"/>
      <w:pPr>
        <w:tabs>
          <w:tab w:val="num" w:pos="1440"/>
        </w:tabs>
        <w:ind w:left="1440" w:hanging="1440"/>
      </w:pPr>
      <w:rPr>
        <w:rFonts w:ascii="Times New Roman" w:hAnsi="Times New Roman" w:cs="Times New Roman"/>
        <w:sz w:val="24"/>
        <w:szCs w:val="24"/>
      </w:rPr>
    </w:lvl>
    <w:lvl w:ilvl="7">
      <w:start w:val="1"/>
      <w:numFmt w:val="decimal"/>
      <w:isLgl/>
      <w:lvlText w:val="%1.%2.%3.%4.%5.%6.%7.%8."/>
      <w:lvlJc w:val="left"/>
      <w:pPr>
        <w:tabs>
          <w:tab w:val="num" w:pos="1440"/>
        </w:tabs>
        <w:ind w:left="1440" w:hanging="1440"/>
      </w:pPr>
      <w:rPr>
        <w:rFonts w:ascii="Times New Roman" w:hAnsi="Times New Roman" w:cs="Times New Roman"/>
        <w:sz w:val="24"/>
        <w:szCs w:val="24"/>
      </w:rPr>
    </w:lvl>
    <w:lvl w:ilvl="8">
      <w:start w:val="1"/>
      <w:numFmt w:val="decimal"/>
      <w:isLgl/>
      <w:lvlText w:val="%1.%2.%3.%4.%5.%6.%7.%8.%9."/>
      <w:lvlJc w:val="left"/>
      <w:pPr>
        <w:tabs>
          <w:tab w:val="num" w:pos="1800"/>
        </w:tabs>
        <w:ind w:left="1800" w:hanging="1800"/>
      </w:pPr>
      <w:rPr>
        <w:rFonts w:ascii="Times New Roman" w:hAnsi="Times New Roman" w:cs="Times New Roman"/>
        <w:sz w:val="24"/>
        <w:szCs w:val="24"/>
      </w:rPr>
    </w:lvl>
  </w:abstractNum>
  <w:abstractNum w:abstractNumId="251" w15:restartNumberingAfterBreak="0">
    <w:nsid w:val="455C12F1"/>
    <w:multiLevelType w:val="hybridMultilevel"/>
    <w:tmpl w:val="C186EBE4"/>
    <w:lvl w:ilvl="0" w:tplc="E31678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45B86357"/>
    <w:multiLevelType w:val="singleLevel"/>
    <w:tmpl w:val="935EED38"/>
    <w:lvl w:ilvl="0">
      <w:start w:val="4"/>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253" w15:restartNumberingAfterBreak="0">
    <w:nsid w:val="46014ADC"/>
    <w:multiLevelType w:val="hybridMultilevel"/>
    <w:tmpl w:val="1BD41890"/>
    <w:lvl w:ilvl="0" w:tplc="C5003BC8">
      <w:start w:val="1"/>
      <w:numFmt w:val="bullet"/>
      <w:lvlText w:val="–"/>
      <w:lvlJc w:val="left"/>
      <w:pPr>
        <w:ind w:left="5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A3E68A6">
      <w:start w:val="1"/>
      <w:numFmt w:val="bullet"/>
      <w:lvlText w:val="o"/>
      <w:lvlJc w:val="left"/>
      <w:pPr>
        <w:ind w:left="12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A4AE0D0">
      <w:start w:val="1"/>
      <w:numFmt w:val="bullet"/>
      <w:lvlText w:val="▪"/>
      <w:lvlJc w:val="left"/>
      <w:pPr>
        <w:ind w:left="20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F68DDF8">
      <w:start w:val="1"/>
      <w:numFmt w:val="bullet"/>
      <w:lvlText w:val="•"/>
      <w:lvlJc w:val="left"/>
      <w:pPr>
        <w:ind w:left="27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868D130">
      <w:start w:val="1"/>
      <w:numFmt w:val="bullet"/>
      <w:lvlText w:val="o"/>
      <w:lvlJc w:val="left"/>
      <w:pPr>
        <w:ind w:left="34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79A901E">
      <w:start w:val="1"/>
      <w:numFmt w:val="bullet"/>
      <w:lvlText w:val="▪"/>
      <w:lvlJc w:val="left"/>
      <w:pPr>
        <w:ind w:left="41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F48896E">
      <w:start w:val="1"/>
      <w:numFmt w:val="bullet"/>
      <w:lvlText w:val="•"/>
      <w:lvlJc w:val="left"/>
      <w:pPr>
        <w:ind w:left="48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6A68B28">
      <w:start w:val="1"/>
      <w:numFmt w:val="bullet"/>
      <w:lvlText w:val="o"/>
      <w:lvlJc w:val="left"/>
      <w:pPr>
        <w:ind w:left="56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FD6AF6A">
      <w:start w:val="1"/>
      <w:numFmt w:val="bullet"/>
      <w:lvlText w:val="▪"/>
      <w:lvlJc w:val="left"/>
      <w:pPr>
        <w:ind w:left="63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54" w15:restartNumberingAfterBreak="0">
    <w:nsid w:val="464D4539"/>
    <w:multiLevelType w:val="hybridMultilevel"/>
    <w:tmpl w:val="9E2A2AB0"/>
    <w:lvl w:ilvl="0" w:tplc="527E46B8">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5" w15:restartNumberingAfterBreak="0">
    <w:nsid w:val="465166EF"/>
    <w:multiLevelType w:val="multilevel"/>
    <w:tmpl w:val="434078F4"/>
    <w:lvl w:ilvl="0">
      <w:start w:val="1"/>
      <w:numFmt w:val="decimal"/>
      <w:pStyle w:val="Styl1"/>
      <w:lvlText w:val="%1."/>
      <w:lvlJc w:val="left"/>
      <w:pPr>
        <w:ind w:left="360" w:hanging="360"/>
      </w:pPr>
    </w:lvl>
    <w:lvl w:ilvl="1">
      <w:start w:val="1"/>
      <w:numFmt w:val="decimal"/>
      <w:pStyle w:val="Styl2"/>
      <w:lvlText w:val="%1.%2."/>
      <w:lvlJc w:val="left"/>
      <w:pPr>
        <w:ind w:left="6245" w:hanging="432"/>
      </w:pPr>
      <w:rPr>
        <w:b/>
      </w:rPr>
    </w:lvl>
    <w:lvl w:ilvl="2">
      <w:start w:val="1"/>
      <w:numFmt w:val="decimal"/>
      <w:lvlText w:val="%1.%2.%3."/>
      <w:lvlJc w:val="left"/>
      <w:pPr>
        <w:ind w:left="504" w:hanging="504"/>
      </w:pPr>
      <w:rPr>
        <w:b/>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6" w15:restartNumberingAfterBreak="0">
    <w:nsid w:val="470B3605"/>
    <w:multiLevelType w:val="hybridMultilevel"/>
    <w:tmpl w:val="3C4821E2"/>
    <w:lvl w:ilvl="0" w:tplc="2F60F62C">
      <w:start w:val="1"/>
      <w:numFmt w:val="bullet"/>
      <w:lvlText w:val=""/>
      <w:lvlJc w:val="left"/>
      <w:pPr>
        <w:tabs>
          <w:tab w:val="num" w:pos="1800"/>
        </w:tabs>
        <w:ind w:left="1800" w:hanging="360"/>
      </w:pPr>
      <w:rPr>
        <w:rFonts w:ascii="Symbol" w:hAnsi="Symbol"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57" w15:restartNumberingAfterBreak="0">
    <w:nsid w:val="479D05CD"/>
    <w:multiLevelType w:val="hybridMultilevel"/>
    <w:tmpl w:val="8E26A8F0"/>
    <w:lvl w:ilvl="0" w:tplc="D6FC1D58">
      <w:start w:val="24"/>
      <w:numFmt w:val="decimal"/>
      <w:lvlText w:val="%1."/>
      <w:lvlJc w:val="left"/>
      <w:pPr>
        <w:tabs>
          <w:tab w:val="num" w:pos="567"/>
        </w:tabs>
        <w:ind w:left="567" w:hanging="56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8" w15:restartNumberingAfterBreak="0">
    <w:nsid w:val="47A36CDF"/>
    <w:multiLevelType w:val="multilevel"/>
    <w:tmpl w:val="082252C2"/>
    <w:lvl w:ilvl="0">
      <w:start w:val="1"/>
      <w:numFmt w:val="lowerLetter"/>
      <w:lvlText w:val="%1)"/>
      <w:lvlJc w:val="left"/>
      <w:pPr>
        <w:tabs>
          <w:tab w:val="num" w:pos="283"/>
        </w:tabs>
        <w:ind w:left="283" w:hanging="283"/>
      </w:pPr>
      <w:rPr>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9" w15:restartNumberingAfterBreak="0">
    <w:nsid w:val="47D320F3"/>
    <w:multiLevelType w:val="multilevel"/>
    <w:tmpl w:val="1BACECD8"/>
    <w:lvl w:ilvl="0">
      <w:start w:val="1"/>
      <w:numFmt w:val="decimal"/>
      <w:pStyle w:val="Listanumerowana2"/>
      <w:lvlText w:val="%1."/>
      <w:legacy w:legacy="1" w:legacySpace="0" w:legacyIndent="283"/>
      <w:lvlJc w:val="left"/>
      <w:pPr>
        <w:ind w:left="283" w:hanging="283"/>
      </w:pPr>
    </w:lvl>
    <w:lvl w:ilvl="1">
      <w:start w:val="6"/>
      <w:numFmt w:val="decimal"/>
      <w:isLgl/>
      <w:lvlText w:val="%1.%2"/>
      <w:lvlJc w:val="left"/>
      <w:pPr>
        <w:ind w:left="360" w:hanging="360"/>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0" w15:restartNumberingAfterBreak="0">
    <w:nsid w:val="48674E5C"/>
    <w:multiLevelType w:val="hybridMultilevel"/>
    <w:tmpl w:val="CC405FAA"/>
    <w:lvl w:ilvl="0" w:tplc="859C104C">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9ACCFC4">
      <w:start w:val="1"/>
      <w:numFmt w:val="bullet"/>
      <w:lvlText w:val="o"/>
      <w:lvlJc w:val="left"/>
      <w:pPr>
        <w:ind w:left="14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7C0991C">
      <w:start w:val="1"/>
      <w:numFmt w:val="bullet"/>
      <w:lvlText w:val="▪"/>
      <w:lvlJc w:val="left"/>
      <w:pPr>
        <w:ind w:left="21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E8E285C">
      <w:start w:val="1"/>
      <w:numFmt w:val="bullet"/>
      <w:lvlText w:val="•"/>
      <w:lvlJc w:val="left"/>
      <w:pPr>
        <w:ind w:left="28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D924B0A">
      <w:start w:val="1"/>
      <w:numFmt w:val="bullet"/>
      <w:lvlText w:val="o"/>
      <w:lvlJc w:val="left"/>
      <w:pPr>
        <w:ind w:left="36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59E8062">
      <w:start w:val="1"/>
      <w:numFmt w:val="bullet"/>
      <w:lvlText w:val="▪"/>
      <w:lvlJc w:val="left"/>
      <w:pPr>
        <w:ind w:left="43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184F4C0">
      <w:start w:val="1"/>
      <w:numFmt w:val="bullet"/>
      <w:lvlText w:val="•"/>
      <w:lvlJc w:val="left"/>
      <w:pPr>
        <w:ind w:left="50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EDE644E">
      <w:start w:val="1"/>
      <w:numFmt w:val="bullet"/>
      <w:lvlText w:val="o"/>
      <w:lvlJc w:val="left"/>
      <w:pPr>
        <w:ind w:left="57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AD62E98">
      <w:start w:val="1"/>
      <w:numFmt w:val="bullet"/>
      <w:lvlText w:val="▪"/>
      <w:lvlJc w:val="left"/>
      <w:pPr>
        <w:ind w:left="64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61" w15:restartNumberingAfterBreak="0">
    <w:nsid w:val="4888528D"/>
    <w:multiLevelType w:val="singleLevel"/>
    <w:tmpl w:val="47F4C41E"/>
    <w:lvl w:ilvl="0">
      <w:start w:val="11"/>
      <w:numFmt w:val="decimal"/>
      <w:lvlText w:val="%1."/>
      <w:legacy w:legacy="1" w:legacySpace="0" w:legacyIndent="340"/>
      <w:lvlJc w:val="left"/>
      <w:pPr>
        <w:ind w:left="340" w:hanging="340"/>
      </w:pPr>
    </w:lvl>
  </w:abstractNum>
  <w:abstractNum w:abstractNumId="262" w15:restartNumberingAfterBreak="0">
    <w:nsid w:val="48907E79"/>
    <w:multiLevelType w:val="singleLevel"/>
    <w:tmpl w:val="85AEFA78"/>
    <w:lvl w:ilvl="0">
      <w:numFmt w:val="bullet"/>
      <w:lvlText w:val="-"/>
      <w:lvlJc w:val="left"/>
      <w:pPr>
        <w:tabs>
          <w:tab w:val="num" w:pos="360"/>
        </w:tabs>
        <w:ind w:left="360" w:hanging="360"/>
      </w:pPr>
    </w:lvl>
  </w:abstractNum>
  <w:abstractNum w:abstractNumId="263"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498D6C3F"/>
    <w:multiLevelType w:val="hybridMultilevel"/>
    <w:tmpl w:val="0074C0F6"/>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5" w15:restartNumberingAfterBreak="0">
    <w:nsid w:val="49AC0C00"/>
    <w:multiLevelType w:val="hybridMultilevel"/>
    <w:tmpl w:val="D0ACF4CE"/>
    <w:lvl w:ilvl="0" w:tplc="49E42EC6">
      <w:start w:val="1"/>
      <w:numFmt w:val="decimal"/>
      <w:lvlText w:val="%1."/>
      <w:lvlJc w:val="left"/>
      <w:pPr>
        <w:ind w:left="427"/>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979A6FE0">
      <w:start w:val="1"/>
      <w:numFmt w:val="lowerLetter"/>
      <w:lvlText w:val="%2"/>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83CEF1C4">
      <w:start w:val="1"/>
      <w:numFmt w:val="lowerRoman"/>
      <w:lvlText w:val="%3"/>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2B62808">
      <w:start w:val="1"/>
      <w:numFmt w:val="decimal"/>
      <w:lvlText w:val="%4"/>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2F763ECE">
      <w:start w:val="1"/>
      <w:numFmt w:val="lowerLetter"/>
      <w:lvlText w:val="%5"/>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C43001FA">
      <w:start w:val="1"/>
      <w:numFmt w:val="lowerRoman"/>
      <w:lvlText w:val="%6"/>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5120A910">
      <w:start w:val="1"/>
      <w:numFmt w:val="decimal"/>
      <w:lvlText w:val="%7"/>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5D4A7B74">
      <w:start w:val="1"/>
      <w:numFmt w:val="lowerLetter"/>
      <w:lvlText w:val="%8"/>
      <w:lvlJc w:val="left"/>
      <w:pPr>
        <w:ind w:left="54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85E0478">
      <w:start w:val="1"/>
      <w:numFmt w:val="lowerRoman"/>
      <w:lvlText w:val="%9"/>
      <w:lvlJc w:val="left"/>
      <w:pPr>
        <w:ind w:left="61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66" w15:restartNumberingAfterBreak="0">
    <w:nsid w:val="49F73F32"/>
    <w:multiLevelType w:val="multilevel"/>
    <w:tmpl w:val="5E7AEA00"/>
    <w:lvl w:ilvl="0">
      <w:start w:val="1"/>
      <w:numFmt w:val="none"/>
      <w:suff w:val="nothing"/>
      <w:lvlText w:val=""/>
      <w:lvlJc w:val="left"/>
      <w:pPr>
        <w:ind w:left="0" w:firstLine="0"/>
      </w:pPr>
    </w:lvl>
    <w:lvl w:ilvl="1">
      <w:start w:val="4"/>
      <w:numFmt w:val="none"/>
      <w:pStyle w:val="Nagwek21"/>
      <w:suff w:val="nothing"/>
      <w:lvlText w:val=""/>
      <w:lvlJc w:val="left"/>
      <w:pPr>
        <w:ind w:left="360" w:hanging="36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67" w15:restartNumberingAfterBreak="0">
    <w:nsid w:val="4A1A7963"/>
    <w:multiLevelType w:val="hybridMultilevel"/>
    <w:tmpl w:val="1660B26E"/>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4A7E7688"/>
    <w:multiLevelType w:val="hybridMultilevel"/>
    <w:tmpl w:val="396EA5AE"/>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269" w15:restartNumberingAfterBreak="0">
    <w:nsid w:val="4A962458"/>
    <w:multiLevelType w:val="hybridMultilevel"/>
    <w:tmpl w:val="F59861E0"/>
    <w:lvl w:ilvl="0" w:tplc="69C8A83C">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3FE49E0">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7BE7B4C">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504F8AC">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B626638">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8F26744">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826C094">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E7E7218">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AB6C20C">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0" w15:restartNumberingAfterBreak="0">
    <w:nsid w:val="4B8B5143"/>
    <w:multiLevelType w:val="hybridMultilevel"/>
    <w:tmpl w:val="647EB94C"/>
    <w:lvl w:ilvl="0" w:tplc="0FD268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1" w15:restartNumberingAfterBreak="0">
    <w:nsid w:val="4BE0204F"/>
    <w:multiLevelType w:val="singleLevel"/>
    <w:tmpl w:val="6494F158"/>
    <w:lvl w:ilvl="0">
      <w:start w:val="1"/>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272" w15:restartNumberingAfterBreak="0">
    <w:nsid w:val="4C052FB5"/>
    <w:multiLevelType w:val="hybridMultilevel"/>
    <w:tmpl w:val="B8701A6A"/>
    <w:lvl w:ilvl="0" w:tplc="FAD6A726">
      <w:start w:val="1"/>
      <w:numFmt w:val="bullet"/>
      <w:lvlText w:val="–"/>
      <w:lvlJc w:val="left"/>
      <w:pPr>
        <w:tabs>
          <w:tab w:val="num" w:pos="170"/>
        </w:tabs>
        <w:ind w:left="170" w:hanging="17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3" w15:restartNumberingAfterBreak="0">
    <w:nsid w:val="4C1A5524"/>
    <w:multiLevelType w:val="hybridMultilevel"/>
    <w:tmpl w:val="2904EF7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4" w15:restartNumberingAfterBreak="0">
    <w:nsid w:val="4CA476F2"/>
    <w:multiLevelType w:val="multilevel"/>
    <w:tmpl w:val="180E12FE"/>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emboss w:val="0"/>
        <w:imprint w:val="0"/>
        <w:vanish w:val="0"/>
        <w:sz w:val="22"/>
        <w:szCs w:val="22"/>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4"/>
        <w:vertAlign w:val="baseline"/>
      </w:rPr>
    </w:lvl>
    <w:lvl w:ilvl="2">
      <w:start w:val="1"/>
      <w:numFmt w:val="decimal"/>
      <w:lvlText w:val="%1.%2.%3."/>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275" w15:restartNumberingAfterBreak="0">
    <w:nsid w:val="4CB91F55"/>
    <w:multiLevelType w:val="hybridMultilevel"/>
    <w:tmpl w:val="8BF84550"/>
    <w:lvl w:ilvl="0" w:tplc="C3A651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6" w15:restartNumberingAfterBreak="0">
    <w:nsid w:val="4CE107D8"/>
    <w:multiLevelType w:val="multilevel"/>
    <w:tmpl w:val="91329578"/>
    <w:lvl w:ilvl="0">
      <w:start w:val="1"/>
      <w:numFmt w:val="decimal"/>
      <w:lvlText w:val="%1."/>
      <w:lvlJc w:val="left"/>
      <w:pPr>
        <w:ind w:left="0"/>
      </w:pPr>
      <w:rPr>
        <w:rFonts w:ascii="Times New Roman" w:eastAsia="Verdana"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0"/>
      </w:pPr>
      <w:rPr>
        <w:rFonts w:ascii="Times New Roman" w:eastAsia="Verdana"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277" w15:restartNumberingAfterBreak="0">
    <w:nsid w:val="4DD2C3D9"/>
    <w:multiLevelType w:val="multilevel"/>
    <w:tmpl w:val="6FEC112A"/>
    <w:lvl w:ilvl="0">
      <w:numFmt w:val="bullet"/>
      <w:lvlText w:val="–"/>
      <w:lvlJc w:val="left"/>
      <w:pPr>
        <w:tabs>
          <w:tab w:val="num" w:pos="285"/>
        </w:tabs>
        <w:ind w:left="285" w:hanging="285"/>
      </w:pPr>
      <w:rPr>
        <w:rFonts w:ascii="Arial" w:hAnsi="Arial" w:cs="Arial"/>
        <w:sz w:val="18"/>
        <w:szCs w:val="18"/>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78" w15:restartNumberingAfterBreak="0">
    <w:nsid w:val="4DE05AB0"/>
    <w:multiLevelType w:val="hybridMultilevel"/>
    <w:tmpl w:val="95E27DA0"/>
    <w:lvl w:ilvl="0" w:tplc="16F653DC">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9" w15:restartNumberingAfterBreak="0">
    <w:nsid w:val="4E054B56"/>
    <w:multiLevelType w:val="hybridMultilevel"/>
    <w:tmpl w:val="BF329204"/>
    <w:lvl w:ilvl="0" w:tplc="3B243C94">
      <w:start w:val="1"/>
      <w:numFmt w:val="bullet"/>
      <w:lvlText w:val=""/>
      <w:lvlJc w:val="left"/>
      <w:pPr>
        <w:ind w:left="717" w:hanging="360"/>
      </w:pPr>
      <w:rPr>
        <w:rFonts w:ascii="Symbol" w:hAnsi="Symbol" w:hint="default"/>
      </w:rPr>
    </w:lvl>
    <w:lvl w:ilvl="1" w:tplc="04150003" w:tentative="1">
      <w:start w:val="1"/>
      <w:numFmt w:val="bullet"/>
      <w:lvlText w:val="o"/>
      <w:lvlJc w:val="left"/>
      <w:pPr>
        <w:ind w:left="1437" w:hanging="360"/>
      </w:pPr>
      <w:rPr>
        <w:rFonts w:ascii="Courier New" w:hAnsi="Courier New" w:cs="Courier New" w:hint="default"/>
      </w:rPr>
    </w:lvl>
    <w:lvl w:ilvl="2" w:tplc="04150005" w:tentative="1">
      <w:start w:val="1"/>
      <w:numFmt w:val="bullet"/>
      <w:lvlText w:val=""/>
      <w:lvlJc w:val="left"/>
      <w:pPr>
        <w:ind w:left="2157" w:hanging="360"/>
      </w:pPr>
      <w:rPr>
        <w:rFonts w:ascii="Wingdings" w:hAnsi="Wingdings" w:hint="default"/>
      </w:rPr>
    </w:lvl>
    <w:lvl w:ilvl="3" w:tplc="04150001" w:tentative="1">
      <w:start w:val="1"/>
      <w:numFmt w:val="bullet"/>
      <w:lvlText w:val=""/>
      <w:lvlJc w:val="left"/>
      <w:pPr>
        <w:ind w:left="2877" w:hanging="360"/>
      </w:pPr>
      <w:rPr>
        <w:rFonts w:ascii="Symbol" w:hAnsi="Symbol" w:hint="default"/>
      </w:rPr>
    </w:lvl>
    <w:lvl w:ilvl="4" w:tplc="04150003" w:tentative="1">
      <w:start w:val="1"/>
      <w:numFmt w:val="bullet"/>
      <w:lvlText w:val="o"/>
      <w:lvlJc w:val="left"/>
      <w:pPr>
        <w:ind w:left="3597" w:hanging="360"/>
      </w:pPr>
      <w:rPr>
        <w:rFonts w:ascii="Courier New" w:hAnsi="Courier New" w:cs="Courier New" w:hint="default"/>
      </w:rPr>
    </w:lvl>
    <w:lvl w:ilvl="5" w:tplc="04150005" w:tentative="1">
      <w:start w:val="1"/>
      <w:numFmt w:val="bullet"/>
      <w:lvlText w:val=""/>
      <w:lvlJc w:val="left"/>
      <w:pPr>
        <w:ind w:left="4317" w:hanging="360"/>
      </w:pPr>
      <w:rPr>
        <w:rFonts w:ascii="Wingdings" w:hAnsi="Wingdings" w:hint="default"/>
      </w:rPr>
    </w:lvl>
    <w:lvl w:ilvl="6" w:tplc="04150001" w:tentative="1">
      <w:start w:val="1"/>
      <w:numFmt w:val="bullet"/>
      <w:lvlText w:val=""/>
      <w:lvlJc w:val="left"/>
      <w:pPr>
        <w:ind w:left="5037" w:hanging="360"/>
      </w:pPr>
      <w:rPr>
        <w:rFonts w:ascii="Symbol" w:hAnsi="Symbol" w:hint="default"/>
      </w:rPr>
    </w:lvl>
    <w:lvl w:ilvl="7" w:tplc="04150003" w:tentative="1">
      <w:start w:val="1"/>
      <w:numFmt w:val="bullet"/>
      <w:lvlText w:val="o"/>
      <w:lvlJc w:val="left"/>
      <w:pPr>
        <w:ind w:left="5757" w:hanging="360"/>
      </w:pPr>
      <w:rPr>
        <w:rFonts w:ascii="Courier New" w:hAnsi="Courier New" w:cs="Courier New" w:hint="default"/>
      </w:rPr>
    </w:lvl>
    <w:lvl w:ilvl="8" w:tplc="04150005" w:tentative="1">
      <w:start w:val="1"/>
      <w:numFmt w:val="bullet"/>
      <w:lvlText w:val=""/>
      <w:lvlJc w:val="left"/>
      <w:pPr>
        <w:ind w:left="6477" w:hanging="360"/>
      </w:pPr>
      <w:rPr>
        <w:rFonts w:ascii="Wingdings" w:hAnsi="Wingdings" w:hint="default"/>
      </w:rPr>
    </w:lvl>
  </w:abstractNum>
  <w:abstractNum w:abstractNumId="280" w15:restartNumberingAfterBreak="0">
    <w:nsid w:val="4EA272B5"/>
    <w:multiLevelType w:val="hybridMultilevel"/>
    <w:tmpl w:val="CD8E7434"/>
    <w:lvl w:ilvl="0" w:tplc="B572472A">
      <w:start w:val="1"/>
      <w:numFmt w:val="bullet"/>
      <w:pStyle w:val="MariuszKorpaa-punktowanie"/>
      <w:lvlText w:val=""/>
      <w:lvlJc w:val="left"/>
      <w:pPr>
        <w:ind w:left="720" w:hanging="360"/>
      </w:pPr>
      <w:rPr>
        <w:rFonts w:ascii="Wingdings" w:hAnsi="Wingdings" w:hint="default"/>
      </w:rPr>
    </w:lvl>
    <w:lvl w:ilvl="1" w:tplc="04150019">
      <w:start w:val="1"/>
      <w:numFmt w:val="bullet"/>
      <w:lvlText w:val="o"/>
      <w:lvlJc w:val="left"/>
      <w:pPr>
        <w:ind w:left="76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81" w15:restartNumberingAfterBreak="0">
    <w:nsid w:val="4EE61F6D"/>
    <w:multiLevelType w:val="hybridMultilevel"/>
    <w:tmpl w:val="8D28E212"/>
    <w:lvl w:ilvl="0" w:tplc="67EA101E">
      <w:start w:val="1"/>
      <w:numFmt w:val="decimal"/>
      <w:lvlText w:val="%1."/>
      <w:lvlJc w:val="left"/>
      <w:pPr>
        <w:ind w:left="42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B87ABA64">
      <w:start w:val="1"/>
      <w:numFmt w:val="lowerLetter"/>
      <w:lvlText w:val="%2"/>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1D1ABA2E">
      <w:start w:val="1"/>
      <w:numFmt w:val="lowerRoman"/>
      <w:lvlText w:val="%3"/>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09346C9C">
      <w:start w:val="1"/>
      <w:numFmt w:val="decimal"/>
      <w:lvlText w:val="%4"/>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1F60F296">
      <w:start w:val="1"/>
      <w:numFmt w:val="lowerLetter"/>
      <w:lvlText w:val="%5"/>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01CAD952">
      <w:start w:val="1"/>
      <w:numFmt w:val="lowerRoman"/>
      <w:lvlText w:val="%6"/>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B860CC86">
      <w:start w:val="1"/>
      <w:numFmt w:val="decimal"/>
      <w:lvlText w:val="%7"/>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ABC2A8A2">
      <w:start w:val="1"/>
      <w:numFmt w:val="lowerLetter"/>
      <w:lvlText w:val="%8"/>
      <w:lvlJc w:val="left"/>
      <w:pPr>
        <w:ind w:left="54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CEBA527C">
      <w:start w:val="1"/>
      <w:numFmt w:val="lowerRoman"/>
      <w:lvlText w:val="%9"/>
      <w:lvlJc w:val="left"/>
      <w:pPr>
        <w:ind w:left="61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82" w15:restartNumberingAfterBreak="0">
    <w:nsid w:val="4EEC065A"/>
    <w:multiLevelType w:val="hybridMultilevel"/>
    <w:tmpl w:val="A4EC751E"/>
    <w:lvl w:ilvl="0" w:tplc="C3A651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4F263D2F"/>
    <w:multiLevelType w:val="hybridMultilevel"/>
    <w:tmpl w:val="D3A61668"/>
    <w:lvl w:ilvl="0" w:tplc="EB14DD6E">
      <w:start w:val="1"/>
      <w:numFmt w:val="bullet"/>
      <w:lvlText w:val="–"/>
      <w:lvlJc w:val="left"/>
      <w:pPr>
        <w:ind w:left="3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51A6B00">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7AC0920">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ED0D16C">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5925DF4">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08AC79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15C1240">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D781A8C">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80A99F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84" w15:restartNumberingAfterBreak="0">
    <w:nsid w:val="4F441C93"/>
    <w:multiLevelType w:val="multilevel"/>
    <w:tmpl w:val="E864C0B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85" w15:restartNumberingAfterBreak="0">
    <w:nsid w:val="4F4E1754"/>
    <w:multiLevelType w:val="multilevel"/>
    <w:tmpl w:val="0636B502"/>
    <w:lvl w:ilvl="0">
      <w:start w:val="1"/>
      <w:numFmt w:val="decimal"/>
      <w:lvlText w:val="%1."/>
      <w:lvlJc w:val="left"/>
      <w:pPr>
        <w:tabs>
          <w:tab w:val="num" w:pos="360"/>
        </w:tabs>
        <w:ind w:left="360" w:hanging="360"/>
      </w:pPr>
      <w:rPr>
        <w:rFonts w:ascii="Times New Roman" w:hAnsi="Times New Roman"/>
        <w:b/>
      </w:rPr>
    </w:lvl>
    <w:lvl w:ilvl="1">
      <w:start w:val="1"/>
      <w:numFmt w:val="decimal"/>
      <w:lvlText w:val="%1.%2."/>
      <w:lvlJc w:val="left"/>
      <w:pPr>
        <w:tabs>
          <w:tab w:val="num" w:pos="792"/>
        </w:tabs>
        <w:ind w:left="792" w:hanging="792"/>
      </w:pPr>
    </w:lvl>
    <w:lvl w:ilvl="2">
      <w:start w:val="1"/>
      <w:numFmt w:val="decimal"/>
      <w:lvlText w:val="%1.%2.%3."/>
      <w:lvlJc w:val="left"/>
      <w:pPr>
        <w:tabs>
          <w:tab w:val="num" w:pos="1440"/>
        </w:tabs>
        <w:ind w:left="1224" w:hanging="504"/>
      </w:pPr>
      <w:rPr>
        <w:b w:val="0"/>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86"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7" w15:restartNumberingAfterBreak="0">
    <w:nsid w:val="50FE61DA"/>
    <w:multiLevelType w:val="hybridMultilevel"/>
    <w:tmpl w:val="526698D2"/>
    <w:lvl w:ilvl="0" w:tplc="23C8164A">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67C36E2">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BE0EC5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146B33C">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C62F42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CA2655C">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2707B64">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ED4A466">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682E82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88" w15:restartNumberingAfterBreak="0">
    <w:nsid w:val="517363F5"/>
    <w:multiLevelType w:val="hybridMultilevel"/>
    <w:tmpl w:val="B91869B2"/>
    <w:lvl w:ilvl="0" w:tplc="288C10EA">
      <w:start w:val="79"/>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0"/>
        <w:szCs w:val="20"/>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517B16BD"/>
    <w:multiLevelType w:val="singleLevel"/>
    <w:tmpl w:val="2D2EABBC"/>
    <w:lvl w:ilvl="0">
      <w:start w:val="3"/>
      <w:numFmt w:val="lowerLetter"/>
      <w:lvlText w:val="%1)"/>
      <w:legacy w:legacy="1" w:legacySpace="0" w:legacyIndent="283"/>
      <w:lvlJc w:val="left"/>
      <w:pPr>
        <w:ind w:left="523" w:hanging="283"/>
      </w:pPr>
    </w:lvl>
  </w:abstractNum>
  <w:abstractNum w:abstractNumId="290" w15:restartNumberingAfterBreak="0">
    <w:nsid w:val="519213C1"/>
    <w:multiLevelType w:val="singleLevel"/>
    <w:tmpl w:val="13F64A4A"/>
    <w:lvl w:ilvl="0">
      <w:start w:val="3"/>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291" w15:restartNumberingAfterBreak="0">
    <w:nsid w:val="51AD1A75"/>
    <w:multiLevelType w:val="hybridMultilevel"/>
    <w:tmpl w:val="7C3A20AC"/>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2" w15:restartNumberingAfterBreak="0">
    <w:nsid w:val="51B12D8E"/>
    <w:multiLevelType w:val="hybridMultilevel"/>
    <w:tmpl w:val="A052DE52"/>
    <w:lvl w:ilvl="0" w:tplc="8BD8617E">
      <w:start w:val="1"/>
      <w:numFmt w:val="bullet"/>
      <w:lvlText w:val="-"/>
      <w:lvlJc w:val="left"/>
      <w:pPr>
        <w:ind w:left="0"/>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1" w:tplc="97B8DFEC">
      <w:start w:val="1"/>
      <w:numFmt w:val="bullet"/>
      <w:lvlText w:val="o"/>
      <w:lvlJc w:val="left"/>
      <w:pPr>
        <w:ind w:left="118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2" w:tplc="E548C1A4">
      <w:start w:val="1"/>
      <w:numFmt w:val="bullet"/>
      <w:lvlText w:val="▪"/>
      <w:lvlJc w:val="left"/>
      <w:pPr>
        <w:ind w:left="190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3" w:tplc="21DE8432">
      <w:start w:val="1"/>
      <w:numFmt w:val="bullet"/>
      <w:lvlText w:val="•"/>
      <w:lvlJc w:val="left"/>
      <w:pPr>
        <w:ind w:left="262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4" w:tplc="DD603130">
      <w:start w:val="1"/>
      <w:numFmt w:val="bullet"/>
      <w:lvlText w:val="o"/>
      <w:lvlJc w:val="left"/>
      <w:pPr>
        <w:ind w:left="334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5" w:tplc="6F34B7D8">
      <w:start w:val="1"/>
      <w:numFmt w:val="bullet"/>
      <w:lvlText w:val="▪"/>
      <w:lvlJc w:val="left"/>
      <w:pPr>
        <w:ind w:left="406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6" w:tplc="5224A21A">
      <w:start w:val="1"/>
      <w:numFmt w:val="bullet"/>
      <w:lvlText w:val="•"/>
      <w:lvlJc w:val="left"/>
      <w:pPr>
        <w:ind w:left="478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7" w:tplc="31DE6040">
      <w:start w:val="1"/>
      <w:numFmt w:val="bullet"/>
      <w:lvlText w:val="o"/>
      <w:lvlJc w:val="left"/>
      <w:pPr>
        <w:ind w:left="550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8" w:tplc="05B89C24">
      <w:start w:val="1"/>
      <w:numFmt w:val="bullet"/>
      <w:lvlText w:val="▪"/>
      <w:lvlJc w:val="left"/>
      <w:pPr>
        <w:ind w:left="6228"/>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abstractNum>
  <w:abstractNum w:abstractNumId="293" w15:restartNumberingAfterBreak="0">
    <w:nsid w:val="51DF17D1"/>
    <w:multiLevelType w:val="hybridMultilevel"/>
    <w:tmpl w:val="D2AA4E08"/>
    <w:lvl w:ilvl="0" w:tplc="E12AB8C8">
      <w:start w:val="1"/>
      <w:numFmt w:val="lowerLetter"/>
      <w:lvlText w:val="%1."/>
      <w:lvlJc w:val="left"/>
      <w:pPr>
        <w:ind w:left="12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7E3AF654">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A146719E">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3BD82254">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63C4B22C">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CBC8526">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9FBA2622">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656B1B2">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70E815EC">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94" w15:restartNumberingAfterBreak="0">
    <w:nsid w:val="52106BBE"/>
    <w:multiLevelType w:val="hybridMultilevel"/>
    <w:tmpl w:val="29422E4A"/>
    <w:lvl w:ilvl="0" w:tplc="00000003">
      <w:start w:val="1"/>
      <w:numFmt w:val="bullet"/>
      <w:lvlText w:val=""/>
      <w:lvlJc w:val="left"/>
      <w:pPr>
        <w:ind w:left="1003" w:hanging="360"/>
      </w:pPr>
      <w:rPr>
        <w:rFonts w:ascii="Symbol" w:hAnsi="Symbol" w:cs="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95" w15:restartNumberingAfterBreak="0">
    <w:nsid w:val="5213769C"/>
    <w:multiLevelType w:val="hybridMultilevel"/>
    <w:tmpl w:val="42A874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15:restartNumberingAfterBreak="0">
    <w:nsid w:val="53773E37"/>
    <w:multiLevelType w:val="singleLevel"/>
    <w:tmpl w:val="E1760ACE"/>
    <w:lvl w:ilvl="0">
      <w:start w:val="1"/>
      <w:numFmt w:val="lowerLetter"/>
      <w:lvlText w:val="%1)"/>
      <w:legacy w:legacy="1" w:legacySpace="0" w:legacyIndent="283"/>
      <w:lvlJc w:val="left"/>
      <w:pPr>
        <w:ind w:left="283" w:hanging="283"/>
      </w:pPr>
    </w:lvl>
  </w:abstractNum>
  <w:abstractNum w:abstractNumId="297" w15:restartNumberingAfterBreak="0">
    <w:nsid w:val="537F78CE"/>
    <w:multiLevelType w:val="hybridMultilevel"/>
    <w:tmpl w:val="A46681B8"/>
    <w:lvl w:ilvl="0" w:tplc="EB548E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8" w15:restartNumberingAfterBreak="0">
    <w:nsid w:val="539A0579"/>
    <w:multiLevelType w:val="hybridMultilevel"/>
    <w:tmpl w:val="53D6C3FE"/>
    <w:lvl w:ilvl="0" w:tplc="97066A9C">
      <w:start w:val="1"/>
      <w:numFmt w:val="bullet"/>
      <w:lvlText w:val="–"/>
      <w:lvlJc w:val="left"/>
      <w:pPr>
        <w:ind w:left="7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39060A66">
      <w:start w:val="1"/>
      <w:numFmt w:val="bullet"/>
      <w:lvlText w:val="o"/>
      <w:lvlJc w:val="left"/>
      <w:pPr>
        <w:ind w:left="14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248EBAB2">
      <w:start w:val="1"/>
      <w:numFmt w:val="bullet"/>
      <w:lvlText w:val="▪"/>
      <w:lvlJc w:val="left"/>
      <w:pPr>
        <w:ind w:left="21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D5385704">
      <w:start w:val="1"/>
      <w:numFmt w:val="bullet"/>
      <w:lvlText w:val="•"/>
      <w:lvlJc w:val="left"/>
      <w:pPr>
        <w:ind w:left="28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93F4A3EA">
      <w:start w:val="1"/>
      <w:numFmt w:val="bullet"/>
      <w:lvlText w:val="o"/>
      <w:lvlJc w:val="left"/>
      <w:pPr>
        <w:ind w:left="36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9F8D740">
      <w:start w:val="1"/>
      <w:numFmt w:val="bullet"/>
      <w:lvlText w:val="▪"/>
      <w:lvlJc w:val="left"/>
      <w:pPr>
        <w:ind w:left="43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428C7B02">
      <w:start w:val="1"/>
      <w:numFmt w:val="bullet"/>
      <w:lvlText w:val="•"/>
      <w:lvlJc w:val="left"/>
      <w:pPr>
        <w:ind w:left="5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5DA60BD4">
      <w:start w:val="1"/>
      <w:numFmt w:val="bullet"/>
      <w:lvlText w:val="o"/>
      <w:lvlJc w:val="left"/>
      <w:pPr>
        <w:ind w:left="57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2A822E02">
      <w:start w:val="1"/>
      <w:numFmt w:val="bullet"/>
      <w:lvlText w:val="▪"/>
      <w:lvlJc w:val="left"/>
      <w:pPr>
        <w:ind w:left="64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99" w15:restartNumberingAfterBreak="0">
    <w:nsid w:val="540E5F59"/>
    <w:multiLevelType w:val="hybridMultilevel"/>
    <w:tmpl w:val="504CCF84"/>
    <w:lvl w:ilvl="0" w:tplc="73E8107E">
      <w:start w:val="7"/>
      <w:numFmt w:val="decimal"/>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0" w15:restartNumberingAfterBreak="0">
    <w:nsid w:val="54B315AF"/>
    <w:multiLevelType w:val="hybridMultilevel"/>
    <w:tmpl w:val="1F7E807C"/>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0520F410">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C1C8E62">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DA0956C">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AD48114">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580B310">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CF44628">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95E8554">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6EAF332">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01" w15:restartNumberingAfterBreak="0">
    <w:nsid w:val="554B78C0"/>
    <w:multiLevelType w:val="hybridMultilevel"/>
    <w:tmpl w:val="5D62D4B2"/>
    <w:lvl w:ilvl="0" w:tplc="2F60F62C">
      <w:start w:val="1"/>
      <w:numFmt w:val="bullet"/>
      <w:lvlText w:val=""/>
      <w:lvlJc w:val="left"/>
      <w:pPr>
        <w:tabs>
          <w:tab w:val="num" w:pos="2367"/>
        </w:tabs>
        <w:ind w:left="2367" w:hanging="360"/>
      </w:pPr>
      <w:rPr>
        <w:rFonts w:ascii="Symbol" w:hAnsi="Symbol" w:hint="default"/>
      </w:rPr>
    </w:lvl>
    <w:lvl w:ilvl="1" w:tplc="2F60F62C">
      <w:start w:val="1"/>
      <w:numFmt w:val="bullet"/>
      <w:lvlText w:val=""/>
      <w:lvlJc w:val="left"/>
      <w:pPr>
        <w:tabs>
          <w:tab w:val="num" w:pos="2367"/>
        </w:tabs>
        <w:ind w:left="2367" w:hanging="360"/>
      </w:pPr>
      <w:rPr>
        <w:rFonts w:ascii="Symbol" w:hAnsi="Symbol" w:hint="default"/>
      </w:rPr>
    </w:lvl>
    <w:lvl w:ilvl="2" w:tplc="04150005" w:tentative="1">
      <w:start w:val="1"/>
      <w:numFmt w:val="bullet"/>
      <w:lvlText w:val=""/>
      <w:lvlJc w:val="left"/>
      <w:pPr>
        <w:tabs>
          <w:tab w:val="num" w:pos="3087"/>
        </w:tabs>
        <w:ind w:left="3087" w:hanging="360"/>
      </w:pPr>
      <w:rPr>
        <w:rFonts w:ascii="Wingdings" w:hAnsi="Wingdings" w:hint="default"/>
      </w:rPr>
    </w:lvl>
    <w:lvl w:ilvl="3" w:tplc="04150001" w:tentative="1">
      <w:start w:val="1"/>
      <w:numFmt w:val="bullet"/>
      <w:lvlText w:val=""/>
      <w:lvlJc w:val="left"/>
      <w:pPr>
        <w:tabs>
          <w:tab w:val="num" w:pos="3807"/>
        </w:tabs>
        <w:ind w:left="3807" w:hanging="360"/>
      </w:pPr>
      <w:rPr>
        <w:rFonts w:ascii="Symbol" w:hAnsi="Symbol" w:hint="default"/>
      </w:rPr>
    </w:lvl>
    <w:lvl w:ilvl="4" w:tplc="04150003" w:tentative="1">
      <w:start w:val="1"/>
      <w:numFmt w:val="bullet"/>
      <w:lvlText w:val="o"/>
      <w:lvlJc w:val="left"/>
      <w:pPr>
        <w:tabs>
          <w:tab w:val="num" w:pos="4527"/>
        </w:tabs>
        <w:ind w:left="4527" w:hanging="360"/>
      </w:pPr>
      <w:rPr>
        <w:rFonts w:ascii="Courier New" w:hAnsi="Courier New" w:cs="Courier New" w:hint="default"/>
      </w:rPr>
    </w:lvl>
    <w:lvl w:ilvl="5" w:tplc="04150005" w:tentative="1">
      <w:start w:val="1"/>
      <w:numFmt w:val="bullet"/>
      <w:lvlText w:val=""/>
      <w:lvlJc w:val="left"/>
      <w:pPr>
        <w:tabs>
          <w:tab w:val="num" w:pos="5247"/>
        </w:tabs>
        <w:ind w:left="5247" w:hanging="360"/>
      </w:pPr>
      <w:rPr>
        <w:rFonts w:ascii="Wingdings" w:hAnsi="Wingdings" w:hint="default"/>
      </w:rPr>
    </w:lvl>
    <w:lvl w:ilvl="6" w:tplc="04150001" w:tentative="1">
      <w:start w:val="1"/>
      <w:numFmt w:val="bullet"/>
      <w:lvlText w:val=""/>
      <w:lvlJc w:val="left"/>
      <w:pPr>
        <w:tabs>
          <w:tab w:val="num" w:pos="5967"/>
        </w:tabs>
        <w:ind w:left="5967" w:hanging="360"/>
      </w:pPr>
      <w:rPr>
        <w:rFonts w:ascii="Symbol" w:hAnsi="Symbol" w:hint="default"/>
      </w:rPr>
    </w:lvl>
    <w:lvl w:ilvl="7" w:tplc="04150003" w:tentative="1">
      <w:start w:val="1"/>
      <w:numFmt w:val="bullet"/>
      <w:lvlText w:val="o"/>
      <w:lvlJc w:val="left"/>
      <w:pPr>
        <w:tabs>
          <w:tab w:val="num" w:pos="6687"/>
        </w:tabs>
        <w:ind w:left="6687" w:hanging="360"/>
      </w:pPr>
      <w:rPr>
        <w:rFonts w:ascii="Courier New" w:hAnsi="Courier New" w:cs="Courier New" w:hint="default"/>
      </w:rPr>
    </w:lvl>
    <w:lvl w:ilvl="8" w:tplc="04150005" w:tentative="1">
      <w:start w:val="1"/>
      <w:numFmt w:val="bullet"/>
      <w:lvlText w:val=""/>
      <w:lvlJc w:val="left"/>
      <w:pPr>
        <w:tabs>
          <w:tab w:val="num" w:pos="7407"/>
        </w:tabs>
        <w:ind w:left="7407" w:hanging="360"/>
      </w:pPr>
      <w:rPr>
        <w:rFonts w:ascii="Wingdings" w:hAnsi="Wingdings" w:hint="default"/>
      </w:rPr>
    </w:lvl>
  </w:abstractNum>
  <w:abstractNum w:abstractNumId="302" w15:restartNumberingAfterBreak="0">
    <w:nsid w:val="5582159C"/>
    <w:multiLevelType w:val="multilevel"/>
    <w:tmpl w:val="2F8A2FEE"/>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3" w15:restartNumberingAfterBreak="0">
    <w:nsid w:val="55B41141"/>
    <w:multiLevelType w:val="hybridMultilevel"/>
    <w:tmpl w:val="365AA1FC"/>
    <w:lvl w:ilvl="0" w:tplc="B84232CA">
      <w:start w:val="1"/>
      <w:numFmt w:val="lowerLetter"/>
      <w:lvlText w:val="%1."/>
      <w:lvlJc w:val="left"/>
      <w:pPr>
        <w:ind w:left="12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BAA3F22">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0D8B64A">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DDCEEA7E">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8CC61F9C">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0FDA8B22">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00726E64">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58E60022">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2E87BD0">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04" w15:restartNumberingAfterBreak="0">
    <w:nsid w:val="56B64B6D"/>
    <w:multiLevelType w:val="multilevel"/>
    <w:tmpl w:val="D49E4768"/>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emboss w:val="0"/>
        <w:imprint w:val="0"/>
        <w:vanish w:val="0"/>
        <w:sz w:val="22"/>
        <w:szCs w:val="22"/>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4"/>
        <w:vertAlign w:val="baseline"/>
      </w:rPr>
    </w:lvl>
    <w:lvl w:ilvl="2">
      <w:start w:val="1"/>
      <w:numFmt w:val="decimal"/>
      <w:lvlText w:val="%1.%2.%3."/>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305"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58806EAD"/>
    <w:multiLevelType w:val="hybridMultilevel"/>
    <w:tmpl w:val="1FE89372"/>
    <w:lvl w:ilvl="0" w:tplc="8B629852">
      <w:start w:val="1"/>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7" w15:restartNumberingAfterBreak="0">
    <w:nsid w:val="58851DF5"/>
    <w:multiLevelType w:val="singleLevel"/>
    <w:tmpl w:val="6192A876"/>
    <w:lvl w:ilvl="0">
      <w:start w:val="1"/>
      <w:numFmt w:val="decimal"/>
      <w:lvlText w:val="%1."/>
      <w:legacy w:legacy="1" w:legacySpace="0" w:legacyIndent="283"/>
      <w:lvlJc w:val="left"/>
      <w:pPr>
        <w:ind w:left="283" w:hanging="283"/>
      </w:pPr>
    </w:lvl>
  </w:abstractNum>
  <w:abstractNum w:abstractNumId="308" w15:restartNumberingAfterBreak="0">
    <w:nsid w:val="589808C7"/>
    <w:multiLevelType w:val="hybridMultilevel"/>
    <w:tmpl w:val="B8F05910"/>
    <w:lvl w:ilvl="0" w:tplc="21D8D7B6">
      <w:start w:val="1"/>
      <w:numFmt w:val="decimal"/>
      <w:lvlText w:val="%1."/>
      <w:lvlJc w:val="left"/>
      <w:pPr>
        <w:ind w:left="3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E40881F8">
      <w:start w:val="1"/>
      <w:numFmt w:val="lowerLetter"/>
      <w:lvlText w:val="%2"/>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72FC8D42">
      <w:start w:val="1"/>
      <w:numFmt w:val="lowerRoman"/>
      <w:lvlText w:val="%3"/>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AF0E569E">
      <w:start w:val="1"/>
      <w:numFmt w:val="decimal"/>
      <w:lvlText w:val="%4"/>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F98D248">
      <w:start w:val="1"/>
      <w:numFmt w:val="lowerLetter"/>
      <w:lvlText w:val="%5"/>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952AFAAA">
      <w:start w:val="1"/>
      <w:numFmt w:val="lowerRoman"/>
      <w:lvlText w:val="%6"/>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11E2A8A">
      <w:start w:val="1"/>
      <w:numFmt w:val="decimal"/>
      <w:lvlText w:val="%7"/>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3EB8692C">
      <w:start w:val="1"/>
      <w:numFmt w:val="lowerLetter"/>
      <w:lvlText w:val="%8"/>
      <w:lvlJc w:val="left"/>
      <w:pPr>
        <w:ind w:left="54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367A76FC">
      <w:start w:val="1"/>
      <w:numFmt w:val="lowerRoman"/>
      <w:lvlText w:val="%9"/>
      <w:lvlJc w:val="left"/>
      <w:pPr>
        <w:ind w:left="61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09" w15:restartNumberingAfterBreak="0">
    <w:nsid w:val="58A73EDA"/>
    <w:multiLevelType w:val="hybridMultilevel"/>
    <w:tmpl w:val="CCBAACA6"/>
    <w:lvl w:ilvl="0" w:tplc="CE9CDC2A">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0" w15:restartNumberingAfterBreak="0">
    <w:nsid w:val="590863C4"/>
    <w:multiLevelType w:val="hybridMultilevel"/>
    <w:tmpl w:val="3E966764"/>
    <w:lvl w:ilvl="0" w:tplc="C8DAD52E">
      <w:start w:val="1"/>
      <w:numFmt w:val="decimal"/>
      <w:lvlText w:val="%1."/>
      <w:lvlJc w:val="left"/>
      <w:pPr>
        <w:ind w:left="427"/>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B0147230">
      <w:start w:val="1"/>
      <w:numFmt w:val="lowerLetter"/>
      <w:lvlText w:val="%2"/>
      <w:lvlJc w:val="left"/>
      <w:pPr>
        <w:ind w:left="10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2AC4A52">
      <w:start w:val="1"/>
      <w:numFmt w:val="lowerRoman"/>
      <w:lvlText w:val="%3"/>
      <w:lvlJc w:val="left"/>
      <w:pPr>
        <w:ind w:left="18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A5B8FDCA">
      <w:start w:val="1"/>
      <w:numFmt w:val="decimal"/>
      <w:lvlText w:val="%4"/>
      <w:lvlJc w:val="left"/>
      <w:pPr>
        <w:ind w:left="25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BA6C61AE">
      <w:start w:val="1"/>
      <w:numFmt w:val="lowerLetter"/>
      <w:lvlText w:val="%5"/>
      <w:lvlJc w:val="left"/>
      <w:pPr>
        <w:ind w:left="32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DE4EF6B0">
      <w:start w:val="1"/>
      <w:numFmt w:val="lowerRoman"/>
      <w:lvlText w:val="%6"/>
      <w:lvlJc w:val="left"/>
      <w:pPr>
        <w:ind w:left="39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A94F45C">
      <w:start w:val="1"/>
      <w:numFmt w:val="decimal"/>
      <w:lvlText w:val="%7"/>
      <w:lvlJc w:val="left"/>
      <w:pPr>
        <w:ind w:left="46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FD902D0C">
      <w:start w:val="1"/>
      <w:numFmt w:val="lowerLetter"/>
      <w:lvlText w:val="%8"/>
      <w:lvlJc w:val="left"/>
      <w:pPr>
        <w:ind w:left="54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B41C207E">
      <w:start w:val="1"/>
      <w:numFmt w:val="lowerRoman"/>
      <w:lvlText w:val="%9"/>
      <w:lvlJc w:val="left"/>
      <w:pPr>
        <w:ind w:left="61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11" w15:restartNumberingAfterBreak="0">
    <w:nsid w:val="59166F57"/>
    <w:multiLevelType w:val="hybridMultilevel"/>
    <w:tmpl w:val="47AC0926"/>
    <w:lvl w:ilvl="0" w:tplc="4D62364C">
      <w:start w:val="1"/>
      <w:numFmt w:val="bullet"/>
      <w:lvlText w:val=""/>
      <w:legacy w:legacy="1" w:legacySpace="0" w:legacyIndent="283"/>
      <w:lvlJc w:val="left"/>
      <w:pPr>
        <w:ind w:left="136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12" w15:restartNumberingAfterBreak="0">
    <w:nsid w:val="592D5B7F"/>
    <w:multiLevelType w:val="hybridMultilevel"/>
    <w:tmpl w:val="E5D82BF0"/>
    <w:lvl w:ilvl="0" w:tplc="D23031AC">
      <w:start w:val="1"/>
      <w:numFmt w:val="bullet"/>
      <w:lvlText w:val="–"/>
      <w:lvlJc w:val="left"/>
      <w:pPr>
        <w:ind w:left="720"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3" w15:restartNumberingAfterBreak="0">
    <w:nsid w:val="594F6D70"/>
    <w:multiLevelType w:val="hybridMultilevel"/>
    <w:tmpl w:val="6BB0C236"/>
    <w:lvl w:ilvl="0" w:tplc="5EA458C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4" w15:restartNumberingAfterBreak="0">
    <w:nsid w:val="5A123B57"/>
    <w:multiLevelType w:val="hybridMultilevel"/>
    <w:tmpl w:val="B66AB58E"/>
    <w:lvl w:ilvl="0" w:tplc="C068CEC2">
      <w:start w:val="1"/>
      <w:numFmt w:val="decimal"/>
      <w:lvlText w:val="%1."/>
      <w:lvlJc w:val="left"/>
      <w:pPr>
        <w:ind w:left="360"/>
      </w:pPr>
      <w:rPr>
        <w:rFonts w:ascii="Times New Roman" w:eastAsia="Verdana" w:hAnsi="Times New Roman" w:cs="Times New Roman" w:hint="default"/>
        <w:b w:val="0"/>
        <w:i w:val="0"/>
        <w:strike w:val="0"/>
        <w:dstrike w:val="0"/>
        <w:color w:val="000000"/>
        <w:sz w:val="20"/>
        <w:szCs w:val="20"/>
        <w:u w:val="none" w:color="000000"/>
        <w:bdr w:val="none" w:sz="0" w:space="0" w:color="auto"/>
        <w:shd w:val="clear" w:color="auto" w:fill="auto"/>
        <w:vertAlign w:val="baseline"/>
      </w:rPr>
    </w:lvl>
    <w:lvl w:ilvl="1" w:tplc="7DA0F866">
      <w:start w:val="1"/>
      <w:numFmt w:val="lowerLetter"/>
      <w:lvlText w:val="%2"/>
      <w:lvlJc w:val="left"/>
      <w:pPr>
        <w:ind w:left="114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03E4C218">
      <w:start w:val="1"/>
      <w:numFmt w:val="lowerRoman"/>
      <w:lvlText w:val="%3"/>
      <w:lvlJc w:val="left"/>
      <w:pPr>
        <w:ind w:left="186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BF1AF7A2">
      <w:start w:val="1"/>
      <w:numFmt w:val="decimal"/>
      <w:lvlText w:val="%4"/>
      <w:lvlJc w:val="left"/>
      <w:pPr>
        <w:ind w:left="258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DAE9FFA">
      <w:start w:val="1"/>
      <w:numFmt w:val="lowerLetter"/>
      <w:lvlText w:val="%5"/>
      <w:lvlJc w:val="left"/>
      <w:pPr>
        <w:ind w:left="330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AA7019EA">
      <w:start w:val="1"/>
      <w:numFmt w:val="lowerRoman"/>
      <w:lvlText w:val="%6"/>
      <w:lvlJc w:val="left"/>
      <w:pPr>
        <w:ind w:left="402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AAF869DE">
      <w:start w:val="1"/>
      <w:numFmt w:val="decimal"/>
      <w:lvlText w:val="%7"/>
      <w:lvlJc w:val="left"/>
      <w:pPr>
        <w:ind w:left="474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D3D2AE68">
      <w:start w:val="1"/>
      <w:numFmt w:val="lowerLetter"/>
      <w:lvlText w:val="%8"/>
      <w:lvlJc w:val="left"/>
      <w:pPr>
        <w:ind w:left="546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73283ADA">
      <w:start w:val="1"/>
      <w:numFmt w:val="lowerRoman"/>
      <w:lvlText w:val="%9"/>
      <w:lvlJc w:val="left"/>
      <w:pPr>
        <w:ind w:left="618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15" w15:restartNumberingAfterBreak="0">
    <w:nsid w:val="5A3A1D4F"/>
    <w:multiLevelType w:val="hybridMultilevel"/>
    <w:tmpl w:val="23D62332"/>
    <w:lvl w:ilvl="0" w:tplc="3DFAF4E4">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6" w15:restartNumberingAfterBreak="0">
    <w:nsid w:val="5A861169"/>
    <w:multiLevelType w:val="hybridMultilevel"/>
    <w:tmpl w:val="11D43898"/>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17" w15:restartNumberingAfterBreak="0">
    <w:nsid w:val="5A971DE2"/>
    <w:multiLevelType w:val="hybridMultilevel"/>
    <w:tmpl w:val="31BC6284"/>
    <w:lvl w:ilvl="0" w:tplc="D23031AC">
      <w:start w:val="1"/>
      <w:numFmt w:val="bullet"/>
      <w:lvlText w:val="–"/>
      <w:lvlJc w:val="left"/>
      <w:pPr>
        <w:ind w:left="720"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8" w15:restartNumberingAfterBreak="0">
    <w:nsid w:val="5B174225"/>
    <w:multiLevelType w:val="hybridMultilevel"/>
    <w:tmpl w:val="A59E51CC"/>
    <w:lvl w:ilvl="0" w:tplc="5B74FCBE">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0200BF4">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6CC9CFA">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5B8F9F2">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CAE1FC4">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598F09C">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32C6BBC">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EA0E9D6">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74C3FD4">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19" w15:restartNumberingAfterBreak="0">
    <w:nsid w:val="5B6A36BD"/>
    <w:multiLevelType w:val="hybridMultilevel"/>
    <w:tmpl w:val="4F2825E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0" w15:restartNumberingAfterBreak="0">
    <w:nsid w:val="5BFE7AEB"/>
    <w:multiLevelType w:val="hybridMultilevel"/>
    <w:tmpl w:val="D2A8342C"/>
    <w:lvl w:ilvl="0" w:tplc="F69087CC">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C3A6224">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690024A">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F761DAE">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2C436F0">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C200ED2">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BC25EB6">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8882C18">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56E9418">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1" w15:restartNumberingAfterBreak="0">
    <w:nsid w:val="5C3A56B2"/>
    <w:multiLevelType w:val="hybridMultilevel"/>
    <w:tmpl w:val="70CA62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2" w15:restartNumberingAfterBreak="0">
    <w:nsid w:val="5C851C53"/>
    <w:multiLevelType w:val="hybridMultilevel"/>
    <w:tmpl w:val="B908F11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3" w15:restartNumberingAfterBreak="0">
    <w:nsid w:val="5CD072BE"/>
    <w:multiLevelType w:val="hybridMultilevel"/>
    <w:tmpl w:val="4F7A5D64"/>
    <w:lvl w:ilvl="0" w:tplc="5DE0B692">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A9644B4">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052171E">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64E98A4">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3167A06">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B78EEFA">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A7E6A70">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72C2CCE">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E6A09E2">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4" w15:restartNumberingAfterBreak="0">
    <w:nsid w:val="5E80112D"/>
    <w:multiLevelType w:val="hybridMultilevel"/>
    <w:tmpl w:val="5EEE31A2"/>
    <w:lvl w:ilvl="0" w:tplc="5296D77C">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326" w15:restartNumberingAfterBreak="0">
    <w:nsid w:val="5F7B352B"/>
    <w:multiLevelType w:val="multilevel"/>
    <w:tmpl w:val="A8CADBB6"/>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vanish w:val="0"/>
        <w:position w:val="0"/>
        <w:sz w:val="22"/>
        <w:szCs w:val="22"/>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mallCaps w:val="0"/>
        <w:strike w:val="0"/>
        <w:dstrike w:val="0"/>
        <w:outline w:val="0"/>
        <w:shadow w:val="0"/>
        <w:vanish w:val="0"/>
        <w:position w:val="0"/>
        <w:sz w:val="20"/>
        <w:szCs w:val="24"/>
        <w:vertAlign w:val="baseline"/>
      </w:rPr>
    </w:lvl>
    <w:lvl w:ilvl="2">
      <w:start w:val="1"/>
      <w:numFmt w:val="decimal"/>
      <w:lvlText w:val="%1.%2.%3."/>
      <w:lvlJc w:val="left"/>
      <w:pPr>
        <w:tabs>
          <w:tab w:val="num" w:pos="993"/>
        </w:tabs>
        <w:ind w:left="993" w:hanging="851"/>
      </w:pPr>
      <w:rPr>
        <w:rFonts w:ascii="Times New Roman" w:hAnsi="Times New Roman" w:cs="Times New Roman" w:hint="default"/>
        <w:b/>
        <w:i w:val="0"/>
        <w:caps w:val="0"/>
        <w:smallCaps w:val="0"/>
        <w:strike w:val="0"/>
        <w:dstrike w:val="0"/>
        <w:outline w:val="0"/>
        <w:shadow w:val="0"/>
        <w:vanish w:val="0"/>
        <w:position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vanish w:val="0"/>
        <w:position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327" w15:restartNumberingAfterBreak="0">
    <w:nsid w:val="5F835EC4"/>
    <w:multiLevelType w:val="hybridMultilevel"/>
    <w:tmpl w:val="BDA05DD4"/>
    <w:lvl w:ilvl="0" w:tplc="1968F41C">
      <w:start w:val="81"/>
      <w:numFmt w:val="decimal"/>
      <w:lvlText w:val="%1. "/>
      <w:lvlJc w:val="left"/>
      <w:pPr>
        <w:ind w:left="502" w:hanging="360"/>
      </w:pPr>
      <w:rPr>
        <w:rFonts w:ascii="Times New Roman" w:hAnsi="Times New Roman" w:cs="Times New Roman" w:hint="default"/>
        <w:b w:val="0"/>
        <w:i w:val="0"/>
        <w:caps w:val="0"/>
        <w:strike w:val="0"/>
        <w:dstrike w:val="0"/>
        <w:outline w:val="0"/>
        <w:shadow w:val="0"/>
        <w:emboss w:val="0"/>
        <w:imprint w:val="0"/>
        <w:vanish w:val="0"/>
        <w:sz w:val="20"/>
        <w:szCs w:val="20"/>
        <w:u w:val="none"/>
        <w:vertAlign w:val="baseline"/>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28" w15:restartNumberingAfterBreak="0">
    <w:nsid w:val="5F8B132F"/>
    <w:multiLevelType w:val="hybridMultilevel"/>
    <w:tmpl w:val="43D25520"/>
    <w:lvl w:ilvl="0" w:tplc="76B806AC">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9" w15:restartNumberingAfterBreak="0">
    <w:nsid w:val="5FA3FD46"/>
    <w:multiLevelType w:val="multilevel"/>
    <w:tmpl w:val="0C7169DA"/>
    <w:lvl w:ilvl="0">
      <w:start w:val="1"/>
      <w:numFmt w:val="lowerLetter"/>
      <w:lvlText w:val="%1)"/>
      <w:lvlJc w:val="left"/>
      <w:pPr>
        <w:tabs>
          <w:tab w:val="num" w:pos="720"/>
        </w:tabs>
        <w:ind w:left="720" w:hanging="360"/>
      </w:pPr>
      <w:rPr>
        <w:rFonts w:ascii="Times New Roman" w:hAnsi="Times New Roman" w:cs="Times New Roman"/>
        <w:sz w:val="20"/>
        <w:szCs w:val="20"/>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330" w15:restartNumberingAfterBreak="0">
    <w:nsid w:val="602E040F"/>
    <w:multiLevelType w:val="multilevel"/>
    <w:tmpl w:val="570AACAC"/>
    <w:lvl w:ilvl="0">
      <w:start w:val="1"/>
      <w:numFmt w:val="decimal"/>
      <w:lvlText w:val="%1."/>
      <w:lvlJc w:val="left"/>
      <w:pPr>
        <w:ind w:left="0"/>
      </w:pPr>
      <w:rPr>
        <w:rFonts w:ascii="Times New Roman" w:eastAsia="Verdana"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0"/>
      </w:pPr>
      <w:rPr>
        <w:rFonts w:ascii="Times New Roman" w:eastAsia="Verdana"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331" w15:restartNumberingAfterBreak="0">
    <w:nsid w:val="604F0E68"/>
    <w:multiLevelType w:val="hybridMultilevel"/>
    <w:tmpl w:val="B32A0056"/>
    <w:lvl w:ilvl="0" w:tplc="5D7CF604">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32" w15:restartNumberingAfterBreak="0">
    <w:nsid w:val="608C2BC6"/>
    <w:multiLevelType w:val="hybridMultilevel"/>
    <w:tmpl w:val="218C7F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3" w15:restartNumberingAfterBreak="0">
    <w:nsid w:val="60A61D16"/>
    <w:multiLevelType w:val="hybridMultilevel"/>
    <w:tmpl w:val="394C646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4" w15:restartNumberingAfterBreak="0">
    <w:nsid w:val="61496AFE"/>
    <w:multiLevelType w:val="hybridMultilevel"/>
    <w:tmpl w:val="D02238A2"/>
    <w:lvl w:ilvl="0" w:tplc="D23031AC">
      <w:start w:val="1"/>
      <w:numFmt w:val="bullet"/>
      <w:lvlText w:val="–"/>
      <w:lvlJc w:val="left"/>
      <w:pPr>
        <w:tabs>
          <w:tab w:val="num" w:pos="1429"/>
        </w:tabs>
        <w:ind w:left="1429"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19" w:tentative="1">
      <w:start w:val="1"/>
      <w:numFmt w:val="lowerLetter"/>
      <w:lvlText w:val="%2."/>
      <w:lvlJc w:val="left"/>
      <w:pPr>
        <w:tabs>
          <w:tab w:val="num" w:pos="2149"/>
        </w:tabs>
        <w:ind w:left="2149" w:hanging="360"/>
      </w:pPr>
    </w:lvl>
    <w:lvl w:ilvl="2" w:tplc="0415001B" w:tentative="1">
      <w:start w:val="1"/>
      <w:numFmt w:val="lowerRoman"/>
      <w:lvlText w:val="%3."/>
      <w:lvlJc w:val="right"/>
      <w:pPr>
        <w:tabs>
          <w:tab w:val="num" w:pos="2869"/>
        </w:tabs>
        <w:ind w:left="2869" w:hanging="180"/>
      </w:pPr>
    </w:lvl>
    <w:lvl w:ilvl="3" w:tplc="0415000F" w:tentative="1">
      <w:start w:val="1"/>
      <w:numFmt w:val="decimal"/>
      <w:lvlText w:val="%4."/>
      <w:lvlJc w:val="left"/>
      <w:pPr>
        <w:tabs>
          <w:tab w:val="num" w:pos="3589"/>
        </w:tabs>
        <w:ind w:left="3589" w:hanging="360"/>
      </w:pPr>
    </w:lvl>
    <w:lvl w:ilvl="4" w:tplc="04150019" w:tentative="1">
      <w:start w:val="1"/>
      <w:numFmt w:val="lowerLetter"/>
      <w:lvlText w:val="%5."/>
      <w:lvlJc w:val="left"/>
      <w:pPr>
        <w:tabs>
          <w:tab w:val="num" w:pos="4309"/>
        </w:tabs>
        <w:ind w:left="4309" w:hanging="360"/>
      </w:pPr>
    </w:lvl>
    <w:lvl w:ilvl="5" w:tplc="0415001B" w:tentative="1">
      <w:start w:val="1"/>
      <w:numFmt w:val="lowerRoman"/>
      <w:lvlText w:val="%6."/>
      <w:lvlJc w:val="right"/>
      <w:pPr>
        <w:tabs>
          <w:tab w:val="num" w:pos="5029"/>
        </w:tabs>
        <w:ind w:left="5029" w:hanging="180"/>
      </w:pPr>
    </w:lvl>
    <w:lvl w:ilvl="6" w:tplc="0415000F" w:tentative="1">
      <w:start w:val="1"/>
      <w:numFmt w:val="decimal"/>
      <w:lvlText w:val="%7."/>
      <w:lvlJc w:val="left"/>
      <w:pPr>
        <w:tabs>
          <w:tab w:val="num" w:pos="5749"/>
        </w:tabs>
        <w:ind w:left="5749" w:hanging="360"/>
      </w:pPr>
    </w:lvl>
    <w:lvl w:ilvl="7" w:tplc="04150019" w:tentative="1">
      <w:start w:val="1"/>
      <w:numFmt w:val="lowerLetter"/>
      <w:lvlText w:val="%8."/>
      <w:lvlJc w:val="left"/>
      <w:pPr>
        <w:tabs>
          <w:tab w:val="num" w:pos="6469"/>
        </w:tabs>
        <w:ind w:left="6469" w:hanging="360"/>
      </w:pPr>
    </w:lvl>
    <w:lvl w:ilvl="8" w:tplc="0415001B" w:tentative="1">
      <w:start w:val="1"/>
      <w:numFmt w:val="lowerRoman"/>
      <w:lvlText w:val="%9."/>
      <w:lvlJc w:val="right"/>
      <w:pPr>
        <w:tabs>
          <w:tab w:val="num" w:pos="7189"/>
        </w:tabs>
        <w:ind w:left="7189" w:hanging="180"/>
      </w:pPr>
    </w:lvl>
  </w:abstractNum>
  <w:abstractNum w:abstractNumId="335" w15:restartNumberingAfterBreak="0">
    <w:nsid w:val="61BD65C0"/>
    <w:multiLevelType w:val="hybridMultilevel"/>
    <w:tmpl w:val="4B78A84C"/>
    <w:lvl w:ilvl="0" w:tplc="1564F36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36" w15:restartNumberingAfterBreak="0">
    <w:nsid w:val="623718E7"/>
    <w:multiLevelType w:val="hybridMultilevel"/>
    <w:tmpl w:val="004EF25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37" w15:restartNumberingAfterBreak="0">
    <w:nsid w:val="623C69C3"/>
    <w:multiLevelType w:val="hybridMultilevel"/>
    <w:tmpl w:val="31A4E416"/>
    <w:lvl w:ilvl="0" w:tplc="CFBE48E6">
      <w:start w:val="1"/>
      <w:numFmt w:val="bullet"/>
      <w:lvlText w:val="–"/>
      <w:lvlJc w:val="left"/>
      <w:pPr>
        <w:ind w:left="7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2025B42">
      <w:start w:val="1"/>
      <w:numFmt w:val="bullet"/>
      <w:lvlText w:val="o"/>
      <w:lvlJc w:val="left"/>
      <w:pPr>
        <w:ind w:left="143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EF23BB4">
      <w:start w:val="1"/>
      <w:numFmt w:val="bullet"/>
      <w:lvlText w:val="▪"/>
      <w:lvlJc w:val="left"/>
      <w:pPr>
        <w:ind w:left="215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EED02C44">
      <w:start w:val="1"/>
      <w:numFmt w:val="bullet"/>
      <w:lvlText w:val="•"/>
      <w:lvlJc w:val="left"/>
      <w:pPr>
        <w:ind w:left="287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92E4A2C8">
      <w:start w:val="1"/>
      <w:numFmt w:val="bullet"/>
      <w:lvlText w:val="o"/>
      <w:lvlJc w:val="left"/>
      <w:pPr>
        <w:ind w:left="359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70B8D980">
      <w:start w:val="1"/>
      <w:numFmt w:val="bullet"/>
      <w:lvlText w:val="▪"/>
      <w:lvlJc w:val="left"/>
      <w:pPr>
        <w:ind w:left="431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7C6CDD62">
      <w:start w:val="1"/>
      <w:numFmt w:val="bullet"/>
      <w:lvlText w:val="•"/>
      <w:lvlJc w:val="left"/>
      <w:pPr>
        <w:ind w:left="503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4887542">
      <w:start w:val="1"/>
      <w:numFmt w:val="bullet"/>
      <w:lvlText w:val="o"/>
      <w:lvlJc w:val="left"/>
      <w:pPr>
        <w:ind w:left="575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D0C24B36">
      <w:start w:val="1"/>
      <w:numFmt w:val="bullet"/>
      <w:lvlText w:val="▪"/>
      <w:lvlJc w:val="left"/>
      <w:pPr>
        <w:ind w:left="647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38" w15:restartNumberingAfterBreak="0">
    <w:nsid w:val="625117A7"/>
    <w:multiLevelType w:val="hybridMultilevel"/>
    <w:tmpl w:val="2D625F14"/>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D6C4D476">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DAE5ABA">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82EBC3C">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64DB4C">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4F49A2A">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E0483FC">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A262E4">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762B8B4">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39" w15:restartNumberingAfterBreak="0">
    <w:nsid w:val="63BA249E"/>
    <w:multiLevelType w:val="hybridMultilevel"/>
    <w:tmpl w:val="9482CF8E"/>
    <w:lvl w:ilvl="0" w:tplc="480C6524">
      <w:start w:val="1"/>
      <w:numFmt w:val="lowerLetter"/>
      <w:pStyle w:val="a"/>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C386889C">
      <w:start w:val="1"/>
      <w:numFmt w:val="decimal"/>
      <w:lvlText w:val="%4."/>
      <w:lvlJc w:val="left"/>
      <w:pPr>
        <w:ind w:left="3225" w:hanging="705"/>
      </w:pPr>
      <w:rPr>
        <w:rFonts w:hint="default"/>
      </w:rPr>
    </w:lvl>
    <w:lvl w:ilvl="4" w:tplc="0B702818">
      <w:start w:val="1"/>
      <w:numFmt w:val="decimal"/>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15:restartNumberingAfterBreak="0">
    <w:nsid w:val="63BB3E14"/>
    <w:multiLevelType w:val="hybridMultilevel"/>
    <w:tmpl w:val="9076846C"/>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1" w15:restartNumberingAfterBreak="0">
    <w:nsid w:val="63DA71B4"/>
    <w:multiLevelType w:val="multilevel"/>
    <w:tmpl w:val="89504F6A"/>
    <w:lvl w:ilvl="0">
      <w:start w:val="1"/>
      <w:numFmt w:val="bullet"/>
      <w:lvlText w:val="–"/>
      <w:lvlJc w:val="left"/>
      <w:pPr>
        <w:tabs>
          <w:tab w:val="num" w:pos="424"/>
        </w:tabs>
        <w:ind w:left="424" w:hanging="283"/>
      </w:pPr>
      <w:rPr>
        <w:rFonts w:ascii="Times New Roman" w:hAnsi="Times New Roman" w:cs="Times New Roman"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2" w15:restartNumberingAfterBreak="0">
    <w:nsid w:val="63F21572"/>
    <w:multiLevelType w:val="hybridMultilevel"/>
    <w:tmpl w:val="337C80DE"/>
    <w:lvl w:ilvl="0" w:tplc="25965FB0">
      <w:start w:val="1"/>
      <w:numFmt w:val="bullet"/>
      <w:lvlText w:val="–"/>
      <w:lvlJc w:val="left"/>
      <w:pPr>
        <w:tabs>
          <w:tab w:val="num" w:pos="284"/>
        </w:tabs>
        <w:ind w:left="284" w:hanging="284"/>
      </w:pPr>
      <w:rPr>
        <w:rFonts w:ascii="Times New Roman" w:hAnsi="Times New Roman" w:cs="Times New Roman" w:hint="default"/>
      </w:rPr>
    </w:lvl>
    <w:lvl w:ilvl="1" w:tplc="FE1AC52A">
      <w:start w:val="1"/>
      <w:numFmt w:val="lowerLetter"/>
      <w:lvlText w:val="%2)"/>
      <w:lvlJc w:val="left"/>
      <w:pPr>
        <w:tabs>
          <w:tab w:val="num" w:pos="1457"/>
        </w:tabs>
        <w:ind w:left="1457" w:hanging="377"/>
      </w:pPr>
      <w:rPr>
        <w:rFonts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644D2082"/>
    <w:multiLevelType w:val="singleLevel"/>
    <w:tmpl w:val="AE045E20"/>
    <w:lvl w:ilvl="0">
      <w:start w:val="1"/>
      <w:numFmt w:val="decimal"/>
      <w:lvlText w:val="%1."/>
      <w:legacy w:legacy="1" w:legacySpace="0" w:legacyIndent="283"/>
      <w:lvlJc w:val="left"/>
      <w:pPr>
        <w:ind w:left="283" w:hanging="283"/>
      </w:pPr>
    </w:lvl>
  </w:abstractNum>
  <w:abstractNum w:abstractNumId="344" w15:restartNumberingAfterBreak="0">
    <w:nsid w:val="6460851C"/>
    <w:multiLevelType w:val="multilevel"/>
    <w:tmpl w:val="26F28374"/>
    <w:lvl w:ilvl="0">
      <w:start w:val="1"/>
      <w:numFmt w:val="decimal"/>
      <w:lvlText w:val="%1."/>
      <w:lvlJc w:val="left"/>
      <w:pPr>
        <w:tabs>
          <w:tab w:val="num" w:pos="360"/>
        </w:tabs>
        <w:ind w:left="360" w:hanging="360"/>
      </w:pPr>
      <w:rPr>
        <w:rFonts w:ascii="Arial" w:hAnsi="Arial" w:cs="Arial"/>
        <w:b/>
        <w:bCs/>
        <w:sz w:val="20"/>
        <w:szCs w:val="20"/>
      </w:rPr>
    </w:lvl>
    <w:lvl w:ilvl="1">
      <w:start w:val="1"/>
      <w:numFmt w:val="decimal"/>
      <w:isLgl/>
      <w:lvlText w:val="%2.%2."/>
      <w:lvlJc w:val="left"/>
      <w:pPr>
        <w:tabs>
          <w:tab w:val="num" w:pos="420"/>
        </w:tabs>
        <w:ind w:left="420" w:hanging="420"/>
      </w:pPr>
      <w:rPr>
        <w:rFonts w:ascii="Times New Roman" w:hAnsi="Times New Roman" w:cs="Times New Roman"/>
        <w:b/>
        <w:bCs/>
        <w:sz w:val="18"/>
        <w:szCs w:val="18"/>
      </w:rPr>
    </w:lvl>
    <w:lvl w:ilvl="2">
      <w:start w:val="1"/>
      <w:numFmt w:val="decimal"/>
      <w:isLgl/>
      <w:lvlText w:val="%1.%2.%3."/>
      <w:lvlJc w:val="left"/>
      <w:pPr>
        <w:tabs>
          <w:tab w:val="num" w:pos="720"/>
        </w:tabs>
        <w:ind w:left="720" w:hanging="720"/>
      </w:pPr>
      <w:rPr>
        <w:rFonts w:ascii="Times New Roman" w:hAnsi="Times New Roman" w:cs="Times New Roman"/>
        <w:sz w:val="24"/>
        <w:szCs w:val="24"/>
      </w:rPr>
    </w:lvl>
    <w:lvl w:ilvl="3">
      <w:start w:val="1"/>
      <w:numFmt w:val="decimal"/>
      <w:isLgl/>
      <w:lvlText w:val="%1.%2.%3.%4."/>
      <w:lvlJc w:val="left"/>
      <w:pPr>
        <w:tabs>
          <w:tab w:val="num" w:pos="720"/>
        </w:tabs>
        <w:ind w:left="720" w:hanging="720"/>
      </w:pPr>
      <w:rPr>
        <w:rFonts w:ascii="Times New Roman" w:hAnsi="Times New Roman" w:cs="Times New Roman"/>
        <w:sz w:val="24"/>
        <w:szCs w:val="24"/>
      </w:rPr>
    </w:lvl>
    <w:lvl w:ilvl="4">
      <w:start w:val="1"/>
      <w:numFmt w:val="decimal"/>
      <w:isLgl/>
      <w:lvlText w:val="%1.%2.%3.%4.%5."/>
      <w:lvlJc w:val="left"/>
      <w:pPr>
        <w:tabs>
          <w:tab w:val="num" w:pos="1080"/>
        </w:tabs>
        <w:ind w:left="1080" w:hanging="1080"/>
      </w:pPr>
      <w:rPr>
        <w:rFonts w:ascii="Times New Roman" w:hAnsi="Times New Roman" w:cs="Times New Roman"/>
        <w:sz w:val="24"/>
        <w:szCs w:val="24"/>
      </w:rPr>
    </w:lvl>
    <w:lvl w:ilvl="5">
      <w:start w:val="1"/>
      <w:numFmt w:val="decimal"/>
      <w:isLgl/>
      <w:lvlText w:val="%1.%2.%3.%4.%5.%6."/>
      <w:lvlJc w:val="left"/>
      <w:pPr>
        <w:tabs>
          <w:tab w:val="num" w:pos="1080"/>
        </w:tabs>
        <w:ind w:left="1080" w:hanging="1080"/>
      </w:pPr>
      <w:rPr>
        <w:rFonts w:ascii="Times New Roman" w:hAnsi="Times New Roman" w:cs="Times New Roman"/>
        <w:sz w:val="24"/>
        <w:szCs w:val="24"/>
      </w:rPr>
    </w:lvl>
    <w:lvl w:ilvl="6">
      <w:start w:val="1"/>
      <w:numFmt w:val="decimal"/>
      <w:isLgl/>
      <w:lvlText w:val="%1.%2.%3.%4.%5.%6.%7."/>
      <w:lvlJc w:val="left"/>
      <w:pPr>
        <w:tabs>
          <w:tab w:val="num" w:pos="1080"/>
        </w:tabs>
        <w:ind w:left="1080" w:hanging="1080"/>
      </w:pPr>
      <w:rPr>
        <w:rFonts w:ascii="Times New Roman" w:hAnsi="Times New Roman" w:cs="Times New Roman"/>
        <w:sz w:val="24"/>
        <w:szCs w:val="24"/>
      </w:rPr>
    </w:lvl>
    <w:lvl w:ilvl="7">
      <w:start w:val="1"/>
      <w:numFmt w:val="decimal"/>
      <w:isLgl/>
      <w:lvlText w:val="%1.%2.%3.%4.%5.%6.%7.%8."/>
      <w:lvlJc w:val="left"/>
      <w:pPr>
        <w:tabs>
          <w:tab w:val="num" w:pos="1440"/>
        </w:tabs>
        <w:ind w:left="1440" w:hanging="1440"/>
      </w:pPr>
      <w:rPr>
        <w:rFonts w:ascii="Times New Roman" w:hAnsi="Times New Roman" w:cs="Times New Roman"/>
        <w:sz w:val="24"/>
        <w:szCs w:val="24"/>
      </w:rPr>
    </w:lvl>
    <w:lvl w:ilvl="8">
      <w:start w:val="1"/>
      <w:numFmt w:val="decimal"/>
      <w:isLgl/>
      <w:lvlText w:val="%1.%2.%3.%4.%5.%6.%7.%8.%9."/>
      <w:lvlJc w:val="left"/>
      <w:pPr>
        <w:tabs>
          <w:tab w:val="num" w:pos="1440"/>
        </w:tabs>
        <w:ind w:left="1440" w:hanging="1440"/>
      </w:pPr>
      <w:rPr>
        <w:rFonts w:ascii="Times New Roman" w:hAnsi="Times New Roman" w:cs="Times New Roman"/>
        <w:sz w:val="24"/>
        <w:szCs w:val="24"/>
      </w:rPr>
    </w:lvl>
  </w:abstractNum>
  <w:abstractNum w:abstractNumId="345" w15:restartNumberingAfterBreak="0">
    <w:nsid w:val="65C91163"/>
    <w:multiLevelType w:val="hybridMultilevel"/>
    <w:tmpl w:val="7E3ADA18"/>
    <w:lvl w:ilvl="0" w:tplc="7D047972">
      <w:start w:val="1"/>
      <w:numFmt w:val="bullet"/>
      <w:lvlText w:val="–"/>
      <w:lvlJc w:val="left"/>
      <w:pPr>
        <w:ind w:left="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974851B2">
      <w:start w:val="1"/>
      <w:numFmt w:val="bullet"/>
      <w:lvlText w:val="o"/>
      <w:lvlJc w:val="left"/>
      <w:pPr>
        <w:ind w:left="1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320EE86">
      <w:start w:val="1"/>
      <w:numFmt w:val="bullet"/>
      <w:lvlText w:val="▪"/>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29760D48">
      <w:start w:val="1"/>
      <w:numFmt w:val="bullet"/>
      <w:lvlText w:val="•"/>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E846655C">
      <w:start w:val="1"/>
      <w:numFmt w:val="bullet"/>
      <w:lvlText w:val="o"/>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EF38E9BC">
      <w:start w:val="1"/>
      <w:numFmt w:val="bullet"/>
      <w:lvlText w:val="▪"/>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509E3EC6">
      <w:start w:val="1"/>
      <w:numFmt w:val="bullet"/>
      <w:lvlText w:val="•"/>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AC6EA984">
      <w:start w:val="1"/>
      <w:numFmt w:val="bullet"/>
      <w:lvlText w:val="o"/>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A5ECDF66">
      <w:start w:val="1"/>
      <w:numFmt w:val="bullet"/>
      <w:lvlText w:val="▪"/>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46" w15:restartNumberingAfterBreak="0">
    <w:nsid w:val="65E9591D"/>
    <w:multiLevelType w:val="multilevel"/>
    <w:tmpl w:val="61986E68"/>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emboss w:val="0"/>
        <w:imprint w:val="0"/>
        <w:vanish w:val="0"/>
        <w:sz w:val="28"/>
        <w:szCs w:val="28"/>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4"/>
        <w:vertAlign w:val="baseline"/>
      </w:rPr>
    </w:lvl>
    <w:lvl w:ilvl="2">
      <w:start w:val="1"/>
      <w:numFmt w:val="decimal"/>
      <w:lvlText w:val="%1.%2.%3."/>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347" w15:restartNumberingAfterBreak="0">
    <w:nsid w:val="660221FA"/>
    <w:multiLevelType w:val="hybridMultilevel"/>
    <w:tmpl w:val="5366077E"/>
    <w:lvl w:ilvl="0" w:tplc="7B98ECAA">
      <w:start w:val="2"/>
      <w:numFmt w:val="lowerLetter"/>
      <w:lvlText w:val="%1)"/>
      <w:lvlJc w:val="left"/>
      <w:pPr>
        <w:tabs>
          <w:tab w:val="num" w:pos="1077"/>
        </w:tabs>
        <w:ind w:left="136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8" w15:restartNumberingAfterBreak="0">
    <w:nsid w:val="66CC77E9"/>
    <w:multiLevelType w:val="multilevel"/>
    <w:tmpl w:val="8FBC8148"/>
    <w:lvl w:ilvl="0">
      <w:start w:val="1"/>
      <w:numFmt w:val="decimal"/>
      <w:lvlText w:val="%1."/>
      <w:lvlJc w:val="left"/>
      <w:pPr>
        <w:ind w:left="360" w:hanging="360"/>
      </w:pPr>
    </w:lvl>
    <w:lvl w:ilvl="1">
      <w:start w:val="1"/>
      <w:numFmt w:val="decimal"/>
      <w:lvlText w:val="%1.%2."/>
      <w:lvlJc w:val="left"/>
      <w:pPr>
        <w:ind w:left="6245" w:hanging="432"/>
      </w:pPr>
      <w:rPr>
        <w:b/>
      </w:r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9" w15:restartNumberingAfterBreak="0">
    <w:nsid w:val="672004E3"/>
    <w:multiLevelType w:val="hybridMultilevel"/>
    <w:tmpl w:val="6C70A47E"/>
    <w:lvl w:ilvl="0" w:tplc="FAD6A726">
      <w:start w:val="1"/>
      <w:numFmt w:val="bullet"/>
      <w:lvlText w:val="–"/>
      <w:lvlJc w:val="left"/>
      <w:pPr>
        <w:tabs>
          <w:tab w:val="num" w:pos="170"/>
        </w:tabs>
        <w:ind w:left="170" w:hanging="17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677125A1"/>
    <w:multiLevelType w:val="hybridMultilevel"/>
    <w:tmpl w:val="ACD87EEE"/>
    <w:lvl w:ilvl="0" w:tplc="FAD6A726">
      <w:start w:val="1"/>
      <w:numFmt w:val="bullet"/>
      <w:lvlText w:val="–"/>
      <w:lvlJc w:val="left"/>
      <w:pPr>
        <w:tabs>
          <w:tab w:val="num" w:pos="170"/>
        </w:tabs>
        <w:ind w:left="170" w:hanging="17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679B6EC4"/>
    <w:multiLevelType w:val="hybridMultilevel"/>
    <w:tmpl w:val="544E8BB2"/>
    <w:lvl w:ilvl="0" w:tplc="B1522DA4">
      <w:start w:val="5"/>
      <w:numFmt w:val="decimal"/>
      <w:lvlText w:val="%1."/>
      <w:lvlJc w:val="left"/>
      <w:pPr>
        <w:ind w:left="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1" w:tplc="35F0CA9E">
      <w:start w:val="1"/>
      <w:numFmt w:val="lowerLetter"/>
      <w:lvlText w:val="%2"/>
      <w:lvlJc w:val="left"/>
      <w:pPr>
        <w:ind w:left="11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2" w:tplc="ABB6E7FE">
      <w:start w:val="1"/>
      <w:numFmt w:val="lowerRoman"/>
      <w:lvlText w:val="%3"/>
      <w:lvlJc w:val="left"/>
      <w:pPr>
        <w:ind w:left="18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3" w:tplc="BC884D1A">
      <w:start w:val="1"/>
      <w:numFmt w:val="decimal"/>
      <w:lvlText w:val="%4"/>
      <w:lvlJc w:val="left"/>
      <w:pPr>
        <w:ind w:left="25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4" w:tplc="49024B56">
      <w:start w:val="1"/>
      <w:numFmt w:val="lowerLetter"/>
      <w:lvlText w:val="%5"/>
      <w:lvlJc w:val="left"/>
      <w:pPr>
        <w:ind w:left="331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5" w:tplc="8B06E01C">
      <w:start w:val="1"/>
      <w:numFmt w:val="lowerRoman"/>
      <w:lvlText w:val="%6"/>
      <w:lvlJc w:val="left"/>
      <w:pPr>
        <w:ind w:left="403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6" w:tplc="0DEC754A">
      <w:start w:val="1"/>
      <w:numFmt w:val="decimal"/>
      <w:lvlText w:val="%7"/>
      <w:lvlJc w:val="left"/>
      <w:pPr>
        <w:ind w:left="475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7" w:tplc="FA7C092A">
      <w:start w:val="1"/>
      <w:numFmt w:val="lowerLetter"/>
      <w:lvlText w:val="%8"/>
      <w:lvlJc w:val="left"/>
      <w:pPr>
        <w:ind w:left="547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lvl w:ilvl="8" w:tplc="EFAC5B66">
      <w:start w:val="1"/>
      <w:numFmt w:val="lowerRoman"/>
      <w:lvlText w:val="%9"/>
      <w:lvlJc w:val="left"/>
      <w:pPr>
        <w:ind w:left="6190"/>
      </w:pPr>
      <w:rPr>
        <w:rFonts w:ascii="Verdana" w:eastAsia="Verdana" w:hAnsi="Verdana" w:cs="Verdana"/>
        <w:b w:val="0"/>
        <w:i w:val="0"/>
        <w:strike w:val="0"/>
        <w:dstrike w:val="0"/>
        <w:color w:val="000000"/>
        <w:sz w:val="16"/>
        <w:szCs w:val="16"/>
        <w:u w:val="none" w:color="000000"/>
        <w:bdr w:val="none" w:sz="0" w:space="0" w:color="auto"/>
        <w:shd w:val="clear" w:color="auto" w:fill="auto"/>
        <w:vertAlign w:val="baseline"/>
      </w:rPr>
    </w:lvl>
  </w:abstractNum>
  <w:abstractNum w:abstractNumId="352" w15:restartNumberingAfterBreak="0">
    <w:nsid w:val="688F0566"/>
    <w:multiLevelType w:val="multilevel"/>
    <w:tmpl w:val="17B4C1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3" w15:restartNumberingAfterBreak="0">
    <w:nsid w:val="68901A92"/>
    <w:multiLevelType w:val="hybridMultilevel"/>
    <w:tmpl w:val="12EC2FE8"/>
    <w:name w:val="Lista STWiORB32"/>
    <w:lvl w:ilvl="0" w:tplc="04150005">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15:restartNumberingAfterBreak="0">
    <w:nsid w:val="68EC77B0"/>
    <w:multiLevelType w:val="hybridMultilevel"/>
    <w:tmpl w:val="FD86C1A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5" w15:restartNumberingAfterBreak="0">
    <w:nsid w:val="68F370EC"/>
    <w:multiLevelType w:val="hybridMultilevel"/>
    <w:tmpl w:val="D4845084"/>
    <w:lvl w:ilvl="0" w:tplc="69648850">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6C28A7C">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6E067A8">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868E16E">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9A06808">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C4C63CE">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2C4D0B2">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7BEE9F6">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DE019F4">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56" w15:restartNumberingAfterBreak="0">
    <w:nsid w:val="69077A7F"/>
    <w:multiLevelType w:val="hybridMultilevel"/>
    <w:tmpl w:val="7DE8CCB6"/>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D82EFB46">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078CF04">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0D601FE">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B98B4EE">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920305C">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184AF42">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062D4A2">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0C6E350">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57" w15:restartNumberingAfterBreak="0">
    <w:nsid w:val="6A034C55"/>
    <w:multiLevelType w:val="hybridMultilevel"/>
    <w:tmpl w:val="3800D0AE"/>
    <w:lvl w:ilvl="0" w:tplc="5E0A110E">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42889B6">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4164990">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482990E">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5C4EC3A">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50C8B74">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406217E">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BAECCEA">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0402AE4">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58" w15:restartNumberingAfterBreak="0">
    <w:nsid w:val="6A132E11"/>
    <w:multiLevelType w:val="hybridMultilevel"/>
    <w:tmpl w:val="DF2C5680"/>
    <w:lvl w:ilvl="0" w:tplc="C3DC8500">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AA4AC28">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014FD0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99E9E04">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C48804C">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20C6862">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A5E094A">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C70C5EA">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ABA1E40">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59" w15:restartNumberingAfterBreak="0">
    <w:nsid w:val="6A1D358B"/>
    <w:multiLevelType w:val="singleLevel"/>
    <w:tmpl w:val="817E613E"/>
    <w:lvl w:ilvl="0">
      <w:start w:val="44"/>
      <w:numFmt w:val="decimal"/>
      <w:lvlText w:val="%1."/>
      <w:legacy w:legacy="1" w:legacySpace="0" w:legacyIndent="283"/>
      <w:lvlJc w:val="left"/>
      <w:pPr>
        <w:ind w:left="283" w:hanging="283"/>
      </w:pPr>
    </w:lvl>
  </w:abstractNum>
  <w:abstractNum w:abstractNumId="360" w15:restartNumberingAfterBreak="0">
    <w:nsid w:val="6A271F7D"/>
    <w:multiLevelType w:val="hybridMultilevel"/>
    <w:tmpl w:val="57C6C31C"/>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61" w15:restartNumberingAfterBreak="0">
    <w:nsid w:val="6A5D4B8A"/>
    <w:multiLevelType w:val="hybridMultilevel"/>
    <w:tmpl w:val="5BEE0B46"/>
    <w:lvl w:ilvl="0" w:tplc="D23031AC">
      <w:start w:val="1"/>
      <w:numFmt w:val="bullet"/>
      <w:lvlText w:val="–"/>
      <w:lvlJc w:val="left"/>
      <w:pPr>
        <w:ind w:left="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161A3D66">
      <w:start w:val="1"/>
      <w:numFmt w:val="bullet"/>
      <w:lvlText w:val="o"/>
      <w:lvlJc w:val="left"/>
      <w:pPr>
        <w:ind w:left="1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102FE3E">
      <w:start w:val="1"/>
      <w:numFmt w:val="bullet"/>
      <w:lvlText w:val="▪"/>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47CE08C2">
      <w:start w:val="1"/>
      <w:numFmt w:val="bullet"/>
      <w:lvlText w:val="•"/>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6302ABE8">
      <w:start w:val="1"/>
      <w:numFmt w:val="bullet"/>
      <w:lvlText w:val="o"/>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7DFEF9C0">
      <w:start w:val="1"/>
      <w:numFmt w:val="bullet"/>
      <w:lvlText w:val="▪"/>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DFDA6224">
      <w:start w:val="1"/>
      <w:numFmt w:val="bullet"/>
      <w:lvlText w:val="•"/>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58EE2376">
      <w:start w:val="1"/>
      <w:numFmt w:val="bullet"/>
      <w:lvlText w:val="o"/>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D74AF102">
      <w:start w:val="1"/>
      <w:numFmt w:val="bullet"/>
      <w:lvlText w:val="▪"/>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62" w15:restartNumberingAfterBreak="0">
    <w:nsid w:val="6A8718EF"/>
    <w:multiLevelType w:val="hybridMultilevel"/>
    <w:tmpl w:val="7D50F170"/>
    <w:lvl w:ilvl="0" w:tplc="A1F01430">
      <w:start w:val="1"/>
      <w:numFmt w:val="decimal"/>
      <w:lvlText w:val="%1)"/>
      <w:lvlJc w:val="left"/>
      <w:pPr>
        <w:tabs>
          <w:tab w:val="num" w:pos="720"/>
        </w:tabs>
        <w:ind w:left="720" w:hanging="360"/>
      </w:pPr>
      <w:rPr>
        <w:rFonts w:ascii="Times New Roman" w:hAnsi="Times New Roman" w:cs="Times New Roman" w:hint="default"/>
        <w:b w:val="0"/>
        <w:i w:val="0"/>
        <w:sz w:val="20"/>
        <w:u w:val="no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3" w15:restartNumberingAfterBreak="0">
    <w:nsid w:val="6AFE6BB3"/>
    <w:multiLevelType w:val="hybridMultilevel"/>
    <w:tmpl w:val="71180A5C"/>
    <w:lvl w:ilvl="0" w:tplc="2C4A92C6">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4" w15:restartNumberingAfterBreak="0">
    <w:nsid w:val="6B637B16"/>
    <w:multiLevelType w:val="hybridMultilevel"/>
    <w:tmpl w:val="A87E8894"/>
    <w:lvl w:ilvl="0" w:tplc="19380292">
      <w:start w:val="1"/>
      <w:numFmt w:val="lowerLetter"/>
      <w:lvlText w:val="%1)"/>
      <w:lvlJc w:val="left"/>
      <w:pPr>
        <w:ind w:left="12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E7401A30">
      <w:start w:val="1"/>
      <w:numFmt w:val="lowerLetter"/>
      <w:lvlText w:val="%2"/>
      <w:lvlJc w:val="left"/>
      <w:pPr>
        <w:ind w:left="19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EA6E0B6E">
      <w:start w:val="1"/>
      <w:numFmt w:val="lowerRoman"/>
      <w:lvlText w:val="%3"/>
      <w:lvlJc w:val="left"/>
      <w:pPr>
        <w:ind w:left="26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EE1682E6">
      <w:start w:val="1"/>
      <w:numFmt w:val="decimal"/>
      <w:lvlText w:val="%4"/>
      <w:lvlJc w:val="left"/>
      <w:pPr>
        <w:ind w:left="33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6DA8F98">
      <w:start w:val="1"/>
      <w:numFmt w:val="lowerLetter"/>
      <w:lvlText w:val="%5"/>
      <w:lvlJc w:val="left"/>
      <w:pPr>
        <w:ind w:left="409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36665462">
      <w:start w:val="1"/>
      <w:numFmt w:val="lowerRoman"/>
      <w:lvlText w:val="%6"/>
      <w:lvlJc w:val="left"/>
      <w:pPr>
        <w:ind w:left="481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B20043E0">
      <w:start w:val="1"/>
      <w:numFmt w:val="decimal"/>
      <w:lvlText w:val="%7"/>
      <w:lvlJc w:val="left"/>
      <w:pPr>
        <w:ind w:left="553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56CD082">
      <w:start w:val="1"/>
      <w:numFmt w:val="lowerLetter"/>
      <w:lvlText w:val="%8"/>
      <w:lvlJc w:val="left"/>
      <w:pPr>
        <w:ind w:left="625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C7661978">
      <w:start w:val="1"/>
      <w:numFmt w:val="lowerRoman"/>
      <w:lvlText w:val="%9"/>
      <w:lvlJc w:val="left"/>
      <w:pPr>
        <w:ind w:left="6972"/>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65" w15:restartNumberingAfterBreak="0">
    <w:nsid w:val="6B6E2E14"/>
    <w:multiLevelType w:val="hybridMultilevel"/>
    <w:tmpl w:val="FECEBD6E"/>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6C1A7407"/>
    <w:multiLevelType w:val="hybridMultilevel"/>
    <w:tmpl w:val="19A4F5FA"/>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7" w15:restartNumberingAfterBreak="0">
    <w:nsid w:val="6C357E7C"/>
    <w:multiLevelType w:val="hybridMultilevel"/>
    <w:tmpl w:val="622CC09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8" w15:restartNumberingAfterBreak="0">
    <w:nsid w:val="6C4F6E2B"/>
    <w:multiLevelType w:val="singleLevel"/>
    <w:tmpl w:val="E1760ACE"/>
    <w:lvl w:ilvl="0">
      <w:start w:val="1"/>
      <w:numFmt w:val="lowerLetter"/>
      <w:lvlText w:val="%1)"/>
      <w:legacy w:legacy="1" w:legacySpace="0" w:legacyIndent="283"/>
      <w:lvlJc w:val="left"/>
      <w:pPr>
        <w:ind w:left="283" w:hanging="283"/>
      </w:pPr>
    </w:lvl>
  </w:abstractNum>
  <w:abstractNum w:abstractNumId="369" w15:restartNumberingAfterBreak="0">
    <w:nsid w:val="6CD5018F"/>
    <w:multiLevelType w:val="hybridMultilevel"/>
    <w:tmpl w:val="1812B146"/>
    <w:lvl w:ilvl="0" w:tplc="5E4CE852">
      <w:start w:val="1"/>
      <w:numFmt w:val="bullet"/>
      <w:lvlText w:val="–"/>
      <w:lvlJc w:val="left"/>
      <w:pPr>
        <w:ind w:left="7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0B271F4">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83EA2D0">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4742582">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44AF2EA">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C70CE66">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1F2C230">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A2621B0">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4780EB4">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70" w15:restartNumberingAfterBreak="0">
    <w:nsid w:val="6CFA7087"/>
    <w:multiLevelType w:val="hybridMultilevel"/>
    <w:tmpl w:val="94C6E056"/>
    <w:lvl w:ilvl="0" w:tplc="FAD6A726">
      <w:start w:val="1"/>
      <w:numFmt w:val="bullet"/>
      <w:lvlText w:val="–"/>
      <w:lvlJc w:val="left"/>
      <w:pPr>
        <w:tabs>
          <w:tab w:val="num" w:pos="170"/>
        </w:tabs>
        <w:ind w:left="170" w:hanging="17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1" w15:restartNumberingAfterBreak="0">
    <w:nsid w:val="6D6176CC"/>
    <w:multiLevelType w:val="multilevel"/>
    <w:tmpl w:val="D27ED43A"/>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i w:val="0"/>
      </w:rPr>
    </w:lvl>
    <w:lvl w:ilvl="2">
      <w:start w:val="1"/>
      <w:numFmt w:val="decimal"/>
      <w:isLgl/>
      <w:lvlText w:val="%1.%2.%3."/>
      <w:lvlJc w:val="left"/>
      <w:pPr>
        <w:ind w:left="1800" w:hanging="720"/>
      </w:pPr>
      <w:rPr>
        <w:rFonts w:hint="default"/>
        <w:i w:val="0"/>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72" w15:restartNumberingAfterBreak="0">
    <w:nsid w:val="6E586709"/>
    <w:multiLevelType w:val="hybridMultilevel"/>
    <w:tmpl w:val="29FE64D8"/>
    <w:lvl w:ilvl="0" w:tplc="28024654">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3" w15:restartNumberingAfterBreak="0">
    <w:nsid w:val="6F6074F3"/>
    <w:multiLevelType w:val="hybridMultilevel"/>
    <w:tmpl w:val="C7F8FF36"/>
    <w:lvl w:ilvl="0" w:tplc="D23031AC">
      <w:start w:val="1"/>
      <w:numFmt w:val="bullet"/>
      <w:lvlText w:val="–"/>
      <w:lvlJc w:val="left"/>
      <w:pPr>
        <w:ind w:left="720" w:hanging="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4" w15:restartNumberingAfterBreak="0">
    <w:nsid w:val="6F81754F"/>
    <w:multiLevelType w:val="multilevel"/>
    <w:tmpl w:val="4704D272"/>
    <w:lvl w:ilvl="0">
      <w:numFmt w:val="bullet"/>
      <w:lvlText w:val=""/>
      <w:lvlJc w:val="left"/>
      <w:pPr>
        <w:tabs>
          <w:tab w:val="num" w:pos="284"/>
        </w:tabs>
        <w:ind w:left="284" w:hanging="284"/>
      </w:pPr>
      <w:rPr>
        <w:rFonts w:ascii="Symbol" w:hAnsi="Symbol" w:cs="Symbol" w:hint="default"/>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5" w15:restartNumberingAfterBreak="0">
    <w:nsid w:val="6FAF600A"/>
    <w:multiLevelType w:val="multilevel"/>
    <w:tmpl w:val="46A48AF8"/>
    <w:lvl w:ilvl="0">
      <w:numFmt w:val="bullet"/>
      <w:lvlText w:val=""/>
      <w:lvlJc w:val="left"/>
      <w:pPr>
        <w:tabs>
          <w:tab w:val="num" w:pos="227"/>
        </w:tabs>
        <w:ind w:left="582" w:hanging="227"/>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6" w15:restartNumberingAfterBreak="0">
    <w:nsid w:val="6FC81439"/>
    <w:multiLevelType w:val="multilevel"/>
    <w:tmpl w:val="F12E2A5A"/>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7" w15:restartNumberingAfterBreak="0">
    <w:nsid w:val="6FF30FFE"/>
    <w:multiLevelType w:val="hybridMultilevel"/>
    <w:tmpl w:val="5CDCECEA"/>
    <w:name w:val="Lista STWiORB3222222"/>
    <w:lvl w:ilvl="0" w:tplc="04150005">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8" w15:restartNumberingAfterBreak="0">
    <w:nsid w:val="70301E20"/>
    <w:multiLevelType w:val="hybridMultilevel"/>
    <w:tmpl w:val="C66A6AA0"/>
    <w:lvl w:ilvl="0" w:tplc="3B243C94">
      <w:start w:val="1"/>
      <w:numFmt w:val="bullet"/>
      <w:lvlText w:val=""/>
      <w:lvlJc w:val="left"/>
      <w:pPr>
        <w:ind w:left="56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EDBE2350">
      <w:start w:val="1"/>
      <w:numFmt w:val="bullet"/>
      <w:lvlText w:val="o"/>
      <w:lvlJc w:val="left"/>
      <w:pPr>
        <w:ind w:left="12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7408990">
      <w:start w:val="1"/>
      <w:numFmt w:val="bullet"/>
      <w:lvlText w:val="▪"/>
      <w:lvlJc w:val="left"/>
      <w:pPr>
        <w:ind w:left="20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F605178">
      <w:start w:val="1"/>
      <w:numFmt w:val="bullet"/>
      <w:lvlText w:val="•"/>
      <w:lvlJc w:val="left"/>
      <w:pPr>
        <w:ind w:left="27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9380FCA">
      <w:start w:val="1"/>
      <w:numFmt w:val="bullet"/>
      <w:lvlText w:val="o"/>
      <w:lvlJc w:val="left"/>
      <w:pPr>
        <w:ind w:left="34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AAA1ECC">
      <w:start w:val="1"/>
      <w:numFmt w:val="bullet"/>
      <w:lvlText w:val="▪"/>
      <w:lvlJc w:val="left"/>
      <w:pPr>
        <w:ind w:left="41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B9C7480">
      <w:start w:val="1"/>
      <w:numFmt w:val="bullet"/>
      <w:lvlText w:val="•"/>
      <w:lvlJc w:val="left"/>
      <w:pPr>
        <w:ind w:left="48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BAE4C82">
      <w:start w:val="1"/>
      <w:numFmt w:val="bullet"/>
      <w:lvlText w:val="o"/>
      <w:lvlJc w:val="left"/>
      <w:pPr>
        <w:ind w:left="56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E5A2846">
      <w:start w:val="1"/>
      <w:numFmt w:val="bullet"/>
      <w:lvlText w:val="▪"/>
      <w:lvlJc w:val="left"/>
      <w:pPr>
        <w:ind w:left="63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9" w15:restartNumberingAfterBreak="0">
    <w:nsid w:val="70479638"/>
    <w:multiLevelType w:val="multilevel"/>
    <w:tmpl w:val="F7D41FFE"/>
    <w:lvl w:ilvl="0">
      <w:start w:val="1"/>
      <w:numFmt w:val="decimal"/>
      <w:lvlText w:val="%1."/>
      <w:lvlJc w:val="left"/>
      <w:pPr>
        <w:tabs>
          <w:tab w:val="num" w:pos="360"/>
        </w:tabs>
        <w:ind w:left="360" w:hanging="360"/>
      </w:pPr>
      <w:rPr>
        <w:rFonts w:ascii="Arial" w:hAnsi="Arial" w:cs="Arial"/>
        <w:b/>
        <w:bCs/>
        <w:sz w:val="18"/>
        <w:szCs w:val="18"/>
      </w:rPr>
    </w:lvl>
    <w:lvl w:ilvl="1">
      <w:start w:val="1"/>
      <w:numFmt w:val="decimal"/>
      <w:lvlText w:val="%1.%2."/>
      <w:lvlJc w:val="left"/>
      <w:pPr>
        <w:tabs>
          <w:tab w:val="num" w:pos="570"/>
        </w:tabs>
        <w:ind w:left="570" w:hanging="570"/>
      </w:pPr>
      <w:rPr>
        <w:rFonts w:ascii="Arial" w:hAnsi="Arial" w:cs="Arial"/>
        <w:b/>
        <w:bCs/>
        <w:sz w:val="18"/>
        <w:szCs w:val="18"/>
      </w:rPr>
    </w:lvl>
    <w:lvl w:ilvl="2">
      <w:start w:val="1"/>
      <w:numFmt w:val="decimal"/>
      <w:lvlText w:val="%1.%2.%3."/>
      <w:lvlJc w:val="left"/>
      <w:pPr>
        <w:tabs>
          <w:tab w:val="num" w:pos="720"/>
        </w:tabs>
        <w:ind w:left="720" w:hanging="720"/>
      </w:pPr>
      <w:rPr>
        <w:rFonts w:ascii="Times New Roman" w:hAnsi="Times New Roman" w:cs="Times New Roman"/>
        <w:b/>
        <w:bCs/>
        <w:sz w:val="24"/>
        <w:szCs w:val="24"/>
      </w:rPr>
    </w:lvl>
    <w:lvl w:ilvl="3">
      <w:start w:val="1"/>
      <w:numFmt w:val="decimal"/>
      <w:lvlText w:val="%1.%2.%3.%4."/>
      <w:lvlJc w:val="left"/>
      <w:pPr>
        <w:tabs>
          <w:tab w:val="num" w:pos="720"/>
        </w:tabs>
        <w:ind w:left="720" w:hanging="720"/>
      </w:pPr>
      <w:rPr>
        <w:rFonts w:ascii="Times New Roman" w:hAnsi="Times New Roman" w:cs="Times New Roman"/>
        <w:sz w:val="24"/>
        <w:szCs w:val="24"/>
      </w:rPr>
    </w:lvl>
    <w:lvl w:ilvl="4">
      <w:start w:val="1"/>
      <w:numFmt w:val="decimal"/>
      <w:lvlText w:val="%1.%2.%3.%4.%5."/>
      <w:lvlJc w:val="left"/>
      <w:pPr>
        <w:tabs>
          <w:tab w:val="num" w:pos="1080"/>
        </w:tabs>
        <w:ind w:left="1080" w:hanging="1080"/>
      </w:pPr>
      <w:rPr>
        <w:rFonts w:ascii="Times New Roman" w:hAnsi="Times New Roman" w:cs="Times New Roman"/>
        <w:sz w:val="24"/>
        <w:szCs w:val="24"/>
      </w:rPr>
    </w:lvl>
    <w:lvl w:ilvl="5">
      <w:start w:val="1"/>
      <w:numFmt w:val="decimal"/>
      <w:lvlText w:val="%1.%2.%3.%4.%5.%6."/>
      <w:lvlJc w:val="left"/>
      <w:pPr>
        <w:tabs>
          <w:tab w:val="num" w:pos="1080"/>
        </w:tabs>
        <w:ind w:left="1080" w:hanging="1080"/>
      </w:pPr>
      <w:rPr>
        <w:rFonts w:ascii="Times New Roman" w:hAnsi="Times New Roman" w:cs="Times New Roman"/>
        <w:sz w:val="24"/>
        <w:szCs w:val="24"/>
      </w:rPr>
    </w:lvl>
    <w:lvl w:ilvl="6">
      <w:start w:val="1"/>
      <w:numFmt w:val="decimal"/>
      <w:lvlText w:val="%1.%2.%3.%4.%5.%6.%7."/>
      <w:lvlJc w:val="left"/>
      <w:pPr>
        <w:tabs>
          <w:tab w:val="num" w:pos="1080"/>
        </w:tabs>
        <w:ind w:left="1080" w:hanging="1080"/>
      </w:pPr>
      <w:rPr>
        <w:rFonts w:ascii="Times New Roman" w:hAnsi="Times New Roman" w:cs="Times New Roman"/>
        <w:sz w:val="24"/>
        <w:szCs w:val="24"/>
      </w:rPr>
    </w:lvl>
    <w:lvl w:ilvl="7">
      <w:start w:val="1"/>
      <w:numFmt w:val="decimal"/>
      <w:lvlText w:val="%1.%2.%3.%4.%5.%6.%7.%8."/>
      <w:lvlJc w:val="left"/>
      <w:pPr>
        <w:tabs>
          <w:tab w:val="num" w:pos="1440"/>
        </w:tabs>
        <w:ind w:left="1440" w:hanging="1440"/>
      </w:pPr>
      <w:rPr>
        <w:rFonts w:ascii="Times New Roman" w:hAnsi="Times New Roman" w:cs="Times New Roman"/>
        <w:sz w:val="24"/>
        <w:szCs w:val="24"/>
      </w:rPr>
    </w:lvl>
    <w:lvl w:ilvl="8">
      <w:start w:val="1"/>
      <w:numFmt w:val="decimal"/>
      <w:lvlText w:val="%1.%2.%3.%4.%5.%6.%7.%8.%9."/>
      <w:lvlJc w:val="left"/>
      <w:pPr>
        <w:tabs>
          <w:tab w:val="num" w:pos="1440"/>
        </w:tabs>
        <w:ind w:left="1440" w:hanging="1440"/>
      </w:pPr>
      <w:rPr>
        <w:rFonts w:ascii="Times New Roman" w:hAnsi="Times New Roman" w:cs="Times New Roman"/>
        <w:sz w:val="24"/>
        <w:szCs w:val="24"/>
      </w:rPr>
    </w:lvl>
  </w:abstractNum>
  <w:abstractNum w:abstractNumId="380" w15:restartNumberingAfterBreak="0">
    <w:nsid w:val="706F1961"/>
    <w:multiLevelType w:val="multilevel"/>
    <w:tmpl w:val="C1D6C430"/>
    <w:lvl w:ilvl="0">
      <w:numFmt w:val="bullet"/>
      <w:lvlText w:val=""/>
      <w:lvlJc w:val="left"/>
      <w:pPr>
        <w:tabs>
          <w:tab w:val="num" w:pos="284"/>
        </w:tabs>
        <w:ind w:left="284" w:hanging="284"/>
      </w:pPr>
      <w:rPr>
        <w:rFonts w:ascii="Symbol" w:hAnsi="Symbol" w:cs="Symbol" w:hint="default"/>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1" w15:restartNumberingAfterBreak="0">
    <w:nsid w:val="70F4211B"/>
    <w:multiLevelType w:val="hybridMultilevel"/>
    <w:tmpl w:val="7DA48630"/>
    <w:lvl w:ilvl="0" w:tplc="820EE014">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200CDCC">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AB083B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A061096">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AD093F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51CDF8C">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9581790">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3A63322">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0EA00AA">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82" w15:restartNumberingAfterBreak="0">
    <w:nsid w:val="7112157C"/>
    <w:multiLevelType w:val="hybridMultilevel"/>
    <w:tmpl w:val="DD522514"/>
    <w:lvl w:ilvl="0" w:tplc="9ED6190C">
      <w:start w:val="10"/>
      <w:numFmt w:val="bullet"/>
      <w:lvlText w:val="-"/>
      <w:lvlJc w:val="left"/>
      <w:pPr>
        <w:ind w:left="1428" w:hanging="360"/>
      </w:pPr>
      <w:rPr>
        <w:rFonts w:ascii="Times New Roman" w:eastAsia="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83" w15:restartNumberingAfterBreak="0">
    <w:nsid w:val="711B6A06"/>
    <w:multiLevelType w:val="hybridMultilevel"/>
    <w:tmpl w:val="7A7EC7F8"/>
    <w:lvl w:ilvl="0" w:tplc="FAD6A726">
      <w:start w:val="1"/>
      <w:numFmt w:val="bullet"/>
      <w:lvlText w:val="–"/>
      <w:lvlJc w:val="left"/>
      <w:pPr>
        <w:tabs>
          <w:tab w:val="num" w:pos="453"/>
        </w:tabs>
        <w:ind w:left="453" w:hanging="170"/>
      </w:pPr>
      <w:rPr>
        <w:rFonts w:ascii="Times New Roman" w:hAnsi="Times New Roman" w:cs="Times New Roman" w:hint="default"/>
      </w:rPr>
    </w:lvl>
    <w:lvl w:ilvl="1" w:tplc="04150003" w:tentative="1">
      <w:start w:val="1"/>
      <w:numFmt w:val="bullet"/>
      <w:lvlText w:val="o"/>
      <w:lvlJc w:val="left"/>
      <w:pPr>
        <w:tabs>
          <w:tab w:val="num" w:pos="1723"/>
        </w:tabs>
        <w:ind w:left="1723" w:hanging="360"/>
      </w:pPr>
      <w:rPr>
        <w:rFonts w:ascii="Courier New" w:hAnsi="Courier New" w:cs="Courier New" w:hint="default"/>
      </w:rPr>
    </w:lvl>
    <w:lvl w:ilvl="2" w:tplc="04150005" w:tentative="1">
      <w:start w:val="1"/>
      <w:numFmt w:val="bullet"/>
      <w:lvlText w:val=""/>
      <w:lvlJc w:val="left"/>
      <w:pPr>
        <w:tabs>
          <w:tab w:val="num" w:pos="2443"/>
        </w:tabs>
        <w:ind w:left="2443" w:hanging="360"/>
      </w:pPr>
      <w:rPr>
        <w:rFonts w:ascii="Wingdings" w:hAnsi="Wingdings" w:hint="default"/>
      </w:rPr>
    </w:lvl>
    <w:lvl w:ilvl="3" w:tplc="04150001" w:tentative="1">
      <w:start w:val="1"/>
      <w:numFmt w:val="bullet"/>
      <w:lvlText w:val=""/>
      <w:lvlJc w:val="left"/>
      <w:pPr>
        <w:tabs>
          <w:tab w:val="num" w:pos="3163"/>
        </w:tabs>
        <w:ind w:left="3163" w:hanging="360"/>
      </w:pPr>
      <w:rPr>
        <w:rFonts w:ascii="Symbol" w:hAnsi="Symbol" w:hint="default"/>
      </w:rPr>
    </w:lvl>
    <w:lvl w:ilvl="4" w:tplc="04150003" w:tentative="1">
      <w:start w:val="1"/>
      <w:numFmt w:val="bullet"/>
      <w:lvlText w:val="o"/>
      <w:lvlJc w:val="left"/>
      <w:pPr>
        <w:tabs>
          <w:tab w:val="num" w:pos="3883"/>
        </w:tabs>
        <w:ind w:left="3883" w:hanging="360"/>
      </w:pPr>
      <w:rPr>
        <w:rFonts w:ascii="Courier New" w:hAnsi="Courier New" w:cs="Courier New" w:hint="default"/>
      </w:rPr>
    </w:lvl>
    <w:lvl w:ilvl="5" w:tplc="04150005" w:tentative="1">
      <w:start w:val="1"/>
      <w:numFmt w:val="bullet"/>
      <w:lvlText w:val=""/>
      <w:lvlJc w:val="left"/>
      <w:pPr>
        <w:tabs>
          <w:tab w:val="num" w:pos="4603"/>
        </w:tabs>
        <w:ind w:left="4603" w:hanging="360"/>
      </w:pPr>
      <w:rPr>
        <w:rFonts w:ascii="Wingdings" w:hAnsi="Wingdings" w:hint="default"/>
      </w:rPr>
    </w:lvl>
    <w:lvl w:ilvl="6" w:tplc="04150001" w:tentative="1">
      <w:start w:val="1"/>
      <w:numFmt w:val="bullet"/>
      <w:lvlText w:val=""/>
      <w:lvlJc w:val="left"/>
      <w:pPr>
        <w:tabs>
          <w:tab w:val="num" w:pos="5323"/>
        </w:tabs>
        <w:ind w:left="5323" w:hanging="360"/>
      </w:pPr>
      <w:rPr>
        <w:rFonts w:ascii="Symbol" w:hAnsi="Symbol" w:hint="default"/>
      </w:rPr>
    </w:lvl>
    <w:lvl w:ilvl="7" w:tplc="04150003" w:tentative="1">
      <w:start w:val="1"/>
      <w:numFmt w:val="bullet"/>
      <w:lvlText w:val="o"/>
      <w:lvlJc w:val="left"/>
      <w:pPr>
        <w:tabs>
          <w:tab w:val="num" w:pos="6043"/>
        </w:tabs>
        <w:ind w:left="6043" w:hanging="360"/>
      </w:pPr>
      <w:rPr>
        <w:rFonts w:ascii="Courier New" w:hAnsi="Courier New" w:cs="Courier New" w:hint="default"/>
      </w:rPr>
    </w:lvl>
    <w:lvl w:ilvl="8" w:tplc="04150005" w:tentative="1">
      <w:start w:val="1"/>
      <w:numFmt w:val="bullet"/>
      <w:lvlText w:val=""/>
      <w:lvlJc w:val="left"/>
      <w:pPr>
        <w:tabs>
          <w:tab w:val="num" w:pos="6763"/>
        </w:tabs>
        <w:ind w:left="6763" w:hanging="360"/>
      </w:pPr>
      <w:rPr>
        <w:rFonts w:ascii="Wingdings" w:hAnsi="Wingdings" w:hint="default"/>
      </w:rPr>
    </w:lvl>
  </w:abstractNum>
  <w:abstractNum w:abstractNumId="384" w15:restartNumberingAfterBreak="0">
    <w:nsid w:val="71616DF0"/>
    <w:multiLevelType w:val="singleLevel"/>
    <w:tmpl w:val="D5244F78"/>
    <w:lvl w:ilvl="0">
      <w:start w:val="1"/>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385" w15:restartNumberingAfterBreak="0">
    <w:nsid w:val="718D70E8"/>
    <w:multiLevelType w:val="hybridMultilevel"/>
    <w:tmpl w:val="958EF4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86" w15:restartNumberingAfterBreak="0">
    <w:nsid w:val="718E130A"/>
    <w:multiLevelType w:val="hybridMultilevel"/>
    <w:tmpl w:val="4DC63A72"/>
    <w:lvl w:ilvl="0" w:tplc="8A8CAAB8">
      <w:start w:val="1"/>
      <w:numFmt w:val="bullet"/>
      <w:lvlText w:val="–"/>
      <w:lvlJc w:val="left"/>
      <w:pPr>
        <w:ind w:left="12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AF67340">
      <w:start w:val="1"/>
      <w:numFmt w:val="bullet"/>
      <w:lvlText w:val="o"/>
      <w:lvlJc w:val="left"/>
      <w:pPr>
        <w:ind w:left="19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2A6AD64">
      <w:start w:val="1"/>
      <w:numFmt w:val="bullet"/>
      <w:lvlText w:val="▪"/>
      <w:lvlJc w:val="left"/>
      <w:pPr>
        <w:ind w:left="26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500FB68">
      <w:start w:val="1"/>
      <w:numFmt w:val="bullet"/>
      <w:lvlText w:val="•"/>
      <w:lvlJc w:val="left"/>
      <w:pPr>
        <w:ind w:left="33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D6AC886">
      <w:start w:val="1"/>
      <w:numFmt w:val="bullet"/>
      <w:lvlText w:val="o"/>
      <w:lvlJc w:val="left"/>
      <w:pPr>
        <w:ind w:left="40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314E716">
      <w:start w:val="1"/>
      <w:numFmt w:val="bullet"/>
      <w:lvlText w:val="▪"/>
      <w:lvlJc w:val="left"/>
      <w:pPr>
        <w:ind w:left="48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6B66142">
      <w:start w:val="1"/>
      <w:numFmt w:val="bullet"/>
      <w:lvlText w:val="•"/>
      <w:lvlJc w:val="left"/>
      <w:pPr>
        <w:ind w:left="55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DA67B44">
      <w:start w:val="1"/>
      <w:numFmt w:val="bullet"/>
      <w:lvlText w:val="o"/>
      <w:lvlJc w:val="left"/>
      <w:pPr>
        <w:ind w:left="62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FEA5484">
      <w:start w:val="1"/>
      <w:numFmt w:val="bullet"/>
      <w:lvlText w:val="▪"/>
      <w:lvlJc w:val="left"/>
      <w:pPr>
        <w:ind w:left="69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87" w15:restartNumberingAfterBreak="0">
    <w:nsid w:val="71A22B36"/>
    <w:multiLevelType w:val="multilevel"/>
    <w:tmpl w:val="FEDCCD34"/>
    <w:lvl w:ilvl="0">
      <w:numFmt w:val="bullet"/>
      <w:lvlText w:val=""/>
      <w:lvlJc w:val="left"/>
      <w:pPr>
        <w:tabs>
          <w:tab w:val="num" w:pos="283"/>
        </w:tabs>
        <w:ind w:left="283" w:hanging="283"/>
      </w:pPr>
      <w:rPr>
        <w:rFonts w:ascii="Symbol" w:hAnsi="Symbol" w:cs="Symbol" w:hint="default"/>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8" w15:restartNumberingAfterBreak="0">
    <w:nsid w:val="71FD4792"/>
    <w:multiLevelType w:val="hybridMultilevel"/>
    <w:tmpl w:val="D9D0AD60"/>
    <w:lvl w:ilvl="0" w:tplc="EB50DFA6">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140401A">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3D8FDAA">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F0AEFA0">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D5EB5BC">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E0EB114">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E62EF3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E7A5940">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03C246E">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89" w15:restartNumberingAfterBreak="0">
    <w:nsid w:val="71FF221D"/>
    <w:multiLevelType w:val="multilevel"/>
    <w:tmpl w:val="D206E0F8"/>
    <w:lvl w:ilvl="0">
      <w:start w:val="1"/>
      <w:numFmt w:val="bullet"/>
      <w:lvlText w:val=""/>
      <w:lvlJc w:val="left"/>
      <w:pPr>
        <w:tabs>
          <w:tab w:val="num" w:pos="283"/>
        </w:tabs>
        <w:ind w:left="283" w:hanging="283"/>
      </w:pPr>
      <w:rPr>
        <w:rFonts w:ascii="Symbol" w:hAnsi="Symbol" w:cs="Symbol" w:hint="default"/>
        <w:b/>
        <w:i w:val="0"/>
        <w:strike w:val="0"/>
        <w:dstrike w:val="0"/>
        <w:sz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0" w15:restartNumberingAfterBreak="0">
    <w:nsid w:val="720912F4"/>
    <w:multiLevelType w:val="hybridMultilevel"/>
    <w:tmpl w:val="78E20B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1" w15:restartNumberingAfterBreak="0">
    <w:nsid w:val="72396B9F"/>
    <w:multiLevelType w:val="multilevel"/>
    <w:tmpl w:val="128A93B8"/>
    <w:lvl w:ilvl="0">
      <w:start w:val="1"/>
      <w:numFmt w:val="lowerLetter"/>
      <w:lvlText w:val="%1)"/>
      <w:lvlJc w:val="left"/>
      <w:pPr>
        <w:tabs>
          <w:tab w:val="num" w:pos="1065"/>
        </w:tabs>
        <w:ind w:left="1065" w:hanging="705"/>
      </w:pPr>
      <w:rPr>
        <w:rFonts w:ascii="Arial" w:hAnsi="Arial" w:cs="Arial" w:hint="default"/>
        <w:sz w:val="18"/>
        <w:szCs w:val="18"/>
      </w:rPr>
    </w:lvl>
    <w:lvl w:ilvl="1">
      <w:numFmt w:val="bullet"/>
      <w:lvlText w:val="–"/>
      <w:lvlJc w:val="left"/>
      <w:pPr>
        <w:tabs>
          <w:tab w:val="num" w:pos="1365"/>
        </w:tabs>
        <w:ind w:left="1365" w:hanging="285"/>
      </w:pPr>
      <w:rPr>
        <w:rFonts w:ascii="Arial" w:hAnsi="Arial" w:cs="Arial"/>
        <w:sz w:val="18"/>
        <w:szCs w:val="18"/>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392" w15:restartNumberingAfterBreak="0">
    <w:nsid w:val="72AA2729"/>
    <w:multiLevelType w:val="hybridMultilevel"/>
    <w:tmpl w:val="7A22D4D0"/>
    <w:lvl w:ilvl="0" w:tplc="2F789A32">
      <w:start w:val="1"/>
      <w:numFmt w:val="bullet"/>
      <w:lvlText w:val=""/>
      <w:lvlJc w:val="left"/>
      <w:pPr>
        <w:ind w:left="1212"/>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0736F37E">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51636EA">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D684DC0">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B28E3B8">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B501932">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F1A54FE">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2549186">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DC4B868">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93" w15:restartNumberingAfterBreak="0">
    <w:nsid w:val="72DA6D02"/>
    <w:multiLevelType w:val="singleLevel"/>
    <w:tmpl w:val="AB625C9E"/>
    <w:lvl w:ilvl="0">
      <w:start w:val="1"/>
      <w:numFmt w:val="lowerLetter"/>
      <w:lvlText w:val="%1)"/>
      <w:legacy w:legacy="1" w:legacySpace="0" w:legacyIndent="283"/>
      <w:lvlJc w:val="left"/>
      <w:pPr>
        <w:ind w:left="283" w:hanging="283"/>
      </w:pPr>
    </w:lvl>
  </w:abstractNum>
  <w:abstractNum w:abstractNumId="394" w15:restartNumberingAfterBreak="0">
    <w:nsid w:val="730714B4"/>
    <w:multiLevelType w:val="hybridMultilevel"/>
    <w:tmpl w:val="09D6CB4C"/>
    <w:lvl w:ilvl="0" w:tplc="FB92B688">
      <w:start w:val="1"/>
      <w:numFmt w:val="bullet"/>
      <w:lvlText w:val="–"/>
      <w:lvlJc w:val="left"/>
      <w:pPr>
        <w:tabs>
          <w:tab w:val="num" w:pos="340"/>
        </w:tabs>
        <w:ind w:left="340" w:hanging="340"/>
      </w:pPr>
      <w:rPr>
        <w:rFonts w:ascii="Times New Roman" w:hAnsi="Times New Roman" w:cs="Times New Roman" w:hint="default"/>
      </w:rPr>
    </w:lvl>
    <w:lvl w:ilvl="1" w:tplc="93522834">
      <w:start w:val="1"/>
      <w:numFmt w:val="lowerLetter"/>
      <w:lvlText w:val="%2)"/>
      <w:lvlJc w:val="left"/>
      <w:pPr>
        <w:tabs>
          <w:tab w:val="num" w:pos="1477"/>
        </w:tabs>
        <w:ind w:left="1477" w:hanging="397"/>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95" w15:restartNumberingAfterBreak="0">
    <w:nsid w:val="730729FE"/>
    <w:multiLevelType w:val="multilevel"/>
    <w:tmpl w:val="B9047564"/>
    <w:lvl w:ilvl="0">
      <w:start w:val="1"/>
      <w:numFmt w:val="decimal"/>
      <w:pStyle w:val="StylStyl10ptPogrubienieCzarnyWyjustowanyPogrubienie"/>
      <w:suff w:val="space"/>
      <w:lvlText w:val="%1."/>
      <w:lvlJc w:val="left"/>
      <w:pPr>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1">
      <w:start w:val="1"/>
      <w:numFmt w:val="decimal"/>
      <w:lvlRestart w:val="0"/>
      <w:pStyle w:val="StylNagwek2Automatyczny1"/>
      <w:suff w:val="space"/>
      <w:lvlText w:val="%1.%2."/>
      <w:lvlJc w:val="left"/>
      <w:pPr>
        <w:ind w:left="851" w:hanging="851"/>
      </w:pPr>
      <w:rPr>
        <w:rFonts w:ascii="Times New Roman" w:hAnsi="Times New Roman" w:cs="Times New Roman" w:hint="default"/>
        <w:b/>
        <w:i w:val="0"/>
        <w:caps w:val="0"/>
        <w:strike w:val="0"/>
        <w:dstrike w:val="0"/>
        <w:outline w:val="0"/>
        <w:shadow w:val="0"/>
        <w:emboss w:val="0"/>
        <w:imprint w:val="0"/>
        <w:vanish w:val="0"/>
        <w:sz w:val="20"/>
        <w:szCs w:val="24"/>
        <w:vertAlign w:val="baseline"/>
      </w:rPr>
    </w:lvl>
    <w:lvl w:ilvl="2">
      <w:start w:val="1"/>
      <w:numFmt w:val="decimal"/>
      <w:pStyle w:val="StylNagwek3PogrubienieAutomatycznyBezpodkreleniaWyj"/>
      <w:suff w:val="space"/>
      <w:lvlText w:val="%1.%2.%3."/>
      <w:lvlJc w:val="left"/>
      <w:pPr>
        <w:ind w:left="127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1271"/>
        </w:tabs>
        <w:ind w:left="127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780"/>
        </w:tabs>
        <w:ind w:left="780" w:firstLine="0"/>
      </w:pPr>
      <w:rPr>
        <w:rFonts w:hint="default"/>
        <w:b/>
      </w:rPr>
    </w:lvl>
    <w:lvl w:ilvl="5">
      <w:start w:val="1"/>
      <w:numFmt w:val="decimal"/>
      <w:lvlText w:val="%1.%2.%3.%4.%5..%6"/>
      <w:lvlJc w:val="left"/>
      <w:pPr>
        <w:tabs>
          <w:tab w:val="num" w:pos="780"/>
        </w:tabs>
        <w:ind w:left="780" w:firstLine="0"/>
      </w:pPr>
      <w:rPr>
        <w:rFonts w:hint="default"/>
      </w:rPr>
    </w:lvl>
    <w:lvl w:ilvl="6">
      <w:start w:val="1"/>
      <w:numFmt w:val="decimal"/>
      <w:lvlText w:val="%1.%2.%3.%4.%5..%6.%7"/>
      <w:lvlJc w:val="left"/>
      <w:pPr>
        <w:tabs>
          <w:tab w:val="num" w:pos="780"/>
        </w:tabs>
        <w:ind w:left="780" w:firstLine="0"/>
      </w:pPr>
      <w:rPr>
        <w:rFonts w:hint="default"/>
      </w:rPr>
    </w:lvl>
    <w:lvl w:ilvl="7">
      <w:start w:val="1"/>
      <w:numFmt w:val="decimal"/>
      <w:lvlText w:val="%1.%2.%3.%4.%5..%6.%7.%8"/>
      <w:lvlJc w:val="left"/>
      <w:pPr>
        <w:tabs>
          <w:tab w:val="num" w:pos="780"/>
        </w:tabs>
        <w:ind w:left="780" w:firstLine="0"/>
      </w:pPr>
      <w:rPr>
        <w:rFonts w:hint="default"/>
      </w:rPr>
    </w:lvl>
    <w:lvl w:ilvl="8">
      <w:start w:val="1"/>
      <w:numFmt w:val="decimal"/>
      <w:lvlText w:val="%1.%2.%3.%4.%5..%6.%7.%8.%9"/>
      <w:lvlJc w:val="left"/>
      <w:pPr>
        <w:tabs>
          <w:tab w:val="num" w:pos="780"/>
        </w:tabs>
        <w:ind w:left="780" w:firstLine="0"/>
      </w:pPr>
      <w:rPr>
        <w:rFonts w:hint="default"/>
      </w:rPr>
    </w:lvl>
  </w:abstractNum>
  <w:abstractNum w:abstractNumId="396" w15:restartNumberingAfterBreak="0">
    <w:nsid w:val="7330588C"/>
    <w:multiLevelType w:val="hybridMultilevel"/>
    <w:tmpl w:val="807ECFAA"/>
    <w:lvl w:ilvl="0" w:tplc="2A5EDE8A">
      <w:start w:val="1"/>
      <w:numFmt w:val="bullet"/>
      <w:lvlText w:val="–"/>
      <w:lvlJc w:val="left"/>
      <w:pPr>
        <w:ind w:left="12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BC6B350">
      <w:start w:val="1"/>
      <w:numFmt w:val="bullet"/>
      <w:lvlText w:val="o"/>
      <w:lvlJc w:val="left"/>
      <w:pPr>
        <w:ind w:left="19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9586398">
      <w:start w:val="1"/>
      <w:numFmt w:val="bullet"/>
      <w:lvlText w:val="▪"/>
      <w:lvlJc w:val="left"/>
      <w:pPr>
        <w:ind w:left="26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AD696E4">
      <w:start w:val="1"/>
      <w:numFmt w:val="bullet"/>
      <w:lvlText w:val="•"/>
      <w:lvlJc w:val="left"/>
      <w:pPr>
        <w:ind w:left="33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4804216">
      <w:start w:val="1"/>
      <w:numFmt w:val="bullet"/>
      <w:lvlText w:val="o"/>
      <w:lvlJc w:val="left"/>
      <w:pPr>
        <w:ind w:left="40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6BCFDB4">
      <w:start w:val="1"/>
      <w:numFmt w:val="bullet"/>
      <w:lvlText w:val="▪"/>
      <w:lvlJc w:val="left"/>
      <w:pPr>
        <w:ind w:left="48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FDC14F0">
      <w:start w:val="1"/>
      <w:numFmt w:val="bullet"/>
      <w:lvlText w:val="•"/>
      <w:lvlJc w:val="left"/>
      <w:pPr>
        <w:ind w:left="55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FE69056">
      <w:start w:val="1"/>
      <w:numFmt w:val="bullet"/>
      <w:lvlText w:val="o"/>
      <w:lvlJc w:val="left"/>
      <w:pPr>
        <w:ind w:left="62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B5895A8">
      <w:start w:val="1"/>
      <w:numFmt w:val="bullet"/>
      <w:lvlText w:val="▪"/>
      <w:lvlJc w:val="left"/>
      <w:pPr>
        <w:ind w:left="69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97" w15:restartNumberingAfterBreak="0">
    <w:nsid w:val="73915EB9"/>
    <w:multiLevelType w:val="hybridMultilevel"/>
    <w:tmpl w:val="55843E32"/>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98" w15:restartNumberingAfterBreak="0">
    <w:nsid w:val="74453C2C"/>
    <w:multiLevelType w:val="hybridMultilevel"/>
    <w:tmpl w:val="4DD6613E"/>
    <w:lvl w:ilvl="0" w:tplc="1B5CDC12">
      <w:start w:val="1"/>
      <w:numFmt w:val="lowerLetter"/>
      <w:lvlText w:val="%1)"/>
      <w:lvlJc w:val="left"/>
      <w:pPr>
        <w:ind w:left="142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399EC5CA">
      <w:start w:val="1"/>
      <w:numFmt w:val="lowerLetter"/>
      <w:lvlText w:val="%2"/>
      <w:lvlJc w:val="left"/>
      <w:pPr>
        <w:ind w:left="214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746AAA4E">
      <w:start w:val="1"/>
      <w:numFmt w:val="lowerRoman"/>
      <w:lvlText w:val="%3"/>
      <w:lvlJc w:val="left"/>
      <w:pPr>
        <w:ind w:left="286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2386332A">
      <w:start w:val="1"/>
      <w:numFmt w:val="decimal"/>
      <w:lvlText w:val="%4"/>
      <w:lvlJc w:val="left"/>
      <w:pPr>
        <w:ind w:left="358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3424C144">
      <w:start w:val="1"/>
      <w:numFmt w:val="lowerLetter"/>
      <w:lvlText w:val="%5"/>
      <w:lvlJc w:val="left"/>
      <w:pPr>
        <w:ind w:left="430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F8AA5126">
      <w:start w:val="1"/>
      <w:numFmt w:val="lowerRoman"/>
      <w:lvlText w:val="%6"/>
      <w:lvlJc w:val="left"/>
      <w:pPr>
        <w:ind w:left="502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B7CA7B6">
      <w:start w:val="1"/>
      <w:numFmt w:val="decimal"/>
      <w:lvlText w:val="%7"/>
      <w:lvlJc w:val="left"/>
      <w:pPr>
        <w:ind w:left="574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7076FA40">
      <w:start w:val="1"/>
      <w:numFmt w:val="lowerLetter"/>
      <w:lvlText w:val="%8"/>
      <w:lvlJc w:val="left"/>
      <w:pPr>
        <w:ind w:left="646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F5E86D7E">
      <w:start w:val="1"/>
      <w:numFmt w:val="lowerRoman"/>
      <w:lvlText w:val="%9"/>
      <w:lvlJc w:val="left"/>
      <w:pPr>
        <w:ind w:left="7188"/>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99" w15:restartNumberingAfterBreak="0">
    <w:nsid w:val="746109F3"/>
    <w:multiLevelType w:val="hybridMultilevel"/>
    <w:tmpl w:val="B03C7936"/>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00" w15:restartNumberingAfterBreak="0">
    <w:nsid w:val="74D01559"/>
    <w:multiLevelType w:val="hybridMultilevel"/>
    <w:tmpl w:val="54EE828C"/>
    <w:lvl w:ilvl="0" w:tplc="B2167A2C">
      <w:start w:val="1"/>
      <w:numFmt w:val="bullet"/>
      <w:lvlText w:val="-"/>
      <w:lvlJc w:val="left"/>
      <w:pPr>
        <w:ind w:left="-47"/>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1" w:tplc="64C07D92">
      <w:start w:val="1"/>
      <w:numFmt w:val="bullet"/>
      <w:lvlText w:val="o"/>
      <w:lvlJc w:val="left"/>
      <w:pPr>
        <w:ind w:left="114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2" w:tplc="D1925AF0">
      <w:start w:val="1"/>
      <w:numFmt w:val="bullet"/>
      <w:lvlText w:val="▪"/>
      <w:lvlJc w:val="left"/>
      <w:pPr>
        <w:ind w:left="186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3" w:tplc="0E2C00E0">
      <w:start w:val="1"/>
      <w:numFmt w:val="bullet"/>
      <w:lvlText w:val="•"/>
      <w:lvlJc w:val="left"/>
      <w:pPr>
        <w:ind w:left="258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4" w:tplc="C8CCEFF6">
      <w:start w:val="1"/>
      <w:numFmt w:val="bullet"/>
      <w:lvlText w:val="o"/>
      <w:lvlJc w:val="left"/>
      <w:pPr>
        <w:ind w:left="330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5" w:tplc="5D0E4940">
      <w:start w:val="1"/>
      <w:numFmt w:val="bullet"/>
      <w:lvlText w:val="▪"/>
      <w:lvlJc w:val="left"/>
      <w:pPr>
        <w:ind w:left="402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6" w:tplc="8C0649F8">
      <w:start w:val="1"/>
      <w:numFmt w:val="bullet"/>
      <w:lvlText w:val="•"/>
      <w:lvlJc w:val="left"/>
      <w:pPr>
        <w:ind w:left="474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7" w:tplc="39CC9FEE">
      <w:start w:val="1"/>
      <w:numFmt w:val="bullet"/>
      <w:lvlText w:val="o"/>
      <w:lvlJc w:val="left"/>
      <w:pPr>
        <w:ind w:left="546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lvl w:ilvl="8" w:tplc="0F3CC316">
      <w:start w:val="1"/>
      <w:numFmt w:val="bullet"/>
      <w:lvlText w:val="▪"/>
      <w:lvlJc w:val="left"/>
      <w:pPr>
        <w:ind w:left="6181"/>
      </w:pPr>
      <w:rPr>
        <w:rFonts w:ascii="Verdana" w:eastAsia="Verdana" w:hAnsi="Verdana" w:cs="Verdana"/>
        <w:b w:val="0"/>
        <w:i w:val="0"/>
        <w:strike w:val="0"/>
        <w:dstrike w:val="0"/>
        <w:color w:val="000000"/>
        <w:sz w:val="18"/>
        <w:szCs w:val="18"/>
        <w:u w:val="none" w:color="000000"/>
        <w:bdr w:val="none" w:sz="0" w:space="0" w:color="auto"/>
        <w:shd w:val="clear" w:color="auto" w:fill="auto"/>
        <w:vertAlign w:val="baseline"/>
      </w:rPr>
    </w:lvl>
  </w:abstractNum>
  <w:abstractNum w:abstractNumId="401" w15:restartNumberingAfterBreak="0">
    <w:nsid w:val="74F41266"/>
    <w:multiLevelType w:val="hybridMultilevel"/>
    <w:tmpl w:val="FCC00912"/>
    <w:lvl w:ilvl="0" w:tplc="3DFAF4E4">
      <w:numFmt w:val="bullet"/>
      <w:lvlText w:val=""/>
      <w:lvlJc w:val="left"/>
      <w:pPr>
        <w:ind w:left="720" w:hanging="360"/>
      </w:pPr>
      <w:rPr>
        <w:rFonts w:ascii="Symbol" w:hAnsi="Symbol" w:hint="default"/>
      </w:rPr>
    </w:lvl>
    <w:lvl w:ilvl="1" w:tplc="EB548EA0">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2" w15:restartNumberingAfterBreak="0">
    <w:nsid w:val="756E5223"/>
    <w:multiLevelType w:val="hybridMultilevel"/>
    <w:tmpl w:val="B46E578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03" w15:restartNumberingAfterBreak="0">
    <w:nsid w:val="7585306D"/>
    <w:multiLevelType w:val="hybridMultilevel"/>
    <w:tmpl w:val="0CD46D7E"/>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04" w15:restartNumberingAfterBreak="0">
    <w:nsid w:val="766D76EF"/>
    <w:multiLevelType w:val="hybridMultilevel"/>
    <w:tmpl w:val="E5047AF0"/>
    <w:lvl w:ilvl="0" w:tplc="CE7CE422">
      <w:start w:val="7"/>
      <w:numFmt w:val="decimal"/>
      <w:lvlText w:val="%1."/>
      <w:lvlJc w:val="right"/>
      <w:pPr>
        <w:tabs>
          <w:tab w:val="num" w:pos="1021"/>
        </w:tabs>
        <w:ind w:left="1021" w:hanging="284"/>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05" w15:restartNumberingAfterBreak="0">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06" w15:restartNumberingAfterBreak="0">
    <w:nsid w:val="76D479AD"/>
    <w:multiLevelType w:val="hybridMultilevel"/>
    <w:tmpl w:val="18E2E386"/>
    <w:lvl w:ilvl="0" w:tplc="DB88B3E0">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07" w15:restartNumberingAfterBreak="0">
    <w:nsid w:val="76D52791"/>
    <w:multiLevelType w:val="hybridMultilevel"/>
    <w:tmpl w:val="42CE6BE0"/>
    <w:name w:val="Lista STWiORB2"/>
    <w:lvl w:ilvl="0" w:tplc="2FFADF1A">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8" w15:restartNumberingAfterBreak="0">
    <w:nsid w:val="7703050C"/>
    <w:multiLevelType w:val="hybridMultilevel"/>
    <w:tmpl w:val="A0DECE00"/>
    <w:lvl w:ilvl="0" w:tplc="5F9ECC82">
      <w:start w:val="1"/>
      <w:numFmt w:val="lowerLetter"/>
      <w:lvlText w:val="%1)"/>
      <w:lvlJc w:val="left"/>
      <w:pPr>
        <w:ind w:left="1066"/>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4E10536C">
      <w:start w:val="1"/>
      <w:numFmt w:val="lowerLetter"/>
      <w:lvlText w:val="%2"/>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B04605DE">
      <w:start w:val="1"/>
      <w:numFmt w:val="lowerRoman"/>
      <w:lvlText w:val="%3"/>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7A6963C">
      <w:start w:val="1"/>
      <w:numFmt w:val="decimal"/>
      <w:lvlText w:val="%4"/>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0DB66E42">
      <w:start w:val="1"/>
      <w:numFmt w:val="lowerLetter"/>
      <w:lvlText w:val="%5"/>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7466E574">
      <w:start w:val="1"/>
      <w:numFmt w:val="lowerRoman"/>
      <w:lvlText w:val="%6"/>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286AC142">
      <w:start w:val="1"/>
      <w:numFmt w:val="decimal"/>
      <w:lvlText w:val="%7"/>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917A833E">
      <w:start w:val="1"/>
      <w:numFmt w:val="lowerLetter"/>
      <w:lvlText w:val="%8"/>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7916B12A">
      <w:start w:val="1"/>
      <w:numFmt w:val="lowerRoman"/>
      <w:lvlText w:val="%9"/>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409" w15:restartNumberingAfterBreak="0">
    <w:nsid w:val="790D29AA"/>
    <w:multiLevelType w:val="hybridMultilevel"/>
    <w:tmpl w:val="FE0A914C"/>
    <w:lvl w:ilvl="0" w:tplc="B82CDE36">
      <w:start w:val="1"/>
      <w:numFmt w:val="decimal"/>
      <w:pStyle w:val="1Nazwaspecyfikacji"/>
      <w:lvlText w:val="%1."/>
      <w:lvlJc w:val="left"/>
      <w:pPr>
        <w:ind w:left="360" w:hanging="360"/>
      </w:pPr>
      <w:rPr>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0" w15:restartNumberingAfterBreak="0">
    <w:nsid w:val="79CE1EE5"/>
    <w:multiLevelType w:val="hybridMultilevel"/>
    <w:tmpl w:val="E79CCE20"/>
    <w:lvl w:ilvl="0" w:tplc="B30209D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11" w15:restartNumberingAfterBreak="0">
    <w:nsid w:val="7A376CAD"/>
    <w:multiLevelType w:val="hybridMultilevel"/>
    <w:tmpl w:val="0B529FC2"/>
    <w:lvl w:ilvl="0" w:tplc="448C109C">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3FEE4EC">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6EAE4A">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A405AF6">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9EA58CA">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24C27D0">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D4690E">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BDCB918">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C862B6C">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12" w15:restartNumberingAfterBreak="0">
    <w:nsid w:val="7A7E01CA"/>
    <w:multiLevelType w:val="hybridMultilevel"/>
    <w:tmpl w:val="9A6E0B08"/>
    <w:lvl w:ilvl="0" w:tplc="7D221622">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7429486">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1BAD0DC">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84054B6">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B125CFC">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4688F66">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1DA9A8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D607B5E">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D1047D0">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13" w15:restartNumberingAfterBreak="0">
    <w:nsid w:val="7AEB62E1"/>
    <w:multiLevelType w:val="hybridMultilevel"/>
    <w:tmpl w:val="1F3A6BEE"/>
    <w:lvl w:ilvl="0" w:tplc="16A8A080">
      <w:start w:val="1"/>
      <w:numFmt w:val="bullet"/>
      <w:lvlText w:val="•"/>
      <w:lvlJc w:val="left"/>
      <w:pPr>
        <w:ind w:left="12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1520274">
      <w:start w:val="1"/>
      <w:numFmt w:val="bullet"/>
      <w:lvlText w:val="o"/>
      <w:lvlJc w:val="left"/>
      <w:pPr>
        <w:ind w:left="19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388769C">
      <w:start w:val="1"/>
      <w:numFmt w:val="bullet"/>
      <w:lvlText w:val="▪"/>
      <w:lvlJc w:val="left"/>
      <w:pPr>
        <w:ind w:left="26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FC8D6B6">
      <w:start w:val="1"/>
      <w:numFmt w:val="bullet"/>
      <w:lvlText w:val="•"/>
      <w:lvlJc w:val="left"/>
      <w:pPr>
        <w:ind w:left="33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5F8FE96">
      <w:start w:val="1"/>
      <w:numFmt w:val="bullet"/>
      <w:lvlText w:val="o"/>
      <w:lvlJc w:val="left"/>
      <w:pPr>
        <w:ind w:left="40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9602354">
      <w:start w:val="1"/>
      <w:numFmt w:val="bullet"/>
      <w:lvlText w:val="▪"/>
      <w:lvlJc w:val="left"/>
      <w:pPr>
        <w:ind w:left="48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4584AE8">
      <w:start w:val="1"/>
      <w:numFmt w:val="bullet"/>
      <w:lvlText w:val="•"/>
      <w:lvlJc w:val="left"/>
      <w:pPr>
        <w:ind w:left="553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A467884">
      <w:start w:val="1"/>
      <w:numFmt w:val="bullet"/>
      <w:lvlText w:val="o"/>
      <w:lvlJc w:val="left"/>
      <w:pPr>
        <w:ind w:left="6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8B623C4">
      <w:start w:val="1"/>
      <w:numFmt w:val="bullet"/>
      <w:lvlText w:val="▪"/>
      <w:lvlJc w:val="left"/>
      <w:pPr>
        <w:ind w:left="6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14" w15:restartNumberingAfterBreak="0">
    <w:nsid w:val="7B356884"/>
    <w:multiLevelType w:val="hybridMultilevel"/>
    <w:tmpl w:val="99DE7C70"/>
    <w:lvl w:ilvl="0" w:tplc="0010D05A">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5" w15:restartNumberingAfterBreak="0">
    <w:nsid w:val="7B7D46A9"/>
    <w:multiLevelType w:val="singleLevel"/>
    <w:tmpl w:val="1548C38A"/>
    <w:lvl w:ilvl="0">
      <w:start w:val="6"/>
      <w:numFmt w:val="decimal"/>
      <w:lvlText w:val="5.4.%1. "/>
      <w:legacy w:legacy="1" w:legacySpace="0" w:legacyIndent="283"/>
      <w:lvlJc w:val="left"/>
      <w:pPr>
        <w:ind w:left="283" w:hanging="283"/>
      </w:pPr>
      <w:rPr>
        <w:rFonts w:ascii="Times New Roman" w:hAnsi="Times New Roman" w:hint="default"/>
        <w:b/>
        <w:i w:val="0"/>
        <w:sz w:val="20"/>
        <w:u w:val="none"/>
      </w:rPr>
    </w:lvl>
  </w:abstractNum>
  <w:abstractNum w:abstractNumId="416" w15:restartNumberingAfterBreak="0">
    <w:nsid w:val="7BC34809"/>
    <w:multiLevelType w:val="hybridMultilevel"/>
    <w:tmpl w:val="731C7884"/>
    <w:lvl w:ilvl="0" w:tplc="C554A7E6">
      <w:start w:val="1"/>
      <w:numFmt w:val="bullet"/>
      <w:lvlText w:val="–"/>
      <w:lvlJc w:val="left"/>
      <w:pPr>
        <w:ind w:left="7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8DE88220">
      <w:start w:val="1"/>
      <w:numFmt w:val="bullet"/>
      <w:lvlText w:val="o"/>
      <w:lvlJc w:val="left"/>
      <w:pPr>
        <w:ind w:left="143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52C5AD6">
      <w:start w:val="1"/>
      <w:numFmt w:val="bullet"/>
      <w:lvlText w:val="▪"/>
      <w:lvlJc w:val="left"/>
      <w:pPr>
        <w:ind w:left="215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B5A9A7C">
      <w:start w:val="1"/>
      <w:numFmt w:val="bullet"/>
      <w:lvlText w:val="•"/>
      <w:lvlJc w:val="left"/>
      <w:pPr>
        <w:ind w:left="287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E146156">
      <w:start w:val="1"/>
      <w:numFmt w:val="bullet"/>
      <w:lvlText w:val="o"/>
      <w:lvlJc w:val="left"/>
      <w:pPr>
        <w:ind w:left="359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F0CE19C">
      <w:start w:val="1"/>
      <w:numFmt w:val="bullet"/>
      <w:lvlText w:val="▪"/>
      <w:lvlJc w:val="left"/>
      <w:pPr>
        <w:ind w:left="431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9346A12">
      <w:start w:val="1"/>
      <w:numFmt w:val="bullet"/>
      <w:lvlText w:val="•"/>
      <w:lvlJc w:val="left"/>
      <w:pPr>
        <w:ind w:left="503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C4DE1506">
      <w:start w:val="1"/>
      <w:numFmt w:val="bullet"/>
      <w:lvlText w:val="o"/>
      <w:lvlJc w:val="left"/>
      <w:pPr>
        <w:ind w:left="575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A1C0926">
      <w:start w:val="1"/>
      <w:numFmt w:val="bullet"/>
      <w:lvlText w:val="▪"/>
      <w:lvlJc w:val="left"/>
      <w:pPr>
        <w:ind w:left="6479"/>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17" w15:restartNumberingAfterBreak="0">
    <w:nsid w:val="7BC805A6"/>
    <w:multiLevelType w:val="hybridMultilevel"/>
    <w:tmpl w:val="154A3B52"/>
    <w:lvl w:ilvl="0" w:tplc="406844EA">
      <w:start w:val="1"/>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8" w15:restartNumberingAfterBreak="0">
    <w:nsid w:val="7BC91BAD"/>
    <w:multiLevelType w:val="multilevel"/>
    <w:tmpl w:val="879C0162"/>
    <w:lvl w:ilvl="0">
      <w:start w:val="1"/>
      <w:numFmt w:val="decimal"/>
      <w:lvlText w:val="%1."/>
      <w:lvlJc w:val="left"/>
      <w:pPr>
        <w:tabs>
          <w:tab w:val="num" w:pos="851"/>
        </w:tabs>
        <w:ind w:left="851" w:hanging="851"/>
      </w:pPr>
      <w:rPr>
        <w:rFonts w:ascii="Times New Roman" w:hAnsi="Times New Roman" w:cs="Times New Roman" w:hint="default"/>
        <w:b/>
        <w:i w:val="0"/>
        <w:strike w:val="0"/>
        <w:dstrike w:val="0"/>
        <w:outline w:val="0"/>
        <w:shadow w:val="0"/>
        <w:emboss w:val="0"/>
        <w:imprint w:val="0"/>
        <w:vanish w:val="0"/>
        <w:sz w:val="28"/>
        <w:szCs w:val="28"/>
        <w:vertAlign w:val="baseline"/>
      </w:rPr>
    </w:lvl>
    <w:lvl w:ilvl="1">
      <w:start w:val="1"/>
      <w:numFmt w:val="decimal"/>
      <w:lvlText w:val="%1.%2."/>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2"/>
        <w:szCs w:val="22"/>
        <w:vertAlign w:val="baseline"/>
      </w:rPr>
    </w:lvl>
    <w:lvl w:ilvl="2">
      <w:start w:val="1"/>
      <w:numFmt w:val="decimal"/>
      <w:lvlText w:val="%1.%2.%3."/>
      <w:lvlJc w:val="left"/>
      <w:pPr>
        <w:tabs>
          <w:tab w:val="num" w:pos="851"/>
        </w:tabs>
        <w:ind w:left="851" w:hanging="851"/>
      </w:pPr>
      <w:rPr>
        <w:rFonts w:ascii="Times New Roman" w:hAnsi="Times New Roman" w:cs="Times New Roman" w:hint="default"/>
        <w:b/>
        <w:i w:val="0"/>
        <w:caps w:val="0"/>
        <w:strike w:val="0"/>
        <w:dstrike w:val="0"/>
        <w:outline w:val="0"/>
        <w:shadow w:val="0"/>
        <w:emboss w:val="0"/>
        <w:imprint w:val="0"/>
        <w:vanish w:val="0"/>
        <w:sz w:val="20"/>
        <w:szCs w:val="20"/>
        <w:vertAlign w:val="baseline"/>
      </w:rPr>
    </w:lvl>
    <w:lvl w:ilvl="3">
      <w:start w:val="1"/>
      <w:numFmt w:val="decimal"/>
      <w:lvlText w:val="%1.%2.%3.%4."/>
      <w:lvlJc w:val="left"/>
      <w:pPr>
        <w:tabs>
          <w:tab w:val="num" w:pos="851"/>
        </w:tabs>
        <w:ind w:left="851" w:hanging="851"/>
      </w:pPr>
      <w:rPr>
        <w:rFonts w:ascii="Times New Roman" w:hAnsi="Times New Roman" w:cs="Times New Roman" w:hint="default"/>
        <w:b w:val="0"/>
        <w:i w:val="0"/>
        <w:caps/>
        <w:strike w:val="0"/>
        <w:dstrike w:val="0"/>
        <w:outline w:val="0"/>
        <w:shadow w:val="0"/>
        <w:emboss w:val="0"/>
        <w:imprint w:val="0"/>
        <w:vanish w:val="0"/>
        <w:sz w:val="20"/>
        <w:szCs w:val="20"/>
        <w:vertAlign w:val="baseline"/>
      </w:rPr>
    </w:lvl>
    <w:lvl w:ilvl="4">
      <w:start w:val="1"/>
      <w:numFmt w:val="decimal"/>
      <w:lvlText w:val="%1.%2.%3.%4.%5."/>
      <w:lvlJc w:val="left"/>
      <w:pPr>
        <w:tabs>
          <w:tab w:val="num" w:pos="360"/>
        </w:tabs>
        <w:ind w:left="360" w:firstLine="0"/>
      </w:pPr>
      <w:rPr>
        <w:rFonts w:hint="default"/>
        <w:b/>
      </w:rPr>
    </w:lvl>
    <w:lvl w:ilvl="5">
      <w:start w:val="1"/>
      <w:numFmt w:val="decimal"/>
      <w:lvlText w:val="%1.%2.%3.%4.%5..%6"/>
      <w:lvlJc w:val="left"/>
      <w:pPr>
        <w:tabs>
          <w:tab w:val="num" w:pos="360"/>
        </w:tabs>
        <w:ind w:left="360" w:firstLine="0"/>
      </w:pPr>
      <w:rPr>
        <w:rFonts w:hint="default"/>
      </w:rPr>
    </w:lvl>
    <w:lvl w:ilvl="6">
      <w:start w:val="1"/>
      <w:numFmt w:val="decimal"/>
      <w:lvlText w:val="%1.%2.%3.%4.%5..%6.%7"/>
      <w:lvlJc w:val="left"/>
      <w:pPr>
        <w:tabs>
          <w:tab w:val="num" w:pos="360"/>
        </w:tabs>
        <w:ind w:left="360" w:firstLine="0"/>
      </w:pPr>
      <w:rPr>
        <w:rFonts w:hint="default"/>
      </w:rPr>
    </w:lvl>
    <w:lvl w:ilvl="7">
      <w:start w:val="1"/>
      <w:numFmt w:val="decimal"/>
      <w:lvlText w:val="%1.%2.%3.%4.%5..%6.%7.%8"/>
      <w:lvlJc w:val="left"/>
      <w:pPr>
        <w:tabs>
          <w:tab w:val="num" w:pos="360"/>
        </w:tabs>
        <w:ind w:left="360" w:firstLine="0"/>
      </w:pPr>
      <w:rPr>
        <w:rFonts w:hint="default"/>
      </w:rPr>
    </w:lvl>
    <w:lvl w:ilvl="8">
      <w:start w:val="1"/>
      <w:numFmt w:val="decimal"/>
      <w:lvlText w:val="%1.%2.%3.%4.%5..%6.%7.%8.%9"/>
      <w:lvlJc w:val="left"/>
      <w:pPr>
        <w:tabs>
          <w:tab w:val="num" w:pos="360"/>
        </w:tabs>
        <w:ind w:left="360" w:firstLine="0"/>
      </w:pPr>
      <w:rPr>
        <w:rFonts w:hint="default"/>
      </w:rPr>
    </w:lvl>
  </w:abstractNum>
  <w:abstractNum w:abstractNumId="419" w15:restartNumberingAfterBreak="0">
    <w:nsid w:val="7C0C3710"/>
    <w:multiLevelType w:val="hybridMultilevel"/>
    <w:tmpl w:val="232E14C4"/>
    <w:lvl w:ilvl="0" w:tplc="F5BE0214">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A96E5F2">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278065C">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4CE28F8">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D76625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C0EA938">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44EB728">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FB8ECA0">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F32ABBC">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20" w15:restartNumberingAfterBreak="0">
    <w:nsid w:val="7C232B92"/>
    <w:multiLevelType w:val="hybridMultilevel"/>
    <w:tmpl w:val="EE782A70"/>
    <w:lvl w:ilvl="0" w:tplc="AD2033B2">
      <w:start w:val="1"/>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1" w15:restartNumberingAfterBreak="0">
    <w:nsid w:val="7C4655F8"/>
    <w:multiLevelType w:val="hybridMultilevel"/>
    <w:tmpl w:val="BFD254DC"/>
    <w:name w:val="Lista STWiORB3"/>
    <w:lvl w:ilvl="0" w:tplc="04150005">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2" w15:restartNumberingAfterBreak="0">
    <w:nsid w:val="7C842A2C"/>
    <w:multiLevelType w:val="hybridMultilevel"/>
    <w:tmpl w:val="2F1A6AAE"/>
    <w:lvl w:ilvl="0" w:tplc="0DB64906">
      <w:start w:val="2"/>
      <w:numFmt w:val="decimal"/>
      <w:lvlText w:val="%1)"/>
      <w:lvlJc w:val="left"/>
      <w:pPr>
        <w:ind w:left="0"/>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1" w:tplc="FC0A9222">
      <w:start w:val="1"/>
      <w:numFmt w:val="lowerLetter"/>
      <w:lvlText w:val="%2"/>
      <w:lvlJc w:val="left"/>
      <w:pPr>
        <w:ind w:left="118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2" w:tplc="9EC469B0">
      <w:start w:val="1"/>
      <w:numFmt w:val="lowerRoman"/>
      <w:lvlText w:val="%3"/>
      <w:lvlJc w:val="left"/>
      <w:pPr>
        <w:ind w:left="190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3" w:tplc="EE9425DC">
      <w:start w:val="1"/>
      <w:numFmt w:val="decimal"/>
      <w:lvlText w:val="%4"/>
      <w:lvlJc w:val="left"/>
      <w:pPr>
        <w:ind w:left="262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4" w:tplc="D97E5982">
      <w:start w:val="1"/>
      <w:numFmt w:val="lowerLetter"/>
      <w:lvlText w:val="%5"/>
      <w:lvlJc w:val="left"/>
      <w:pPr>
        <w:ind w:left="334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5" w:tplc="453ED376">
      <w:start w:val="1"/>
      <w:numFmt w:val="lowerRoman"/>
      <w:lvlText w:val="%6"/>
      <w:lvlJc w:val="left"/>
      <w:pPr>
        <w:ind w:left="406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6" w:tplc="E75EBB22">
      <w:start w:val="1"/>
      <w:numFmt w:val="decimal"/>
      <w:lvlText w:val="%7"/>
      <w:lvlJc w:val="left"/>
      <w:pPr>
        <w:ind w:left="478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7" w:tplc="AEBE517A">
      <w:start w:val="1"/>
      <w:numFmt w:val="lowerLetter"/>
      <w:lvlText w:val="%8"/>
      <w:lvlJc w:val="left"/>
      <w:pPr>
        <w:ind w:left="550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lvl w:ilvl="8" w:tplc="131C76DA">
      <w:start w:val="1"/>
      <w:numFmt w:val="lowerRoman"/>
      <w:lvlText w:val="%9"/>
      <w:lvlJc w:val="left"/>
      <w:pPr>
        <w:ind w:left="6228"/>
      </w:pPr>
      <w:rPr>
        <w:rFonts w:ascii="Verdana" w:eastAsia="Verdana" w:hAnsi="Verdana" w:cs="Verdana"/>
        <w:b w:val="0"/>
        <w:i w:val="0"/>
        <w:strike w:val="0"/>
        <w:dstrike w:val="0"/>
        <w:color w:val="000000"/>
        <w:sz w:val="16"/>
        <w:szCs w:val="16"/>
        <w:u w:val="none" w:color="000000"/>
        <w:bdr w:val="none" w:sz="0" w:space="0" w:color="auto"/>
        <w:shd w:val="clear" w:color="auto" w:fill="auto"/>
        <w:vertAlign w:val="superscript"/>
      </w:rPr>
    </w:lvl>
  </w:abstractNum>
  <w:abstractNum w:abstractNumId="423" w15:restartNumberingAfterBreak="0">
    <w:nsid w:val="7CA64172"/>
    <w:multiLevelType w:val="hybridMultilevel"/>
    <w:tmpl w:val="E916B35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24" w15:restartNumberingAfterBreak="0">
    <w:nsid w:val="7CEB1261"/>
    <w:multiLevelType w:val="hybridMultilevel"/>
    <w:tmpl w:val="942A7724"/>
    <w:lvl w:ilvl="0" w:tplc="38DC9758">
      <w:start w:val="1"/>
      <w:numFmt w:val="bullet"/>
      <w:lvlText w:val="–"/>
      <w:lvlJc w:val="left"/>
      <w:pPr>
        <w:ind w:left="7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B50B608">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4EA673E">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378CF8C">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4D887D8">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F2054EA">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4F65DAE">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30814F4">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F6AEDD0">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25" w15:restartNumberingAfterBreak="0">
    <w:nsid w:val="7D3D4F47"/>
    <w:multiLevelType w:val="multilevel"/>
    <w:tmpl w:val="251C2CB4"/>
    <w:lvl w:ilvl="0">
      <w:start w:val="1"/>
      <w:numFmt w:val="bullet"/>
      <w:lvlText w:val=""/>
      <w:lvlJc w:val="left"/>
      <w:pPr>
        <w:tabs>
          <w:tab w:val="num" w:pos="1211"/>
        </w:tabs>
        <w:ind w:left="1211" w:hanging="360"/>
      </w:pPr>
      <w:rPr>
        <w:rFonts w:ascii="Symbol" w:hAnsi="Symbol" w:cs="Symbol" w:hint="default"/>
        <w:sz w:val="20"/>
        <w:szCs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6" w15:restartNumberingAfterBreak="0">
    <w:nsid w:val="7E096D74"/>
    <w:multiLevelType w:val="hybridMultilevel"/>
    <w:tmpl w:val="7D22058A"/>
    <w:lvl w:ilvl="0" w:tplc="7CF2E9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7" w15:restartNumberingAfterBreak="0">
    <w:nsid w:val="7E3229EC"/>
    <w:multiLevelType w:val="hybridMultilevel"/>
    <w:tmpl w:val="1A6266A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8" w15:restartNumberingAfterBreak="0">
    <w:nsid w:val="7E7A61B8"/>
    <w:multiLevelType w:val="singleLevel"/>
    <w:tmpl w:val="3998096E"/>
    <w:lvl w:ilvl="0">
      <w:start w:val="8"/>
      <w:numFmt w:val="decimal"/>
      <w:lvlText w:val="2.2.%1. "/>
      <w:legacy w:legacy="1" w:legacySpace="0" w:legacyIndent="283"/>
      <w:lvlJc w:val="left"/>
      <w:pPr>
        <w:ind w:left="283" w:hanging="283"/>
      </w:pPr>
      <w:rPr>
        <w:rFonts w:ascii="Times New Roman" w:hAnsi="Times New Roman" w:hint="default"/>
        <w:b/>
        <w:i w:val="0"/>
        <w:sz w:val="20"/>
        <w:u w:val="none"/>
      </w:rPr>
    </w:lvl>
  </w:abstractNum>
  <w:abstractNum w:abstractNumId="429" w15:restartNumberingAfterBreak="0">
    <w:nsid w:val="7EB9577B"/>
    <w:multiLevelType w:val="hybridMultilevel"/>
    <w:tmpl w:val="AB78C478"/>
    <w:lvl w:ilvl="0" w:tplc="FAD6A726">
      <w:start w:val="1"/>
      <w:numFmt w:val="bullet"/>
      <w:lvlText w:val="–"/>
      <w:lvlJc w:val="left"/>
      <w:pPr>
        <w:tabs>
          <w:tab w:val="num" w:pos="453"/>
        </w:tabs>
        <w:ind w:left="453" w:hanging="170"/>
      </w:pPr>
      <w:rPr>
        <w:rFonts w:ascii="Times New Roman" w:hAnsi="Times New Roman" w:cs="Times New Roman" w:hint="default"/>
      </w:rPr>
    </w:lvl>
    <w:lvl w:ilvl="1" w:tplc="04150003" w:tentative="1">
      <w:start w:val="1"/>
      <w:numFmt w:val="bullet"/>
      <w:lvlText w:val="o"/>
      <w:lvlJc w:val="left"/>
      <w:pPr>
        <w:tabs>
          <w:tab w:val="num" w:pos="1723"/>
        </w:tabs>
        <w:ind w:left="1723" w:hanging="360"/>
      </w:pPr>
      <w:rPr>
        <w:rFonts w:ascii="Courier New" w:hAnsi="Courier New" w:cs="Courier New" w:hint="default"/>
      </w:rPr>
    </w:lvl>
    <w:lvl w:ilvl="2" w:tplc="04150005" w:tentative="1">
      <w:start w:val="1"/>
      <w:numFmt w:val="bullet"/>
      <w:lvlText w:val=""/>
      <w:lvlJc w:val="left"/>
      <w:pPr>
        <w:tabs>
          <w:tab w:val="num" w:pos="2443"/>
        </w:tabs>
        <w:ind w:left="2443" w:hanging="360"/>
      </w:pPr>
      <w:rPr>
        <w:rFonts w:ascii="Wingdings" w:hAnsi="Wingdings" w:hint="default"/>
      </w:rPr>
    </w:lvl>
    <w:lvl w:ilvl="3" w:tplc="04150001" w:tentative="1">
      <w:start w:val="1"/>
      <w:numFmt w:val="bullet"/>
      <w:lvlText w:val=""/>
      <w:lvlJc w:val="left"/>
      <w:pPr>
        <w:tabs>
          <w:tab w:val="num" w:pos="3163"/>
        </w:tabs>
        <w:ind w:left="3163" w:hanging="360"/>
      </w:pPr>
      <w:rPr>
        <w:rFonts w:ascii="Symbol" w:hAnsi="Symbol" w:hint="default"/>
      </w:rPr>
    </w:lvl>
    <w:lvl w:ilvl="4" w:tplc="04150003" w:tentative="1">
      <w:start w:val="1"/>
      <w:numFmt w:val="bullet"/>
      <w:lvlText w:val="o"/>
      <w:lvlJc w:val="left"/>
      <w:pPr>
        <w:tabs>
          <w:tab w:val="num" w:pos="3883"/>
        </w:tabs>
        <w:ind w:left="3883" w:hanging="360"/>
      </w:pPr>
      <w:rPr>
        <w:rFonts w:ascii="Courier New" w:hAnsi="Courier New" w:cs="Courier New" w:hint="default"/>
      </w:rPr>
    </w:lvl>
    <w:lvl w:ilvl="5" w:tplc="04150005" w:tentative="1">
      <w:start w:val="1"/>
      <w:numFmt w:val="bullet"/>
      <w:lvlText w:val=""/>
      <w:lvlJc w:val="left"/>
      <w:pPr>
        <w:tabs>
          <w:tab w:val="num" w:pos="4603"/>
        </w:tabs>
        <w:ind w:left="4603" w:hanging="360"/>
      </w:pPr>
      <w:rPr>
        <w:rFonts w:ascii="Wingdings" w:hAnsi="Wingdings" w:hint="default"/>
      </w:rPr>
    </w:lvl>
    <w:lvl w:ilvl="6" w:tplc="04150001" w:tentative="1">
      <w:start w:val="1"/>
      <w:numFmt w:val="bullet"/>
      <w:lvlText w:val=""/>
      <w:lvlJc w:val="left"/>
      <w:pPr>
        <w:tabs>
          <w:tab w:val="num" w:pos="5323"/>
        </w:tabs>
        <w:ind w:left="5323" w:hanging="360"/>
      </w:pPr>
      <w:rPr>
        <w:rFonts w:ascii="Symbol" w:hAnsi="Symbol" w:hint="default"/>
      </w:rPr>
    </w:lvl>
    <w:lvl w:ilvl="7" w:tplc="04150003" w:tentative="1">
      <w:start w:val="1"/>
      <w:numFmt w:val="bullet"/>
      <w:lvlText w:val="o"/>
      <w:lvlJc w:val="left"/>
      <w:pPr>
        <w:tabs>
          <w:tab w:val="num" w:pos="6043"/>
        </w:tabs>
        <w:ind w:left="6043" w:hanging="360"/>
      </w:pPr>
      <w:rPr>
        <w:rFonts w:ascii="Courier New" w:hAnsi="Courier New" w:cs="Courier New" w:hint="default"/>
      </w:rPr>
    </w:lvl>
    <w:lvl w:ilvl="8" w:tplc="04150005" w:tentative="1">
      <w:start w:val="1"/>
      <w:numFmt w:val="bullet"/>
      <w:lvlText w:val=""/>
      <w:lvlJc w:val="left"/>
      <w:pPr>
        <w:tabs>
          <w:tab w:val="num" w:pos="6763"/>
        </w:tabs>
        <w:ind w:left="6763" w:hanging="360"/>
      </w:pPr>
      <w:rPr>
        <w:rFonts w:ascii="Wingdings" w:hAnsi="Wingdings" w:hint="default"/>
      </w:rPr>
    </w:lvl>
  </w:abstractNum>
  <w:abstractNum w:abstractNumId="430" w15:restartNumberingAfterBreak="0">
    <w:nsid w:val="7F7D43AE"/>
    <w:multiLevelType w:val="hybridMultilevel"/>
    <w:tmpl w:val="6EB6AC98"/>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31" w15:restartNumberingAfterBreak="0">
    <w:nsid w:val="7F9A1799"/>
    <w:multiLevelType w:val="hybridMultilevel"/>
    <w:tmpl w:val="DD8CE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993486390">
    <w:abstractNumId w:val="1"/>
  </w:num>
  <w:num w:numId="2" w16cid:durableId="1249734377">
    <w:abstractNumId w:val="259"/>
  </w:num>
  <w:num w:numId="3" w16cid:durableId="1633099731">
    <w:abstractNumId w:val="259"/>
    <w:lvlOverride w:ilvl="0">
      <w:lvl w:ilvl="0">
        <w:start w:val="1"/>
        <w:numFmt w:val="decimal"/>
        <w:pStyle w:val="Listanumerowana2"/>
        <w:lvlText w:val="%1."/>
        <w:legacy w:legacy="1" w:legacySpace="0" w:legacyIndent="283"/>
        <w:lvlJc w:val="left"/>
        <w:pPr>
          <w:ind w:left="283" w:hanging="283"/>
        </w:pPr>
      </w:lvl>
    </w:lvlOverride>
  </w:num>
  <w:num w:numId="4" w16cid:durableId="1782265137">
    <w:abstractNumId w:val="58"/>
  </w:num>
  <w:num w:numId="5" w16cid:durableId="942148278">
    <w:abstractNumId w:val="58"/>
    <w:lvlOverride w:ilvl="0">
      <w:lvl w:ilvl="0">
        <w:start w:val="1"/>
        <w:numFmt w:val="decimal"/>
        <w:pStyle w:val="Litera"/>
        <w:lvlText w:val="%1."/>
        <w:legacy w:legacy="1" w:legacySpace="0" w:legacyIndent="288"/>
        <w:lvlJc w:val="left"/>
        <w:pPr>
          <w:ind w:left="288" w:hanging="288"/>
        </w:pPr>
      </w:lvl>
    </w:lvlOverride>
  </w:num>
  <w:num w:numId="6" w16cid:durableId="274676065">
    <w:abstractNumId w:val="212"/>
  </w:num>
  <w:num w:numId="7" w16cid:durableId="911546512">
    <w:abstractNumId w:val="126"/>
    <w:lvlOverride w:ilvl="0">
      <w:lvl w:ilvl="0">
        <w:start w:val="1"/>
        <w:numFmt w:val="decimal"/>
        <w:lvlText w:val="%1."/>
        <w:legacy w:legacy="1" w:legacySpace="0" w:legacyIndent="432"/>
        <w:lvlJc w:val="left"/>
        <w:pPr>
          <w:ind w:left="432" w:hanging="432"/>
        </w:pPr>
      </w:lvl>
    </w:lvlOverride>
  </w:num>
  <w:num w:numId="8" w16cid:durableId="1781490580">
    <w:abstractNumId w:val="0"/>
  </w:num>
  <w:num w:numId="9" w16cid:durableId="2058503248">
    <w:abstractNumId w:val="84"/>
  </w:num>
  <w:num w:numId="10" w16cid:durableId="742995185">
    <w:abstractNumId w:val="223"/>
  </w:num>
  <w:num w:numId="11" w16cid:durableId="1980068919">
    <w:abstractNumId w:val="302"/>
  </w:num>
  <w:num w:numId="12" w16cid:durableId="27341938">
    <w:abstractNumId w:val="91"/>
  </w:num>
  <w:num w:numId="13" w16cid:durableId="856163864">
    <w:abstractNumId w:val="66"/>
  </w:num>
  <w:num w:numId="14" w16cid:durableId="2015498895">
    <w:abstractNumId w:val="363"/>
  </w:num>
  <w:num w:numId="15" w16cid:durableId="695928823">
    <w:abstractNumId w:val="106"/>
  </w:num>
  <w:num w:numId="16" w16cid:durableId="1546991934">
    <w:abstractNumId w:val="285"/>
  </w:num>
  <w:num w:numId="17" w16cid:durableId="385028447">
    <w:abstractNumId w:val="152"/>
  </w:num>
  <w:num w:numId="18" w16cid:durableId="1763257160">
    <w:abstractNumId w:val="382"/>
  </w:num>
  <w:num w:numId="19" w16cid:durableId="267349324">
    <w:abstractNumId w:val="145"/>
  </w:num>
  <w:num w:numId="20" w16cid:durableId="631979414">
    <w:abstractNumId w:val="256"/>
  </w:num>
  <w:num w:numId="21" w16cid:durableId="1756123387">
    <w:abstractNumId w:val="57"/>
  </w:num>
  <w:num w:numId="22" w16cid:durableId="884021008">
    <w:abstractNumId w:val="179"/>
  </w:num>
  <w:num w:numId="23" w16cid:durableId="1333994618">
    <w:abstractNumId w:val="2"/>
    <w:lvlOverride w:ilvl="0">
      <w:lvl w:ilvl="0">
        <w:numFmt w:val="bullet"/>
        <w:lvlText w:val=""/>
        <w:legacy w:legacy="1" w:legacySpace="0" w:legacyIndent="283"/>
        <w:lvlJc w:val="left"/>
        <w:pPr>
          <w:ind w:left="283" w:hanging="283"/>
        </w:pPr>
        <w:rPr>
          <w:rFonts w:ascii="Symbol" w:hAnsi="Symbol" w:hint="default"/>
        </w:rPr>
      </w:lvl>
    </w:lvlOverride>
  </w:num>
  <w:num w:numId="24" w16cid:durableId="1936473675">
    <w:abstractNumId w:val="398"/>
  </w:num>
  <w:num w:numId="25" w16cid:durableId="1121996609">
    <w:abstractNumId w:val="364"/>
  </w:num>
  <w:num w:numId="26" w16cid:durableId="457263922">
    <w:abstractNumId w:val="269"/>
  </w:num>
  <w:num w:numId="27" w16cid:durableId="411850483">
    <w:abstractNumId w:val="396"/>
  </w:num>
  <w:num w:numId="28" w16cid:durableId="2013947356">
    <w:abstractNumId w:val="386"/>
  </w:num>
  <w:num w:numId="29" w16cid:durableId="1869754896">
    <w:abstractNumId w:val="392"/>
  </w:num>
  <w:num w:numId="30" w16cid:durableId="2088765028">
    <w:abstractNumId w:val="50"/>
  </w:num>
  <w:num w:numId="31" w16cid:durableId="2115401916">
    <w:abstractNumId w:val="242"/>
  </w:num>
  <w:num w:numId="32" w16cid:durableId="2111192876">
    <w:abstractNumId w:val="357"/>
  </w:num>
  <w:num w:numId="33" w16cid:durableId="1958367166">
    <w:abstractNumId w:val="323"/>
  </w:num>
  <w:num w:numId="34" w16cid:durableId="166021097">
    <w:abstractNumId w:val="224"/>
  </w:num>
  <w:num w:numId="35" w16cid:durableId="1368145473">
    <w:abstractNumId w:val="34"/>
  </w:num>
  <w:num w:numId="36" w16cid:durableId="110714373">
    <w:abstractNumId w:val="308"/>
  </w:num>
  <w:num w:numId="37" w16cid:durableId="1891723011">
    <w:abstractNumId w:val="95"/>
  </w:num>
  <w:num w:numId="38" w16cid:durableId="1092776067">
    <w:abstractNumId w:val="191"/>
  </w:num>
  <w:num w:numId="39" w16cid:durableId="1926917603">
    <w:abstractNumId w:val="63"/>
  </w:num>
  <w:num w:numId="40" w16cid:durableId="1278566967">
    <w:abstractNumId w:val="351"/>
  </w:num>
  <w:num w:numId="41" w16cid:durableId="1955205542">
    <w:abstractNumId w:val="330"/>
  </w:num>
  <w:num w:numId="42" w16cid:durableId="1990670050">
    <w:abstractNumId w:val="157"/>
  </w:num>
  <w:num w:numId="43" w16cid:durableId="1185367284">
    <w:abstractNumId w:val="200"/>
  </w:num>
  <w:num w:numId="44" w16cid:durableId="1311323944">
    <w:abstractNumId w:val="411"/>
  </w:num>
  <w:num w:numId="45" w16cid:durableId="3364053">
    <w:abstractNumId w:val="123"/>
  </w:num>
  <w:num w:numId="46" w16cid:durableId="1515919536">
    <w:abstractNumId w:val="219"/>
  </w:num>
  <w:num w:numId="47" w16cid:durableId="555702734">
    <w:abstractNumId w:val="361"/>
  </w:num>
  <w:num w:numId="48" w16cid:durableId="1804539033">
    <w:abstractNumId w:val="276"/>
  </w:num>
  <w:num w:numId="49" w16cid:durableId="135345554">
    <w:abstractNumId w:val="216"/>
  </w:num>
  <w:num w:numId="50" w16cid:durableId="1224565061">
    <w:abstractNumId w:val="185"/>
  </w:num>
  <w:num w:numId="51" w16cid:durableId="419449512">
    <w:abstractNumId w:val="303"/>
  </w:num>
  <w:num w:numId="52" w16cid:durableId="813912096">
    <w:abstractNumId w:val="134"/>
  </w:num>
  <w:num w:numId="53" w16cid:durableId="1097823093">
    <w:abstractNumId w:val="164"/>
  </w:num>
  <w:num w:numId="54" w16cid:durableId="142621973">
    <w:abstractNumId w:val="118"/>
  </w:num>
  <w:num w:numId="55" w16cid:durableId="1292175887">
    <w:abstractNumId w:val="413"/>
  </w:num>
  <w:num w:numId="56" w16cid:durableId="838034232">
    <w:abstractNumId w:val="293"/>
  </w:num>
  <w:num w:numId="57" w16cid:durableId="1239245918">
    <w:abstractNumId w:val="229"/>
  </w:num>
  <w:num w:numId="58" w16cid:durableId="998969726">
    <w:abstractNumId w:val="345"/>
  </w:num>
  <w:num w:numId="59" w16cid:durableId="421342348">
    <w:abstractNumId w:val="36"/>
  </w:num>
  <w:num w:numId="60" w16cid:durableId="45689385">
    <w:abstractNumId w:val="266"/>
  </w:num>
  <w:num w:numId="61" w16cid:durableId="1347712015">
    <w:abstractNumId w:val="315"/>
  </w:num>
  <w:num w:numId="62" w16cid:durableId="35935264">
    <w:abstractNumId w:val="80"/>
  </w:num>
  <w:num w:numId="63" w16cid:durableId="966935287">
    <w:abstractNumId w:val="138"/>
  </w:num>
  <w:num w:numId="64" w16cid:durableId="2033070545">
    <w:abstractNumId w:val="189"/>
  </w:num>
  <w:num w:numId="65" w16cid:durableId="328605906">
    <w:abstractNumId w:val="297"/>
  </w:num>
  <w:num w:numId="66" w16cid:durableId="888566550">
    <w:abstractNumId w:val="348"/>
  </w:num>
  <w:num w:numId="67" w16cid:durableId="81343011">
    <w:abstractNumId w:val="401"/>
  </w:num>
  <w:num w:numId="68" w16cid:durableId="766275051">
    <w:abstractNumId w:val="77"/>
  </w:num>
  <w:num w:numId="69" w16cid:durableId="1778330901">
    <w:abstractNumId w:val="236"/>
  </w:num>
  <w:num w:numId="70" w16cid:durableId="954942222">
    <w:abstractNumId w:val="174"/>
  </w:num>
  <w:num w:numId="71" w16cid:durableId="1695305207">
    <w:abstractNumId w:val="60"/>
  </w:num>
  <w:num w:numId="72" w16cid:durableId="665859096">
    <w:abstractNumId w:val="73"/>
  </w:num>
  <w:num w:numId="73" w16cid:durableId="1958903115">
    <w:abstractNumId w:val="100"/>
  </w:num>
  <w:num w:numId="74" w16cid:durableId="1974872640">
    <w:abstractNumId w:val="205"/>
  </w:num>
  <w:num w:numId="75" w16cid:durableId="188372815">
    <w:abstractNumId w:val="175"/>
  </w:num>
  <w:num w:numId="76" w16cid:durableId="1997218886">
    <w:abstractNumId w:val="426"/>
  </w:num>
  <w:num w:numId="77" w16cid:durableId="492643272">
    <w:abstractNumId w:val="68"/>
  </w:num>
  <w:num w:numId="78" w16cid:durableId="1652637965">
    <w:abstractNumId w:val="371"/>
  </w:num>
  <w:num w:numId="79" w16cid:durableId="805197290">
    <w:abstractNumId w:val="255"/>
  </w:num>
  <w:num w:numId="80" w16cid:durableId="1173226207">
    <w:abstractNumId w:val="42"/>
  </w:num>
  <w:num w:numId="81" w16cid:durableId="294259277">
    <w:abstractNumId w:val="4"/>
  </w:num>
  <w:num w:numId="82" w16cid:durableId="902182859">
    <w:abstractNumId w:val="270"/>
  </w:num>
  <w:num w:numId="83" w16cid:durableId="348603479">
    <w:abstractNumId w:val="72"/>
  </w:num>
  <w:num w:numId="84" w16cid:durableId="1914314253">
    <w:abstractNumId w:val="362"/>
  </w:num>
  <w:num w:numId="85" w16cid:durableId="222181801">
    <w:abstractNumId w:val="319"/>
  </w:num>
  <w:num w:numId="86" w16cid:durableId="560484526">
    <w:abstractNumId w:val="131"/>
  </w:num>
  <w:num w:numId="87" w16cid:durableId="2033992845">
    <w:abstractNumId w:val="86"/>
  </w:num>
  <w:num w:numId="88" w16cid:durableId="611329553">
    <w:abstractNumId w:val="301"/>
  </w:num>
  <w:num w:numId="89" w16cid:durableId="995763894">
    <w:abstractNumId w:val="3"/>
  </w:num>
  <w:num w:numId="90" w16cid:durableId="1878353126">
    <w:abstractNumId w:val="244"/>
  </w:num>
  <w:num w:numId="91" w16cid:durableId="1791821298">
    <w:abstractNumId w:val="158"/>
  </w:num>
  <w:num w:numId="92" w16cid:durableId="1631781164">
    <w:abstractNumId w:val="254"/>
  </w:num>
  <w:num w:numId="93" w16cid:durableId="1679112684">
    <w:abstractNumId w:val="208"/>
  </w:num>
  <w:num w:numId="94" w16cid:durableId="1385761779">
    <w:abstractNumId w:val="402"/>
  </w:num>
  <w:num w:numId="95" w16cid:durableId="618339664">
    <w:abstractNumId w:val="94"/>
  </w:num>
  <w:num w:numId="96" w16cid:durableId="1435174993">
    <w:abstractNumId w:val="111"/>
  </w:num>
  <w:num w:numId="97" w16cid:durableId="890044626">
    <w:abstractNumId w:val="49"/>
  </w:num>
  <w:num w:numId="98" w16cid:durableId="567804437">
    <w:abstractNumId w:val="107"/>
  </w:num>
  <w:num w:numId="99" w16cid:durableId="919951175">
    <w:abstractNumId w:val="85"/>
  </w:num>
  <w:num w:numId="100" w16cid:durableId="1363674491">
    <w:abstractNumId w:val="257"/>
  </w:num>
  <w:num w:numId="101" w16cid:durableId="1828477578">
    <w:abstractNumId w:val="209"/>
  </w:num>
  <w:num w:numId="102" w16cid:durableId="781805129">
    <w:abstractNumId w:val="334"/>
  </w:num>
  <w:num w:numId="103" w16cid:durableId="1737391637">
    <w:abstractNumId w:val="133"/>
  </w:num>
  <w:num w:numId="104" w16cid:durableId="1887181917">
    <w:abstractNumId w:val="408"/>
  </w:num>
  <w:num w:numId="105" w16cid:durableId="315377065">
    <w:abstractNumId w:val="232"/>
  </w:num>
  <w:num w:numId="106" w16cid:durableId="425199077">
    <w:abstractNumId w:val="114"/>
  </w:num>
  <w:num w:numId="107" w16cid:durableId="112791378">
    <w:abstractNumId w:val="253"/>
  </w:num>
  <w:num w:numId="108" w16cid:durableId="1248881291">
    <w:abstractNumId w:val="39"/>
  </w:num>
  <w:num w:numId="109" w16cid:durableId="789084199">
    <w:abstractNumId w:val="93"/>
  </w:num>
  <w:num w:numId="110" w16cid:durableId="435949205">
    <w:abstractNumId w:val="88"/>
  </w:num>
  <w:num w:numId="111" w16cid:durableId="281427919">
    <w:abstractNumId w:val="314"/>
  </w:num>
  <w:num w:numId="112" w16cid:durableId="1710644521">
    <w:abstractNumId w:val="54"/>
  </w:num>
  <w:num w:numId="113" w16cid:durableId="1778409634">
    <w:abstractNumId w:val="300"/>
  </w:num>
  <w:num w:numId="114" w16cid:durableId="69088210">
    <w:abstractNumId w:val="56"/>
  </w:num>
  <w:num w:numId="115" w16cid:durableId="168302872">
    <w:abstractNumId w:val="378"/>
  </w:num>
  <w:num w:numId="116" w16cid:durableId="1891116043">
    <w:abstractNumId w:val="41"/>
  </w:num>
  <w:num w:numId="117" w16cid:durableId="1915892014">
    <w:abstractNumId w:val="338"/>
  </w:num>
  <w:num w:numId="118" w16cid:durableId="516424768">
    <w:abstractNumId w:val="356"/>
  </w:num>
  <w:num w:numId="119" w16cid:durableId="1917009189">
    <w:abstractNumId w:val="332"/>
  </w:num>
  <w:num w:numId="120" w16cid:durableId="540171236">
    <w:abstractNumId w:val="322"/>
  </w:num>
  <w:num w:numId="121" w16cid:durableId="1363555440">
    <w:abstractNumId w:val="286"/>
  </w:num>
  <w:num w:numId="122" w16cid:durableId="2026521167">
    <w:abstractNumId w:val="305"/>
  </w:num>
  <w:num w:numId="123" w16cid:durableId="1592546138">
    <w:abstractNumId w:val="218"/>
  </w:num>
  <w:num w:numId="124" w16cid:durableId="1943996273">
    <w:abstractNumId w:val="263"/>
  </w:num>
  <w:num w:numId="125" w16cid:durableId="96870863">
    <w:abstractNumId w:val="247"/>
  </w:num>
  <w:num w:numId="126" w16cid:durableId="119685445">
    <w:abstractNumId w:val="397"/>
  </w:num>
  <w:num w:numId="127" w16cid:durableId="108933265">
    <w:abstractNumId w:val="166"/>
  </w:num>
  <w:num w:numId="128" w16cid:durableId="1425147845">
    <w:abstractNumId w:val="214"/>
  </w:num>
  <w:num w:numId="129" w16cid:durableId="1682585770">
    <w:abstractNumId w:val="336"/>
  </w:num>
  <w:num w:numId="130" w16cid:durableId="851409220">
    <w:abstractNumId w:val="76"/>
  </w:num>
  <w:num w:numId="131" w16cid:durableId="1214777223">
    <w:abstractNumId w:val="333"/>
  </w:num>
  <w:num w:numId="132" w16cid:durableId="787628014">
    <w:abstractNumId w:val="162"/>
  </w:num>
  <w:num w:numId="133" w16cid:durableId="866991606">
    <w:abstractNumId w:val="354"/>
  </w:num>
  <w:num w:numId="134" w16cid:durableId="976303052">
    <w:abstractNumId w:val="420"/>
  </w:num>
  <w:num w:numId="135" w16cid:durableId="925307933">
    <w:abstractNumId w:val="347"/>
  </w:num>
  <w:num w:numId="136" w16cid:durableId="1711806825">
    <w:abstractNumId w:val="198"/>
  </w:num>
  <w:num w:numId="137" w16cid:durableId="1665668419">
    <w:abstractNumId w:val="105"/>
  </w:num>
  <w:num w:numId="138" w16cid:durableId="83066754">
    <w:abstractNumId w:val="140"/>
  </w:num>
  <w:num w:numId="139" w16cid:durableId="603802141">
    <w:abstractNumId w:val="427"/>
  </w:num>
  <w:num w:numId="140" w16cid:durableId="106702210">
    <w:abstractNumId w:val="291"/>
  </w:num>
  <w:num w:numId="141" w16cid:durableId="1708287643">
    <w:abstractNumId w:val="171"/>
  </w:num>
  <w:num w:numId="142" w16cid:durableId="1926567222">
    <w:abstractNumId w:val="81"/>
  </w:num>
  <w:num w:numId="143" w16cid:durableId="1658075780">
    <w:abstractNumId w:val="327"/>
  </w:num>
  <w:num w:numId="144" w16cid:durableId="629897375">
    <w:abstractNumId w:val="288"/>
  </w:num>
  <w:num w:numId="145" w16cid:durableId="662977619">
    <w:abstractNumId w:val="243"/>
  </w:num>
  <w:num w:numId="146" w16cid:durableId="1991862866">
    <w:abstractNumId w:val="122"/>
  </w:num>
  <w:num w:numId="147" w16cid:durableId="1768379315">
    <w:abstractNumId w:val="69"/>
  </w:num>
  <w:num w:numId="148" w16cid:durableId="1221475859">
    <w:abstractNumId w:val="199"/>
  </w:num>
  <w:num w:numId="149" w16cid:durableId="1404446063">
    <w:abstractNumId w:val="78"/>
  </w:num>
  <w:num w:numId="150" w16cid:durableId="275915069">
    <w:abstractNumId w:val="102"/>
  </w:num>
  <w:num w:numId="151" w16cid:durableId="65691788">
    <w:abstractNumId w:val="390"/>
  </w:num>
  <w:num w:numId="152" w16cid:durableId="1792166315">
    <w:abstractNumId w:val="47"/>
  </w:num>
  <w:num w:numId="153" w16cid:durableId="1231961592">
    <w:abstractNumId w:val="176"/>
  </w:num>
  <w:num w:numId="154" w16cid:durableId="1699623237">
    <w:abstractNumId w:val="367"/>
  </w:num>
  <w:num w:numId="155" w16cid:durableId="687946571">
    <w:abstractNumId w:val="168"/>
  </w:num>
  <w:num w:numId="156" w16cid:durableId="1597984441">
    <w:abstractNumId w:val="74"/>
  </w:num>
  <w:num w:numId="157" w16cid:durableId="1160737034">
    <w:abstractNumId w:val="227"/>
  </w:num>
  <w:num w:numId="158" w16cid:durableId="2105224503">
    <w:abstractNumId w:val="283"/>
  </w:num>
  <w:num w:numId="159" w16cid:durableId="542834804">
    <w:abstractNumId w:val="116"/>
  </w:num>
  <w:num w:numId="160" w16cid:durableId="205605317">
    <w:abstractNumId w:val="210"/>
  </w:num>
  <w:num w:numId="161" w16cid:durableId="313409436">
    <w:abstractNumId w:val="215"/>
  </w:num>
  <w:num w:numId="162" w16cid:durableId="577056094">
    <w:abstractNumId w:val="355"/>
  </w:num>
  <w:num w:numId="163" w16cid:durableId="499320613">
    <w:abstractNumId w:val="45"/>
  </w:num>
  <w:num w:numId="164" w16cid:durableId="1347441901">
    <w:abstractNumId w:val="128"/>
  </w:num>
  <w:num w:numId="165" w16cid:durableId="725296306">
    <w:abstractNumId w:val="287"/>
  </w:num>
  <w:num w:numId="166" w16cid:durableId="2137487006">
    <w:abstractNumId w:val="424"/>
  </w:num>
  <w:num w:numId="167" w16cid:durableId="632370324">
    <w:abstractNumId w:val="412"/>
  </w:num>
  <w:num w:numId="168" w16cid:durableId="1764833276">
    <w:abstractNumId w:val="246"/>
  </w:num>
  <w:num w:numId="169" w16cid:durableId="969898841">
    <w:abstractNumId w:val="358"/>
  </w:num>
  <w:num w:numId="170" w16cid:durableId="714937075">
    <w:abstractNumId w:val="369"/>
  </w:num>
  <w:num w:numId="171" w16cid:durableId="1500541815">
    <w:abstractNumId w:val="260"/>
  </w:num>
  <w:num w:numId="172" w16cid:durableId="1398941832">
    <w:abstractNumId w:val="337"/>
  </w:num>
  <w:num w:numId="173" w16cid:durableId="438457223">
    <w:abstractNumId w:val="298"/>
  </w:num>
  <w:num w:numId="174" w16cid:durableId="1543832153">
    <w:abstractNumId w:val="173"/>
  </w:num>
  <w:num w:numId="175" w16cid:durableId="804389930">
    <w:abstractNumId w:val="281"/>
  </w:num>
  <w:num w:numId="176" w16cid:durableId="367217536">
    <w:abstractNumId w:val="400"/>
  </w:num>
  <w:num w:numId="177" w16cid:durableId="1080327912">
    <w:abstractNumId w:val="108"/>
  </w:num>
  <w:num w:numId="178" w16cid:durableId="261645323">
    <w:abstractNumId w:val="418"/>
  </w:num>
  <w:num w:numId="179" w16cid:durableId="2048866986">
    <w:abstractNumId w:val="148"/>
  </w:num>
  <w:num w:numId="180" w16cid:durableId="430592350">
    <w:abstractNumId w:val="53"/>
  </w:num>
  <w:num w:numId="181" w16cid:durableId="36980235">
    <w:abstractNumId w:val="82"/>
  </w:num>
  <w:num w:numId="182" w16cid:durableId="1521698694">
    <w:abstractNumId w:val="37"/>
  </w:num>
  <w:num w:numId="183" w16cid:durableId="1809973801">
    <w:abstractNumId w:val="110"/>
  </w:num>
  <w:num w:numId="184" w16cid:durableId="1720474251">
    <w:abstractNumId w:val="46"/>
  </w:num>
  <w:num w:numId="185" w16cid:durableId="681126814">
    <w:abstractNumId w:val="71"/>
  </w:num>
  <w:num w:numId="186" w16cid:durableId="1883442066">
    <w:abstractNumId w:val="213"/>
  </w:num>
  <w:num w:numId="187" w16cid:durableId="1307470166">
    <w:abstractNumId w:val="318"/>
  </w:num>
  <w:num w:numId="188" w16cid:durableId="749545898">
    <w:abstractNumId w:val="135"/>
  </w:num>
  <w:num w:numId="189" w16cid:durableId="1933052031">
    <w:abstractNumId w:val="388"/>
  </w:num>
  <w:num w:numId="190" w16cid:durableId="1654093813">
    <w:abstractNumId w:val="51"/>
  </w:num>
  <w:num w:numId="191" w16cid:durableId="2089570486">
    <w:abstractNumId w:val="160"/>
  </w:num>
  <w:num w:numId="192" w16cid:durableId="995109469">
    <w:abstractNumId w:val="419"/>
  </w:num>
  <w:num w:numId="193" w16cid:durableId="1379284569">
    <w:abstractNumId w:val="35"/>
  </w:num>
  <w:num w:numId="194" w16cid:durableId="868835823">
    <w:abstractNumId w:val="103"/>
  </w:num>
  <w:num w:numId="195" w16cid:durableId="1291323654">
    <w:abstractNumId w:val="381"/>
  </w:num>
  <w:num w:numId="196" w16cid:durableId="1893270051">
    <w:abstractNumId w:val="320"/>
  </w:num>
  <w:num w:numId="197" w16cid:durableId="338119498">
    <w:abstractNumId w:val="416"/>
  </w:num>
  <w:num w:numId="198" w16cid:durableId="1708488611">
    <w:abstractNumId w:val="142"/>
  </w:num>
  <w:num w:numId="199" w16cid:durableId="2042513858">
    <w:abstractNumId w:val="265"/>
  </w:num>
  <w:num w:numId="200" w16cid:durableId="79836388">
    <w:abstractNumId w:val="310"/>
  </w:num>
  <w:num w:numId="201" w16cid:durableId="993682539">
    <w:abstractNumId w:val="422"/>
  </w:num>
  <w:num w:numId="202" w16cid:durableId="1201170320">
    <w:abstractNumId w:val="292"/>
  </w:num>
  <w:num w:numId="203" w16cid:durableId="1824394901">
    <w:abstractNumId w:val="279"/>
  </w:num>
  <w:num w:numId="204" w16cid:durableId="68578365">
    <w:abstractNumId w:val="44"/>
  </w:num>
  <w:num w:numId="205" w16cid:durableId="336690145">
    <w:abstractNumId w:val="144"/>
  </w:num>
  <w:num w:numId="206" w16cid:durableId="807625458">
    <w:abstractNumId w:val="143"/>
  </w:num>
  <w:num w:numId="207" w16cid:durableId="1139110680">
    <w:abstractNumId w:val="182"/>
  </w:num>
  <w:num w:numId="208" w16cid:durableId="969091791">
    <w:abstractNumId w:val="2"/>
    <w:lvlOverride w:ilvl="0">
      <w:lvl w:ilvl="0">
        <w:start w:val="1"/>
        <w:numFmt w:val="bullet"/>
        <w:lvlText w:val=""/>
        <w:legacy w:legacy="1" w:legacySpace="0" w:legacyIndent="283"/>
        <w:lvlJc w:val="left"/>
        <w:pPr>
          <w:ind w:left="619" w:hanging="283"/>
        </w:pPr>
        <w:rPr>
          <w:rFonts w:ascii="Symbol" w:hAnsi="Symbol" w:hint="default"/>
        </w:rPr>
      </w:lvl>
    </w:lvlOverride>
  </w:num>
  <w:num w:numId="209" w16cid:durableId="52197477">
    <w:abstractNumId w:val="368"/>
  </w:num>
  <w:num w:numId="210" w16cid:durableId="1015107231">
    <w:abstractNumId w:val="296"/>
  </w:num>
  <w:num w:numId="211" w16cid:durableId="80030789">
    <w:abstractNumId w:val="220"/>
  </w:num>
  <w:num w:numId="212" w16cid:durableId="2144077470">
    <w:abstractNumId w:val="251"/>
  </w:num>
  <w:num w:numId="213" w16cid:durableId="822700528">
    <w:abstractNumId w:val="3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16cid:durableId="1065644868">
    <w:abstractNumId w:val="4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527646970">
    <w:abstractNumId w:val="3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1869175823">
    <w:abstractNumId w:val="208"/>
    <w:lvlOverride w:ilvl="0">
      <w:startOverride w:val="1"/>
    </w:lvlOverride>
  </w:num>
  <w:num w:numId="217" w16cid:durableId="766122891">
    <w:abstractNumId w:val="4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2031176235">
    <w:abstractNumId w:val="2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283852596">
    <w:abstractNumId w:val="4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1757020609">
    <w:abstractNumId w:val="3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1763137143">
    <w:abstractNumId w:val="2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2128769046">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694384336">
    <w:abstractNumId w:val="352"/>
  </w:num>
  <w:num w:numId="224" w16cid:durableId="197477499">
    <w:abstractNumId w:val="346"/>
  </w:num>
  <w:num w:numId="225" w16cid:durableId="818881412">
    <w:abstractNumId w:val="274"/>
  </w:num>
  <w:num w:numId="226" w16cid:durableId="178932362">
    <w:abstractNumId w:val="12"/>
  </w:num>
  <w:num w:numId="227" w16cid:durableId="1422095202">
    <w:abstractNumId w:val="13"/>
  </w:num>
  <w:num w:numId="228" w16cid:durableId="292295990">
    <w:abstractNumId w:val="16"/>
  </w:num>
  <w:num w:numId="229" w16cid:durableId="1248274628">
    <w:abstractNumId w:val="17"/>
  </w:num>
  <w:num w:numId="230" w16cid:durableId="1007633117">
    <w:abstractNumId w:val="18"/>
  </w:num>
  <w:num w:numId="231" w16cid:durableId="1425110248">
    <w:abstractNumId w:val="19"/>
  </w:num>
  <w:num w:numId="232" w16cid:durableId="795683798">
    <w:abstractNumId w:val="20"/>
  </w:num>
  <w:num w:numId="233" w16cid:durableId="2127386535">
    <w:abstractNumId w:val="405"/>
  </w:num>
  <w:num w:numId="234" w16cid:durableId="824247391">
    <w:abstractNumId w:val="394"/>
  </w:num>
  <w:num w:numId="235" w16cid:durableId="324826912">
    <w:abstractNumId w:val="264"/>
  </w:num>
  <w:num w:numId="236" w16cid:durableId="970478062">
    <w:abstractNumId w:val="96"/>
  </w:num>
  <w:num w:numId="237" w16cid:durableId="1810434233">
    <w:abstractNumId w:val="195"/>
  </w:num>
  <w:num w:numId="238" w16cid:durableId="353579014">
    <w:abstractNumId w:val="365"/>
  </w:num>
  <w:num w:numId="239" w16cid:durableId="41364341">
    <w:abstractNumId w:val="101"/>
  </w:num>
  <w:num w:numId="240" w16cid:durableId="93333388">
    <w:abstractNumId w:val="340"/>
  </w:num>
  <w:num w:numId="241" w16cid:durableId="605230382">
    <w:abstractNumId w:val="222"/>
  </w:num>
  <w:num w:numId="242" w16cid:durableId="2061401120">
    <w:abstractNumId w:val="366"/>
  </w:num>
  <w:num w:numId="243" w16cid:durableId="65109347">
    <w:abstractNumId w:val="150"/>
  </w:num>
  <w:num w:numId="244" w16cid:durableId="1267035810">
    <w:abstractNumId w:val="299"/>
  </w:num>
  <w:num w:numId="245" w16cid:durableId="178279936">
    <w:abstractNumId w:val="97"/>
    <w:lvlOverride w:ilvl="0">
      <w:startOverride w:val="20"/>
    </w:lvlOverride>
  </w:num>
  <w:num w:numId="246" w16cid:durableId="1145975898">
    <w:abstractNumId w:val="59"/>
    <w:lvlOverride w:ilvl="0">
      <w:startOverride w:val="1"/>
    </w:lvlOverride>
  </w:num>
  <w:num w:numId="247" w16cid:durableId="602879533">
    <w:abstractNumId w:val="129"/>
    <w:lvlOverride w:ilvl="0">
      <w:startOverride w:val="1"/>
    </w:lvlOverride>
  </w:num>
  <w:num w:numId="248" w16cid:durableId="1169641001">
    <w:abstractNumId w:val="207"/>
    <w:lvlOverride w:ilvl="0">
      <w:startOverride w:val="1"/>
    </w:lvlOverride>
  </w:num>
  <w:num w:numId="249" w16cid:durableId="696086034">
    <w:abstractNumId w:val="40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16cid:durableId="1458450832">
    <w:abstractNumId w:val="6"/>
  </w:num>
  <w:num w:numId="251" w16cid:durableId="359939137">
    <w:abstractNumId w:val="7"/>
  </w:num>
  <w:num w:numId="252" w16cid:durableId="789936623">
    <w:abstractNumId w:val="21"/>
  </w:num>
  <w:num w:numId="253" w16cid:durableId="418716020">
    <w:abstractNumId w:val="22"/>
  </w:num>
  <w:num w:numId="254" w16cid:durableId="139544628">
    <w:abstractNumId w:val="23"/>
  </w:num>
  <w:num w:numId="255" w16cid:durableId="313031530">
    <w:abstractNumId w:val="25"/>
  </w:num>
  <w:num w:numId="256" w16cid:durableId="940071427">
    <w:abstractNumId w:val="26"/>
  </w:num>
  <w:num w:numId="257" w16cid:durableId="724253762">
    <w:abstractNumId w:val="27"/>
  </w:num>
  <w:num w:numId="258" w16cid:durableId="677074170">
    <w:abstractNumId w:val="28"/>
  </w:num>
  <w:num w:numId="259" w16cid:durableId="770777224">
    <w:abstractNumId w:val="29"/>
  </w:num>
  <w:num w:numId="260" w16cid:durableId="2023622157">
    <w:abstractNumId w:val="30"/>
  </w:num>
  <w:num w:numId="261" w16cid:durableId="2086684287">
    <w:abstractNumId w:val="31"/>
  </w:num>
  <w:num w:numId="262" w16cid:durableId="1468745577">
    <w:abstractNumId w:val="32"/>
  </w:num>
  <w:num w:numId="263" w16cid:durableId="1826581279">
    <w:abstractNumId w:val="33"/>
  </w:num>
  <w:num w:numId="264" w16cid:durableId="1460418692">
    <w:abstractNumId w:val="328"/>
  </w:num>
  <w:num w:numId="265" w16cid:durableId="1163009560">
    <w:abstractNumId w:val="372"/>
  </w:num>
  <w:num w:numId="266" w16cid:durableId="332923774">
    <w:abstractNumId w:val="414"/>
  </w:num>
  <w:num w:numId="267" w16cid:durableId="643124847">
    <w:abstractNumId w:val="309"/>
  </w:num>
  <w:num w:numId="268" w16cid:durableId="327178458">
    <w:abstractNumId w:val="167"/>
  </w:num>
  <w:num w:numId="269" w16cid:durableId="104349671">
    <w:abstractNumId w:val="234"/>
  </w:num>
  <w:num w:numId="270" w16cid:durableId="467825134">
    <w:abstractNumId w:val="119"/>
  </w:num>
  <w:num w:numId="271" w16cid:durableId="1587420930">
    <w:abstractNumId w:val="89"/>
  </w:num>
  <w:num w:numId="272" w16cid:durableId="632294578">
    <w:abstractNumId w:val="239"/>
  </w:num>
  <w:num w:numId="273" w16cid:durableId="9070895">
    <w:abstractNumId w:val="278"/>
  </w:num>
  <w:num w:numId="274" w16cid:durableId="602107237">
    <w:abstractNumId w:val="275"/>
  </w:num>
  <w:num w:numId="275" w16cid:durableId="613830441">
    <w:abstractNumId w:val="8"/>
  </w:num>
  <w:num w:numId="276" w16cid:durableId="2070958658">
    <w:abstractNumId w:val="9"/>
  </w:num>
  <w:num w:numId="277" w16cid:durableId="658651940">
    <w:abstractNumId w:val="282"/>
  </w:num>
  <w:num w:numId="278" w16cid:durableId="425853466">
    <w:abstractNumId w:val="250"/>
  </w:num>
  <w:num w:numId="279" w16cid:durableId="481044859">
    <w:abstractNumId w:val="139"/>
  </w:num>
  <w:num w:numId="280" w16cid:durableId="1077895947">
    <w:abstractNumId w:val="99"/>
  </w:num>
  <w:num w:numId="281" w16cid:durableId="1114204158">
    <w:abstractNumId w:val="339"/>
  </w:num>
  <w:num w:numId="282" w16cid:durableId="557977152">
    <w:abstractNumId w:val="43"/>
  </w:num>
  <w:num w:numId="283" w16cid:durableId="1473207177">
    <w:abstractNumId w:val="65"/>
  </w:num>
  <w:num w:numId="284" w16cid:durableId="1399135211">
    <w:abstractNumId w:val="395"/>
  </w:num>
  <w:num w:numId="285" w16cid:durableId="807092508">
    <w:abstractNumId w:val="409"/>
  </w:num>
  <w:num w:numId="286" w16cid:durableId="707527090">
    <w:abstractNumId w:val="280"/>
  </w:num>
  <w:num w:numId="287" w16cid:durableId="1741712866">
    <w:abstractNumId w:val="172"/>
  </w:num>
  <w:num w:numId="288" w16cid:durableId="1503230461">
    <w:abstractNumId w:val="329"/>
  </w:num>
  <w:num w:numId="289" w16cid:durableId="404843664">
    <w:abstractNumId w:val="193"/>
  </w:num>
  <w:num w:numId="290" w16cid:durableId="758604618">
    <w:abstractNumId w:val="193"/>
    <w:lvlOverride w:ilvl="0">
      <w:startOverride w:val="1"/>
    </w:lvlOverride>
  </w:num>
  <w:num w:numId="291" w16cid:durableId="1616906941">
    <w:abstractNumId w:val="237"/>
  </w:num>
  <w:num w:numId="292" w16cid:durableId="1059591877">
    <w:abstractNumId w:val="391"/>
  </w:num>
  <w:num w:numId="293" w16cid:durableId="1498307582">
    <w:abstractNumId w:val="127"/>
  </w:num>
  <w:num w:numId="294" w16cid:durableId="1326284083">
    <w:abstractNumId w:val="249"/>
  </w:num>
  <w:num w:numId="295" w16cid:durableId="2009673406">
    <w:abstractNumId w:val="217"/>
  </w:num>
  <w:num w:numId="296" w16cid:durableId="687298339">
    <w:abstractNumId w:val="186"/>
  </w:num>
  <w:num w:numId="297" w16cid:durableId="377822134">
    <w:abstractNumId w:val="225"/>
  </w:num>
  <w:num w:numId="298" w16cid:durableId="1748645315">
    <w:abstractNumId w:val="230"/>
  </w:num>
  <w:num w:numId="299" w16cid:durableId="422458583">
    <w:abstractNumId w:val="149"/>
  </w:num>
  <w:num w:numId="300" w16cid:durableId="1176193224">
    <w:abstractNumId w:val="277"/>
  </w:num>
  <w:num w:numId="301" w16cid:durableId="373845679">
    <w:abstractNumId w:val="187"/>
  </w:num>
  <w:num w:numId="302" w16cid:durableId="879319674">
    <w:abstractNumId w:val="124"/>
  </w:num>
  <w:num w:numId="303" w16cid:durableId="1007753595">
    <w:abstractNumId w:val="125"/>
  </w:num>
  <w:num w:numId="304" w16cid:durableId="1854538695">
    <w:abstractNumId w:val="161"/>
  </w:num>
  <w:num w:numId="305" w16cid:durableId="1266882954">
    <w:abstractNumId w:val="38"/>
  </w:num>
  <w:num w:numId="306" w16cid:durableId="560599069">
    <w:abstractNumId w:val="344"/>
  </w:num>
  <w:num w:numId="307" w16cid:durableId="1670063162">
    <w:abstractNumId w:val="379"/>
  </w:num>
  <w:num w:numId="308" w16cid:durableId="1798445732">
    <w:abstractNumId w:val="306"/>
  </w:num>
  <w:num w:numId="309" w16cid:durableId="1672366432">
    <w:abstractNumId w:val="417"/>
  </w:num>
  <w:num w:numId="310" w16cid:durableId="295305648">
    <w:abstractNumId w:val="376"/>
  </w:num>
  <w:num w:numId="311" w16cid:durableId="820468666">
    <w:abstractNumId w:val="180"/>
  </w:num>
  <w:num w:numId="312" w16cid:durableId="2130469527">
    <w:abstractNumId w:val="61"/>
  </w:num>
  <w:num w:numId="313" w16cid:durableId="1979918902">
    <w:abstractNumId w:val="48"/>
  </w:num>
  <w:num w:numId="314" w16cid:durableId="1449351008">
    <w:abstractNumId w:val="83"/>
  </w:num>
  <w:num w:numId="315" w16cid:durableId="268859948">
    <w:abstractNumId w:val="196"/>
  </w:num>
  <w:num w:numId="316" w16cid:durableId="1518615419">
    <w:abstractNumId w:val="312"/>
  </w:num>
  <w:num w:numId="317" w16cid:durableId="1446149408">
    <w:abstractNumId w:val="317"/>
  </w:num>
  <w:num w:numId="318" w16cid:durableId="2048336773">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361899446">
    <w:abstractNumId w:val="1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1491556128">
    <w:abstractNumId w:val="1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16cid:durableId="1787001300">
    <w:abstractNumId w:val="2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511067916">
    <w:abstractNumId w:val="1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867135744">
    <w:abstractNumId w:val="3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2040232001">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189952916">
    <w:abstractNumId w:val="3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494536981">
    <w:abstractNumId w:val="1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16cid:durableId="363135477">
    <w:abstractNumId w:val="2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942106737">
    <w:abstractNumId w:val="1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729068899">
    <w:abstractNumId w:val="304"/>
  </w:num>
  <w:num w:numId="330" w16cid:durableId="971833723">
    <w:abstractNumId w:val="2"/>
    <w:lvlOverride w:ilvl="0">
      <w:lvl w:ilvl="0">
        <w:numFmt w:val="bullet"/>
        <w:lvlText w:val=""/>
        <w:legacy w:legacy="1" w:legacySpace="0" w:legacyIndent="283"/>
        <w:lvlJc w:val="left"/>
        <w:pPr>
          <w:ind w:left="283" w:hanging="283"/>
        </w:pPr>
        <w:rPr>
          <w:rFonts w:ascii="Symbol" w:hAnsi="Symbol" w:hint="default"/>
          <w:sz w:val="20"/>
        </w:rPr>
      </w:lvl>
    </w:lvlOverride>
  </w:num>
  <w:num w:numId="331" w16cid:durableId="1220241909">
    <w:abstractNumId w:val="262"/>
  </w:num>
  <w:num w:numId="332" w16cid:durableId="1610239138">
    <w:abstractNumId w:val="2"/>
    <w:lvlOverride w:ilvl="0">
      <w:lvl w:ilvl="0">
        <w:numFmt w:val="bullet"/>
        <w:lvlText w:val=""/>
        <w:legacy w:legacy="1" w:legacySpace="0" w:legacyIndent="283"/>
        <w:lvlJc w:val="left"/>
        <w:pPr>
          <w:ind w:left="328" w:hanging="283"/>
        </w:pPr>
        <w:rPr>
          <w:rFonts w:ascii="Symbol" w:hAnsi="Symbol" w:hint="default"/>
          <w:sz w:val="20"/>
        </w:rPr>
      </w:lvl>
    </w:lvlOverride>
  </w:num>
  <w:num w:numId="333" w16cid:durableId="1712922055">
    <w:abstractNumId w:val="240"/>
    <w:lvlOverride w:ilvl="0">
      <w:startOverride w:val="1"/>
    </w:lvlOverride>
  </w:num>
  <w:num w:numId="334" w16cid:durableId="1026175188">
    <w:abstractNumId w:val="2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825824055">
    <w:abstractNumId w:val="2"/>
    <w:lvlOverride w:ilvl="0">
      <w:lvl w:ilvl="0">
        <w:numFmt w:val="bullet"/>
        <w:lvlText w:val=""/>
        <w:legacy w:legacy="1" w:legacySpace="120" w:legacyIndent="284"/>
        <w:lvlJc w:val="left"/>
        <w:pPr>
          <w:ind w:left="284" w:hanging="284"/>
        </w:pPr>
        <w:rPr>
          <w:rFonts w:ascii="Symbol" w:hAnsi="Symbol" w:hint="default"/>
        </w:rPr>
      </w:lvl>
    </w:lvlOverride>
  </w:num>
  <w:num w:numId="336" w16cid:durableId="1345866687">
    <w:abstractNumId w:val="4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1465662872">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74863550">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949051491">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829060999">
    <w:abstractNumId w:val="1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368601680">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491676915">
    <w:abstractNumId w:val="325"/>
    <w:lvlOverride w:ilvl="0">
      <w:startOverride w:val="1"/>
    </w:lvlOverride>
  </w:num>
  <w:num w:numId="343" w16cid:durableId="1596328788">
    <w:abstractNumId w:val="154"/>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253441921">
    <w:abstractNumId w:val="55"/>
  </w:num>
  <w:num w:numId="345" w16cid:durableId="281426428">
    <w:abstractNumId w:val="177"/>
  </w:num>
  <w:num w:numId="346" w16cid:durableId="1240628493">
    <w:abstractNumId w:val="373"/>
  </w:num>
  <w:num w:numId="347" w16cid:durableId="2014262714">
    <w:abstractNumId w:val="98"/>
  </w:num>
  <w:num w:numId="348" w16cid:durableId="1748763852">
    <w:abstractNumId w:val="294"/>
  </w:num>
  <w:num w:numId="349" w16cid:durableId="2049989183">
    <w:abstractNumId w:val="115"/>
  </w:num>
  <w:num w:numId="350" w16cid:durableId="1123110815">
    <w:abstractNumId w:val="326"/>
  </w:num>
  <w:num w:numId="351" w16cid:durableId="940722779">
    <w:abstractNumId w:val="389"/>
  </w:num>
  <w:num w:numId="352" w16cid:durableId="590436426">
    <w:abstractNumId w:val="87"/>
  </w:num>
  <w:num w:numId="353" w16cid:durableId="831066902">
    <w:abstractNumId w:val="5"/>
  </w:num>
  <w:num w:numId="354" w16cid:durableId="125468364">
    <w:abstractNumId w:val="10"/>
  </w:num>
  <w:num w:numId="355" w16cid:durableId="1200435150">
    <w:abstractNumId w:val="11"/>
  </w:num>
  <w:num w:numId="356" w16cid:durableId="1193031832">
    <w:abstractNumId w:val="14"/>
  </w:num>
  <w:num w:numId="357" w16cid:durableId="413742430">
    <w:abstractNumId w:val="15"/>
  </w:num>
  <w:num w:numId="358" w16cid:durableId="1909028836">
    <w:abstractNumId w:val="24"/>
  </w:num>
  <w:num w:numId="359" w16cid:durableId="699670279">
    <w:abstractNumId w:val="188"/>
  </w:num>
  <w:num w:numId="360" w16cid:durableId="1531918733">
    <w:abstractNumId w:val="324"/>
  </w:num>
  <w:num w:numId="361" w16cid:durableId="824933139">
    <w:abstractNumId w:val="194"/>
  </w:num>
  <w:num w:numId="362" w16cid:durableId="1536117930">
    <w:abstractNumId w:val="335"/>
  </w:num>
  <w:num w:numId="363" w16cid:durableId="412355791">
    <w:abstractNumId w:val="181"/>
  </w:num>
  <w:num w:numId="364" w16cid:durableId="44284792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439882946">
    <w:abstractNumId w:val="321"/>
  </w:num>
  <w:num w:numId="366" w16cid:durableId="1130896930">
    <w:abstractNumId w:val="159"/>
  </w:num>
  <w:num w:numId="367" w16cid:durableId="690768169">
    <w:abstractNumId w:val="268"/>
  </w:num>
  <w:num w:numId="368" w16cid:durableId="475414275">
    <w:abstractNumId w:val="245"/>
  </w:num>
  <w:num w:numId="369" w16cid:durableId="281695056">
    <w:abstractNumId w:val="245"/>
    <w:lvlOverride w:ilvl="0">
      <w:lvl w:ilvl="0">
        <w:start w:val="1"/>
        <w:numFmt w:val="decimal"/>
        <w:lvlText w:val="1.4.%1. "/>
        <w:legacy w:legacy="1" w:legacySpace="0" w:legacyIndent="283"/>
        <w:lvlJc w:val="left"/>
        <w:pPr>
          <w:ind w:left="283" w:hanging="283"/>
        </w:pPr>
        <w:rPr>
          <w:rFonts w:ascii="Times New Roman" w:hAnsi="Times New Roman" w:hint="default"/>
          <w:b/>
          <w:i w:val="0"/>
          <w:sz w:val="20"/>
          <w:u w:val="none"/>
        </w:rPr>
      </w:lvl>
    </w:lvlOverride>
  </w:num>
  <w:num w:numId="370" w16cid:durableId="477697824">
    <w:abstractNumId w:val="271"/>
  </w:num>
  <w:num w:numId="371" w16cid:durableId="642855155">
    <w:abstractNumId w:val="151"/>
  </w:num>
  <w:num w:numId="372" w16cid:durableId="222495686">
    <w:abstractNumId w:val="290"/>
  </w:num>
  <w:num w:numId="373" w16cid:durableId="1767923548">
    <w:abstractNumId w:val="192"/>
  </w:num>
  <w:num w:numId="374" w16cid:durableId="1680620332">
    <w:abstractNumId w:val="117"/>
  </w:num>
  <w:num w:numId="375" w16cid:durableId="2128890961">
    <w:abstractNumId w:val="163"/>
  </w:num>
  <w:num w:numId="376" w16cid:durableId="393167739">
    <w:abstractNumId w:val="428"/>
  </w:num>
  <w:num w:numId="377" w16cid:durableId="491988003">
    <w:abstractNumId w:val="137"/>
  </w:num>
  <w:num w:numId="378" w16cid:durableId="1591280110">
    <w:abstractNumId w:val="343"/>
  </w:num>
  <w:num w:numId="379" w16cid:durableId="253977349">
    <w:abstractNumId w:val="226"/>
  </w:num>
  <w:num w:numId="380" w16cid:durableId="1786609518">
    <w:abstractNumId w:val="178"/>
  </w:num>
  <w:num w:numId="381" w16cid:durableId="1943760984">
    <w:abstractNumId w:val="156"/>
  </w:num>
  <w:num w:numId="382" w16cid:durableId="1075322948">
    <w:abstractNumId w:val="384"/>
  </w:num>
  <w:num w:numId="383" w16cid:durableId="1566453969">
    <w:abstractNumId w:val="141"/>
  </w:num>
  <w:num w:numId="384" w16cid:durableId="1048839825">
    <w:abstractNumId w:val="40"/>
  </w:num>
  <w:num w:numId="385" w16cid:durableId="1329166659">
    <w:abstractNumId w:val="252"/>
  </w:num>
  <w:num w:numId="386" w16cid:durableId="1228346625">
    <w:abstractNumId w:val="67"/>
  </w:num>
  <w:num w:numId="387" w16cid:durableId="951788627">
    <w:abstractNumId w:val="415"/>
  </w:num>
  <w:num w:numId="388" w16cid:durableId="1815876582">
    <w:abstractNumId w:val="75"/>
  </w:num>
  <w:num w:numId="389" w16cid:durableId="755059346">
    <w:abstractNumId w:val="261"/>
  </w:num>
  <w:num w:numId="390" w16cid:durableId="880629620">
    <w:abstractNumId w:val="284"/>
  </w:num>
  <w:num w:numId="391" w16cid:durableId="1439370304">
    <w:abstractNumId w:val="425"/>
  </w:num>
  <w:num w:numId="392" w16cid:durableId="1276063534">
    <w:abstractNumId w:val="387"/>
  </w:num>
  <w:num w:numId="393" w16cid:durableId="1247495106">
    <w:abstractNumId w:val="375"/>
  </w:num>
  <w:num w:numId="394" w16cid:durableId="258948090">
    <w:abstractNumId w:val="374"/>
  </w:num>
  <w:num w:numId="395" w16cid:durableId="693699643">
    <w:abstractNumId w:val="380"/>
  </w:num>
  <w:num w:numId="396" w16cid:durableId="971522859">
    <w:abstractNumId w:val="52"/>
  </w:num>
  <w:num w:numId="397" w16cid:durableId="1611355008">
    <w:abstractNumId w:val="62"/>
  </w:num>
  <w:num w:numId="398" w16cid:durableId="532033940">
    <w:abstractNumId w:val="258"/>
  </w:num>
  <w:num w:numId="399" w16cid:durableId="628777598">
    <w:abstractNumId w:val="112"/>
  </w:num>
  <w:num w:numId="400" w16cid:durableId="1033650551">
    <w:abstractNumId w:val="341"/>
  </w:num>
  <w:num w:numId="401" w16cid:durableId="1424186035">
    <w:abstractNumId w:val="267"/>
  </w:num>
  <w:num w:numId="402" w16cid:durableId="1080104546">
    <w:abstractNumId w:val="342"/>
  </w:num>
  <w:num w:numId="403" w16cid:durableId="464856999">
    <w:abstractNumId w:val="79"/>
  </w:num>
  <w:num w:numId="404" w16cid:durableId="474109219">
    <w:abstractNumId w:val="146"/>
  </w:num>
  <w:num w:numId="405" w16cid:durableId="464355072">
    <w:abstractNumId w:val="350"/>
  </w:num>
  <w:num w:numId="406" w16cid:durableId="723912339">
    <w:abstractNumId w:val="349"/>
  </w:num>
  <w:num w:numId="407" w16cid:durableId="124857373">
    <w:abstractNumId w:val="370"/>
  </w:num>
  <w:num w:numId="408" w16cid:durableId="1241210561">
    <w:abstractNumId w:val="272"/>
  </w:num>
  <w:num w:numId="409" w16cid:durableId="2085105125">
    <w:abstractNumId w:val="429"/>
  </w:num>
  <w:num w:numId="410" w16cid:durableId="1435008033">
    <w:abstractNumId w:val="383"/>
  </w:num>
  <w:num w:numId="411" w16cid:durableId="1300568672">
    <w:abstractNumId w:val="184"/>
  </w:num>
  <w:num w:numId="412" w16cid:durableId="1058211547">
    <w:abstractNumId w:val="410"/>
  </w:num>
  <w:num w:numId="413" w16cid:durableId="124547539">
    <w:abstractNumId w:val="104"/>
  </w:num>
  <w:num w:numId="414" w16cid:durableId="1617826890">
    <w:abstractNumId w:val="90"/>
  </w:num>
  <w:num w:numId="415" w16cid:durableId="1577010706">
    <w:abstractNumId w:val="211"/>
  </w:num>
  <w:num w:numId="416" w16cid:durableId="1410692886">
    <w:abstractNumId w:val="431"/>
  </w:num>
  <w:num w:numId="417" w16cid:durableId="1540510818">
    <w:abstractNumId w:val="109"/>
  </w:num>
  <w:num w:numId="418" w16cid:durableId="927694226">
    <w:abstractNumId w:val="307"/>
    <w:lvlOverride w:ilvl="0">
      <w:startOverride w:val="1"/>
    </w:lvlOverride>
  </w:num>
  <w:num w:numId="419" w16cid:durableId="1775786397">
    <w:abstractNumId w:val="233"/>
    <w:lvlOverride w:ilvl="0">
      <w:startOverride w:val="1"/>
    </w:lvlOverride>
  </w:num>
  <w:num w:numId="420" w16cid:durableId="237592295">
    <w:abstractNumId w:val="289"/>
    <w:lvlOverride w:ilvl="0">
      <w:startOverride w:val="3"/>
    </w:lvlOverride>
  </w:num>
  <w:num w:numId="421" w16cid:durableId="728772269">
    <w:abstractNumId w:val="359"/>
    <w:lvlOverride w:ilvl="0">
      <w:startOverride w:val="44"/>
    </w:lvlOverride>
  </w:num>
  <w:num w:numId="422" w16cid:durableId="1145508086">
    <w:abstractNumId w:val="92"/>
    <w:lvlOverride w:ilvl="0">
      <w:startOverride w:val="1"/>
    </w:lvlOverride>
  </w:num>
  <w:num w:numId="423" w16cid:durableId="826438516">
    <w:abstractNumId w:val="393"/>
    <w:lvlOverride w:ilvl="0">
      <w:startOverride w:val="1"/>
    </w:lvlOverride>
  </w:num>
  <w:num w:numId="424" w16cid:durableId="1126116553">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249072920">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1944455411">
    <w:abstractNumId w:val="197"/>
  </w:num>
  <w:num w:numId="427" w16cid:durableId="986907396">
    <w:abstractNumId w:val="147"/>
  </w:num>
  <w:num w:numId="428" w16cid:durableId="1869486259">
    <w:abstractNumId w:val="130"/>
  </w:num>
  <w:num w:numId="429" w16cid:durableId="1464694790">
    <w:abstractNumId w:val="423"/>
  </w:num>
  <w:num w:numId="430" w16cid:durableId="92020647">
    <w:abstractNumId w:val="155"/>
  </w:num>
  <w:num w:numId="431" w16cid:durableId="1000885761">
    <w:abstractNumId w:val="273"/>
  </w:num>
  <w:num w:numId="432" w16cid:durableId="116025874">
    <w:abstractNumId w:val="120"/>
  </w:num>
  <w:num w:numId="433" w16cid:durableId="1148470984">
    <w:abstractNumId w:val="313"/>
  </w:num>
  <w:num w:numId="434" w16cid:durableId="349182206">
    <w:abstractNumId w:val="235"/>
  </w:num>
  <w:num w:numId="435" w16cid:durableId="817187239">
    <w:abstractNumId w:val="295"/>
  </w:num>
  <w:num w:numId="436" w16cid:durableId="1405762803">
    <w:abstractNumId w:val="153"/>
  </w:num>
  <w:numIdMacAtCleanup w:val="4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A27"/>
    <w:rsid w:val="00000F93"/>
    <w:rsid w:val="00002E63"/>
    <w:rsid w:val="000208DC"/>
    <w:rsid w:val="00022365"/>
    <w:rsid w:val="00042BD7"/>
    <w:rsid w:val="00043874"/>
    <w:rsid w:val="00045B13"/>
    <w:rsid w:val="00052469"/>
    <w:rsid w:val="000674EA"/>
    <w:rsid w:val="00072A61"/>
    <w:rsid w:val="000741CD"/>
    <w:rsid w:val="0008270D"/>
    <w:rsid w:val="000A04F7"/>
    <w:rsid w:val="000A15D6"/>
    <w:rsid w:val="000A1CBE"/>
    <w:rsid w:val="000A25DA"/>
    <w:rsid w:val="000A4D82"/>
    <w:rsid w:val="000C6336"/>
    <w:rsid w:val="000C6FA8"/>
    <w:rsid w:val="000D0835"/>
    <w:rsid w:val="000D3174"/>
    <w:rsid w:val="000D539A"/>
    <w:rsid w:val="000F1505"/>
    <w:rsid w:val="000F4FA9"/>
    <w:rsid w:val="0010391D"/>
    <w:rsid w:val="001075D0"/>
    <w:rsid w:val="00134156"/>
    <w:rsid w:val="001370BA"/>
    <w:rsid w:val="001437EF"/>
    <w:rsid w:val="00145D54"/>
    <w:rsid w:val="001667DB"/>
    <w:rsid w:val="00173914"/>
    <w:rsid w:val="00176EA9"/>
    <w:rsid w:val="00180329"/>
    <w:rsid w:val="001846F3"/>
    <w:rsid w:val="00185D22"/>
    <w:rsid w:val="00187D2F"/>
    <w:rsid w:val="00193621"/>
    <w:rsid w:val="00197C10"/>
    <w:rsid w:val="001A0555"/>
    <w:rsid w:val="001A1FB9"/>
    <w:rsid w:val="001A25AD"/>
    <w:rsid w:val="001A6B61"/>
    <w:rsid w:val="001B2490"/>
    <w:rsid w:val="001B4B8F"/>
    <w:rsid w:val="001C05D3"/>
    <w:rsid w:val="001C137C"/>
    <w:rsid w:val="001D3A67"/>
    <w:rsid w:val="001D6969"/>
    <w:rsid w:val="001D6FEF"/>
    <w:rsid w:val="001E0A21"/>
    <w:rsid w:val="001E0EA8"/>
    <w:rsid w:val="001E22F9"/>
    <w:rsid w:val="001E32C9"/>
    <w:rsid w:val="001E718C"/>
    <w:rsid w:val="001F335A"/>
    <w:rsid w:val="00203E57"/>
    <w:rsid w:val="0021688B"/>
    <w:rsid w:val="0023478F"/>
    <w:rsid w:val="0024399D"/>
    <w:rsid w:val="00243D2B"/>
    <w:rsid w:val="00245EDD"/>
    <w:rsid w:val="0026107A"/>
    <w:rsid w:val="0026230D"/>
    <w:rsid w:val="0026402B"/>
    <w:rsid w:val="00270078"/>
    <w:rsid w:val="00273CBA"/>
    <w:rsid w:val="00274AF9"/>
    <w:rsid w:val="002824F8"/>
    <w:rsid w:val="002854BD"/>
    <w:rsid w:val="0028570B"/>
    <w:rsid w:val="00292E2A"/>
    <w:rsid w:val="00295F8E"/>
    <w:rsid w:val="002967E5"/>
    <w:rsid w:val="002B1FC0"/>
    <w:rsid w:val="002D77F5"/>
    <w:rsid w:val="002E4463"/>
    <w:rsid w:val="00301574"/>
    <w:rsid w:val="00307205"/>
    <w:rsid w:val="00326BBF"/>
    <w:rsid w:val="003302AC"/>
    <w:rsid w:val="00337012"/>
    <w:rsid w:val="00352201"/>
    <w:rsid w:val="0036460E"/>
    <w:rsid w:val="00364C88"/>
    <w:rsid w:val="00371606"/>
    <w:rsid w:val="0039708F"/>
    <w:rsid w:val="003A3976"/>
    <w:rsid w:val="003B00F3"/>
    <w:rsid w:val="003B0CCF"/>
    <w:rsid w:val="003C704A"/>
    <w:rsid w:val="003D1C23"/>
    <w:rsid w:val="003D5855"/>
    <w:rsid w:val="003D6362"/>
    <w:rsid w:val="003D6749"/>
    <w:rsid w:val="003D77F6"/>
    <w:rsid w:val="003E1134"/>
    <w:rsid w:val="003E391F"/>
    <w:rsid w:val="003E4592"/>
    <w:rsid w:val="00423967"/>
    <w:rsid w:val="00427950"/>
    <w:rsid w:val="0043075C"/>
    <w:rsid w:val="00432725"/>
    <w:rsid w:val="00435ABC"/>
    <w:rsid w:val="00441A30"/>
    <w:rsid w:val="00447DB7"/>
    <w:rsid w:val="004517C1"/>
    <w:rsid w:val="004662D8"/>
    <w:rsid w:val="0048252F"/>
    <w:rsid w:val="0048275A"/>
    <w:rsid w:val="004863A1"/>
    <w:rsid w:val="00490769"/>
    <w:rsid w:val="004956EB"/>
    <w:rsid w:val="00497C5A"/>
    <w:rsid w:val="004A1717"/>
    <w:rsid w:val="004A5078"/>
    <w:rsid w:val="004A57D0"/>
    <w:rsid w:val="004A6EFA"/>
    <w:rsid w:val="004A7378"/>
    <w:rsid w:val="004A77BB"/>
    <w:rsid w:val="004B62A9"/>
    <w:rsid w:val="004B6718"/>
    <w:rsid w:val="004B6BF3"/>
    <w:rsid w:val="004C2985"/>
    <w:rsid w:val="004C3839"/>
    <w:rsid w:val="004D6256"/>
    <w:rsid w:val="004E3B44"/>
    <w:rsid w:val="004F5B98"/>
    <w:rsid w:val="00500186"/>
    <w:rsid w:val="00501AAF"/>
    <w:rsid w:val="00512C4D"/>
    <w:rsid w:val="00520C75"/>
    <w:rsid w:val="00525FBC"/>
    <w:rsid w:val="00533AA6"/>
    <w:rsid w:val="00540948"/>
    <w:rsid w:val="005421AD"/>
    <w:rsid w:val="005614F8"/>
    <w:rsid w:val="00570B74"/>
    <w:rsid w:val="00571744"/>
    <w:rsid w:val="00576B4E"/>
    <w:rsid w:val="00577746"/>
    <w:rsid w:val="00581EA9"/>
    <w:rsid w:val="00585490"/>
    <w:rsid w:val="0059265C"/>
    <w:rsid w:val="0059447F"/>
    <w:rsid w:val="005B7E46"/>
    <w:rsid w:val="005D4F30"/>
    <w:rsid w:val="005D788B"/>
    <w:rsid w:val="0060591E"/>
    <w:rsid w:val="00605F76"/>
    <w:rsid w:val="00613372"/>
    <w:rsid w:val="00613D39"/>
    <w:rsid w:val="00633CC7"/>
    <w:rsid w:val="0063783E"/>
    <w:rsid w:val="0064736D"/>
    <w:rsid w:val="0065395A"/>
    <w:rsid w:val="006763FA"/>
    <w:rsid w:val="0067640A"/>
    <w:rsid w:val="00677BDA"/>
    <w:rsid w:val="00685AD2"/>
    <w:rsid w:val="006912BD"/>
    <w:rsid w:val="00692BE8"/>
    <w:rsid w:val="006B57B3"/>
    <w:rsid w:val="006B5AE3"/>
    <w:rsid w:val="006C1965"/>
    <w:rsid w:val="006C3828"/>
    <w:rsid w:val="006D312E"/>
    <w:rsid w:val="006D3392"/>
    <w:rsid w:val="006F121F"/>
    <w:rsid w:val="006F47C3"/>
    <w:rsid w:val="006F5EC4"/>
    <w:rsid w:val="00702E6F"/>
    <w:rsid w:val="007032D4"/>
    <w:rsid w:val="00707056"/>
    <w:rsid w:val="00707FBF"/>
    <w:rsid w:val="007116EB"/>
    <w:rsid w:val="0071349E"/>
    <w:rsid w:val="00716801"/>
    <w:rsid w:val="00720C3D"/>
    <w:rsid w:val="0073606D"/>
    <w:rsid w:val="0074058A"/>
    <w:rsid w:val="00747AD3"/>
    <w:rsid w:val="00754F24"/>
    <w:rsid w:val="007561FF"/>
    <w:rsid w:val="0075634F"/>
    <w:rsid w:val="00777055"/>
    <w:rsid w:val="0078381C"/>
    <w:rsid w:val="007841EE"/>
    <w:rsid w:val="00785224"/>
    <w:rsid w:val="00796AFE"/>
    <w:rsid w:val="007970D8"/>
    <w:rsid w:val="007A2487"/>
    <w:rsid w:val="007A593C"/>
    <w:rsid w:val="007B2B87"/>
    <w:rsid w:val="007E18CC"/>
    <w:rsid w:val="007E4B4C"/>
    <w:rsid w:val="007E61CC"/>
    <w:rsid w:val="007F373E"/>
    <w:rsid w:val="007F3750"/>
    <w:rsid w:val="007F38B5"/>
    <w:rsid w:val="00816CDB"/>
    <w:rsid w:val="00824F5A"/>
    <w:rsid w:val="008255BC"/>
    <w:rsid w:val="0082563C"/>
    <w:rsid w:val="0082592A"/>
    <w:rsid w:val="008260C6"/>
    <w:rsid w:val="0083164B"/>
    <w:rsid w:val="008336F6"/>
    <w:rsid w:val="0083780F"/>
    <w:rsid w:val="00842E1B"/>
    <w:rsid w:val="0084667E"/>
    <w:rsid w:val="00853D8C"/>
    <w:rsid w:val="00854137"/>
    <w:rsid w:val="008705AD"/>
    <w:rsid w:val="00876995"/>
    <w:rsid w:val="00880FDD"/>
    <w:rsid w:val="00882724"/>
    <w:rsid w:val="008A04A6"/>
    <w:rsid w:val="008C1D4B"/>
    <w:rsid w:val="008D0D37"/>
    <w:rsid w:val="008D6254"/>
    <w:rsid w:val="008E09D3"/>
    <w:rsid w:val="008F1C10"/>
    <w:rsid w:val="009015E5"/>
    <w:rsid w:val="009030B5"/>
    <w:rsid w:val="00903B31"/>
    <w:rsid w:val="00904E6C"/>
    <w:rsid w:val="00910DF5"/>
    <w:rsid w:val="0093341C"/>
    <w:rsid w:val="009348F7"/>
    <w:rsid w:val="0094044A"/>
    <w:rsid w:val="00940958"/>
    <w:rsid w:val="00945DA0"/>
    <w:rsid w:val="00950005"/>
    <w:rsid w:val="00952024"/>
    <w:rsid w:val="00955A27"/>
    <w:rsid w:val="00957D1A"/>
    <w:rsid w:val="009776A9"/>
    <w:rsid w:val="009842EE"/>
    <w:rsid w:val="00990FC6"/>
    <w:rsid w:val="00996530"/>
    <w:rsid w:val="0099688B"/>
    <w:rsid w:val="009A197E"/>
    <w:rsid w:val="009A2019"/>
    <w:rsid w:val="009B325E"/>
    <w:rsid w:val="009B3FD6"/>
    <w:rsid w:val="009D57D0"/>
    <w:rsid w:val="009F4306"/>
    <w:rsid w:val="00A00DA7"/>
    <w:rsid w:val="00A02F53"/>
    <w:rsid w:val="00A0491C"/>
    <w:rsid w:val="00A14BCF"/>
    <w:rsid w:val="00A40F62"/>
    <w:rsid w:val="00A61D62"/>
    <w:rsid w:val="00A62596"/>
    <w:rsid w:val="00A637AB"/>
    <w:rsid w:val="00A65D61"/>
    <w:rsid w:val="00A714E1"/>
    <w:rsid w:val="00A71881"/>
    <w:rsid w:val="00A7280D"/>
    <w:rsid w:val="00A77494"/>
    <w:rsid w:val="00A87233"/>
    <w:rsid w:val="00A9424D"/>
    <w:rsid w:val="00AA7AC8"/>
    <w:rsid w:val="00AB2DB3"/>
    <w:rsid w:val="00AB3583"/>
    <w:rsid w:val="00AB65BF"/>
    <w:rsid w:val="00AB678D"/>
    <w:rsid w:val="00AC1121"/>
    <w:rsid w:val="00AC7753"/>
    <w:rsid w:val="00AD0055"/>
    <w:rsid w:val="00AD3737"/>
    <w:rsid w:val="00AF3357"/>
    <w:rsid w:val="00AF6180"/>
    <w:rsid w:val="00B00617"/>
    <w:rsid w:val="00B00E2C"/>
    <w:rsid w:val="00B07087"/>
    <w:rsid w:val="00B21953"/>
    <w:rsid w:val="00B2589B"/>
    <w:rsid w:val="00B36A70"/>
    <w:rsid w:val="00B41779"/>
    <w:rsid w:val="00B52468"/>
    <w:rsid w:val="00B61803"/>
    <w:rsid w:val="00B62EA9"/>
    <w:rsid w:val="00B63CED"/>
    <w:rsid w:val="00B64AEA"/>
    <w:rsid w:val="00B6793F"/>
    <w:rsid w:val="00B73D7B"/>
    <w:rsid w:val="00B746D9"/>
    <w:rsid w:val="00B8243F"/>
    <w:rsid w:val="00B867B8"/>
    <w:rsid w:val="00B86EED"/>
    <w:rsid w:val="00B91823"/>
    <w:rsid w:val="00BA0803"/>
    <w:rsid w:val="00BA745A"/>
    <w:rsid w:val="00BB4D0A"/>
    <w:rsid w:val="00BC063D"/>
    <w:rsid w:val="00BC7DE2"/>
    <w:rsid w:val="00BD71B3"/>
    <w:rsid w:val="00BE366B"/>
    <w:rsid w:val="00BE7D98"/>
    <w:rsid w:val="00BF0D16"/>
    <w:rsid w:val="00BF5152"/>
    <w:rsid w:val="00BF5EB5"/>
    <w:rsid w:val="00C03D2F"/>
    <w:rsid w:val="00C17798"/>
    <w:rsid w:val="00C2770C"/>
    <w:rsid w:val="00C3039F"/>
    <w:rsid w:val="00C37F64"/>
    <w:rsid w:val="00C40D09"/>
    <w:rsid w:val="00C502BD"/>
    <w:rsid w:val="00C5518B"/>
    <w:rsid w:val="00C629B7"/>
    <w:rsid w:val="00C65221"/>
    <w:rsid w:val="00C72960"/>
    <w:rsid w:val="00C73A21"/>
    <w:rsid w:val="00C912D1"/>
    <w:rsid w:val="00C92DF5"/>
    <w:rsid w:val="00C94106"/>
    <w:rsid w:val="00CA4861"/>
    <w:rsid w:val="00CB5980"/>
    <w:rsid w:val="00CB694B"/>
    <w:rsid w:val="00CC404C"/>
    <w:rsid w:val="00CC4443"/>
    <w:rsid w:val="00CD3828"/>
    <w:rsid w:val="00CD777B"/>
    <w:rsid w:val="00CD7DB8"/>
    <w:rsid w:val="00CE1E11"/>
    <w:rsid w:val="00CE43BC"/>
    <w:rsid w:val="00CE5FD3"/>
    <w:rsid w:val="00CF2105"/>
    <w:rsid w:val="00CF400F"/>
    <w:rsid w:val="00CF4E82"/>
    <w:rsid w:val="00D1442B"/>
    <w:rsid w:val="00D14686"/>
    <w:rsid w:val="00D15259"/>
    <w:rsid w:val="00D1553C"/>
    <w:rsid w:val="00D20863"/>
    <w:rsid w:val="00D30E29"/>
    <w:rsid w:val="00D33C82"/>
    <w:rsid w:val="00D36C4D"/>
    <w:rsid w:val="00D3722A"/>
    <w:rsid w:val="00D377C8"/>
    <w:rsid w:val="00D4422D"/>
    <w:rsid w:val="00D45D6B"/>
    <w:rsid w:val="00D55AD4"/>
    <w:rsid w:val="00D577B3"/>
    <w:rsid w:val="00D62065"/>
    <w:rsid w:val="00D669EF"/>
    <w:rsid w:val="00D86519"/>
    <w:rsid w:val="00D9528E"/>
    <w:rsid w:val="00D965E8"/>
    <w:rsid w:val="00DA6C30"/>
    <w:rsid w:val="00DB08A5"/>
    <w:rsid w:val="00DC0BF3"/>
    <w:rsid w:val="00DC1A24"/>
    <w:rsid w:val="00DC315B"/>
    <w:rsid w:val="00DC6FA2"/>
    <w:rsid w:val="00DD2818"/>
    <w:rsid w:val="00DD5FB9"/>
    <w:rsid w:val="00DD7B64"/>
    <w:rsid w:val="00DE49F3"/>
    <w:rsid w:val="00DE6F2A"/>
    <w:rsid w:val="00DF0205"/>
    <w:rsid w:val="00DF17EA"/>
    <w:rsid w:val="00DF5BC8"/>
    <w:rsid w:val="00DF62FB"/>
    <w:rsid w:val="00DF7222"/>
    <w:rsid w:val="00E01206"/>
    <w:rsid w:val="00E04484"/>
    <w:rsid w:val="00E076C4"/>
    <w:rsid w:val="00E076DD"/>
    <w:rsid w:val="00E11AE0"/>
    <w:rsid w:val="00E20A58"/>
    <w:rsid w:val="00E273B9"/>
    <w:rsid w:val="00E35278"/>
    <w:rsid w:val="00E478A4"/>
    <w:rsid w:val="00E51414"/>
    <w:rsid w:val="00E617E3"/>
    <w:rsid w:val="00E6373D"/>
    <w:rsid w:val="00E6458B"/>
    <w:rsid w:val="00E702A2"/>
    <w:rsid w:val="00E70E40"/>
    <w:rsid w:val="00E73777"/>
    <w:rsid w:val="00E9001F"/>
    <w:rsid w:val="00E91329"/>
    <w:rsid w:val="00E94C0F"/>
    <w:rsid w:val="00E95D56"/>
    <w:rsid w:val="00E978B4"/>
    <w:rsid w:val="00EA2772"/>
    <w:rsid w:val="00EC2687"/>
    <w:rsid w:val="00EC6FE2"/>
    <w:rsid w:val="00ED012D"/>
    <w:rsid w:val="00ED5159"/>
    <w:rsid w:val="00ED52B9"/>
    <w:rsid w:val="00EE0962"/>
    <w:rsid w:val="00EE1FBC"/>
    <w:rsid w:val="00EE480D"/>
    <w:rsid w:val="00EE6461"/>
    <w:rsid w:val="00EF20E0"/>
    <w:rsid w:val="00F17F2E"/>
    <w:rsid w:val="00F24F6A"/>
    <w:rsid w:val="00F30637"/>
    <w:rsid w:val="00F35C38"/>
    <w:rsid w:val="00F448F9"/>
    <w:rsid w:val="00F45BFE"/>
    <w:rsid w:val="00F55914"/>
    <w:rsid w:val="00F60D3B"/>
    <w:rsid w:val="00F772CC"/>
    <w:rsid w:val="00F80DDF"/>
    <w:rsid w:val="00F90865"/>
    <w:rsid w:val="00FA7059"/>
    <w:rsid w:val="00FB30DB"/>
    <w:rsid w:val="00FB57E4"/>
    <w:rsid w:val="00FB77D2"/>
    <w:rsid w:val="00FC35DA"/>
    <w:rsid w:val="00FC4C02"/>
    <w:rsid w:val="00FD3B41"/>
    <w:rsid w:val="00FE1A24"/>
    <w:rsid w:val="00FE2069"/>
    <w:rsid w:val="00FE247A"/>
    <w:rsid w:val="00FE6596"/>
    <w:rsid w:val="00FF1361"/>
    <w:rsid w:val="00FF214F"/>
    <w:rsid w:val="00FF6857"/>
    <w:rsid w:val="00FF749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53"/>
    <o:shapelayout v:ext="edit">
      <o:idmap v:ext="edit" data="1"/>
    </o:shapelayout>
  </w:shapeDefaults>
  <w:decimalSymbol w:val=","/>
  <w:listSeparator w:val=";"/>
  <w14:docId w14:val="364215EA"/>
  <w15:chartTrackingRefBased/>
  <w15:docId w15:val="{D5B9640C-8735-4090-9834-C3AA9FA6A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qFormat="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qFormat="1"/>
    <w:lsdException w:name="Body Text Indent 3" w:semiHidden="1" w:unhideWhenUsed="1" w:qFormat="1"/>
    <w:lsdException w:name="Block Text" w:semiHidden="1" w:uiPriority="0" w:unhideWhenUsed="1"/>
    <w:lsdException w:name="Hyperlink" w:semiHidden="1" w:uiPriority="0" w:unhideWhenUsed="1"/>
    <w:lsdException w:name="FollowedHyperlink" w:semiHidden="1" w:unhideWhenUsed="1" w:qFormat="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aliases w:val="Title 1,Nr specyfikacji"/>
    <w:basedOn w:val="Normalny"/>
    <w:next w:val="Normalny"/>
    <w:link w:val="Nagwek1Znak"/>
    <w:qFormat/>
    <w:rsid w:val="00955A27"/>
    <w:pPr>
      <w:keepNext/>
      <w:tabs>
        <w:tab w:val="left" w:pos="-1725"/>
        <w:tab w:val="left" w:pos="-1440"/>
        <w:tab w:val="left" w:pos="-1005"/>
        <w:tab w:val="left" w:pos="-720"/>
        <w:tab w:val="left" w:pos="-285"/>
        <w:tab w:val="left" w:pos="0"/>
        <w:tab w:val="left" w:pos="284"/>
        <w:tab w:val="left" w:pos="435"/>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line="360" w:lineRule="exact"/>
      <w:outlineLvl w:val="0"/>
    </w:pPr>
    <w:rPr>
      <w:rFonts w:ascii="Times New Roman" w:eastAsia="Times New Roman" w:hAnsi="Times New Roman" w:cs="Times New Roman"/>
      <w:b/>
      <w:caps/>
      <w:spacing w:val="-3"/>
      <w:kern w:val="28"/>
      <w:sz w:val="28"/>
      <w:szCs w:val="20"/>
      <w:lang w:val="en-GB" w:eastAsia="pl-PL"/>
    </w:rPr>
  </w:style>
  <w:style w:type="paragraph" w:styleId="Nagwek2">
    <w:name w:val="heading 2"/>
    <w:aliases w:val="Title 2"/>
    <w:basedOn w:val="Normalny"/>
    <w:next w:val="Normalny"/>
    <w:link w:val="Nagwek2Znak"/>
    <w:qFormat/>
    <w:rsid w:val="00955A27"/>
    <w:pPr>
      <w:keepNext/>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line="360" w:lineRule="exact"/>
      <w:outlineLvl w:val="1"/>
    </w:pPr>
    <w:rPr>
      <w:rFonts w:ascii="Times New Roman" w:eastAsia="Times New Roman" w:hAnsi="Times New Roman" w:cs="Times New Roman"/>
      <w:b/>
      <w:spacing w:val="-3"/>
      <w:sz w:val="20"/>
      <w:szCs w:val="20"/>
      <w:u w:val="single"/>
      <w:lang w:eastAsia="pl-PL"/>
    </w:rPr>
  </w:style>
  <w:style w:type="paragraph" w:styleId="Nagwek3">
    <w:name w:val="heading 3"/>
    <w:aliases w:val="Title 3"/>
    <w:basedOn w:val="Normalny"/>
    <w:next w:val="Normalny"/>
    <w:link w:val="Nagwek3Znak"/>
    <w:autoRedefine/>
    <w:qFormat/>
    <w:rsid w:val="00777055"/>
    <w:pPr>
      <w:keepNext/>
      <w:keepLines/>
      <w:tabs>
        <w:tab w:val="left" w:pos="57"/>
      </w:tabs>
      <w:spacing w:before="40" w:after="0" w:line="240" w:lineRule="auto"/>
      <w:jc w:val="both"/>
      <w:outlineLvl w:val="2"/>
    </w:pPr>
    <w:rPr>
      <w:rFonts w:ascii="Times New Roman" w:eastAsia="Times New Roman" w:hAnsi="Times New Roman" w:cs="Times New Roman"/>
      <w:bCs/>
      <w:spacing w:val="-3"/>
      <w:lang w:eastAsia="pl-PL"/>
    </w:rPr>
  </w:style>
  <w:style w:type="paragraph" w:styleId="Nagwek4">
    <w:name w:val="heading 4"/>
    <w:basedOn w:val="Normalny"/>
    <w:next w:val="Normalny"/>
    <w:link w:val="Nagwek4Znak"/>
    <w:unhideWhenUsed/>
    <w:qFormat/>
    <w:rsid w:val="00955A27"/>
    <w:pPr>
      <w:keepNext/>
      <w:keepLines/>
      <w:spacing w:before="40" w:after="0" w:line="380" w:lineRule="auto"/>
      <w:ind w:left="10" w:firstLine="499"/>
      <w:jc w:val="both"/>
      <w:outlineLvl w:val="3"/>
    </w:pPr>
    <w:rPr>
      <w:rFonts w:asciiTheme="majorHAnsi" w:eastAsiaTheme="majorEastAsia" w:hAnsiTheme="majorHAnsi" w:cstheme="majorBidi"/>
      <w:i/>
      <w:iCs/>
      <w:color w:val="2E74B5" w:themeColor="accent1" w:themeShade="BF"/>
      <w:sz w:val="24"/>
      <w:lang w:eastAsia="pl-PL"/>
    </w:rPr>
  </w:style>
  <w:style w:type="paragraph" w:styleId="Nagwek5">
    <w:name w:val="heading 5"/>
    <w:basedOn w:val="Normalny"/>
    <w:next w:val="Normalny"/>
    <w:link w:val="Nagwek5Znak"/>
    <w:uiPriority w:val="9"/>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line="360" w:lineRule="exact"/>
      <w:jc w:val="both"/>
      <w:outlineLvl w:val="4"/>
    </w:pPr>
    <w:rPr>
      <w:rFonts w:ascii="Times New Roman" w:eastAsia="Times New Roman" w:hAnsi="Times New Roman" w:cs="Times New Roman"/>
      <w:i/>
      <w:spacing w:val="-3"/>
      <w:sz w:val="20"/>
      <w:szCs w:val="20"/>
      <w:lang w:eastAsia="pl-PL"/>
    </w:rPr>
  </w:style>
  <w:style w:type="paragraph" w:styleId="Nagwek6">
    <w:name w:val="heading 6"/>
    <w:basedOn w:val="Normalny"/>
    <w:next w:val="Normalny"/>
    <w:link w:val="Nagwek6Znak"/>
    <w:uiPriority w:val="9"/>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60" w:line="360" w:lineRule="exact"/>
      <w:jc w:val="both"/>
      <w:outlineLvl w:val="5"/>
    </w:pPr>
    <w:rPr>
      <w:rFonts w:ascii="Times New Roman" w:eastAsia="Times New Roman" w:hAnsi="Times New Roman" w:cs="Times New Roman"/>
      <w:i/>
      <w:spacing w:val="-3"/>
      <w:szCs w:val="20"/>
      <w:lang w:eastAsia="pl-PL"/>
    </w:rPr>
  </w:style>
  <w:style w:type="paragraph" w:styleId="Nagwek7">
    <w:name w:val="heading 7"/>
    <w:basedOn w:val="Normalny"/>
    <w:next w:val="Normalny"/>
    <w:link w:val="Nagwek7Znak"/>
    <w:uiPriority w:val="9"/>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60" w:line="360" w:lineRule="exact"/>
      <w:jc w:val="both"/>
      <w:outlineLvl w:val="6"/>
    </w:pPr>
    <w:rPr>
      <w:rFonts w:ascii="Arial" w:eastAsia="Times New Roman" w:hAnsi="Arial" w:cs="Times New Roman"/>
      <w:spacing w:val="-3"/>
      <w:sz w:val="20"/>
      <w:szCs w:val="20"/>
      <w:lang w:eastAsia="pl-PL"/>
    </w:rPr>
  </w:style>
  <w:style w:type="paragraph" w:styleId="Nagwek8">
    <w:name w:val="heading 8"/>
    <w:basedOn w:val="Normalny"/>
    <w:next w:val="Normalny"/>
    <w:link w:val="Nagwek8Znak"/>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60" w:line="360" w:lineRule="exact"/>
      <w:jc w:val="both"/>
      <w:outlineLvl w:val="7"/>
    </w:pPr>
    <w:rPr>
      <w:rFonts w:ascii="Arial" w:eastAsia="Times New Roman" w:hAnsi="Arial" w:cs="Times New Roman"/>
      <w:i/>
      <w:spacing w:val="-3"/>
      <w:sz w:val="20"/>
      <w:szCs w:val="20"/>
      <w:lang w:eastAsia="pl-PL"/>
    </w:rPr>
  </w:style>
  <w:style w:type="paragraph" w:styleId="Nagwek9">
    <w:name w:val="heading 9"/>
    <w:basedOn w:val="Normalny"/>
    <w:next w:val="Normalny"/>
    <w:link w:val="Nagwek9Znak"/>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60" w:line="360" w:lineRule="exact"/>
      <w:jc w:val="both"/>
      <w:outlineLvl w:val="8"/>
    </w:pPr>
    <w:rPr>
      <w:rFonts w:ascii="Arial" w:eastAsia="Times New Roman" w:hAnsi="Arial" w:cs="Times New Roman"/>
      <w:b/>
      <w:i/>
      <w:spacing w:val="-3"/>
      <w:sz w:val="18"/>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qFormat/>
    <w:rsid w:val="00955A27"/>
    <w:rPr>
      <w:rFonts w:asciiTheme="majorHAnsi" w:eastAsiaTheme="majorEastAsia" w:hAnsiTheme="majorHAnsi" w:cstheme="majorBidi"/>
      <w:i/>
      <w:iCs/>
      <w:color w:val="2E74B5" w:themeColor="accent1" w:themeShade="BF"/>
      <w:sz w:val="24"/>
      <w:lang w:eastAsia="pl-PL"/>
    </w:rPr>
  </w:style>
  <w:style w:type="paragraph" w:styleId="Nagwek">
    <w:name w:val="header"/>
    <w:aliases w:val="Nagłówek strony,Nagłówek strony nieparzystej,Nagłówek strony nieparzystej1,Nagłówek strony nieparzystej2,Nagłówek strony nieparzystej3,Nagłówek strony nieparzystej4,Nagłówek strony nieparzystej5,Nagłówek strony nieparzystej6,Nagłówek strony1"/>
    <w:basedOn w:val="Normalny"/>
    <w:link w:val="NagwekZnak"/>
    <w:unhideWhenUsed/>
    <w:qFormat/>
    <w:rsid w:val="00955A27"/>
    <w:pPr>
      <w:tabs>
        <w:tab w:val="center" w:pos="4536"/>
        <w:tab w:val="right" w:pos="9072"/>
      </w:tabs>
      <w:spacing w:after="0" w:line="240" w:lineRule="auto"/>
      <w:ind w:left="10" w:firstLine="499"/>
      <w:jc w:val="both"/>
    </w:pPr>
    <w:rPr>
      <w:rFonts w:ascii="Times New Roman" w:eastAsia="Times New Roman" w:hAnsi="Times New Roman" w:cs="Times New Roman"/>
      <w:color w:val="000000"/>
      <w:sz w:val="24"/>
      <w:lang w:eastAsia="pl-PL"/>
    </w:rPr>
  </w:style>
  <w:style w:type="character" w:customStyle="1" w:styleId="NagwekZnak">
    <w:name w:val="Nagłówek Znak"/>
    <w:aliases w:val="Nagłówek strony Znak,Nagłówek strony nieparzystej Znak,Nagłówek strony nieparzystej1 Znak,Nagłówek strony nieparzystej2 Znak,Nagłówek strony nieparzystej3 Znak,Nagłówek strony nieparzystej4 Znak,Nagłówek strony nieparzystej5 Znak"/>
    <w:basedOn w:val="Domylnaczcionkaakapitu"/>
    <w:link w:val="Nagwek"/>
    <w:qFormat/>
    <w:rsid w:val="00955A27"/>
    <w:rPr>
      <w:rFonts w:ascii="Times New Roman" w:eastAsia="Times New Roman" w:hAnsi="Times New Roman" w:cs="Times New Roman"/>
      <w:color w:val="000000"/>
      <w:sz w:val="24"/>
      <w:lang w:eastAsia="pl-PL"/>
    </w:rPr>
  </w:style>
  <w:style w:type="paragraph" w:styleId="Stopka">
    <w:name w:val="footer"/>
    <w:aliases w:val="Stopka Znak Znak"/>
    <w:basedOn w:val="Normalny"/>
    <w:link w:val="StopkaZnak"/>
    <w:uiPriority w:val="99"/>
    <w:unhideWhenUsed/>
    <w:rsid w:val="00955A27"/>
    <w:pPr>
      <w:tabs>
        <w:tab w:val="center" w:pos="4536"/>
        <w:tab w:val="right" w:pos="9072"/>
      </w:tabs>
      <w:spacing w:after="0" w:line="240" w:lineRule="auto"/>
      <w:ind w:left="10" w:firstLine="499"/>
      <w:jc w:val="both"/>
    </w:pPr>
    <w:rPr>
      <w:rFonts w:ascii="Times New Roman" w:eastAsia="Times New Roman" w:hAnsi="Times New Roman" w:cs="Times New Roman"/>
      <w:color w:val="000000"/>
      <w:sz w:val="24"/>
      <w:lang w:eastAsia="pl-PL"/>
    </w:rPr>
  </w:style>
  <w:style w:type="character" w:customStyle="1" w:styleId="StopkaZnak">
    <w:name w:val="Stopka Znak"/>
    <w:aliases w:val="Stopka Znak Znak Znak"/>
    <w:basedOn w:val="Domylnaczcionkaakapitu"/>
    <w:link w:val="Stopka"/>
    <w:uiPriority w:val="99"/>
    <w:qFormat/>
    <w:rsid w:val="00955A27"/>
    <w:rPr>
      <w:rFonts w:ascii="Times New Roman" w:eastAsia="Times New Roman" w:hAnsi="Times New Roman" w:cs="Times New Roman"/>
      <w:color w:val="000000"/>
      <w:sz w:val="24"/>
      <w:lang w:eastAsia="pl-PL"/>
    </w:rPr>
  </w:style>
  <w:style w:type="table" w:customStyle="1" w:styleId="TableGrid">
    <w:name w:val="TableGrid"/>
    <w:rsid w:val="00955A27"/>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Nagwek1Znak">
    <w:name w:val="Nagłówek 1 Znak"/>
    <w:aliases w:val="Title 1 Znak,Nr specyfikacji Znak"/>
    <w:basedOn w:val="Domylnaczcionkaakapitu"/>
    <w:link w:val="Nagwek1"/>
    <w:qFormat/>
    <w:rsid w:val="00955A27"/>
    <w:rPr>
      <w:rFonts w:ascii="Times New Roman" w:eastAsia="Times New Roman" w:hAnsi="Times New Roman" w:cs="Times New Roman"/>
      <w:b/>
      <w:caps/>
      <w:spacing w:val="-3"/>
      <w:kern w:val="28"/>
      <w:sz w:val="28"/>
      <w:szCs w:val="20"/>
      <w:lang w:val="en-GB" w:eastAsia="pl-PL"/>
    </w:rPr>
  </w:style>
  <w:style w:type="character" w:customStyle="1" w:styleId="Nagwek2Znak">
    <w:name w:val="Nagłówek 2 Znak"/>
    <w:aliases w:val="Title 2 Znak"/>
    <w:basedOn w:val="Domylnaczcionkaakapitu"/>
    <w:link w:val="Nagwek2"/>
    <w:qFormat/>
    <w:rsid w:val="00955A27"/>
    <w:rPr>
      <w:rFonts w:ascii="Times New Roman" w:eastAsia="Times New Roman" w:hAnsi="Times New Roman" w:cs="Times New Roman"/>
      <w:b/>
      <w:spacing w:val="-3"/>
      <w:sz w:val="20"/>
      <w:szCs w:val="20"/>
      <w:u w:val="single"/>
      <w:lang w:eastAsia="pl-PL"/>
    </w:rPr>
  </w:style>
  <w:style w:type="character" w:customStyle="1" w:styleId="Nagwek3Znak">
    <w:name w:val="Nagłówek 3 Znak"/>
    <w:aliases w:val="Title 3 Znak"/>
    <w:basedOn w:val="Domylnaczcionkaakapitu"/>
    <w:link w:val="Nagwek3"/>
    <w:qFormat/>
    <w:rsid w:val="00777055"/>
    <w:rPr>
      <w:rFonts w:ascii="Times New Roman" w:eastAsia="Times New Roman" w:hAnsi="Times New Roman" w:cs="Times New Roman"/>
      <w:bCs/>
      <w:spacing w:val="-3"/>
      <w:lang w:eastAsia="pl-PL"/>
    </w:rPr>
  </w:style>
  <w:style w:type="character" w:customStyle="1" w:styleId="Nagwek5Znak">
    <w:name w:val="Nagłówek 5 Znak"/>
    <w:basedOn w:val="Domylnaczcionkaakapitu"/>
    <w:link w:val="Nagwek5"/>
    <w:uiPriority w:val="9"/>
    <w:rsid w:val="00955A27"/>
    <w:rPr>
      <w:rFonts w:ascii="Times New Roman" w:eastAsia="Times New Roman" w:hAnsi="Times New Roman" w:cs="Times New Roman"/>
      <w:i/>
      <w:spacing w:val="-3"/>
      <w:sz w:val="20"/>
      <w:szCs w:val="20"/>
      <w:lang w:eastAsia="pl-PL"/>
    </w:rPr>
  </w:style>
  <w:style w:type="character" w:customStyle="1" w:styleId="Nagwek6Znak">
    <w:name w:val="Nagłówek 6 Znak"/>
    <w:basedOn w:val="Domylnaczcionkaakapitu"/>
    <w:link w:val="Nagwek6"/>
    <w:uiPriority w:val="9"/>
    <w:rsid w:val="00955A27"/>
    <w:rPr>
      <w:rFonts w:ascii="Times New Roman" w:eastAsia="Times New Roman" w:hAnsi="Times New Roman" w:cs="Times New Roman"/>
      <w:i/>
      <w:spacing w:val="-3"/>
      <w:szCs w:val="20"/>
      <w:lang w:eastAsia="pl-PL"/>
    </w:rPr>
  </w:style>
  <w:style w:type="character" w:customStyle="1" w:styleId="Nagwek7Znak">
    <w:name w:val="Nagłówek 7 Znak"/>
    <w:basedOn w:val="Domylnaczcionkaakapitu"/>
    <w:link w:val="Nagwek7"/>
    <w:uiPriority w:val="9"/>
    <w:rsid w:val="00955A27"/>
    <w:rPr>
      <w:rFonts w:ascii="Arial" w:eastAsia="Times New Roman" w:hAnsi="Arial" w:cs="Times New Roman"/>
      <w:spacing w:val="-3"/>
      <w:sz w:val="20"/>
      <w:szCs w:val="20"/>
      <w:lang w:eastAsia="pl-PL"/>
    </w:rPr>
  </w:style>
  <w:style w:type="character" w:customStyle="1" w:styleId="Nagwek8Znak">
    <w:name w:val="Nagłówek 8 Znak"/>
    <w:basedOn w:val="Domylnaczcionkaakapitu"/>
    <w:link w:val="Nagwek8"/>
    <w:rsid w:val="00955A27"/>
    <w:rPr>
      <w:rFonts w:ascii="Arial" w:eastAsia="Times New Roman" w:hAnsi="Arial" w:cs="Times New Roman"/>
      <w:i/>
      <w:spacing w:val="-3"/>
      <w:sz w:val="20"/>
      <w:szCs w:val="20"/>
      <w:lang w:eastAsia="pl-PL"/>
    </w:rPr>
  </w:style>
  <w:style w:type="character" w:customStyle="1" w:styleId="Nagwek9Znak">
    <w:name w:val="Nagłówek 9 Znak"/>
    <w:basedOn w:val="Domylnaczcionkaakapitu"/>
    <w:link w:val="Nagwek9"/>
    <w:rsid w:val="00955A27"/>
    <w:rPr>
      <w:rFonts w:ascii="Arial" w:eastAsia="Times New Roman" w:hAnsi="Arial" w:cs="Times New Roman"/>
      <w:b/>
      <w:i/>
      <w:spacing w:val="-3"/>
      <w:sz w:val="18"/>
      <w:szCs w:val="20"/>
      <w:lang w:eastAsia="pl-PL"/>
    </w:rPr>
  </w:style>
  <w:style w:type="paragraph" w:styleId="Tekstpodstawowy">
    <w:name w:val="Body Text"/>
    <w:aliases w:val="bt,a2"/>
    <w:basedOn w:val="Normalny"/>
    <w:link w:val="TekstpodstawowyZnak"/>
    <w:rsid w:val="00955A27"/>
    <w:pPr>
      <w:tabs>
        <w:tab w:val="left" w:pos="-1725"/>
        <w:tab w:val="left" w:pos="-1440"/>
        <w:tab w:val="left" w:pos="-1005"/>
        <w:tab w:val="left" w:pos="-720"/>
        <w:tab w:val="left" w:pos="-285"/>
        <w:tab w:val="left" w:pos="0"/>
        <w:tab w:val="left" w:pos="284"/>
        <w:tab w:val="left" w:pos="43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00" w:after="100" w:line="360" w:lineRule="auto"/>
      <w:jc w:val="both"/>
    </w:pPr>
    <w:rPr>
      <w:rFonts w:ascii="Times New Roman" w:eastAsia="Times New Roman" w:hAnsi="Times New Roman" w:cs="Times New Roman"/>
      <w:spacing w:val="-3"/>
      <w:sz w:val="20"/>
      <w:szCs w:val="20"/>
      <w:lang w:eastAsia="pl-PL"/>
    </w:rPr>
  </w:style>
  <w:style w:type="character" w:customStyle="1" w:styleId="TekstpodstawowyZnak">
    <w:name w:val="Tekst podstawowy Znak"/>
    <w:aliases w:val="bt Znak,a2 Znak"/>
    <w:basedOn w:val="Domylnaczcionkaakapitu"/>
    <w:link w:val="Tekstpodstawowy"/>
    <w:qFormat/>
    <w:rsid w:val="00955A27"/>
    <w:rPr>
      <w:rFonts w:ascii="Times New Roman" w:eastAsia="Times New Roman" w:hAnsi="Times New Roman" w:cs="Times New Roman"/>
      <w:spacing w:val="-3"/>
      <w:sz w:val="20"/>
      <w:szCs w:val="20"/>
      <w:lang w:eastAsia="pl-PL"/>
    </w:rPr>
  </w:style>
  <w:style w:type="paragraph" w:styleId="Lista">
    <w:name w:val="List"/>
    <w:basedOn w:val="Normalny"/>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0" w:line="360" w:lineRule="exact"/>
      <w:ind w:left="284" w:hanging="284"/>
      <w:jc w:val="both"/>
    </w:pPr>
    <w:rPr>
      <w:rFonts w:ascii="Times New Roman" w:eastAsia="Times New Roman" w:hAnsi="Times New Roman" w:cs="Times New Roman"/>
      <w:spacing w:val="-3"/>
      <w:sz w:val="20"/>
      <w:szCs w:val="20"/>
      <w:lang w:eastAsia="pl-PL"/>
    </w:rPr>
  </w:style>
  <w:style w:type="paragraph" w:styleId="Lista2">
    <w:name w:val="List 2"/>
    <w:basedOn w:val="Normalny"/>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line="360" w:lineRule="exact"/>
      <w:ind w:left="566" w:hanging="283"/>
      <w:jc w:val="both"/>
    </w:pPr>
    <w:rPr>
      <w:rFonts w:ascii="Times New Roman" w:eastAsia="Times New Roman" w:hAnsi="Times New Roman" w:cs="Times New Roman"/>
      <w:spacing w:val="-3"/>
      <w:sz w:val="20"/>
      <w:szCs w:val="20"/>
      <w:lang w:eastAsia="pl-PL"/>
    </w:rPr>
  </w:style>
  <w:style w:type="paragraph" w:styleId="Lista3">
    <w:name w:val="List 3"/>
    <w:basedOn w:val="Normalny"/>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line="360" w:lineRule="exact"/>
      <w:ind w:left="849" w:hanging="283"/>
      <w:jc w:val="both"/>
    </w:pPr>
    <w:rPr>
      <w:rFonts w:ascii="Times New Roman" w:eastAsia="Times New Roman" w:hAnsi="Times New Roman" w:cs="Times New Roman"/>
      <w:spacing w:val="-3"/>
      <w:sz w:val="20"/>
      <w:szCs w:val="20"/>
      <w:lang w:eastAsia="pl-PL"/>
    </w:rPr>
  </w:style>
  <w:style w:type="paragraph" w:styleId="Lista4">
    <w:name w:val="List 4"/>
    <w:basedOn w:val="Normalny"/>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line="360" w:lineRule="exact"/>
      <w:ind w:left="1132" w:hanging="283"/>
      <w:jc w:val="both"/>
    </w:pPr>
    <w:rPr>
      <w:rFonts w:ascii="Times New Roman" w:eastAsia="Times New Roman" w:hAnsi="Times New Roman" w:cs="Times New Roman"/>
      <w:spacing w:val="-3"/>
      <w:sz w:val="20"/>
      <w:szCs w:val="20"/>
      <w:lang w:eastAsia="pl-PL"/>
    </w:rPr>
  </w:style>
  <w:style w:type="paragraph" w:styleId="Listapunktowana2">
    <w:name w:val="List Bullet 2"/>
    <w:basedOn w:val="Normalny"/>
    <w:autoRedefine/>
    <w:rsid w:val="00955A27"/>
    <w:pPr>
      <w:numPr>
        <w:numId w:val="8"/>
      </w:numPr>
      <w:tabs>
        <w:tab w:val="clear" w:pos="643"/>
        <w:tab w:val="left" w:pos="-1725"/>
        <w:tab w:val="left" w:pos="-1440"/>
        <w:tab w:val="left" w:pos="-1005"/>
        <w:tab w:val="left" w:pos="-720"/>
        <w:tab w:val="left" w:pos="-285"/>
        <w:tab w:val="left" w:pos="0"/>
        <w:tab w:val="num" w:pos="284"/>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line="360" w:lineRule="exact"/>
      <w:ind w:left="567"/>
      <w:jc w:val="both"/>
    </w:pPr>
    <w:rPr>
      <w:rFonts w:ascii="Times New Roman" w:eastAsia="Times New Roman" w:hAnsi="Times New Roman" w:cs="Times New Roman"/>
      <w:spacing w:val="-3"/>
      <w:sz w:val="20"/>
      <w:szCs w:val="20"/>
      <w:lang w:eastAsia="pl-PL"/>
    </w:rPr>
  </w:style>
  <w:style w:type="paragraph" w:styleId="Tekstpodstawowywcity">
    <w:name w:val="Body Text Indent"/>
    <w:basedOn w:val="Normalny"/>
    <w:link w:val="TekstpodstawowywcityZnak"/>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line="360" w:lineRule="exact"/>
      <w:ind w:left="283"/>
      <w:jc w:val="both"/>
    </w:pPr>
    <w:rPr>
      <w:rFonts w:ascii="Times New Roman" w:eastAsia="Times New Roman" w:hAnsi="Times New Roman" w:cs="Times New Roman"/>
      <w:spacing w:val="-3"/>
      <w:sz w:val="20"/>
      <w:szCs w:val="20"/>
      <w:lang w:eastAsia="pl-PL"/>
    </w:rPr>
  </w:style>
  <w:style w:type="character" w:customStyle="1" w:styleId="TekstpodstawowywcityZnak">
    <w:name w:val="Tekst podstawowy wcięty Znak"/>
    <w:basedOn w:val="Domylnaczcionkaakapitu"/>
    <w:link w:val="Tekstpodstawowywcity"/>
    <w:qFormat/>
    <w:rsid w:val="00955A27"/>
    <w:rPr>
      <w:rFonts w:ascii="Times New Roman" w:eastAsia="Times New Roman" w:hAnsi="Times New Roman" w:cs="Times New Roman"/>
      <w:spacing w:val="-3"/>
      <w:sz w:val="20"/>
      <w:szCs w:val="20"/>
      <w:lang w:eastAsia="pl-PL"/>
    </w:rPr>
  </w:style>
  <w:style w:type="paragraph" w:styleId="Tekstkomentarza">
    <w:name w:val="annotation text"/>
    <w:basedOn w:val="Normalny"/>
    <w:link w:val="TekstkomentarzaZnak"/>
    <w:qFormat/>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line="360" w:lineRule="exact"/>
      <w:jc w:val="both"/>
    </w:pPr>
    <w:rPr>
      <w:rFonts w:ascii="Times New Roman" w:eastAsia="Times New Roman" w:hAnsi="Times New Roman" w:cs="Times New Roman"/>
      <w:spacing w:val="-3"/>
      <w:sz w:val="20"/>
      <w:szCs w:val="20"/>
      <w:lang w:eastAsia="pl-PL"/>
    </w:rPr>
  </w:style>
  <w:style w:type="character" w:customStyle="1" w:styleId="TekstkomentarzaZnak">
    <w:name w:val="Tekst komentarza Znak"/>
    <w:basedOn w:val="Domylnaczcionkaakapitu"/>
    <w:link w:val="Tekstkomentarza"/>
    <w:qFormat/>
    <w:rsid w:val="00955A27"/>
    <w:rPr>
      <w:rFonts w:ascii="Times New Roman" w:eastAsia="Times New Roman" w:hAnsi="Times New Roman" w:cs="Times New Roman"/>
      <w:spacing w:val="-3"/>
      <w:sz w:val="20"/>
      <w:szCs w:val="20"/>
      <w:lang w:eastAsia="pl-PL"/>
    </w:rPr>
  </w:style>
  <w:style w:type="paragraph" w:styleId="Lista-kontynuacja2">
    <w:name w:val="List Continue 2"/>
    <w:basedOn w:val="Normalny"/>
    <w:rsid w:val="00955A27"/>
    <w:pPr>
      <w:tabs>
        <w:tab w:val="left" w:pos="-1725"/>
        <w:tab w:val="left" w:pos="-1440"/>
        <w:tab w:val="left" w:pos="-1005"/>
        <w:tab w:val="left" w:pos="-720"/>
        <w:tab w:val="left" w:pos="-285"/>
        <w:tab w:val="left" w:pos="0"/>
        <w:tab w:val="left" w:pos="284"/>
        <w:tab w:val="left" w:pos="435"/>
        <w:tab w:val="left" w:pos="567"/>
        <w:tab w:val="left" w:pos="851"/>
        <w:tab w:val="left" w:pos="1155"/>
        <w:tab w:val="left" w:pos="1299"/>
        <w:tab w:val="left" w:pos="1701"/>
        <w:tab w:val="left" w:pos="1875"/>
        <w:tab w:val="left" w:pos="2268"/>
        <w:tab w:val="left" w:pos="2595"/>
        <w:tab w:val="left" w:pos="2835"/>
        <w:tab w:val="left" w:pos="3315"/>
        <w:tab w:val="left" w:pos="3402"/>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line="360" w:lineRule="exact"/>
      <w:ind w:left="566"/>
      <w:jc w:val="both"/>
    </w:pPr>
    <w:rPr>
      <w:rFonts w:ascii="Times New Roman" w:eastAsia="Times New Roman" w:hAnsi="Times New Roman" w:cs="Times New Roman"/>
      <w:spacing w:val="-3"/>
      <w:sz w:val="20"/>
      <w:szCs w:val="20"/>
      <w:lang w:eastAsia="pl-PL"/>
    </w:rPr>
  </w:style>
  <w:style w:type="character" w:customStyle="1" w:styleId="spelle">
    <w:name w:val="spelle"/>
    <w:basedOn w:val="Domylnaczcionkaakapitu"/>
    <w:rsid w:val="00955A27"/>
  </w:style>
  <w:style w:type="paragraph" w:customStyle="1" w:styleId="standardowytekst">
    <w:name w:val="standardowytekst"/>
    <w:basedOn w:val="Normalny"/>
    <w:rsid w:val="00955A2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PodtytuZnak">
    <w:name w:val="Podtytuł Znak"/>
    <w:link w:val="Podtytu"/>
    <w:qFormat/>
    <w:rsid w:val="00955A27"/>
    <w:rPr>
      <w:rFonts w:ascii="Arial" w:eastAsia="Times New Roman" w:hAnsi="Arial" w:cs="Times New Roman"/>
      <w:b/>
      <w:caps/>
      <w:szCs w:val="20"/>
      <w:lang w:eastAsia="pl-PL"/>
    </w:rPr>
  </w:style>
  <w:style w:type="character" w:customStyle="1" w:styleId="PunktyZnak">
    <w:name w:val="Punkty Znak"/>
    <w:qFormat/>
    <w:rsid w:val="00955A27"/>
    <w:rPr>
      <w:rFonts w:ascii="Garamond" w:hAnsi="Garamond"/>
      <w:b/>
      <w:caps/>
      <w:color w:val="000000"/>
      <w:sz w:val="28"/>
      <w:lang w:val="pl-PL" w:eastAsia="pl-PL" w:bidi="ar-SA"/>
    </w:rPr>
  </w:style>
  <w:style w:type="paragraph" w:styleId="Podtytu">
    <w:name w:val="Subtitle"/>
    <w:basedOn w:val="Normalny"/>
    <w:link w:val="PodtytuZnak"/>
    <w:qFormat/>
    <w:rsid w:val="00955A27"/>
    <w:pPr>
      <w:keepNext/>
      <w:tabs>
        <w:tab w:val="left" w:pos="2268"/>
      </w:tabs>
      <w:overflowPunct w:val="0"/>
      <w:spacing w:after="120" w:line="240" w:lineRule="auto"/>
      <w:ind w:left="2268" w:hanging="2268"/>
      <w:outlineLvl w:val="1"/>
    </w:pPr>
    <w:rPr>
      <w:rFonts w:ascii="Arial" w:eastAsia="Times New Roman" w:hAnsi="Arial" w:cs="Times New Roman"/>
      <w:b/>
      <w:caps/>
      <w:szCs w:val="20"/>
      <w:lang w:eastAsia="pl-PL"/>
    </w:rPr>
  </w:style>
  <w:style w:type="character" w:customStyle="1" w:styleId="PodtytuZnak1">
    <w:name w:val="Podtytuł Znak1"/>
    <w:basedOn w:val="Domylnaczcionkaakapitu"/>
    <w:uiPriority w:val="11"/>
    <w:rsid w:val="00955A27"/>
    <w:rPr>
      <w:rFonts w:eastAsiaTheme="minorEastAsia"/>
      <w:color w:val="5A5A5A" w:themeColor="text1" w:themeTint="A5"/>
      <w:spacing w:val="15"/>
    </w:rPr>
  </w:style>
  <w:style w:type="paragraph" w:customStyle="1" w:styleId="Podpunkty">
    <w:name w:val="Podpunkty"/>
    <w:qFormat/>
    <w:rsid w:val="00955A27"/>
    <w:pPr>
      <w:keepNext/>
      <w:tabs>
        <w:tab w:val="left" w:pos="2835"/>
      </w:tabs>
      <w:spacing w:before="240" w:after="0" w:line="240" w:lineRule="auto"/>
      <w:ind w:left="851" w:hanging="851"/>
      <w:outlineLvl w:val="0"/>
    </w:pPr>
    <w:rPr>
      <w:rFonts w:ascii="Garamond" w:eastAsia="Times New Roman" w:hAnsi="Garamond" w:cs="Times New Roman"/>
      <w:b/>
      <w:bCs/>
      <w:color w:val="000000"/>
      <w:kern w:val="2"/>
      <w:sz w:val="20"/>
      <w:szCs w:val="20"/>
      <w:lang w:eastAsia="pl-PL" w:bidi="hi-IN"/>
    </w:rPr>
  </w:style>
  <w:style w:type="paragraph" w:customStyle="1" w:styleId="Punkty">
    <w:name w:val="Punkty"/>
    <w:qFormat/>
    <w:rsid w:val="00955A27"/>
    <w:pPr>
      <w:keepNext/>
      <w:tabs>
        <w:tab w:val="left" w:pos="180"/>
      </w:tabs>
      <w:spacing w:before="120" w:after="0" w:line="277" w:lineRule="atLeast"/>
      <w:outlineLvl w:val="0"/>
    </w:pPr>
    <w:rPr>
      <w:rFonts w:ascii="Garamond" w:eastAsia="Times New Roman" w:hAnsi="Garamond" w:cs="Times New Roman"/>
      <w:b/>
      <w:caps/>
      <w:color w:val="000000"/>
      <w:kern w:val="2"/>
      <w:sz w:val="28"/>
      <w:szCs w:val="20"/>
      <w:lang w:eastAsia="pl-PL" w:bidi="hi-IN"/>
    </w:rPr>
  </w:style>
  <w:style w:type="paragraph" w:customStyle="1" w:styleId="Tytuspecyfikacji">
    <w:name w:val="Tytuł_specyfikacji"/>
    <w:basedOn w:val="Normalny"/>
    <w:qFormat/>
    <w:rsid w:val="00955A27"/>
    <w:pPr>
      <w:overflowPunct w:val="0"/>
      <w:spacing w:before="360" w:after="0" w:line="240" w:lineRule="auto"/>
    </w:pPr>
    <w:rPr>
      <w:rFonts w:ascii="Times New Roman" w:eastAsia="Times New Roman" w:hAnsi="Times New Roman" w:cs="Times New Roman"/>
      <w:b/>
      <w:kern w:val="2"/>
      <w:sz w:val="28"/>
      <w:szCs w:val="24"/>
      <w:lang w:eastAsia="pl-PL" w:bidi="hi-IN"/>
    </w:rPr>
  </w:style>
  <w:style w:type="paragraph" w:styleId="Akapitzlist">
    <w:name w:val="List Paragraph"/>
    <w:aliases w:val="Obiekt,List Paragraph1,List Paragraph,Lista 1,Oświetlenie,TABELA,BulletC,Wyliczanie,Akapit z listą31,normalny tekst,Kolorowa lista — akcent 11,List_Paragraph,Multilevel para_II,Akapit z listą BS,Bullet1,Bullets,List Paragraph 1,References"/>
    <w:basedOn w:val="Normalny"/>
    <w:uiPriority w:val="34"/>
    <w:qFormat/>
    <w:rsid w:val="00955A27"/>
    <w:pPr>
      <w:overflowPunct w:val="0"/>
      <w:autoSpaceDE w:val="0"/>
      <w:autoSpaceDN w:val="0"/>
      <w:adjustRightInd w:val="0"/>
      <w:spacing w:after="0" w:line="240" w:lineRule="auto"/>
      <w:ind w:left="720"/>
      <w:contextualSpacing/>
      <w:jc w:val="both"/>
      <w:textAlignment w:val="baseline"/>
    </w:pPr>
    <w:rPr>
      <w:rFonts w:ascii="Times New Roman" w:eastAsia="Times New Roman" w:hAnsi="Times New Roman" w:cs="Times New Roman"/>
      <w:sz w:val="20"/>
      <w:szCs w:val="20"/>
      <w:lang w:eastAsia="pl-PL"/>
    </w:rPr>
  </w:style>
  <w:style w:type="paragraph" w:customStyle="1" w:styleId="tekstost">
    <w:name w:val="tekst ost"/>
    <w:basedOn w:val="Normalny"/>
    <w:link w:val="tekstostZnak"/>
    <w:qFormat/>
    <w:rsid w:val="00955A27"/>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Standardowytekst0">
    <w:name w:val="Standardowy.tekst"/>
    <w:link w:val="StandardowytekstZnak"/>
    <w:qFormat/>
    <w:rsid w:val="00955A27"/>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paragraph" w:styleId="Spistreci1">
    <w:name w:val="toc 1"/>
    <w:hidden/>
    <w:uiPriority w:val="39"/>
    <w:rsid w:val="00955A27"/>
    <w:pPr>
      <w:spacing w:after="108" w:line="271" w:lineRule="auto"/>
      <w:ind w:left="25" w:right="85" w:hanging="10"/>
      <w:jc w:val="both"/>
    </w:pPr>
    <w:rPr>
      <w:rFonts w:ascii="Verdana" w:eastAsia="Verdana" w:hAnsi="Verdana" w:cs="Verdana"/>
      <w:color w:val="000000"/>
      <w:sz w:val="20"/>
      <w:lang w:eastAsia="pl-PL"/>
    </w:rPr>
  </w:style>
  <w:style w:type="paragraph" w:styleId="Spistreci2">
    <w:name w:val="toc 2"/>
    <w:hidden/>
    <w:rsid w:val="00955A27"/>
    <w:pPr>
      <w:spacing w:after="108" w:line="271" w:lineRule="auto"/>
      <w:ind w:left="246" w:right="85" w:hanging="10"/>
      <w:jc w:val="both"/>
    </w:pPr>
    <w:rPr>
      <w:rFonts w:ascii="Verdana" w:eastAsia="Verdana" w:hAnsi="Verdana" w:cs="Verdana"/>
      <w:color w:val="000000"/>
      <w:sz w:val="20"/>
      <w:lang w:eastAsia="pl-PL"/>
    </w:rPr>
  </w:style>
  <w:style w:type="table" w:styleId="Tabela-Siatka">
    <w:name w:val="Table Grid"/>
    <w:basedOn w:val="Standardowy"/>
    <w:uiPriority w:val="39"/>
    <w:rsid w:val="00955A27"/>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komentarza1">
    <w:name w:val="Tekst komentarza1"/>
    <w:basedOn w:val="Normalny"/>
    <w:qFormat/>
    <w:rsid w:val="00955A27"/>
    <w:pPr>
      <w:tabs>
        <w:tab w:val="left" w:pos="851"/>
        <w:tab w:val="left" w:pos="1134"/>
        <w:tab w:val="left" w:pos="1701"/>
      </w:tabs>
      <w:suppressAutoHyphens/>
      <w:spacing w:after="0" w:line="240" w:lineRule="auto"/>
      <w:jc w:val="both"/>
    </w:pPr>
    <w:rPr>
      <w:rFonts w:ascii="Times New Roman" w:eastAsia="Times New Roman" w:hAnsi="Times New Roman" w:cs="Times New Roman"/>
      <w:b/>
      <w:sz w:val="20"/>
      <w:szCs w:val="20"/>
      <w:lang w:val="en-US" w:eastAsia="zh-CN"/>
    </w:rPr>
  </w:style>
  <w:style w:type="character" w:styleId="Tekstzastpczy">
    <w:name w:val="Placeholder Text"/>
    <w:basedOn w:val="Domylnaczcionkaakapitu"/>
    <w:uiPriority w:val="99"/>
    <w:semiHidden/>
    <w:rsid w:val="00955A27"/>
    <w:rPr>
      <w:color w:val="808080"/>
    </w:rPr>
  </w:style>
  <w:style w:type="paragraph" w:customStyle="1" w:styleId="Nagwek11">
    <w:name w:val="Nagłówek 11"/>
    <w:basedOn w:val="Normalny"/>
    <w:uiPriority w:val="9"/>
    <w:qFormat/>
    <w:rsid w:val="00955A27"/>
    <w:pPr>
      <w:keepNext/>
      <w:suppressAutoHyphens/>
      <w:spacing w:before="300" w:after="300" w:line="340" w:lineRule="atLeast"/>
      <w:ind w:left="1276" w:hanging="567"/>
      <w:outlineLvl w:val="0"/>
    </w:pPr>
    <w:rPr>
      <w:rFonts w:ascii="Garamond" w:eastAsia="Times New Roman" w:hAnsi="Garamond" w:cs="Garamond"/>
      <w:b/>
      <w:sz w:val="28"/>
      <w:szCs w:val="20"/>
      <w:lang w:eastAsia="ar-SA"/>
    </w:rPr>
  </w:style>
  <w:style w:type="paragraph" w:customStyle="1" w:styleId="Nagwek21">
    <w:name w:val="Nagłówek 21"/>
    <w:basedOn w:val="Normalny"/>
    <w:uiPriority w:val="9"/>
    <w:qFormat/>
    <w:rsid w:val="00955A27"/>
    <w:pPr>
      <w:keepNext/>
      <w:numPr>
        <w:ilvl w:val="1"/>
        <w:numId w:val="60"/>
      </w:numPr>
      <w:suppressAutoHyphens/>
      <w:spacing w:before="240" w:after="240" w:line="340" w:lineRule="atLeast"/>
      <w:ind w:left="357" w:hanging="357"/>
      <w:outlineLvl w:val="1"/>
    </w:pPr>
    <w:rPr>
      <w:rFonts w:ascii="Garamond" w:eastAsia="Times New Roman" w:hAnsi="Garamond" w:cs="Garamond"/>
      <w:b/>
      <w:sz w:val="20"/>
      <w:szCs w:val="20"/>
      <w:lang w:eastAsia="ar-SA"/>
    </w:rPr>
  </w:style>
  <w:style w:type="paragraph" w:customStyle="1" w:styleId="Nagwek31">
    <w:name w:val="Nagłówek 31"/>
    <w:basedOn w:val="Normalny"/>
    <w:qFormat/>
    <w:rsid w:val="00955A27"/>
    <w:pPr>
      <w:keepNext/>
      <w:suppressAutoHyphens/>
      <w:spacing w:before="240" w:after="60" w:line="240" w:lineRule="auto"/>
      <w:outlineLvl w:val="2"/>
    </w:pPr>
    <w:rPr>
      <w:rFonts w:ascii="Arial" w:eastAsia="Times New Roman" w:hAnsi="Arial" w:cs="Arial"/>
      <w:b/>
      <w:bCs/>
      <w:sz w:val="26"/>
      <w:szCs w:val="26"/>
      <w:lang w:eastAsia="ar-SA"/>
    </w:rPr>
  </w:style>
  <w:style w:type="paragraph" w:customStyle="1" w:styleId="Nagwek41">
    <w:name w:val="Nagłówek 41"/>
    <w:basedOn w:val="Normalny"/>
    <w:qFormat/>
    <w:rsid w:val="00955A27"/>
    <w:pPr>
      <w:keepNext/>
      <w:suppressAutoHyphens/>
      <w:spacing w:after="0" w:line="240" w:lineRule="auto"/>
      <w:outlineLvl w:val="3"/>
    </w:pPr>
    <w:rPr>
      <w:rFonts w:ascii="Times New Roman" w:eastAsia="Times New Roman" w:hAnsi="Times New Roman" w:cs="Times New Roman"/>
      <w:b/>
      <w:sz w:val="28"/>
      <w:szCs w:val="20"/>
      <w:lang w:eastAsia="ar-SA"/>
    </w:rPr>
  </w:style>
  <w:style w:type="paragraph" w:customStyle="1" w:styleId="Nagwek51">
    <w:name w:val="Nagłówek 51"/>
    <w:basedOn w:val="Normalny"/>
    <w:qFormat/>
    <w:rsid w:val="00955A27"/>
    <w:p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customStyle="1" w:styleId="Nagwek61">
    <w:name w:val="Nagłówek 61"/>
    <w:basedOn w:val="Normalny"/>
    <w:qFormat/>
    <w:rsid w:val="00955A27"/>
    <w:pPr>
      <w:suppressAutoHyphens/>
      <w:spacing w:before="240" w:after="60" w:line="240" w:lineRule="auto"/>
      <w:outlineLvl w:val="5"/>
    </w:pPr>
    <w:rPr>
      <w:rFonts w:ascii="Times New Roman" w:eastAsia="Times New Roman" w:hAnsi="Times New Roman" w:cs="Times New Roman"/>
      <w:b/>
      <w:bCs/>
      <w:lang w:eastAsia="ar-SA"/>
    </w:rPr>
  </w:style>
  <w:style w:type="paragraph" w:customStyle="1" w:styleId="Nagwek71">
    <w:name w:val="Nagłówek 71"/>
    <w:basedOn w:val="Normalny"/>
    <w:qFormat/>
    <w:rsid w:val="00955A27"/>
    <w:pPr>
      <w:suppressAutoHyphens/>
      <w:spacing w:before="240" w:after="60" w:line="240" w:lineRule="auto"/>
      <w:outlineLvl w:val="6"/>
    </w:pPr>
    <w:rPr>
      <w:rFonts w:ascii="Times New Roman" w:eastAsia="Times New Roman" w:hAnsi="Times New Roman" w:cs="Times New Roman"/>
      <w:sz w:val="20"/>
      <w:szCs w:val="24"/>
      <w:lang w:eastAsia="ar-SA"/>
    </w:rPr>
  </w:style>
  <w:style w:type="paragraph" w:customStyle="1" w:styleId="Nagwek81">
    <w:name w:val="Nagłówek 81"/>
    <w:basedOn w:val="Normalny"/>
    <w:qFormat/>
    <w:rsid w:val="00955A27"/>
    <w:pPr>
      <w:keepNext/>
      <w:suppressAutoHyphens/>
      <w:spacing w:after="0" w:line="240" w:lineRule="auto"/>
      <w:ind w:left="2127" w:hanging="2127"/>
      <w:outlineLvl w:val="7"/>
    </w:pPr>
    <w:rPr>
      <w:rFonts w:ascii="Garamond" w:eastAsia="Times New Roman" w:hAnsi="Garamond" w:cs="Garamond"/>
      <w:b/>
      <w:bCs/>
      <w:sz w:val="28"/>
      <w:szCs w:val="20"/>
      <w:lang w:eastAsia="ar-SA"/>
    </w:rPr>
  </w:style>
  <w:style w:type="paragraph" w:customStyle="1" w:styleId="Nagwek91">
    <w:name w:val="Nagłówek 91"/>
    <w:basedOn w:val="Normalny"/>
    <w:qFormat/>
    <w:rsid w:val="00955A27"/>
    <w:pPr>
      <w:keepNext/>
      <w:suppressAutoHyphens/>
      <w:spacing w:after="0" w:line="240" w:lineRule="auto"/>
      <w:jc w:val="center"/>
      <w:outlineLvl w:val="8"/>
    </w:pPr>
    <w:rPr>
      <w:rFonts w:ascii="Garamond" w:eastAsia="Times New Roman" w:hAnsi="Garamond" w:cs="Garamond"/>
      <w:b/>
      <w:bCs/>
      <w:sz w:val="20"/>
      <w:szCs w:val="20"/>
      <w:lang w:eastAsia="ar-SA"/>
    </w:rPr>
  </w:style>
  <w:style w:type="character" w:customStyle="1" w:styleId="WW8Num1z0">
    <w:name w:val="WW8Num1z0"/>
    <w:qFormat/>
    <w:rsid w:val="00955A27"/>
  </w:style>
  <w:style w:type="character" w:customStyle="1" w:styleId="WW8Num1z1">
    <w:name w:val="WW8Num1z1"/>
    <w:qFormat/>
    <w:rsid w:val="00955A27"/>
  </w:style>
  <w:style w:type="character" w:customStyle="1" w:styleId="WW8Num1z2">
    <w:name w:val="WW8Num1z2"/>
    <w:qFormat/>
    <w:rsid w:val="00955A27"/>
  </w:style>
  <w:style w:type="character" w:customStyle="1" w:styleId="WW8Num1z3">
    <w:name w:val="WW8Num1z3"/>
    <w:qFormat/>
    <w:rsid w:val="00955A27"/>
  </w:style>
  <w:style w:type="character" w:customStyle="1" w:styleId="WW8Num1z4">
    <w:name w:val="WW8Num1z4"/>
    <w:qFormat/>
    <w:rsid w:val="00955A27"/>
  </w:style>
  <w:style w:type="character" w:customStyle="1" w:styleId="WW8Num1z5">
    <w:name w:val="WW8Num1z5"/>
    <w:qFormat/>
    <w:rsid w:val="00955A27"/>
  </w:style>
  <w:style w:type="character" w:customStyle="1" w:styleId="WW8Num1z6">
    <w:name w:val="WW8Num1z6"/>
    <w:qFormat/>
    <w:rsid w:val="00955A27"/>
  </w:style>
  <w:style w:type="character" w:customStyle="1" w:styleId="WW8Num1z7">
    <w:name w:val="WW8Num1z7"/>
    <w:qFormat/>
    <w:rsid w:val="00955A27"/>
  </w:style>
  <w:style w:type="character" w:customStyle="1" w:styleId="WW8Num1z8">
    <w:name w:val="WW8Num1z8"/>
    <w:qFormat/>
    <w:rsid w:val="00955A27"/>
  </w:style>
  <w:style w:type="character" w:customStyle="1" w:styleId="WW8Num2z0">
    <w:name w:val="WW8Num2z0"/>
    <w:qFormat/>
    <w:rsid w:val="00955A27"/>
    <w:rPr>
      <w:sz w:val="32"/>
    </w:rPr>
  </w:style>
  <w:style w:type="character" w:customStyle="1" w:styleId="WW8Num3z0">
    <w:name w:val="WW8Num3z0"/>
    <w:qFormat/>
    <w:rsid w:val="00955A27"/>
    <w:rPr>
      <w:rFonts w:cs="Garamond"/>
      <w:color w:val="FF0000"/>
    </w:rPr>
  </w:style>
  <w:style w:type="character" w:customStyle="1" w:styleId="WW8Num4z0">
    <w:name w:val="WW8Num4z0"/>
    <w:qFormat/>
    <w:rsid w:val="00955A27"/>
    <w:rPr>
      <w:rFonts w:ascii="Symbol" w:eastAsia="Calibri" w:hAnsi="Symbol" w:cs="Symbol"/>
      <w:color w:val="auto"/>
      <w:sz w:val="28"/>
      <w:szCs w:val="24"/>
    </w:rPr>
  </w:style>
  <w:style w:type="character" w:customStyle="1" w:styleId="WW8Num5z0">
    <w:name w:val="WW8Num5z0"/>
    <w:qFormat/>
    <w:rsid w:val="00955A27"/>
    <w:rPr>
      <w:rFonts w:ascii="Symbol" w:hAnsi="Symbol" w:cs="Symbol"/>
    </w:rPr>
  </w:style>
  <w:style w:type="character" w:customStyle="1" w:styleId="WW8Num6z0">
    <w:name w:val="WW8Num6z0"/>
    <w:qFormat/>
    <w:rsid w:val="00955A27"/>
    <w:rPr>
      <w:rFonts w:ascii="Symbol" w:eastAsia="TimesNewRomanPSMT" w:hAnsi="Symbol" w:cs="Symbol"/>
      <w:i/>
      <w:color w:val="800000"/>
      <w:sz w:val="22"/>
      <w:szCs w:val="28"/>
    </w:rPr>
  </w:style>
  <w:style w:type="character" w:customStyle="1" w:styleId="WW8Num6z1">
    <w:name w:val="WW8Num6z1"/>
    <w:qFormat/>
    <w:rsid w:val="00955A27"/>
    <w:rPr>
      <w:rFonts w:ascii="Courier New" w:hAnsi="Courier New" w:cs="Courier New"/>
      <w:color w:val="800000"/>
    </w:rPr>
  </w:style>
  <w:style w:type="character" w:customStyle="1" w:styleId="WW8Num6z2">
    <w:name w:val="WW8Num6z2"/>
    <w:qFormat/>
    <w:rsid w:val="00955A27"/>
    <w:rPr>
      <w:rFonts w:ascii="Wingdings" w:eastAsia="TimesNewRomanPSMT" w:hAnsi="Wingdings" w:cs="Wingdings"/>
      <w:szCs w:val="24"/>
    </w:rPr>
  </w:style>
  <w:style w:type="character" w:customStyle="1" w:styleId="WW8Num6z3">
    <w:name w:val="WW8Num6z3"/>
    <w:qFormat/>
    <w:rsid w:val="00955A27"/>
  </w:style>
  <w:style w:type="character" w:customStyle="1" w:styleId="WW8Num7z0">
    <w:name w:val="WW8Num7z0"/>
    <w:qFormat/>
    <w:rsid w:val="00955A27"/>
    <w:rPr>
      <w:rFonts w:ascii="Symbol" w:hAnsi="Symbol" w:cs="Symbol"/>
    </w:rPr>
  </w:style>
  <w:style w:type="character" w:customStyle="1" w:styleId="WW8Num8z0">
    <w:name w:val="WW8Num8z0"/>
    <w:qFormat/>
    <w:rsid w:val="00955A27"/>
    <w:rPr>
      <w:rFonts w:ascii="Symbol" w:hAnsi="Symbol" w:cs="Symbol"/>
      <w:color w:val="FF0000"/>
      <w:sz w:val="24"/>
      <w:szCs w:val="24"/>
    </w:rPr>
  </w:style>
  <w:style w:type="character" w:customStyle="1" w:styleId="WW8Num9z0">
    <w:name w:val="WW8Num9z0"/>
    <w:qFormat/>
    <w:rsid w:val="00955A27"/>
    <w:rPr>
      <w:rFonts w:ascii="Symbol" w:eastAsia="Calibri" w:hAnsi="Symbol" w:cs="Symbol"/>
      <w:sz w:val="24"/>
      <w:szCs w:val="24"/>
    </w:rPr>
  </w:style>
  <w:style w:type="character" w:customStyle="1" w:styleId="WW8Num9z1">
    <w:name w:val="WW8Num9z1"/>
    <w:qFormat/>
    <w:rsid w:val="00955A27"/>
    <w:rPr>
      <w:rFonts w:ascii="Courier New" w:hAnsi="Courier New" w:cs="Courier New"/>
    </w:rPr>
  </w:style>
  <w:style w:type="character" w:customStyle="1" w:styleId="WW8Num9z2">
    <w:name w:val="WW8Num9z2"/>
    <w:qFormat/>
    <w:rsid w:val="00955A27"/>
    <w:rPr>
      <w:rFonts w:ascii="Wingdings" w:hAnsi="Wingdings" w:cs="Wingdings"/>
    </w:rPr>
  </w:style>
  <w:style w:type="character" w:customStyle="1" w:styleId="WW8Num10z0">
    <w:name w:val="WW8Num10z0"/>
    <w:qFormat/>
    <w:rsid w:val="00955A27"/>
    <w:rPr>
      <w:rFonts w:eastAsia="TimesNewRomanPSMT"/>
      <w:b/>
      <w:i w:val="0"/>
      <w:color w:val="auto"/>
      <w:sz w:val="28"/>
      <w:szCs w:val="28"/>
    </w:rPr>
  </w:style>
  <w:style w:type="character" w:customStyle="1" w:styleId="WW8Num10z1">
    <w:name w:val="WW8Num10z1"/>
    <w:qFormat/>
    <w:rsid w:val="00955A27"/>
    <w:rPr>
      <w:rFonts w:eastAsia="Calibri"/>
    </w:rPr>
  </w:style>
  <w:style w:type="character" w:customStyle="1" w:styleId="WW8Num10z2">
    <w:name w:val="WW8Num10z2"/>
    <w:qFormat/>
    <w:rsid w:val="00955A27"/>
    <w:rPr>
      <w:rFonts w:eastAsia="TimesNewRomanPSMT"/>
      <w:color w:val="auto"/>
      <w:szCs w:val="24"/>
    </w:rPr>
  </w:style>
  <w:style w:type="character" w:customStyle="1" w:styleId="WW8Num10z3">
    <w:name w:val="WW8Num10z3"/>
    <w:qFormat/>
    <w:rsid w:val="00955A27"/>
  </w:style>
  <w:style w:type="character" w:customStyle="1" w:styleId="WW8Num11z0">
    <w:name w:val="WW8Num11z0"/>
    <w:qFormat/>
    <w:rsid w:val="00955A27"/>
    <w:rPr>
      <w:rFonts w:ascii="Symbol" w:eastAsia="SymbolMT" w:hAnsi="Symbol" w:cs="Symbol"/>
      <w:color w:val="FF0000"/>
      <w:sz w:val="24"/>
      <w:szCs w:val="24"/>
    </w:rPr>
  </w:style>
  <w:style w:type="character" w:customStyle="1" w:styleId="WW8Num11z1">
    <w:name w:val="WW8Num11z1"/>
    <w:qFormat/>
    <w:rsid w:val="00955A27"/>
    <w:rPr>
      <w:rFonts w:ascii="Courier New" w:hAnsi="Courier New" w:cs="Courier New"/>
    </w:rPr>
  </w:style>
  <w:style w:type="character" w:customStyle="1" w:styleId="WW8Num11z2">
    <w:name w:val="WW8Num11z2"/>
    <w:qFormat/>
    <w:rsid w:val="00955A27"/>
    <w:rPr>
      <w:rFonts w:ascii="Wingdings" w:hAnsi="Wingdings" w:cs="Wingdings"/>
    </w:rPr>
  </w:style>
  <w:style w:type="character" w:customStyle="1" w:styleId="WW8Num11z3">
    <w:name w:val="WW8Num11z3"/>
    <w:qFormat/>
    <w:rsid w:val="00955A27"/>
    <w:rPr>
      <w:rFonts w:ascii="Symbol" w:hAnsi="Symbol" w:cs="Symbol"/>
    </w:rPr>
  </w:style>
  <w:style w:type="character" w:customStyle="1" w:styleId="WW8Num12z0">
    <w:name w:val="WW8Num12z0"/>
    <w:qFormat/>
    <w:rsid w:val="00955A27"/>
    <w:rPr>
      <w:rFonts w:ascii="Wingdings" w:eastAsia="SymbolMT" w:hAnsi="Wingdings" w:cs="Wingdings"/>
      <w:color w:val="FF0000"/>
      <w:sz w:val="28"/>
      <w:szCs w:val="24"/>
    </w:rPr>
  </w:style>
  <w:style w:type="character" w:customStyle="1" w:styleId="WW8Num12z1">
    <w:name w:val="WW8Num12z1"/>
    <w:qFormat/>
    <w:rsid w:val="00955A27"/>
    <w:rPr>
      <w:rFonts w:ascii="Courier New" w:hAnsi="Courier New" w:cs="Courier New"/>
    </w:rPr>
  </w:style>
  <w:style w:type="character" w:customStyle="1" w:styleId="WW8Num12z2">
    <w:name w:val="WW8Num12z2"/>
    <w:qFormat/>
    <w:rsid w:val="00955A27"/>
    <w:rPr>
      <w:rFonts w:ascii="Wingdings" w:hAnsi="Wingdings" w:cs="Wingdings"/>
    </w:rPr>
  </w:style>
  <w:style w:type="character" w:customStyle="1" w:styleId="WW8Num13z0">
    <w:name w:val="WW8Num13z0"/>
    <w:qFormat/>
    <w:rsid w:val="00955A27"/>
    <w:rPr>
      <w:rFonts w:eastAsia="Calibri" w:cs="Tahoma"/>
      <w:color w:val="00000A"/>
    </w:rPr>
  </w:style>
  <w:style w:type="character" w:customStyle="1" w:styleId="WW8Num13z1">
    <w:name w:val="WW8Num13z1"/>
    <w:qFormat/>
    <w:rsid w:val="00955A27"/>
  </w:style>
  <w:style w:type="character" w:customStyle="1" w:styleId="WW8Num13z2">
    <w:name w:val="WW8Num13z2"/>
    <w:qFormat/>
    <w:rsid w:val="00955A27"/>
  </w:style>
  <w:style w:type="character" w:customStyle="1" w:styleId="WW8Num14z0">
    <w:name w:val="WW8Num14z0"/>
    <w:qFormat/>
    <w:rsid w:val="00955A27"/>
    <w:rPr>
      <w:rFonts w:ascii="Garamond" w:hAnsi="Garamond" w:cs="Garamond"/>
      <w:szCs w:val="28"/>
    </w:rPr>
  </w:style>
  <w:style w:type="character" w:customStyle="1" w:styleId="WW8Num14z1">
    <w:name w:val="WW8Num14z1"/>
    <w:qFormat/>
    <w:rsid w:val="00955A27"/>
  </w:style>
  <w:style w:type="character" w:customStyle="1" w:styleId="WW8Num14z3">
    <w:name w:val="WW8Num14z3"/>
    <w:qFormat/>
    <w:rsid w:val="00955A27"/>
  </w:style>
  <w:style w:type="character" w:customStyle="1" w:styleId="WW8Num15z0">
    <w:name w:val="WW8Num15z0"/>
    <w:qFormat/>
    <w:rsid w:val="00955A27"/>
    <w:rPr>
      <w:rFonts w:ascii="Garamond" w:hAnsi="Garamond" w:cs="Garamond"/>
      <w:b/>
      <w:color w:val="auto"/>
      <w:sz w:val="28"/>
      <w:szCs w:val="28"/>
    </w:rPr>
  </w:style>
  <w:style w:type="character" w:customStyle="1" w:styleId="WW8Num15z1">
    <w:name w:val="WW8Num15z1"/>
    <w:qFormat/>
    <w:rsid w:val="00955A27"/>
    <w:rPr>
      <w:rFonts w:ascii="Garamond" w:hAnsi="Garamond" w:cs="Garamond"/>
      <w:szCs w:val="24"/>
    </w:rPr>
  </w:style>
  <w:style w:type="character" w:customStyle="1" w:styleId="WW8Num15z2">
    <w:name w:val="WW8Num15z2"/>
    <w:qFormat/>
    <w:rsid w:val="00955A27"/>
  </w:style>
  <w:style w:type="character" w:customStyle="1" w:styleId="WW8Num15z3">
    <w:name w:val="WW8Num15z3"/>
    <w:qFormat/>
    <w:rsid w:val="00955A27"/>
  </w:style>
  <w:style w:type="character" w:customStyle="1" w:styleId="WW8Num16z0">
    <w:name w:val="WW8Num16z0"/>
    <w:qFormat/>
    <w:rsid w:val="00955A27"/>
    <w:rPr>
      <w:rFonts w:cs="Arial"/>
      <w:sz w:val="24"/>
      <w:szCs w:val="24"/>
    </w:rPr>
  </w:style>
  <w:style w:type="character" w:customStyle="1" w:styleId="WW8Num17z0">
    <w:name w:val="WW8Num17z0"/>
    <w:qFormat/>
    <w:rsid w:val="00955A27"/>
    <w:rPr>
      <w:rFonts w:ascii="Symbol" w:hAnsi="Symbol" w:cs="Symbol"/>
      <w:sz w:val="24"/>
      <w:szCs w:val="24"/>
    </w:rPr>
  </w:style>
  <w:style w:type="character" w:customStyle="1" w:styleId="WW8Num17z1">
    <w:name w:val="WW8Num17z1"/>
    <w:qFormat/>
    <w:rsid w:val="00955A27"/>
    <w:rPr>
      <w:rFonts w:ascii="Courier New" w:hAnsi="Courier New" w:cs="Courier New"/>
    </w:rPr>
  </w:style>
  <w:style w:type="character" w:customStyle="1" w:styleId="WW8Num17z2">
    <w:name w:val="WW8Num17z2"/>
    <w:qFormat/>
    <w:rsid w:val="00955A27"/>
    <w:rPr>
      <w:rFonts w:ascii="Wingdings" w:hAnsi="Wingdings" w:cs="Wingdings"/>
    </w:rPr>
  </w:style>
  <w:style w:type="character" w:customStyle="1" w:styleId="WW8Num18z0">
    <w:name w:val="WW8Num18z0"/>
    <w:qFormat/>
    <w:rsid w:val="00955A27"/>
    <w:rPr>
      <w:rFonts w:ascii="Symbol" w:hAnsi="Symbol" w:cs="Symbol"/>
    </w:rPr>
  </w:style>
  <w:style w:type="character" w:customStyle="1" w:styleId="WW8Num18z1">
    <w:name w:val="WW8Num18z1"/>
    <w:qFormat/>
    <w:rsid w:val="00955A27"/>
    <w:rPr>
      <w:rFonts w:ascii="Courier New" w:hAnsi="Courier New" w:cs="Courier New"/>
    </w:rPr>
  </w:style>
  <w:style w:type="character" w:customStyle="1" w:styleId="WW8Num18z2">
    <w:name w:val="WW8Num18z2"/>
    <w:qFormat/>
    <w:rsid w:val="00955A27"/>
    <w:rPr>
      <w:rFonts w:ascii="Wingdings" w:hAnsi="Wingdings" w:cs="Wingdings"/>
    </w:rPr>
  </w:style>
  <w:style w:type="character" w:customStyle="1" w:styleId="WW8Num19z0">
    <w:name w:val="WW8Num19z0"/>
    <w:qFormat/>
    <w:rsid w:val="00955A27"/>
    <w:rPr>
      <w:rFonts w:ascii="Symbol" w:hAnsi="Symbol" w:cs="Symbol"/>
    </w:rPr>
  </w:style>
  <w:style w:type="character" w:customStyle="1" w:styleId="WW8Num19z1">
    <w:name w:val="WW8Num19z1"/>
    <w:qFormat/>
    <w:rsid w:val="00955A27"/>
    <w:rPr>
      <w:rFonts w:ascii="Courier New" w:hAnsi="Courier New" w:cs="Courier New"/>
    </w:rPr>
  </w:style>
  <w:style w:type="character" w:customStyle="1" w:styleId="WW8Num19z2">
    <w:name w:val="WW8Num19z2"/>
    <w:qFormat/>
    <w:rsid w:val="00955A27"/>
    <w:rPr>
      <w:rFonts w:ascii="Wingdings" w:hAnsi="Wingdings" w:cs="Wingdings"/>
    </w:rPr>
  </w:style>
  <w:style w:type="character" w:customStyle="1" w:styleId="WW8Num20z0">
    <w:name w:val="WW8Num20z0"/>
    <w:qFormat/>
    <w:rsid w:val="00955A27"/>
    <w:rPr>
      <w:rFonts w:ascii="Symbol" w:hAnsi="Symbol" w:cs="Symbol"/>
    </w:rPr>
  </w:style>
  <w:style w:type="character" w:customStyle="1" w:styleId="WW8Num20z1">
    <w:name w:val="WW8Num20z1"/>
    <w:qFormat/>
    <w:rsid w:val="00955A27"/>
    <w:rPr>
      <w:rFonts w:ascii="Courier New" w:hAnsi="Courier New" w:cs="Courier New"/>
    </w:rPr>
  </w:style>
  <w:style w:type="character" w:customStyle="1" w:styleId="WW8Num20z2">
    <w:name w:val="WW8Num20z2"/>
    <w:qFormat/>
    <w:rsid w:val="00955A27"/>
    <w:rPr>
      <w:rFonts w:ascii="Wingdings" w:hAnsi="Wingdings" w:cs="Wingdings"/>
    </w:rPr>
  </w:style>
  <w:style w:type="character" w:customStyle="1" w:styleId="WW8Num21z0">
    <w:name w:val="WW8Num21z0"/>
    <w:qFormat/>
    <w:rsid w:val="00955A27"/>
    <w:rPr>
      <w:rFonts w:ascii="Symbol" w:hAnsi="Symbol" w:cs="Symbol"/>
    </w:rPr>
  </w:style>
  <w:style w:type="character" w:customStyle="1" w:styleId="WW8Num21z1">
    <w:name w:val="WW8Num21z1"/>
    <w:qFormat/>
    <w:rsid w:val="00955A27"/>
    <w:rPr>
      <w:rFonts w:ascii="Courier New" w:hAnsi="Courier New" w:cs="Courier New"/>
    </w:rPr>
  </w:style>
  <w:style w:type="character" w:customStyle="1" w:styleId="WW8Num21z2">
    <w:name w:val="WW8Num21z2"/>
    <w:qFormat/>
    <w:rsid w:val="00955A27"/>
    <w:rPr>
      <w:rFonts w:ascii="Wingdings" w:hAnsi="Wingdings" w:cs="Wingdings"/>
    </w:rPr>
  </w:style>
  <w:style w:type="character" w:customStyle="1" w:styleId="WW8Num22z0">
    <w:name w:val="WW8Num22z0"/>
    <w:qFormat/>
    <w:rsid w:val="00955A27"/>
    <w:rPr>
      <w:rFonts w:cs="Courier New"/>
    </w:rPr>
  </w:style>
  <w:style w:type="character" w:customStyle="1" w:styleId="WW8Num22z1">
    <w:name w:val="WW8Num22z1"/>
    <w:qFormat/>
    <w:rsid w:val="00955A27"/>
    <w:rPr>
      <w:rFonts w:cs="Arial"/>
      <w:sz w:val="20"/>
      <w:szCs w:val="20"/>
    </w:rPr>
  </w:style>
  <w:style w:type="character" w:customStyle="1" w:styleId="WW8Num22z2">
    <w:name w:val="WW8Num22z2"/>
    <w:qFormat/>
    <w:rsid w:val="00955A27"/>
    <w:rPr>
      <w:rFonts w:eastAsia="Times New Roman" w:cs="Arial"/>
    </w:rPr>
  </w:style>
  <w:style w:type="character" w:customStyle="1" w:styleId="WW8Num22z3">
    <w:name w:val="WW8Num22z3"/>
    <w:qFormat/>
    <w:rsid w:val="00955A27"/>
    <w:rPr>
      <w:rFonts w:eastAsia="Times New Roman" w:cs="Times New Roman"/>
    </w:rPr>
  </w:style>
  <w:style w:type="character" w:customStyle="1" w:styleId="WW8Num23z0">
    <w:name w:val="WW8Num23z0"/>
    <w:qFormat/>
    <w:rsid w:val="00955A27"/>
    <w:rPr>
      <w:rFonts w:cs="Courier New"/>
    </w:rPr>
  </w:style>
  <w:style w:type="character" w:customStyle="1" w:styleId="WW8Num23z1">
    <w:name w:val="WW8Num23z1"/>
    <w:qFormat/>
    <w:rsid w:val="00955A27"/>
  </w:style>
  <w:style w:type="character" w:customStyle="1" w:styleId="WW8Num23z2">
    <w:name w:val="WW8Num23z2"/>
    <w:qFormat/>
    <w:rsid w:val="00955A27"/>
  </w:style>
  <w:style w:type="character" w:customStyle="1" w:styleId="WW8Num23z3">
    <w:name w:val="WW8Num23z3"/>
    <w:qFormat/>
    <w:rsid w:val="00955A27"/>
  </w:style>
  <w:style w:type="character" w:customStyle="1" w:styleId="WW8Num23z4">
    <w:name w:val="WW8Num23z4"/>
    <w:qFormat/>
    <w:rsid w:val="00955A27"/>
  </w:style>
  <w:style w:type="character" w:customStyle="1" w:styleId="WW8Num23z5">
    <w:name w:val="WW8Num23z5"/>
    <w:qFormat/>
    <w:rsid w:val="00955A27"/>
  </w:style>
  <w:style w:type="character" w:customStyle="1" w:styleId="WW8Num23z6">
    <w:name w:val="WW8Num23z6"/>
    <w:qFormat/>
    <w:rsid w:val="00955A27"/>
  </w:style>
  <w:style w:type="character" w:customStyle="1" w:styleId="WW8Num23z7">
    <w:name w:val="WW8Num23z7"/>
    <w:qFormat/>
    <w:rsid w:val="00955A27"/>
  </w:style>
  <w:style w:type="character" w:customStyle="1" w:styleId="WW8Num23z8">
    <w:name w:val="WW8Num23z8"/>
    <w:qFormat/>
    <w:rsid w:val="00955A27"/>
  </w:style>
  <w:style w:type="character" w:customStyle="1" w:styleId="WW8Num24z0">
    <w:name w:val="WW8Num24z0"/>
    <w:qFormat/>
    <w:rsid w:val="00955A27"/>
    <w:rPr>
      <w:rFonts w:cs="Arial"/>
    </w:rPr>
  </w:style>
  <w:style w:type="character" w:customStyle="1" w:styleId="WW8Num24z1">
    <w:name w:val="WW8Num24z1"/>
    <w:qFormat/>
    <w:rsid w:val="00955A27"/>
    <w:rPr>
      <w:sz w:val="22"/>
      <w:szCs w:val="22"/>
    </w:rPr>
  </w:style>
  <w:style w:type="character" w:customStyle="1" w:styleId="WW8Num24z2">
    <w:name w:val="WW8Num24z2"/>
    <w:qFormat/>
    <w:rsid w:val="00955A27"/>
  </w:style>
  <w:style w:type="character" w:customStyle="1" w:styleId="WW8Num24z3">
    <w:name w:val="WW8Num24z3"/>
    <w:qFormat/>
    <w:rsid w:val="00955A27"/>
  </w:style>
  <w:style w:type="character" w:customStyle="1" w:styleId="WW8Num24z4">
    <w:name w:val="WW8Num24z4"/>
    <w:qFormat/>
    <w:rsid w:val="00955A27"/>
  </w:style>
  <w:style w:type="character" w:customStyle="1" w:styleId="WW8Num24z5">
    <w:name w:val="WW8Num24z5"/>
    <w:qFormat/>
    <w:rsid w:val="00955A27"/>
  </w:style>
  <w:style w:type="character" w:customStyle="1" w:styleId="WW8Num24z6">
    <w:name w:val="WW8Num24z6"/>
    <w:qFormat/>
    <w:rsid w:val="00955A27"/>
  </w:style>
  <w:style w:type="character" w:customStyle="1" w:styleId="WW8Num24z7">
    <w:name w:val="WW8Num24z7"/>
    <w:qFormat/>
    <w:rsid w:val="00955A27"/>
  </w:style>
  <w:style w:type="character" w:customStyle="1" w:styleId="WW8Num24z8">
    <w:name w:val="WW8Num24z8"/>
    <w:qFormat/>
    <w:rsid w:val="00955A27"/>
  </w:style>
  <w:style w:type="character" w:customStyle="1" w:styleId="WW8Num25z0">
    <w:name w:val="WW8Num25z0"/>
    <w:qFormat/>
    <w:rsid w:val="00955A27"/>
    <w:rPr>
      <w:rFonts w:ascii="Symbol" w:hAnsi="Symbol" w:cs="OpenSymbol"/>
    </w:rPr>
  </w:style>
  <w:style w:type="character" w:customStyle="1" w:styleId="WW8Num14z2">
    <w:name w:val="WW8Num14z2"/>
    <w:qFormat/>
    <w:rsid w:val="00955A27"/>
  </w:style>
  <w:style w:type="character" w:customStyle="1" w:styleId="WW8Num14z4">
    <w:name w:val="WW8Num14z4"/>
    <w:qFormat/>
    <w:rsid w:val="00955A27"/>
  </w:style>
  <w:style w:type="character" w:customStyle="1" w:styleId="WW8Num14z5">
    <w:name w:val="WW8Num14z5"/>
    <w:qFormat/>
    <w:rsid w:val="00955A27"/>
  </w:style>
  <w:style w:type="character" w:customStyle="1" w:styleId="WW8Num14z6">
    <w:name w:val="WW8Num14z6"/>
    <w:qFormat/>
    <w:rsid w:val="00955A27"/>
  </w:style>
  <w:style w:type="character" w:customStyle="1" w:styleId="WW8Num14z7">
    <w:name w:val="WW8Num14z7"/>
    <w:qFormat/>
    <w:rsid w:val="00955A27"/>
  </w:style>
  <w:style w:type="character" w:customStyle="1" w:styleId="WW8Num14z8">
    <w:name w:val="WW8Num14z8"/>
    <w:qFormat/>
    <w:rsid w:val="00955A27"/>
  </w:style>
  <w:style w:type="character" w:customStyle="1" w:styleId="WW8Num15z4">
    <w:name w:val="WW8Num15z4"/>
    <w:qFormat/>
    <w:rsid w:val="00955A27"/>
  </w:style>
  <w:style w:type="character" w:customStyle="1" w:styleId="WW8Num15z5">
    <w:name w:val="WW8Num15z5"/>
    <w:qFormat/>
    <w:rsid w:val="00955A27"/>
  </w:style>
  <w:style w:type="character" w:customStyle="1" w:styleId="WW8Num15z6">
    <w:name w:val="WW8Num15z6"/>
    <w:qFormat/>
    <w:rsid w:val="00955A27"/>
  </w:style>
  <w:style w:type="character" w:customStyle="1" w:styleId="WW8Num15z7">
    <w:name w:val="WW8Num15z7"/>
    <w:qFormat/>
    <w:rsid w:val="00955A27"/>
  </w:style>
  <w:style w:type="character" w:customStyle="1" w:styleId="WW8Num15z8">
    <w:name w:val="WW8Num15z8"/>
    <w:qFormat/>
    <w:rsid w:val="00955A27"/>
  </w:style>
  <w:style w:type="character" w:customStyle="1" w:styleId="Domylnaczcionkaakapitu2">
    <w:name w:val="Domyślna czcionka akapitu2"/>
    <w:qFormat/>
    <w:rsid w:val="00955A27"/>
  </w:style>
  <w:style w:type="character" w:customStyle="1" w:styleId="WW8Num2z1">
    <w:name w:val="WW8Num2z1"/>
    <w:qFormat/>
    <w:rsid w:val="00955A27"/>
  </w:style>
  <w:style w:type="character" w:customStyle="1" w:styleId="WW8Num2z2">
    <w:name w:val="WW8Num2z2"/>
    <w:qFormat/>
    <w:rsid w:val="00955A27"/>
  </w:style>
  <w:style w:type="character" w:customStyle="1" w:styleId="WW8Num2z3">
    <w:name w:val="WW8Num2z3"/>
    <w:qFormat/>
    <w:rsid w:val="00955A27"/>
  </w:style>
  <w:style w:type="character" w:customStyle="1" w:styleId="WW8Num2z4">
    <w:name w:val="WW8Num2z4"/>
    <w:qFormat/>
    <w:rsid w:val="00955A27"/>
  </w:style>
  <w:style w:type="character" w:customStyle="1" w:styleId="WW8Num2z5">
    <w:name w:val="WW8Num2z5"/>
    <w:qFormat/>
    <w:rsid w:val="00955A27"/>
  </w:style>
  <w:style w:type="character" w:customStyle="1" w:styleId="WW8Num2z6">
    <w:name w:val="WW8Num2z6"/>
    <w:qFormat/>
    <w:rsid w:val="00955A27"/>
  </w:style>
  <w:style w:type="character" w:customStyle="1" w:styleId="WW8Num2z7">
    <w:name w:val="WW8Num2z7"/>
    <w:qFormat/>
    <w:rsid w:val="00955A27"/>
  </w:style>
  <w:style w:type="character" w:customStyle="1" w:styleId="WW8Num2z8">
    <w:name w:val="WW8Num2z8"/>
    <w:qFormat/>
    <w:rsid w:val="00955A27"/>
  </w:style>
  <w:style w:type="character" w:customStyle="1" w:styleId="WW8Num4z1">
    <w:name w:val="WW8Num4z1"/>
    <w:qFormat/>
    <w:rsid w:val="00955A27"/>
    <w:rPr>
      <w:rFonts w:ascii="Courier New" w:hAnsi="Courier New" w:cs="Courier New"/>
    </w:rPr>
  </w:style>
  <w:style w:type="character" w:customStyle="1" w:styleId="WW8Num4z2">
    <w:name w:val="WW8Num4z2"/>
    <w:qFormat/>
    <w:rsid w:val="00955A27"/>
    <w:rPr>
      <w:rFonts w:ascii="Wingdings" w:hAnsi="Wingdings" w:cs="Wingdings"/>
    </w:rPr>
  </w:style>
  <w:style w:type="character" w:customStyle="1" w:styleId="WW8Num4z3">
    <w:name w:val="WW8Num4z3"/>
    <w:qFormat/>
    <w:rsid w:val="00955A27"/>
    <w:rPr>
      <w:rFonts w:ascii="Symbol" w:hAnsi="Symbol" w:cs="Symbol"/>
    </w:rPr>
  </w:style>
  <w:style w:type="character" w:customStyle="1" w:styleId="WW8Num5z1">
    <w:name w:val="WW8Num5z1"/>
    <w:qFormat/>
    <w:rsid w:val="00955A27"/>
    <w:rPr>
      <w:rFonts w:ascii="Courier New" w:hAnsi="Courier New" w:cs="Courier New"/>
    </w:rPr>
  </w:style>
  <w:style w:type="character" w:customStyle="1" w:styleId="WW8Num5z2">
    <w:name w:val="WW8Num5z2"/>
    <w:qFormat/>
    <w:rsid w:val="00955A27"/>
    <w:rPr>
      <w:rFonts w:ascii="Wingdings" w:hAnsi="Wingdings" w:cs="Wingdings"/>
    </w:rPr>
  </w:style>
  <w:style w:type="character" w:customStyle="1" w:styleId="WW8Num7z1">
    <w:name w:val="WW8Num7z1"/>
    <w:qFormat/>
    <w:rsid w:val="00955A27"/>
    <w:rPr>
      <w:rFonts w:ascii="Courier New" w:hAnsi="Courier New" w:cs="Courier New"/>
    </w:rPr>
  </w:style>
  <w:style w:type="character" w:customStyle="1" w:styleId="WW8Num7z2">
    <w:name w:val="WW8Num7z2"/>
    <w:qFormat/>
    <w:rsid w:val="00955A27"/>
    <w:rPr>
      <w:rFonts w:ascii="Wingdings" w:hAnsi="Wingdings" w:cs="Wingdings"/>
    </w:rPr>
  </w:style>
  <w:style w:type="character" w:customStyle="1" w:styleId="WW8Num8z1">
    <w:name w:val="WW8Num8z1"/>
    <w:qFormat/>
    <w:rsid w:val="00955A27"/>
    <w:rPr>
      <w:rFonts w:ascii="Courier New" w:hAnsi="Courier New" w:cs="Courier New"/>
    </w:rPr>
  </w:style>
  <w:style w:type="character" w:customStyle="1" w:styleId="WW8Num8z2">
    <w:name w:val="WW8Num8z2"/>
    <w:qFormat/>
    <w:rsid w:val="00955A27"/>
    <w:rPr>
      <w:rFonts w:ascii="Wingdings" w:hAnsi="Wingdings" w:cs="Wingdings"/>
    </w:rPr>
  </w:style>
  <w:style w:type="character" w:customStyle="1" w:styleId="WW8Num12z3">
    <w:name w:val="WW8Num12z3"/>
    <w:qFormat/>
    <w:rsid w:val="00955A27"/>
    <w:rPr>
      <w:rFonts w:ascii="Symbol" w:hAnsi="Symbol" w:cs="Symbol"/>
    </w:rPr>
  </w:style>
  <w:style w:type="character" w:customStyle="1" w:styleId="WW8Num13z3">
    <w:name w:val="WW8Num13z3"/>
    <w:qFormat/>
    <w:rsid w:val="00955A27"/>
  </w:style>
  <w:style w:type="character" w:customStyle="1" w:styleId="WW8Num13z4">
    <w:name w:val="WW8Num13z4"/>
    <w:qFormat/>
    <w:rsid w:val="00955A27"/>
  </w:style>
  <w:style w:type="character" w:customStyle="1" w:styleId="WW8Num13z5">
    <w:name w:val="WW8Num13z5"/>
    <w:qFormat/>
    <w:rsid w:val="00955A27"/>
  </w:style>
  <w:style w:type="character" w:customStyle="1" w:styleId="WW8Num13z6">
    <w:name w:val="WW8Num13z6"/>
    <w:qFormat/>
    <w:rsid w:val="00955A27"/>
  </w:style>
  <w:style w:type="character" w:customStyle="1" w:styleId="WW8Num13z7">
    <w:name w:val="WW8Num13z7"/>
    <w:qFormat/>
    <w:rsid w:val="00955A27"/>
  </w:style>
  <w:style w:type="character" w:customStyle="1" w:styleId="WW8Num13z8">
    <w:name w:val="WW8Num13z8"/>
    <w:qFormat/>
    <w:rsid w:val="00955A27"/>
  </w:style>
  <w:style w:type="character" w:customStyle="1" w:styleId="Domylnaczcionkaakapitu1">
    <w:name w:val="Domyślna czcionka akapitu1"/>
    <w:qFormat/>
    <w:rsid w:val="00955A27"/>
  </w:style>
  <w:style w:type="character" w:styleId="Numerstrony">
    <w:name w:val="page number"/>
    <w:basedOn w:val="Domylnaczcionkaakapitu1"/>
    <w:qFormat/>
    <w:rsid w:val="00955A27"/>
  </w:style>
  <w:style w:type="character" w:customStyle="1" w:styleId="Odwoaniedokomentarza1">
    <w:name w:val="Odwołanie do komentarza1"/>
    <w:basedOn w:val="Domylnaczcionkaakapitu1"/>
    <w:qFormat/>
    <w:rsid w:val="00955A27"/>
    <w:rPr>
      <w:sz w:val="16"/>
    </w:rPr>
  </w:style>
  <w:style w:type="character" w:customStyle="1" w:styleId="czeinternetowe">
    <w:name w:val="Łącze internetowe"/>
    <w:basedOn w:val="Domylnaczcionkaakapitu1"/>
    <w:uiPriority w:val="99"/>
    <w:rsid w:val="00955A27"/>
    <w:rPr>
      <w:color w:val="0000FF"/>
      <w:u w:val="single"/>
    </w:rPr>
  </w:style>
  <w:style w:type="character" w:customStyle="1" w:styleId="Znakiprzypiswdolnych">
    <w:name w:val="Znaki przypisów dolnych"/>
    <w:basedOn w:val="Domylnaczcionkaakapitu1"/>
    <w:qFormat/>
    <w:rsid w:val="00955A27"/>
    <w:rPr>
      <w:vertAlign w:val="superscript"/>
    </w:rPr>
  </w:style>
  <w:style w:type="character" w:customStyle="1" w:styleId="TekstprzypisukocowegoZnak">
    <w:name w:val="Tekst przypisu końcowego Znak"/>
    <w:basedOn w:val="Domylnaczcionkaakapitu1"/>
    <w:link w:val="Tekstprzypisukocowego"/>
    <w:qFormat/>
    <w:rsid w:val="00955A27"/>
  </w:style>
  <w:style w:type="character" w:customStyle="1" w:styleId="Znakiprzypiswkocowych">
    <w:name w:val="Znaki przypisów końcowych"/>
    <w:basedOn w:val="Domylnaczcionkaakapitu1"/>
    <w:qFormat/>
    <w:rsid w:val="00955A27"/>
    <w:rPr>
      <w:vertAlign w:val="superscript"/>
    </w:rPr>
  </w:style>
  <w:style w:type="character" w:customStyle="1" w:styleId="AkapitzlistZnak">
    <w:name w:val="Akapit z listą Znak"/>
    <w:aliases w:val="Obiekt Znak,List Paragraph1 Znak,List Paragraph Znak,Lista 1 Znak,Oświetlenie Znak,TABELA Znak,BulletC Znak,Wyliczanie Znak,Akapit z listą31 Znak,normalny tekst Znak,Kolorowa lista — akcent 11 Znak,List_Paragraph Znak,Bullet1 Znak"/>
    <w:basedOn w:val="Domylnaczcionkaakapitu1"/>
    <w:uiPriority w:val="34"/>
    <w:qFormat/>
    <w:rsid w:val="00955A27"/>
    <w:rPr>
      <w:rFonts w:ascii="Calibri" w:hAnsi="Calibri" w:cs="Calibri"/>
      <w:sz w:val="22"/>
      <w:szCs w:val="22"/>
    </w:rPr>
  </w:style>
  <w:style w:type="character" w:styleId="Pogrubienie">
    <w:name w:val="Strong"/>
    <w:basedOn w:val="Domylnaczcionkaakapitu1"/>
    <w:uiPriority w:val="22"/>
    <w:qFormat/>
    <w:rsid w:val="00955A27"/>
    <w:rPr>
      <w:b/>
      <w:bCs/>
    </w:rPr>
  </w:style>
  <w:style w:type="character" w:customStyle="1" w:styleId="apple-converted-space">
    <w:name w:val="apple-converted-space"/>
    <w:basedOn w:val="Domylnaczcionkaakapitu1"/>
    <w:qFormat/>
    <w:rsid w:val="00955A27"/>
  </w:style>
  <w:style w:type="character" w:customStyle="1" w:styleId="Znakinumeracji">
    <w:name w:val="Znaki numeracji"/>
    <w:qFormat/>
    <w:rsid w:val="00955A27"/>
  </w:style>
  <w:style w:type="character" w:customStyle="1" w:styleId="ListLabel4">
    <w:name w:val="ListLabel 4"/>
    <w:qFormat/>
    <w:rsid w:val="00955A27"/>
    <w:rPr>
      <w:rFonts w:eastAsia="Times New Roman" w:cs="Arial"/>
    </w:rPr>
  </w:style>
  <w:style w:type="character" w:customStyle="1" w:styleId="ListLabel2">
    <w:name w:val="ListLabel 2"/>
    <w:qFormat/>
    <w:rsid w:val="00955A27"/>
    <w:rPr>
      <w:rFonts w:cs="Courier New"/>
    </w:rPr>
  </w:style>
  <w:style w:type="character" w:customStyle="1" w:styleId="ListLabel5">
    <w:name w:val="ListLabel 5"/>
    <w:qFormat/>
    <w:rsid w:val="00955A27"/>
    <w:rPr>
      <w:rFonts w:eastAsia="Times New Roman" w:cs="Times New Roman"/>
    </w:rPr>
  </w:style>
  <w:style w:type="character" w:customStyle="1" w:styleId="ListLabel1">
    <w:name w:val="ListLabel 1"/>
    <w:qFormat/>
    <w:rsid w:val="00955A27"/>
    <w:rPr>
      <w:rFonts w:cs="Courier New"/>
    </w:rPr>
  </w:style>
  <w:style w:type="character" w:customStyle="1" w:styleId="ListLabel3">
    <w:name w:val="ListLabel 3"/>
    <w:qFormat/>
    <w:rsid w:val="00955A27"/>
    <w:rPr>
      <w:rFonts w:cs="Arial"/>
      <w:sz w:val="20"/>
      <w:szCs w:val="20"/>
    </w:rPr>
  </w:style>
  <w:style w:type="character" w:customStyle="1" w:styleId="ListLabel6">
    <w:name w:val="ListLabel 6"/>
    <w:qFormat/>
    <w:rsid w:val="00955A27"/>
    <w:rPr>
      <w:sz w:val="22"/>
      <w:szCs w:val="22"/>
    </w:rPr>
  </w:style>
  <w:style w:type="character" w:customStyle="1" w:styleId="Symbolewypunktowania">
    <w:name w:val="Symbole wypunktowania"/>
    <w:qFormat/>
    <w:rsid w:val="00955A27"/>
    <w:rPr>
      <w:rFonts w:ascii="OpenSymbol" w:eastAsia="OpenSymbol" w:hAnsi="OpenSymbol" w:cs="OpenSymbol"/>
    </w:rPr>
  </w:style>
  <w:style w:type="character" w:styleId="UyteHipercze">
    <w:name w:val="FollowedHyperlink"/>
    <w:basedOn w:val="Domylnaczcionkaakapitu"/>
    <w:uiPriority w:val="99"/>
    <w:unhideWhenUsed/>
    <w:qFormat/>
    <w:rsid w:val="00955A27"/>
    <w:rPr>
      <w:color w:val="954F72" w:themeColor="followedHyperlink"/>
      <w:u w:val="single"/>
    </w:rPr>
  </w:style>
  <w:style w:type="character" w:customStyle="1" w:styleId="ListLabel7">
    <w:name w:val="ListLabel 7"/>
    <w:qFormat/>
    <w:rsid w:val="00955A27"/>
    <w:rPr>
      <w:sz w:val="32"/>
    </w:rPr>
  </w:style>
  <w:style w:type="character" w:customStyle="1" w:styleId="ListLabel8">
    <w:name w:val="ListLabel 8"/>
    <w:qFormat/>
    <w:rsid w:val="00955A27"/>
    <w:rPr>
      <w:rFonts w:cs="Garamond"/>
      <w:color w:val="auto"/>
    </w:rPr>
  </w:style>
  <w:style w:type="character" w:customStyle="1" w:styleId="ListLabel9">
    <w:name w:val="ListLabel 9"/>
    <w:qFormat/>
    <w:rsid w:val="00955A27"/>
    <w:rPr>
      <w:rFonts w:cs="Symbol"/>
      <w:color w:val="auto"/>
      <w:sz w:val="28"/>
      <w:szCs w:val="24"/>
    </w:rPr>
  </w:style>
  <w:style w:type="character" w:customStyle="1" w:styleId="ListLabel10">
    <w:name w:val="ListLabel 10"/>
    <w:qFormat/>
    <w:rsid w:val="00955A27"/>
    <w:rPr>
      <w:rFonts w:cs="Symbol"/>
      <w:color w:val="auto"/>
    </w:rPr>
  </w:style>
  <w:style w:type="character" w:customStyle="1" w:styleId="ListLabel11">
    <w:name w:val="ListLabel 11"/>
    <w:qFormat/>
    <w:rsid w:val="00955A27"/>
    <w:rPr>
      <w:rFonts w:eastAsia="TimesNewRomanPSMT" w:cs="Symbol"/>
      <w:i/>
      <w:color w:val="800000"/>
      <w:sz w:val="22"/>
      <w:szCs w:val="28"/>
    </w:rPr>
  </w:style>
  <w:style w:type="character" w:customStyle="1" w:styleId="ListLabel12">
    <w:name w:val="ListLabel 12"/>
    <w:qFormat/>
    <w:rsid w:val="00955A27"/>
    <w:rPr>
      <w:rFonts w:cs="Courier New"/>
      <w:color w:val="800000"/>
    </w:rPr>
  </w:style>
  <w:style w:type="character" w:customStyle="1" w:styleId="ListLabel13">
    <w:name w:val="ListLabel 13"/>
    <w:qFormat/>
    <w:rsid w:val="00955A27"/>
    <w:rPr>
      <w:rFonts w:eastAsia="TimesNewRomanPSMT" w:cs="Wingdings"/>
      <w:szCs w:val="24"/>
    </w:rPr>
  </w:style>
  <w:style w:type="character" w:customStyle="1" w:styleId="ListLabel14">
    <w:name w:val="ListLabel 14"/>
    <w:qFormat/>
    <w:rsid w:val="00955A27"/>
    <w:rPr>
      <w:rFonts w:cs="Symbol"/>
      <w:color w:val="auto"/>
    </w:rPr>
  </w:style>
  <w:style w:type="character" w:customStyle="1" w:styleId="ListLabel15">
    <w:name w:val="ListLabel 15"/>
    <w:qFormat/>
    <w:rsid w:val="00955A27"/>
    <w:rPr>
      <w:rFonts w:cs="Symbol"/>
      <w:color w:val="FF0000"/>
      <w:sz w:val="24"/>
      <w:szCs w:val="24"/>
    </w:rPr>
  </w:style>
  <w:style w:type="character" w:customStyle="1" w:styleId="ListLabel16">
    <w:name w:val="ListLabel 16"/>
    <w:qFormat/>
    <w:rsid w:val="00955A27"/>
    <w:rPr>
      <w:rFonts w:cs="Symbol"/>
      <w:sz w:val="24"/>
      <w:szCs w:val="24"/>
    </w:rPr>
  </w:style>
  <w:style w:type="character" w:customStyle="1" w:styleId="ListLabel17">
    <w:name w:val="ListLabel 17"/>
    <w:qFormat/>
    <w:rsid w:val="00955A27"/>
    <w:rPr>
      <w:rFonts w:cs="Courier New"/>
    </w:rPr>
  </w:style>
  <w:style w:type="character" w:customStyle="1" w:styleId="ListLabel18">
    <w:name w:val="ListLabel 18"/>
    <w:qFormat/>
    <w:rsid w:val="00955A27"/>
    <w:rPr>
      <w:rFonts w:cs="Wingdings"/>
    </w:rPr>
  </w:style>
  <w:style w:type="character" w:customStyle="1" w:styleId="ListLabel19">
    <w:name w:val="ListLabel 19"/>
    <w:qFormat/>
    <w:rsid w:val="00955A27"/>
    <w:rPr>
      <w:rFonts w:cs="Symbol"/>
      <w:sz w:val="24"/>
      <w:szCs w:val="24"/>
    </w:rPr>
  </w:style>
  <w:style w:type="character" w:customStyle="1" w:styleId="ListLabel20">
    <w:name w:val="ListLabel 20"/>
    <w:qFormat/>
    <w:rsid w:val="00955A27"/>
    <w:rPr>
      <w:rFonts w:cs="Courier New"/>
    </w:rPr>
  </w:style>
  <w:style w:type="character" w:customStyle="1" w:styleId="ListLabel21">
    <w:name w:val="ListLabel 21"/>
    <w:qFormat/>
    <w:rsid w:val="00955A27"/>
    <w:rPr>
      <w:rFonts w:cs="Wingdings"/>
    </w:rPr>
  </w:style>
  <w:style w:type="character" w:customStyle="1" w:styleId="ListLabel22">
    <w:name w:val="ListLabel 22"/>
    <w:qFormat/>
    <w:rsid w:val="00955A27"/>
    <w:rPr>
      <w:rFonts w:cs="Symbol"/>
      <w:sz w:val="24"/>
      <w:szCs w:val="24"/>
    </w:rPr>
  </w:style>
  <w:style w:type="character" w:customStyle="1" w:styleId="ListLabel23">
    <w:name w:val="ListLabel 23"/>
    <w:qFormat/>
    <w:rsid w:val="00955A27"/>
    <w:rPr>
      <w:rFonts w:cs="Courier New"/>
    </w:rPr>
  </w:style>
  <w:style w:type="character" w:customStyle="1" w:styleId="ListLabel24">
    <w:name w:val="ListLabel 24"/>
    <w:qFormat/>
    <w:rsid w:val="00955A27"/>
    <w:rPr>
      <w:rFonts w:cs="Wingdings"/>
    </w:rPr>
  </w:style>
  <w:style w:type="character" w:customStyle="1" w:styleId="ListLabel25">
    <w:name w:val="ListLabel 25"/>
    <w:qFormat/>
    <w:rsid w:val="00955A27"/>
    <w:rPr>
      <w:b/>
      <w:i w:val="0"/>
      <w:color w:val="auto"/>
      <w:sz w:val="28"/>
      <w:szCs w:val="28"/>
    </w:rPr>
  </w:style>
  <w:style w:type="character" w:customStyle="1" w:styleId="ListLabel26">
    <w:name w:val="ListLabel 26"/>
    <w:qFormat/>
    <w:rsid w:val="00955A27"/>
    <w:rPr>
      <w:color w:val="auto"/>
      <w:szCs w:val="24"/>
    </w:rPr>
  </w:style>
  <w:style w:type="character" w:customStyle="1" w:styleId="ListLabel27">
    <w:name w:val="ListLabel 27"/>
    <w:qFormat/>
    <w:rsid w:val="00955A27"/>
    <w:rPr>
      <w:color w:val="auto"/>
      <w:szCs w:val="24"/>
    </w:rPr>
  </w:style>
  <w:style w:type="character" w:customStyle="1" w:styleId="ListLabel28">
    <w:name w:val="ListLabel 28"/>
    <w:qFormat/>
    <w:rsid w:val="00955A27"/>
    <w:rPr>
      <w:color w:val="auto"/>
      <w:szCs w:val="24"/>
    </w:rPr>
  </w:style>
  <w:style w:type="character" w:customStyle="1" w:styleId="ListLabel29">
    <w:name w:val="ListLabel 29"/>
    <w:qFormat/>
    <w:rsid w:val="00955A27"/>
    <w:rPr>
      <w:rFonts w:cs="Symbol"/>
      <w:color w:val="FF0000"/>
      <w:sz w:val="24"/>
      <w:szCs w:val="24"/>
    </w:rPr>
  </w:style>
  <w:style w:type="character" w:customStyle="1" w:styleId="ListLabel30">
    <w:name w:val="ListLabel 30"/>
    <w:qFormat/>
    <w:rsid w:val="00955A27"/>
    <w:rPr>
      <w:rFonts w:cs="Courier New"/>
    </w:rPr>
  </w:style>
  <w:style w:type="character" w:customStyle="1" w:styleId="ListLabel31">
    <w:name w:val="ListLabel 31"/>
    <w:qFormat/>
    <w:rsid w:val="00955A27"/>
    <w:rPr>
      <w:rFonts w:cs="Wingdings"/>
    </w:rPr>
  </w:style>
  <w:style w:type="character" w:customStyle="1" w:styleId="ListLabel32">
    <w:name w:val="ListLabel 32"/>
    <w:qFormat/>
    <w:rsid w:val="00955A27"/>
    <w:rPr>
      <w:rFonts w:cs="Symbol"/>
    </w:rPr>
  </w:style>
  <w:style w:type="character" w:customStyle="1" w:styleId="ListLabel33">
    <w:name w:val="ListLabel 33"/>
    <w:qFormat/>
    <w:rsid w:val="00955A27"/>
    <w:rPr>
      <w:rFonts w:cs="Courier New"/>
    </w:rPr>
  </w:style>
  <w:style w:type="character" w:customStyle="1" w:styleId="ListLabel34">
    <w:name w:val="ListLabel 34"/>
    <w:qFormat/>
    <w:rsid w:val="00955A27"/>
    <w:rPr>
      <w:rFonts w:cs="Wingdings"/>
    </w:rPr>
  </w:style>
  <w:style w:type="character" w:customStyle="1" w:styleId="ListLabel35">
    <w:name w:val="ListLabel 35"/>
    <w:qFormat/>
    <w:rsid w:val="00955A27"/>
    <w:rPr>
      <w:rFonts w:cs="Symbol"/>
    </w:rPr>
  </w:style>
  <w:style w:type="character" w:customStyle="1" w:styleId="ListLabel36">
    <w:name w:val="ListLabel 36"/>
    <w:qFormat/>
    <w:rsid w:val="00955A27"/>
    <w:rPr>
      <w:rFonts w:cs="Courier New"/>
    </w:rPr>
  </w:style>
  <w:style w:type="character" w:customStyle="1" w:styleId="ListLabel37">
    <w:name w:val="ListLabel 37"/>
    <w:qFormat/>
    <w:rsid w:val="00955A27"/>
    <w:rPr>
      <w:rFonts w:cs="Wingdings"/>
    </w:rPr>
  </w:style>
  <w:style w:type="character" w:customStyle="1" w:styleId="ListLabel38">
    <w:name w:val="ListLabel 38"/>
    <w:qFormat/>
    <w:rsid w:val="00955A27"/>
    <w:rPr>
      <w:rFonts w:cs="Wingdings"/>
      <w:color w:val="auto"/>
      <w:sz w:val="28"/>
      <w:szCs w:val="24"/>
    </w:rPr>
  </w:style>
  <w:style w:type="character" w:customStyle="1" w:styleId="ListLabel39">
    <w:name w:val="ListLabel 39"/>
    <w:qFormat/>
    <w:rsid w:val="00955A27"/>
    <w:rPr>
      <w:rFonts w:cs="Courier New"/>
    </w:rPr>
  </w:style>
  <w:style w:type="character" w:customStyle="1" w:styleId="ListLabel40">
    <w:name w:val="ListLabel 40"/>
    <w:qFormat/>
    <w:rsid w:val="00955A27"/>
    <w:rPr>
      <w:rFonts w:cs="Wingdings"/>
    </w:rPr>
  </w:style>
  <w:style w:type="character" w:customStyle="1" w:styleId="ListLabel41">
    <w:name w:val="ListLabel 41"/>
    <w:qFormat/>
    <w:rsid w:val="00955A27"/>
    <w:rPr>
      <w:rFonts w:cs="Wingdings"/>
      <w:color w:val="FF0000"/>
      <w:sz w:val="28"/>
      <w:szCs w:val="24"/>
    </w:rPr>
  </w:style>
  <w:style w:type="character" w:customStyle="1" w:styleId="ListLabel42">
    <w:name w:val="ListLabel 42"/>
    <w:qFormat/>
    <w:rsid w:val="00955A27"/>
    <w:rPr>
      <w:rFonts w:cs="Courier New"/>
    </w:rPr>
  </w:style>
  <w:style w:type="character" w:customStyle="1" w:styleId="ListLabel43">
    <w:name w:val="ListLabel 43"/>
    <w:qFormat/>
    <w:rsid w:val="00955A27"/>
    <w:rPr>
      <w:rFonts w:cs="Wingdings"/>
    </w:rPr>
  </w:style>
  <w:style w:type="character" w:customStyle="1" w:styleId="ListLabel44">
    <w:name w:val="ListLabel 44"/>
    <w:qFormat/>
    <w:rsid w:val="00955A27"/>
    <w:rPr>
      <w:rFonts w:cs="Wingdings"/>
      <w:color w:val="FF0000"/>
      <w:sz w:val="28"/>
      <w:szCs w:val="24"/>
    </w:rPr>
  </w:style>
  <w:style w:type="character" w:customStyle="1" w:styleId="ListLabel45">
    <w:name w:val="ListLabel 45"/>
    <w:qFormat/>
    <w:rsid w:val="00955A27"/>
    <w:rPr>
      <w:rFonts w:cs="Courier New"/>
    </w:rPr>
  </w:style>
  <w:style w:type="character" w:customStyle="1" w:styleId="ListLabel46">
    <w:name w:val="ListLabel 46"/>
    <w:qFormat/>
    <w:rsid w:val="00955A27"/>
    <w:rPr>
      <w:rFonts w:cs="Wingdings"/>
    </w:rPr>
  </w:style>
  <w:style w:type="character" w:customStyle="1" w:styleId="ListLabel47">
    <w:name w:val="ListLabel 47"/>
    <w:qFormat/>
    <w:rsid w:val="00955A27"/>
    <w:rPr>
      <w:rFonts w:cs="Tahoma"/>
      <w:color w:val="00000A"/>
    </w:rPr>
  </w:style>
  <w:style w:type="character" w:customStyle="1" w:styleId="ListLabel48">
    <w:name w:val="ListLabel 48"/>
    <w:qFormat/>
    <w:rsid w:val="00955A27"/>
    <w:rPr>
      <w:rFonts w:cs="Tahoma"/>
      <w:color w:val="00000A"/>
    </w:rPr>
  </w:style>
  <w:style w:type="character" w:customStyle="1" w:styleId="ListLabel49">
    <w:name w:val="ListLabel 49"/>
    <w:qFormat/>
    <w:rsid w:val="00955A27"/>
    <w:rPr>
      <w:rFonts w:cs="Tahoma"/>
      <w:color w:val="00000A"/>
    </w:rPr>
  </w:style>
  <w:style w:type="character" w:customStyle="1" w:styleId="ListLabel50">
    <w:name w:val="ListLabel 50"/>
    <w:qFormat/>
    <w:rsid w:val="00955A27"/>
    <w:rPr>
      <w:rFonts w:cs="Garamond"/>
      <w:szCs w:val="28"/>
    </w:rPr>
  </w:style>
  <w:style w:type="character" w:customStyle="1" w:styleId="ListLabel51">
    <w:name w:val="ListLabel 51"/>
    <w:qFormat/>
    <w:rsid w:val="00955A27"/>
    <w:rPr>
      <w:rFonts w:cs="Garamond"/>
      <w:szCs w:val="28"/>
    </w:rPr>
  </w:style>
  <w:style w:type="character" w:customStyle="1" w:styleId="ListLabel52">
    <w:name w:val="ListLabel 52"/>
    <w:qFormat/>
    <w:rsid w:val="00955A27"/>
    <w:rPr>
      <w:rFonts w:cs="Garamond"/>
      <w:szCs w:val="28"/>
    </w:rPr>
  </w:style>
  <w:style w:type="character" w:customStyle="1" w:styleId="ListLabel53">
    <w:name w:val="ListLabel 53"/>
    <w:qFormat/>
    <w:rsid w:val="00955A27"/>
    <w:rPr>
      <w:rFonts w:cs="Garamond"/>
      <w:szCs w:val="28"/>
    </w:rPr>
  </w:style>
  <w:style w:type="character" w:customStyle="1" w:styleId="ListLabel54">
    <w:name w:val="ListLabel 54"/>
    <w:qFormat/>
    <w:rsid w:val="00955A27"/>
    <w:rPr>
      <w:rFonts w:cs="Garamond"/>
      <w:b/>
      <w:color w:val="auto"/>
      <w:sz w:val="28"/>
      <w:szCs w:val="28"/>
    </w:rPr>
  </w:style>
  <w:style w:type="character" w:customStyle="1" w:styleId="ListLabel55">
    <w:name w:val="ListLabel 55"/>
    <w:qFormat/>
    <w:rsid w:val="00955A27"/>
    <w:rPr>
      <w:rFonts w:cs="Garamond"/>
      <w:szCs w:val="24"/>
    </w:rPr>
  </w:style>
  <w:style w:type="character" w:customStyle="1" w:styleId="ListLabel56">
    <w:name w:val="ListLabel 56"/>
    <w:qFormat/>
    <w:rsid w:val="00955A27"/>
    <w:rPr>
      <w:rFonts w:cs="Garamond"/>
      <w:szCs w:val="24"/>
    </w:rPr>
  </w:style>
  <w:style w:type="character" w:customStyle="1" w:styleId="ListLabel57">
    <w:name w:val="ListLabel 57"/>
    <w:qFormat/>
    <w:rsid w:val="00955A27"/>
    <w:rPr>
      <w:rFonts w:cs="Garamond"/>
      <w:szCs w:val="24"/>
    </w:rPr>
  </w:style>
  <w:style w:type="character" w:customStyle="1" w:styleId="ListLabel58">
    <w:name w:val="ListLabel 58"/>
    <w:qFormat/>
    <w:rsid w:val="00955A27"/>
    <w:rPr>
      <w:rFonts w:cs="Arial"/>
      <w:sz w:val="24"/>
      <w:szCs w:val="24"/>
    </w:rPr>
  </w:style>
  <w:style w:type="character" w:customStyle="1" w:styleId="ListLabel59">
    <w:name w:val="ListLabel 59"/>
    <w:qFormat/>
    <w:rsid w:val="00955A27"/>
    <w:rPr>
      <w:rFonts w:cs="Symbol"/>
      <w:sz w:val="24"/>
      <w:szCs w:val="24"/>
    </w:rPr>
  </w:style>
  <w:style w:type="character" w:customStyle="1" w:styleId="ListLabel60">
    <w:name w:val="ListLabel 60"/>
    <w:qFormat/>
    <w:rsid w:val="00955A27"/>
    <w:rPr>
      <w:rFonts w:cs="Courier New"/>
    </w:rPr>
  </w:style>
  <w:style w:type="character" w:customStyle="1" w:styleId="ListLabel61">
    <w:name w:val="ListLabel 61"/>
    <w:qFormat/>
    <w:rsid w:val="00955A27"/>
    <w:rPr>
      <w:rFonts w:cs="Wingdings"/>
    </w:rPr>
  </w:style>
  <w:style w:type="character" w:customStyle="1" w:styleId="ListLabel62">
    <w:name w:val="ListLabel 62"/>
    <w:qFormat/>
    <w:rsid w:val="00955A27"/>
    <w:rPr>
      <w:rFonts w:cs="Symbol"/>
      <w:sz w:val="24"/>
      <w:szCs w:val="24"/>
    </w:rPr>
  </w:style>
  <w:style w:type="character" w:customStyle="1" w:styleId="ListLabel63">
    <w:name w:val="ListLabel 63"/>
    <w:qFormat/>
    <w:rsid w:val="00955A27"/>
    <w:rPr>
      <w:rFonts w:cs="Courier New"/>
    </w:rPr>
  </w:style>
  <w:style w:type="character" w:customStyle="1" w:styleId="ListLabel64">
    <w:name w:val="ListLabel 64"/>
    <w:qFormat/>
    <w:rsid w:val="00955A27"/>
    <w:rPr>
      <w:rFonts w:cs="Wingdings"/>
    </w:rPr>
  </w:style>
  <w:style w:type="character" w:customStyle="1" w:styleId="ListLabel65">
    <w:name w:val="ListLabel 65"/>
    <w:qFormat/>
    <w:rsid w:val="00955A27"/>
    <w:rPr>
      <w:rFonts w:cs="Symbol"/>
      <w:sz w:val="24"/>
      <w:szCs w:val="24"/>
    </w:rPr>
  </w:style>
  <w:style w:type="character" w:customStyle="1" w:styleId="ListLabel66">
    <w:name w:val="ListLabel 66"/>
    <w:qFormat/>
    <w:rsid w:val="00955A27"/>
    <w:rPr>
      <w:rFonts w:cs="Courier New"/>
    </w:rPr>
  </w:style>
  <w:style w:type="character" w:customStyle="1" w:styleId="ListLabel67">
    <w:name w:val="ListLabel 67"/>
    <w:qFormat/>
    <w:rsid w:val="00955A27"/>
    <w:rPr>
      <w:rFonts w:cs="Wingdings"/>
    </w:rPr>
  </w:style>
  <w:style w:type="character" w:customStyle="1" w:styleId="ListLabel68">
    <w:name w:val="ListLabel 68"/>
    <w:qFormat/>
    <w:rsid w:val="00955A27"/>
    <w:rPr>
      <w:rFonts w:cs="Symbol"/>
    </w:rPr>
  </w:style>
  <w:style w:type="character" w:customStyle="1" w:styleId="ListLabel69">
    <w:name w:val="ListLabel 69"/>
    <w:qFormat/>
    <w:rsid w:val="00955A27"/>
    <w:rPr>
      <w:rFonts w:cs="Courier New"/>
    </w:rPr>
  </w:style>
  <w:style w:type="character" w:customStyle="1" w:styleId="ListLabel70">
    <w:name w:val="ListLabel 70"/>
    <w:qFormat/>
    <w:rsid w:val="00955A27"/>
    <w:rPr>
      <w:rFonts w:cs="Wingdings"/>
    </w:rPr>
  </w:style>
  <w:style w:type="character" w:customStyle="1" w:styleId="ListLabel71">
    <w:name w:val="ListLabel 71"/>
    <w:qFormat/>
    <w:rsid w:val="00955A27"/>
    <w:rPr>
      <w:rFonts w:cs="Symbol"/>
    </w:rPr>
  </w:style>
  <w:style w:type="character" w:customStyle="1" w:styleId="ListLabel72">
    <w:name w:val="ListLabel 72"/>
    <w:qFormat/>
    <w:rsid w:val="00955A27"/>
    <w:rPr>
      <w:rFonts w:cs="Courier New"/>
    </w:rPr>
  </w:style>
  <w:style w:type="character" w:customStyle="1" w:styleId="ListLabel73">
    <w:name w:val="ListLabel 73"/>
    <w:qFormat/>
    <w:rsid w:val="00955A27"/>
    <w:rPr>
      <w:rFonts w:cs="Wingdings"/>
    </w:rPr>
  </w:style>
  <w:style w:type="character" w:customStyle="1" w:styleId="ListLabel74">
    <w:name w:val="ListLabel 74"/>
    <w:qFormat/>
    <w:rsid w:val="00955A27"/>
    <w:rPr>
      <w:rFonts w:cs="Symbol"/>
    </w:rPr>
  </w:style>
  <w:style w:type="character" w:customStyle="1" w:styleId="ListLabel75">
    <w:name w:val="ListLabel 75"/>
    <w:qFormat/>
    <w:rsid w:val="00955A27"/>
    <w:rPr>
      <w:rFonts w:cs="Courier New"/>
    </w:rPr>
  </w:style>
  <w:style w:type="character" w:customStyle="1" w:styleId="ListLabel76">
    <w:name w:val="ListLabel 76"/>
    <w:qFormat/>
    <w:rsid w:val="00955A27"/>
    <w:rPr>
      <w:rFonts w:cs="Wingdings"/>
    </w:rPr>
  </w:style>
  <w:style w:type="character" w:customStyle="1" w:styleId="ListLabel77">
    <w:name w:val="ListLabel 77"/>
    <w:qFormat/>
    <w:rsid w:val="00955A27"/>
    <w:rPr>
      <w:rFonts w:cs="Symbol"/>
    </w:rPr>
  </w:style>
  <w:style w:type="character" w:customStyle="1" w:styleId="ListLabel78">
    <w:name w:val="ListLabel 78"/>
    <w:qFormat/>
    <w:rsid w:val="00955A27"/>
    <w:rPr>
      <w:rFonts w:cs="Courier New"/>
    </w:rPr>
  </w:style>
  <w:style w:type="character" w:customStyle="1" w:styleId="ListLabel79">
    <w:name w:val="ListLabel 79"/>
    <w:qFormat/>
    <w:rsid w:val="00955A27"/>
    <w:rPr>
      <w:rFonts w:cs="Wingdings"/>
    </w:rPr>
  </w:style>
  <w:style w:type="character" w:customStyle="1" w:styleId="ListLabel80">
    <w:name w:val="ListLabel 80"/>
    <w:qFormat/>
    <w:rsid w:val="00955A27"/>
    <w:rPr>
      <w:rFonts w:cs="Symbol"/>
    </w:rPr>
  </w:style>
  <w:style w:type="character" w:customStyle="1" w:styleId="ListLabel81">
    <w:name w:val="ListLabel 81"/>
    <w:qFormat/>
    <w:rsid w:val="00955A27"/>
    <w:rPr>
      <w:rFonts w:cs="Courier New"/>
    </w:rPr>
  </w:style>
  <w:style w:type="character" w:customStyle="1" w:styleId="ListLabel82">
    <w:name w:val="ListLabel 82"/>
    <w:qFormat/>
    <w:rsid w:val="00955A27"/>
    <w:rPr>
      <w:rFonts w:cs="Wingdings"/>
    </w:rPr>
  </w:style>
  <w:style w:type="character" w:customStyle="1" w:styleId="ListLabel83">
    <w:name w:val="ListLabel 83"/>
    <w:qFormat/>
    <w:rsid w:val="00955A27"/>
    <w:rPr>
      <w:rFonts w:cs="Symbol"/>
    </w:rPr>
  </w:style>
  <w:style w:type="character" w:customStyle="1" w:styleId="ListLabel84">
    <w:name w:val="ListLabel 84"/>
    <w:qFormat/>
    <w:rsid w:val="00955A27"/>
    <w:rPr>
      <w:rFonts w:cs="Courier New"/>
    </w:rPr>
  </w:style>
  <w:style w:type="character" w:customStyle="1" w:styleId="ListLabel85">
    <w:name w:val="ListLabel 85"/>
    <w:qFormat/>
    <w:rsid w:val="00955A27"/>
    <w:rPr>
      <w:rFonts w:cs="Wingdings"/>
    </w:rPr>
  </w:style>
  <w:style w:type="character" w:customStyle="1" w:styleId="ListLabel86">
    <w:name w:val="ListLabel 86"/>
    <w:qFormat/>
    <w:rsid w:val="00955A27"/>
    <w:rPr>
      <w:rFonts w:cs="Symbol"/>
    </w:rPr>
  </w:style>
  <w:style w:type="character" w:customStyle="1" w:styleId="ListLabel87">
    <w:name w:val="ListLabel 87"/>
    <w:qFormat/>
    <w:rsid w:val="00955A27"/>
    <w:rPr>
      <w:rFonts w:cs="Courier New"/>
    </w:rPr>
  </w:style>
  <w:style w:type="character" w:customStyle="1" w:styleId="ListLabel88">
    <w:name w:val="ListLabel 88"/>
    <w:qFormat/>
    <w:rsid w:val="00955A27"/>
    <w:rPr>
      <w:rFonts w:cs="Wingdings"/>
    </w:rPr>
  </w:style>
  <w:style w:type="character" w:customStyle="1" w:styleId="ListLabel89">
    <w:name w:val="ListLabel 89"/>
    <w:qFormat/>
    <w:rsid w:val="00955A27"/>
    <w:rPr>
      <w:rFonts w:cs="Symbol"/>
    </w:rPr>
  </w:style>
  <w:style w:type="character" w:customStyle="1" w:styleId="ListLabel90">
    <w:name w:val="ListLabel 90"/>
    <w:qFormat/>
    <w:rsid w:val="00955A27"/>
    <w:rPr>
      <w:rFonts w:cs="Courier New"/>
    </w:rPr>
  </w:style>
  <w:style w:type="character" w:customStyle="1" w:styleId="ListLabel91">
    <w:name w:val="ListLabel 91"/>
    <w:qFormat/>
    <w:rsid w:val="00955A27"/>
    <w:rPr>
      <w:rFonts w:cs="Wingdings"/>
    </w:rPr>
  </w:style>
  <w:style w:type="character" w:customStyle="1" w:styleId="ListLabel92">
    <w:name w:val="ListLabel 92"/>
    <w:qFormat/>
    <w:rsid w:val="00955A27"/>
    <w:rPr>
      <w:rFonts w:cs="Symbol"/>
    </w:rPr>
  </w:style>
  <w:style w:type="character" w:customStyle="1" w:styleId="ListLabel93">
    <w:name w:val="ListLabel 93"/>
    <w:qFormat/>
    <w:rsid w:val="00955A27"/>
    <w:rPr>
      <w:rFonts w:cs="Courier New"/>
    </w:rPr>
  </w:style>
  <w:style w:type="character" w:customStyle="1" w:styleId="ListLabel94">
    <w:name w:val="ListLabel 94"/>
    <w:qFormat/>
    <w:rsid w:val="00955A27"/>
    <w:rPr>
      <w:rFonts w:cs="Wingdings"/>
    </w:rPr>
  </w:style>
  <w:style w:type="character" w:customStyle="1" w:styleId="ListLabel95">
    <w:name w:val="ListLabel 95"/>
    <w:qFormat/>
    <w:rsid w:val="00955A27"/>
    <w:rPr>
      <w:rFonts w:cs="Symbol"/>
    </w:rPr>
  </w:style>
  <w:style w:type="character" w:customStyle="1" w:styleId="ListLabel96">
    <w:name w:val="ListLabel 96"/>
    <w:qFormat/>
    <w:rsid w:val="00955A27"/>
    <w:rPr>
      <w:rFonts w:cs="Courier New"/>
    </w:rPr>
  </w:style>
  <w:style w:type="character" w:customStyle="1" w:styleId="ListLabel97">
    <w:name w:val="ListLabel 97"/>
    <w:qFormat/>
    <w:rsid w:val="00955A27"/>
    <w:rPr>
      <w:rFonts w:cs="Wingdings"/>
    </w:rPr>
  </w:style>
  <w:style w:type="character" w:customStyle="1" w:styleId="ListLabel98">
    <w:name w:val="ListLabel 98"/>
    <w:qFormat/>
    <w:rsid w:val="00955A27"/>
    <w:rPr>
      <w:rFonts w:cs="Symbol"/>
    </w:rPr>
  </w:style>
  <w:style w:type="character" w:customStyle="1" w:styleId="ListLabel99">
    <w:name w:val="ListLabel 99"/>
    <w:qFormat/>
    <w:rsid w:val="00955A27"/>
    <w:rPr>
      <w:rFonts w:cs="Courier New"/>
    </w:rPr>
  </w:style>
  <w:style w:type="character" w:customStyle="1" w:styleId="ListLabel100">
    <w:name w:val="ListLabel 100"/>
    <w:qFormat/>
    <w:rsid w:val="00955A27"/>
    <w:rPr>
      <w:rFonts w:cs="Wingdings"/>
    </w:rPr>
  </w:style>
  <w:style w:type="character" w:customStyle="1" w:styleId="ListLabel101">
    <w:name w:val="ListLabel 101"/>
    <w:qFormat/>
    <w:rsid w:val="00955A27"/>
    <w:rPr>
      <w:rFonts w:cs="Symbol"/>
    </w:rPr>
  </w:style>
  <w:style w:type="character" w:customStyle="1" w:styleId="ListLabel102">
    <w:name w:val="ListLabel 102"/>
    <w:qFormat/>
    <w:rsid w:val="00955A27"/>
    <w:rPr>
      <w:rFonts w:cs="Courier New"/>
    </w:rPr>
  </w:style>
  <w:style w:type="character" w:customStyle="1" w:styleId="ListLabel103">
    <w:name w:val="ListLabel 103"/>
    <w:qFormat/>
    <w:rsid w:val="00955A27"/>
    <w:rPr>
      <w:rFonts w:cs="Wingdings"/>
    </w:rPr>
  </w:style>
  <w:style w:type="character" w:customStyle="1" w:styleId="ListLabel104">
    <w:name w:val="ListLabel 104"/>
    <w:qFormat/>
    <w:rsid w:val="00955A27"/>
    <w:rPr>
      <w:rFonts w:cs="Courier New"/>
    </w:rPr>
  </w:style>
  <w:style w:type="character" w:customStyle="1" w:styleId="ListLabel105">
    <w:name w:val="ListLabel 105"/>
    <w:qFormat/>
    <w:rsid w:val="00955A27"/>
    <w:rPr>
      <w:rFonts w:cs="Arial"/>
      <w:sz w:val="24"/>
      <w:szCs w:val="24"/>
    </w:rPr>
  </w:style>
  <w:style w:type="character" w:customStyle="1" w:styleId="ListLabel106">
    <w:name w:val="ListLabel 106"/>
    <w:qFormat/>
    <w:rsid w:val="00955A27"/>
    <w:rPr>
      <w:rFonts w:eastAsia="Times New Roman" w:cs="Arial"/>
    </w:rPr>
  </w:style>
  <w:style w:type="character" w:customStyle="1" w:styleId="ListLabel107">
    <w:name w:val="ListLabel 107"/>
    <w:qFormat/>
    <w:rsid w:val="00955A27"/>
    <w:rPr>
      <w:rFonts w:eastAsia="Times New Roman" w:cs="Times New Roman"/>
    </w:rPr>
  </w:style>
  <w:style w:type="character" w:customStyle="1" w:styleId="ListLabel108">
    <w:name w:val="ListLabel 108"/>
    <w:qFormat/>
    <w:rsid w:val="00955A27"/>
    <w:rPr>
      <w:rFonts w:eastAsia="Times New Roman" w:cs="Times New Roman"/>
    </w:rPr>
  </w:style>
  <w:style w:type="character" w:customStyle="1" w:styleId="ListLabel109">
    <w:name w:val="ListLabel 109"/>
    <w:qFormat/>
    <w:rsid w:val="00955A27"/>
    <w:rPr>
      <w:rFonts w:eastAsia="Times New Roman" w:cs="Times New Roman"/>
    </w:rPr>
  </w:style>
  <w:style w:type="character" w:customStyle="1" w:styleId="ListLabel110">
    <w:name w:val="ListLabel 110"/>
    <w:qFormat/>
    <w:rsid w:val="00955A27"/>
    <w:rPr>
      <w:rFonts w:eastAsia="Times New Roman" w:cs="Times New Roman"/>
    </w:rPr>
  </w:style>
  <w:style w:type="character" w:customStyle="1" w:styleId="ListLabel111">
    <w:name w:val="ListLabel 111"/>
    <w:qFormat/>
    <w:rsid w:val="00955A27"/>
    <w:rPr>
      <w:rFonts w:eastAsia="Times New Roman" w:cs="Times New Roman"/>
    </w:rPr>
  </w:style>
  <w:style w:type="character" w:customStyle="1" w:styleId="ListLabel112">
    <w:name w:val="ListLabel 112"/>
    <w:qFormat/>
    <w:rsid w:val="00955A27"/>
    <w:rPr>
      <w:rFonts w:eastAsia="Times New Roman" w:cs="Times New Roman"/>
    </w:rPr>
  </w:style>
  <w:style w:type="character" w:customStyle="1" w:styleId="ListLabel113">
    <w:name w:val="ListLabel 113"/>
    <w:qFormat/>
    <w:rsid w:val="00955A27"/>
    <w:rPr>
      <w:rFonts w:cs="Courier New"/>
    </w:rPr>
  </w:style>
  <w:style w:type="character" w:customStyle="1" w:styleId="ListLabel114">
    <w:name w:val="ListLabel 114"/>
    <w:qFormat/>
    <w:rsid w:val="00955A27"/>
    <w:rPr>
      <w:rFonts w:cs="Arial"/>
    </w:rPr>
  </w:style>
  <w:style w:type="character" w:customStyle="1" w:styleId="ListLabel115">
    <w:name w:val="ListLabel 115"/>
    <w:qFormat/>
    <w:rsid w:val="00955A27"/>
    <w:rPr>
      <w:sz w:val="22"/>
      <w:szCs w:val="22"/>
    </w:rPr>
  </w:style>
  <w:style w:type="character" w:customStyle="1" w:styleId="ListLabel116">
    <w:name w:val="ListLabel 116"/>
    <w:qFormat/>
    <w:rsid w:val="00955A27"/>
    <w:rPr>
      <w:rFonts w:cs="Courier New"/>
    </w:rPr>
  </w:style>
  <w:style w:type="character" w:customStyle="1" w:styleId="ListLabel117">
    <w:name w:val="ListLabel 117"/>
    <w:qFormat/>
    <w:rsid w:val="00955A27"/>
    <w:rPr>
      <w:rFonts w:cs="Arial"/>
    </w:rPr>
  </w:style>
  <w:style w:type="character" w:customStyle="1" w:styleId="ListLabel118">
    <w:name w:val="ListLabel 118"/>
    <w:qFormat/>
    <w:rsid w:val="00955A27"/>
    <w:rPr>
      <w:rFonts w:cs="Arial"/>
    </w:rPr>
  </w:style>
  <w:style w:type="character" w:customStyle="1" w:styleId="ListLabel119">
    <w:name w:val="ListLabel 119"/>
    <w:qFormat/>
    <w:rsid w:val="00955A27"/>
    <w:rPr>
      <w:rFonts w:cs="Arial"/>
    </w:rPr>
  </w:style>
  <w:style w:type="character" w:customStyle="1" w:styleId="ListLabel120">
    <w:name w:val="ListLabel 120"/>
    <w:qFormat/>
    <w:rsid w:val="00955A27"/>
    <w:rPr>
      <w:rFonts w:cs="Courier New"/>
    </w:rPr>
  </w:style>
  <w:style w:type="character" w:customStyle="1" w:styleId="ListLabel121">
    <w:name w:val="ListLabel 121"/>
    <w:qFormat/>
    <w:rsid w:val="00955A27"/>
    <w:rPr>
      <w:rFonts w:cs="Arial"/>
    </w:rPr>
  </w:style>
  <w:style w:type="character" w:customStyle="1" w:styleId="ListLabel122">
    <w:name w:val="ListLabel 122"/>
    <w:qFormat/>
    <w:rsid w:val="00955A27"/>
    <w:rPr>
      <w:rFonts w:cs="Arial"/>
    </w:rPr>
  </w:style>
  <w:style w:type="character" w:customStyle="1" w:styleId="ListLabel123">
    <w:name w:val="ListLabel 123"/>
    <w:qFormat/>
    <w:rsid w:val="00955A27"/>
    <w:rPr>
      <w:rFonts w:cs="Arial"/>
    </w:rPr>
  </w:style>
  <w:style w:type="character" w:customStyle="1" w:styleId="ListLabel124">
    <w:name w:val="ListLabel 124"/>
    <w:qFormat/>
    <w:rsid w:val="00955A27"/>
    <w:rPr>
      <w:rFonts w:cs="Courier New"/>
    </w:rPr>
  </w:style>
  <w:style w:type="character" w:customStyle="1" w:styleId="ListLabel125">
    <w:name w:val="ListLabel 125"/>
    <w:qFormat/>
    <w:rsid w:val="00955A27"/>
    <w:rPr>
      <w:rFonts w:cs="Arial"/>
    </w:rPr>
  </w:style>
  <w:style w:type="character" w:customStyle="1" w:styleId="ListLabel126">
    <w:name w:val="ListLabel 126"/>
    <w:qFormat/>
    <w:rsid w:val="00955A27"/>
    <w:rPr>
      <w:rFonts w:cs="Arial"/>
    </w:rPr>
  </w:style>
  <w:style w:type="character" w:customStyle="1" w:styleId="ListLabel127">
    <w:name w:val="ListLabel 127"/>
    <w:qFormat/>
    <w:rsid w:val="00955A27"/>
    <w:rPr>
      <w:rFonts w:cs="Arial"/>
    </w:rPr>
  </w:style>
  <w:style w:type="character" w:customStyle="1" w:styleId="ListLabel128">
    <w:name w:val="ListLabel 128"/>
    <w:qFormat/>
    <w:rsid w:val="00955A27"/>
    <w:rPr>
      <w:sz w:val="28"/>
      <w:szCs w:val="28"/>
    </w:rPr>
  </w:style>
  <w:style w:type="character" w:customStyle="1" w:styleId="ListLabel129">
    <w:name w:val="ListLabel 129"/>
    <w:qFormat/>
    <w:rsid w:val="00955A27"/>
    <w:rPr>
      <w:rFonts w:cs="Courier New"/>
    </w:rPr>
  </w:style>
  <w:style w:type="character" w:customStyle="1" w:styleId="ListLabel130">
    <w:name w:val="ListLabel 130"/>
    <w:qFormat/>
    <w:rsid w:val="00955A27"/>
    <w:rPr>
      <w:rFonts w:cs="Courier New"/>
    </w:rPr>
  </w:style>
  <w:style w:type="character" w:customStyle="1" w:styleId="ListLabel131">
    <w:name w:val="ListLabel 131"/>
    <w:qFormat/>
    <w:rsid w:val="00955A27"/>
    <w:rPr>
      <w:rFonts w:cs="Courier New"/>
    </w:rPr>
  </w:style>
  <w:style w:type="character" w:customStyle="1" w:styleId="ListLabel132">
    <w:name w:val="ListLabel 132"/>
    <w:qFormat/>
    <w:rsid w:val="00955A27"/>
    <w:rPr>
      <w:sz w:val="28"/>
      <w:szCs w:val="28"/>
    </w:rPr>
  </w:style>
  <w:style w:type="character" w:customStyle="1" w:styleId="ListLabel133">
    <w:name w:val="ListLabel 133"/>
    <w:qFormat/>
    <w:rsid w:val="00955A27"/>
    <w:rPr>
      <w:color w:val="auto"/>
      <w:sz w:val="24"/>
      <w:szCs w:val="24"/>
    </w:rPr>
  </w:style>
  <w:style w:type="character" w:customStyle="1" w:styleId="ListLabel134">
    <w:name w:val="ListLabel 134"/>
    <w:qFormat/>
    <w:rsid w:val="00955A27"/>
    <w:rPr>
      <w:b/>
    </w:rPr>
  </w:style>
  <w:style w:type="character" w:customStyle="1" w:styleId="ListLabel135">
    <w:name w:val="ListLabel 135"/>
    <w:qFormat/>
    <w:rsid w:val="00955A27"/>
    <w:rPr>
      <w:sz w:val="28"/>
      <w:szCs w:val="28"/>
    </w:rPr>
  </w:style>
  <w:style w:type="character" w:customStyle="1" w:styleId="ListLabel136">
    <w:name w:val="ListLabel 136"/>
    <w:qFormat/>
    <w:rsid w:val="00955A27"/>
    <w:rPr>
      <w:sz w:val="24"/>
      <w:szCs w:val="24"/>
    </w:rPr>
  </w:style>
  <w:style w:type="character" w:customStyle="1" w:styleId="ListLabel137">
    <w:name w:val="ListLabel 137"/>
    <w:qFormat/>
    <w:rsid w:val="00955A27"/>
    <w:rPr>
      <w:b/>
      <w:sz w:val="24"/>
      <w:szCs w:val="24"/>
    </w:rPr>
  </w:style>
  <w:style w:type="character" w:customStyle="1" w:styleId="ListLabel138">
    <w:name w:val="ListLabel 138"/>
    <w:qFormat/>
    <w:rsid w:val="00955A27"/>
    <w:rPr>
      <w:sz w:val="22"/>
    </w:rPr>
  </w:style>
  <w:style w:type="character" w:customStyle="1" w:styleId="ListLabel139">
    <w:name w:val="ListLabel 139"/>
    <w:qFormat/>
    <w:rsid w:val="00955A27"/>
    <w:rPr>
      <w:sz w:val="22"/>
    </w:rPr>
  </w:style>
  <w:style w:type="character" w:customStyle="1" w:styleId="ListLabel140">
    <w:name w:val="ListLabel 140"/>
    <w:qFormat/>
    <w:rsid w:val="00955A27"/>
    <w:rPr>
      <w:sz w:val="22"/>
    </w:rPr>
  </w:style>
  <w:style w:type="character" w:customStyle="1" w:styleId="ListLabel141">
    <w:name w:val="ListLabel 141"/>
    <w:qFormat/>
    <w:rsid w:val="00955A27"/>
    <w:rPr>
      <w:sz w:val="22"/>
    </w:rPr>
  </w:style>
  <w:style w:type="character" w:customStyle="1" w:styleId="ListLabel142">
    <w:name w:val="ListLabel 142"/>
    <w:qFormat/>
    <w:rsid w:val="00955A27"/>
    <w:rPr>
      <w:sz w:val="22"/>
    </w:rPr>
  </w:style>
  <w:style w:type="character" w:customStyle="1" w:styleId="ListLabel143">
    <w:name w:val="ListLabel 143"/>
    <w:qFormat/>
    <w:rsid w:val="00955A27"/>
    <w:rPr>
      <w:sz w:val="22"/>
    </w:rPr>
  </w:style>
  <w:style w:type="character" w:customStyle="1" w:styleId="ListLabel144">
    <w:name w:val="ListLabel 144"/>
    <w:qFormat/>
    <w:rsid w:val="00955A27"/>
    <w:rPr>
      <w:i w:val="0"/>
    </w:rPr>
  </w:style>
  <w:style w:type="character" w:customStyle="1" w:styleId="ListLabel145">
    <w:name w:val="ListLabel 145"/>
    <w:qFormat/>
    <w:rsid w:val="00955A27"/>
    <w:rPr>
      <w:b/>
    </w:rPr>
  </w:style>
  <w:style w:type="character" w:customStyle="1" w:styleId="ListLabel146">
    <w:name w:val="ListLabel 146"/>
    <w:qFormat/>
    <w:rsid w:val="00955A27"/>
    <w:rPr>
      <w:rFonts w:ascii="Garamond" w:hAnsi="Garamond"/>
      <w:color w:val="auto"/>
      <w:sz w:val="20"/>
    </w:rPr>
  </w:style>
  <w:style w:type="character" w:customStyle="1" w:styleId="ListLabel147">
    <w:name w:val="ListLabel 147"/>
    <w:qFormat/>
    <w:rsid w:val="00955A27"/>
    <w:rPr>
      <w:rFonts w:cs="Courier New"/>
    </w:rPr>
  </w:style>
  <w:style w:type="character" w:customStyle="1" w:styleId="ListLabel148">
    <w:name w:val="ListLabel 148"/>
    <w:qFormat/>
    <w:rsid w:val="00955A27"/>
    <w:rPr>
      <w:rFonts w:cs="Courier New"/>
    </w:rPr>
  </w:style>
  <w:style w:type="character" w:customStyle="1" w:styleId="ListLabel149">
    <w:name w:val="ListLabel 149"/>
    <w:qFormat/>
    <w:rsid w:val="00955A27"/>
    <w:rPr>
      <w:rFonts w:cs="Courier New"/>
    </w:rPr>
  </w:style>
  <w:style w:type="character" w:customStyle="1" w:styleId="ListLabel150">
    <w:name w:val="ListLabel 150"/>
    <w:qFormat/>
    <w:rsid w:val="00955A27"/>
    <w:rPr>
      <w:rFonts w:ascii="Garamond" w:hAnsi="Garamond" w:cs="Symbol"/>
      <w:color w:val="auto"/>
      <w:sz w:val="20"/>
    </w:rPr>
  </w:style>
  <w:style w:type="character" w:customStyle="1" w:styleId="ListLabel151">
    <w:name w:val="ListLabel 151"/>
    <w:qFormat/>
    <w:rsid w:val="00955A27"/>
    <w:rPr>
      <w:rFonts w:cs="Courier New"/>
    </w:rPr>
  </w:style>
  <w:style w:type="character" w:customStyle="1" w:styleId="ListLabel152">
    <w:name w:val="ListLabel 152"/>
    <w:qFormat/>
    <w:rsid w:val="00955A27"/>
    <w:rPr>
      <w:rFonts w:cs="Wingdings"/>
    </w:rPr>
  </w:style>
  <w:style w:type="character" w:customStyle="1" w:styleId="ListLabel153">
    <w:name w:val="ListLabel 153"/>
    <w:qFormat/>
    <w:rsid w:val="00955A27"/>
    <w:rPr>
      <w:rFonts w:cs="Symbol"/>
    </w:rPr>
  </w:style>
  <w:style w:type="character" w:customStyle="1" w:styleId="ListLabel154">
    <w:name w:val="ListLabel 154"/>
    <w:qFormat/>
    <w:rsid w:val="00955A27"/>
    <w:rPr>
      <w:rFonts w:cs="Courier New"/>
    </w:rPr>
  </w:style>
  <w:style w:type="character" w:customStyle="1" w:styleId="ListLabel155">
    <w:name w:val="ListLabel 155"/>
    <w:qFormat/>
    <w:rsid w:val="00955A27"/>
    <w:rPr>
      <w:rFonts w:cs="Wingdings"/>
    </w:rPr>
  </w:style>
  <w:style w:type="character" w:customStyle="1" w:styleId="ListLabel156">
    <w:name w:val="ListLabel 156"/>
    <w:qFormat/>
    <w:rsid w:val="00955A27"/>
    <w:rPr>
      <w:rFonts w:cs="Symbol"/>
    </w:rPr>
  </w:style>
  <w:style w:type="character" w:customStyle="1" w:styleId="ListLabel157">
    <w:name w:val="ListLabel 157"/>
    <w:qFormat/>
    <w:rsid w:val="00955A27"/>
    <w:rPr>
      <w:rFonts w:cs="Courier New"/>
    </w:rPr>
  </w:style>
  <w:style w:type="character" w:customStyle="1" w:styleId="ListLabel158">
    <w:name w:val="ListLabel 158"/>
    <w:qFormat/>
    <w:rsid w:val="00955A27"/>
    <w:rPr>
      <w:rFonts w:cs="Wingdings"/>
    </w:rPr>
  </w:style>
  <w:style w:type="character" w:customStyle="1" w:styleId="ListLabel159">
    <w:name w:val="ListLabel 159"/>
    <w:qFormat/>
    <w:rsid w:val="00955A27"/>
    <w:rPr>
      <w:rFonts w:ascii="Garamond" w:hAnsi="Garamond" w:cs="Symbol"/>
      <w:color w:val="auto"/>
      <w:sz w:val="20"/>
    </w:rPr>
  </w:style>
  <w:style w:type="character" w:customStyle="1" w:styleId="ListLabel160">
    <w:name w:val="ListLabel 160"/>
    <w:qFormat/>
    <w:rsid w:val="00955A27"/>
    <w:rPr>
      <w:rFonts w:cs="Courier New"/>
    </w:rPr>
  </w:style>
  <w:style w:type="character" w:customStyle="1" w:styleId="ListLabel161">
    <w:name w:val="ListLabel 161"/>
    <w:qFormat/>
    <w:rsid w:val="00955A27"/>
    <w:rPr>
      <w:rFonts w:cs="Wingdings"/>
    </w:rPr>
  </w:style>
  <w:style w:type="character" w:customStyle="1" w:styleId="ListLabel162">
    <w:name w:val="ListLabel 162"/>
    <w:qFormat/>
    <w:rsid w:val="00955A27"/>
    <w:rPr>
      <w:rFonts w:cs="Symbol"/>
    </w:rPr>
  </w:style>
  <w:style w:type="character" w:customStyle="1" w:styleId="ListLabel163">
    <w:name w:val="ListLabel 163"/>
    <w:qFormat/>
    <w:rsid w:val="00955A27"/>
    <w:rPr>
      <w:rFonts w:cs="Courier New"/>
    </w:rPr>
  </w:style>
  <w:style w:type="character" w:customStyle="1" w:styleId="ListLabel164">
    <w:name w:val="ListLabel 164"/>
    <w:qFormat/>
    <w:rsid w:val="00955A27"/>
    <w:rPr>
      <w:rFonts w:cs="Wingdings"/>
    </w:rPr>
  </w:style>
  <w:style w:type="character" w:customStyle="1" w:styleId="ListLabel165">
    <w:name w:val="ListLabel 165"/>
    <w:qFormat/>
    <w:rsid w:val="00955A27"/>
    <w:rPr>
      <w:rFonts w:cs="Symbol"/>
    </w:rPr>
  </w:style>
  <w:style w:type="character" w:customStyle="1" w:styleId="ListLabel166">
    <w:name w:val="ListLabel 166"/>
    <w:qFormat/>
    <w:rsid w:val="00955A27"/>
    <w:rPr>
      <w:rFonts w:cs="Courier New"/>
    </w:rPr>
  </w:style>
  <w:style w:type="character" w:customStyle="1" w:styleId="ListLabel167">
    <w:name w:val="ListLabel 167"/>
    <w:qFormat/>
    <w:rsid w:val="00955A27"/>
    <w:rPr>
      <w:rFonts w:cs="Wingdings"/>
    </w:rPr>
  </w:style>
  <w:style w:type="character" w:customStyle="1" w:styleId="ListLabel168">
    <w:name w:val="ListLabel 168"/>
    <w:qFormat/>
    <w:rsid w:val="00955A27"/>
    <w:rPr>
      <w:rFonts w:cs="Symbol"/>
      <w:color w:val="auto"/>
      <w:sz w:val="20"/>
    </w:rPr>
  </w:style>
  <w:style w:type="character" w:customStyle="1" w:styleId="ListLabel169">
    <w:name w:val="ListLabel 169"/>
    <w:qFormat/>
    <w:rsid w:val="00955A27"/>
    <w:rPr>
      <w:rFonts w:cs="Courier New"/>
    </w:rPr>
  </w:style>
  <w:style w:type="character" w:customStyle="1" w:styleId="ListLabel170">
    <w:name w:val="ListLabel 170"/>
    <w:qFormat/>
    <w:rsid w:val="00955A27"/>
    <w:rPr>
      <w:rFonts w:cs="Wingdings"/>
    </w:rPr>
  </w:style>
  <w:style w:type="character" w:customStyle="1" w:styleId="ListLabel171">
    <w:name w:val="ListLabel 171"/>
    <w:qFormat/>
    <w:rsid w:val="00955A27"/>
    <w:rPr>
      <w:rFonts w:cs="Symbol"/>
    </w:rPr>
  </w:style>
  <w:style w:type="character" w:customStyle="1" w:styleId="ListLabel172">
    <w:name w:val="ListLabel 172"/>
    <w:qFormat/>
    <w:rsid w:val="00955A27"/>
    <w:rPr>
      <w:rFonts w:cs="Courier New"/>
    </w:rPr>
  </w:style>
  <w:style w:type="character" w:customStyle="1" w:styleId="ListLabel173">
    <w:name w:val="ListLabel 173"/>
    <w:qFormat/>
    <w:rsid w:val="00955A27"/>
    <w:rPr>
      <w:rFonts w:cs="Wingdings"/>
    </w:rPr>
  </w:style>
  <w:style w:type="character" w:customStyle="1" w:styleId="ListLabel174">
    <w:name w:val="ListLabel 174"/>
    <w:qFormat/>
    <w:rsid w:val="00955A27"/>
    <w:rPr>
      <w:rFonts w:cs="Symbol"/>
    </w:rPr>
  </w:style>
  <w:style w:type="character" w:customStyle="1" w:styleId="ListLabel175">
    <w:name w:val="ListLabel 175"/>
    <w:qFormat/>
    <w:rsid w:val="00955A27"/>
    <w:rPr>
      <w:rFonts w:cs="Courier New"/>
    </w:rPr>
  </w:style>
  <w:style w:type="character" w:customStyle="1" w:styleId="ListLabel176">
    <w:name w:val="ListLabel 176"/>
    <w:qFormat/>
    <w:rsid w:val="00955A27"/>
    <w:rPr>
      <w:rFonts w:cs="Wingdings"/>
    </w:rPr>
  </w:style>
  <w:style w:type="character" w:customStyle="1" w:styleId="ListLabel177">
    <w:name w:val="ListLabel 177"/>
    <w:qFormat/>
    <w:rsid w:val="00955A27"/>
    <w:rPr>
      <w:rFonts w:cs="Symbol"/>
      <w:color w:val="auto"/>
      <w:sz w:val="20"/>
    </w:rPr>
  </w:style>
  <w:style w:type="character" w:customStyle="1" w:styleId="ListLabel178">
    <w:name w:val="ListLabel 178"/>
    <w:qFormat/>
    <w:rsid w:val="00955A27"/>
    <w:rPr>
      <w:rFonts w:cs="Courier New"/>
    </w:rPr>
  </w:style>
  <w:style w:type="character" w:customStyle="1" w:styleId="ListLabel179">
    <w:name w:val="ListLabel 179"/>
    <w:qFormat/>
    <w:rsid w:val="00955A27"/>
    <w:rPr>
      <w:rFonts w:cs="Wingdings"/>
    </w:rPr>
  </w:style>
  <w:style w:type="character" w:customStyle="1" w:styleId="ListLabel180">
    <w:name w:val="ListLabel 180"/>
    <w:qFormat/>
    <w:rsid w:val="00955A27"/>
    <w:rPr>
      <w:rFonts w:cs="Symbol"/>
    </w:rPr>
  </w:style>
  <w:style w:type="character" w:customStyle="1" w:styleId="ListLabel181">
    <w:name w:val="ListLabel 181"/>
    <w:qFormat/>
    <w:rsid w:val="00955A27"/>
    <w:rPr>
      <w:rFonts w:cs="Courier New"/>
    </w:rPr>
  </w:style>
  <w:style w:type="character" w:customStyle="1" w:styleId="ListLabel182">
    <w:name w:val="ListLabel 182"/>
    <w:qFormat/>
    <w:rsid w:val="00955A27"/>
    <w:rPr>
      <w:rFonts w:cs="Wingdings"/>
    </w:rPr>
  </w:style>
  <w:style w:type="character" w:customStyle="1" w:styleId="ListLabel183">
    <w:name w:val="ListLabel 183"/>
    <w:qFormat/>
    <w:rsid w:val="00955A27"/>
    <w:rPr>
      <w:rFonts w:cs="Symbol"/>
    </w:rPr>
  </w:style>
  <w:style w:type="character" w:customStyle="1" w:styleId="ListLabel184">
    <w:name w:val="ListLabel 184"/>
    <w:qFormat/>
    <w:rsid w:val="00955A27"/>
    <w:rPr>
      <w:rFonts w:cs="Courier New"/>
    </w:rPr>
  </w:style>
  <w:style w:type="character" w:customStyle="1" w:styleId="ListLabel185">
    <w:name w:val="ListLabel 185"/>
    <w:qFormat/>
    <w:rsid w:val="00955A27"/>
    <w:rPr>
      <w:rFonts w:cs="Wingdings"/>
    </w:rPr>
  </w:style>
  <w:style w:type="character" w:customStyle="1" w:styleId="ListLabel186">
    <w:name w:val="ListLabel 186"/>
    <w:qFormat/>
    <w:rsid w:val="00955A27"/>
    <w:rPr>
      <w:rFonts w:cs="Symbol"/>
      <w:color w:val="auto"/>
      <w:sz w:val="20"/>
    </w:rPr>
  </w:style>
  <w:style w:type="character" w:customStyle="1" w:styleId="ListLabel187">
    <w:name w:val="ListLabel 187"/>
    <w:qFormat/>
    <w:rsid w:val="00955A27"/>
    <w:rPr>
      <w:rFonts w:cs="Courier New"/>
    </w:rPr>
  </w:style>
  <w:style w:type="character" w:customStyle="1" w:styleId="ListLabel188">
    <w:name w:val="ListLabel 188"/>
    <w:qFormat/>
    <w:rsid w:val="00955A27"/>
    <w:rPr>
      <w:rFonts w:cs="Wingdings"/>
    </w:rPr>
  </w:style>
  <w:style w:type="character" w:customStyle="1" w:styleId="ListLabel189">
    <w:name w:val="ListLabel 189"/>
    <w:qFormat/>
    <w:rsid w:val="00955A27"/>
    <w:rPr>
      <w:rFonts w:cs="Symbol"/>
    </w:rPr>
  </w:style>
  <w:style w:type="character" w:customStyle="1" w:styleId="ListLabel190">
    <w:name w:val="ListLabel 190"/>
    <w:qFormat/>
    <w:rsid w:val="00955A27"/>
    <w:rPr>
      <w:rFonts w:cs="Courier New"/>
    </w:rPr>
  </w:style>
  <w:style w:type="character" w:customStyle="1" w:styleId="ListLabel191">
    <w:name w:val="ListLabel 191"/>
    <w:qFormat/>
    <w:rsid w:val="00955A27"/>
    <w:rPr>
      <w:rFonts w:cs="Wingdings"/>
    </w:rPr>
  </w:style>
  <w:style w:type="character" w:customStyle="1" w:styleId="ListLabel192">
    <w:name w:val="ListLabel 192"/>
    <w:qFormat/>
    <w:rsid w:val="00955A27"/>
    <w:rPr>
      <w:rFonts w:cs="Symbol"/>
    </w:rPr>
  </w:style>
  <w:style w:type="character" w:customStyle="1" w:styleId="ListLabel193">
    <w:name w:val="ListLabel 193"/>
    <w:qFormat/>
    <w:rsid w:val="00955A27"/>
    <w:rPr>
      <w:rFonts w:cs="Courier New"/>
    </w:rPr>
  </w:style>
  <w:style w:type="character" w:customStyle="1" w:styleId="ListLabel194">
    <w:name w:val="ListLabel 194"/>
    <w:qFormat/>
    <w:rsid w:val="00955A27"/>
    <w:rPr>
      <w:rFonts w:cs="Wingdings"/>
    </w:rPr>
  </w:style>
  <w:style w:type="character" w:customStyle="1" w:styleId="ListLabel195">
    <w:name w:val="ListLabel 195"/>
    <w:qFormat/>
    <w:rsid w:val="00955A27"/>
    <w:rPr>
      <w:rFonts w:cs="Symbol"/>
      <w:color w:val="auto"/>
      <w:sz w:val="20"/>
    </w:rPr>
  </w:style>
  <w:style w:type="character" w:customStyle="1" w:styleId="ListLabel196">
    <w:name w:val="ListLabel 196"/>
    <w:qFormat/>
    <w:rsid w:val="00955A27"/>
    <w:rPr>
      <w:rFonts w:cs="Courier New"/>
    </w:rPr>
  </w:style>
  <w:style w:type="character" w:customStyle="1" w:styleId="ListLabel197">
    <w:name w:val="ListLabel 197"/>
    <w:qFormat/>
    <w:rsid w:val="00955A27"/>
    <w:rPr>
      <w:rFonts w:cs="Wingdings"/>
    </w:rPr>
  </w:style>
  <w:style w:type="character" w:customStyle="1" w:styleId="ListLabel198">
    <w:name w:val="ListLabel 198"/>
    <w:qFormat/>
    <w:rsid w:val="00955A27"/>
    <w:rPr>
      <w:rFonts w:cs="Symbol"/>
    </w:rPr>
  </w:style>
  <w:style w:type="character" w:customStyle="1" w:styleId="ListLabel199">
    <w:name w:val="ListLabel 199"/>
    <w:qFormat/>
    <w:rsid w:val="00955A27"/>
    <w:rPr>
      <w:rFonts w:cs="Courier New"/>
    </w:rPr>
  </w:style>
  <w:style w:type="character" w:customStyle="1" w:styleId="ListLabel200">
    <w:name w:val="ListLabel 200"/>
    <w:qFormat/>
    <w:rsid w:val="00955A27"/>
    <w:rPr>
      <w:rFonts w:cs="Wingdings"/>
    </w:rPr>
  </w:style>
  <w:style w:type="character" w:customStyle="1" w:styleId="ListLabel201">
    <w:name w:val="ListLabel 201"/>
    <w:qFormat/>
    <w:rsid w:val="00955A27"/>
    <w:rPr>
      <w:rFonts w:cs="Symbol"/>
    </w:rPr>
  </w:style>
  <w:style w:type="character" w:customStyle="1" w:styleId="ListLabel202">
    <w:name w:val="ListLabel 202"/>
    <w:qFormat/>
    <w:rsid w:val="00955A27"/>
    <w:rPr>
      <w:rFonts w:cs="Courier New"/>
    </w:rPr>
  </w:style>
  <w:style w:type="character" w:customStyle="1" w:styleId="ListLabel203">
    <w:name w:val="ListLabel 203"/>
    <w:qFormat/>
    <w:rsid w:val="00955A27"/>
    <w:rPr>
      <w:rFonts w:cs="Wingdings"/>
    </w:rPr>
  </w:style>
  <w:style w:type="character" w:customStyle="1" w:styleId="ListLabel204">
    <w:name w:val="ListLabel 204"/>
    <w:qFormat/>
    <w:rsid w:val="00955A27"/>
    <w:rPr>
      <w:rFonts w:cs="Symbol"/>
      <w:color w:val="auto"/>
      <w:sz w:val="20"/>
    </w:rPr>
  </w:style>
  <w:style w:type="character" w:customStyle="1" w:styleId="ListLabel205">
    <w:name w:val="ListLabel 205"/>
    <w:qFormat/>
    <w:rsid w:val="00955A27"/>
    <w:rPr>
      <w:rFonts w:cs="Courier New"/>
    </w:rPr>
  </w:style>
  <w:style w:type="character" w:customStyle="1" w:styleId="ListLabel206">
    <w:name w:val="ListLabel 206"/>
    <w:qFormat/>
    <w:rsid w:val="00955A27"/>
    <w:rPr>
      <w:rFonts w:cs="Wingdings"/>
    </w:rPr>
  </w:style>
  <w:style w:type="character" w:customStyle="1" w:styleId="ListLabel207">
    <w:name w:val="ListLabel 207"/>
    <w:qFormat/>
    <w:rsid w:val="00955A27"/>
    <w:rPr>
      <w:rFonts w:cs="Symbol"/>
    </w:rPr>
  </w:style>
  <w:style w:type="character" w:customStyle="1" w:styleId="ListLabel208">
    <w:name w:val="ListLabel 208"/>
    <w:qFormat/>
    <w:rsid w:val="00955A27"/>
    <w:rPr>
      <w:rFonts w:cs="Courier New"/>
    </w:rPr>
  </w:style>
  <w:style w:type="character" w:customStyle="1" w:styleId="ListLabel209">
    <w:name w:val="ListLabel 209"/>
    <w:qFormat/>
    <w:rsid w:val="00955A27"/>
    <w:rPr>
      <w:rFonts w:cs="Wingdings"/>
    </w:rPr>
  </w:style>
  <w:style w:type="character" w:customStyle="1" w:styleId="ListLabel210">
    <w:name w:val="ListLabel 210"/>
    <w:qFormat/>
    <w:rsid w:val="00955A27"/>
    <w:rPr>
      <w:rFonts w:cs="Symbol"/>
    </w:rPr>
  </w:style>
  <w:style w:type="character" w:customStyle="1" w:styleId="ListLabel211">
    <w:name w:val="ListLabel 211"/>
    <w:qFormat/>
    <w:rsid w:val="00955A27"/>
    <w:rPr>
      <w:rFonts w:cs="Courier New"/>
    </w:rPr>
  </w:style>
  <w:style w:type="character" w:customStyle="1" w:styleId="ListLabel212">
    <w:name w:val="ListLabel 212"/>
    <w:qFormat/>
    <w:rsid w:val="00955A27"/>
    <w:rPr>
      <w:rFonts w:cs="Wingdings"/>
    </w:rPr>
  </w:style>
  <w:style w:type="character" w:customStyle="1" w:styleId="ListLabel213">
    <w:name w:val="ListLabel 213"/>
    <w:qFormat/>
    <w:rsid w:val="00955A27"/>
    <w:rPr>
      <w:rFonts w:cs="Symbol"/>
      <w:color w:val="auto"/>
      <w:sz w:val="20"/>
    </w:rPr>
  </w:style>
  <w:style w:type="character" w:customStyle="1" w:styleId="ListLabel214">
    <w:name w:val="ListLabel 214"/>
    <w:qFormat/>
    <w:rsid w:val="00955A27"/>
    <w:rPr>
      <w:rFonts w:cs="Courier New"/>
    </w:rPr>
  </w:style>
  <w:style w:type="character" w:customStyle="1" w:styleId="ListLabel215">
    <w:name w:val="ListLabel 215"/>
    <w:qFormat/>
    <w:rsid w:val="00955A27"/>
    <w:rPr>
      <w:rFonts w:cs="Wingdings"/>
    </w:rPr>
  </w:style>
  <w:style w:type="character" w:customStyle="1" w:styleId="ListLabel216">
    <w:name w:val="ListLabel 216"/>
    <w:qFormat/>
    <w:rsid w:val="00955A27"/>
    <w:rPr>
      <w:rFonts w:cs="Symbol"/>
    </w:rPr>
  </w:style>
  <w:style w:type="character" w:customStyle="1" w:styleId="ListLabel217">
    <w:name w:val="ListLabel 217"/>
    <w:qFormat/>
    <w:rsid w:val="00955A27"/>
    <w:rPr>
      <w:rFonts w:cs="Courier New"/>
    </w:rPr>
  </w:style>
  <w:style w:type="character" w:customStyle="1" w:styleId="ListLabel218">
    <w:name w:val="ListLabel 218"/>
    <w:qFormat/>
    <w:rsid w:val="00955A27"/>
    <w:rPr>
      <w:rFonts w:cs="Wingdings"/>
    </w:rPr>
  </w:style>
  <w:style w:type="character" w:customStyle="1" w:styleId="ListLabel219">
    <w:name w:val="ListLabel 219"/>
    <w:qFormat/>
    <w:rsid w:val="00955A27"/>
    <w:rPr>
      <w:rFonts w:cs="Symbol"/>
    </w:rPr>
  </w:style>
  <w:style w:type="character" w:customStyle="1" w:styleId="ListLabel220">
    <w:name w:val="ListLabel 220"/>
    <w:qFormat/>
    <w:rsid w:val="00955A27"/>
    <w:rPr>
      <w:rFonts w:cs="Courier New"/>
    </w:rPr>
  </w:style>
  <w:style w:type="character" w:customStyle="1" w:styleId="ListLabel221">
    <w:name w:val="ListLabel 221"/>
    <w:qFormat/>
    <w:rsid w:val="00955A27"/>
    <w:rPr>
      <w:rFonts w:cs="Wingdings"/>
    </w:rPr>
  </w:style>
  <w:style w:type="character" w:customStyle="1" w:styleId="ListLabel222">
    <w:name w:val="ListLabel 222"/>
    <w:qFormat/>
    <w:rsid w:val="00955A27"/>
    <w:rPr>
      <w:rFonts w:cs="Symbol"/>
      <w:color w:val="auto"/>
      <w:sz w:val="20"/>
    </w:rPr>
  </w:style>
  <w:style w:type="character" w:customStyle="1" w:styleId="ListLabel223">
    <w:name w:val="ListLabel 223"/>
    <w:qFormat/>
    <w:rsid w:val="00955A27"/>
    <w:rPr>
      <w:rFonts w:cs="Courier New"/>
    </w:rPr>
  </w:style>
  <w:style w:type="character" w:customStyle="1" w:styleId="ListLabel224">
    <w:name w:val="ListLabel 224"/>
    <w:qFormat/>
    <w:rsid w:val="00955A27"/>
    <w:rPr>
      <w:rFonts w:cs="Wingdings"/>
    </w:rPr>
  </w:style>
  <w:style w:type="character" w:customStyle="1" w:styleId="ListLabel225">
    <w:name w:val="ListLabel 225"/>
    <w:qFormat/>
    <w:rsid w:val="00955A27"/>
    <w:rPr>
      <w:rFonts w:cs="Symbol"/>
    </w:rPr>
  </w:style>
  <w:style w:type="character" w:customStyle="1" w:styleId="ListLabel226">
    <w:name w:val="ListLabel 226"/>
    <w:qFormat/>
    <w:rsid w:val="00955A27"/>
    <w:rPr>
      <w:rFonts w:cs="Courier New"/>
    </w:rPr>
  </w:style>
  <w:style w:type="character" w:customStyle="1" w:styleId="ListLabel227">
    <w:name w:val="ListLabel 227"/>
    <w:qFormat/>
    <w:rsid w:val="00955A27"/>
    <w:rPr>
      <w:rFonts w:cs="Wingdings"/>
    </w:rPr>
  </w:style>
  <w:style w:type="character" w:customStyle="1" w:styleId="ListLabel228">
    <w:name w:val="ListLabel 228"/>
    <w:qFormat/>
    <w:rsid w:val="00955A27"/>
    <w:rPr>
      <w:rFonts w:cs="Symbol"/>
    </w:rPr>
  </w:style>
  <w:style w:type="character" w:customStyle="1" w:styleId="ListLabel229">
    <w:name w:val="ListLabel 229"/>
    <w:qFormat/>
    <w:rsid w:val="00955A27"/>
    <w:rPr>
      <w:rFonts w:cs="Courier New"/>
    </w:rPr>
  </w:style>
  <w:style w:type="character" w:customStyle="1" w:styleId="ListLabel230">
    <w:name w:val="ListLabel 230"/>
    <w:qFormat/>
    <w:rsid w:val="00955A27"/>
    <w:rPr>
      <w:rFonts w:cs="Wingdings"/>
    </w:rPr>
  </w:style>
  <w:style w:type="character" w:customStyle="1" w:styleId="ListLabel231">
    <w:name w:val="ListLabel 231"/>
    <w:qFormat/>
    <w:rsid w:val="00955A27"/>
    <w:rPr>
      <w:rFonts w:cs="Symbol"/>
      <w:color w:val="auto"/>
      <w:sz w:val="20"/>
    </w:rPr>
  </w:style>
  <w:style w:type="character" w:customStyle="1" w:styleId="ListLabel232">
    <w:name w:val="ListLabel 232"/>
    <w:qFormat/>
    <w:rsid w:val="00955A27"/>
    <w:rPr>
      <w:rFonts w:cs="Courier New"/>
    </w:rPr>
  </w:style>
  <w:style w:type="character" w:customStyle="1" w:styleId="ListLabel233">
    <w:name w:val="ListLabel 233"/>
    <w:qFormat/>
    <w:rsid w:val="00955A27"/>
    <w:rPr>
      <w:rFonts w:cs="Wingdings"/>
    </w:rPr>
  </w:style>
  <w:style w:type="character" w:customStyle="1" w:styleId="ListLabel234">
    <w:name w:val="ListLabel 234"/>
    <w:qFormat/>
    <w:rsid w:val="00955A27"/>
    <w:rPr>
      <w:rFonts w:cs="Symbol"/>
    </w:rPr>
  </w:style>
  <w:style w:type="character" w:customStyle="1" w:styleId="ListLabel235">
    <w:name w:val="ListLabel 235"/>
    <w:qFormat/>
    <w:rsid w:val="00955A27"/>
    <w:rPr>
      <w:rFonts w:cs="Courier New"/>
    </w:rPr>
  </w:style>
  <w:style w:type="character" w:customStyle="1" w:styleId="ListLabel236">
    <w:name w:val="ListLabel 236"/>
    <w:qFormat/>
    <w:rsid w:val="00955A27"/>
    <w:rPr>
      <w:rFonts w:cs="Wingdings"/>
    </w:rPr>
  </w:style>
  <w:style w:type="character" w:customStyle="1" w:styleId="ListLabel237">
    <w:name w:val="ListLabel 237"/>
    <w:qFormat/>
    <w:rsid w:val="00955A27"/>
    <w:rPr>
      <w:rFonts w:cs="Symbol"/>
    </w:rPr>
  </w:style>
  <w:style w:type="character" w:customStyle="1" w:styleId="ListLabel238">
    <w:name w:val="ListLabel 238"/>
    <w:qFormat/>
    <w:rsid w:val="00955A27"/>
    <w:rPr>
      <w:rFonts w:cs="Courier New"/>
    </w:rPr>
  </w:style>
  <w:style w:type="character" w:customStyle="1" w:styleId="ListLabel239">
    <w:name w:val="ListLabel 239"/>
    <w:qFormat/>
    <w:rsid w:val="00955A27"/>
    <w:rPr>
      <w:rFonts w:cs="Wingdings"/>
    </w:rPr>
  </w:style>
  <w:style w:type="paragraph" w:customStyle="1" w:styleId="Legenda1">
    <w:name w:val="Legenda1"/>
    <w:basedOn w:val="Normalny"/>
    <w:qFormat/>
    <w:rsid w:val="00955A27"/>
    <w:pPr>
      <w:suppressLineNumbers/>
      <w:suppressAutoHyphens/>
      <w:spacing w:before="120" w:after="120" w:line="240" w:lineRule="auto"/>
    </w:pPr>
    <w:rPr>
      <w:rFonts w:ascii="Times New Roman" w:eastAsia="Times New Roman" w:hAnsi="Times New Roman" w:cs="Arial"/>
      <w:i/>
      <w:iCs/>
      <w:sz w:val="20"/>
      <w:szCs w:val="24"/>
      <w:lang w:eastAsia="ar-SA"/>
    </w:rPr>
  </w:style>
  <w:style w:type="paragraph" w:customStyle="1" w:styleId="Indeks">
    <w:name w:val="Indeks"/>
    <w:basedOn w:val="Normalny"/>
    <w:qFormat/>
    <w:rsid w:val="00955A27"/>
    <w:pPr>
      <w:suppressLineNumbers/>
      <w:suppressAutoHyphens/>
      <w:spacing w:after="0" w:line="240" w:lineRule="auto"/>
    </w:pPr>
    <w:rPr>
      <w:rFonts w:ascii="Times New Roman" w:eastAsia="Times New Roman" w:hAnsi="Times New Roman" w:cs="Arial"/>
      <w:sz w:val="20"/>
      <w:szCs w:val="20"/>
      <w:lang w:eastAsia="ar-SA"/>
    </w:rPr>
  </w:style>
  <w:style w:type="paragraph" w:customStyle="1" w:styleId="Nagwek20">
    <w:name w:val="Nagłówek2"/>
    <w:basedOn w:val="Normalny"/>
    <w:qFormat/>
    <w:rsid w:val="00955A27"/>
    <w:pPr>
      <w:keepNext/>
      <w:suppressAutoHyphens/>
      <w:spacing w:before="240" w:after="120" w:line="240" w:lineRule="auto"/>
    </w:pPr>
    <w:rPr>
      <w:rFonts w:ascii="Arial" w:eastAsia="Microsoft YaHei" w:hAnsi="Arial" w:cs="Arial"/>
      <w:sz w:val="28"/>
      <w:szCs w:val="28"/>
      <w:lang w:eastAsia="ar-SA"/>
    </w:rPr>
  </w:style>
  <w:style w:type="paragraph" w:customStyle="1" w:styleId="Podpis2">
    <w:name w:val="Podpis2"/>
    <w:basedOn w:val="Normalny"/>
    <w:qFormat/>
    <w:rsid w:val="00955A27"/>
    <w:pPr>
      <w:suppressLineNumbers/>
      <w:suppressAutoHyphens/>
      <w:spacing w:before="120" w:after="120" w:line="240" w:lineRule="auto"/>
    </w:pPr>
    <w:rPr>
      <w:rFonts w:ascii="Times New Roman" w:eastAsia="Times New Roman" w:hAnsi="Times New Roman" w:cs="Arial"/>
      <w:i/>
      <w:iCs/>
      <w:sz w:val="20"/>
      <w:szCs w:val="24"/>
      <w:lang w:eastAsia="ar-SA"/>
    </w:rPr>
  </w:style>
  <w:style w:type="paragraph" w:customStyle="1" w:styleId="Nagwek10">
    <w:name w:val="Nagłówek1"/>
    <w:basedOn w:val="Normalny"/>
    <w:qFormat/>
    <w:rsid w:val="00955A27"/>
    <w:pPr>
      <w:keepNext/>
      <w:suppressAutoHyphens/>
      <w:spacing w:before="240" w:after="120" w:line="240" w:lineRule="auto"/>
    </w:pPr>
    <w:rPr>
      <w:rFonts w:ascii="Arial" w:eastAsia="Microsoft YaHei" w:hAnsi="Arial" w:cs="Arial"/>
      <w:sz w:val="28"/>
      <w:szCs w:val="28"/>
      <w:lang w:eastAsia="ar-SA"/>
    </w:rPr>
  </w:style>
  <w:style w:type="paragraph" w:customStyle="1" w:styleId="Podpis1">
    <w:name w:val="Podpis1"/>
    <w:basedOn w:val="Normalny"/>
    <w:qFormat/>
    <w:rsid w:val="00955A27"/>
    <w:pPr>
      <w:suppressLineNumbers/>
      <w:suppressAutoHyphens/>
      <w:spacing w:before="120" w:after="120" w:line="240" w:lineRule="auto"/>
    </w:pPr>
    <w:rPr>
      <w:rFonts w:ascii="Times New Roman" w:eastAsia="Times New Roman" w:hAnsi="Times New Roman" w:cs="Arial"/>
      <w:i/>
      <w:iCs/>
      <w:sz w:val="20"/>
      <w:szCs w:val="24"/>
      <w:lang w:eastAsia="ar-SA"/>
    </w:rPr>
  </w:style>
  <w:style w:type="paragraph" w:styleId="Tytu">
    <w:name w:val="Title"/>
    <w:basedOn w:val="Normalny"/>
    <w:link w:val="TytuZnak"/>
    <w:qFormat/>
    <w:rsid w:val="00955A27"/>
    <w:pPr>
      <w:suppressAutoHyphens/>
      <w:spacing w:after="0" w:line="340" w:lineRule="atLeast"/>
      <w:jc w:val="center"/>
    </w:pPr>
    <w:rPr>
      <w:rFonts w:ascii="Times New Roman" w:eastAsia="Times New Roman" w:hAnsi="Times New Roman" w:cs="Times New Roman"/>
      <w:b/>
      <w:caps/>
      <w:sz w:val="20"/>
      <w:szCs w:val="20"/>
      <w:lang w:eastAsia="ar-SA"/>
    </w:rPr>
  </w:style>
  <w:style w:type="character" w:customStyle="1" w:styleId="TytuZnak">
    <w:name w:val="Tytuł Znak"/>
    <w:basedOn w:val="Domylnaczcionkaakapitu"/>
    <w:link w:val="Tytu"/>
    <w:rsid w:val="00955A27"/>
    <w:rPr>
      <w:rFonts w:ascii="Times New Roman" w:eastAsia="Times New Roman" w:hAnsi="Times New Roman" w:cs="Times New Roman"/>
      <w:b/>
      <w:caps/>
      <w:sz w:val="20"/>
      <w:szCs w:val="20"/>
      <w:lang w:eastAsia="ar-SA"/>
    </w:rPr>
  </w:style>
  <w:style w:type="paragraph" w:customStyle="1" w:styleId="Tekstpodstawowywcity21">
    <w:name w:val="Tekst podstawowy wcięty 21"/>
    <w:basedOn w:val="Normalny"/>
    <w:qFormat/>
    <w:rsid w:val="00955A27"/>
    <w:pPr>
      <w:suppressAutoHyphens/>
      <w:spacing w:after="0" w:line="340" w:lineRule="atLeast"/>
      <w:ind w:left="567" w:hanging="567"/>
      <w:jc w:val="both"/>
    </w:pPr>
    <w:rPr>
      <w:rFonts w:ascii="Times New Roman" w:eastAsia="Times New Roman" w:hAnsi="Times New Roman" w:cs="Times New Roman"/>
      <w:sz w:val="20"/>
      <w:szCs w:val="20"/>
      <w:lang w:eastAsia="ar-SA"/>
    </w:rPr>
  </w:style>
  <w:style w:type="paragraph" w:customStyle="1" w:styleId="Nagwek30">
    <w:name w:val="Nagłówek3"/>
    <w:basedOn w:val="Normalny"/>
    <w:rsid w:val="00955A27"/>
    <w:pPr>
      <w:tabs>
        <w:tab w:val="center" w:pos="4536"/>
        <w:tab w:val="right" w:pos="9072"/>
      </w:tabs>
      <w:suppressAutoHyphens/>
      <w:spacing w:after="0" w:line="240" w:lineRule="auto"/>
    </w:pPr>
    <w:rPr>
      <w:rFonts w:ascii="Times New Roman" w:eastAsia="Times New Roman" w:hAnsi="Times New Roman" w:cs="Times New Roman"/>
      <w:sz w:val="20"/>
      <w:szCs w:val="20"/>
      <w:lang w:eastAsia="ar-SA"/>
    </w:rPr>
  </w:style>
  <w:style w:type="paragraph" w:customStyle="1" w:styleId="Stopka1">
    <w:name w:val="Stopka1"/>
    <w:basedOn w:val="Normalny"/>
    <w:rsid w:val="00955A27"/>
    <w:pPr>
      <w:tabs>
        <w:tab w:val="center" w:pos="4536"/>
        <w:tab w:val="right" w:pos="9072"/>
      </w:tabs>
      <w:suppressAutoHyphens/>
      <w:spacing w:after="0" w:line="240" w:lineRule="auto"/>
    </w:pPr>
    <w:rPr>
      <w:rFonts w:ascii="Times New Roman" w:eastAsia="Times New Roman" w:hAnsi="Times New Roman" w:cs="Times New Roman"/>
      <w:sz w:val="20"/>
      <w:szCs w:val="20"/>
      <w:lang w:eastAsia="ar-SA"/>
    </w:rPr>
  </w:style>
  <w:style w:type="paragraph" w:customStyle="1" w:styleId="Tekstpodstawowy21">
    <w:name w:val="Tekst podstawowy 21"/>
    <w:basedOn w:val="Normalny"/>
    <w:qFormat/>
    <w:rsid w:val="00955A27"/>
    <w:pPr>
      <w:suppressAutoHyphens/>
      <w:spacing w:after="0" w:line="240" w:lineRule="auto"/>
    </w:pPr>
    <w:rPr>
      <w:rFonts w:ascii="Times New Roman" w:eastAsia="Times New Roman" w:hAnsi="Times New Roman" w:cs="Times New Roman"/>
      <w:sz w:val="20"/>
      <w:szCs w:val="20"/>
      <w:lang w:eastAsia="ar-SA"/>
    </w:rPr>
  </w:style>
  <w:style w:type="paragraph" w:customStyle="1" w:styleId="Tekst">
    <w:name w:val="Tekst"/>
    <w:basedOn w:val="Podpis1"/>
    <w:qFormat/>
    <w:rsid w:val="00955A27"/>
  </w:style>
  <w:style w:type="paragraph" w:customStyle="1" w:styleId="WW-Tekst">
    <w:name w:val="WW-Tekst"/>
    <w:basedOn w:val="Normalny"/>
    <w:qFormat/>
    <w:rsid w:val="00955A27"/>
    <w:pPr>
      <w:tabs>
        <w:tab w:val="left" w:pos="735"/>
      </w:tabs>
      <w:suppressAutoHyphens/>
      <w:spacing w:after="0" w:line="240" w:lineRule="auto"/>
    </w:pPr>
    <w:rPr>
      <w:rFonts w:ascii="Times New Roman" w:eastAsia="Times New Roman" w:hAnsi="Times New Roman" w:cs="Times New Roman"/>
      <w:b/>
      <w:sz w:val="20"/>
      <w:szCs w:val="20"/>
      <w:lang w:eastAsia="ar-SA"/>
    </w:rPr>
  </w:style>
  <w:style w:type="paragraph" w:styleId="Tekstdymka">
    <w:name w:val="Balloon Text"/>
    <w:basedOn w:val="Normalny"/>
    <w:link w:val="TekstdymkaZnak"/>
    <w:qFormat/>
    <w:rsid w:val="00955A27"/>
    <w:pPr>
      <w:suppressAutoHyphens/>
      <w:spacing w:after="0" w:line="240" w:lineRule="auto"/>
    </w:pPr>
    <w:rPr>
      <w:rFonts w:ascii="Tahoma" w:eastAsia="Times New Roman" w:hAnsi="Tahoma" w:cs="Tahoma"/>
      <w:sz w:val="16"/>
      <w:szCs w:val="16"/>
      <w:lang w:eastAsia="ar-SA"/>
    </w:rPr>
  </w:style>
  <w:style w:type="character" w:customStyle="1" w:styleId="TekstdymkaZnak">
    <w:name w:val="Tekst dymka Znak"/>
    <w:basedOn w:val="Domylnaczcionkaakapitu"/>
    <w:link w:val="Tekstdymka"/>
    <w:qFormat/>
    <w:rsid w:val="00955A27"/>
    <w:rPr>
      <w:rFonts w:ascii="Tahoma" w:eastAsia="Times New Roman" w:hAnsi="Tahoma" w:cs="Tahoma"/>
      <w:sz w:val="16"/>
      <w:szCs w:val="16"/>
      <w:lang w:eastAsia="ar-SA"/>
    </w:rPr>
  </w:style>
  <w:style w:type="paragraph" w:customStyle="1" w:styleId="Tekstprzypisudolnego1">
    <w:name w:val="Tekst przypisu dolnego1"/>
    <w:basedOn w:val="Normalny"/>
    <w:rsid w:val="00955A27"/>
    <w:pPr>
      <w:suppressAutoHyphens/>
      <w:spacing w:after="0" w:line="240" w:lineRule="auto"/>
    </w:pPr>
    <w:rPr>
      <w:rFonts w:ascii="Times New Roman" w:eastAsia="Times New Roman" w:hAnsi="Times New Roman" w:cs="Times New Roman"/>
      <w:sz w:val="20"/>
      <w:szCs w:val="20"/>
      <w:lang w:eastAsia="ar-SA"/>
    </w:rPr>
  </w:style>
  <w:style w:type="paragraph" w:customStyle="1" w:styleId="Spistreci11">
    <w:name w:val="Spis treści 11"/>
    <w:basedOn w:val="Normalny"/>
    <w:uiPriority w:val="39"/>
    <w:rsid w:val="00955A27"/>
    <w:pPr>
      <w:tabs>
        <w:tab w:val="left" w:pos="480"/>
        <w:tab w:val="right" w:leader="dot" w:pos="9004"/>
      </w:tabs>
      <w:suppressAutoHyphens/>
      <w:spacing w:after="0" w:line="240" w:lineRule="auto"/>
    </w:pPr>
    <w:rPr>
      <w:rFonts w:ascii="Times New Roman" w:eastAsia="Times New Roman" w:hAnsi="Times New Roman" w:cs="Times New Roman"/>
      <w:b/>
      <w:bCs/>
      <w:sz w:val="20"/>
      <w:szCs w:val="20"/>
      <w:lang w:eastAsia="ar-SA"/>
    </w:rPr>
  </w:style>
  <w:style w:type="paragraph" w:customStyle="1" w:styleId="Spistreci21">
    <w:name w:val="Spis treści 21"/>
    <w:basedOn w:val="Normalny"/>
    <w:uiPriority w:val="39"/>
    <w:rsid w:val="00955A27"/>
    <w:pPr>
      <w:tabs>
        <w:tab w:val="left" w:pos="851"/>
        <w:tab w:val="right" w:leader="dot" w:pos="9004"/>
      </w:tabs>
      <w:suppressAutoHyphens/>
      <w:spacing w:after="0" w:line="240" w:lineRule="auto"/>
      <w:ind w:left="240"/>
    </w:pPr>
    <w:rPr>
      <w:rFonts w:ascii="Garamond" w:eastAsia="Times New Roman" w:hAnsi="Garamond" w:cs="Garamond"/>
      <w:lang w:eastAsia="ar-SA"/>
    </w:rPr>
  </w:style>
  <w:style w:type="paragraph" w:customStyle="1" w:styleId="Spistreci31">
    <w:name w:val="Spis treści 31"/>
    <w:basedOn w:val="Normalny"/>
    <w:uiPriority w:val="39"/>
    <w:rsid w:val="00955A27"/>
    <w:pPr>
      <w:suppressAutoHyphens/>
      <w:spacing w:after="0" w:line="240" w:lineRule="auto"/>
      <w:ind w:left="480"/>
    </w:pPr>
    <w:rPr>
      <w:rFonts w:ascii="Times New Roman" w:eastAsia="Times New Roman" w:hAnsi="Times New Roman" w:cs="Times New Roman"/>
      <w:sz w:val="20"/>
      <w:szCs w:val="20"/>
      <w:lang w:eastAsia="ar-SA"/>
    </w:rPr>
  </w:style>
  <w:style w:type="paragraph" w:customStyle="1" w:styleId="Tekstpodstawowy32">
    <w:name w:val="Tekst podstawowy 32"/>
    <w:basedOn w:val="Normalny"/>
    <w:qFormat/>
    <w:rsid w:val="00955A27"/>
    <w:pPr>
      <w:suppressAutoHyphens/>
      <w:spacing w:after="0" w:line="360" w:lineRule="auto"/>
      <w:jc w:val="both"/>
    </w:pPr>
    <w:rPr>
      <w:rFonts w:ascii="Garamond" w:eastAsia="Times New Roman" w:hAnsi="Garamond" w:cs="Garamond"/>
      <w:color w:val="000000"/>
      <w:sz w:val="20"/>
      <w:szCs w:val="20"/>
      <w:lang w:eastAsia="ar-SA"/>
    </w:rPr>
  </w:style>
  <w:style w:type="paragraph" w:customStyle="1" w:styleId="Tekstblokowy1">
    <w:name w:val="Tekst blokowy1"/>
    <w:basedOn w:val="Normalny"/>
    <w:qFormat/>
    <w:rsid w:val="00955A27"/>
    <w:pPr>
      <w:suppressAutoHyphens/>
      <w:spacing w:before="100" w:after="0" w:line="360" w:lineRule="auto"/>
      <w:ind w:left="1080" w:right="-276"/>
      <w:jc w:val="both"/>
    </w:pPr>
    <w:rPr>
      <w:rFonts w:ascii="Arial" w:eastAsia="Times New Roman" w:hAnsi="Arial" w:cs="Arial"/>
      <w:sz w:val="20"/>
      <w:szCs w:val="20"/>
      <w:lang w:eastAsia="ar-SA"/>
    </w:rPr>
  </w:style>
  <w:style w:type="paragraph" w:styleId="Tematkomentarza">
    <w:name w:val="annotation subject"/>
    <w:basedOn w:val="Tekstkomentarza1"/>
    <w:link w:val="TematkomentarzaZnak"/>
    <w:qFormat/>
    <w:rsid w:val="00955A27"/>
    <w:pPr>
      <w:tabs>
        <w:tab w:val="clear" w:pos="851"/>
        <w:tab w:val="clear" w:pos="1134"/>
        <w:tab w:val="clear" w:pos="1701"/>
      </w:tabs>
      <w:jc w:val="left"/>
    </w:pPr>
    <w:rPr>
      <w:bCs/>
      <w:lang w:val="pl-PL" w:eastAsia="ar-SA"/>
    </w:rPr>
  </w:style>
  <w:style w:type="character" w:customStyle="1" w:styleId="TematkomentarzaZnak">
    <w:name w:val="Temat komentarza Znak"/>
    <w:basedOn w:val="TekstkomentarzaZnak"/>
    <w:link w:val="Tematkomentarza"/>
    <w:rsid w:val="00955A27"/>
    <w:rPr>
      <w:rFonts w:ascii="Times New Roman" w:eastAsia="Times New Roman" w:hAnsi="Times New Roman" w:cs="Times New Roman"/>
      <w:b/>
      <w:bCs/>
      <w:spacing w:val="-3"/>
      <w:sz w:val="20"/>
      <w:szCs w:val="20"/>
      <w:lang w:eastAsia="ar-SA"/>
    </w:rPr>
  </w:style>
  <w:style w:type="paragraph" w:customStyle="1" w:styleId="Tekstprzypisukocowego1">
    <w:name w:val="Tekst przypisu końcowego1"/>
    <w:basedOn w:val="Normalny"/>
    <w:rsid w:val="00955A27"/>
    <w:pPr>
      <w:suppressAutoHyphens/>
      <w:spacing w:after="0" w:line="240" w:lineRule="auto"/>
    </w:pPr>
    <w:rPr>
      <w:rFonts w:ascii="Times New Roman" w:eastAsia="Times New Roman" w:hAnsi="Times New Roman" w:cs="Times New Roman"/>
      <w:sz w:val="20"/>
      <w:szCs w:val="20"/>
      <w:lang w:eastAsia="ar-SA"/>
    </w:rPr>
  </w:style>
  <w:style w:type="paragraph" w:customStyle="1" w:styleId="Default">
    <w:name w:val="Default"/>
    <w:qFormat/>
    <w:rsid w:val="00955A27"/>
    <w:pPr>
      <w:suppressAutoHyphens/>
      <w:spacing w:after="0" w:line="240" w:lineRule="auto"/>
    </w:pPr>
    <w:rPr>
      <w:rFonts w:ascii="Garamond" w:eastAsia="Times New Roman" w:hAnsi="Garamond" w:cs="Garamond"/>
      <w:color w:val="000000"/>
      <w:sz w:val="24"/>
      <w:szCs w:val="24"/>
      <w:lang w:eastAsia="ar-SA"/>
    </w:rPr>
  </w:style>
  <w:style w:type="paragraph" w:customStyle="1" w:styleId="Ayesa">
    <w:name w:val="Ayesa"/>
    <w:basedOn w:val="Akapitzlist"/>
    <w:qFormat/>
    <w:rsid w:val="00955A27"/>
    <w:pPr>
      <w:suppressAutoHyphens/>
      <w:overflowPunct/>
      <w:autoSpaceDE/>
      <w:autoSpaceDN/>
      <w:adjustRightInd/>
      <w:spacing w:before="120"/>
      <w:contextualSpacing w:val="0"/>
      <w:textAlignment w:val="auto"/>
    </w:pPr>
    <w:rPr>
      <w:rFonts w:ascii="Verdana" w:eastAsia="Calibri" w:hAnsi="Verdana"/>
      <w:b/>
      <w:szCs w:val="22"/>
      <w:lang w:eastAsia="ar-SA"/>
    </w:rPr>
  </w:style>
  <w:style w:type="paragraph" w:styleId="Indeks1">
    <w:name w:val="index 1"/>
    <w:basedOn w:val="Normalny"/>
    <w:qFormat/>
    <w:rsid w:val="00955A27"/>
    <w:pPr>
      <w:suppressAutoHyphens/>
      <w:spacing w:after="0" w:line="240" w:lineRule="auto"/>
      <w:ind w:left="240" w:hanging="240"/>
    </w:pPr>
    <w:rPr>
      <w:rFonts w:ascii="Times New Roman" w:eastAsia="Times New Roman" w:hAnsi="Times New Roman" w:cs="Times New Roman"/>
      <w:sz w:val="20"/>
      <w:szCs w:val="20"/>
      <w:lang w:eastAsia="ar-SA"/>
    </w:rPr>
  </w:style>
  <w:style w:type="paragraph" w:customStyle="1" w:styleId="Tekstpodstawowy31">
    <w:name w:val="Tekst podstawowy 31"/>
    <w:basedOn w:val="Normalny"/>
    <w:qFormat/>
    <w:rsid w:val="00955A27"/>
    <w:pPr>
      <w:suppressAutoHyphens/>
      <w:spacing w:after="0" w:line="240" w:lineRule="auto"/>
    </w:pPr>
    <w:rPr>
      <w:rFonts w:ascii="Times New Roman" w:eastAsia="Times New Roman" w:hAnsi="Times New Roman" w:cs="Times New Roman"/>
      <w:sz w:val="28"/>
      <w:szCs w:val="20"/>
      <w:lang w:eastAsia="ar-SA"/>
    </w:rPr>
  </w:style>
  <w:style w:type="paragraph" w:customStyle="1" w:styleId="Styl11ptWyjustowanyZlewej124cmInterlinia15wiers">
    <w:name w:val="Styl 11 pt Wyjustowany Z lewej:  124 cm Interlinia:  15 wiers..."/>
    <w:basedOn w:val="Normalny"/>
    <w:qFormat/>
    <w:rsid w:val="00955A27"/>
    <w:pPr>
      <w:suppressAutoHyphens/>
      <w:spacing w:after="0" w:line="360" w:lineRule="auto"/>
      <w:ind w:left="705"/>
      <w:jc w:val="both"/>
    </w:pPr>
    <w:rPr>
      <w:rFonts w:ascii="Times New Roman" w:eastAsia="Times New Roman" w:hAnsi="Times New Roman" w:cs="Times New Roman"/>
      <w:szCs w:val="20"/>
      <w:lang w:eastAsia="ar-SA"/>
    </w:rPr>
  </w:style>
  <w:style w:type="paragraph" w:customStyle="1" w:styleId="Zawartotabeli">
    <w:name w:val="Zawartość tabeli"/>
    <w:basedOn w:val="Normalny"/>
    <w:qFormat/>
    <w:rsid w:val="00955A27"/>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Nagwektabeli">
    <w:name w:val="Nagłówek tabeli"/>
    <w:basedOn w:val="Zawartotabeli"/>
    <w:qFormat/>
    <w:rsid w:val="00955A27"/>
    <w:pPr>
      <w:jc w:val="center"/>
    </w:pPr>
    <w:rPr>
      <w:b/>
      <w:bCs/>
    </w:rPr>
  </w:style>
  <w:style w:type="paragraph" w:customStyle="1" w:styleId="Spistreci41">
    <w:name w:val="Spis treści 41"/>
    <w:basedOn w:val="Indeks"/>
    <w:rsid w:val="00955A27"/>
    <w:pPr>
      <w:tabs>
        <w:tab w:val="right" w:leader="dot" w:pos="8789"/>
      </w:tabs>
      <w:ind w:left="849"/>
    </w:pPr>
  </w:style>
  <w:style w:type="paragraph" w:customStyle="1" w:styleId="Spistreci51">
    <w:name w:val="Spis treści 51"/>
    <w:basedOn w:val="Indeks"/>
    <w:rsid w:val="00955A27"/>
    <w:pPr>
      <w:tabs>
        <w:tab w:val="right" w:leader="dot" w:pos="8506"/>
      </w:tabs>
      <w:ind w:left="1132"/>
    </w:pPr>
  </w:style>
  <w:style w:type="paragraph" w:customStyle="1" w:styleId="Spistreci61">
    <w:name w:val="Spis treści 61"/>
    <w:basedOn w:val="Indeks"/>
    <w:rsid w:val="00955A27"/>
    <w:pPr>
      <w:tabs>
        <w:tab w:val="right" w:leader="dot" w:pos="8223"/>
      </w:tabs>
      <w:ind w:left="1415"/>
    </w:pPr>
  </w:style>
  <w:style w:type="paragraph" w:customStyle="1" w:styleId="Spistreci71">
    <w:name w:val="Spis treści 71"/>
    <w:basedOn w:val="Indeks"/>
    <w:rsid w:val="00955A27"/>
    <w:pPr>
      <w:tabs>
        <w:tab w:val="right" w:leader="dot" w:pos="7940"/>
      </w:tabs>
      <w:ind w:left="1698"/>
    </w:pPr>
  </w:style>
  <w:style w:type="paragraph" w:customStyle="1" w:styleId="Spistreci81">
    <w:name w:val="Spis treści 81"/>
    <w:basedOn w:val="Indeks"/>
    <w:rsid w:val="00955A27"/>
    <w:pPr>
      <w:tabs>
        <w:tab w:val="right" w:leader="dot" w:pos="7657"/>
      </w:tabs>
      <w:ind w:left="1981"/>
    </w:pPr>
  </w:style>
  <w:style w:type="paragraph" w:customStyle="1" w:styleId="Spistreci91">
    <w:name w:val="Spis treści 91"/>
    <w:basedOn w:val="Indeks"/>
    <w:rsid w:val="00955A27"/>
    <w:pPr>
      <w:tabs>
        <w:tab w:val="right" w:leader="dot" w:pos="7374"/>
      </w:tabs>
      <w:ind w:left="2264"/>
    </w:pPr>
  </w:style>
  <w:style w:type="paragraph" w:customStyle="1" w:styleId="Spistreci10">
    <w:name w:val="Spis treści 10"/>
    <w:basedOn w:val="Indeks"/>
    <w:qFormat/>
    <w:rsid w:val="00955A27"/>
    <w:pPr>
      <w:tabs>
        <w:tab w:val="right" w:leader="dot" w:pos="7091"/>
      </w:tabs>
      <w:ind w:left="2547"/>
    </w:pPr>
  </w:style>
  <w:style w:type="paragraph" w:customStyle="1" w:styleId="Akapitzlist1">
    <w:name w:val="Akapit z listą1"/>
    <w:basedOn w:val="Normalny"/>
    <w:qFormat/>
    <w:rsid w:val="00955A27"/>
    <w:pPr>
      <w:tabs>
        <w:tab w:val="left" w:pos="0"/>
      </w:tabs>
      <w:suppressAutoHyphens/>
      <w:spacing w:before="40" w:after="40" w:line="360" w:lineRule="auto"/>
      <w:ind w:firstLine="709"/>
      <w:jc w:val="both"/>
    </w:pPr>
    <w:rPr>
      <w:rFonts w:ascii="Garamond" w:eastAsia="Times New Roman" w:hAnsi="Garamond" w:cs="Garamond"/>
      <w:color w:val="00000A"/>
      <w:sz w:val="28"/>
      <w:szCs w:val="28"/>
      <w:lang w:eastAsia="ar-SA"/>
    </w:rPr>
  </w:style>
  <w:style w:type="paragraph" w:customStyle="1" w:styleId="LO-normal">
    <w:name w:val="LO-normal"/>
    <w:basedOn w:val="Normalny"/>
    <w:qFormat/>
    <w:rsid w:val="00955A27"/>
    <w:pPr>
      <w:widowControl w:val="0"/>
      <w:suppressAutoHyphens/>
      <w:spacing w:after="0" w:line="240" w:lineRule="auto"/>
      <w:jc w:val="both"/>
    </w:pPr>
    <w:rPr>
      <w:rFonts w:ascii="Times New Roman" w:eastAsia="Times New Roman" w:hAnsi="Times New Roman" w:cs="Times New Roman"/>
      <w:color w:val="00000A"/>
      <w:sz w:val="20"/>
      <w:szCs w:val="20"/>
      <w:lang w:eastAsia="ar-SA"/>
    </w:rPr>
  </w:style>
  <w:style w:type="paragraph" w:customStyle="1" w:styleId="Treprojektu">
    <w:name w:val="Treść projektu"/>
    <w:basedOn w:val="Normalny"/>
    <w:qFormat/>
    <w:rsid w:val="00955A27"/>
    <w:pPr>
      <w:suppressAutoHyphens/>
      <w:spacing w:before="60" w:after="0" w:line="100" w:lineRule="atLeast"/>
      <w:ind w:firstLine="397"/>
    </w:pPr>
    <w:rPr>
      <w:rFonts w:ascii="Times New Roman" w:eastAsia="Times New Roman" w:hAnsi="Times New Roman" w:cs="Calibri"/>
      <w:sz w:val="20"/>
      <w:szCs w:val="20"/>
      <w:lang w:eastAsia="ar-SA"/>
    </w:rPr>
  </w:style>
  <w:style w:type="paragraph" w:customStyle="1" w:styleId="Tekstpodstawowywcity22">
    <w:name w:val="Tekst podstawowy wcięty 22"/>
    <w:basedOn w:val="Normalny"/>
    <w:qFormat/>
    <w:rsid w:val="00955A27"/>
    <w:pPr>
      <w:suppressAutoHyphens/>
      <w:spacing w:after="0" w:line="340" w:lineRule="atLeast"/>
      <w:ind w:left="283"/>
      <w:jc w:val="both"/>
    </w:pPr>
    <w:rPr>
      <w:rFonts w:ascii="Arial" w:eastAsia="Times New Roman" w:hAnsi="Arial" w:cs="Arial"/>
      <w:szCs w:val="20"/>
      <w:lang w:eastAsia="ar-SA"/>
    </w:rPr>
  </w:style>
  <w:style w:type="paragraph" w:customStyle="1" w:styleId="WW-Tekst1">
    <w:name w:val="WW-Tekst1"/>
    <w:basedOn w:val="Normalny"/>
    <w:qFormat/>
    <w:rsid w:val="00955A27"/>
    <w:pPr>
      <w:tabs>
        <w:tab w:val="left" w:pos="735"/>
      </w:tabs>
      <w:suppressAutoHyphens/>
      <w:spacing w:after="0" w:line="240" w:lineRule="auto"/>
    </w:pPr>
    <w:rPr>
      <w:rFonts w:ascii="Times New Roman" w:eastAsia="Times New Roman" w:hAnsi="Times New Roman" w:cs="Times New Roman"/>
      <w:b/>
      <w:sz w:val="20"/>
      <w:szCs w:val="20"/>
      <w:lang w:eastAsia="ar-SA"/>
    </w:rPr>
  </w:style>
  <w:style w:type="numbering" w:customStyle="1" w:styleId="WW8Num13">
    <w:name w:val="WW8Num13"/>
    <w:qFormat/>
    <w:rsid w:val="00955A27"/>
  </w:style>
  <w:style w:type="character" w:customStyle="1" w:styleId="StopkaZnak1">
    <w:name w:val="Stopka Znak1"/>
    <w:basedOn w:val="Domylnaczcionkaakapitu"/>
    <w:uiPriority w:val="99"/>
    <w:rsid w:val="00955A27"/>
    <w:rPr>
      <w:sz w:val="24"/>
      <w:lang w:eastAsia="ar-SA"/>
    </w:rPr>
  </w:style>
  <w:style w:type="character" w:customStyle="1" w:styleId="Nagwek2Znak1">
    <w:name w:val="Nagłówek 2 Znak1"/>
    <w:basedOn w:val="Domylnaczcionkaakapitu"/>
    <w:uiPriority w:val="9"/>
    <w:rsid w:val="00955A27"/>
    <w:rPr>
      <w:rFonts w:asciiTheme="majorHAnsi" w:eastAsiaTheme="majorEastAsia" w:hAnsiTheme="majorHAnsi" w:cstheme="majorBidi"/>
      <w:color w:val="2E74B5" w:themeColor="accent1" w:themeShade="BF"/>
      <w:sz w:val="26"/>
      <w:szCs w:val="26"/>
      <w:lang w:eastAsia="ar-SA"/>
    </w:rPr>
  </w:style>
  <w:style w:type="numbering" w:customStyle="1" w:styleId="Bezlisty1">
    <w:name w:val="Bez listy1"/>
    <w:next w:val="Bezlisty"/>
    <w:uiPriority w:val="99"/>
    <w:semiHidden/>
    <w:unhideWhenUsed/>
    <w:rsid w:val="00955A27"/>
  </w:style>
  <w:style w:type="character" w:styleId="Hipercze">
    <w:name w:val="Hyperlink"/>
    <w:basedOn w:val="Domylnaczcionkaakapitu"/>
    <w:unhideWhenUsed/>
    <w:rsid w:val="00955A27"/>
    <w:rPr>
      <w:color w:val="0000FF"/>
      <w:u w:val="single"/>
    </w:rPr>
  </w:style>
  <w:style w:type="paragraph" w:styleId="Tekstprzypisudolnego">
    <w:name w:val="footnote text"/>
    <w:basedOn w:val="Normalny"/>
    <w:link w:val="TekstprzypisudolnegoZnak"/>
    <w:uiPriority w:val="99"/>
    <w:unhideWhenUsed/>
    <w:rsid w:val="00955A27"/>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qFormat/>
    <w:rsid w:val="00955A27"/>
    <w:rPr>
      <w:rFonts w:ascii="Times New Roman" w:eastAsia="Times New Roman" w:hAnsi="Times New Roman" w:cs="Times New Roman"/>
      <w:sz w:val="20"/>
      <w:szCs w:val="20"/>
      <w:lang w:eastAsia="pl-PL"/>
    </w:rPr>
  </w:style>
  <w:style w:type="paragraph" w:customStyle="1" w:styleId="StylIwony">
    <w:name w:val="Styl Iwony"/>
    <w:basedOn w:val="Normalny"/>
    <w:qFormat/>
    <w:rsid w:val="00955A27"/>
    <w:pPr>
      <w:overflowPunct w:val="0"/>
      <w:autoSpaceDE w:val="0"/>
      <w:autoSpaceDN w:val="0"/>
      <w:adjustRightInd w:val="0"/>
      <w:spacing w:before="120" w:after="120" w:line="240" w:lineRule="auto"/>
      <w:jc w:val="both"/>
    </w:pPr>
    <w:rPr>
      <w:rFonts w:ascii="Bookman Old Style" w:eastAsia="Times New Roman" w:hAnsi="Bookman Old Style" w:cs="Times New Roman"/>
      <w:sz w:val="20"/>
      <w:szCs w:val="20"/>
      <w:lang w:eastAsia="pl-PL"/>
    </w:rPr>
  </w:style>
  <w:style w:type="character" w:styleId="Odwoanieprzypisudolnego">
    <w:name w:val="footnote reference"/>
    <w:basedOn w:val="Domylnaczcionkaakapitu"/>
    <w:uiPriority w:val="99"/>
    <w:unhideWhenUsed/>
    <w:rsid w:val="00955A27"/>
    <w:rPr>
      <w:vertAlign w:val="superscript"/>
    </w:rPr>
  </w:style>
  <w:style w:type="character" w:customStyle="1" w:styleId="highlight">
    <w:name w:val="highlight"/>
    <w:basedOn w:val="Domylnaczcionkaakapitu"/>
    <w:rsid w:val="00955A27"/>
  </w:style>
  <w:style w:type="character" w:customStyle="1" w:styleId="fontstyle01">
    <w:name w:val="fontstyle01"/>
    <w:basedOn w:val="Domylnaczcionkaakapitu"/>
    <w:rsid w:val="00955A27"/>
    <w:rPr>
      <w:rFonts w:ascii="CIDFont+F1" w:hAnsi="CIDFont+F1" w:hint="default"/>
      <w:b w:val="0"/>
      <w:bCs w:val="0"/>
      <w:i w:val="0"/>
      <w:iCs w:val="0"/>
      <w:color w:val="000000"/>
      <w:sz w:val="24"/>
      <w:szCs w:val="24"/>
    </w:rPr>
  </w:style>
  <w:style w:type="paragraph" w:styleId="Bezodstpw">
    <w:name w:val="No Spacing"/>
    <w:basedOn w:val="Normalny"/>
    <w:link w:val="BezodstpwZnak"/>
    <w:uiPriority w:val="99"/>
    <w:qFormat/>
    <w:rsid w:val="00955A27"/>
    <w:pPr>
      <w:suppressAutoHyphens/>
      <w:spacing w:after="0" w:line="240" w:lineRule="auto"/>
      <w:ind w:firstLine="697"/>
    </w:pPr>
    <w:rPr>
      <w:rFonts w:ascii="Calibri" w:eastAsia="Times New Roman" w:hAnsi="Calibri" w:cs="Calibri"/>
      <w:sz w:val="24"/>
      <w:szCs w:val="20"/>
      <w:lang w:eastAsia="zh-CN"/>
    </w:rPr>
  </w:style>
  <w:style w:type="character" w:customStyle="1" w:styleId="BezodstpwZnak">
    <w:name w:val="Bez odstępów Znak"/>
    <w:link w:val="Bezodstpw"/>
    <w:uiPriority w:val="99"/>
    <w:rsid w:val="00955A27"/>
    <w:rPr>
      <w:rFonts w:ascii="Calibri" w:eastAsia="Times New Roman" w:hAnsi="Calibri" w:cs="Calibri"/>
      <w:sz w:val="24"/>
      <w:szCs w:val="20"/>
      <w:lang w:eastAsia="zh-CN"/>
    </w:rPr>
  </w:style>
  <w:style w:type="paragraph" w:styleId="Spistreci3">
    <w:name w:val="toc 3"/>
    <w:basedOn w:val="Normalny"/>
    <w:next w:val="Normalny"/>
    <w:rsid w:val="00955A27"/>
    <w:pPr>
      <w:tabs>
        <w:tab w:val="right" w:leader="dot" w:pos="7371"/>
      </w:tabs>
      <w:overflowPunct w:val="0"/>
      <w:autoSpaceDE w:val="0"/>
      <w:autoSpaceDN w:val="0"/>
      <w:adjustRightInd w:val="0"/>
      <w:spacing w:after="0" w:line="240" w:lineRule="auto"/>
      <w:ind w:left="400"/>
      <w:textAlignment w:val="baseline"/>
    </w:pPr>
    <w:rPr>
      <w:rFonts w:ascii="Times New Roman" w:eastAsia="Times New Roman" w:hAnsi="Times New Roman" w:cs="Times New Roman"/>
      <w:sz w:val="24"/>
      <w:szCs w:val="20"/>
      <w:lang w:eastAsia="pl-PL"/>
    </w:rPr>
  </w:style>
  <w:style w:type="paragraph" w:styleId="Spistreci4">
    <w:name w:val="toc 4"/>
    <w:basedOn w:val="Normalny"/>
    <w:next w:val="Normalny"/>
    <w:rsid w:val="00955A27"/>
    <w:pPr>
      <w:tabs>
        <w:tab w:val="right" w:leader="dot" w:pos="7371"/>
      </w:tabs>
      <w:overflowPunct w:val="0"/>
      <w:autoSpaceDE w:val="0"/>
      <w:autoSpaceDN w:val="0"/>
      <w:adjustRightInd w:val="0"/>
      <w:spacing w:after="0" w:line="240" w:lineRule="auto"/>
      <w:ind w:left="600"/>
      <w:textAlignment w:val="baseline"/>
    </w:pPr>
    <w:rPr>
      <w:rFonts w:ascii="Times New Roman" w:eastAsia="Times New Roman" w:hAnsi="Times New Roman" w:cs="Times New Roman"/>
      <w:sz w:val="18"/>
      <w:szCs w:val="20"/>
      <w:lang w:eastAsia="pl-PL"/>
    </w:rPr>
  </w:style>
  <w:style w:type="paragraph" w:styleId="Spistreci5">
    <w:name w:val="toc 5"/>
    <w:basedOn w:val="Normalny"/>
    <w:next w:val="Normalny"/>
    <w:rsid w:val="00955A27"/>
    <w:pPr>
      <w:tabs>
        <w:tab w:val="right" w:leader="dot" w:pos="7371"/>
      </w:tabs>
      <w:overflowPunct w:val="0"/>
      <w:autoSpaceDE w:val="0"/>
      <w:autoSpaceDN w:val="0"/>
      <w:adjustRightInd w:val="0"/>
      <w:spacing w:after="0" w:line="240" w:lineRule="auto"/>
      <w:ind w:left="800"/>
      <w:textAlignment w:val="baseline"/>
    </w:pPr>
    <w:rPr>
      <w:rFonts w:ascii="Times New Roman" w:eastAsia="Times New Roman" w:hAnsi="Times New Roman" w:cs="Times New Roman"/>
      <w:sz w:val="18"/>
      <w:szCs w:val="20"/>
      <w:lang w:eastAsia="pl-PL"/>
    </w:rPr>
  </w:style>
  <w:style w:type="paragraph" w:styleId="Spistreci6">
    <w:name w:val="toc 6"/>
    <w:basedOn w:val="Normalny"/>
    <w:next w:val="Normalny"/>
    <w:rsid w:val="00955A27"/>
    <w:pPr>
      <w:tabs>
        <w:tab w:val="right" w:leader="dot" w:pos="7371"/>
      </w:tabs>
      <w:overflowPunct w:val="0"/>
      <w:autoSpaceDE w:val="0"/>
      <w:autoSpaceDN w:val="0"/>
      <w:adjustRightInd w:val="0"/>
      <w:spacing w:after="0" w:line="240" w:lineRule="auto"/>
      <w:ind w:left="1000"/>
      <w:textAlignment w:val="baseline"/>
    </w:pPr>
    <w:rPr>
      <w:rFonts w:ascii="Times New Roman" w:eastAsia="Times New Roman" w:hAnsi="Times New Roman" w:cs="Times New Roman"/>
      <w:sz w:val="18"/>
      <w:szCs w:val="20"/>
      <w:lang w:eastAsia="pl-PL"/>
    </w:rPr>
  </w:style>
  <w:style w:type="paragraph" w:styleId="Spistreci7">
    <w:name w:val="toc 7"/>
    <w:basedOn w:val="Normalny"/>
    <w:next w:val="Normalny"/>
    <w:rsid w:val="00955A27"/>
    <w:pPr>
      <w:tabs>
        <w:tab w:val="right" w:leader="dot" w:pos="7371"/>
      </w:tabs>
      <w:overflowPunct w:val="0"/>
      <w:autoSpaceDE w:val="0"/>
      <w:autoSpaceDN w:val="0"/>
      <w:adjustRightInd w:val="0"/>
      <w:spacing w:after="0" w:line="240" w:lineRule="auto"/>
      <w:ind w:left="1200"/>
      <w:textAlignment w:val="baseline"/>
    </w:pPr>
    <w:rPr>
      <w:rFonts w:ascii="Times New Roman" w:eastAsia="Times New Roman" w:hAnsi="Times New Roman" w:cs="Times New Roman"/>
      <w:sz w:val="18"/>
      <w:szCs w:val="20"/>
      <w:lang w:eastAsia="pl-PL"/>
    </w:rPr>
  </w:style>
  <w:style w:type="paragraph" w:styleId="Spistreci8">
    <w:name w:val="toc 8"/>
    <w:basedOn w:val="Normalny"/>
    <w:next w:val="Normalny"/>
    <w:rsid w:val="00955A27"/>
    <w:pPr>
      <w:tabs>
        <w:tab w:val="right" w:leader="dot" w:pos="7371"/>
      </w:tabs>
      <w:overflowPunct w:val="0"/>
      <w:autoSpaceDE w:val="0"/>
      <w:autoSpaceDN w:val="0"/>
      <w:adjustRightInd w:val="0"/>
      <w:spacing w:after="0" w:line="240" w:lineRule="auto"/>
      <w:ind w:left="1400"/>
      <w:textAlignment w:val="baseline"/>
    </w:pPr>
    <w:rPr>
      <w:rFonts w:ascii="Times New Roman" w:eastAsia="Times New Roman" w:hAnsi="Times New Roman" w:cs="Times New Roman"/>
      <w:sz w:val="18"/>
      <w:szCs w:val="20"/>
      <w:lang w:eastAsia="pl-PL"/>
    </w:rPr>
  </w:style>
  <w:style w:type="paragraph" w:styleId="Spistreci9">
    <w:name w:val="toc 9"/>
    <w:basedOn w:val="Normalny"/>
    <w:next w:val="Normalny"/>
    <w:rsid w:val="00955A27"/>
    <w:pPr>
      <w:tabs>
        <w:tab w:val="right" w:leader="dot" w:pos="7371"/>
      </w:tabs>
      <w:overflowPunct w:val="0"/>
      <w:autoSpaceDE w:val="0"/>
      <w:autoSpaceDN w:val="0"/>
      <w:adjustRightInd w:val="0"/>
      <w:spacing w:after="0" w:line="240" w:lineRule="auto"/>
      <w:ind w:left="1600"/>
      <w:textAlignment w:val="baseline"/>
    </w:pPr>
    <w:rPr>
      <w:rFonts w:ascii="Times New Roman" w:eastAsia="Times New Roman" w:hAnsi="Times New Roman" w:cs="Times New Roman"/>
      <w:sz w:val="18"/>
      <w:szCs w:val="20"/>
      <w:lang w:eastAsia="pl-PL"/>
    </w:rPr>
  </w:style>
  <w:style w:type="paragraph" w:styleId="Tekstpodstawowy2">
    <w:name w:val="Body Text 2"/>
    <w:basedOn w:val="Normalny"/>
    <w:link w:val="Tekstpodstawowy2Znak"/>
    <w:qFormat/>
    <w:rsid w:val="00955A27"/>
    <w:pPr>
      <w:overflowPunct w:val="0"/>
      <w:autoSpaceDE w:val="0"/>
      <w:autoSpaceDN w:val="0"/>
      <w:adjustRightInd w:val="0"/>
      <w:spacing w:after="120" w:line="480" w:lineRule="auto"/>
      <w:jc w:val="both"/>
      <w:textAlignment w:val="baseline"/>
    </w:pPr>
    <w:rPr>
      <w:rFonts w:ascii="Times New Roman" w:eastAsia="Times New Roman" w:hAnsi="Times New Roman" w:cs="Times New Roman"/>
      <w:sz w:val="24"/>
      <w:szCs w:val="20"/>
      <w:lang w:eastAsia="pl-PL"/>
    </w:rPr>
  </w:style>
  <w:style w:type="character" w:customStyle="1" w:styleId="Tekstpodstawowy2Znak">
    <w:name w:val="Tekst podstawowy 2 Znak"/>
    <w:basedOn w:val="Domylnaczcionkaakapitu"/>
    <w:link w:val="Tekstpodstawowy2"/>
    <w:qFormat/>
    <w:rsid w:val="00955A27"/>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uiPriority w:val="99"/>
    <w:qFormat/>
    <w:rsid w:val="00955A27"/>
    <w:pPr>
      <w:overflowPunct w:val="0"/>
      <w:autoSpaceDE w:val="0"/>
      <w:autoSpaceDN w:val="0"/>
      <w:adjustRightInd w:val="0"/>
      <w:spacing w:after="120" w:line="480" w:lineRule="auto"/>
      <w:ind w:left="283"/>
      <w:jc w:val="both"/>
      <w:textAlignment w:val="baseline"/>
    </w:pPr>
    <w:rPr>
      <w:rFonts w:ascii="Times New Roman" w:eastAsia="Times New Roman" w:hAnsi="Times New Roman" w:cs="Times New Roman"/>
      <w:sz w:val="24"/>
      <w:szCs w:val="20"/>
      <w:lang w:eastAsia="pl-PL"/>
    </w:rPr>
  </w:style>
  <w:style w:type="character" w:customStyle="1" w:styleId="Tekstpodstawowywcity2Znak">
    <w:name w:val="Tekst podstawowy wcięty 2 Znak"/>
    <w:basedOn w:val="Domylnaczcionkaakapitu"/>
    <w:link w:val="Tekstpodstawowywcity2"/>
    <w:uiPriority w:val="99"/>
    <w:qFormat/>
    <w:rsid w:val="00955A27"/>
    <w:rPr>
      <w:rFonts w:ascii="Times New Roman" w:eastAsia="Times New Roman" w:hAnsi="Times New Roman" w:cs="Times New Roman"/>
      <w:sz w:val="24"/>
      <w:szCs w:val="20"/>
      <w:lang w:eastAsia="pl-PL"/>
    </w:rPr>
  </w:style>
  <w:style w:type="paragraph" w:styleId="Tekstpodstawowywcity3">
    <w:name w:val="Body Text Indent 3"/>
    <w:basedOn w:val="Normalny"/>
    <w:link w:val="Tekstpodstawowywcity3Znak"/>
    <w:uiPriority w:val="99"/>
    <w:qFormat/>
    <w:rsid w:val="00955A27"/>
    <w:pPr>
      <w:spacing w:before="60" w:after="0" w:line="240" w:lineRule="auto"/>
      <w:jc w:val="both"/>
    </w:pPr>
    <w:rPr>
      <w:rFonts w:ascii="Times New Roman" w:eastAsia="Times New Roman" w:hAnsi="Times New Roman" w:cs="Times New Roman"/>
      <w:sz w:val="24"/>
      <w:szCs w:val="20"/>
      <w:lang w:eastAsia="pl-PL"/>
    </w:rPr>
  </w:style>
  <w:style w:type="character" w:customStyle="1" w:styleId="Tekstpodstawowywcity3Znak">
    <w:name w:val="Tekst podstawowy wcięty 3 Znak"/>
    <w:basedOn w:val="Domylnaczcionkaakapitu"/>
    <w:link w:val="Tekstpodstawowywcity3"/>
    <w:uiPriority w:val="99"/>
    <w:qFormat/>
    <w:rsid w:val="00955A27"/>
    <w:rPr>
      <w:rFonts w:ascii="Times New Roman" w:eastAsia="Times New Roman" w:hAnsi="Times New Roman" w:cs="Times New Roman"/>
      <w:sz w:val="24"/>
      <w:szCs w:val="20"/>
      <w:lang w:eastAsia="pl-PL"/>
    </w:rPr>
  </w:style>
  <w:style w:type="paragraph" w:styleId="Listapunktowana">
    <w:name w:val="List Bullet"/>
    <w:basedOn w:val="Normalny"/>
    <w:link w:val="ListapunktowanaZnak"/>
    <w:uiPriority w:val="99"/>
    <w:rsid w:val="00955A27"/>
    <w:pPr>
      <w:spacing w:after="0" w:line="360" w:lineRule="auto"/>
      <w:ind w:left="360" w:hanging="360"/>
    </w:pPr>
    <w:rPr>
      <w:rFonts w:ascii="Times New Roman" w:eastAsia="Times New Roman" w:hAnsi="Times New Roman" w:cs="Times New Roman"/>
      <w:sz w:val="24"/>
      <w:szCs w:val="20"/>
      <w:lang w:eastAsia="pl-PL"/>
    </w:rPr>
  </w:style>
  <w:style w:type="paragraph" w:customStyle="1" w:styleId="10">
    <w:name w:val="_10"/>
    <w:basedOn w:val="Normalny"/>
    <w:rsid w:val="00955A27"/>
    <w:pPr>
      <w:spacing w:after="0" w:line="240" w:lineRule="auto"/>
      <w:jc w:val="both"/>
    </w:pPr>
    <w:rPr>
      <w:rFonts w:ascii="Times New Roman" w:eastAsia="Times New Roman" w:hAnsi="Times New Roman" w:cs="Times New Roman"/>
      <w:sz w:val="24"/>
      <w:szCs w:val="20"/>
      <w:lang w:eastAsia="pl-PL"/>
    </w:rPr>
  </w:style>
  <w:style w:type="paragraph" w:styleId="Tekstpodstawowy3">
    <w:name w:val="Body Text 3"/>
    <w:basedOn w:val="Normalny"/>
    <w:link w:val="Tekstpodstawowy3Znak"/>
    <w:uiPriority w:val="99"/>
    <w:rsid w:val="00955A27"/>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uiPriority w:val="99"/>
    <w:rsid w:val="00955A27"/>
    <w:rPr>
      <w:rFonts w:ascii="Times New Roman" w:eastAsia="Times New Roman" w:hAnsi="Times New Roman" w:cs="Times New Roman"/>
      <w:sz w:val="16"/>
      <w:szCs w:val="16"/>
      <w:lang w:eastAsia="pl-PL"/>
    </w:rPr>
  </w:style>
  <w:style w:type="paragraph" w:customStyle="1" w:styleId="Styl12ptWyjustowany">
    <w:name w:val="Styl 12 pt Wyjustowany"/>
    <w:basedOn w:val="Normalny"/>
    <w:rsid w:val="00955A27"/>
    <w:pPr>
      <w:spacing w:after="0" w:line="240" w:lineRule="auto"/>
      <w:jc w:val="both"/>
    </w:pPr>
    <w:rPr>
      <w:rFonts w:ascii="Times New Roman" w:eastAsia="Times New Roman" w:hAnsi="Times New Roman" w:cs="Times New Roman"/>
      <w:sz w:val="24"/>
      <w:szCs w:val="20"/>
      <w:lang w:eastAsia="pl-PL"/>
    </w:rPr>
  </w:style>
  <w:style w:type="paragraph" w:styleId="Wcicienormalne">
    <w:name w:val="Normal Indent"/>
    <w:basedOn w:val="Normalny"/>
    <w:rsid w:val="00955A27"/>
    <w:pPr>
      <w:spacing w:before="120" w:after="120" w:line="240" w:lineRule="auto"/>
      <w:ind w:left="720"/>
      <w:jc w:val="both"/>
    </w:pPr>
    <w:rPr>
      <w:rFonts w:ascii="Times New Roman" w:eastAsia="Times New Roman" w:hAnsi="Times New Roman" w:cs="Times New Roman"/>
      <w:sz w:val="24"/>
      <w:szCs w:val="20"/>
      <w:lang w:eastAsia="pl-PL"/>
    </w:rPr>
  </w:style>
  <w:style w:type="character" w:customStyle="1" w:styleId="value">
    <w:name w:val="value"/>
    <w:basedOn w:val="Domylnaczcionkaakapitu"/>
    <w:rsid w:val="00955A27"/>
  </w:style>
  <w:style w:type="paragraph" w:styleId="Tekstprzypisukocowego">
    <w:name w:val="endnote text"/>
    <w:basedOn w:val="Normalny"/>
    <w:link w:val="TekstprzypisukocowegoZnak"/>
    <w:rsid w:val="00955A27"/>
    <w:pPr>
      <w:overflowPunct w:val="0"/>
      <w:autoSpaceDE w:val="0"/>
      <w:autoSpaceDN w:val="0"/>
      <w:adjustRightInd w:val="0"/>
      <w:spacing w:after="0" w:line="240" w:lineRule="auto"/>
      <w:jc w:val="both"/>
      <w:textAlignment w:val="baseline"/>
    </w:pPr>
  </w:style>
  <w:style w:type="character" w:customStyle="1" w:styleId="TekstprzypisukocowegoZnak1">
    <w:name w:val="Tekst przypisu końcowego Znak1"/>
    <w:basedOn w:val="Domylnaczcionkaakapitu"/>
    <w:uiPriority w:val="99"/>
    <w:semiHidden/>
    <w:rsid w:val="00955A27"/>
    <w:rPr>
      <w:sz w:val="20"/>
      <w:szCs w:val="20"/>
    </w:rPr>
  </w:style>
  <w:style w:type="character" w:styleId="Odwoanieprzypisukocowego">
    <w:name w:val="endnote reference"/>
    <w:rsid w:val="00955A27"/>
    <w:rPr>
      <w:vertAlign w:val="superscript"/>
    </w:rPr>
  </w:style>
  <w:style w:type="character" w:customStyle="1" w:styleId="StandardowytekstZnak">
    <w:name w:val="Standardowy.tekst Znak"/>
    <w:link w:val="Standardowytekst0"/>
    <w:locked/>
    <w:rsid w:val="00955A27"/>
    <w:rPr>
      <w:rFonts w:ascii="Times New Roman" w:eastAsia="Times New Roman" w:hAnsi="Times New Roman" w:cs="Times New Roman"/>
      <w:sz w:val="20"/>
      <w:szCs w:val="20"/>
      <w:lang w:eastAsia="pl-PL"/>
    </w:rPr>
  </w:style>
  <w:style w:type="paragraph" w:customStyle="1" w:styleId="Litera">
    <w:name w:val="Litera"/>
    <w:basedOn w:val="Normalny"/>
    <w:next w:val="Normalny"/>
    <w:rsid w:val="00CC4443"/>
    <w:pPr>
      <w:numPr>
        <w:numId w:val="5"/>
      </w:numPr>
      <w:tabs>
        <w:tab w:val="left" w:pos="567"/>
        <w:tab w:val="left" w:pos="851"/>
        <w:tab w:val="left" w:pos="1134"/>
        <w:tab w:val="left" w:pos="1701"/>
        <w:tab w:val="left" w:pos="2268"/>
        <w:tab w:val="left" w:pos="2835"/>
        <w:tab w:val="left" w:pos="3402"/>
      </w:tabs>
      <w:spacing w:after="0" w:line="360" w:lineRule="exact"/>
      <w:jc w:val="both"/>
    </w:pPr>
    <w:rPr>
      <w:rFonts w:ascii="Times New Roman" w:eastAsia="Times New Roman" w:hAnsi="Times New Roman" w:cs="Times New Roman"/>
      <w:sz w:val="24"/>
      <w:szCs w:val="20"/>
      <w:lang w:val="en-US" w:eastAsia="pl-PL"/>
    </w:rPr>
  </w:style>
  <w:style w:type="paragraph" w:styleId="Listanumerowana2">
    <w:name w:val="List Number 2"/>
    <w:basedOn w:val="Normalny"/>
    <w:rsid w:val="00CC4443"/>
    <w:pPr>
      <w:numPr>
        <w:numId w:val="2"/>
      </w:numPr>
      <w:spacing w:after="0" w:line="240" w:lineRule="auto"/>
    </w:pPr>
    <w:rPr>
      <w:rFonts w:ascii="Times New Roman" w:eastAsia="Times New Roman" w:hAnsi="Times New Roman" w:cs="Times New Roman"/>
      <w:sz w:val="20"/>
      <w:szCs w:val="24"/>
      <w:lang w:eastAsia="pl-PL"/>
    </w:rPr>
  </w:style>
  <w:style w:type="paragraph" w:styleId="Listapunktowana3">
    <w:name w:val="List Bullet 3"/>
    <w:basedOn w:val="Normalny"/>
    <w:autoRedefine/>
    <w:rsid w:val="00CC4443"/>
    <w:pPr>
      <w:spacing w:after="0" w:line="240" w:lineRule="auto"/>
      <w:ind w:left="283" w:hanging="283"/>
    </w:pPr>
    <w:rPr>
      <w:rFonts w:ascii="Times New Roman" w:eastAsia="Times New Roman" w:hAnsi="Times New Roman" w:cs="Times New Roman"/>
      <w:sz w:val="20"/>
      <w:szCs w:val="24"/>
      <w:lang w:eastAsia="pl-PL"/>
    </w:rPr>
  </w:style>
  <w:style w:type="paragraph" w:customStyle="1" w:styleId="WW-Tekstpodstawowywcity2">
    <w:name w:val="WW-Tekst podstawowy wcięty 2"/>
    <w:basedOn w:val="Normalny"/>
    <w:rsid w:val="00CC4443"/>
    <w:pPr>
      <w:spacing w:before="115" w:after="0" w:line="240" w:lineRule="auto"/>
      <w:ind w:firstLine="708"/>
    </w:pPr>
    <w:rPr>
      <w:rFonts w:ascii="Times New Roman" w:eastAsia="Times New Roman" w:hAnsi="Times New Roman" w:cs="Times New Roman"/>
      <w:sz w:val="20"/>
      <w:szCs w:val="20"/>
      <w:lang w:eastAsia="pl-PL"/>
    </w:rPr>
  </w:style>
  <w:style w:type="paragraph" w:customStyle="1" w:styleId="tekst0">
    <w:name w:val="tekst"/>
    <w:basedOn w:val="Normalny"/>
    <w:rsid w:val="00CC4443"/>
    <w:pPr>
      <w:spacing w:after="0" w:line="300" w:lineRule="atLeast"/>
      <w:jc w:val="both"/>
    </w:pPr>
    <w:rPr>
      <w:rFonts w:ascii="Times New Roman" w:eastAsia="Times New Roman" w:hAnsi="Times New Roman" w:cs="Times New Roman"/>
      <w:sz w:val="20"/>
      <w:szCs w:val="20"/>
      <w:lang w:eastAsia="pl-PL"/>
    </w:rPr>
  </w:style>
  <w:style w:type="paragraph" w:customStyle="1" w:styleId="WW-Tekstpodstawowywcity3">
    <w:name w:val="WW-Tekst podstawowy wcięty 3"/>
    <w:basedOn w:val="Normalny"/>
    <w:rsid w:val="00CC4443"/>
    <w:pPr>
      <w:suppressAutoHyphens/>
      <w:spacing w:after="0" w:line="360" w:lineRule="auto"/>
    </w:pPr>
    <w:rPr>
      <w:rFonts w:ascii="Times New Roman" w:eastAsia="Times New Roman" w:hAnsi="Times New Roman" w:cs="Times New Roman"/>
      <w:szCs w:val="20"/>
      <w:lang w:eastAsia="pl-PL"/>
    </w:rPr>
  </w:style>
  <w:style w:type="paragraph" w:customStyle="1" w:styleId="Nagwekstrony">
    <w:name w:val="Nag?—wek strony"/>
    <w:basedOn w:val="Normalny"/>
    <w:rsid w:val="00CC4443"/>
    <w:pPr>
      <w:tabs>
        <w:tab w:val="center" w:pos="4153"/>
        <w:tab w:val="right" w:pos="8306"/>
      </w:tabs>
      <w:spacing w:after="0" w:line="240" w:lineRule="auto"/>
    </w:pPr>
    <w:rPr>
      <w:rFonts w:ascii="Times New Roman" w:eastAsia="Times New Roman" w:hAnsi="Times New Roman" w:cs="Times New Roman"/>
      <w:sz w:val="20"/>
      <w:szCs w:val="20"/>
      <w:lang w:val="en-GB" w:eastAsia="pl-PL"/>
    </w:rPr>
  </w:style>
  <w:style w:type="paragraph" w:styleId="NormalnyWeb">
    <w:name w:val="Normal (Web)"/>
    <w:basedOn w:val="Normalny"/>
    <w:rsid w:val="00CC4443"/>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andardowypodkrelony">
    <w:name w:val="Standardowy_podkreślony"/>
    <w:basedOn w:val="Normalny"/>
    <w:rsid w:val="00CC4443"/>
    <w:pPr>
      <w:tabs>
        <w:tab w:val="left" w:pos="851"/>
        <w:tab w:val="left" w:pos="1134"/>
        <w:tab w:val="left" w:pos="1701"/>
      </w:tabs>
      <w:spacing w:after="0" w:line="240" w:lineRule="auto"/>
      <w:jc w:val="both"/>
    </w:pPr>
    <w:rPr>
      <w:rFonts w:ascii="Times New Roman" w:eastAsia="Times New Roman" w:hAnsi="Times New Roman" w:cs="Times New Roman"/>
      <w:sz w:val="24"/>
      <w:szCs w:val="24"/>
      <w:u w:val="single"/>
      <w:lang w:eastAsia="pl-PL"/>
    </w:rPr>
  </w:style>
  <w:style w:type="paragraph" w:customStyle="1" w:styleId="Tekstpodstawowy22">
    <w:name w:val="Tekst podstawowy 22"/>
    <w:basedOn w:val="Normalny"/>
    <w:rsid w:val="00CC4443"/>
    <w:pPr>
      <w:overflowPunct w:val="0"/>
      <w:autoSpaceDE w:val="0"/>
      <w:autoSpaceDN w:val="0"/>
      <w:adjustRightInd w:val="0"/>
      <w:spacing w:after="0" w:line="240" w:lineRule="auto"/>
      <w:ind w:left="708"/>
    </w:pPr>
    <w:rPr>
      <w:rFonts w:ascii="Arial" w:eastAsia="Times New Roman" w:hAnsi="Arial" w:cs="Times New Roman"/>
      <w:sz w:val="24"/>
      <w:szCs w:val="20"/>
      <w:lang w:eastAsia="pl-PL"/>
    </w:rPr>
  </w:style>
  <w:style w:type="paragraph" w:customStyle="1" w:styleId="Rysunek">
    <w:name w:val="Rysunek"/>
    <w:basedOn w:val="Normalny"/>
    <w:next w:val="Tekstpodstawowy"/>
    <w:rsid w:val="00CC4443"/>
    <w:pPr>
      <w:keepLines/>
      <w:tabs>
        <w:tab w:val="left" w:pos="-720"/>
      </w:tabs>
      <w:suppressAutoHyphens/>
      <w:overflowPunct w:val="0"/>
      <w:autoSpaceDE w:val="0"/>
      <w:autoSpaceDN w:val="0"/>
      <w:adjustRightInd w:val="0"/>
      <w:spacing w:before="260" w:after="0" w:line="240" w:lineRule="auto"/>
      <w:jc w:val="center"/>
    </w:pPr>
    <w:rPr>
      <w:rFonts w:ascii="Times New Roman" w:eastAsia="Times New Roman" w:hAnsi="Times New Roman" w:cs="Times New Roman"/>
      <w:b/>
      <w:noProof/>
      <w:sz w:val="24"/>
      <w:szCs w:val="20"/>
      <w:lang w:eastAsia="pl-PL"/>
    </w:rPr>
  </w:style>
  <w:style w:type="paragraph" w:customStyle="1" w:styleId="Tekstpodstawowy33">
    <w:name w:val="Tekst podstawowy 33"/>
    <w:basedOn w:val="Normalny"/>
    <w:rsid w:val="00CC4443"/>
    <w:pPr>
      <w:widowControl w:val="0"/>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pl-PL"/>
    </w:rPr>
  </w:style>
  <w:style w:type="paragraph" w:customStyle="1" w:styleId="Wypunktowanie">
    <w:name w:val="Wypunktowanie"/>
    <w:basedOn w:val="Normalny"/>
    <w:rsid w:val="00CC4443"/>
    <w:pPr>
      <w:widowControl w:val="0"/>
      <w:tabs>
        <w:tab w:val="left" w:pos="708"/>
      </w:tabs>
      <w:overflowPunct w:val="0"/>
      <w:autoSpaceDE w:val="0"/>
      <w:autoSpaceDN w:val="0"/>
      <w:adjustRightInd w:val="0"/>
      <w:spacing w:after="0" w:line="240" w:lineRule="auto"/>
      <w:ind w:left="708" w:hanging="708"/>
    </w:pPr>
    <w:rPr>
      <w:rFonts w:ascii="Times New Roman" w:eastAsia="Times New Roman" w:hAnsi="Times New Roman" w:cs="Times New Roman"/>
      <w:sz w:val="24"/>
      <w:szCs w:val="20"/>
      <w:lang w:eastAsia="pl-PL"/>
    </w:rPr>
  </w:style>
  <w:style w:type="paragraph" w:customStyle="1" w:styleId="Tekstpodstawowywcity31">
    <w:name w:val="Tekst podstawowy wcięty 31"/>
    <w:basedOn w:val="Normalny"/>
    <w:rsid w:val="00CC4443"/>
    <w:pPr>
      <w:widowControl w:val="0"/>
      <w:overflowPunct w:val="0"/>
      <w:autoSpaceDE w:val="0"/>
      <w:autoSpaceDN w:val="0"/>
      <w:adjustRightInd w:val="0"/>
      <w:spacing w:after="0" w:line="240" w:lineRule="auto"/>
      <w:ind w:left="709"/>
      <w:jc w:val="both"/>
    </w:pPr>
    <w:rPr>
      <w:rFonts w:ascii="Arial" w:eastAsia="Times New Roman" w:hAnsi="Arial" w:cs="Times New Roman"/>
      <w:sz w:val="24"/>
      <w:szCs w:val="20"/>
      <w:lang w:eastAsia="pl-PL"/>
    </w:rPr>
  </w:style>
  <w:style w:type="paragraph" w:customStyle="1" w:styleId="Numerowanie">
    <w:name w:val="Numerowanie"/>
    <w:basedOn w:val="Tekstpodstawowy"/>
    <w:rsid w:val="00CC4443"/>
    <w:pPr>
      <w:widowControl w:val="0"/>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overflowPunct w:val="0"/>
      <w:autoSpaceDE w:val="0"/>
      <w:autoSpaceDN w:val="0"/>
      <w:adjustRightInd w:val="0"/>
      <w:spacing w:before="0" w:after="0" w:line="240" w:lineRule="auto"/>
      <w:jc w:val="center"/>
    </w:pPr>
    <w:rPr>
      <w:spacing w:val="0"/>
      <w:sz w:val="24"/>
      <w:lang w:val="fr-FR"/>
    </w:rPr>
  </w:style>
  <w:style w:type="paragraph" w:customStyle="1" w:styleId="Tablica">
    <w:name w:val="Tablica"/>
    <w:basedOn w:val="Normalny"/>
    <w:next w:val="Normalny"/>
    <w:rsid w:val="00CC4443"/>
    <w:pPr>
      <w:keepNext/>
      <w:keepLines/>
      <w:tabs>
        <w:tab w:val="left" w:pos="-720"/>
      </w:tabs>
      <w:suppressAutoHyphens/>
      <w:overflowPunct w:val="0"/>
      <w:autoSpaceDE w:val="0"/>
      <w:autoSpaceDN w:val="0"/>
      <w:adjustRightInd w:val="0"/>
      <w:spacing w:before="120" w:after="0" w:line="360" w:lineRule="auto"/>
      <w:jc w:val="center"/>
    </w:pPr>
    <w:rPr>
      <w:rFonts w:ascii="Times New Roman" w:eastAsia="Times New Roman" w:hAnsi="Times New Roman" w:cs="Times New Roman"/>
      <w:b/>
      <w:sz w:val="24"/>
      <w:szCs w:val="20"/>
      <w:lang w:eastAsia="pl-PL"/>
    </w:rPr>
  </w:style>
  <w:style w:type="paragraph" w:customStyle="1" w:styleId="Teksttablicy">
    <w:name w:val="Tekst tablicy"/>
    <w:basedOn w:val="Tekstpodstawowy"/>
    <w:next w:val="Tekstpodstawowy"/>
    <w:rsid w:val="00CC4443"/>
    <w:pPr>
      <w:keepLines/>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center"/>
    </w:pPr>
    <w:rPr>
      <w:rFonts w:ascii="Arial" w:hAnsi="Arial" w:cs="Arial"/>
      <w:bCs/>
      <w:spacing w:val="0"/>
      <w:sz w:val="24"/>
      <w:lang w:val="fr-FR"/>
    </w:rPr>
  </w:style>
  <w:style w:type="paragraph" w:customStyle="1" w:styleId="Style182">
    <w:name w:val="Style182"/>
    <w:basedOn w:val="Normalny"/>
    <w:rsid w:val="00CC4443"/>
    <w:pPr>
      <w:widowControl w:val="0"/>
      <w:autoSpaceDE w:val="0"/>
      <w:autoSpaceDN w:val="0"/>
      <w:adjustRightInd w:val="0"/>
      <w:spacing w:after="0" w:line="230" w:lineRule="exact"/>
      <w:jc w:val="both"/>
    </w:pPr>
    <w:rPr>
      <w:rFonts w:ascii="Calibri" w:eastAsia="Times New Roman" w:hAnsi="Calibri" w:cs="Times New Roman"/>
      <w:sz w:val="24"/>
      <w:szCs w:val="24"/>
      <w:lang w:eastAsia="pl-PL"/>
    </w:rPr>
  </w:style>
  <w:style w:type="character" w:customStyle="1" w:styleId="FontStyle217">
    <w:name w:val="Font Style217"/>
    <w:rsid w:val="00CC4443"/>
    <w:rPr>
      <w:rFonts w:ascii="Arial" w:hAnsi="Arial" w:cs="Arial"/>
      <w:b/>
      <w:bCs/>
      <w:color w:val="000000"/>
      <w:sz w:val="20"/>
      <w:szCs w:val="20"/>
    </w:rPr>
  </w:style>
  <w:style w:type="character" w:customStyle="1" w:styleId="FontStyle218">
    <w:name w:val="Font Style218"/>
    <w:rsid w:val="00CC4443"/>
    <w:rPr>
      <w:rFonts w:ascii="Arial" w:hAnsi="Arial" w:cs="Arial"/>
      <w:color w:val="000000"/>
      <w:sz w:val="20"/>
      <w:szCs w:val="20"/>
    </w:rPr>
  </w:style>
  <w:style w:type="character" w:customStyle="1" w:styleId="FontStyle234">
    <w:name w:val="Font Style234"/>
    <w:rsid w:val="00CC4443"/>
    <w:rPr>
      <w:rFonts w:ascii="Arial" w:hAnsi="Arial" w:cs="Arial"/>
      <w:b/>
      <w:bCs/>
      <w:i/>
      <w:iCs/>
      <w:color w:val="000000"/>
      <w:sz w:val="20"/>
      <w:szCs w:val="20"/>
    </w:rPr>
  </w:style>
  <w:style w:type="paragraph" w:customStyle="1" w:styleId="Style192">
    <w:name w:val="Style192"/>
    <w:basedOn w:val="Normalny"/>
    <w:rsid w:val="00CC4443"/>
    <w:pPr>
      <w:widowControl w:val="0"/>
      <w:autoSpaceDE w:val="0"/>
      <w:autoSpaceDN w:val="0"/>
      <w:adjustRightInd w:val="0"/>
      <w:spacing w:after="0" w:line="235" w:lineRule="exact"/>
      <w:ind w:hanging="278"/>
      <w:jc w:val="both"/>
    </w:pPr>
    <w:rPr>
      <w:rFonts w:ascii="Calibri" w:eastAsia="Times New Roman" w:hAnsi="Calibri" w:cs="Times New Roman"/>
      <w:sz w:val="24"/>
      <w:szCs w:val="24"/>
      <w:lang w:eastAsia="pl-PL"/>
    </w:rPr>
  </w:style>
  <w:style w:type="paragraph" w:customStyle="1" w:styleId="Style16">
    <w:name w:val="Style16"/>
    <w:basedOn w:val="Normalny"/>
    <w:rsid w:val="00CC4443"/>
    <w:pPr>
      <w:widowControl w:val="0"/>
      <w:autoSpaceDE w:val="0"/>
      <w:autoSpaceDN w:val="0"/>
      <w:adjustRightInd w:val="0"/>
      <w:spacing w:after="0" w:line="235" w:lineRule="exact"/>
    </w:pPr>
    <w:rPr>
      <w:rFonts w:ascii="Calibri" w:eastAsia="Times New Roman" w:hAnsi="Calibri" w:cs="Times New Roman"/>
      <w:sz w:val="24"/>
      <w:szCs w:val="24"/>
      <w:lang w:eastAsia="pl-PL"/>
    </w:rPr>
  </w:style>
  <w:style w:type="paragraph" w:customStyle="1" w:styleId="Style58">
    <w:name w:val="Style58"/>
    <w:basedOn w:val="Normalny"/>
    <w:rsid w:val="00CC4443"/>
    <w:pPr>
      <w:widowControl w:val="0"/>
      <w:autoSpaceDE w:val="0"/>
      <w:autoSpaceDN w:val="0"/>
      <w:adjustRightInd w:val="0"/>
      <w:spacing w:after="0" w:line="480" w:lineRule="exact"/>
    </w:pPr>
    <w:rPr>
      <w:rFonts w:ascii="Calibri" w:eastAsia="Times New Roman" w:hAnsi="Calibri" w:cs="Times New Roman"/>
      <w:sz w:val="24"/>
      <w:szCs w:val="24"/>
      <w:lang w:eastAsia="pl-PL"/>
    </w:rPr>
  </w:style>
  <w:style w:type="paragraph" w:customStyle="1" w:styleId="Style189">
    <w:name w:val="Style189"/>
    <w:basedOn w:val="Normalny"/>
    <w:rsid w:val="00CC4443"/>
    <w:pPr>
      <w:widowControl w:val="0"/>
      <w:autoSpaceDE w:val="0"/>
      <w:autoSpaceDN w:val="0"/>
      <w:adjustRightInd w:val="0"/>
      <w:spacing w:after="0" w:line="228" w:lineRule="exact"/>
      <w:ind w:hanging="360"/>
      <w:jc w:val="both"/>
    </w:pPr>
    <w:rPr>
      <w:rFonts w:ascii="Calibri" w:eastAsia="Times New Roman" w:hAnsi="Calibri" w:cs="Times New Roman"/>
      <w:sz w:val="24"/>
      <w:szCs w:val="24"/>
      <w:lang w:eastAsia="pl-PL"/>
    </w:rPr>
  </w:style>
  <w:style w:type="paragraph" w:customStyle="1" w:styleId="Style185">
    <w:name w:val="Style185"/>
    <w:basedOn w:val="Normalny"/>
    <w:rsid w:val="00CC4443"/>
    <w:pPr>
      <w:widowControl w:val="0"/>
      <w:autoSpaceDE w:val="0"/>
      <w:autoSpaceDN w:val="0"/>
      <w:adjustRightInd w:val="0"/>
      <w:spacing w:after="0" w:line="240" w:lineRule="auto"/>
    </w:pPr>
    <w:rPr>
      <w:rFonts w:ascii="Calibri" w:eastAsia="Times New Roman" w:hAnsi="Calibri" w:cs="Times New Roman"/>
      <w:sz w:val="24"/>
      <w:szCs w:val="24"/>
      <w:lang w:eastAsia="pl-PL"/>
    </w:rPr>
  </w:style>
  <w:style w:type="paragraph" w:customStyle="1" w:styleId="Style92">
    <w:name w:val="Style92"/>
    <w:basedOn w:val="Normalny"/>
    <w:rsid w:val="00CC4443"/>
    <w:pPr>
      <w:widowControl w:val="0"/>
      <w:autoSpaceDE w:val="0"/>
      <w:autoSpaceDN w:val="0"/>
      <w:adjustRightInd w:val="0"/>
      <w:spacing w:after="0" w:line="230" w:lineRule="exact"/>
      <w:jc w:val="both"/>
    </w:pPr>
    <w:rPr>
      <w:rFonts w:ascii="Calibri" w:eastAsia="Times New Roman" w:hAnsi="Calibri" w:cs="Times New Roman"/>
      <w:sz w:val="24"/>
      <w:szCs w:val="24"/>
      <w:lang w:eastAsia="pl-PL"/>
    </w:rPr>
  </w:style>
  <w:style w:type="character" w:customStyle="1" w:styleId="ListapunktowanaZnak">
    <w:name w:val="Lista punktowana Znak"/>
    <w:link w:val="Listapunktowana"/>
    <w:uiPriority w:val="99"/>
    <w:rsid w:val="00CC4443"/>
    <w:rPr>
      <w:rFonts w:ascii="Times New Roman" w:eastAsia="Times New Roman" w:hAnsi="Times New Roman" w:cs="Times New Roman"/>
      <w:sz w:val="24"/>
      <w:szCs w:val="20"/>
      <w:lang w:eastAsia="pl-PL"/>
    </w:rPr>
  </w:style>
  <w:style w:type="character" w:customStyle="1" w:styleId="watch-title">
    <w:name w:val="watch-title"/>
    <w:rsid w:val="00CC4443"/>
  </w:style>
  <w:style w:type="paragraph" w:customStyle="1" w:styleId="NRSPECYFIKACJI">
    <w:name w:val="NR SPECYFIKACJI"/>
    <w:basedOn w:val="Normalny"/>
    <w:link w:val="NRSPECYFIKACJIZnak"/>
    <w:rsid w:val="00CC4443"/>
    <w:pPr>
      <w:tabs>
        <w:tab w:val="left" w:pos="2268"/>
      </w:tabs>
      <w:spacing w:before="400" w:after="400" w:line="240" w:lineRule="auto"/>
      <w:ind w:left="2268" w:hanging="2268"/>
      <w:jc w:val="both"/>
      <w:outlineLvl w:val="0"/>
    </w:pPr>
    <w:rPr>
      <w:rFonts w:ascii="Times New Roman" w:eastAsia="Times New Roman" w:hAnsi="Times New Roman" w:cs="Times New Roman"/>
      <w:b/>
      <w:caps/>
      <w:sz w:val="24"/>
      <w:szCs w:val="24"/>
      <w:lang w:eastAsia="pl-PL"/>
    </w:rPr>
  </w:style>
  <w:style w:type="character" w:customStyle="1" w:styleId="NRSPECYFIKACJIZnak">
    <w:name w:val="NR SPECYFIKACJI Znak"/>
    <w:link w:val="NRSPECYFIKACJI"/>
    <w:rsid w:val="00CC4443"/>
    <w:rPr>
      <w:rFonts w:ascii="Times New Roman" w:eastAsia="Times New Roman" w:hAnsi="Times New Roman" w:cs="Times New Roman"/>
      <w:b/>
      <w:caps/>
      <w:sz w:val="24"/>
      <w:szCs w:val="24"/>
      <w:lang w:eastAsia="pl-PL"/>
    </w:rPr>
  </w:style>
  <w:style w:type="paragraph" w:customStyle="1" w:styleId="Bullet1points">
    <w:name w:val="Bullet 1 points"/>
    <w:basedOn w:val="Normalny"/>
    <w:rsid w:val="00CC4443"/>
    <w:pPr>
      <w:tabs>
        <w:tab w:val="num" w:pos="360"/>
      </w:tabs>
      <w:overflowPunct w:val="0"/>
      <w:autoSpaceDE w:val="0"/>
      <w:autoSpaceDN w:val="0"/>
      <w:adjustRightInd w:val="0"/>
      <w:spacing w:before="60" w:after="60" w:line="240" w:lineRule="auto"/>
      <w:ind w:left="360" w:hanging="360"/>
      <w:jc w:val="both"/>
      <w:textAlignment w:val="baseline"/>
    </w:pPr>
    <w:rPr>
      <w:rFonts w:ascii="Times New Roman" w:eastAsia="Times New Roman" w:hAnsi="Times New Roman" w:cs="Times New Roman"/>
      <w:sz w:val="20"/>
      <w:szCs w:val="20"/>
      <w:lang w:eastAsia="pl-PL"/>
    </w:rPr>
  </w:style>
  <w:style w:type="paragraph" w:customStyle="1" w:styleId="Kreska">
    <w:name w:val="Kreska"/>
    <w:basedOn w:val="Normalny"/>
    <w:rsid w:val="00CC4443"/>
    <w:pPr>
      <w:overflowPunct w:val="0"/>
      <w:autoSpaceDE w:val="0"/>
      <w:autoSpaceDN w:val="0"/>
      <w:adjustRightInd w:val="0"/>
      <w:spacing w:before="120" w:after="0" w:line="240" w:lineRule="auto"/>
      <w:ind w:left="284" w:hanging="284"/>
      <w:jc w:val="both"/>
      <w:textAlignment w:val="baseline"/>
    </w:pPr>
    <w:rPr>
      <w:rFonts w:ascii="Times New Roman" w:eastAsia="Times New Roman" w:hAnsi="Times New Roman" w:cs="Times New Roman"/>
      <w:sz w:val="24"/>
      <w:szCs w:val="24"/>
      <w:lang w:eastAsia="pl-PL"/>
    </w:rPr>
  </w:style>
  <w:style w:type="character" w:customStyle="1" w:styleId="Tekstpodstawowy3Znak1">
    <w:name w:val="Tekst podstawowy 3 Znak1"/>
    <w:uiPriority w:val="99"/>
    <w:semiHidden/>
    <w:rsid w:val="00CC4443"/>
    <w:rPr>
      <w:rFonts w:ascii="Times New Roman" w:eastAsia="Times New Roman" w:hAnsi="Times New Roman" w:cs="Times New Roman"/>
      <w:sz w:val="16"/>
      <w:szCs w:val="16"/>
      <w:lang w:eastAsia="pl-PL"/>
    </w:rPr>
  </w:style>
  <w:style w:type="paragraph" w:customStyle="1" w:styleId="Wcicie">
    <w:name w:val="Wcięcie"/>
    <w:basedOn w:val="Normalny"/>
    <w:rsid w:val="00CC4443"/>
    <w:pPr>
      <w:spacing w:before="200" w:after="100" w:line="240" w:lineRule="auto"/>
      <w:ind w:left="709"/>
      <w:jc w:val="both"/>
    </w:pPr>
    <w:rPr>
      <w:rFonts w:ascii="Times New Roman" w:eastAsia="Times New Roman" w:hAnsi="Times New Roman" w:cs="Times New Roman"/>
      <w:sz w:val="20"/>
      <w:szCs w:val="20"/>
      <w:lang w:eastAsia="pl-PL"/>
    </w:rPr>
  </w:style>
  <w:style w:type="character" w:customStyle="1" w:styleId="MapadokumentuZnak">
    <w:name w:val="Mapa dokumentu Znak"/>
    <w:link w:val="Mapadokumentu"/>
    <w:semiHidden/>
    <w:rsid w:val="00CC4443"/>
    <w:rPr>
      <w:rFonts w:ascii="Tahoma" w:eastAsia="Times New Roman" w:hAnsi="Tahoma" w:cs="Tahoma"/>
      <w:shd w:val="clear" w:color="auto" w:fill="000080"/>
    </w:rPr>
  </w:style>
  <w:style w:type="paragraph" w:styleId="Mapadokumentu">
    <w:name w:val="Document Map"/>
    <w:basedOn w:val="Normalny"/>
    <w:link w:val="MapadokumentuZnak"/>
    <w:semiHidden/>
    <w:rsid w:val="00CC4443"/>
    <w:pPr>
      <w:shd w:val="clear" w:color="auto" w:fill="000080"/>
      <w:spacing w:before="100" w:after="0" w:line="240" w:lineRule="auto"/>
      <w:jc w:val="both"/>
    </w:pPr>
    <w:rPr>
      <w:rFonts w:ascii="Tahoma" w:eastAsia="Times New Roman" w:hAnsi="Tahoma" w:cs="Tahoma"/>
    </w:rPr>
  </w:style>
  <w:style w:type="character" w:customStyle="1" w:styleId="MapadokumentuZnak1">
    <w:name w:val="Mapa dokumentu Znak1"/>
    <w:basedOn w:val="Domylnaczcionkaakapitu"/>
    <w:uiPriority w:val="99"/>
    <w:semiHidden/>
    <w:rsid w:val="00CC4443"/>
    <w:rPr>
      <w:rFonts w:ascii="Segoe UI" w:hAnsi="Segoe UI" w:cs="Segoe UI"/>
      <w:sz w:val="16"/>
      <w:szCs w:val="16"/>
    </w:rPr>
  </w:style>
  <w:style w:type="paragraph" w:customStyle="1" w:styleId="Wysuniecie3cm">
    <w:name w:val="Wysuniecie 3cm"/>
    <w:basedOn w:val="Normalny"/>
    <w:rsid w:val="00CC4443"/>
    <w:pPr>
      <w:tabs>
        <w:tab w:val="left" w:pos="1701"/>
      </w:tabs>
      <w:spacing w:before="100" w:after="0" w:line="240" w:lineRule="auto"/>
      <w:ind w:left="1701" w:hanging="1701"/>
      <w:jc w:val="both"/>
    </w:pPr>
    <w:rPr>
      <w:rFonts w:ascii="Times New Roman" w:eastAsia="Times New Roman" w:hAnsi="Times New Roman" w:cs="Times New Roman"/>
      <w:sz w:val="20"/>
      <w:szCs w:val="24"/>
      <w:lang w:eastAsia="pl-PL"/>
    </w:rPr>
  </w:style>
  <w:style w:type="paragraph" w:customStyle="1" w:styleId="NRGRUPYSST">
    <w:name w:val="NR GRUPY SST"/>
    <w:basedOn w:val="NRSPECYFIKACJI"/>
    <w:rsid w:val="00CC4443"/>
  </w:style>
  <w:style w:type="paragraph" w:customStyle="1" w:styleId="Wysuniecie4cm">
    <w:name w:val="Wysuniecie 4cm"/>
    <w:basedOn w:val="Normalny"/>
    <w:rsid w:val="00CC4443"/>
    <w:pPr>
      <w:tabs>
        <w:tab w:val="left" w:pos="2835"/>
      </w:tabs>
      <w:spacing w:before="100" w:after="100" w:line="240" w:lineRule="auto"/>
      <w:ind w:left="2835" w:hanging="2835"/>
      <w:jc w:val="both"/>
    </w:pPr>
    <w:rPr>
      <w:rFonts w:ascii="Times New Roman" w:eastAsia="Times New Roman" w:hAnsi="Times New Roman" w:cs="Times New Roman"/>
      <w:sz w:val="20"/>
      <w:szCs w:val="24"/>
      <w:lang w:eastAsia="pl-PL"/>
    </w:rPr>
  </w:style>
  <w:style w:type="paragraph" w:customStyle="1" w:styleId="Normalny1">
    <w:name w:val="Normalny1"/>
    <w:rsid w:val="00CC4443"/>
    <w:pPr>
      <w:spacing w:after="0" w:line="240" w:lineRule="auto"/>
      <w:jc w:val="both"/>
    </w:pPr>
    <w:rPr>
      <w:rFonts w:ascii="Arial" w:eastAsia="Times New Roman" w:hAnsi="Arial" w:cs="Times New Roman"/>
      <w:iCs/>
      <w:szCs w:val="24"/>
      <w:lang w:eastAsia="pl-PL"/>
    </w:rPr>
  </w:style>
  <w:style w:type="paragraph" w:customStyle="1" w:styleId="msonormal0">
    <w:name w:val="msonormal"/>
    <w:basedOn w:val="Normalny"/>
    <w:rsid w:val="00CC4443"/>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LegendaZnak">
    <w:name w:val="Legenda Znak"/>
    <w:link w:val="Legenda"/>
    <w:locked/>
    <w:rsid w:val="00CC4443"/>
    <w:rPr>
      <w:rFonts w:cs="Calibri"/>
      <w:iCs/>
    </w:rPr>
  </w:style>
  <w:style w:type="paragraph" w:styleId="Legenda">
    <w:name w:val="caption"/>
    <w:basedOn w:val="Normalny"/>
    <w:next w:val="Normalny"/>
    <w:link w:val="LegendaZnak"/>
    <w:unhideWhenUsed/>
    <w:qFormat/>
    <w:rsid w:val="00CC4443"/>
    <w:pPr>
      <w:spacing w:after="0" w:line="240" w:lineRule="auto"/>
      <w:ind w:firstLine="567"/>
      <w:jc w:val="center"/>
    </w:pPr>
    <w:rPr>
      <w:rFonts w:cs="Calibri"/>
      <w:iCs/>
    </w:rPr>
  </w:style>
  <w:style w:type="paragraph" w:styleId="Nagwekspisutreci">
    <w:name w:val="TOC Heading"/>
    <w:basedOn w:val="Nagwek1"/>
    <w:next w:val="Normalny"/>
    <w:uiPriority w:val="39"/>
    <w:unhideWhenUsed/>
    <w:qFormat/>
    <w:rsid w:val="00CC4443"/>
    <w:pPr>
      <w:keepLines/>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after="0" w:line="256" w:lineRule="auto"/>
      <w:outlineLvl w:val="9"/>
    </w:pPr>
    <w:rPr>
      <w:rFonts w:ascii="Calibri Light" w:hAnsi="Calibri Light"/>
      <w:b w:val="0"/>
      <w:caps w:val="0"/>
      <w:color w:val="2F5496"/>
      <w:spacing w:val="0"/>
      <w:kern w:val="0"/>
      <w:sz w:val="32"/>
      <w:szCs w:val="32"/>
      <w:lang w:val="pl-PL"/>
    </w:rPr>
  </w:style>
  <w:style w:type="character" w:styleId="Odwoaniedokomentarza">
    <w:name w:val="annotation reference"/>
    <w:unhideWhenUsed/>
    <w:rsid w:val="00CC4443"/>
    <w:rPr>
      <w:sz w:val="16"/>
      <w:szCs w:val="16"/>
    </w:rPr>
  </w:style>
  <w:style w:type="paragraph" w:customStyle="1" w:styleId="sstnromalny">
    <w:name w:val="sst nromalny"/>
    <w:basedOn w:val="Normalny"/>
    <w:link w:val="sstnromalnyZnak"/>
    <w:semiHidden/>
    <w:rsid w:val="00CC4443"/>
    <w:pPr>
      <w:keepLines/>
      <w:spacing w:after="0" w:line="240" w:lineRule="auto"/>
      <w:ind w:firstLine="709"/>
      <w:jc w:val="both"/>
    </w:pPr>
    <w:rPr>
      <w:rFonts w:ascii="Times New Roman" w:eastAsia="Times New Roman" w:hAnsi="Times New Roman" w:cs="Times New Roman"/>
      <w:sz w:val="20"/>
      <w:szCs w:val="20"/>
      <w:lang w:eastAsia="pl-PL"/>
    </w:rPr>
  </w:style>
  <w:style w:type="character" w:customStyle="1" w:styleId="sstnromalnyZnak">
    <w:name w:val="sst nromalny Znak"/>
    <w:link w:val="sstnromalny"/>
    <w:semiHidden/>
    <w:rsid w:val="00CC4443"/>
    <w:rPr>
      <w:rFonts w:ascii="Times New Roman" w:eastAsia="Times New Roman" w:hAnsi="Times New Roman" w:cs="Times New Roman"/>
      <w:sz w:val="20"/>
      <w:szCs w:val="20"/>
      <w:lang w:eastAsia="pl-PL"/>
    </w:rPr>
  </w:style>
  <w:style w:type="character" w:customStyle="1" w:styleId="highlighted-search-term">
    <w:name w:val="highlighted-search-term"/>
    <w:rsid w:val="00CC4443"/>
  </w:style>
  <w:style w:type="character" w:customStyle="1" w:styleId="search-result-value">
    <w:name w:val="search-result-value"/>
    <w:rsid w:val="00CC4443"/>
  </w:style>
  <w:style w:type="paragraph" w:customStyle="1" w:styleId="Normy">
    <w:name w:val="Normy"/>
    <w:basedOn w:val="Normalny"/>
    <w:rsid w:val="00CC4443"/>
    <w:pPr>
      <w:tabs>
        <w:tab w:val="left" w:pos="2126"/>
        <w:tab w:val="left" w:pos="2552"/>
        <w:tab w:val="left" w:pos="3402"/>
        <w:tab w:val="left" w:pos="6804"/>
        <w:tab w:val="left" w:pos="7655"/>
        <w:tab w:val="left" w:pos="8505"/>
      </w:tabs>
      <w:spacing w:after="180" w:line="240" w:lineRule="auto"/>
      <w:ind w:left="2126" w:hanging="2126"/>
      <w:jc w:val="both"/>
    </w:pPr>
    <w:rPr>
      <w:rFonts w:ascii="Times New Roman" w:eastAsia="Times New Roman" w:hAnsi="Times New Roman" w:cs="Times New Roman"/>
      <w:sz w:val="24"/>
      <w:szCs w:val="24"/>
      <w:lang w:eastAsia="pl-PL"/>
    </w:rPr>
  </w:style>
  <w:style w:type="paragraph" w:customStyle="1" w:styleId="Tekstpodstawowywcity9">
    <w:name w:val="Tekst podstawowy wcięty 9"/>
    <w:basedOn w:val="Tekstpodstawowywcity"/>
    <w:rsid w:val="00CC4443"/>
    <w:pPr>
      <w:tabs>
        <w:tab w:val="clear" w:pos="-1725"/>
        <w:tab w:val="clear" w:pos="-1440"/>
        <w:tab w:val="clear" w:pos="-1005"/>
        <w:tab w:val="clear" w:pos="-720"/>
        <w:tab w:val="clear" w:pos="-285"/>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425"/>
        <w:tab w:val="left" w:pos="1276"/>
        <w:tab w:val="left" w:pos="1700"/>
        <w:tab w:val="left" w:pos="2126"/>
        <w:tab w:val="left" w:pos="2552"/>
        <w:tab w:val="left" w:pos="6804"/>
        <w:tab w:val="left" w:pos="7655"/>
        <w:tab w:val="left" w:pos="8505"/>
      </w:tabs>
      <w:spacing w:before="0" w:after="180" w:line="240" w:lineRule="auto"/>
      <w:ind w:left="0" w:firstLine="340"/>
    </w:pPr>
    <w:rPr>
      <w:spacing w:val="0"/>
      <w:sz w:val="24"/>
    </w:rPr>
  </w:style>
  <w:style w:type="paragraph" w:customStyle="1" w:styleId="punkt">
    <w:name w:val="punkt"/>
    <w:basedOn w:val="Normalny"/>
    <w:rsid w:val="00CC4443"/>
    <w:pPr>
      <w:keepNext/>
      <w:tabs>
        <w:tab w:val="left" w:pos="425"/>
        <w:tab w:val="left" w:pos="851"/>
        <w:tab w:val="left" w:pos="1276"/>
        <w:tab w:val="left" w:pos="1701"/>
        <w:tab w:val="left" w:pos="2126"/>
        <w:tab w:val="left" w:pos="2552"/>
        <w:tab w:val="left" w:pos="3402"/>
        <w:tab w:val="left" w:pos="6804"/>
        <w:tab w:val="left" w:pos="7655"/>
        <w:tab w:val="left" w:pos="8505"/>
      </w:tabs>
      <w:spacing w:before="240" w:after="240" w:line="240" w:lineRule="auto"/>
      <w:jc w:val="both"/>
    </w:pPr>
    <w:rPr>
      <w:rFonts w:ascii="Times New Roman" w:eastAsia="Times New Roman" w:hAnsi="Times New Roman" w:cs="Times New Roman"/>
      <w:b/>
      <w:sz w:val="28"/>
      <w:szCs w:val="24"/>
      <w:lang w:eastAsia="pl-PL"/>
    </w:rPr>
  </w:style>
  <w:style w:type="character" w:customStyle="1" w:styleId="STxSTZnak">
    <w:name w:val="S Tx ST Znak"/>
    <w:link w:val="STxST"/>
    <w:locked/>
    <w:rsid w:val="00CC4443"/>
    <w:rPr>
      <w:sz w:val="18"/>
      <w:szCs w:val="18"/>
    </w:rPr>
  </w:style>
  <w:style w:type="paragraph" w:customStyle="1" w:styleId="STxST">
    <w:name w:val="S Tx ST"/>
    <w:link w:val="STxSTZnak"/>
    <w:rsid w:val="00CC4443"/>
    <w:pPr>
      <w:spacing w:after="0" w:line="240" w:lineRule="auto"/>
      <w:ind w:firstLine="454"/>
      <w:jc w:val="both"/>
    </w:pPr>
    <w:rPr>
      <w:sz w:val="18"/>
      <w:szCs w:val="18"/>
    </w:rPr>
  </w:style>
  <w:style w:type="paragraph" w:customStyle="1" w:styleId="Styl1">
    <w:name w:val="Styl 1"/>
    <w:basedOn w:val="Normalny"/>
    <w:next w:val="Normalny"/>
    <w:qFormat/>
    <w:rsid w:val="00CC4443"/>
    <w:pPr>
      <w:numPr>
        <w:numId w:val="79"/>
      </w:numPr>
      <w:spacing w:before="240" w:after="0" w:line="360" w:lineRule="auto"/>
      <w:jc w:val="both"/>
      <w:outlineLvl w:val="1"/>
    </w:pPr>
    <w:rPr>
      <w:rFonts w:ascii="Arial Narrow" w:eastAsia="Times New Roman" w:hAnsi="Arial Narrow" w:cs="Times New Roman"/>
      <w:b/>
      <w:sz w:val="28"/>
      <w:szCs w:val="20"/>
      <w:lang w:eastAsia="pl-PL"/>
    </w:rPr>
  </w:style>
  <w:style w:type="paragraph" w:customStyle="1" w:styleId="Styl2">
    <w:name w:val="Styl 2"/>
    <w:basedOn w:val="Styl1"/>
    <w:link w:val="Styl2Znak"/>
    <w:qFormat/>
    <w:rsid w:val="00CC4443"/>
    <w:pPr>
      <w:numPr>
        <w:ilvl w:val="1"/>
      </w:numPr>
      <w:spacing w:before="120"/>
    </w:pPr>
    <w:rPr>
      <w:sz w:val="20"/>
    </w:rPr>
  </w:style>
  <w:style w:type="character" w:customStyle="1" w:styleId="Styl2Znak">
    <w:name w:val="Styl 2 Znak"/>
    <w:link w:val="Styl2"/>
    <w:locked/>
    <w:rsid w:val="00CC4443"/>
    <w:rPr>
      <w:rFonts w:ascii="Arial Narrow" w:eastAsia="Times New Roman" w:hAnsi="Arial Narrow" w:cs="Times New Roman"/>
      <w:b/>
      <w:sz w:val="20"/>
      <w:szCs w:val="20"/>
      <w:lang w:eastAsia="pl-PL"/>
    </w:rPr>
  </w:style>
  <w:style w:type="character" w:customStyle="1" w:styleId="Styl3Znak">
    <w:name w:val="Styl3 Znak"/>
    <w:link w:val="Styl3"/>
    <w:locked/>
    <w:rsid w:val="00CC4443"/>
    <w:rPr>
      <w:rFonts w:ascii="Arial Narrow" w:hAnsi="Arial Narrow"/>
      <w:b/>
    </w:rPr>
  </w:style>
  <w:style w:type="paragraph" w:customStyle="1" w:styleId="Styl3">
    <w:name w:val="Styl3"/>
    <w:basedOn w:val="Styl2"/>
    <w:link w:val="Styl3Znak"/>
    <w:qFormat/>
    <w:rsid w:val="00CC4443"/>
    <w:pPr>
      <w:numPr>
        <w:ilvl w:val="0"/>
        <w:numId w:val="0"/>
      </w:numPr>
      <w:ind w:left="1800" w:hanging="360"/>
    </w:pPr>
    <w:rPr>
      <w:rFonts w:eastAsiaTheme="minorHAnsi" w:cstheme="minorBidi"/>
      <w:sz w:val="22"/>
      <w:szCs w:val="22"/>
      <w:lang w:eastAsia="en-US"/>
    </w:rPr>
  </w:style>
  <w:style w:type="paragraph" w:customStyle="1" w:styleId="paragraf">
    <w:name w:val="paragraf"/>
    <w:basedOn w:val="Normalny"/>
    <w:rsid w:val="00CC4443"/>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ind w:firstLine="340"/>
      <w:jc w:val="both"/>
    </w:pPr>
    <w:rPr>
      <w:rFonts w:ascii="Times New Roman" w:eastAsia="Times New Roman" w:hAnsi="Times New Roman" w:cs="Times New Roman"/>
      <w:sz w:val="24"/>
      <w:szCs w:val="24"/>
      <w:lang w:eastAsia="pl-PL"/>
    </w:rPr>
  </w:style>
  <w:style w:type="paragraph" w:customStyle="1" w:styleId="podpunkt">
    <w:name w:val="podpunkt"/>
    <w:basedOn w:val="Normalny"/>
    <w:rsid w:val="00CC4443"/>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b/>
      <w:sz w:val="24"/>
      <w:szCs w:val="24"/>
      <w:lang w:eastAsia="pl-PL"/>
    </w:rPr>
  </w:style>
  <w:style w:type="paragraph" w:customStyle="1" w:styleId="wierszzw9p">
    <w:name w:val="wiersz zw_9p"/>
    <w:basedOn w:val="Normalny"/>
    <w:rsid w:val="00CC4443"/>
    <w:pPr>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sz w:val="24"/>
      <w:szCs w:val="24"/>
      <w:lang w:eastAsia="pl-PL"/>
    </w:rPr>
  </w:style>
  <w:style w:type="paragraph" w:customStyle="1" w:styleId="Tekstpodstawowywcity9p9">
    <w:name w:val="Tekst podstawowy wcięty 9p9"/>
    <w:basedOn w:val="Tekstpodstawowywcity"/>
    <w:rsid w:val="00CC4443"/>
    <w:pPr>
      <w:tabs>
        <w:tab w:val="clear" w:pos="-1725"/>
        <w:tab w:val="clear" w:pos="-1440"/>
        <w:tab w:val="clear" w:pos="-1005"/>
        <w:tab w:val="clear" w:pos="-720"/>
        <w:tab w:val="clear" w:pos="-285"/>
        <w:tab w:val="clear" w:pos="284"/>
        <w:tab w:val="clear" w:pos="435"/>
        <w:tab w:val="clear" w:pos="567"/>
        <w:tab w:val="clear" w:pos="1155"/>
        <w:tab w:val="clear" w:pos="1299"/>
        <w:tab w:val="clear" w:pos="1701"/>
        <w:tab w:val="clear" w:pos="1875"/>
        <w:tab w:val="clear" w:pos="2268"/>
        <w:tab w:val="clear" w:pos="2595"/>
        <w:tab w:val="clear" w:pos="283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 w:val="left" w:pos="425"/>
        <w:tab w:val="left" w:pos="1276"/>
        <w:tab w:val="left" w:pos="1700"/>
        <w:tab w:val="left" w:pos="2126"/>
        <w:tab w:val="left" w:pos="2552"/>
        <w:tab w:val="left" w:pos="6804"/>
        <w:tab w:val="left" w:pos="7655"/>
        <w:tab w:val="left" w:pos="8505"/>
      </w:tabs>
      <w:spacing w:before="180" w:after="180" w:line="240" w:lineRule="auto"/>
      <w:ind w:left="0" w:firstLine="340"/>
    </w:pPr>
    <w:rPr>
      <w:spacing w:val="0"/>
      <w:sz w:val="24"/>
    </w:rPr>
  </w:style>
  <w:style w:type="character" w:customStyle="1" w:styleId="tekstostZnak">
    <w:name w:val="tekst ost Znak"/>
    <w:link w:val="tekstost"/>
    <w:locked/>
    <w:rsid w:val="00EA2772"/>
    <w:rPr>
      <w:rFonts w:ascii="Times New Roman" w:eastAsia="Times New Roman" w:hAnsi="Times New Roman" w:cs="Times New Roman"/>
      <w:sz w:val="20"/>
      <w:szCs w:val="20"/>
      <w:lang w:eastAsia="pl-PL"/>
    </w:rPr>
  </w:style>
  <w:style w:type="table" w:customStyle="1" w:styleId="TableGrid1">
    <w:name w:val="TableGrid1"/>
    <w:rsid w:val="00EA2772"/>
    <w:pPr>
      <w:spacing w:after="0" w:line="240" w:lineRule="auto"/>
    </w:pPr>
    <w:rPr>
      <w:rFonts w:ascii="Calibri" w:eastAsia="Times New Roman" w:hAnsi="Calibri" w:cs="Times New Roman"/>
      <w:lang w:eastAsia="pl-PL"/>
    </w:rPr>
    <w:tblPr>
      <w:tblCellMar>
        <w:top w:w="0" w:type="dxa"/>
        <w:left w:w="0" w:type="dxa"/>
        <w:bottom w:w="0" w:type="dxa"/>
        <w:right w:w="0" w:type="dxa"/>
      </w:tblCellMar>
    </w:tblPr>
  </w:style>
  <w:style w:type="character" w:customStyle="1" w:styleId="Nierozpoznanawzmianka1">
    <w:name w:val="Nierozpoznana wzmianka1"/>
    <w:uiPriority w:val="99"/>
    <w:semiHidden/>
    <w:unhideWhenUsed/>
    <w:rsid w:val="00EA2772"/>
    <w:rPr>
      <w:color w:val="605E5C"/>
      <w:shd w:val="clear" w:color="auto" w:fill="E1DFDD"/>
    </w:rPr>
  </w:style>
  <w:style w:type="paragraph" w:customStyle="1" w:styleId="10Znak">
    <w:name w:val="_10 Znak"/>
    <w:basedOn w:val="Normalny"/>
    <w:rsid w:val="00EA2772"/>
    <w:pPr>
      <w:tabs>
        <w:tab w:val="left" w:pos="851"/>
        <w:tab w:val="left" w:pos="1134"/>
        <w:tab w:val="left" w:pos="1701"/>
      </w:tabs>
      <w:spacing w:after="0" w:line="240" w:lineRule="auto"/>
      <w:ind w:right="-57"/>
      <w:jc w:val="both"/>
    </w:pPr>
    <w:rPr>
      <w:rFonts w:ascii="Times New Roman" w:eastAsia="Times New Roman" w:hAnsi="Times New Roman" w:cs="Times New Roman"/>
      <w:color w:val="000000"/>
      <w:sz w:val="20"/>
      <w:szCs w:val="20"/>
      <w:lang w:eastAsia="pl-PL"/>
    </w:rPr>
  </w:style>
  <w:style w:type="paragraph" w:customStyle="1" w:styleId="podpkt11">
    <w:name w:val="pod_pkt1.1"/>
    <w:basedOn w:val="Normalny"/>
    <w:rsid w:val="00EA2772"/>
    <w:pPr>
      <w:keepNext/>
      <w:tabs>
        <w:tab w:val="left" w:pos="851"/>
        <w:tab w:val="left" w:pos="1134"/>
        <w:tab w:val="left" w:pos="1701"/>
      </w:tabs>
      <w:spacing w:after="120" w:line="240" w:lineRule="auto"/>
      <w:ind w:left="425" w:hanging="425"/>
      <w:jc w:val="both"/>
    </w:pPr>
    <w:rPr>
      <w:rFonts w:ascii="Times New Roman" w:eastAsia="Times New Roman" w:hAnsi="Times New Roman" w:cs="Times New Roman"/>
      <w:sz w:val="24"/>
      <w:szCs w:val="20"/>
      <w:lang w:eastAsia="pl-PL"/>
    </w:rPr>
  </w:style>
  <w:style w:type="paragraph" w:styleId="Tekstblokowy">
    <w:name w:val="Block Text"/>
    <w:basedOn w:val="Normalny"/>
    <w:semiHidden/>
    <w:rsid w:val="00EA2772"/>
    <w:pPr>
      <w:spacing w:after="0" w:line="240" w:lineRule="auto"/>
      <w:ind w:left="1134" w:right="851"/>
      <w:jc w:val="center"/>
    </w:pPr>
    <w:rPr>
      <w:rFonts w:ascii="Courier New" w:eastAsia="Times New Roman" w:hAnsi="Courier New" w:cs="Times New Roman"/>
      <w:sz w:val="24"/>
      <w:szCs w:val="20"/>
      <w:lang w:eastAsia="pl-PL"/>
    </w:rPr>
  </w:style>
  <w:style w:type="paragraph" w:customStyle="1" w:styleId="STpunkt1">
    <w:name w:val="ST punkt 1"/>
    <w:basedOn w:val="Normalny"/>
    <w:link w:val="STpunkt1Znak"/>
    <w:qFormat/>
    <w:rsid w:val="00605F76"/>
    <w:pPr>
      <w:numPr>
        <w:numId w:val="278"/>
      </w:numPr>
      <w:tabs>
        <w:tab w:val="left" w:pos="420"/>
        <w:tab w:val="right" w:leader="dot" w:pos="9075"/>
      </w:tabs>
      <w:autoSpaceDE w:val="0"/>
      <w:autoSpaceDN w:val="0"/>
      <w:adjustRightInd w:val="0"/>
      <w:spacing w:before="45" w:after="45" w:line="240" w:lineRule="auto"/>
    </w:pPr>
    <w:rPr>
      <w:rFonts w:ascii="Arial" w:eastAsia="Times New Roman" w:hAnsi="Arial" w:cs="Arial"/>
      <w:b/>
      <w:bCs/>
      <w:noProof/>
      <w:sz w:val="20"/>
      <w:szCs w:val="20"/>
      <w:lang w:val="x-none" w:eastAsia="pl-PL"/>
    </w:rPr>
  </w:style>
  <w:style w:type="paragraph" w:customStyle="1" w:styleId="STpodkt1">
    <w:name w:val="ST podkt 1"/>
    <w:basedOn w:val="Normalny"/>
    <w:link w:val="STpodkt1Znak"/>
    <w:qFormat/>
    <w:rsid w:val="00605F76"/>
    <w:pPr>
      <w:numPr>
        <w:ilvl w:val="1"/>
        <w:numId w:val="278"/>
      </w:numPr>
      <w:tabs>
        <w:tab w:val="right" w:leader="dot" w:pos="9075"/>
      </w:tabs>
      <w:autoSpaceDE w:val="0"/>
      <w:autoSpaceDN w:val="0"/>
      <w:adjustRightInd w:val="0"/>
      <w:spacing w:before="75" w:after="15" w:line="240" w:lineRule="auto"/>
    </w:pPr>
    <w:rPr>
      <w:rFonts w:ascii="Arial" w:eastAsia="Times New Roman" w:hAnsi="Arial" w:cs="Arial"/>
      <w:b/>
      <w:bCs/>
      <w:noProof/>
      <w:sz w:val="20"/>
      <w:szCs w:val="20"/>
      <w:lang w:val="x-none" w:eastAsia="pl-PL"/>
    </w:rPr>
  </w:style>
  <w:style w:type="character" w:customStyle="1" w:styleId="STpunkt1Znak">
    <w:name w:val="ST punkt 1 Znak"/>
    <w:link w:val="STpunkt1"/>
    <w:rsid w:val="00605F76"/>
    <w:rPr>
      <w:rFonts w:ascii="Arial" w:eastAsia="Times New Roman" w:hAnsi="Arial" w:cs="Arial"/>
      <w:b/>
      <w:bCs/>
      <w:noProof/>
      <w:sz w:val="20"/>
      <w:szCs w:val="20"/>
      <w:lang w:val="x-none" w:eastAsia="pl-PL"/>
    </w:rPr>
  </w:style>
  <w:style w:type="paragraph" w:customStyle="1" w:styleId="STpodkt2">
    <w:name w:val="ST podkt 2"/>
    <w:basedOn w:val="Normalny"/>
    <w:rsid w:val="00605F76"/>
    <w:pPr>
      <w:numPr>
        <w:ilvl w:val="2"/>
        <w:numId w:val="278"/>
      </w:numPr>
      <w:tabs>
        <w:tab w:val="right" w:leader="dot" w:pos="9075"/>
      </w:tabs>
      <w:autoSpaceDE w:val="0"/>
      <w:autoSpaceDN w:val="0"/>
      <w:adjustRightInd w:val="0"/>
      <w:spacing w:before="75" w:after="15" w:line="240" w:lineRule="auto"/>
      <w:jc w:val="both"/>
    </w:pPr>
    <w:rPr>
      <w:rFonts w:ascii="Arial" w:eastAsia="Times New Roman" w:hAnsi="Arial" w:cs="Arial"/>
      <w:b/>
      <w:bCs/>
      <w:noProof/>
      <w:sz w:val="18"/>
      <w:szCs w:val="20"/>
      <w:lang w:eastAsia="pl-PL"/>
    </w:rPr>
  </w:style>
  <w:style w:type="character" w:customStyle="1" w:styleId="STpodkt1Znak">
    <w:name w:val="ST podkt 1 Znak"/>
    <w:link w:val="STpodkt1"/>
    <w:rsid w:val="00605F76"/>
    <w:rPr>
      <w:rFonts w:ascii="Arial" w:eastAsia="Times New Roman" w:hAnsi="Arial" w:cs="Arial"/>
      <w:b/>
      <w:bCs/>
      <w:noProof/>
      <w:sz w:val="20"/>
      <w:szCs w:val="20"/>
      <w:lang w:val="x-none" w:eastAsia="pl-PL"/>
    </w:rPr>
  </w:style>
  <w:style w:type="character" w:customStyle="1" w:styleId="h2">
    <w:name w:val="h2"/>
    <w:rsid w:val="00605F76"/>
  </w:style>
  <w:style w:type="character" w:customStyle="1" w:styleId="h1">
    <w:name w:val="h1"/>
    <w:rsid w:val="00605F76"/>
  </w:style>
  <w:style w:type="paragraph" w:customStyle="1" w:styleId="Poziom1">
    <w:name w:val="Poziom 1"/>
    <w:basedOn w:val="Nagwek1"/>
    <w:link w:val="Poziom1Znak"/>
    <w:qFormat/>
    <w:rsid w:val="00605F76"/>
    <w:pPr>
      <w:keepLines/>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after="60" w:line="240" w:lineRule="auto"/>
      <w:jc w:val="both"/>
    </w:pPr>
    <w:rPr>
      <w:rFonts w:eastAsiaTheme="majorEastAsia" w:cstheme="majorBidi"/>
      <w:caps w:val="0"/>
      <w:sz w:val="18"/>
      <w:szCs w:val="32"/>
    </w:rPr>
  </w:style>
  <w:style w:type="character" w:customStyle="1" w:styleId="Poziom1Znak">
    <w:name w:val="Poziom 1 Znak"/>
    <w:basedOn w:val="Nagwek1Znak"/>
    <w:link w:val="Poziom1"/>
    <w:rsid w:val="00605F76"/>
    <w:rPr>
      <w:rFonts w:ascii="Times New Roman" w:eastAsiaTheme="majorEastAsia" w:hAnsi="Times New Roman" w:cstheme="majorBidi"/>
      <w:b/>
      <w:caps w:val="0"/>
      <w:spacing w:val="-3"/>
      <w:kern w:val="28"/>
      <w:sz w:val="18"/>
      <w:szCs w:val="32"/>
      <w:lang w:val="en-GB" w:eastAsia="pl-PL"/>
    </w:rPr>
  </w:style>
  <w:style w:type="paragraph" w:customStyle="1" w:styleId="a">
    <w:name w:val="a"/>
    <w:aliases w:val="b,c"/>
    <w:basedOn w:val="Normalny"/>
    <w:qFormat/>
    <w:rsid w:val="00605F76"/>
    <w:pPr>
      <w:numPr>
        <w:numId w:val="281"/>
      </w:numPr>
      <w:spacing w:after="60" w:line="240" w:lineRule="auto"/>
      <w:ind w:left="284" w:hanging="284"/>
      <w:jc w:val="both"/>
    </w:pPr>
    <w:rPr>
      <w:rFonts w:ascii="Times New Roman" w:hAnsi="Times New Roman"/>
      <w:sz w:val="18"/>
    </w:rPr>
  </w:style>
  <w:style w:type="paragraph" w:customStyle="1" w:styleId="mylnik">
    <w:name w:val="myślnik"/>
    <w:basedOn w:val="Normalny"/>
    <w:qFormat/>
    <w:rsid w:val="00605F76"/>
    <w:pPr>
      <w:numPr>
        <w:numId w:val="279"/>
      </w:numPr>
      <w:spacing w:after="60" w:line="240" w:lineRule="auto"/>
      <w:jc w:val="both"/>
    </w:pPr>
    <w:rPr>
      <w:rFonts w:ascii="Times New Roman" w:hAnsi="Times New Roman"/>
      <w:sz w:val="18"/>
    </w:rPr>
  </w:style>
  <w:style w:type="numbering" w:customStyle="1" w:styleId="DoSTWiORB">
    <w:name w:val="Do STWiORB"/>
    <w:uiPriority w:val="99"/>
    <w:rsid w:val="00605F76"/>
    <w:pPr>
      <w:numPr>
        <w:numId w:val="282"/>
      </w:numPr>
    </w:pPr>
  </w:style>
  <w:style w:type="paragraph" w:customStyle="1" w:styleId="Styl10">
    <w:name w:val="Styl1"/>
    <w:basedOn w:val="Normalny"/>
    <w:link w:val="Styl1Znak"/>
    <w:qFormat/>
    <w:rsid w:val="00605F76"/>
    <w:pPr>
      <w:spacing w:after="0" w:line="240" w:lineRule="auto"/>
      <w:jc w:val="both"/>
    </w:pPr>
    <w:rPr>
      <w:rFonts w:ascii="Arial" w:eastAsia="Times New Roman" w:hAnsi="Arial" w:cs="Times New Roman"/>
      <w:sz w:val="20"/>
      <w:szCs w:val="24"/>
      <w:lang w:eastAsia="pl-PL"/>
    </w:rPr>
  </w:style>
  <w:style w:type="character" w:customStyle="1" w:styleId="Styl1Znak">
    <w:name w:val="Styl1 Znak"/>
    <w:link w:val="Styl10"/>
    <w:locked/>
    <w:rsid w:val="00605F76"/>
    <w:rPr>
      <w:rFonts w:ascii="Arial" w:eastAsia="Times New Roman" w:hAnsi="Arial" w:cs="Times New Roman"/>
      <w:sz w:val="20"/>
      <w:szCs w:val="24"/>
      <w:lang w:eastAsia="pl-PL"/>
    </w:rPr>
  </w:style>
  <w:style w:type="paragraph" w:customStyle="1" w:styleId="BodyText21">
    <w:name w:val="Body Text 21"/>
    <w:basedOn w:val="Normalny"/>
    <w:rsid w:val="00605F76"/>
    <w:pPr>
      <w:widowControl w:val="0"/>
      <w:spacing w:after="0" w:line="240" w:lineRule="auto"/>
      <w:jc w:val="both"/>
    </w:pPr>
    <w:rPr>
      <w:rFonts w:ascii="Times New Roman" w:eastAsia="Times New Roman" w:hAnsi="Times New Roman" w:cs="Times New Roman"/>
      <w:snapToGrid w:val="0"/>
      <w:sz w:val="24"/>
      <w:szCs w:val="20"/>
      <w:lang w:eastAsia="pl-PL"/>
    </w:rPr>
  </w:style>
  <w:style w:type="paragraph" w:customStyle="1" w:styleId="Normalny-SANKAT">
    <w:name w:val="Normalny - SANKAT"/>
    <w:basedOn w:val="Normalny"/>
    <w:link w:val="Normalny-SANKATZnak"/>
    <w:qFormat/>
    <w:rsid w:val="00605F76"/>
    <w:pPr>
      <w:tabs>
        <w:tab w:val="left" w:pos="709"/>
      </w:tabs>
      <w:suppressAutoHyphens/>
      <w:spacing w:before="120" w:after="0" w:line="240" w:lineRule="auto"/>
      <w:jc w:val="both"/>
    </w:pPr>
    <w:rPr>
      <w:rFonts w:ascii="Arial" w:eastAsia="Times New Roman" w:hAnsi="Arial" w:cs="Times New Roman"/>
      <w:szCs w:val="24"/>
      <w:lang w:eastAsia="pl-PL"/>
    </w:rPr>
  </w:style>
  <w:style w:type="character" w:customStyle="1" w:styleId="Normalny-SANKATZnak">
    <w:name w:val="Normalny - SANKAT Znak"/>
    <w:link w:val="Normalny-SANKAT"/>
    <w:rsid w:val="00605F76"/>
    <w:rPr>
      <w:rFonts w:ascii="Arial" w:eastAsia="Times New Roman" w:hAnsi="Arial" w:cs="Times New Roman"/>
      <w:szCs w:val="24"/>
      <w:lang w:eastAsia="pl-PL"/>
    </w:rPr>
  </w:style>
  <w:style w:type="paragraph" w:customStyle="1" w:styleId="ListanormAII">
    <w:name w:val="Lista norm AII"/>
    <w:basedOn w:val="Normalny"/>
    <w:next w:val="Normalny"/>
    <w:qFormat/>
    <w:rsid w:val="00605F76"/>
    <w:pPr>
      <w:numPr>
        <w:numId w:val="283"/>
      </w:numPr>
      <w:tabs>
        <w:tab w:val="left" w:pos="709"/>
        <w:tab w:val="left" w:pos="2438"/>
      </w:tabs>
      <w:spacing w:after="0" w:line="240" w:lineRule="auto"/>
    </w:pPr>
    <w:rPr>
      <w:rFonts w:ascii="Arial" w:eastAsia="Times New Roman" w:hAnsi="Arial" w:cs="Times New Roman"/>
      <w:sz w:val="18"/>
      <w:szCs w:val="24"/>
      <w:lang w:eastAsia="pl-PL"/>
    </w:rPr>
  </w:style>
  <w:style w:type="paragraph" w:customStyle="1" w:styleId="western">
    <w:name w:val="western"/>
    <w:basedOn w:val="Normalny"/>
    <w:rsid w:val="00605F76"/>
    <w:pPr>
      <w:spacing w:before="100" w:beforeAutospacing="1" w:after="100" w:afterAutospacing="1" w:line="240" w:lineRule="auto"/>
      <w:ind w:right="578"/>
      <w:jc w:val="both"/>
    </w:pPr>
    <w:rPr>
      <w:rFonts w:ascii="Times New Roman" w:eastAsia="Times New Roman" w:hAnsi="Times New Roman" w:cs="Times New Roman"/>
      <w:sz w:val="24"/>
      <w:szCs w:val="24"/>
      <w:lang w:eastAsia="pl-PL"/>
    </w:rPr>
  </w:style>
  <w:style w:type="paragraph" w:customStyle="1" w:styleId="StylNagwek3">
    <w:name w:val="Styl Nagłówek 3"/>
    <w:aliases w:val="Title 3 + Pogrubienie"/>
    <w:basedOn w:val="Nagwek3"/>
    <w:link w:val="StylNagwek3Title3PogrubienieZnak"/>
    <w:rsid w:val="00605F76"/>
    <w:pPr>
      <w:tabs>
        <w:tab w:val="left" w:pos="1134"/>
        <w:tab w:val="left" w:pos="1701"/>
      </w:tabs>
      <w:ind w:left="30" w:hanging="30"/>
    </w:pPr>
    <w:rPr>
      <w:spacing w:val="0"/>
      <w:szCs w:val="24"/>
    </w:rPr>
  </w:style>
  <w:style w:type="character" w:customStyle="1" w:styleId="StylNagwek3Title3PogrubienieZnak">
    <w:name w:val="Styl Nagłówek 3;Title 3 + Pogrubienie Znak"/>
    <w:link w:val="StylNagwek3"/>
    <w:rsid w:val="00605F76"/>
    <w:rPr>
      <w:rFonts w:ascii="Times New Roman" w:eastAsia="Times New Roman" w:hAnsi="Times New Roman" w:cs="Times New Roman"/>
      <w:bCs/>
      <w:sz w:val="20"/>
      <w:szCs w:val="24"/>
      <w:lang w:eastAsia="pl-PL"/>
    </w:rPr>
  </w:style>
  <w:style w:type="paragraph" w:customStyle="1" w:styleId="Tabela">
    <w:name w:val="Tabela"/>
    <w:basedOn w:val="Normalny"/>
    <w:rsid w:val="00605F76"/>
    <w:pPr>
      <w:tabs>
        <w:tab w:val="left" w:pos="851"/>
        <w:tab w:val="left" w:pos="1134"/>
        <w:tab w:val="left" w:pos="1701"/>
      </w:tabs>
      <w:spacing w:after="0" w:line="240" w:lineRule="auto"/>
    </w:pPr>
    <w:rPr>
      <w:rFonts w:ascii="Times New Roman" w:eastAsia="Times New Roman" w:hAnsi="Times New Roman" w:cs="Times New Roman"/>
      <w:sz w:val="20"/>
      <w:szCs w:val="20"/>
      <w:lang w:eastAsia="pl-PL"/>
    </w:rPr>
  </w:style>
  <w:style w:type="paragraph" w:customStyle="1" w:styleId="lista0">
    <w:name w:val="lista"/>
    <w:rsid w:val="00605F76"/>
    <w:pPr>
      <w:tabs>
        <w:tab w:val="left" w:pos="7088"/>
      </w:tabs>
      <w:spacing w:after="0" w:line="240" w:lineRule="auto"/>
    </w:pPr>
    <w:rPr>
      <w:rFonts w:ascii="Times New Roman" w:eastAsia="Times New Roman" w:hAnsi="Times New Roman" w:cs="Times New Roman"/>
      <w:noProof/>
      <w:sz w:val="20"/>
      <w:szCs w:val="20"/>
      <w:lang w:eastAsia="pl-PL"/>
    </w:rPr>
  </w:style>
  <w:style w:type="paragraph" w:customStyle="1" w:styleId="StylNagwek1">
    <w:name w:val="Styl Nagłówek 1"/>
    <w:aliases w:val="Title 1 + 10 pt"/>
    <w:basedOn w:val="Nagwek1"/>
    <w:next w:val="Zwykytekst"/>
    <w:link w:val="StylNagwek11"/>
    <w:rsid w:val="00605F76"/>
    <w:pPr>
      <w:widowControl w:val="0"/>
      <w:tabs>
        <w:tab w:val="clear" w:pos="-1725"/>
        <w:tab w:val="clear" w:pos="-1440"/>
        <w:tab w:val="clear" w:pos="-1005"/>
        <w:tab w:val="clear" w:pos="-720"/>
        <w:tab w:val="clear" w:pos="-285"/>
        <w:tab w:val="clear" w:pos="0"/>
        <w:tab w:val="clear" w:pos="284"/>
        <w:tab w:val="clear" w:pos="435"/>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autoSpaceDE w:val="0"/>
      <w:autoSpaceDN w:val="0"/>
      <w:adjustRightInd w:val="0"/>
      <w:spacing w:before="0" w:after="0" w:line="240" w:lineRule="auto"/>
      <w:ind w:left="851" w:hanging="851"/>
    </w:pPr>
    <w:rPr>
      <w:bCs/>
      <w:caps w:val="0"/>
      <w:spacing w:val="0"/>
      <w:sz w:val="20"/>
      <w:szCs w:val="22"/>
      <w:lang w:val="pl-PL"/>
    </w:rPr>
  </w:style>
  <w:style w:type="character" w:customStyle="1" w:styleId="StylNagwek11">
    <w:name w:val="Styl Nagłówek 11"/>
    <w:aliases w:val="Title 1 + 10 pt Znak Znak"/>
    <w:link w:val="StylNagwek1"/>
    <w:locked/>
    <w:rsid w:val="00605F76"/>
    <w:rPr>
      <w:rFonts w:ascii="Times New Roman" w:eastAsia="Times New Roman" w:hAnsi="Times New Roman" w:cs="Times New Roman"/>
      <w:b/>
      <w:bCs/>
      <w:kern w:val="28"/>
      <w:sz w:val="20"/>
      <w:lang w:eastAsia="pl-PL"/>
    </w:rPr>
  </w:style>
  <w:style w:type="paragraph" w:styleId="Zwykytekst">
    <w:name w:val="Plain Text"/>
    <w:basedOn w:val="Normalny"/>
    <w:link w:val="ZwykytekstZnak"/>
    <w:uiPriority w:val="99"/>
    <w:unhideWhenUsed/>
    <w:rsid w:val="00605F76"/>
    <w:pPr>
      <w:spacing w:after="0" w:line="240" w:lineRule="auto"/>
      <w:jc w:val="both"/>
    </w:pPr>
    <w:rPr>
      <w:rFonts w:ascii="Consolas" w:hAnsi="Consolas"/>
      <w:sz w:val="21"/>
      <w:szCs w:val="21"/>
    </w:rPr>
  </w:style>
  <w:style w:type="character" w:customStyle="1" w:styleId="ZwykytekstZnak">
    <w:name w:val="Zwykły tekst Znak"/>
    <w:basedOn w:val="Domylnaczcionkaakapitu"/>
    <w:link w:val="Zwykytekst"/>
    <w:uiPriority w:val="99"/>
    <w:rsid w:val="00605F76"/>
    <w:rPr>
      <w:rFonts w:ascii="Consolas" w:hAnsi="Consolas"/>
      <w:sz w:val="21"/>
      <w:szCs w:val="21"/>
    </w:rPr>
  </w:style>
  <w:style w:type="character" w:customStyle="1" w:styleId="WW8Num8z3">
    <w:name w:val="WW8Num8z3"/>
    <w:rsid w:val="00605F76"/>
    <w:rPr>
      <w:rFonts w:ascii="Symbol" w:hAnsi="Symbol"/>
    </w:rPr>
  </w:style>
  <w:style w:type="character" w:customStyle="1" w:styleId="WW8Num9z3">
    <w:name w:val="WW8Num9z3"/>
    <w:rsid w:val="00605F76"/>
    <w:rPr>
      <w:rFonts w:ascii="Symbol" w:hAnsi="Symbol"/>
    </w:rPr>
  </w:style>
  <w:style w:type="character" w:customStyle="1" w:styleId="WW8Num11z4">
    <w:name w:val="WW8Num11z4"/>
    <w:rsid w:val="00605F76"/>
    <w:rPr>
      <w:rFonts w:ascii="Courier New" w:hAnsi="Courier New"/>
    </w:rPr>
  </w:style>
  <w:style w:type="character" w:customStyle="1" w:styleId="WW8Num18z3">
    <w:name w:val="WW8Num18z3"/>
    <w:rsid w:val="00605F76"/>
    <w:rPr>
      <w:rFonts w:ascii="Symbol" w:hAnsi="Symbol"/>
    </w:rPr>
  </w:style>
  <w:style w:type="character" w:customStyle="1" w:styleId="WW8Num19z3">
    <w:name w:val="WW8Num19z3"/>
    <w:rsid w:val="00605F76"/>
    <w:rPr>
      <w:rFonts w:ascii="Symbol" w:hAnsi="Symbol"/>
    </w:rPr>
  </w:style>
  <w:style w:type="character" w:customStyle="1" w:styleId="WW8Num21z3">
    <w:name w:val="WW8Num21z3"/>
    <w:rsid w:val="00605F76"/>
    <w:rPr>
      <w:rFonts w:ascii="Symbol" w:hAnsi="Symbol"/>
    </w:rPr>
  </w:style>
  <w:style w:type="character" w:customStyle="1" w:styleId="WW8Num25z1">
    <w:name w:val="WW8Num25z1"/>
    <w:rsid w:val="00605F76"/>
    <w:rPr>
      <w:rFonts w:ascii="Times New Roman" w:hAnsi="Times New Roman"/>
      <w:b/>
      <w:i w:val="0"/>
      <w:strike w:val="0"/>
      <w:dstrike w:val="0"/>
      <w:outline w:val="0"/>
      <w:shadow w:val="0"/>
      <w:vanish w:val="0"/>
      <w:position w:val="0"/>
      <w:sz w:val="24"/>
      <w:vertAlign w:val="baseline"/>
    </w:rPr>
  </w:style>
  <w:style w:type="character" w:customStyle="1" w:styleId="WW8Num25z2">
    <w:name w:val="WW8Num25z2"/>
    <w:rsid w:val="00605F76"/>
    <w:rPr>
      <w:rFonts w:ascii="Times New Roman" w:hAnsi="Times New Roman"/>
      <w:b/>
      <w:i w:val="0"/>
      <w:strike w:val="0"/>
      <w:dstrike w:val="0"/>
      <w:outline w:val="0"/>
      <w:shadow w:val="0"/>
      <w:vanish w:val="0"/>
      <w:position w:val="0"/>
      <w:sz w:val="20"/>
      <w:vertAlign w:val="baseline"/>
    </w:rPr>
  </w:style>
  <w:style w:type="character" w:customStyle="1" w:styleId="WW8Num25z3">
    <w:name w:val="WW8Num25z3"/>
    <w:rsid w:val="00605F76"/>
    <w:rPr>
      <w:rFonts w:ascii="Times New Roman" w:hAnsi="Times New Roman"/>
      <w:b w:val="0"/>
      <w:i w:val="0"/>
      <w:caps/>
      <w:strike w:val="0"/>
      <w:dstrike w:val="0"/>
      <w:outline w:val="0"/>
      <w:shadow w:val="0"/>
      <w:vanish w:val="0"/>
      <w:position w:val="0"/>
      <w:sz w:val="20"/>
      <w:vertAlign w:val="baseline"/>
    </w:rPr>
  </w:style>
  <w:style w:type="character" w:customStyle="1" w:styleId="WW8Num25z4">
    <w:name w:val="WW8Num25z4"/>
    <w:rsid w:val="00605F76"/>
    <w:rPr>
      <w:b/>
    </w:rPr>
  </w:style>
  <w:style w:type="character" w:customStyle="1" w:styleId="WW8Num26z0">
    <w:name w:val="WW8Num26z0"/>
    <w:rsid w:val="00605F76"/>
    <w:rPr>
      <w:rFonts w:ascii="StarSymbol" w:hAnsi="StarSymbol"/>
    </w:rPr>
  </w:style>
  <w:style w:type="character" w:customStyle="1" w:styleId="WW8Num26z1">
    <w:name w:val="WW8Num26z1"/>
    <w:rsid w:val="00605F76"/>
    <w:rPr>
      <w:rFonts w:ascii="Courier New" w:hAnsi="Courier New"/>
    </w:rPr>
  </w:style>
  <w:style w:type="character" w:customStyle="1" w:styleId="WW8Num26z2">
    <w:name w:val="WW8Num26z2"/>
    <w:rsid w:val="00605F76"/>
    <w:rPr>
      <w:rFonts w:ascii="Wingdings" w:hAnsi="Wingdings"/>
    </w:rPr>
  </w:style>
  <w:style w:type="character" w:customStyle="1" w:styleId="WW8Num26z3">
    <w:name w:val="WW8Num26z3"/>
    <w:rsid w:val="00605F76"/>
    <w:rPr>
      <w:rFonts w:ascii="Symbol" w:hAnsi="Symbol"/>
    </w:rPr>
  </w:style>
  <w:style w:type="character" w:customStyle="1" w:styleId="WW8Num27z0">
    <w:name w:val="WW8Num27z0"/>
    <w:rsid w:val="00605F76"/>
    <w:rPr>
      <w:rFonts w:ascii="Times New Roman" w:hAnsi="Times New Roman"/>
      <w:b/>
      <w:i w:val="0"/>
      <w:strike w:val="0"/>
      <w:dstrike w:val="0"/>
      <w:outline w:val="0"/>
      <w:shadow w:val="0"/>
      <w:vanish w:val="0"/>
      <w:position w:val="0"/>
      <w:sz w:val="28"/>
      <w:vertAlign w:val="baseline"/>
    </w:rPr>
  </w:style>
  <w:style w:type="character" w:customStyle="1" w:styleId="WW8Num27z1">
    <w:name w:val="WW8Num27z1"/>
    <w:rsid w:val="00605F76"/>
    <w:rPr>
      <w:rFonts w:ascii="Times New Roman" w:hAnsi="Times New Roman"/>
      <w:b/>
      <w:i w:val="0"/>
      <w:strike w:val="0"/>
      <w:dstrike w:val="0"/>
      <w:outline w:val="0"/>
      <w:shadow w:val="0"/>
      <w:vanish w:val="0"/>
      <w:position w:val="0"/>
      <w:sz w:val="24"/>
      <w:vertAlign w:val="baseline"/>
    </w:rPr>
  </w:style>
  <w:style w:type="character" w:customStyle="1" w:styleId="WW8Num27z2">
    <w:name w:val="WW8Num27z2"/>
    <w:rsid w:val="00605F76"/>
    <w:rPr>
      <w:rFonts w:ascii="Times New Roman" w:hAnsi="Times New Roman"/>
      <w:b/>
      <w:i w:val="0"/>
      <w:strike w:val="0"/>
      <w:dstrike w:val="0"/>
      <w:outline w:val="0"/>
      <w:shadow w:val="0"/>
      <w:vanish w:val="0"/>
      <w:position w:val="0"/>
      <w:sz w:val="20"/>
      <w:vertAlign w:val="baseline"/>
    </w:rPr>
  </w:style>
  <w:style w:type="character" w:customStyle="1" w:styleId="WW8Num27z3">
    <w:name w:val="WW8Num27z3"/>
    <w:rsid w:val="00605F76"/>
    <w:rPr>
      <w:rFonts w:ascii="Times New Roman" w:hAnsi="Times New Roman"/>
      <w:b w:val="0"/>
      <w:i w:val="0"/>
      <w:caps/>
      <w:strike w:val="0"/>
      <w:dstrike w:val="0"/>
      <w:outline w:val="0"/>
      <w:shadow w:val="0"/>
      <w:vanish w:val="0"/>
      <w:position w:val="0"/>
      <w:sz w:val="20"/>
      <w:vertAlign w:val="baseline"/>
    </w:rPr>
  </w:style>
  <w:style w:type="character" w:customStyle="1" w:styleId="WW8Num27z4">
    <w:name w:val="WW8Num27z4"/>
    <w:rsid w:val="00605F76"/>
    <w:rPr>
      <w:b/>
    </w:rPr>
  </w:style>
  <w:style w:type="character" w:customStyle="1" w:styleId="WW8Num28z0">
    <w:name w:val="WW8Num28z0"/>
    <w:rsid w:val="00605F76"/>
    <w:rPr>
      <w:rFonts w:ascii="Times New Roman" w:hAnsi="Times New Roman"/>
      <w:b/>
      <w:i w:val="0"/>
      <w:strike w:val="0"/>
      <w:dstrike w:val="0"/>
      <w:outline w:val="0"/>
      <w:shadow w:val="0"/>
      <w:vanish w:val="0"/>
      <w:position w:val="0"/>
      <w:sz w:val="28"/>
      <w:vertAlign w:val="baseline"/>
    </w:rPr>
  </w:style>
  <w:style w:type="character" w:customStyle="1" w:styleId="WW8Num28z1">
    <w:name w:val="WW8Num28z1"/>
    <w:rsid w:val="00605F76"/>
    <w:rPr>
      <w:rFonts w:ascii="Times New Roman" w:hAnsi="Times New Roman"/>
      <w:b/>
      <w:i w:val="0"/>
      <w:strike w:val="0"/>
      <w:dstrike w:val="0"/>
      <w:outline w:val="0"/>
      <w:shadow w:val="0"/>
      <w:vanish w:val="0"/>
      <w:position w:val="0"/>
      <w:sz w:val="24"/>
      <w:vertAlign w:val="baseline"/>
    </w:rPr>
  </w:style>
  <w:style w:type="character" w:customStyle="1" w:styleId="WW8Num28z2">
    <w:name w:val="WW8Num28z2"/>
    <w:rsid w:val="00605F76"/>
    <w:rPr>
      <w:rFonts w:ascii="Times New Roman" w:hAnsi="Times New Roman"/>
      <w:b/>
      <w:i w:val="0"/>
      <w:strike w:val="0"/>
      <w:dstrike w:val="0"/>
      <w:outline w:val="0"/>
      <w:shadow w:val="0"/>
      <w:vanish w:val="0"/>
      <w:position w:val="0"/>
      <w:sz w:val="20"/>
      <w:vertAlign w:val="baseline"/>
    </w:rPr>
  </w:style>
  <w:style w:type="character" w:customStyle="1" w:styleId="WW8Num28z3">
    <w:name w:val="WW8Num28z3"/>
    <w:rsid w:val="00605F76"/>
    <w:rPr>
      <w:rFonts w:ascii="Times New Roman" w:hAnsi="Times New Roman"/>
      <w:b w:val="0"/>
      <w:i w:val="0"/>
      <w:caps/>
      <w:strike w:val="0"/>
      <w:dstrike w:val="0"/>
      <w:outline w:val="0"/>
      <w:shadow w:val="0"/>
      <w:vanish w:val="0"/>
      <w:position w:val="0"/>
      <w:sz w:val="20"/>
      <w:vertAlign w:val="baseline"/>
    </w:rPr>
  </w:style>
  <w:style w:type="character" w:customStyle="1" w:styleId="WW8Num28z4">
    <w:name w:val="WW8Num28z4"/>
    <w:rsid w:val="00605F76"/>
    <w:rPr>
      <w:b/>
    </w:rPr>
  </w:style>
  <w:style w:type="character" w:customStyle="1" w:styleId="WW8Num29z0">
    <w:name w:val="WW8Num29z0"/>
    <w:rsid w:val="00605F76"/>
    <w:rPr>
      <w:rFonts w:ascii="Symbol" w:hAnsi="Symbol" w:cs="Times New Roman"/>
    </w:rPr>
  </w:style>
  <w:style w:type="character" w:customStyle="1" w:styleId="WW8Num30z0">
    <w:name w:val="WW8Num30z0"/>
    <w:rsid w:val="00605F76"/>
    <w:rPr>
      <w:rFonts w:ascii="Times New Roman" w:hAnsi="Times New Roman"/>
    </w:rPr>
  </w:style>
  <w:style w:type="character" w:customStyle="1" w:styleId="WW8Num44z1">
    <w:name w:val="WW8Num44z1"/>
    <w:rsid w:val="00605F76"/>
    <w:rPr>
      <w:rFonts w:ascii="Symbol" w:hAnsi="Symbol"/>
    </w:rPr>
  </w:style>
  <w:style w:type="character" w:customStyle="1" w:styleId="WW8Num44z2">
    <w:name w:val="WW8Num44z2"/>
    <w:rsid w:val="00605F76"/>
    <w:rPr>
      <w:rFonts w:ascii="Wingdings" w:hAnsi="Wingdings"/>
    </w:rPr>
  </w:style>
  <w:style w:type="character" w:customStyle="1" w:styleId="WW8Num44z4">
    <w:name w:val="WW8Num44z4"/>
    <w:rsid w:val="00605F76"/>
    <w:rPr>
      <w:rFonts w:ascii="Courier New" w:hAnsi="Courier New"/>
    </w:rPr>
  </w:style>
  <w:style w:type="character" w:customStyle="1" w:styleId="WW8Num45z0">
    <w:name w:val="WW8Num45z0"/>
    <w:rsid w:val="00605F76"/>
    <w:rPr>
      <w:rFonts w:ascii="Times New Roman" w:hAnsi="Times New Roman"/>
    </w:rPr>
  </w:style>
  <w:style w:type="character" w:customStyle="1" w:styleId="WW8Num48z0">
    <w:name w:val="WW8Num48z0"/>
    <w:rsid w:val="00605F76"/>
    <w:rPr>
      <w:rFonts w:ascii="Times New Roman" w:hAnsi="Times New Roman"/>
    </w:rPr>
  </w:style>
  <w:style w:type="character" w:customStyle="1" w:styleId="WW8Num48z1">
    <w:name w:val="WW8Num48z1"/>
    <w:rsid w:val="00605F76"/>
    <w:rPr>
      <w:rFonts w:ascii="Courier New" w:hAnsi="Courier New"/>
    </w:rPr>
  </w:style>
  <w:style w:type="character" w:customStyle="1" w:styleId="WW8Num48z2">
    <w:name w:val="WW8Num48z2"/>
    <w:rsid w:val="00605F76"/>
    <w:rPr>
      <w:rFonts w:ascii="Wingdings" w:hAnsi="Wingdings"/>
    </w:rPr>
  </w:style>
  <w:style w:type="character" w:customStyle="1" w:styleId="WW8Num48z3">
    <w:name w:val="WW8Num48z3"/>
    <w:rsid w:val="00605F76"/>
    <w:rPr>
      <w:rFonts w:ascii="Symbol" w:hAnsi="Symbol"/>
    </w:rPr>
  </w:style>
  <w:style w:type="character" w:customStyle="1" w:styleId="WW8Num52z0">
    <w:name w:val="WW8Num52z0"/>
    <w:rsid w:val="00605F76"/>
    <w:rPr>
      <w:rFonts w:ascii="Symbol" w:hAnsi="Symbol"/>
    </w:rPr>
  </w:style>
  <w:style w:type="character" w:customStyle="1" w:styleId="WW8Num60z0">
    <w:name w:val="WW8Num60z0"/>
    <w:rsid w:val="00605F76"/>
    <w:rPr>
      <w:rFonts w:ascii="Symbol" w:hAnsi="Symbol"/>
    </w:rPr>
  </w:style>
  <w:style w:type="character" w:customStyle="1" w:styleId="WW8Num70z0">
    <w:name w:val="WW8Num70z0"/>
    <w:rsid w:val="00605F76"/>
    <w:rPr>
      <w:rFonts w:ascii="Symbol" w:hAnsi="Symbol"/>
    </w:rPr>
  </w:style>
  <w:style w:type="character" w:customStyle="1" w:styleId="WW8Num71z0">
    <w:name w:val="WW8Num71z0"/>
    <w:rsid w:val="00605F76"/>
    <w:rPr>
      <w:rFonts w:ascii="Times New Roman" w:hAnsi="Times New Roman"/>
    </w:rPr>
  </w:style>
  <w:style w:type="character" w:customStyle="1" w:styleId="WW8Num74z0">
    <w:name w:val="WW8Num74z0"/>
    <w:rsid w:val="00605F76"/>
    <w:rPr>
      <w:rFonts w:ascii="Times New Roman" w:hAnsi="Times New Roman"/>
    </w:rPr>
  </w:style>
  <w:style w:type="character" w:customStyle="1" w:styleId="WW8Num74z1">
    <w:name w:val="WW8Num74z1"/>
    <w:rsid w:val="00605F76"/>
    <w:rPr>
      <w:rFonts w:ascii="Courier New" w:hAnsi="Courier New"/>
    </w:rPr>
  </w:style>
  <w:style w:type="character" w:customStyle="1" w:styleId="WW8Num74z2">
    <w:name w:val="WW8Num74z2"/>
    <w:rsid w:val="00605F76"/>
    <w:rPr>
      <w:rFonts w:ascii="Wingdings" w:hAnsi="Wingdings"/>
    </w:rPr>
  </w:style>
  <w:style w:type="character" w:customStyle="1" w:styleId="WW8Num74z3">
    <w:name w:val="WW8Num74z3"/>
    <w:rsid w:val="00605F76"/>
    <w:rPr>
      <w:rFonts w:ascii="Symbol" w:hAnsi="Symbol"/>
    </w:rPr>
  </w:style>
  <w:style w:type="character" w:customStyle="1" w:styleId="WW8Num75z0">
    <w:name w:val="WW8Num75z0"/>
    <w:rsid w:val="00605F76"/>
    <w:rPr>
      <w:rFonts w:ascii="Times New Roman" w:hAnsi="Times New Roman"/>
      <w:b w:val="0"/>
      <w:i w:val="0"/>
      <w:sz w:val="24"/>
    </w:rPr>
  </w:style>
  <w:style w:type="character" w:customStyle="1" w:styleId="WW8Num77z1">
    <w:name w:val="WW8Num77z1"/>
    <w:rsid w:val="00605F76"/>
    <w:rPr>
      <w:rFonts w:ascii="Courier New" w:hAnsi="Courier New"/>
    </w:rPr>
  </w:style>
  <w:style w:type="character" w:customStyle="1" w:styleId="WW8Num77z2">
    <w:name w:val="WW8Num77z2"/>
    <w:rsid w:val="00605F76"/>
    <w:rPr>
      <w:rFonts w:ascii="Wingdings" w:hAnsi="Wingdings"/>
    </w:rPr>
  </w:style>
  <w:style w:type="character" w:customStyle="1" w:styleId="WW8Num77z3">
    <w:name w:val="WW8Num77z3"/>
    <w:rsid w:val="00605F76"/>
    <w:rPr>
      <w:rFonts w:ascii="Symbol" w:hAnsi="Symbol"/>
    </w:rPr>
  </w:style>
  <w:style w:type="character" w:customStyle="1" w:styleId="WW8Num80z1">
    <w:name w:val="WW8Num80z1"/>
    <w:rsid w:val="00605F76"/>
    <w:rPr>
      <w:b w:val="0"/>
    </w:rPr>
  </w:style>
  <w:style w:type="character" w:customStyle="1" w:styleId="WW8Num83z1">
    <w:name w:val="WW8Num83z1"/>
    <w:rsid w:val="00605F76"/>
    <w:rPr>
      <w:rFonts w:ascii="Courier New" w:hAnsi="Courier New"/>
    </w:rPr>
  </w:style>
  <w:style w:type="character" w:customStyle="1" w:styleId="WW8Num83z2">
    <w:name w:val="WW8Num83z2"/>
    <w:rsid w:val="00605F76"/>
    <w:rPr>
      <w:rFonts w:ascii="Wingdings" w:hAnsi="Wingdings"/>
    </w:rPr>
  </w:style>
  <w:style w:type="character" w:customStyle="1" w:styleId="WW8Num83z3">
    <w:name w:val="WW8Num83z3"/>
    <w:rsid w:val="00605F76"/>
    <w:rPr>
      <w:rFonts w:ascii="Symbol" w:hAnsi="Symbol"/>
    </w:rPr>
  </w:style>
  <w:style w:type="character" w:customStyle="1" w:styleId="WW8Num84z0">
    <w:name w:val="WW8Num84z0"/>
    <w:rsid w:val="00605F76"/>
    <w:rPr>
      <w:b/>
    </w:rPr>
  </w:style>
  <w:style w:type="character" w:customStyle="1" w:styleId="WW8Num87z0">
    <w:name w:val="WW8Num87z0"/>
    <w:rsid w:val="00605F76"/>
    <w:rPr>
      <w:rFonts w:ascii="Times New Roman" w:hAnsi="Times New Roman"/>
    </w:rPr>
  </w:style>
  <w:style w:type="character" w:customStyle="1" w:styleId="WW8Num87z1">
    <w:name w:val="WW8Num87z1"/>
    <w:rsid w:val="00605F76"/>
    <w:rPr>
      <w:rFonts w:ascii="Courier New" w:hAnsi="Courier New"/>
    </w:rPr>
  </w:style>
  <w:style w:type="character" w:customStyle="1" w:styleId="WW8Num87z2">
    <w:name w:val="WW8Num87z2"/>
    <w:rsid w:val="00605F76"/>
    <w:rPr>
      <w:rFonts w:ascii="Wingdings" w:hAnsi="Wingdings"/>
    </w:rPr>
  </w:style>
  <w:style w:type="character" w:customStyle="1" w:styleId="WW8Num87z3">
    <w:name w:val="WW8Num87z3"/>
    <w:rsid w:val="00605F76"/>
    <w:rPr>
      <w:rFonts w:ascii="Symbol" w:hAnsi="Symbol"/>
    </w:rPr>
  </w:style>
  <w:style w:type="character" w:customStyle="1" w:styleId="WW8Num92z0">
    <w:name w:val="WW8Num92z0"/>
    <w:rsid w:val="00605F76"/>
    <w:rPr>
      <w:rFonts w:ascii="Times New Roman" w:hAnsi="Times New Roman"/>
      <w:b/>
      <w:i w:val="0"/>
      <w:caps/>
      <w:strike w:val="0"/>
      <w:dstrike w:val="0"/>
      <w:outline w:val="0"/>
      <w:shadow w:val="0"/>
      <w:vanish w:val="0"/>
      <w:color w:val="auto"/>
      <w:position w:val="0"/>
      <w:sz w:val="28"/>
      <w:vertAlign w:val="baseline"/>
    </w:rPr>
  </w:style>
  <w:style w:type="character" w:customStyle="1" w:styleId="WW8Num92z1">
    <w:name w:val="WW8Num92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93z0">
    <w:name w:val="WW8Num93z0"/>
    <w:rsid w:val="00605F76"/>
    <w:rPr>
      <w:rFonts w:ascii="Times New Roman" w:hAnsi="Times New Roman"/>
    </w:rPr>
  </w:style>
  <w:style w:type="character" w:customStyle="1" w:styleId="WW8Num93z1">
    <w:name w:val="WW8Num93z1"/>
    <w:rsid w:val="00605F76"/>
    <w:rPr>
      <w:rFonts w:ascii="Courier New" w:hAnsi="Courier New"/>
    </w:rPr>
  </w:style>
  <w:style w:type="character" w:customStyle="1" w:styleId="WW8Num93z2">
    <w:name w:val="WW8Num93z2"/>
    <w:rsid w:val="00605F76"/>
    <w:rPr>
      <w:rFonts w:ascii="Wingdings" w:hAnsi="Wingdings"/>
    </w:rPr>
  </w:style>
  <w:style w:type="character" w:customStyle="1" w:styleId="WW8Num93z3">
    <w:name w:val="WW8Num93z3"/>
    <w:rsid w:val="00605F76"/>
    <w:rPr>
      <w:rFonts w:ascii="Symbol" w:hAnsi="Symbol"/>
    </w:rPr>
  </w:style>
  <w:style w:type="character" w:customStyle="1" w:styleId="WW8Num94z0">
    <w:name w:val="WW8Num94z0"/>
    <w:rsid w:val="00605F76"/>
    <w:rPr>
      <w:rFonts w:ascii="Times New Roman" w:hAnsi="Times New Roman"/>
      <w:b/>
      <w:i w:val="0"/>
      <w:strike w:val="0"/>
      <w:dstrike w:val="0"/>
      <w:outline w:val="0"/>
      <w:shadow w:val="0"/>
      <w:vanish w:val="0"/>
      <w:position w:val="0"/>
      <w:sz w:val="28"/>
      <w:vertAlign w:val="baseline"/>
    </w:rPr>
  </w:style>
  <w:style w:type="character" w:customStyle="1" w:styleId="WW8Num94z1">
    <w:name w:val="WW8Num94z1"/>
    <w:rsid w:val="00605F76"/>
    <w:rPr>
      <w:rFonts w:ascii="Times New Roman" w:hAnsi="Times New Roman"/>
      <w:b/>
      <w:i w:val="0"/>
      <w:strike w:val="0"/>
      <w:dstrike w:val="0"/>
      <w:outline w:val="0"/>
      <w:shadow w:val="0"/>
      <w:vanish w:val="0"/>
      <w:position w:val="0"/>
      <w:sz w:val="24"/>
      <w:vertAlign w:val="baseline"/>
    </w:rPr>
  </w:style>
  <w:style w:type="character" w:customStyle="1" w:styleId="WW8Num94z2">
    <w:name w:val="WW8Num94z2"/>
    <w:rsid w:val="00605F76"/>
    <w:rPr>
      <w:rFonts w:ascii="Times New Roman" w:hAnsi="Times New Roman"/>
      <w:b/>
      <w:i w:val="0"/>
      <w:strike w:val="0"/>
      <w:dstrike w:val="0"/>
      <w:outline w:val="0"/>
      <w:shadow w:val="0"/>
      <w:vanish w:val="0"/>
      <w:position w:val="0"/>
      <w:sz w:val="20"/>
      <w:vertAlign w:val="baseline"/>
    </w:rPr>
  </w:style>
  <w:style w:type="character" w:customStyle="1" w:styleId="WW8Num94z3">
    <w:name w:val="WW8Num94z3"/>
    <w:rsid w:val="00605F76"/>
    <w:rPr>
      <w:rFonts w:ascii="Times New Roman" w:hAnsi="Times New Roman"/>
      <w:b w:val="0"/>
      <w:i w:val="0"/>
      <w:caps/>
      <w:strike w:val="0"/>
      <w:dstrike w:val="0"/>
      <w:outline w:val="0"/>
      <w:shadow w:val="0"/>
      <w:vanish w:val="0"/>
      <w:position w:val="0"/>
      <w:sz w:val="20"/>
      <w:vertAlign w:val="baseline"/>
    </w:rPr>
  </w:style>
  <w:style w:type="character" w:customStyle="1" w:styleId="WW8Num94z4">
    <w:name w:val="WW8Num94z4"/>
    <w:rsid w:val="00605F76"/>
    <w:rPr>
      <w:b/>
    </w:rPr>
  </w:style>
  <w:style w:type="character" w:customStyle="1" w:styleId="WW8Num95z1">
    <w:name w:val="WW8Num95z1"/>
    <w:rsid w:val="00605F76"/>
    <w:rPr>
      <w:rFonts w:ascii="Courier New" w:hAnsi="Courier New"/>
    </w:rPr>
  </w:style>
  <w:style w:type="character" w:customStyle="1" w:styleId="WW8Num95z2">
    <w:name w:val="WW8Num95z2"/>
    <w:rsid w:val="00605F76"/>
    <w:rPr>
      <w:rFonts w:ascii="Wingdings" w:hAnsi="Wingdings"/>
    </w:rPr>
  </w:style>
  <w:style w:type="character" w:customStyle="1" w:styleId="WW8Num95z3">
    <w:name w:val="WW8Num95z3"/>
    <w:rsid w:val="00605F76"/>
    <w:rPr>
      <w:rFonts w:ascii="Symbol" w:hAnsi="Symbol"/>
    </w:rPr>
  </w:style>
  <w:style w:type="character" w:customStyle="1" w:styleId="WW8Num97z0">
    <w:name w:val="WW8Num97z0"/>
    <w:rsid w:val="00605F76"/>
    <w:rPr>
      <w:rFonts w:ascii="Symbol" w:hAnsi="Symbol"/>
    </w:rPr>
  </w:style>
  <w:style w:type="character" w:customStyle="1" w:styleId="WW8Num100z0">
    <w:name w:val="WW8Num100z0"/>
    <w:rsid w:val="00605F76"/>
    <w:rPr>
      <w:rFonts w:ascii="Times New Roman" w:hAnsi="Times New Roman"/>
      <w:b/>
      <w:i w:val="0"/>
      <w:strike w:val="0"/>
      <w:dstrike w:val="0"/>
      <w:outline w:val="0"/>
      <w:shadow w:val="0"/>
      <w:vanish w:val="0"/>
      <w:position w:val="0"/>
      <w:sz w:val="24"/>
      <w:vertAlign w:val="baseline"/>
    </w:rPr>
  </w:style>
  <w:style w:type="character" w:customStyle="1" w:styleId="WW8Num100z2">
    <w:name w:val="WW8Num100z2"/>
    <w:rsid w:val="00605F76"/>
    <w:rPr>
      <w:rFonts w:ascii="Times New Roman" w:hAnsi="Times New Roman"/>
      <w:b/>
      <w:i w:val="0"/>
      <w:caps/>
      <w:strike w:val="0"/>
      <w:dstrike w:val="0"/>
      <w:outline w:val="0"/>
      <w:shadow w:val="0"/>
      <w:vanish w:val="0"/>
      <w:position w:val="0"/>
      <w:sz w:val="20"/>
      <w:vertAlign w:val="baseline"/>
    </w:rPr>
  </w:style>
  <w:style w:type="character" w:customStyle="1" w:styleId="WW8Num100z3">
    <w:name w:val="WW8Num100z3"/>
    <w:rsid w:val="00605F76"/>
    <w:rPr>
      <w:rFonts w:ascii="Times New Roman" w:hAnsi="Times New Roman"/>
      <w:b w:val="0"/>
      <w:i w:val="0"/>
      <w:strike w:val="0"/>
      <w:dstrike w:val="0"/>
      <w:outline w:val="0"/>
      <w:shadow w:val="0"/>
      <w:vanish w:val="0"/>
      <w:position w:val="0"/>
      <w:sz w:val="20"/>
      <w:vertAlign w:val="baseline"/>
    </w:rPr>
  </w:style>
  <w:style w:type="character" w:customStyle="1" w:styleId="WW8Num100z4">
    <w:name w:val="WW8Num100z4"/>
    <w:rsid w:val="00605F76"/>
    <w:rPr>
      <w:b/>
      <w:i w:val="0"/>
    </w:rPr>
  </w:style>
  <w:style w:type="character" w:customStyle="1" w:styleId="WW8Num102z0">
    <w:name w:val="WW8Num102z0"/>
    <w:rsid w:val="00605F76"/>
    <w:rPr>
      <w:rFonts w:ascii="Times New Roman" w:hAnsi="Times New Roman"/>
    </w:rPr>
  </w:style>
  <w:style w:type="character" w:customStyle="1" w:styleId="WW8Num107z1">
    <w:name w:val="WW8Num107z1"/>
    <w:rsid w:val="00605F76"/>
    <w:rPr>
      <w:rFonts w:ascii="Courier New" w:hAnsi="Courier New"/>
    </w:rPr>
  </w:style>
  <w:style w:type="character" w:customStyle="1" w:styleId="WW8Num107z2">
    <w:name w:val="WW8Num107z2"/>
    <w:rsid w:val="00605F76"/>
    <w:rPr>
      <w:rFonts w:ascii="Wingdings" w:hAnsi="Wingdings"/>
    </w:rPr>
  </w:style>
  <w:style w:type="character" w:customStyle="1" w:styleId="WW8Num107z3">
    <w:name w:val="WW8Num107z3"/>
    <w:rsid w:val="00605F76"/>
    <w:rPr>
      <w:rFonts w:ascii="Symbol" w:hAnsi="Symbol"/>
    </w:rPr>
  </w:style>
  <w:style w:type="character" w:customStyle="1" w:styleId="WW8Num112z2">
    <w:name w:val="WW8Num112z2"/>
    <w:rsid w:val="00605F76"/>
    <w:rPr>
      <w:rFonts w:ascii="Symbol" w:hAnsi="Symbol"/>
    </w:rPr>
  </w:style>
  <w:style w:type="character" w:customStyle="1" w:styleId="WW8Num112z4">
    <w:name w:val="WW8Num112z4"/>
    <w:rsid w:val="00605F76"/>
    <w:rPr>
      <w:rFonts w:ascii="Courier New" w:hAnsi="Courier New"/>
    </w:rPr>
  </w:style>
  <w:style w:type="character" w:customStyle="1" w:styleId="WW8Num112z5">
    <w:name w:val="WW8Num112z5"/>
    <w:rsid w:val="00605F76"/>
    <w:rPr>
      <w:rFonts w:ascii="Wingdings" w:hAnsi="Wingdings"/>
    </w:rPr>
  </w:style>
  <w:style w:type="character" w:customStyle="1" w:styleId="WW8Num114z0">
    <w:name w:val="WW8Num114z0"/>
    <w:rsid w:val="00605F76"/>
    <w:rPr>
      <w:rFonts w:ascii="Times New Roman" w:hAnsi="Times New Roman"/>
    </w:rPr>
  </w:style>
  <w:style w:type="character" w:customStyle="1" w:styleId="WW8Num114z1">
    <w:name w:val="WW8Num114z1"/>
    <w:rsid w:val="00605F76"/>
    <w:rPr>
      <w:rFonts w:ascii="Courier New" w:hAnsi="Courier New"/>
    </w:rPr>
  </w:style>
  <w:style w:type="character" w:customStyle="1" w:styleId="WW8Num114z2">
    <w:name w:val="WW8Num114z2"/>
    <w:rsid w:val="00605F76"/>
    <w:rPr>
      <w:rFonts w:ascii="Wingdings" w:hAnsi="Wingdings"/>
    </w:rPr>
  </w:style>
  <w:style w:type="character" w:customStyle="1" w:styleId="WW8Num114z3">
    <w:name w:val="WW8Num114z3"/>
    <w:rsid w:val="00605F76"/>
    <w:rPr>
      <w:rFonts w:ascii="Symbol" w:hAnsi="Symbol"/>
    </w:rPr>
  </w:style>
  <w:style w:type="character" w:customStyle="1" w:styleId="WW8Num115z0">
    <w:name w:val="WW8Num115z0"/>
    <w:rsid w:val="00605F76"/>
    <w:rPr>
      <w:rFonts w:ascii="Times New Roman" w:hAnsi="Times New Roman"/>
    </w:rPr>
  </w:style>
  <w:style w:type="character" w:customStyle="1" w:styleId="WW8Num121z0">
    <w:name w:val="WW8Num121z0"/>
    <w:rsid w:val="00605F76"/>
    <w:rPr>
      <w:rFonts w:ascii="Times New Roman" w:hAnsi="Times New Roman"/>
    </w:rPr>
  </w:style>
  <w:style w:type="character" w:customStyle="1" w:styleId="WW8Num121z1">
    <w:name w:val="WW8Num121z1"/>
    <w:rsid w:val="00605F76"/>
    <w:rPr>
      <w:rFonts w:ascii="Courier New" w:hAnsi="Courier New"/>
    </w:rPr>
  </w:style>
  <w:style w:type="character" w:customStyle="1" w:styleId="WW8Num121z2">
    <w:name w:val="WW8Num121z2"/>
    <w:rsid w:val="00605F76"/>
    <w:rPr>
      <w:rFonts w:ascii="Wingdings" w:hAnsi="Wingdings"/>
    </w:rPr>
  </w:style>
  <w:style w:type="character" w:customStyle="1" w:styleId="WW8Num121z3">
    <w:name w:val="WW8Num121z3"/>
    <w:rsid w:val="00605F76"/>
    <w:rPr>
      <w:rFonts w:ascii="Symbol" w:hAnsi="Symbol"/>
    </w:rPr>
  </w:style>
  <w:style w:type="character" w:customStyle="1" w:styleId="WW8Num123z1">
    <w:name w:val="WW8Num123z1"/>
    <w:rsid w:val="00605F76"/>
    <w:rPr>
      <w:rFonts w:ascii="Courier New" w:hAnsi="Courier New"/>
    </w:rPr>
  </w:style>
  <w:style w:type="character" w:customStyle="1" w:styleId="WW8Num123z2">
    <w:name w:val="WW8Num123z2"/>
    <w:rsid w:val="00605F76"/>
    <w:rPr>
      <w:rFonts w:ascii="Wingdings" w:hAnsi="Wingdings"/>
    </w:rPr>
  </w:style>
  <w:style w:type="character" w:customStyle="1" w:styleId="WW8Num123z3">
    <w:name w:val="WW8Num123z3"/>
    <w:rsid w:val="00605F76"/>
    <w:rPr>
      <w:rFonts w:ascii="Symbol" w:hAnsi="Symbol"/>
    </w:rPr>
  </w:style>
  <w:style w:type="character" w:customStyle="1" w:styleId="WW8Num125z0">
    <w:name w:val="WW8Num125z0"/>
    <w:rsid w:val="00605F76"/>
    <w:rPr>
      <w:rFonts w:ascii="Symbol" w:hAnsi="Symbol"/>
    </w:rPr>
  </w:style>
  <w:style w:type="character" w:customStyle="1" w:styleId="WW8Num127z0">
    <w:name w:val="WW8Num127z0"/>
    <w:rsid w:val="00605F76"/>
    <w:rPr>
      <w:rFonts w:ascii="Times New Roman" w:hAnsi="Times New Roman"/>
    </w:rPr>
  </w:style>
  <w:style w:type="character" w:customStyle="1" w:styleId="WW8Num128z0">
    <w:name w:val="WW8Num128z0"/>
    <w:rsid w:val="00605F76"/>
    <w:rPr>
      <w:rFonts w:ascii="Times New Roman" w:hAnsi="Times New Roman"/>
    </w:rPr>
  </w:style>
  <w:style w:type="character" w:customStyle="1" w:styleId="WW8Num129z0">
    <w:name w:val="WW8Num129z0"/>
    <w:rsid w:val="00605F76"/>
    <w:rPr>
      <w:rFonts w:ascii="Symbol" w:hAnsi="Symbol"/>
    </w:rPr>
  </w:style>
  <w:style w:type="character" w:customStyle="1" w:styleId="WW8Num132z0">
    <w:name w:val="WW8Num132z0"/>
    <w:rsid w:val="00605F76"/>
    <w:rPr>
      <w:rFonts w:ascii="Symbol" w:hAnsi="Symbol"/>
    </w:rPr>
  </w:style>
  <w:style w:type="character" w:customStyle="1" w:styleId="WW8Num139z2">
    <w:name w:val="WW8Num139z2"/>
    <w:rsid w:val="00605F76"/>
    <w:rPr>
      <w:rFonts w:ascii="Wingdings" w:hAnsi="Wingdings"/>
    </w:rPr>
  </w:style>
  <w:style w:type="character" w:customStyle="1" w:styleId="WW8Num139z3">
    <w:name w:val="WW8Num139z3"/>
    <w:rsid w:val="00605F76"/>
    <w:rPr>
      <w:rFonts w:ascii="Symbol" w:hAnsi="Symbol"/>
    </w:rPr>
  </w:style>
  <w:style w:type="character" w:customStyle="1" w:styleId="WW8Num139z4">
    <w:name w:val="WW8Num139z4"/>
    <w:rsid w:val="00605F76"/>
    <w:rPr>
      <w:rFonts w:ascii="Courier New" w:hAnsi="Courier New"/>
    </w:rPr>
  </w:style>
  <w:style w:type="character" w:customStyle="1" w:styleId="WW8Num142z0">
    <w:name w:val="WW8Num142z0"/>
    <w:rsid w:val="00605F76"/>
    <w:rPr>
      <w:rFonts w:ascii="Arial" w:hAnsi="Arial"/>
      <w:b/>
      <w:i w:val="0"/>
      <w:sz w:val="24"/>
    </w:rPr>
  </w:style>
  <w:style w:type="character" w:customStyle="1" w:styleId="WW8Num142z1">
    <w:name w:val="WW8Num142z1"/>
    <w:rsid w:val="00605F76"/>
    <w:rPr>
      <w:rFonts w:ascii="Arial" w:hAnsi="Arial"/>
      <w:b/>
      <w:i w:val="0"/>
      <w:sz w:val="20"/>
    </w:rPr>
  </w:style>
  <w:style w:type="character" w:customStyle="1" w:styleId="WW8Num153z0">
    <w:name w:val="WW8Num153z0"/>
    <w:rsid w:val="00605F76"/>
    <w:rPr>
      <w:rFonts w:ascii="Times New Roman" w:hAnsi="Times New Roman"/>
    </w:rPr>
  </w:style>
  <w:style w:type="character" w:customStyle="1" w:styleId="WW8Num156z1">
    <w:name w:val="WW8Num156z1"/>
    <w:rsid w:val="00605F76"/>
    <w:rPr>
      <w:rFonts w:ascii="Courier New" w:hAnsi="Courier New"/>
    </w:rPr>
  </w:style>
  <w:style w:type="character" w:customStyle="1" w:styleId="WW8Num156z2">
    <w:name w:val="WW8Num156z2"/>
    <w:rsid w:val="00605F76"/>
    <w:rPr>
      <w:rFonts w:ascii="Wingdings" w:hAnsi="Wingdings"/>
    </w:rPr>
  </w:style>
  <w:style w:type="character" w:customStyle="1" w:styleId="WW8Num156z3">
    <w:name w:val="WW8Num156z3"/>
    <w:rsid w:val="00605F76"/>
    <w:rPr>
      <w:rFonts w:ascii="Symbol" w:hAnsi="Symbol"/>
    </w:rPr>
  </w:style>
  <w:style w:type="character" w:customStyle="1" w:styleId="WW8Num160z0">
    <w:name w:val="WW8Num160z0"/>
    <w:rsid w:val="00605F76"/>
    <w:rPr>
      <w:rFonts w:ascii="Arial" w:hAnsi="Arial"/>
      <w:b/>
      <w:i w:val="0"/>
      <w:sz w:val="24"/>
    </w:rPr>
  </w:style>
  <w:style w:type="character" w:customStyle="1" w:styleId="WW8Num160z1">
    <w:name w:val="WW8Num160z1"/>
    <w:rsid w:val="00605F76"/>
    <w:rPr>
      <w:rFonts w:ascii="Arial" w:hAnsi="Arial"/>
      <w:b/>
      <w:i w:val="0"/>
      <w:sz w:val="20"/>
    </w:rPr>
  </w:style>
  <w:style w:type="character" w:customStyle="1" w:styleId="WW8Num161z0">
    <w:name w:val="WW8Num161z0"/>
    <w:rsid w:val="00605F76"/>
    <w:rPr>
      <w:rFonts w:ascii="Times New Roman" w:hAnsi="Times New Roman"/>
    </w:rPr>
  </w:style>
  <w:style w:type="character" w:customStyle="1" w:styleId="WW8Num161z1">
    <w:name w:val="WW8Num161z1"/>
    <w:rsid w:val="00605F76"/>
    <w:rPr>
      <w:rFonts w:ascii="Courier New" w:hAnsi="Courier New"/>
    </w:rPr>
  </w:style>
  <w:style w:type="character" w:customStyle="1" w:styleId="WW8Num161z2">
    <w:name w:val="WW8Num161z2"/>
    <w:rsid w:val="00605F76"/>
    <w:rPr>
      <w:rFonts w:ascii="Wingdings" w:hAnsi="Wingdings"/>
    </w:rPr>
  </w:style>
  <w:style w:type="character" w:customStyle="1" w:styleId="WW8Num161z3">
    <w:name w:val="WW8Num161z3"/>
    <w:rsid w:val="00605F76"/>
    <w:rPr>
      <w:rFonts w:ascii="Symbol" w:hAnsi="Symbol"/>
    </w:rPr>
  </w:style>
  <w:style w:type="character" w:customStyle="1" w:styleId="WW8Num162z0">
    <w:name w:val="WW8Num162z0"/>
    <w:rsid w:val="00605F76"/>
    <w:rPr>
      <w:rFonts w:ascii="Times New Roman" w:hAnsi="Times New Roman"/>
    </w:rPr>
  </w:style>
  <w:style w:type="character" w:customStyle="1" w:styleId="WW8Num172z0">
    <w:name w:val="WW8Num172z0"/>
    <w:rsid w:val="00605F76"/>
    <w:rPr>
      <w:rFonts w:ascii="Symbol" w:hAnsi="Symbol"/>
    </w:rPr>
  </w:style>
  <w:style w:type="character" w:customStyle="1" w:styleId="WW8Num180z0">
    <w:name w:val="WW8Num180z0"/>
    <w:rsid w:val="00605F76"/>
    <w:rPr>
      <w:rFonts w:ascii="Symbol" w:hAnsi="Symbol"/>
    </w:rPr>
  </w:style>
  <w:style w:type="character" w:customStyle="1" w:styleId="WW8Num191z0">
    <w:name w:val="WW8Num191z0"/>
    <w:rsid w:val="00605F76"/>
    <w:rPr>
      <w:rFonts w:ascii="Times New Roman" w:hAnsi="Times New Roman"/>
      <w:b/>
      <w:i w:val="0"/>
      <w:caps w:val="0"/>
      <w:smallCaps w:val="0"/>
      <w:strike w:val="0"/>
      <w:dstrike w:val="0"/>
      <w:outline w:val="0"/>
      <w:shadow w:val="0"/>
      <w:vanish w:val="0"/>
      <w:color w:val="auto"/>
      <w:position w:val="0"/>
      <w:sz w:val="28"/>
      <w:vertAlign w:val="baseline"/>
    </w:rPr>
  </w:style>
  <w:style w:type="character" w:customStyle="1" w:styleId="WW8Num191z1">
    <w:name w:val="WW8Num191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198z0">
    <w:name w:val="WW8Num198z0"/>
    <w:rsid w:val="00605F76"/>
    <w:rPr>
      <w:rFonts w:ascii="Times New Roman" w:hAnsi="Times New Roman"/>
      <w:b/>
      <w:i w:val="0"/>
      <w:caps/>
      <w:strike w:val="0"/>
      <w:dstrike w:val="0"/>
      <w:outline w:val="0"/>
      <w:shadow w:val="0"/>
      <w:vanish w:val="0"/>
      <w:color w:val="auto"/>
      <w:position w:val="0"/>
      <w:sz w:val="28"/>
      <w:vertAlign w:val="baseline"/>
    </w:rPr>
  </w:style>
  <w:style w:type="character" w:customStyle="1" w:styleId="WW8Num198z1">
    <w:name w:val="WW8Num198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199z0">
    <w:name w:val="WW8Num199z0"/>
    <w:rsid w:val="00605F76"/>
    <w:rPr>
      <w:rFonts w:ascii="Symbol" w:hAnsi="Symbol"/>
    </w:rPr>
  </w:style>
  <w:style w:type="character" w:customStyle="1" w:styleId="WW8Num205z0">
    <w:name w:val="WW8Num205z0"/>
    <w:rsid w:val="00605F76"/>
    <w:rPr>
      <w:rFonts w:ascii="Symbol" w:hAnsi="Symbol"/>
    </w:rPr>
  </w:style>
  <w:style w:type="character" w:customStyle="1" w:styleId="WW8Num207z0">
    <w:name w:val="WW8Num207z0"/>
    <w:rsid w:val="00605F76"/>
    <w:rPr>
      <w:rFonts w:ascii="Symbol" w:hAnsi="Symbol"/>
    </w:rPr>
  </w:style>
  <w:style w:type="character" w:customStyle="1" w:styleId="WW8Num210z0">
    <w:name w:val="WW8Num210z0"/>
    <w:rsid w:val="00605F76"/>
    <w:rPr>
      <w:rFonts w:ascii="Times New Roman" w:hAnsi="Times New Roman"/>
    </w:rPr>
  </w:style>
  <w:style w:type="character" w:customStyle="1" w:styleId="WW8Num214z0">
    <w:name w:val="WW8Num214z0"/>
    <w:rsid w:val="00605F76"/>
    <w:rPr>
      <w:rFonts w:ascii="Times New Roman" w:hAnsi="Times New Roman"/>
    </w:rPr>
  </w:style>
  <w:style w:type="character" w:customStyle="1" w:styleId="WW8Num222z1">
    <w:name w:val="WW8Num222z1"/>
    <w:rsid w:val="00605F76"/>
    <w:rPr>
      <w:rFonts w:ascii="Courier New" w:hAnsi="Courier New"/>
    </w:rPr>
  </w:style>
  <w:style w:type="character" w:customStyle="1" w:styleId="WW8Num222z2">
    <w:name w:val="WW8Num222z2"/>
    <w:rsid w:val="00605F76"/>
    <w:rPr>
      <w:rFonts w:ascii="Wingdings" w:hAnsi="Wingdings"/>
    </w:rPr>
  </w:style>
  <w:style w:type="character" w:customStyle="1" w:styleId="WW8Num222z3">
    <w:name w:val="WW8Num222z3"/>
    <w:rsid w:val="00605F76"/>
    <w:rPr>
      <w:rFonts w:ascii="Symbol" w:hAnsi="Symbol"/>
    </w:rPr>
  </w:style>
  <w:style w:type="character" w:customStyle="1" w:styleId="WW8Num224z1">
    <w:name w:val="WW8Num224z1"/>
    <w:rsid w:val="00605F76"/>
    <w:rPr>
      <w:rFonts w:ascii="Courier New" w:hAnsi="Courier New"/>
    </w:rPr>
  </w:style>
  <w:style w:type="character" w:customStyle="1" w:styleId="WW8Num224z2">
    <w:name w:val="WW8Num224z2"/>
    <w:rsid w:val="00605F76"/>
    <w:rPr>
      <w:rFonts w:ascii="Wingdings" w:hAnsi="Wingdings"/>
    </w:rPr>
  </w:style>
  <w:style w:type="character" w:customStyle="1" w:styleId="WW8Num224z3">
    <w:name w:val="WW8Num224z3"/>
    <w:rsid w:val="00605F76"/>
    <w:rPr>
      <w:rFonts w:ascii="Symbol" w:hAnsi="Symbol"/>
    </w:rPr>
  </w:style>
  <w:style w:type="character" w:customStyle="1" w:styleId="WW8Num225z0">
    <w:name w:val="WW8Num225z0"/>
    <w:rsid w:val="00605F76"/>
    <w:rPr>
      <w:b w:val="0"/>
    </w:rPr>
  </w:style>
  <w:style w:type="character" w:customStyle="1" w:styleId="WW8Num233z0">
    <w:name w:val="WW8Num233z0"/>
    <w:rsid w:val="00605F76"/>
    <w:rPr>
      <w:rFonts w:ascii="Times New Roman" w:hAnsi="Times New Roman"/>
    </w:rPr>
  </w:style>
  <w:style w:type="character" w:customStyle="1" w:styleId="WW8Num233z1">
    <w:name w:val="WW8Num233z1"/>
    <w:rsid w:val="00605F76"/>
    <w:rPr>
      <w:rFonts w:ascii="Courier New" w:hAnsi="Courier New"/>
    </w:rPr>
  </w:style>
  <w:style w:type="character" w:customStyle="1" w:styleId="WW8Num233z2">
    <w:name w:val="WW8Num233z2"/>
    <w:rsid w:val="00605F76"/>
    <w:rPr>
      <w:rFonts w:ascii="Wingdings" w:hAnsi="Wingdings"/>
    </w:rPr>
  </w:style>
  <w:style w:type="character" w:customStyle="1" w:styleId="WW8Num233z3">
    <w:name w:val="WW8Num233z3"/>
    <w:rsid w:val="00605F76"/>
    <w:rPr>
      <w:rFonts w:ascii="Symbol" w:hAnsi="Symbol"/>
    </w:rPr>
  </w:style>
  <w:style w:type="character" w:customStyle="1" w:styleId="WW8Num235z0">
    <w:name w:val="WW8Num235z0"/>
    <w:rsid w:val="00605F76"/>
    <w:rPr>
      <w:rFonts w:ascii="Symbol" w:hAnsi="Symbol"/>
    </w:rPr>
  </w:style>
  <w:style w:type="character" w:customStyle="1" w:styleId="WW8Num236z0">
    <w:name w:val="WW8Num236z0"/>
    <w:rsid w:val="00605F76"/>
    <w:rPr>
      <w:rFonts w:ascii="Times New Roman" w:hAnsi="Times New Roman"/>
      <w:b w:val="0"/>
      <w:i w:val="0"/>
      <w:sz w:val="24"/>
    </w:rPr>
  </w:style>
  <w:style w:type="character" w:customStyle="1" w:styleId="WW8Num238z0">
    <w:name w:val="WW8Num238z0"/>
    <w:rsid w:val="00605F76"/>
    <w:rPr>
      <w:rFonts w:ascii="Symbol" w:hAnsi="Symbol"/>
    </w:rPr>
  </w:style>
  <w:style w:type="character" w:customStyle="1" w:styleId="WW8Num239z1">
    <w:name w:val="WW8Num239z1"/>
    <w:rsid w:val="00605F76"/>
    <w:rPr>
      <w:rFonts w:ascii="Courier New" w:hAnsi="Courier New"/>
    </w:rPr>
  </w:style>
  <w:style w:type="character" w:customStyle="1" w:styleId="WW8Num239z2">
    <w:name w:val="WW8Num239z2"/>
    <w:rsid w:val="00605F76"/>
    <w:rPr>
      <w:rFonts w:ascii="Wingdings" w:hAnsi="Wingdings"/>
    </w:rPr>
  </w:style>
  <w:style w:type="character" w:customStyle="1" w:styleId="WW8Num239z3">
    <w:name w:val="WW8Num239z3"/>
    <w:rsid w:val="00605F76"/>
    <w:rPr>
      <w:rFonts w:ascii="Symbol" w:hAnsi="Symbol"/>
    </w:rPr>
  </w:style>
  <w:style w:type="character" w:customStyle="1" w:styleId="WW8Num241z0">
    <w:name w:val="WW8Num241z0"/>
    <w:rsid w:val="00605F76"/>
    <w:rPr>
      <w:rFonts w:ascii="Wingdings" w:hAnsi="Wingdings"/>
    </w:rPr>
  </w:style>
  <w:style w:type="character" w:customStyle="1" w:styleId="WW8Num243z1">
    <w:name w:val="WW8Num243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244z0">
    <w:name w:val="WW8Num244z0"/>
    <w:rsid w:val="00605F76"/>
    <w:rPr>
      <w:rFonts w:ascii="Symbol" w:hAnsi="Symbol"/>
    </w:rPr>
  </w:style>
  <w:style w:type="character" w:customStyle="1" w:styleId="WW8Num246z0">
    <w:name w:val="WW8Num246z0"/>
    <w:rsid w:val="00605F76"/>
    <w:rPr>
      <w:rFonts w:ascii="Symbol" w:hAnsi="Symbol"/>
    </w:rPr>
  </w:style>
  <w:style w:type="character" w:customStyle="1" w:styleId="WW8Num247z0">
    <w:name w:val="WW8Num247z0"/>
    <w:rsid w:val="00605F76"/>
    <w:rPr>
      <w:rFonts w:ascii="Times New Roman" w:hAnsi="Times New Roman"/>
      <w:b w:val="0"/>
      <w:i w:val="0"/>
      <w:sz w:val="24"/>
    </w:rPr>
  </w:style>
  <w:style w:type="character" w:customStyle="1" w:styleId="WW8Num253z0">
    <w:name w:val="WW8Num253z0"/>
    <w:rsid w:val="00605F76"/>
    <w:rPr>
      <w:rFonts w:ascii="Times New Roman" w:hAnsi="Times New Roman"/>
    </w:rPr>
  </w:style>
  <w:style w:type="character" w:customStyle="1" w:styleId="WW8Num257z1">
    <w:name w:val="WW8Num257z1"/>
    <w:rsid w:val="00605F76"/>
    <w:rPr>
      <w:rFonts w:ascii="Courier New" w:hAnsi="Courier New"/>
    </w:rPr>
  </w:style>
  <w:style w:type="character" w:customStyle="1" w:styleId="WW8Num257z2">
    <w:name w:val="WW8Num257z2"/>
    <w:rsid w:val="00605F76"/>
    <w:rPr>
      <w:rFonts w:ascii="Wingdings" w:hAnsi="Wingdings"/>
    </w:rPr>
  </w:style>
  <w:style w:type="character" w:customStyle="1" w:styleId="WW8Num257z3">
    <w:name w:val="WW8Num257z3"/>
    <w:rsid w:val="00605F76"/>
    <w:rPr>
      <w:rFonts w:ascii="Symbol" w:hAnsi="Symbol"/>
    </w:rPr>
  </w:style>
  <w:style w:type="character" w:customStyle="1" w:styleId="WW8Num262z1">
    <w:name w:val="WW8Num262z1"/>
    <w:rsid w:val="00605F76"/>
    <w:rPr>
      <w:rFonts w:ascii="Courier New" w:hAnsi="Courier New"/>
    </w:rPr>
  </w:style>
  <w:style w:type="character" w:customStyle="1" w:styleId="WW8Num262z2">
    <w:name w:val="WW8Num262z2"/>
    <w:rsid w:val="00605F76"/>
    <w:rPr>
      <w:rFonts w:ascii="Wingdings" w:hAnsi="Wingdings"/>
    </w:rPr>
  </w:style>
  <w:style w:type="character" w:customStyle="1" w:styleId="WW8Num262z3">
    <w:name w:val="WW8Num262z3"/>
    <w:rsid w:val="00605F76"/>
    <w:rPr>
      <w:rFonts w:ascii="Symbol" w:hAnsi="Symbol"/>
    </w:rPr>
  </w:style>
  <w:style w:type="character" w:customStyle="1" w:styleId="WW8Num265z1">
    <w:name w:val="WW8Num265z1"/>
    <w:rsid w:val="00605F76"/>
    <w:rPr>
      <w:rFonts w:ascii="Courier New" w:hAnsi="Courier New"/>
    </w:rPr>
  </w:style>
  <w:style w:type="character" w:customStyle="1" w:styleId="WW8Num265z2">
    <w:name w:val="WW8Num265z2"/>
    <w:rsid w:val="00605F76"/>
    <w:rPr>
      <w:rFonts w:ascii="Wingdings" w:hAnsi="Wingdings"/>
    </w:rPr>
  </w:style>
  <w:style w:type="character" w:customStyle="1" w:styleId="WW8Num265z3">
    <w:name w:val="WW8Num265z3"/>
    <w:rsid w:val="00605F76"/>
    <w:rPr>
      <w:rFonts w:ascii="Symbol" w:hAnsi="Symbol"/>
    </w:rPr>
  </w:style>
  <w:style w:type="character" w:customStyle="1" w:styleId="WW8Num266z1">
    <w:name w:val="WW8Num266z1"/>
    <w:rsid w:val="00605F76"/>
    <w:rPr>
      <w:rFonts w:ascii="Courier New" w:hAnsi="Courier New"/>
    </w:rPr>
  </w:style>
  <w:style w:type="character" w:customStyle="1" w:styleId="WW8Num266z2">
    <w:name w:val="WW8Num266z2"/>
    <w:rsid w:val="00605F76"/>
    <w:rPr>
      <w:rFonts w:ascii="Wingdings" w:hAnsi="Wingdings"/>
    </w:rPr>
  </w:style>
  <w:style w:type="character" w:customStyle="1" w:styleId="WW8Num266z3">
    <w:name w:val="WW8Num266z3"/>
    <w:rsid w:val="00605F76"/>
    <w:rPr>
      <w:rFonts w:ascii="Symbol" w:hAnsi="Symbol"/>
    </w:rPr>
  </w:style>
  <w:style w:type="character" w:customStyle="1" w:styleId="WW8Num267z0">
    <w:name w:val="WW8Num267z0"/>
    <w:rsid w:val="00605F76"/>
    <w:rPr>
      <w:rFonts w:ascii="Symbol" w:hAnsi="Symbol"/>
    </w:rPr>
  </w:style>
  <w:style w:type="character" w:customStyle="1" w:styleId="WW8Num268z0">
    <w:name w:val="WW8Num268z0"/>
    <w:rsid w:val="00605F76"/>
    <w:rPr>
      <w:rFonts w:ascii="Arial" w:hAnsi="Arial"/>
      <w:b/>
      <w:i w:val="0"/>
      <w:sz w:val="24"/>
    </w:rPr>
  </w:style>
  <w:style w:type="character" w:customStyle="1" w:styleId="WW8Num268z1">
    <w:name w:val="WW8Num268z1"/>
    <w:rsid w:val="00605F76"/>
    <w:rPr>
      <w:rFonts w:ascii="Arial" w:hAnsi="Arial"/>
      <w:b/>
      <w:i w:val="0"/>
      <w:sz w:val="20"/>
    </w:rPr>
  </w:style>
  <w:style w:type="character" w:customStyle="1" w:styleId="WW8Num272z1">
    <w:name w:val="WW8Num272z1"/>
    <w:rsid w:val="00605F76"/>
    <w:rPr>
      <w:rFonts w:ascii="Courier New" w:hAnsi="Courier New"/>
    </w:rPr>
  </w:style>
  <w:style w:type="character" w:customStyle="1" w:styleId="WW8Num272z2">
    <w:name w:val="WW8Num272z2"/>
    <w:rsid w:val="00605F76"/>
    <w:rPr>
      <w:rFonts w:ascii="Wingdings" w:hAnsi="Wingdings"/>
    </w:rPr>
  </w:style>
  <w:style w:type="character" w:customStyle="1" w:styleId="WW8Num272z3">
    <w:name w:val="WW8Num272z3"/>
    <w:rsid w:val="00605F76"/>
    <w:rPr>
      <w:rFonts w:ascii="Symbol" w:hAnsi="Symbol"/>
    </w:rPr>
  </w:style>
  <w:style w:type="character" w:customStyle="1" w:styleId="WW8Num273z0">
    <w:name w:val="WW8Num273z0"/>
    <w:rsid w:val="00605F76"/>
    <w:rPr>
      <w:rFonts w:ascii="Times New Roman" w:hAnsi="Times New Roman"/>
    </w:rPr>
  </w:style>
  <w:style w:type="character" w:customStyle="1" w:styleId="WW8Num282z0">
    <w:name w:val="WW8Num282z0"/>
    <w:rsid w:val="00605F76"/>
    <w:rPr>
      <w:rFonts w:ascii="Symbol" w:hAnsi="Symbol"/>
    </w:rPr>
  </w:style>
  <w:style w:type="character" w:customStyle="1" w:styleId="WW8Num283z0">
    <w:name w:val="WW8Num283z0"/>
    <w:rsid w:val="00605F76"/>
    <w:rPr>
      <w:rFonts w:ascii="Symbol" w:hAnsi="Symbol"/>
    </w:rPr>
  </w:style>
  <w:style w:type="character" w:customStyle="1" w:styleId="WW8Num289z0">
    <w:name w:val="WW8Num289z0"/>
    <w:rsid w:val="00605F76"/>
    <w:rPr>
      <w:rFonts w:ascii="Symbol" w:hAnsi="Symbol"/>
    </w:rPr>
  </w:style>
  <w:style w:type="character" w:customStyle="1" w:styleId="WW8Num296z0">
    <w:name w:val="WW8Num296z0"/>
    <w:rsid w:val="00605F76"/>
    <w:rPr>
      <w:rFonts w:ascii="Symbol" w:hAnsi="Symbol"/>
    </w:rPr>
  </w:style>
  <w:style w:type="character" w:customStyle="1" w:styleId="WW8Num299z0">
    <w:name w:val="WW8Num299z0"/>
    <w:rsid w:val="00605F76"/>
    <w:rPr>
      <w:rFonts w:ascii="Times New Roman" w:hAnsi="Times New Roman"/>
    </w:rPr>
  </w:style>
  <w:style w:type="character" w:customStyle="1" w:styleId="WW8Num302z0">
    <w:name w:val="WW8Num302z0"/>
    <w:rsid w:val="00605F76"/>
    <w:rPr>
      <w:rFonts w:ascii="Symbol" w:hAnsi="Symbol"/>
    </w:rPr>
  </w:style>
  <w:style w:type="character" w:customStyle="1" w:styleId="WW8Num306z0">
    <w:name w:val="WW8Num306z0"/>
    <w:rsid w:val="00605F76"/>
    <w:rPr>
      <w:rFonts w:ascii="Symbol" w:hAnsi="Symbol"/>
    </w:rPr>
  </w:style>
  <w:style w:type="character" w:customStyle="1" w:styleId="WW8Num307z0">
    <w:name w:val="WW8Num307z0"/>
    <w:rsid w:val="00605F76"/>
    <w:rPr>
      <w:rFonts w:ascii="Symbol" w:hAnsi="Symbol"/>
    </w:rPr>
  </w:style>
  <w:style w:type="character" w:customStyle="1" w:styleId="WW8Num308z1">
    <w:name w:val="WW8Num308z1"/>
    <w:rsid w:val="00605F76"/>
    <w:rPr>
      <w:rFonts w:ascii="Courier New" w:hAnsi="Courier New"/>
    </w:rPr>
  </w:style>
  <w:style w:type="character" w:customStyle="1" w:styleId="WW8Num308z2">
    <w:name w:val="WW8Num308z2"/>
    <w:rsid w:val="00605F76"/>
    <w:rPr>
      <w:rFonts w:ascii="Wingdings" w:hAnsi="Wingdings"/>
    </w:rPr>
  </w:style>
  <w:style w:type="character" w:customStyle="1" w:styleId="WW8Num308z3">
    <w:name w:val="WW8Num308z3"/>
    <w:rsid w:val="00605F76"/>
    <w:rPr>
      <w:rFonts w:ascii="Symbol" w:hAnsi="Symbol"/>
    </w:rPr>
  </w:style>
  <w:style w:type="character" w:customStyle="1" w:styleId="WW8Num311z0">
    <w:name w:val="WW8Num311z0"/>
    <w:rsid w:val="00605F76"/>
    <w:rPr>
      <w:rFonts w:ascii="Symbol" w:hAnsi="Symbol"/>
    </w:rPr>
  </w:style>
  <w:style w:type="character" w:customStyle="1" w:styleId="WW8Num311z1">
    <w:name w:val="WW8Num311z1"/>
    <w:rsid w:val="00605F76"/>
    <w:rPr>
      <w:rFonts w:ascii="Courier New" w:hAnsi="Courier New"/>
    </w:rPr>
  </w:style>
  <w:style w:type="character" w:customStyle="1" w:styleId="WW8Num311z2">
    <w:name w:val="WW8Num311z2"/>
    <w:rsid w:val="00605F76"/>
    <w:rPr>
      <w:rFonts w:ascii="Wingdings" w:hAnsi="Wingdings"/>
    </w:rPr>
  </w:style>
  <w:style w:type="character" w:customStyle="1" w:styleId="WW8Num312z0">
    <w:name w:val="WW8Num312z0"/>
    <w:rsid w:val="00605F76"/>
    <w:rPr>
      <w:rFonts w:ascii="Symbol" w:hAnsi="Symbol"/>
    </w:rPr>
  </w:style>
  <w:style w:type="character" w:customStyle="1" w:styleId="WW8Num315z1">
    <w:name w:val="WW8Num315z1"/>
    <w:rsid w:val="00605F76"/>
    <w:rPr>
      <w:rFonts w:ascii="Courier New" w:hAnsi="Courier New"/>
    </w:rPr>
  </w:style>
  <w:style w:type="character" w:customStyle="1" w:styleId="WW8Num315z2">
    <w:name w:val="WW8Num315z2"/>
    <w:rsid w:val="00605F76"/>
    <w:rPr>
      <w:rFonts w:ascii="Wingdings" w:hAnsi="Wingdings"/>
    </w:rPr>
  </w:style>
  <w:style w:type="character" w:customStyle="1" w:styleId="WW8Num315z3">
    <w:name w:val="WW8Num315z3"/>
    <w:rsid w:val="00605F76"/>
    <w:rPr>
      <w:rFonts w:ascii="Symbol" w:hAnsi="Symbol"/>
    </w:rPr>
  </w:style>
  <w:style w:type="character" w:customStyle="1" w:styleId="WW8Num316z0">
    <w:name w:val="WW8Num316z0"/>
    <w:rsid w:val="00605F76"/>
    <w:rPr>
      <w:rFonts w:ascii="Symbol" w:hAnsi="Symbol"/>
    </w:rPr>
  </w:style>
  <w:style w:type="character" w:customStyle="1" w:styleId="WW8Num317z0">
    <w:name w:val="WW8Num317z0"/>
    <w:rsid w:val="00605F76"/>
    <w:rPr>
      <w:rFonts w:ascii="Symbol" w:hAnsi="Symbol"/>
    </w:rPr>
  </w:style>
  <w:style w:type="character" w:customStyle="1" w:styleId="WW8Num318z1">
    <w:name w:val="WW8Num318z1"/>
    <w:rsid w:val="00605F76"/>
    <w:rPr>
      <w:rFonts w:ascii="Courier New" w:hAnsi="Courier New"/>
    </w:rPr>
  </w:style>
  <w:style w:type="character" w:customStyle="1" w:styleId="WW8Num318z2">
    <w:name w:val="WW8Num318z2"/>
    <w:rsid w:val="00605F76"/>
    <w:rPr>
      <w:rFonts w:ascii="Wingdings" w:hAnsi="Wingdings"/>
    </w:rPr>
  </w:style>
  <w:style w:type="character" w:customStyle="1" w:styleId="WW8Num318z3">
    <w:name w:val="WW8Num318z3"/>
    <w:rsid w:val="00605F76"/>
    <w:rPr>
      <w:rFonts w:ascii="Symbol" w:hAnsi="Symbol"/>
    </w:rPr>
  </w:style>
  <w:style w:type="character" w:customStyle="1" w:styleId="WW8Num322z0">
    <w:name w:val="WW8Num322z0"/>
    <w:rsid w:val="00605F76"/>
    <w:rPr>
      <w:rFonts w:ascii="Symbol" w:hAnsi="Symbol"/>
    </w:rPr>
  </w:style>
  <w:style w:type="character" w:customStyle="1" w:styleId="WW8Num323z1">
    <w:name w:val="WW8Num323z1"/>
    <w:rsid w:val="00605F76"/>
    <w:rPr>
      <w:rFonts w:ascii="Courier New" w:hAnsi="Courier New"/>
    </w:rPr>
  </w:style>
  <w:style w:type="character" w:customStyle="1" w:styleId="WW8Num323z2">
    <w:name w:val="WW8Num323z2"/>
    <w:rsid w:val="00605F76"/>
    <w:rPr>
      <w:rFonts w:ascii="Wingdings" w:hAnsi="Wingdings"/>
    </w:rPr>
  </w:style>
  <w:style w:type="character" w:customStyle="1" w:styleId="WW8Num323z3">
    <w:name w:val="WW8Num323z3"/>
    <w:rsid w:val="00605F76"/>
    <w:rPr>
      <w:rFonts w:ascii="Symbol" w:hAnsi="Symbol"/>
    </w:rPr>
  </w:style>
  <w:style w:type="character" w:customStyle="1" w:styleId="WW8Num325z0">
    <w:name w:val="WW8Num325z0"/>
    <w:rsid w:val="00605F76"/>
    <w:rPr>
      <w:rFonts w:ascii="Times New Roman" w:hAnsi="Times New Roman"/>
    </w:rPr>
  </w:style>
  <w:style w:type="character" w:customStyle="1" w:styleId="WW8Num325z1">
    <w:name w:val="WW8Num325z1"/>
    <w:rsid w:val="00605F76"/>
    <w:rPr>
      <w:rFonts w:ascii="Courier New" w:hAnsi="Courier New"/>
    </w:rPr>
  </w:style>
  <w:style w:type="character" w:customStyle="1" w:styleId="WW8Num325z2">
    <w:name w:val="WW8Num325z2"/>
    <w:rsid w:val="00605F76"/>
    <w:rPr>
      <w:rFonts w:ascii="Wingdings" w:hAnsi="Wingdings"/>
    </w:rPr>
  </w:style>
  <w:style w:type="character" w:customStyle="1" w:styleId="WW8Num325z3">
    <w:name w:val="WW8Num325z3"/>
    <w:rsid w:val="00605F76"/>
    <w:rPr>
      <w:rFonts w:ascii="Symbol" w:hAnsi="Symbol"/>
    </w:rPr>
  </w:style>
  <w:style w:type="character" w:customStyle="1" w:styleId="WW8Num337z0">
    <w:name w:val="WW8Num337z0"/>
    <w:rsid w:val="00605F76"/>
    <w:rPr>
      <w:i w:val="0"/>
    </w:rPr>
  </w:style>
  <w:style w:type="character" w:customStyle="1" w:styleId="WW8Num340z0">
    <w:name w:val="WW8Num340z0"/>
    <w:rsid w:val="00605F76"/>
    <w:rPr>
      <w:rFonts w:ascii="Times New Roman" w:hAnsi="Times New Roman"/>
    </w:rPr>
  </w:style>
  <w:style w:type="character" w:customStyle="1" w:styleId="WW8Num340z1">
    <w:name w:val="WW8Num340z1"/>
    <w:rsid w:val="00605F76"/>
    <w:rPr>
      <w:rFonts w:ascii="Courier New" w:hAnsi="Courier New"/>
    </w:rPr>
  </w:style>
  <w:style w:type="character" w:customStyle="1" w:styleId="WW8Num340z2">
    <w:name w:val="WW8Num340z2"/>
    <w:rsid w:val="00605F76"/>
    <w:rPr>
      <w:rFonts w:ascii="Wingdings" w:hAnsi="Wingdings"/>
    </w:rPr>
  </w:style>
  <w:style w:type="character" w:customStyle="1" w:styleId="WW8Num340z3">
    <w:name w:val="WW8Num340z3"/>
    <w:rsid w:val="00605F76"/>
    <w:rPr>
      <w:rFonts w:ascii="Symbol" w:hAnsi="Symbol"/>
    </w:rPr>
  </w:style>
  <w:style w:type="character" w:customStyle="1" w:styleId="WW8Num344z0">
    <w:name w:val="WW8Num344z0"/>
    <w:rsid w:val="00605F76"/>
    <w:rPr>
      <w:rFonts w:ascii="Arial" w:hAnsi="Arial"/>
      <w:b/>
      <w:i w:val="0"/>
      <w:sz w:val="24"/>
    </w:rPr>
  </w:style>
  <w:style w:type="character" w:customStyle="1" w:styleId="WW8Num344z1">
    <w:name w:val="WW8Num344z1"/>
    <w:rsid w:val="00605F76"/>
    <w:rPr>
      <w:rFonts w:ascii="Arial" w:hAnsi="Arial"/>
      <w:b/>
      <w:i w:val="0"/>
      <w:sz w:val="20"/>
    </w:rPr>
  </w:style>
  <w:style w:type="character" w:customStyle="1" w:styleId="WW8Num346z1">
    <w:name w:val="WW8Num346z1"/>
    <w:rsid w:val="00605F76"/>
    <w:rPr>
      <w:rFonts w:ascii="Courier New" w:hAnsi="Courier New"/>
    </w:rPr>
  </w:style>
  <w:style w:type="character" w:customStyle="1" w:styleId="WW8Num346z2">
    <w:name w:val="WW8Num346z2"/>
    <w:rsid w:val="00605F76"/>
    <w:rPr>
      <w:rFonts w:ascii="Wingdings" w:hAnsi="Wingdings"/>
    </w:rPr>
  </w:style>
  <w:style w:type="character" w:customStyle="1" w:styleId="WW8Num346z3">
    <w:name w:val="WW8Num346z3"/>
    <w:rsid w:val="00605F76"/>
    <w:rPr>
      <w:rFonts w:ascii="Symbol" w:hAnsi="Symbol"/>
    </w:rPr>
  </w:style>
  <w:style w:type="character" w:customStyle="1" w:styleId="WW8Num347z0">
    <w:name w:val="WW8Num347z0"/>
    <w:rsid w:val="00605F76"/>
    <w:rPr>
      <w:rFonts w:ascii="Symbol" w:hAnsi="Symbol"/>
    </w:rPr>
  </w:style>
  <w:style w:type="character" w:customStyle="1" w:styleId="WW8Num350z0">
    <w:name w:val="WW8Num350z0"/>
    <w:rsid w:val="00605F76"/>
    <w:rPr>
      <w:rFonts w:ascii="Times New Roman" w:hAnsi="Times New Roman"/>
      <w:b w:val="0"/>
      <w:i w:val="0"/>
      <w:sz w:val="24"/>
    </w:rPr>
  </w:style>
  <w:style w:type="character" w:customStyle="1" w:styleId="WW8Num353z0">
    <w:name w:val="WW8Num353z0"/>
    <w:rsid w:val="00605F76"/>
    <w:rPr>
      <w:rFonts w:ascii="Times New Roman" w:hAnsi="Times New Roman"/>
    </w:rPr>
  </w:style>
  <w:style w:type="character" w:customStyle="1" w:styleId="WW8Num355z0">
    <w:name w:val="WW8Num355z0"/>
    <w:rsid w:val="00605F76"/>
    <w:rPr>
      <w:rFonts w:ascii="Symbol" w:hAnsi="Symbol"/>
    </w:rPr>
  </w:style>
  <w:style w:type="character" w:customStyle="1" w:styleId="WW8Num359z0">
    <w:name w:val="WW8Num359z0"/>
    <w:rsid w:val="00605F76"/>
    <w:rPr>
      <w:rFonts w:ascii="Symbol" w:hAnsi="Symbol"/>
    </w:rPr>
  </w:style>
  <w:style w:type="character" w:customStyle="1" w:styleId="WW8Num360z0">
    <w:name w:val="WW8Num360z0"/>
    <w:rsid w:val="00605F76"/>
    <w:rPr>
      <w:rFonts w:ascii="Symbol" w:hAnsi="Symbol"/>
    </w:rPr>
  </w:style>
  <w:style w:type="character" w:customStyle="1" w:styleId="WW8Num360z1">
    <w:name w:val="WW8Num360z1"/>
    <w:rsid w:val="00605F76"/>
    <w:rPr>
      <w:rFonts w:ascii="Courier New" w:hAnsi="Courier New"/>
    </w:rPr>
  </w:style>
  <w:style w:type="character" w:customStyle="1" w:styleId="WW8Num360z2">
    <w:name w:val="WW8Num360z2"/>
    <w:rsid w:val="00605F76"/>
    <w:rPr>
      <w:rFonts w:ascii="Wingdings" w:hAnsi="Wingdings"/>
    </w:rPr>
  </w:style>
  <w:style w:type="character" w:customStyle="1" w:styleId="WW8Num362z0">
    <w:name w:val="WW8Num362z0"/>
    <w:rsid w:val="00605F76"/>
    <w:rPr>
      <w:rFonts w:ascii="Symbol" w:hAnsi="Symbol"/>
    </w:rPr>
  </w:style>
  <w:style w:type="character" w:customStyle="1" w:styleId="WW8Num365z0">
    <w:name w:val="WW8Num365z0"/>
    <w:rsid w:val="00605F76"/>
    <w:rPr>
      <w:rFonts w:ascii="Symbol" w:hAnsi="Symbol"/>
    </w:rPr>
  </w:style>
  <w:style w:type="character" w:customStyle="1" w:styleId="WW8Num368z0">
    <w:name w:val="WW8Num368z0"/>
    <w:rsid w:val="00605F76"/>
    <w:rPr>
      <w:b w:val="0"/>
    </w:rPr>
  </w:style>
  <w:style w:type="character" w:customStyle="1" w:styleId="WW8Num377z0">
    <w:name w:val="WW8Num377z0"/>
    <w:rsid w:val="00605F76"/>
    <w:rPr>
      <w:rFonts w:ascii="Symbol" w:hAnsi="Symbol"/>
    </w:rPr>
  </w:style>
  <w:style w:type="character" w:customStyle="1" w:styleId="WW8Num381z0">
    <w:name w:val="WW8Num381z0"/>
    <w:rsid w:val="00605F76"/>
    <w:rPr>
      <w:rFonts w:ascii="Symbol" w:hAnsi="Symbol"/>
    </w:rPr>
  </w:style>
  <w:style w:type="character" w:customStyle="1" w:styleId="WW8Num383z0">
    <w:name w:val="WW8Num383z0"/>
    <w:rsid w:val="00605F76"/>
    <w:rPr>
      <w:rFonts w:ascii="Times New Roman" w:hAnsi="Times New Roman"/>
      <w:b/>
      <w:i w:val="0"/>
      <w:caps w:val="0"/>
      <w:smallCaps w:val="0"/>
      <w:strike w:val="0"/>
      <w:dstrike w:val="0"/>
      <w:outline w:val="0"/>
      <w:shadow w:val="0"/>
      <w:vanish w:val="0"/>
      <w:color w:val="auto"/>
      <w:position w:val="0"/>
      <w:sz w:val="24"/>
      <w:vertAlign w:val="baseline"/>
    </w:rPr>
  </w:style>
  <w:style w:type="character" w:customStyle="1" w:styleId="WW8Num383z1">
    <w:name w:val="WW8Num383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383z2">
    <w:name w:val="WW8Num383z2"/>
    <w:rsid w:val="00605F76"/>
    <w:rPr>
      <w:rFonts w:ascii="Times New Roman" w:hAnsi="Times New Roman"/>
      <w:b/>
      <w:i w:val="0"/>
      <w:sz w:val="20"/>
    </w:rPr>
  </w:style>
  <w:style w:type="character" w:customStyle="1" w:styleId="WW8Num386z1">
    <w:name w:val="WW8Num386z1"/>
    <w:rsid w:val="00605F76"/>
    <w:rPr>
      <w:rFonts w:ascii="Courier New" w:hAnsi="Courier New"/>
    </w:rPr>
  </w:style>
  <w:style w:type="character" w:customStyle="1" w:styleId="WW8Num386z2">
    <w:name w:val="WW8Num386z2"/>
    <w:rsid w:val="00605F76"/>
    <w:rPr>
      <w:rFonts w:ascii="Wingdings" w:hAnsi="Wingdings"/>
    </w:rPr>
  </w:style>
  <w:style w:type="character" w:customStyle="1" w:styleId="WW8Num386z3">
    <w:name w:val="WW8Num386z3"/>
    <w:rsid w:val="00605F76"/>
    <w:rPr>
      <w:rFonts w:ascii="Symbol" w:hAnsi="Symbol"/>
    </w:rPr>
  </w:style>
  <w:style w:type="character" w:customStyle="1" w:styleId="WW8Num390z0">
    <w:name w:val="WW8Num390z0"/>
    <w:rsid w:val="00605F76"/>
    <w:rPr>
      <w:rFonts w:ascii="Symbol" w:hAnsi="Symbol"/>
    </w:rPr>
  </w:style>
  <w:style w:type="character" w:customStyle="1" w:styleId="WW8Num392z1">
    <w:name w:val="WW8Num392z1"/>
    <w:rsid w:val="00605F76"/>
    <w:rPr>
      <w:rFonts w:ascii="Courier New" w:hAnsi="Courier New"/>
    </w:rPr>
  </w:style>
  <w:style w:type="character" w:customStyle="1" w:styleId="WW8Num392z2">
    <w:name w:val="WW8Num392z2"/>
    <w:rsid w:val="00605F76"/>
    <w:rPr>
      <w:rFonts w:ascii="Wingdings" w:hAnsi="Wingdings"/>
    </w:rPr>
  </w:style>
  <w:style w:type="character" w:customStyle="1" w:styleId="WW8Num392z3">
    <w:name w:val="WW8Num392z3"/>
    <w:rsid w:val="00605F76"/>
    <w:rPr>
      <w:rFonts w:ascii="Symbol" w:hAnsi="Symbol"/>
    </w:rPr>
  </w:style>
  <w:style w:type="character" w:customStyle="1" w:styleId="WW8Num393z0">
    <w:name w:val="WW8Num393z0"/>
    <w:rsid w:val="00605F76"/>
    <w:rPr>
      <w:rFonts w:ascii="Times New Roman" w:hAnsi="Times New Roman"/>
    </w:rPr>
  </w:style>
  <w:style w:type="character" w:customStyle="1" w:styleId="WW8Num394z0">
    <w:name w:val="WW8Num394z0"/>
    <w:rsid w:val="00605F76"/>
    <w:rPr>
      <w:rFonts w:ascii="Times New Roman" w:hAnsi="Times New Roman"/>
      <w:b w:val="0"/>
      <w:i w:val="0"/>
      <w:sz w:val="24"/>
    </w:rPr>
  </w:style>
  <w:style w:type="character" w:customStyle="1" w:styleId="WW8Num395z0">
    <w:name w:val="WW8Num395z0"/>
    <w:rsid w:val="00605F76"/>
    <w:rPr>
      <w:rFonts w:ascii="Symbol" w:hAnsi="Symbol"/>
    </w:rPr>
  </w:style>
  <w:style w:type="character" w:customStyle="1" w:styleId="WW8Num399z1">
    <w:name w:val="WW8Num399z1"/>
    <w:rsid w:val="00605F76"/>
    <w:rPr>
      <w:rFonts w:ascii="Courier New" w:hAnsi="Courier New"/>
    </w:rPr>
  </w:style>
  <w:style w:type="character" w:customStyle="1" w:styleId="WW8Num399z2">
    <w:name w:val="WW8Num399z2"/>
    <w:rsid w:val="00605F76"/>
    <w:rPr>
      <w:rFonts w:ascii="Wingdings" w:hAnsi="Wingdings"/>
    </w:rPr>
  </w:style>
  <w:style w:type="character" w:customStyle="1" w:styleId="WW8Num399z3">
    <w:name w:val="WW8Num399z3"/>
    <w:rsid w:val="00605F76"/>
    <w:rPr>
      <w:rFonts w:ascii="Symbol" w:hAnsi="Symbol"/>
    </w:rPr>
  </w:style>
  <w:style w:type="character" w:customStyle="1" w:styleId="WW8Num401z1">
    <w:name w:val="WW8Num401z1"/>
    <w:rsid w:val="00605F76"/>
    <w:rPr>
      <w:rFonts w:ascii="Courier New" w:hAnsi="Courier New"/>
    </w:rPr>
  </w:style>
  <w:style w:type="character" w:customStyle="1" w:styleId="WW8Num401z2">
    <w:name w:val="WW8Num401z2"/>
    <w:rsid w:val="00605F76"/>
    <w:rPr>
      <w:rFonts w:ascii="Wingdings" w:hAnsi="Wingdings"/>
    </w:rPr>
  </w:style>
  <w:style w:type="character" w:customStyle="1" w:styleId="WW8Num401z3">
    <w:name w:val="WW8Num401z3"/>
    <w:rsid w:val="00605F76"/>
    <w:rPr>
      <w:rFonts w:ascii="Symbol" w:hAnsi="Symbol"/>
    </w:rPr>
  </w:style>
  <w:style w:type="character" w:customStyle="1" w:styleId="WW8Num402z0">
    <w:name w:val="WW8Num402z0"/>
    <w:rsid w:val="00605F76"/>
    <w:rPr>
      <w:rFonts w:ascii="Symbol" w:hAnsi="Symbol"/>
    </w:rPr>
  </w:style>
  <w:style w:type="character" w:customStyle="1" w:styleId="WW8Num403z0">
    <w:name w:val="WW8Num403z0"/>
    <w:rsid w:val="00605F76"/>
    <w:rPr>
      <w:rFonts w:ascii="Symbol" w:hAnsi="Symbol"/>
    </w:rPr>
  </w:style>
  <w:style w:type="character" w:customStyle="1" w:styleId="WW8Num405z1">
    <w:name w:val="WW8Num405z1"/>
    <w:rsid w:val="00605F76"/>
    <w:rPr>
      <w:rFonts w:ascii="Courier New" w:hAnsi="Courier New"/>
    </w:rPr>
  </w:style>
  <w:style w:type="character" w:customStyle="1" w:styleId="WW8Num405z2">
    <w:name w:val="WW8Num405z2"/>
    <w:rsid w:val="00605F76"/>
    <w:rPr>
      <w:rFonts w:ascii="Wingdings" w:hAnsi="Wingdings"/>
    </w:rPr>
  </w:style>
  <w:style w:type="character" w:customStyle="1" w:styleId="WW8Num405z3">
    <w:name w:val="WW8Num405z3"/>
    <w:rsid w:val="00605F76"/>
    <w:rPr>
      <w:rFonts w:ascii="Symbol" w:hAnsi="Symbol"/>
    </w:rPr>
  </w:style>
  <w:style w:type="character" w:customStyle="1" w:styleId="WW8Num411z1">
    <w:name w:val="WW8Num411z1"/>
    <w:rsid w:val="00605F76"/>
    <w:rPr>
      <w:rFonts w:ascii="Courier New" w:hAnsi="Courier New"/>
    </w:rPr>
  </w:style>
  <w:style w:type="character" w:customStyle="1" w:styleId="WW8Num411z2">
    <w:name w:val="WW8Num411z2"/>
    <w:rsid w:val="00605F76"/>
    <w:rPr>
      <w:rFonts w:ascii="Wingdings" w:hAnsi="Wingdings"/>
    </w:rPr>
  </w:style>
  <w:style w:type="character" w:customStyle="1" w:styleId="WW8Num411z3">
    <w:name w:val="WW8Num411z3"/>
    <w:rsid w:val="00605F76"/>
    <w:rPr>
      <w:rFonts w:ascii="Symbol" w:hAnsi="Symbol"/>
    </w:rPr>
  </w:style>
  <w:style w:type="character" w:customStyle="1" w:styleId="WW8Num413z1">
    <w:name w:val="WW8Num413z1"/>
    <w:rsid w:val="00605F76"/>
    <w:rPr>
      <w:rFonts w:ascii="Courier New" w:hAnsi="Courier New"/>
    </w:rPr>
  </w:style>
  <w:style w:type="character" w:customStyle="1" w:styleId="WW8Num413z2">
    <w:name w:val="WW8Num413z2"/>
    <w:rsid w:val="00605F76"/>
    <w:rPr>
      <w:rFonts w:ascii="Wingdings" w:hAnsi="Wingdings"/>
    </w:rPr>
  </w:style>
  <w:style w:type="character" w:customStyle="1" w:styleId="WW8Num413z3">
    <w:name w:val="WW8Num413z3"/>
    <w:rsid w:val="00605F76"/>
    <w:rPr>
      <w:rFonts w:ascii="Symbol" w:hAnsi="Symbol"/>
    </w:rPr>
  </w:style>
  <w:style w:type="character" w:customStyle="1" w:styleId="WW8Num417z1">
    <w:name w:val="WW8Num417z1"/>
    <w:rsid w:val="00605F76"/>
    <w:rPr>
      <w:rFonts w:ascii="Courier New" w:hAnsi="Courier New"/>
    </w:rPr>
  </w:style>
  <w:style w:type="character" w:customStyle="1" w:styleId="WW8Num417z2">
    <w:name w:val="WW8Num417z2"/>
    <w:rsid w:val="00605F76"/>
    <w:rPr>
      <w:rFonts w:ascii="Wingdings" w:hAnsi="Wingdings"/>
    </w:rPr>
  </w:style>
  <w:style w:type="character" w:customStyle="1" w:styleId="WW8Num417z3">
    <w:name w:val="WW8Num417z3"/>
    <w:rsid w:val="00605F76"/>
    <w:rPr>
      <w:rFonts w:ascii="Symbol" w:hAnsi="Symbol"/>
    </w:rPr>
  </w:style>
  <w:style w:type="character" w:customStyle="1" w:styleId="WW8Num419z0">
    <w:name w:val="WW8Num419z0"/>
    <w:rsid w:val="00605F76"/>
    <w:rPr>
      <w:rFonts w:ascii="Times New Roman" w:hAnsi="Times New Roman"/>
    </w:rPr>
  </w:style>
  <w:style w:type="character" w:customStyle="1" w:styleId="WW8Num421z0">
    <w:name w:val="WW8Num421z0"/>
    <w:rsid w:val="00605F76"/>
    <w:rPr>
      <w:rFonts w:ascii="Times New Roman" w:hAnsi="Times New Roman"/>
    </w:rPr>
  </w:style>
  <w:style w:type="character" w:customStyle="1" w:styleId="WW8Num421z1">
    <w:name w:val="WW8Num421z1"/>
    <w:rsid w:val="00605F76"/>
    <w:rPr>
      <w:rFonts w:ascii="Courier New" w:hAnsi="Courier New"/>
    </w:rPr>
  </w:style>
  <w:style w:type="character" w:customStyle="1" w:styleId="WW8Num421z2">
    <w:name w:val="WW8Num421z2"/>
    <w:rsid w:val="00605F76"/>
    <w:rPr>
      <w:rFonts w:ascii="Wingdings" w:hAnsi="Wingdings"/>
    </w:rPr>
  </w:style>
  <w:style w:type="character" w:customStyle="1" w:styleId="WW8Num421z3">
    <w:name w:val="WW8Num421z3"/>
    <w:rsid w:val="00605F76"/>
    <w:rPr>
      <w:rFonts w:ascii="Symbol" w:hAnsi="Symbol"/>
    </w:rPr>
  </w:style>
  <w:style w:type="character" w:customStyle="1" w:styleId="WW8Num429z0">
    <w:name w:val="WW8Num429z0"/>
    <w:rsid w:val="00605F76"/>
    <w:rPr>
      <w:rFonts w:ascii="Times New Roman" w:hAnsi="Times New Roman"/>
    </w:rPr>
  </w:style>
  <w:style w:type="character" w:customStyle="1" w:styleId="WW8Num431z0">
    <w:name w:val="WW8Num431z0"/>
    <w:rsid w:val="00605F76"/>
    <w:rPr>
      <w:rFonts w:ascii="Symbol" w:hAnsi="Symbol"/>
    </w:rPr>
  </w:style>
  <w:style w:type="character" w:customStyle="1" w:styleId="WW8Num434z0">
    <w:name w:val="WW8Num434z0"/>
    <w:rsid w:val="00605F76"/>
    <w:rPr>
      <w:rFonts w:ascii="Times New Roman" w:hAnsi="Times New Roman"/>
    </w:rPr>
  </w:style>
  <w:style w:type="character" w:customStyle="1" w:styleId="WW8Num436z1">
    <w:name w:val="WW8Num436z1"/>
    <w:rsid w:val="00605F76"/>
    <w:rPr>
      <w:rFonts w:ascii="Courier New" w:hAnsi="Courier New"/>
    </w:rPr>
  </w:style>
  <w:style w:type="character" w:customStyle="1" w:styleId="WW8Num436z2">
    <w:name w:val="WW8Num436z2"/>
    <w:rsid w:val="00605F76"/>
    <w:rPr>
      <w:rFonts w:ascii="Wingdings" w:hAnsi="Wingdings"/>
    </w:rPr>
  </w:style>
  <w:style w:type="character" w:customStyle="1" w:styleId="WW8Num436z3">
    <w:name w:val="WW8Num436z3"/>
    <w:rsid w:val="00605F76"/>
    <w:rPr>
      <w:rFonts w:ascii="Symbol" w:hAnsi="Symbol"/>
    </w:rPr>
  </w:style>
  <w:style w:type="character" w:customStyle="1" w:styleId="WW8Num439z0">
    <w:name w:val="WW8Num439z0"/>
    <w:rsid w:val="00605F76"/>
    <w:rPr>
      <w:rFonts w:ascii="Symbol" w:hAnsi="Symbol"/>
    </w:rPr>
  </w:style>
  <w:style w:type="character" w:customStyle="1" w:styleId="WW8Num446z1">
    <w:name w:val="WW8Num446z1"/>
    <w:rsid w:val="00605F76"/>
    <w:rPr>
      <w:rFonts w:ascii="Courier New" w:hAnsi="Courier New"/>
    </w:rPr>
  </w:style>
  <w:style w:type="character" w:customStyle="1" w:styleId="WW8Num446z2">
    <w:name w:val="WW8Num446z2"/>
    <w:rsid w:val="00605F76"/>
    <w:rPr>
      <w:rFonts w:ascii="Wingdings" w:hAnsi="Wingdings"/>
    </w:rPr>
  </w:style>
  <w:style w:type="character" w:customStyle="1" w:styleId="WW8Num446z3">
    <w:name w:val="WW8Num446z3"/>
    <w:rsid w:val="00605F76"/>
    <w:rPr>
      <w:rFonts w:ascii="Symbol" w:hAnsi="Symbol"/>
    </w:rPr>
  </w:style>
  <w:style w:type="character" w:customStyle="1" w:styleId="WW8Num447z0">
    <w:name w:val="WW8Num447z0"/>
    <w:rsid w:val="00605F76"/>
    <w:rPr>
      <w:rFonts w:ascii="Times New Roman" w:hAnsi="Times New Roman"/>
      <w:b/>
      <w:i w:val="0"/>
      <w:color w:val="000000"/>
      <w:sz w:val="24"/>
      <w:u w:val="none"/>
    </w:rPr>
  </w:style>
  <w:style w:type="character" w:customStyle="1" w:styleId="WW8Num448z0">
    <w:name w:val="WW8Num448z0"/>
    <w:rsid w:val="00605F76"/>
    <w:rPr>
      <w:rFonts w:ascii="Symbol" w:hAnsi="Symbol"/>
    </w:rPr>
  </w:style>
  <w:style w:type="character" w:customStyle="1" w:styleId="WW8Num453z0">
    <w:name w:val="WW8Num453z0"/>
    <w:rsid w:val="00605F76"/>
    <w:rPr>
      <w:rFonts w:ascii="Symbol" w:hAnsi="Symbol"/>
    </w:rPr>
  </w:style>
  <w:style w:type="character" w:customStyle="1" w:styleId="WW8Num456z0">
    <w:name w:val="WW8Num456z0"/>
    <w:rsid w:val="00605F76"/>
    <w:rPr>
      <w:rFonts w:ascii="Symbol" w:hAnsi="Symbol"/>
    </w:rPr>
  </w:style>
  <w:style w:type="character" w:customStyle="1" w:styleId="WW8Num463z1">
    <w:name w:val="WW8Num463z1"/>
    <w:rsid w:val="00605F76"/>
    <w:rPr>
      <w:rFonts w:ascii="Courier New" w:hAnsi="Courier New"/>
    </w:rPr>
  </w:style>
  <w:style w:type="character" w:customStyle="1" w:styleId="WW8Num463z2">
    <w:name w:val="WW8Num463z2"/>
    <w:rsid w:val="00605F76"/>
    <w:rPr>
      <w:rFonts w:ascii="Wingdings" w:hAnsi="Wingdings"/>
    </w:rPr>
  </w:style>
  <w:style w:type="character" w:customStyle="1" w:styleId="WW8Num463z3">
    <w:name w:val="WW8Num463z3"/>
    <w:rsid w:val="00605F76"/>
    <w:rPr>
      <w:rFonts w:ascii="Symbol" w:hAnsi="Symbol"/>
    </w:rPr>
  </w:style>
  <w:style w:type="character" w:customStyle="1" w:styleId="WW8Num468z0">
    <w:name w:val="WW8Num468z0"/>
    <w:rsid w:val="00605F76"/>
    <w:rPr>
      <w:rFonts w:ascii="Times New Roman" w:hAnsi="Times New Roman"/>
    </w:rPr>
  </w:style>
  <w:style w:type="character" w:customStyle="1" w:styleId="WW8Num473z0">
    <w:name w:val="WW8Num473z0"/>
    <w:rsid w:val="00605F76"/>
    <w:rPr>
      <w:rFonts w:ascii="Times New Roman" w:hAnsi="Times New Roman"/>
    </w:rPr>
  </w:style>
  <w:style w:type="character" w:customStyle="1" w:styleId="WW8Num474z0">
    <w:name w:val="WW8Num474z0"/>
    <w:rsid w:val="00605F76"/>
    <w:rPr>
      <w:rFonts w:ascii="Times New Roman" w:hAnsi="Times New Roman"/>
    </w:rPr>
  </w:style>
  <w:style w:type="character" w:customStyle="1" w:styleId="WW8Num476z0">
    <w:name w:val="WW8Num476z0"/>
    <w:rsid w:val="00605F76"/>
    <w:rPr>
      <w:rFonts w:ascii="Symbol" w:hAnsi="Symbol"/>
    </w:rPr>
  </w:style>
  <w:style w:type="character" w:customStyle="1" w:styleId="WW8Num477z0">
    <w:name w:val="WW8Num477z0"/>
    <w:rsid w:val="00605F76"/>
    <w:rPr>
      <w:rFonts w:ascii="Times New Roman" w:hAnsi="Times New Roman"/>
      <w:b/>
      <w:i w:val="0"/>
      <w:strike w:val="0"/>
      <w:dstrike w:val="0"/>
      <w:outline w:val="0"/>
      <w:shadow w:val="0"/>
      <w:vanish w:val="0"/>
      <w:position w:val="0"/>
      <w:sz w:val="28"/>
      <w:vertAlign w:val="baseline"/>
    </w:rPr>
  </w:style>
  <w:style w:type="character" w:customStyle="1" w:styleId="WW8Num477z1">
    <w:name w:val="WW8Num477z1"/>
    <w:rsid w:val="00605F76"/>
    <w:rPr>
      <w:rFonts w:ascii="Times New Roman" w:hAnsi="Times New Roman"/>
      <w:b/>
      <w:i w:val="0"/>
      <w:strike w:val="0"/>
      <w:dstrike w:val="0"/>
      <w:outline w:val="0"/>
      <w:shadow w:val="0"/>
      <w:vanish w:val="0"/>
      <w:position w:val="0"/>
      <w:sz w:val="24"/>
      <w:vertAlign w:val="baseline"/>
    </w:rPr>
  </w:style>
  <w:style w:type="character" w:customStyle="1" w:styleId="WW8Num477z2">
    <w:name w:val="WW8Num477z2"/>
    <w:rsid w:val="00605F76"/>
    <w:rPr>
      <w:rFonts w:ascii="Times New Roman" w:hAnsi="Times New Roman"/>
      <w:b/>
      <w:i w:val="0"/>
      <w:strike w:val="0"/>
      <w:dstrike w:val="0"/>
      <w:outline w:val="0"/>
      <w:shadow w:val="0"/>
      <w:vanish w:val="0"/>
      <w:position w:val="0"/>
      <w:sz w:val="20"/>
      <w:vertAlign w:val="baseline"/>
    </w:rPr>
  </w:style>
  <w:style w:type="character" w:customStyle="1" w:styleId="WW8Num477z3">
    <w:name w:val="WW8Num477z3"/>
    <w:rsid w:val="00605F76"/>
    <w:rPr>
      <w:rFonts w:ascii="Times New Roman" w:hAnsi="Times New Roman"/>
      <w:b w:val="0"/>
      <w:i w:val="0"/>
      <w:caps/>
      <w:strike w:val="0"/>
      <w:dstrike w:val="0"/>
      <w:outline w:val="0"/>
      <w:shadow w:val="0"/>
      <w:vanish w:val="0"/>
      <w:position w:val="0"/>
      <w:sz w:val="20"/>
      <w:vertAlign w:val="baseline"/>
    </w:rPr>
  </w:style>
  <w:style w:type="character" w:customStyle="1" w:styleId="WW8Num477z4">
    <w:name w:val="WW8Num477z4"/>
    <w:rsid w:val="00605F76"/>
    <w:rPr>
      <w:b/>
    </w:rPr>
  </w:style>
  <w:style w:type="character" w:customStyle="1" w:styleId="WW8Num484z0">
    <w:name w:val="WW8Num484z0"/>
    <w:rsid w:val="00605F76"/>
    <w:rPr>
      <w:rFonts w:ascii="Symbol" w:hAnsi="Symbol"/>
    </w:rPr>
  </w:style>
  <w:style w:type="character" w:customStyle="1" w:styleId="WW8Num491z0">
    <w:name w:val="WW8Num491z0"/>
    <w:rsid w:val="00605F76"/>
    <w:rPr>
      <w:rFonts w:ascii="Symbol" w:hAnsi="Symbol"/>
    </w:rPr>
  </w:style>
  <w:style w:type="character" w:customStyle="1" w:styleId="WW8Num499z0">
    <w:name w:val="WW8Num499z0"/>
    <w:rsid w:val="00605F76"/>
    <w:rPr>
      <w:b/>
    </w:rPr>
  </w:style>
  <w:style w:type="character" w:customStyle="1" w:styleId="WW8Num500z0">
    <w:name w:val="WW8Num500z0"/>
    <w:rsid w:val="00605F76"/>
    <w:rPr>
      <w:rFonts w:ascii="Times New Roman" w:hAnsi="Times New Roman"/>
      <w:b/>
      <w:i w:val="0"/>
      <w:caps/>
      <w:strike w:val="0"/>
      <w:dstrike w:val="0"/>
      <w:outline w:val="0"/>
      <w:shadow w:val="0"/>
      <w:vanish w:val="0"/>
      <w:color w:val="auto"/>
      <w:position w:val="0"/>
      <w:sz w:val="28"/>
      <w:vertAlign w:val="baseline"/>
    </w:rPr>
  </w:style>
  <w:style w:type="character" w:customStyle="1" w:styleId="WW8Num500z1">
    <w:name w:val="WW8Num500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504z0">
    <w:name w:val="WW8Num504z0"/>
    <w:rsid w:val="00605F76"/>
    <w:rPr>
      <w:b/>
      <w:i/>
    </w:rPr>
  </w:style>
  <w:style w:type="character" w:customStyle="1" w:styleId="WW8Num507z1">
    <w:name w:val="WW8Num507z1"/>
    <w:rsid w:val="00605F76"/>
    <w:rPr>
      <w:rFonts w:ascii="Courier New" w:hAnsi="Courier New"/>
    </w:rPr>
  </w:style>
  <w:style w:type="character" w:customStyle="1" w:styleId="WW8Num507z2">
    <w:name w:val="WW8Num507z2"/>
    <w:rsid w:val="00605F76"/>
    <w:rPr>
      <w:rFonts w:ascii="Wingdings" w:hAnsi="Wingdings"/>
    </w:rPr>
  </w:style>
  <w:style w:type="character" w:customStyle="1" w:styleId="WW8Num507z3">
    <w:name w:val="WW8Num507z3"/>
    <w:rsid w:val="00605F76"/>
    <w:rPr>
      <w:rFonts w:ascii="Symbol" w:hAnsi="Symbol"/>
    </w:rPr>
  </w:style>
  <w:style w:type="character" w:customStyle="1" w:styleId="WW8Num510z1">
    <w:name w:val="WW8Num510z1"/>
    <w:rsid w:val="00605F76"/>
    <w:rPr>
      <w:rFonts w:ascii="Courier New" w:hAnsi="Courier New"/>
    </w:rPr>
  </w:style>
  <w:style w:type="character" w:customStyle="1" w:styleId="WW8Num510z2">
    <w:name w:val="WW8Num510z2"/>
    <w:rsid w:val="00605F76"/>
    <w:rPr>
      <w:rFonts w:ascii="Wingdings" w:hAnsi="Wingdings"/>
    </w:rPr>
  </w:style>
  <w:style w:type="character" w:customStyle="1" w:styleId="WW8Num510z3">
    <w:name w:val="WW8Num510z3"/>
    <w:rsid w:val="00605F76"/>
    <w:rPr>
      <w:rFonts w:ascii="Symbol" w:hAnsi="Symbol"/>
    </w:rPr>
  </w:style>
  <w:style w:type="character" w:customStyle="1" w:styleId="WW8Num511z0">
    <w:name w:val="WW8Num511z0"/>
    <w:rsid w:val="00605F76"/>
    <w:rPr>
      <w:b/>
      <w:sz w:val="24"/>
    </w:rPr>
  </w:style>
  <w:style w:type="character" w:customStyle="1" w:styleId="WW8Num513z0">
    <w:name w:val="WW8Num513z0"/>
    <w:rsid w:val="00605F76"/>
    <w:rPr>
      <w:b/>
    </w:rPr>
  </w:style>
  <w:style w:type="character" w:customStyle="1" w:styleId="WW8Num515z0">
    <w:name w:val="WW8Num515z0"/>
    <w:rsid w:val="00605F76"/>
    <w:rPr>
      <w:rFonts w:ascii="Times New Roman" w:hAnsi="Times New Roman"/>
    </w:rPr>
  </w:style>
  <w:style w:type="character" w:customStyle="1" w:styleId="WW8Num517z0">
    <w:name w:val="WW8Num517z0"/>
    <w:rsid w:val="00605F76"/>
    <w:rPr>
      <w:rFonts w:ascii="Times New Roman" w:hAnsi="Times New Roman"/>
    </w:rPr>
  </w:style>
  <w:style w:type="character" w:customStyle="1" w:styleId="WW8Num519z1">
    <w:name w:val="WW8Num519z1"/>
    <w:rsid w:val="00605F76"/>
    <w:rPr>
      <w:rFonts w:ascii="Courier New" w:hAnsi="Courier New"/>
    </w:rPr>
  </w:style>
  <w:style w:type="character" w:customStyle="1" w:styleId="WW8Num519z2">
    <w:name w:val="WW8Num519z2"/>
    <w:rsid w:val="00605F76"/>
    <w:rPr>
      <w:rFonts w:ascii="Wingdings" w:hAnsi="Wingdings"/>
    </w:rPr>
  </w:style>
  <w:style w:type="character" w:customStyle="1" w:styleId="WW8Num519z3">
    <w:name w:val="WW8Num519z3"/>
    <w:rsid w:val="00605F76"/>
    <w:rPr>
      <w:rFonts w:ascii="Symbol" w:hAnsi="Symbol"/>
    </w:rPr>
  </w:style>
  <w:style w:type="character" w:customStyle="1" w:styleId="WW8Num523z0">
    <w:name w:val="WW8Num523z0"/>
    <w:rsid w:val="00605F76"/>
    <w:rPr>
      <w:rFonts w:ascii="Arial" w:hAnsi="Arial"/>
      <w:b/>
      <w:i w:val="0"/>
      <w:sz w:val="24"/>
    </w:rPr>
  </w:style>
  <w:style w:type="character" w:customStyle="1" w:styleId="WW8Num523z1">
    <w:name w:val="WW8Num523z1"/>
    <w:rsid w:val="00605F76"/>
    <w:rPr>
      <w:rFonts w:ascii="Arial" w:hAnsi="Arial"/>
      <w:b/>
      <w:i w:val="0"/>
      <w:sz w:val="20"/>
    </w:rPr>
  </w:style>
  <w:style w:type="character" w:customStyle="1" w:styleId="WW8Num524z0">
    <w:name w:val="WW8Num524z0"/>
    <w:rsid w:val="00605F76"/>
    <w:rPr>
      <w:rFonts w:ascii="Times New Roman" w:hAnsi="Times New Roman"/>
    </w:rPr>
  </w:style>
  <w:style w:type="character" w:customStyle="1" w:styleId="WW8Num524z1">
    <w:name w:val="WW8Num524z1"/>
    <w:rsid w:val="00605F76"/>
    <w:rPr>
      <w:rFonts w:ascii="Courier New" w:hAnsi="Courier New"/>
    </w:rPr>
  </w:style>
  <w:style w:type="character" w:customStyle="1" w:styleId="WW8Num524z2">
    <w:name w:val="WW8Num524z2"/>
    <w:rsid w:val="00605F76"/>
    <w:rPr>
      <w:rFonts w:ascii="Wingdings" w:hAnsi="Wingdings"/>
    </w:rPr>
  </w:style>
  <w:style w:type="character" w:customStyle="1" w:styleId="WW8Num524z3">
    <w:name w:val="WW8Num524z3"/>
    <w:rsid w:val="00605F76"/>
    <w:rPr>
      <w:rFonts w:ascii="Symbol" w:hAnsi="Symbol"/>
    </w:rPr>
  </w:style>
  <w:style w:type="character" w:customStyle="1" w:styleId="WW8Num526z0">
    <w:name w:val="WW8Num526z0"/>
    <w:rsid w:val="00605F76"/>
    <w:rPr>
      <w:rFonts w:ascii="Times New Roman" w:hAnsi="Times New Roman"/>
    </w:rPr>
  </w:style>
  <w:style w:type="character" w:customStyle="1" w:styleId="WW8Num532z0">
    <w:name w:val="WW8Num532z0"/>
    <w:rsid w:val="00605F76"/>
    <w:rPr>
      <w:rFonts w:ascii="Symbol" w:hAnsi="Symbol"/>
    </w:rPr>
  </w:style>
  <w:style w:type="character" w:customStyle="1" w:styleId="WW8Num533z0">
    <w:name w:val="WW8Num533z0"/>
    <w:rsid w:val="00605F76"/>
    <w:rPr>
      <w:rFonts w:ascii="Symbol" w:hAnsi="Symbol"/>
    </w:rPr>
  </w:style>
  <w:style w:type="character" w:customStyle="1" w:styleId="WW8Num538z0">
    <w:name w:val="WW8Num538z0"/>
    <w:rsid w:val="00605F76"/>
    <w:rPr>
      <w:rFonts w:ascii="Symbol" w:hAnsi="Symbol"/>
    </w:rPr>
  </w:style>
  <w:style w:type="character" w:customStyle="1" w:styleId="WW8Num541z0">
    <w:name w:val="WW8Num541z0"/>
    <w:rsid w:val="00605F76"/>
    <w:rPr>
      <w:rFonts w:ascii="Times New Roman" w:hAnsi="Times New Roman"/>
      <w:b/>
      <w:i w:val="0"/>
      <w:caps w:val="0"/>
      <w:smallCaps w:val="0"/>
      <w:strike w:val="0"/>
      <w:dstrike w:val="0"/>
      <w:outline w:val="0"/>
      <w:shadow w:val="0"/>
      <w:vanish w:val="0"/>
      <w:color w:val="auto"/>
      <w:position w:val="0"/>
      <w:sz w:val="28"/>
      <w:vertAlign w:val="baseline"/>
    </w:rPr>
  </w:style>
  <w:style w:type="character" w:customStyle="1" w:styleId="WW8Num541z1">
    <w:name w:val="WW8Num541z1"/>
    <w:rsid w:val="00605F76"/>
    <w:rPr>
      <w:rFonts w:ascii="Times New Roman" w:hAnsi="Times New Roman"/>
      <w:b/>
      <w:i w:val="0"/>
      <w:caps w:val="0"/>
      <w:smallCaps w:val="0"/>
      <w:strike w:val="0"/>
      <w:dstrike w:val="0"/>
      <w:outline w:val="0"/>
      <w:shadow w:val="0"/>
      <w:vanish w:val="0"/>
      <w:position w:val="0"/>
      <w:sz w:val="24"/>
      <w:vertAlign w:val="baseline"/>
    </w:rPr>
  </w:style>
  <w:style w:type="character" w:customStyle="1" w:styleId="WW8NumSt265z0">
    <w:name w:val="WW8NumSt265z0"/>
    <w:rsid w:val="00605F76"/>
    <w:rPr>
      <w:rFonts w:ascii="Symbol" w:hAnsi="Symbol"/>
    </w:rPr>
  </w:style>
  <w:style w:type="character" w:customStyle="1" w:styleId="WW8NumSt317z0">
    <w:name w:val="WW8NumSt317z0"/>
    <w:rsid w:val="00605F76"/>
    <w:rPr>
      <w:rFonts w:ascii="Times New Roman" w:hAnsi="Times New Roman"/>
      <w:b w:val="0"/>
      <w:i w:val="0"/>
      <w:sz w:val="24"/>
    </w:rPr>
  </w:style>
  <w:style w:type="character" w:customStyle="1" w:styleId="WW-Domylnaczcionkaakapitu">
    <w:name w:val="WW-Domyślna czcionka akapitu"/>
    <w:rsid w:val="00605F76"/>
  </w:style>
  <w:style w:type="character" w:customStyle="1" w:styleId="Odsyaczdokomentarza">
    <w:name w:val="Odsyłacz do komentarza"/>
    <w:rsid w:val="00605F76"/>
    <w:rPr>
      <w:sz w:val="16"/>
    </w:rPr>
  </w:style>
  <w:style w:type="paragraph" w:styleId="Podpis">
    <w:name w:val="Signature"/>
    <w:basedOn w:val="Normalny"/>
    <w:link w:val="PodpisZnak"/>
    <w:rsid w:val="00605F76"/>
    <w:pPr>
      <w:suppressLineNumbers/>
      <w:suppressAutoHyphens/>
      <w:spacing w:before="120" w:after="120" w:line="240" w:lineRule="auto"/>
    </w:pPr>
    <w:rPr>
      <w:rFonts w:ascii="Times New Roman" w:eastAsia="Times New Roman" w:hAnsi="Times New Roman" w:cs="Tahoma"/>
      <w:i/>
      <w:iCs/>
      <w:sz w:val="20"/>
      <w:szCs w:val="20"/>
      <w:lang w:eastAsia="ar-SA"/>
    </w:rPr>
  </w:style>
  <w:style w:type="character" w:customStyle="1" w:styleId="PodpisZnak">
    <w:name w:val="Podpis Znak"/>
    <w:basedOn w:val="Domylnaczcionkaakapitu"/>
    <w:link w:val="Podpis"/>
    <w:rsid w:val="00605F76"/>
    <w:rPr>
      <w:rFonts w:ascii="Times New Roman" w:eastAsia="Times New Roman" w:hAnsi="Times New Roman" w:cs="Tahoma"/>
      <w:i/>
      <w:iCs/>
      <w:sz w:val="20"/>
      <w:szCs w:val="20"/>
      <w:lang w:eastAsia="ar-SA"/>
    </w:rPr>
  </w:style>
  <w:style w:type="paragraph" w:customStyle="1" w:styleId="Nagwek1Title1">
    <w:name w:val="Nagłówek 1.Title 1"/>
    <w:basedOn w:val="Normalny"/>
    <w:next w:val="Normalny"/>
    <w:rsid w:val="00605F76"/>
    <w:pPr>
      <w:keepNext/>
      <w:numPr>
        <w:numId w:val="280"/>
      </w:numPr>
      <w:suppressAutoHyphens/>
      <w:spacing w:after="0" w:line="240" w:lineRule="auto"/>
    </w:pPr>
    <w:rPr>
      <w:rFonts w:ascii="Times New Roman" w:eastAsia="Times New Roman" w:hAnsi="Times New Roman" w:cs="Times New Roman"/>
      <w:b/>
      <w:caps/>
      <w:sz w:val="28"/>
      <w:szCs w:val="20"/>
      <w:lang w:eastAsia="ar-SA"/>
    </w:rPr>
  </w:style>
  <w:style w:type="paragraph" w:customStyle="1" w:styleId="Nagwek2Title2">
    <w:name w:val="Nagłówek 2.Title 2"/>
    <w:basedOn w:val="Normalny"/>
    <w:next w:val="Normalny"/>
    <w:rsid w:val="00605F76"/>
    <w:pPr>
      <w:keepNext/>
      <w:suppressAutoHyphens/>
      <w:spacing w:after="0" w:line="240" w:lineRule="auto"/>
      <w:ind w:left="720" w:hanging="360"/>
    </w:pPr>
    <w:rPr>
      <w:rFonts w:ascii="Times New Roman" w:eastAsia="Times New Roman" w:hAnsi="Times New Roman" w:cs="Times New Roman"/>
      <w:sz w:val="20"/>
      <w:szCs w:val="20"/>
      <w:lang w:eastAsia="ar-SA"/>
    </w:rPr>
  </w:style>
  <w:style w:type="paragraph" w:customStyle="1" w:styleId="Zwykytekst1">
    <w:name w:val="Zwykły tekst1"/>
    <w:basedOn w:val="Normalny"/>
    <w:rsid w:val="00605F76"/>
    <w:pPr>
      <w:suppressAutoHyphens/>
      <w:spacing w:after="0" w:line="240" w:lineRule="auto"/>
    </w:pPr>
    <w:rPr>
      <w:rFonts w:ascii="Courier New" w:eastAsia="Times New Roman" w:hAnsi="Courier New" w:cs="Times New Roman"/>
      <w:sz w:val="20"/>
      <w:szCs w:val="20"/>
      <w:lang w:eastAsia="ar-SA"/>
    </w:rPr>
  </w:style>
  <w:style w:type="paragraph" w:customStyle="1" w:styleId="TxBrp1">
    <w:name w:val="TxBr_p1"/>
    <w:basedOn w:val="Normalny"/>
    <w:rsid w:val="00605F76"/>
    <w:pPr>
      <w:widowControl w:val="0"/>
      <w:tabs>
        <w:tab w:val="left" w:pos="204"/>
      </w:tabs>
      <w:suppressAutoHyphens/>
      <w:spacing w:after="0" w:line="238" w:lineRule="atLeast"/>
    </w:pPr>
    <w:rPr>
      <w:rFonts w:ascii="Times New Roman" w:eastAsia="Times New Roman" w:hAnsi="Times New Roman" w:cs="Times New Roman"/>
      <w:sz w:val="20"/>
      <w:szCs w:val="20"/>
      <w:lang w:eastAsia="ar-SA"/>
    </w:rPr>
  </w:style>
  <w:style w:type="paragraph" w:customStyle="1" w:styleId="TxBrp2">
    <w:name w:val="TxBr_p2"/>
    <w:basedOn w:val="Normalny"/>
    <w:rsid w:val="00605F76"/>
    <w:pPr>
      <w:widowControl w:val="0"/>
      <w:tabs>
        <w:tab w:val="left" w:pos="385"/>
      </w:tabs>
      <w:suppressAutoHyphens/>
      <w:spacing w:after="0" w:line="238" w:lineRule="atLeast"/>
      <w:ind w:left="855" w:hanging="385"/>
    </w:pPr>
    <w:rPr>
      <w:rFonts w:ascii="Times New Roman" w:eastAsia="Times New Roman" w:hAnsi="Times New Roman" w:cs="Times New Roman"/>
      <w:sz w:val="20"/>
      <w:szCs w:val="20"/>
      <w:lang w:eastAsia="ar-SA"/>
    </w:rPr>
  </w:style>
  <w:style w:type="paragraph" w:customStyle="1" w:styleId="11">
    <w:name w:val="1.1."/>
    <w:basedOn w:val="Normalny"/>
    <w:rsid w:val="00605F76"/>
    <w:pPr>
      <w:suppressAutoHyphens/>
      <w:spacing w:after="0" w:line="360" w:lineRule="auto"/>
      <w:ind w:left="1418" w:hanging="709"/>
      <w:jc w:val="both"/>
    </w:pPr>
    <w:rPr>
      <w:rFonts w:ascii="Times New Roman" w:eastAsia="Times New Roman" w:hAnsi="Times New Roman" w:cs="Times New Roman"/>
      <w:sz w:val="26"/>
      <w:szCs w:val="20"/>
      <w:lang w:eastAsia="ar-SA"/>
    </w:rPr>
  </w:style>
  <w:style w:type="paragraph" w:customStyle="1" w:styleId="Listawypunktowana">
    <w:name w:val="Lista wypunktowana"/>
    <w:basedOn w:val="Normalny"/>
    <w:rsid w:val="00605F76"/>
    <w:pPr>
      <w:suppressAutoHyphens/>
      <w:spacing w:after="0" w:line="240" w:lineRule="auto"/>
    </w:pPr>
    <w:rPr>
      <w:rFonts w:ascii="Arial" w:eastAsia="Times New Roman" w:hAnsi="Arial" w:cs="Times New Roman"/>
      <w:szCs w:val="20"/>
      <w:lang w:eastAsia="ar-SA"/>
    </w:rPr>
  </w:style>
  <w:style w:type="paragraph" w:customStyle="1" w:styleId="TxBrp11">
    <w:name w:val="TxBr_p11"/>
    <w:basedOn w:val="Normalny"/>
    <w:rsid w:val="00605F76"/>
    <w:pPr>
      <w:widowControl w:val="0"/>
      <w:suppressAutoHyphens/>
      <w:spacing w:after="0" w:line="238" w:lineRule="atLeast"/>
    </w:pPr>
    <w:rPr>
      <w:rFonts w:ascii="Times New Roman" w:eastAsia="Times New Roman" w:hAnsi="Times New Roman" w:cs="Times New Roman"/>
      <w:sz w:val="20"/>
      <w:szCs w:val="20"/>
      <w:lang w:eastAsia="ar-SA"/>
    </w:rPr>
  </w:style>
  <w:style w:type="paragraph" w:customStyle="1" w:styleId="TxBrp7">
    <w:name w:val="TxBr_p7"/>
    <w:basedOn w:val="Normalny"/>
    <w:rsid w:val="00605F76"/>
    <w:pPr>
      <w:widowControl w:val="0"/>
      <w:tabs>
        <w:tab w:val="left" w:pos="204"/>
      </w:tabs>
      <w:suppressAutoHyphens/>
      <w:spacing w:after="0" w:line="351" w:lineRule="atLeast"/>
    </w:pPr>
    <w:rPr>
      <w:rFonts w:ascii="Times New Roman" w:eastAsia="Times New Roman" w:hAnsi="Times New Roman" w:cs="Times New Roman"/>
      <w:sz w:val="20"/>
      <w:szCs w:val="20"/>
      <w:lang w:eastAsia="ar-SA"/>
    </w:rPr>
  </w:style>
  <w:style w:type="paragraph" w:customStyle="1" w:styleId="TxBrp35">
    <w:name w:val="TxBr_p35"/>
    <w:basedOn w:val="Normalny"/>
    <w:rsid w:val="00605F76"/>
    <w:pPr>
      <w:widowControl w:val="0"/>
      <w:tabs>
        <w:tab w:val="left" w:pos="2069"/>
      </w:tabs>
      <w:suppressAutoHyphens/>
      <w:spacing w:after="0" w:line="240" w:lineRule="atLeast"/>
      <w:ind w:left="2069" w:hanging="703"/>
    </w:pPr>
    <w:rPr>
      <w:rFonts w:ascii="Times New Roman" w:eastAsia="Times New Roman" w:hAnsi="Times New Roman" w:cs="Times New Roman"/>
      <w:sz w:val="20"/>
      <w:szCs w:val="20"/>
      <w:lang w:eastAsia="ar-SA"/>
    </w:rPr>
  </w:style>
  <w:style w:type="paragraph" w:customStyle="1" w:styleId="TxBrt28">
    <w:name w:val="TxBr_t28"/>
    <w:basedOn w:val="Normalny"/>
    <w:rsid w:val="00605F76"/>
    <w:pPr>
      <w:widowControl w:val="0"/>
      <w:suppressAutoHyphens/>
      <w:spacing w:after="0" w:line="238" w:lineRule="atLeast"/>
    </w:pPr>
    <w:rPr>
      <w:rFonts w:ascii="Times New Roman" w:eastAsia="Times New Roman" w:hAnsi="Times New Roman" w:cs="Times New Roman"/>
      <w:sz w:val="20"/>
      <w:szCs w:val="20"/>
      <w:lang w:eastAsia="ar-SA"/>
    </w:rPr>
  </w:style>
  <w:style w:type="paragraph" w:customStyle="1" w:styleId="TxBrp13">
    <w:name w:val="TxBr_p13"/>
    <w:basedOn w:val="Normalny"/>
    <w:rsid w:val="00605F76"/>
    <w:pPr>
      <w:widowControl w:val="0"/>
      <w:tabs>
        <w:tab w:val="left" w:pos="1020"/>
      </w:tabs>
      <w:suppressAutoHyphens/>
      <w:spacing w:after="0" w:line="240" w:lineRule="atLeast"/>
      <w:ind w:left="23"/>
    </w:pPr>
    <w:rPr>
      <w:rFonts w:ascii="Times New Roman" w:eastAsia="Times New Roman" w:hAnsi="Times New Roman" w:cs="Times New Roman"/>
      <w:sz w:val="20"/>
      <w:szCs w:val="20"/>
      <w:lang w:eastAsia="ar-SA"/>
    </w:rPr>
  </w:style>
  <w:style w:type="paragraph" w:customStyle="1" w:styleId="Zawartoramki">
    <w:name w:val="Zawartość ramki"/>
    <w:basedOn w:val="Tekstpodstawowy"/>
    <w:qFormat/>
    <w:rsid w:val="00605F76"/>
    <w:pPr>
      <w:tabs>
        <w:tab w:val="clear" w:pos="-1725"/>
        <w:tab w:val="clear" w:pos="-1440"/>
        <w:tab w:val="clear" w:pos="-1005"/>
        <w:tab w:val="clear" w:pos="-720"/>
        <w:tab w:val="clear" w:pos="-285"/>
        <w:tab w:val="clear" w:pos="0"/>
        <w:tab w:val="clear" w:pos="284"/>
        <w:tab w:val="clear" w:pos="435"/>
        <w:tab w:val="clear" w:pos="1299"/>
        <w:tab w:val="clear" w:pos="1875"/>
        <w:tab w:val="clear" w:pos="2595"/>
        <w:tab w:val="clear" w:pos="3315"/>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uppressAutoHyphens/>
      <w:spacing w:before="0" w:after="0" w:line="240" w:lineRule="auto"/>
      <w:jc w:val="left"/>
    </w:pPr>
    <w:rPr>
      <w:spacing w:val="0"/>
      <w:lang w:eastAsia="ar-SA"/>
    </w:rPr>
  </w:style>
  <w:style w:type="table" w:customStyle="1" w:styleId="Tabela-Siatka1">
    <w:name w:val="Tabela - Siatka1"/>
    <w:basedOn w:val="Standardowy"/>
    <w:next w:val="Tabela-Siatka"/>
    <w:uiPriority w:val="39"/>
    <w:rsid w:val="00605F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rsid w:val="00605F76"/>
  </w:style>
  <w:style w:type="paragraph" w:customStyle="1" w:styleId="dt">
    <w:name w:val="dtś"/>
    <w:basedOn w:val="Normalny"/>
    <w:link w:val="dtZnak"/>
    <w:qFormat/>
    <w:rsid w:val="00605F76"/>
    <w:pPr>
      <w:overflowPunct w:val="0"/>
      <w:autoSpaceDE w:val="0"/>
      <w:autoSpaceDN w:val="0"/>
      <w:adjustRightInd w:val="0"/>
      <w:spacing w:before="120" w:after="120" w:line="240" w:lineRule="auto"/>
      <w:textAlignment w:val="baseline"/>
    </w:pPr>
    <w:rPr>
      <w:rFonts w:ascii="Times New Roman" w:eastAsia="Times New Roman" w:hAnsi="Times New Roman" w:cs="Times New Roman"/>
      <w:b/>
      <w:color w:val="000000"/>
      <w:sz w:val="24"/>
      <w:szCs w:val="18"/>
      <w:lang w:eastAsia="pl-PL"/>
    </w:rPr>
  </w:style>
  <w:style w:type="character" w:customStyle="1" w:styleId="dtZnak">
    <w:name w:val="dtś Znak"/>
    <w:link w:val="dt"/>
    <w:rsid w:val="00605F76"/>
    <w:rPr>
      <w:rFonts w:ascii="Times New Roman" w:eastAsia="Times New Roman" w:hAnsi="Times New Roman" w:cs="Times New Roman"/>
      <w:b/>
      <w:color w:val="000000"/>
      <w:sz w:val="24"/>
      <w:szCs w:val="18"/>
      <w:lang w:eastAsia="pl-PL"/>
    </w:rPr>
  </w:style>
  <w:style w:type="paragraph" w:customStyle="1" w:styleId="StylStyl10ptPogrubienieCzarnyWyjustowanyPogrubienie">
    <w:name w:val="Styl Styl 10 pt Pogrubienie Czarny Wyjustowany + Pogrubienie"/>
    <w:basedOn w:val="Normalny"/>
    <w:rsid w:val="00605F76"/>
    <w:pPr>
      <w:keepNext/>
      <w:numPr>
        <w:numId w:val="284"/>
      </w:numPr>
      <w:spacing w:after="0" w:line="240" w:lineRule="auto"/>
      <w:jc w:val="both"/>
      <w:outlineLvl w:val="0"/>
    </w:pPr>
    <w:rPr>
      <w:rFonts w:ascii="Times New Roman" w:eastAsia="Times New Roman" w:hAnsi="Times New Roman" w:cs="Times New Roman"/>
      <w:b/>
      <w:bCs/>
      <w:color w:val="000000"/>
      <w:sz w:val="20"/>
      <w:szCs w:val="20"/>
      <w:lang w:eastAsia="pl-PL"/>
    </w:rPr>
  </w:style>
  <w:style w:type="paragraph" w:customStyle="1" w:styleId="StylNagwek3PogrubienieAutomatycznyBezpodkreleniaWyj">
    <w:name w:val="Styl Nagłówek 3 + Pogrubienie Automatyczny Bez podkreślenia Wyj..."/>
    <w:basedOn w:val="Normalny"/>
    <w:rsid w:val="00605F76"/>
    <w:pPr>
      <w:numPr>
        <w:ilvl w:val="2"/>
        <w:numId w:val="284"/>
      </w:numPr>
      <w:spacing w:after="0" w:line="240" w:lineRule="auto"/>
    </w:pPr>
    <w:rPr>
      <w:rFonts w:ascii="Times New Roman" w:eastAsia="Times New Roman" w:hAnsi="Times New Roman" w:cs="Times New Roman"/>
      <w:sz w:val="24"/>
      <w:szCs w:val="20"/>
      <w:lang w:eastAsia="pl-PL"/>
    </w:rPr>
  </w:style>
  <w:style w:type="paragraph" w:customStyle="1" w:styleId="StylNagwek2Automatyczny1">
    <w:name w:val="Styl Nagłówek 2 + Automatyczny1"/>
    <w:basedOn w:val="Nagwek2"/>
    <w:rsid w:val="00605F76"/>
    <w:pPr>
      <w:numPr>
        <w:ilvl w:val="1"/>
        <w:numId w:val="284"/>
      </w:numPr>
      <w:tabs>
        <w:tab w:val="clear" w:pos="-1725"/>
        <w:tab w:val="clear" w:pos="-1440"/>
        <w:tab w:val="clear" w:pos="-1005"/>
        <w:tab w:val="clear" w:pos="-720"/>
        <w:tab w:val="clear" w:pos="-285"/>
        <w:tab w:val="clear" w:pos="0"/>
        <w:tab w:val="clear" w:pos="284"/>
        <w:tab w:val="clear" w:pos="435"/>
        <w:tab w:val="clear" w:pos="567"/>
        <w:tab w:val="clear" w:pos="851"/>
        <w:tab w:val="clear" w:pos="1155"/>
        <w:tab w:val="clear" w:pos="1299"/>
        <w:tab w:val="clear" w:pos="1701"/>
        <w:tab w:val="clear" w:pos="1875"/>
        <w:tab w:val="clear" w:pos="2268"/>
        <w:tab w:val="clear" w:pos="2595"/>
        <w:tab w:val="clear" w:pos="2835"/>
        <w:tab w:val="clear" w:pos="3315"/>
        <w:tab w:val="clear" w:pos="3402"/>
        <w:tab w:val="clear" w:pos="4035"/>
        <w:tab w:val="clear" w:pos="4755"/>
        <w:tab w:val="clear" w:pos="5475"/>
        <w:tab w:val="clear" w:pos="6195"/>
        <w:tab w:val="clear" w:pos="6915"/>
        <w:tab w:val="clear" w:pos="7635"/>
        <w:tab w:val="clear" w:pos="8355"/>
        <w:tab w:val="clear" w:pos="9075"/>
        <w:tab w:val="clear" w:pos="9795"/>
        <w:tab w:val="clear" w:pos="10515"/>
        <w:tab w:val="clear" w:pos="11235"/>
        <w:tab w:val="clear" w:pos="11955"/>
        <w:tab w:val="clear" w:pos="12675"/>
        <w:tab w:val="clear" w:pos="13395"/>
        <w:tab w:val="clear" w:pos="14115"/>
        <w:tab w:val="clear" w:pos="14835"/>
        <w:tab w:val="clear" w:pos="15555"/>
        <w:tab w:val="clear" w:pos="16275"/>
        <w:tab w:val="clear" w:pos="16995"/>
        <w:tab w:val="clear" w:pos="17715"/>
        <w:tab w:val="clear" w:pos="18435"/>
      </w:tabs>
      <w:spacing w:before="0" w:after="0" w:line="240" w:lineRule="auto"/>
      <w:jc w:val="both"/>
    </w:pPr>
    <w:rPr>
      <w:bCs/>
      <w:spacing w:val="0"/>
      <w:u w:val="none"/>
    </w:rPr>
  </w:style>
  <w:style w:type="paragraph" w:customStyle="1" w:styleId="spis">
    <w:name w:val="spis"/>
    <w:basedOn w:val="Normalny"/>
    <w:autoRedefine/>
    <w:rsid w:val="00605F76"/>
    <w:pPr>
      <w:spacing w:after="0" w:line="240" w:lineRule="auto"/>
      <w:jc w:val="both"/>
      <w:outlineLvl w:val="0"/>
    </w:pPr>
    <w:rPr>
      <w:rFonts w:ascii="Times New Roman" w:eastAsia="Times New Roman" w:hAnsi="Times New Roman" w:cs="Times New Roman"/>
      <w:b/>
      <w:bCs/>
      <w:sz w:val="20"/>
      <w:szCs w:val="24"/>
      <w:lang w:eastAsia="pl-PL"/>
    </w:rPr>
  </w:style>
  <w:style w:type="paragraph" w:customStyle="1" w:styleId="1Nazwaspecyfikacji">
    <w:name w:val="1.Nazwa specyfikacji"/>
    <w:basedOn w:val="Normalny"/>
    <w:link w:val="1NazwaspecyfikacjiZnak"/>
    <w:rsid w:val="00605F76"/>
    <w:pPr>
      <w:numPr>
        <w:numId w:val="285"/>
      </w:numPr>
      <w:overflowPunct w:val="0"/>
      <w:autoSpaceDE w:val="0"/>
      <w:autoSpaceDN w:val="0"/>
      <w:adjustRightInd w:val="0"/>
      <w:spacing w:after="0" w:line="240" w:lineRule="auto"/>
      <w:jc w:val="both"/>
      <w:textAlignment w:val="baseline"/>
    </w:pPr>
    <w:rPr>
      <w:rFonts w:ascii="Times New Roman" w:eastAsia="Times New Roman" w:hAnsi="Times New Roman" w:cs="Times New Roman"/>
      <w:b/>
      <w:color w:val="FF0000"/>
      <w:sz w:val="24"/>
      <w:szCs w:val="24"/>
      <w:u w:val="single"/>
      <w:lang w:eastAsia="pl-PL"/>
    </w:rPr>
  </w:style>
  <w:style w:type="character" w:customStyle="1" w:styleId="1NazwaspecyfikacjiZnak">
    <w:name w:val="1.Nazwa specyfikacji Znak"/>
    <w:link w:val="1Nazwaspecyfikacji"/>
    <w:rsid w:val="00605F76"/>
    <w:rPr>
      <w:rFonts w:ascii="Times New Roman" w:eastAsia="Times New Roman" w:hAnsi="Times New Roman" w:cs="Times New Roman"/>
      <w:b/>
      <w:color w:val="FF0000"/>
      <w:sz w:val="24"/>
      <w:szCs w:val="24"/>
      <w:u w:val="single"/>
      <w:lang w:eastAsia="pl-PL"/>
    </w:rPr>
  </w:style>
  <w:style w:type="paragraph" w:customStyle="1" w:styleId="RightPar1">
    <w:name w:val="Right Par 1"/>
    <w:rsid w:val="00605F76"/>
    <w:pPr>
      <w:tabs>
        <w:tab w:val="left" w:pos="-720"/>
        <w:tab w:val="left" w:pos="0"/>
        <w:tab w:val="decimal" w:pos="720"/>
      </w:tabs>
      <w:suppressAutoHyphens/>
      <w:spacing w:after="0" w:line="240" w:lineRule="auto"/>
      <w:ind w:left="720" w:hanging="432"/>
    </w:pPr>
    <w:rPr>
      <w:rFonts w:ascii="CG Times" w:eastAsia="Times New Roman" w:hAnsi="CG Times" w:cs="Times New Roman"/>
      <w:sz w:val="24"/>
      <w:szCs w:val="20"/>
      <w:lang w:val="en-US" w:eastAsia="pl-PL"/>
    </w:rPr>
  </w:style>
  <w:style w:type="table" w:customStyle="1" w:styleId="Tabela-Siatka2">
    <w:name w:val="Tabela - Siatka2"/>
    <w:basedOn w:val="Standardowy"/>
    <w:next w:val="Tabela-Siatka"/>
    <w:uiPriority w:val="39"/>
    <w:rsid w:val="00605F76"/>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wcity32">
    <w:name w:val="Tekst podstawowy wcięty 32"/>
    <w:basedOn w:val="Normalny"/>
    <w:rsid w:val="00605F76"/>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pl-PL"/>
    </w:rPr>
  </w:style>
  <w:style w:type="paragraph" w:customStyle="1" w:styleId="Ania">
    <w:name w:val="Ania"/>
    <w:basedOn w:val="Normalny"/>
    <w:link w:val="AniaZnak"/>
    <w:qFormat/>
    <w:rsid w:val="00605F76"/>
    <w:pPr>
      <w:overflowPunct w:val="0"/>
      <w:autoSpaceDE w:val="0"/>
      <w:autoSpaceDN w:val="0"/>
      <w:adjustRightInd w:val="0"/>
      <w:spacing w:before="120" w:after="0" w:line="240" w:lineRule="auto"/>
      <w:ind w:left="142"/>
      <w:jc w:val="both"/>
      <w:textAlignment w:val="baseline"/>
    </w:pPr>
    <w:rPr>
      <w:rFonts w:ascii="Times New Roman" w:eastAsia="Times New Roman" w:hAnsi="Times New Roman" w:cs="Times New Roman"/>
      <w:b/>
      <w:color w:val="FF0000"/>
      <w:sz w:val="18"/>
      <w:szCs w:val="18"/>
      <w:lang w:eastAsia="pl-PL"/>
    </w:rPr>
  </w:style>
  <w:style w:type="paragraph" w:customStyle="1" w:styleId="Ania2">
    <w:name w:val="Ania2"/>
    <w:basedOn w:val="Ania"/>
    <w:link w:val="Ania2Znak"/>
    <w:qFormat/>
    <w:rsid w:val="00605F76"/>
    <w:pPr>
      <w:spacing w:after="120"/>
    </w:pPr>
  </w:style>
  <w:style w:type="character" w:customStyle="1" w:styleId="AniaZnak">
    <w:name w:val="Ania Znak"/>
    <w:link w:val="Ania"/>
    <w:rsid w:val="00605F76"/>
    <w:rPr>
      <w:rFonts w:ascii="Times New Roman" w:eastAsia="Times New Roman" w:hAnsi="Times New Roman" w:cs="Times New Roman"/>
      <w:b/>
      <w:color w:val="FF0000"/>
      <w:sz w:val="18"/>
      <w:szCs w:val="18"/>
      <w:lang w:eastAsia="pl-PL"/>
    </w:rPr>
  </w:style>
  <w:style w:type="character" w:customStyle="1" w:styleId="Ania2Znak">
    <w:name w:val="Ania2 Znak"/>
    <w:link w:val="Ania2"/>
    <w:rsid w:val="00605F76"/>
    <w:rPr>
      <w:rFonts w:ascii="Times New Roman" w:eastAsia="Times New Roman" w:hAnsi="Times New Roman" w:cs="Times New Roman"/>
      <w:b/>
      <w:color w:val="FF0000"/>
      <w:sz w:val="18"/>
      <w:szCs w:val="18"/>
      <w:lang w:eastAsia="pl-PL"/>
    </w:rPr>
  </w:style>
  <w:style w:type="paragraph" w:customStyle="1" w:styleId="BodySingle">
    <w:name w:val="Body Single"/>
    <w:rsid w:val="00605F76"/>
    <w:pPr>
      <w:spacing w:after="0" w:line="240" w:lineRule="auto"/>
    </w:pPr>
    <w:rPr>
      <w:rFonts w:ascii="TimesNewRomanPS" w:eastAsia="Times New Roman" w:hAnsi="TimesNewRomanPS" w:cs="Times New Roman"/>
      <w:color w:val="000000"/>
      <w:sz w:val="24"/>
      <w:szCs w:val="20"/>
      <w:lang w:val="cs-CZ" w:eastAsia="pl-PL"/>
    </w:rPr>
  </w:style>
  <w:style w:type="paragraph" w:customStyle="1" w:styleId="punkt1">
    <w:name w:val="punkt1"/>
    <w:rsid w:val="00605F76"/>
    <w:pPr>
      <w:spacing w:after="0" w:line="240" w:lineRule="auto"/>
      <w:ind w:left="226" w:hanging="226"/>
      <w:jc w:val="both"/>
    </w:pPr>
    <w:rPr>
      <w:rFonts w:ascii="Times New Roman" w:eastAsia="Times New Roman" w:hAnsi="Times New Roman" w:cs="Times New Roman"/>
      <w:color w:val="000000"/>
      <w:sz w:val="24"/>
      <w:szCs w:val="20"/>
      <w:lang w:val="cs-CZ" w:eastAsia="pl-PL"/>
    </w:rPr>
  </w:style>
  <w:style w:type="paragraph" w:customStyle="1" w:styleId="NumberList">
    <w:name w:val="Number List"/>
    <w:rsid w:val="00605F76"/>
    <w:pPr>
      <w:spacing w:after="0" w:line="240" w:lineRule="auto"/>
      <w:ind w:left="720"/>
    </w:pPr>
    <w:rPr>
      <w:rFonts w:ascii="TimesNewRomanPS" w:eastAsia="Times New Roman" w:hAnsi="TimesNewRomanPS" w:cs="Times New Roman"/>
      <w:color w:val="000000"/>
      <w:sz w:val="24"/>
      <w:szCs w:val="20"/>
      <w:lang w:val="cs-CZ" w:eastAsia="pl-PL"/>
    </w:rPr>
  </w:style>
  <w:style w:type="paragraph" w:customStyle="1" w:styleId="tytu0">
    <w:name w:val="tytuł"/>
    <w:rsid w:val="00605F76"/>
    <w:pPr>
      <w:spacing w:after="0" w:line="240" w:lineRule="auto"/>
    </w:pPr>
    <w:rPr>
      <w:rFonts w:ascii="Times New Roman" w:eastAsia="Times New Roman" w:hAnsi="Times New Roman" w:cs="Times New Roman"/>
      <w:b/>
      <w:color w:val="000000"/>
      <w:sz w:val="28"/>
      <w:szCs w:val="20"/>
      <w:lang w:val="cs-CZ" w:eastAsia="pl-PL"/>
    </w:rPr>
  </w:style>
  <w:style w:type="paragraph" w:customStyle="1" w:styleId="rozdzia1">
    <w:name w:val="rozdział 1"/>
    <w:rsid w:val="00605F76"/>
    <w:pPr>
      <w:spacing w:after="0" w:line="240" w:lineRule="auto"/>
      <w:jc w:val="both"/>
    </w:pPr>
    <w:rPr>
      <w:rFonts w:ascii="Times New Roman" w:eastAsia="Times New Roman" w:hAnsi="Times New Roman" w:cs="Times New Roman"/>
      <w:b/>
      <w:color w:val="000000"/>
      <w:sz w:val="24"/>
      <w:szCs w:val="20"/>
      <w:lang w:val="cs-CZ" w:eastAsia="pl-PL"/>
    </w:rPr>
  </w:style>
  <w:style w:type="paragraph" w:customStyle="1" w:styleId="rozdzia">
    <w:name w:val="rozdział"/>
    <w:rsid w:val="00605F76"/>
    <w:pPr>
      <w:spacing w:after="0" w:line="240" w:lineRule="auto"/>
      <w:jc w:val="both"/>
    </w:pPr>
    <w:rPr>
      <w:rFonts w:ascii="Times New Roman" w:eastAsia="Times New Roman" w:hAnsi="Times New Roman" w:cs="Times New Roman"/>
      <w:b/>
      <w:color w:val="000000"/>
      <w:sz w:val="28"/>
      <w:szCs w:val="20"/>
      <w:lang w:val="cs-CZ" w:eastAsia="pl-PL"/>
    </w:rPr>
  </w:style>
  <w:style w:type="paragraph" w:customStyle="1" w:styleId="Bullet1">
    <w:name w:val="Bullet 1"/>
    <w:rsid w:val="00605F76"/>
    <w:pPr>
      <w:spacing w:after="0" w:line="240" w:lineRule="auto"/>
      <w:ind w:left="576"/>
    </w:pPr>
    <w:rPr>
      <w:rFonts w:ascii="TimesEE" w:eastAsia="Times New Roman" w:hAnsi="TimesEE" w:cs="Times New Roman"/>
      <w:color w:val="000000"/>
      <w:sz w:val="24"/>
      <w:szCs w:val="20"/>
      <w:lang w:val="cs-CZ" w:eastAsia="pl-PL"/>
    </w:rPr>
  </w:style>
  <w:style w:type="paragraph" w:customStyle="1" w:styleId="Subhead">
    <w:name w:val="Subhead"/>
    <w:rsid w:val="00605F76"/>
    <w:pPr>
      <w:spacing w:after="0" w:line="240" w:lineRule="auto"/>
    </w:pPr>
    <w:rPr>
      <w:rFonts w:ascii="TimesEE" w:eastAsia="Times New Roman" w:hAnsi="TimesEE" w:cs="Times New Roman"/>
      <w:b/>
      <w:i/>
      <w:color w:val="000000"/>
      <w:sz w:val="24"/>
      <w:szCs w:val="20"/>
      <w:lang w:val="cs-CZ" w:eastAsia="pl-PL"/>
    </w:rPr>
  </w:style>
  <w:style w:type="paragraph" w:customStyle="1" w:styleId="sst2">
    <w:name w:val="sst2"/>
    <w:rsid w:val="00605F76"/>
    <w:pPr>
      <w:spacing w:after="0" w:line="240" w:lineRule="auto"/>
      <w:jc w:val="both"/>
    </w:pPr>
    <w:rPr>
      <w:rFonts w:ascii="Times New Roman" w:eastAsia="Times New Roman" w:hAnsi="Times New Roman" w:cs="Times New Roman"/>
      <w:b/>
      <w:color w:val="000000"/>
      <w:sz w:val="24"/>
      <w:szCs w:val="20"/>
      <w:u w:val="single"/>
      <w:lang w:val="cs-CZ" w:eastAsia="pl-PL"/>
    </w:rPr>
  </w:style>
  <w:style w:type="paragraph" w:customStyle="1" w:styleId="sst">
    <w:name w:val="sst"/>
    <w:rsid w:val="00605F76"/>
    <w:pPr>
      <w:spacing w:after="0" w:line="240" w:lineRule="auto"/>
      <w:jc w:val="center"/>
    </w:pPr>
    <w:rPr>
      <w:rFonts w:ascii="Times New Roman" w:eastAsia="Times New Roman" w:hAnsi="Times New Roman" w:cs="Times New Roman"/>
      <w:b/>
      <w:color w:val="000000"/>
      <w:sz w:val="28"/>
      <w:szCs w:val="20"/>
      <w:lang w:val="cs-CZ" w:eastAsia="pl-PL"/>
    </w:rPr>
  </w:style>
  <w:style w:type="paragraph" w:customStyle="1" w:styleId="Tekstpodstawowy1">
    <w:name w:val="Tekst podstawowy1"/>
    <w:rsid w:val="00605F76"/>
    <w:pPr>
      <w:spacing w:after="0" w:line="240" w:lineRule="auto"/>
    </w:pPr>
    <w:rPr>
      <w:rFonts w:ascii="TimesEE" w:eastAsia="Times New Roman" w:hAnsi="TimesEE" w:cs="Times New Roman"/>
      <w:color w:val="000000"/>
      <w:sz w:val="24"/>
      <w:szCs w:val="20"/>
      <w:lang w:val="cs-CZ" w:eastAsia="pl-PL"/>
    </w:rPr>
  </w:style>
  <w:style w:type="paragraph" w:customStyle="1" w:styleId="tytu1">
    <w:name w:val="tytuł1"/>
    <w:rsid w:val="00605F76"/>
    <w:pPr>
      <w:spacing w:after="0" w:line="240" w:lineRule="auto"/>
      <w:jc w:val="center"/>
    </w:pPr>
    <w:rPr>
      <w:rFonts w:ascii="TimesEE" w:eastAsia="Times New Roman" w:hAnsi="TimesEE" w:cs="Times New Roman"/>
      <w:b/>
      <w:color w:val="000000"/>
      <w:szCs w:val="20"/>
      <w:lang w:val="cs-CZ" w:eastAsia="pl-PL"/>
    </w:rPr>
  </w:style>
  <w:style w:type="paragraph" w:customStyle="1" w:styleId="Bullet">
    <w:name w:val="Bullet"/>
    <w:rsid w:val="00605F76"/>
    <w:pPr>
      <w:spacing w:after="0" w:line="240" w:lineRule="auto"/>
      <w:ind w:left="288"/>
    </w:pPr>
    <w:rPr>
      <w:rFonts w:ascii="TimesEE" w:eastAsia="Times New Roman" w:hAnsi="TimesEE" w:cs="Times New Roman"/>
      <w:color w:val="000000"/>
      <w:sz w:val="24"/>
      <w:szCs w:val="20"/>
      <w:lang w:val="cs-CZ" w:eastAsia="pl-PL"/>
    </w:rPr>
  </w:style>
  <w:style w:type="paragraph" w:customStyle="1" w:styleId="TableText">
    <w:name w:val="Table Text"/>
    <w:rsid w:val="00605F76"/>
    <w:pPr>
      <w:spacing w:after="0" w:line="240" w:lineRule="auto"/>
      <w:jc w:val="both"/>
    </w:pPr>
    <w:rPr>
      <w:rFonts w:ascii="Times New Roman" w:eastAsia="Times New Roman" w:hAnsi="Times New Roman" w:cs="Times New Roman"/>
      <w:color w:val="000000"/>
      <w:sz w:val="24"/>
      <w:szCs w:val="20"/>
      <w:lang w:val="cs-CZ" w:eastAsia="pl-PL"/>
    </w:rPr>
  </w:style>
  <w:style w:type="paragraph" w:customStyle="1" w:styleId="bbb">
    <w:name w:val="bbb"/>
    <w:rsid w:val="00605F76"/>
    <w:pPr>
      <w:spacing w:after="0" w:line="240" w:lineRule="auto"/>
      <w:jc w:val="both"/>
    </w:pPr>
    <w:rPr>
      <w:rFonts w:ascii="TimesEE" w:eastAsia="Times New Roman" w:hAnsi="TimesEE" w:cs="Times New Roman"/>
      <w:color w:val="000000"/>
      <w:szCs w:val="20"/>
      <w:lang w:val="cs-CZ" w:eastAsia="pl-PL"/>
    </w:rPr>
  </w:style>
  <w:style w:type="paragraph" w:customStyle="1" w:styleId="rozdzia10">
    <w:name w:val="rozdział1"/>
    <w:rsid w:val="00605F76"/>
    <w:pPr>
      <w:spacing w:after="0" w:line="240" w:lineRule="auto"/>
      <w:jc w:val="both"/>
    </w:pPr>
    <w:rPr>
      <w:rFonts w:ascii="Times New Roman" w:eastAsia="Times New Roman" w:hAnsi="Times New Roman" w:cs="Times New Roman"/>
      <w:b/>
      <w:color w:val="000000"/>
      <w:sz w:val="24"/>
      <w:szCs w:val="20"/>
      <w:lang w:val="cs-CZ" w:eastAsia="pl-PL"/>
    </w:rPr>
  </w:style>
  <w:style w:type="paragraph" w:customStyle="1" w:styleId="sst3">
    <w:name w:val="sst3"/>
    <w:rsid w:val="00605F76"/>
    <w:pPr>
      <w:spacing w:after="0" w:line="240" w:lineRule="auto"/>
    </w:pPr>
    <w:rPr>
      <w:rFonts w:ascii="Times New Roman" w:eastAsia="Times New Roman" w:hAnsi="Times New Roman" w:cs="Times New Roman"/>
      <w:color w:val="000000"/>
      <w:sz w:val="24"/>
      <w:szCs w:val="20"/>
      <w:lang w:val="cs-CZ" w:eastAsia="pl-PL"/>
    </w:rPr>
  </w:style>
  <w:style w:type="paragraph" w:customStyle="1" w:styleId="sst1">
    <w:name w:val="sst1"/>
    <w:rsid w:val="00605F76"/>
    <w:pPr>
      <w:spacing w:after="0" w:line="240" w:lineRule="auto"/>
      <w:jc w:val="center"/>
    </w:pPr>
    <w:rPr>
      <w:rFonts w:ascii="Times New Roman" w:eastAsia="Times New Roman" w:hAnsi="Times New Roman" w:cs="Times New Roman"/>
      <w:color w:val="000000"/>
      <w:sz w:val="24"/>
      <w:szCs w:val="20"/>
      <w:lang w:val="cs-CZ" w:eastAsia="pl-PL"/>
    </w:rPr>
  </w:style>
  <w:style w:type="paragraph" w:customStyle="1" w:styleId="norods1">
    <w:name w:val="norods1"/>
    <w:rsid w:val="00605F76"/>
    <w:pPr>
      <w:spacing w:after="0" w:line="240" w:lineRule="auto"/>
      <w:jc w:val="both"/>
    </w:pPr>
    <w:rPr>
      <w:rFonts w:ascii="Times New Roman" w:eastAsia="Times New Roman" w:hAnsi="Times New Roman" w:cs="Times New Roman"/>
      <w:color w:val="000000"/>
      <w:sz w:val="24"/>
      <w:szCs w:val="20"/>
      <w:lang w:val="cs-CZ" w:eastAsia="pl-PL"/>
    </w:rPr>
  </w:style>
  <w:style w:type="paragraph" w:customStyle="1" w:styleId="gruodst1">
    <w:name w:val="gruodst1"/>
    <w:rsid w:val="00605F76"/>
    <w:pPr>
      <w:spacing w:after="0" w:line="240" w:lineRule="auto"/>
      <w:jc w:val="both"/>
    </w:pPr>
    <w:rPr>
      <w:rFonts w:ascii="Times New Roman" w:eastAsia="Times New Roman" w:hAnsi="Times New Roman" w:cs="Times New Roman"/>
      <w:b/>
      <w:color w:val="000000"/>
      <w:sz w:val="24"/>
      <w:szCs w:val="20"/>
      <w:lang w:val="cs-CZ" w:eastAsia="pl-PL"/>
    </w:rPr>
  </w:style>
  <w:style w:type="paragraph" w:customStyle="1" w:styleId="akapit">
    <w:name w:val="akapit"/>
    <w:rsid w:val="00605F76"/>
    <w:pPr>
      <w:spacing w:after="0" w:line="240" w:lineRule="auto"/>
      <w:ind w:left="226"/>
      <w:jc w:val="both"/>
    </w:pPr>
    <w:rPr>
      <w:rFonts w:ascii="Times New Roman" w:eastAsia="Times New Roman" w:hAnsi="Times New Roman" w:cs="Times New Roman"/>
      <w:color w:val="000000"/>
      <w:sz w:val="24"/>
      <w:szCs w:val="20"/>
      <w:lang w:val="cs-CZ" w:eastAsia="pl-PL"/>
    </w:rPr>
  </w:style>
  <w:style w:type="paragraph" w:customStyle="1" w:styleId="akapit2">
    <w:name w:val="akapit2"/>
    <w:rsid w:val="00605F76"/>
    <w:pPr>
      <w:spacing w:after="0" w:line="240" w:lineRule="auto"/>
      <w:ind w:left="226" w:hanging="226"/>
      <w:jc w:val="both"/>
    </w:pPr>
    <w:rPr>
      <w:rFonts w:ascii="Times New Roman" w:eastAsia="Times New Roman" w:hAnsi="Times New Roman" w:cs="Times New Roman"/>
      <w:color w:val="000000"/>
      <w:sz w:val="24"/>
      <w:szCs w:val="20"/>
      <w:lang w:val="cs-CZ" w:eastAsia="pl-PL"/>
    </w:rPr>
  </w:style>
  <w:style w:type="paragraph" w:customStyle="1" w:styleId="gruby">
    <w:name w:val="gruby"/>
    <w:rsid w:val="00605F76"/>
    <w:pPr>
      <w:spacing w:after="0" w:line="240" w:lineRule="auto"/>
    </w:pPr>
    <w:rPr>
      <w:rFonts w:ascii="Times New Roman" w:eastAsia="Times New Roman" w:hAnsi="Times New Roman" w:cs="Times New Roman"/>
      <w:b/>
      <w:color w:val="000000"/>
      <w:sz w:val="24"/>
      <w:szCs w:val="20"/>
      <w:lang w:val="cs-CZ" w:eastAsia="pl-PL"/>
    </w:rPr>
  </w:style>
  <w:style w:type="paragraph" w:customStyle="1" w:styleId="cc">
    <w:name w:val="cc"/>
    <w:rsid w:val="00605F76"/>
    <w:pPr>
      <w:spacing w:after="0" w:line="240" w:lineRule="auto"/>
    </w:pPr>
    <w:rPr>
      <w:rFonts w:ascii="Times New Roman" w:eastAsia="Times New Roman" w:hAnsi="Times New Roman" w:cs="Times New Roman"/>
      <w:color w:val="000000"/>
      <w:sz w:val="24"/>
      <w:szCs w:val="20"/>
      <w:lang w:val="cs-CZ" w:eastAsia="pl-PL"/>
    </w:rPr>
  </w:style>
  <w:style w:type="paragraph" w:customStyle="1" w:styleId="Text">
    <w:name w:val="Text"/>
    <w:basedOn w:val="Normalny"/>
    <w:rsid w:val="00605F76"/>
    <w:pPr>
      <w:tabs>
        <w:tab w:val="left" w:pos="1134"/>
        <w:tab w:val="left" w:pos="2268"/>
        <w:tab w:val="left" w:pos="3402"/>
        <w:tab w:val="left" w:pos="4536"/>
        <w:tab w:val="left" w:pos="6804"/>
        <w:tab w:val="right" w:pos="9072"/>
      </w:tabs>
      <w:spacing w:after="120" w:line="240" w:lineRule="auto"/>
      <w:ind w:left="851"/>
      <w:jc w:val="both"/>
    </w:pPr>
    <w:rPr>
      <w:rFonts w:ascii="Times New Roman" w:eastAsia="Times New Roman" w:hAnsi="Times New Roman" w:cs="Times New Roman"/>
      <w:szCs w:val="20"/>
      <w:lang w:eastAsia="pl-PL"/>
    </w:rPr>
  </w:style>
  <w:style w:type="paragraph" w:customStyle="1" w:styleId="RozdziaII">
    <w:name w:val="Rozdział II"/>
    <w:basedOn w:val="Text"/>
    <w:next w:val="Text"/>
    <w:rsid w:val="00605F76"/>
    <w:pPr>
      <w:keepNext/>
      <w:keepLines/>
      <w:ind w:left="0"/>
    </w:pPr>
    <w:rPr>
      <w:b/>
      <w:sz w:val="24"/>
    </w:rPr>
  </w:style>
  <w:style w:type="paragraph" w:customStyle="1" w:styleId="RozdziaI">
    <w:name w:val="Rozdział I"/>
    <w:basedOn w:val="RozdziaII"/>
    <w:next w:val="Text"/>
    <w:rsid w:val="00605F76"/>
    <w:pPr>
      <w:spacing w:before="120" w:after="480"/>
    </w:pPr>
    <w:rPr>
      <w:smallCaps/>
      <w:sz w:val="26"/>
    </w:rPr>
  </w:style>
  <w:style w:type="paragraph" w:customStyle="1" w:styleId="TytSpecII">
    <w:name w:val="Tyt.Spec. II"/>
    <w:basedOn w:val="RozdziaII"/>
    <w:next w:val="RozdziaI"/>
    <w:rsid w:val="00605F76"/>
    <w:pPr>
      <w:tabs>
        <w:tab w:val="left" w:pos="1985"/>
      </w:tabs>
    </w:pPr>
    <w:rPr>
      <w:sz w:val="26"/>
    </w:rPr>
  </w:style>
  <w:style w:type="paragraph" w:customStyle="1" w:styleId="TytSpecI">
    <w:name w:val="Tyt.Spec. I"/>
    <w:basedOn w:val="RozdziaI"/>
    <w:next w:val="TytSpecII"/>
    <w:rsid w:val="00605F76"/>
    <w:pPr>
      <w:tabs>
        <w:tab w:val="left" w:pos="1985"/>
      </w:tabs>
      <w:spacing w:before="240" w:after="120"/>
    </w:pPr>
    <w:rPr>
      <w:sz w:val="28"/>
    </w:rPr>
  </w:style>
  <w:style w:type="paragraph" w:customStyle="1" w:styleId="Mylnik0">
    <w:name w:val="Myślnik"/>
    <w:rsid w:val="00605F76"/>
    <w:pPr>
      <w:tabs>
        <w:tab w:val="num" w:pos="927"/>
      </w:tabs>
      <w:spacing w:before="120" w:after="0" w:line="240" w:lineRule="auto"/>
      <w:ind w:left="907" w:hanging="340"/>
    </w:pPr>
    <w:rPr>
      <w:rFonts w:ascii="Arial" w:eastAsia="Times New Roman" w:hAnsi="Arial" w:cs="Times New Roman"/>
      <w:color w:val="000000"/>
      <w:sz w:val="20"/>
      <w:szCs w:val="20"/>
      <w:lang w:eastAsia="pl-PL"/>
    </w:rPr>
  </w:style>
  <w:style w:type="paragraph" w:customStyle="1" w:styleId="a0">
    <w:name w:val="a)"/>
    <w:rsid w:val="00605F76"/>
    <w:pPr>
      <w:spacing w:before="120" w:after="0" w:line="240" w:lineRule="auto"/>
      <w:ind w:left="1701" w:hanging="567"/>
    </w:pPr>
    <w:rPr>
      <w:rFonts w:ascii="Arial" w:eastAsia="Times New Roman" w:hAnsi="Arial" w:cs="Times New Roman"/>
      <w:color w:val="000000"/>
      <w:sz w:val="20"/>
      <w:szCs w:val="20"/>
      <w:lang w:eastAsia="pl-PL"/>
    </w:rPr>
  </w:style>
  <w:style w:type="paragraph" w:customStyle="1" w:styleId="xl60">
    <w:name w:val="xl60"/>
    <w:basedOn w:val="Normalny"/>
    <w:rsid w:val="00605F76"/>
    <w:pPr>
      <w:pBdr>
        <w:bottom w:val="single" w:sz="8" w:space="0" w:color="000000"/>
      </w:pBdr>
      <w:suppressAutoHyphens/>
      <w:spacing w:before="280" w:after="280" w:line="240" w:lineRule="auto"/>
      <w:jc w:val="center"/>
    </w:pPr>
    <w:rPr>
      <w:rFonts w:ascii="Arial Unicode MS" w:eastAsia="Arial Unicode MS" w:hAnsi="Arial Unicode MS" w:cs="Times New Roman"/>
      <w:sz w:val="24"/>
      <w:szCs w:val="24"/>
      <w:lang w:eastAsia="ar-SA"/>
    </w:rPr>
  </w:style>
  <w:style w:type="paragraph" w:customStyle="1" w:styleId="WW-Tekstpodstawowy21">
    <w:name w:val="WW-Tekst podstawowy 21"/>
    <w:basedOn w:val="Normalny"/>
    <w:rsid w:val="00605F76"/>
    <w:pPr>
      <w:spacing w:after="120" w:line="240" w:lineRule="auto"/>
    </w:pPr>
    <w:rPr>
      <w:rFonts w:ascii="Times New Roman" w:eastAsia="Times New Roman" w:hAnsi="Times New Roman" w:cs="Times New Roman"/>
      <w:szCs w:val="20"/>
      <w:lang w:eastAsia="ar-SA"/>
    </w:rPr>
  </w:style>
  <w:style w:type="paragraph" w:customStyle="1" w:styleId="MariuszKorpaa-punktowanie">
    <w:name w:val="Mariusz Korpała - punktowanie"/>
    <w:basedOn w:val="Normalny"/>
    <w:rsid w:val="00605F76"/>
    <w:pPr>
      <w:widowControl w:val="0"/>
      <w:numPr>
        <w:numId w:val="286"/>
      </w:numPr>
      <w:tabs>
        <w:tab w:val="left" w:pos="425"/>
      </w:tabs>
      <w:spacing w:before="60" w:after="60" w:line="360" w:lineRule="auto"/>
      <w:jc w:val="both"/>
    </w:pPr>
    <w:rPr>
      <w:rFonts w:ascii="Arial" w:eastAsia="Times New Roman" w:hAnsi="Arial" w:cs="Times New Roman"/>
      <w:sz w:val="20"/>
      <w:szCs w:val="20"/>
      <w:lang w:eastAsia="pl-PL"/>
    </w:rPr>
  </w:style>
  <w:style w:type="character" w:customStyle="1" w:styleId="TekstkomentarzaZnak1">
    <w:name w:val="Tekst komentarza Znak1"/>
    <w:basedOn w:val="Domylnaczcionkaakapitu"/>
    <w:uiPriority w:val="99"/>
    <w:rsid w:val="00605F76"/>
  </w:style>
  <w:style w:type="paragraph" w:customStyle="1" w:styleId="Wyszkow1">
    <w:name w:val="Wyszkow_1"/>
    <w:basedOn w:val="Normalny"/>
    <w:qFormat/>
    <w:rsid w:val="00605F76"/>
    <w:pPr>
      <w:spacing w:after="0" w:line="240" w:lineRule="auto"/>
    </w:pPr>
    <w:rPr>
      <w:rFonts w:ascii="Arial" w:eastAsia="Times New Roman" w:hAnsi="Arial" w:cs="Times New Roman"/>
      <w:b/>
      <w:szCs w:val="2"/>
    </w:rPr>
  </w:style>
  <w:style w:type="paragraph" w:customStyle="1" w:styleId="MICtekstpodstawowyZnakZnak">
    <w:name w:val="MIC_tekst podstawowy Znak Znak"/>
    <w:basedOn w:val="Normalny"/>
    <w:uiPriority w:val="99"/>
    <w:rsid w:val="00605F76"/>
    <w:pPr>
      <w:keepNext/>
      <w:widowControl w:val="0"/>
      <w:suppressAutoHyphens/>
      <w:spacing w:after="60" w:line="240" w:lineRule="auto"/>
      <w:jc w:val="both"/>
    </w:pPr>
    <w:rPr>
      <w:rFonts w:ascii="Arial" w:eastAsia="Times New Roman" w:hAnsi="Arial" w:cs="Arial"/>
      <w:b/>
      <w:bCs/>
      <w:kern w:val="1"/>
      <w:sz w:val="24"/>
      <w:szCs w:val="24"/>
      <w:lang w:eastAsia="ar-SA"/>
    </w:rPr>
  </w:style>
  <w:style w:type="table" w:customStyle="1" w:styleId="TableNormal">
    <w:name w:val="Table Normal"/>
    <w:uiPriority w:val="2"/>
    <w:semiHidden/>
    <w:unhideWhenUsed/>
    <w:qFormat/>
    <w:rsid w:val="00605F7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605F76"/>
    <w:pPr>
      <w:widowControl w:val="0"/>
      <w:autoSpaceDE w:val="0"/>
      <w:autoSpaceDN w:val="0"/>
      <w:spacing w:before="8" w:after="0" w:line="240" w:lineRule="auto"/>
      <w:ind w:left="69"/>
    </w:pPr>
    <w:rPr>
      <w:rFonts w:ascii="Arial" w:eastAsia="Arial" w:hAnsi="Arial" w:cs="Arial"/>
      <w:lang w:eastAsia="pl-PL" w:bidi="pl-PL"/>
    </w:rPr>
  </w:style>
  <w:style w:type="table" w:customStyle="1" w:styleId="Tabela-Siatka11">
    <w:name w:val="Tabela - Siatka11"/>
    <w:basedOn w:val="Standardowy"/>
    <w:next w:val="Tabela-Siatka"/>
    <w:uiPriority w:val="39"/>
    <w:rsid w:val="00605F7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1">
    <w:name w:val="Style21"/>
    <w:basedOn w:val="Normalny"/>
    <w:uiPriority w:val="99"/>
    <w:rsid w:val="00605F76"/>
    <w:pPr>
      <w:widowControl w:val="0"/>
      <w:autoSpaceDE w:val="0"/>
      <w:autoSpaceDN w:val="0"/>
      <w:adjustRightInd w:val="0"/>
      <w:spacing w:after="0" w:line="230" w:lineRule="exact"/>
      <w:ind w:firstLine="725"/>
    </w:pPr>
    <w:rPr>
      <w:rFonts w:ascii="Times New Roman" w:eastAsia="Times New Roman" w:hAnsi="Times New Roman" w:cs="Times New Roman"/>
      <w:sz w:val="24"/>
      <w:szCs w:val="24"/>
      <w:lang w:eastAsia="pl-PL"/>
    </w:rPr>
  </w:style>
  <w:style w:type="character" w:customStyle="1" w:styleId="FontStyle177">
    <w:name w:val="Font Style177"/>
    <w:uiPriority w:val="99"/>
    <w:rsid w:val="00605F76"/>
    <w:rPr>
      <w:rFonts w:ascii="Times New Roman" w:hAnsi="Times New Roman" w:cs="Times New Roman"/>
      <w:sz w:val="18"/>
      <w:szCs w:val="18"/>
    </w:rPr>
  </w:style>
  <w:style w:type="paragraph" w:customStyle="1" w:styleId="Style19">
    <w:name w:val="Style19"/>
    <w:basedOn w:val="Normalny"/>
    <w:uiPriority w:val="99"/>
    <w:rsid w:val="00605F76"/>
    <w:pPr>
      <w:widowControl w:val="0"/>
      <w:autoSpaceDE w:val="0"/>
      <w:autoSpaceDN w:val="0"/>
      <w:adjustRightInd w:val="0"/>
      <w:spacing w:after="0" w:line="230" w:lineRule="exact"/>
      <w:ind w:hanging="278"/>
    </w:pPr>
    <w:rPr>
      <w:rFonts w:ascii="Times New Roman" w:eastAsia="Times New Roman" w:hAnsi="Times New Roman" w:cs="Times New Roman"/>
      <w:sz w:val="24"/>
      <w:szCs w:val="24"/>
      <w:lang w:eastAsia="pl-PL"/>
    </w:rPr>
  </w:style>
  <w:style w:type="paragraph" w:customStyle="1" w:styleId="Style24">
    <w:name w:val="Style24"/>
    <w:basedOn w:val="Normalny"/>
    <w:uiPriority w:val="99"/>
    <w:rsid w:val="00605F76"/>
    <w:pPr>
      <w:widowControl w:val="0"/>
      <w:autoSpaceDE w:val="0"/>
      <w:autoSpaceDN w:val="0"/>
      <w:adjustRightInd w:val="0"/>
      <w:spacing w:after="0" w:line="230" w:lineRule="exact"/>
      <w:jc w:val="both"/>
    </w:pPr>
    <w:rPr>
      <w:rFonts w:ascii="Times New Roman" w:eastAsia="Times New Roman" w:hAnsi="Times New Roman" w:cs="Times New Roman"/>
      <w:sz w:val="24"/>
      <w:szCs w:val="24"/>
      <w:lang w:eastAsia="pl-PL"/>
    </w:rPr>
  </w:style>
  <w:style w:type="paragraph" w:customStyle="1" w:styleId="Style35">
    <w:name w:val="Style35"/>
    <w:basedOn w:val="Normalny"/>
    <w:uiPriority w:val="99"/>
    <w:rsid w:val="00605F76"/>
    <w:pPr>
      <w:widowControl w:val="0"/>
      <w:autoSpaceDE w:val="0"/>
      <w:autoSpaceDN w:val="0"/>
      <w:adjustRightInd w:val="0"/>
      <w:spacing w:after="0" w:line="229" w:lineRule="exact"/>
      <w:ind w:firstLine="715"/>
      <w:jc w:val="both"/>
    </w:pPr>
    <w:rPr>
      <w:rFonts w:ascii="Times New Roman" w:eastAsia="Times New Roman" w:hAnsi="Times New Roman" w:cs="Times New Roman"/>
      <w:sz w:val="24"/>
      <w:szCs w:val="24"/>
      <w:lang w:eastAsia="pl-PL"/>
    </w:rPr>
  </w:style>
  <w:style w:type="paragraph" w:customStyle="1" w:styleId="Style36">
    <w:name w:val="Style36"/>
    <w:basedOn w:val="Normalny"/>
    <w:uiPriority w:val="99"/>
    <w:rsid w:val="00605F76"/>
    <w:pPr>
      <w:widowControl w:val="0"/>
      <w:autoSpaceDE w:val="0"/>
      <w:autoSpaceDN w:val="0"/>
      <w:adjustRightInd w:val="0"/>
      <w:spacing w:after="0" w:line="230" w:lineRule="exact"/>
      <w:ind w:firstLine="432"/>
    </w:pPr>
    <w:rPr>
      <w:rFonts w:ascii="Times New Roman" w:eastAsia="Times New Roman" w:hAnsi="Times New Roman" w:cs="Times New Roman"/>
      <w:sz w:val="24"/>
      <w:szCs w:val="24"/>
      <w:lang w:eastAsia="pl-PL"/>
    </w:rPr>
  </w:style>
  <w:style w:type="paragraph" w:customStyle="1" w:styleId="Style42">
    <w:name w:val="Style42"/>
    <w:basedOn w:val="Normalny"/>
    <w:uiPriority w:val="99"/>
    <w:rsid w:val="00605F76"/>
    <w:pPr>
      <w:widowControl w:val="0"/>
      <w:autoSpaceDE w:val="0"/>
      <w:autoSpaceDN w:val="0"/>
      <w:adjustRightInd w:val="0"/>
      <w:spacing w:after="0" w:line="230" w:lineRule="exact"/>
      <w:ind w:hanging="346"/>
      <w:jc w:val="both"/>
    </w:pPr>
    <w:rPr>
      <w:rFonts w:ascii="Times New Roman" w:eastAsia="Times New Roman" w:hAnsi="Times New Roman" w:cs="Times New Roman"/>
      <w:sz w:val="24"/>
      <w:szCs w:val="24"/>
      <w:lang w:eastAsia="pl-PL"/>
    </w:rPr>
  </w:style>
  <w:style w:type="paragraph" w:customStyle="1" w:styleId="Style1">
    <w:name w:val="Style1"/>
    <w:basedOn w:val="Normalny"/>
    <w:uiPriority w:val="99"/>
    <w:rsid w:val="00605F76"/>
    <w:pPr>
      <w:widowControl w:val="0"/>
      <w:autoSpaceDE w:val="0"/>
      <w:autoSpaceDN w:val="0"/>
      <w:adjustRightInd w:val="0"/>
      <w:spacing w:after="0" w:line="226" w:lineRule="exact"/>
      <w:jc w:val="both"/>
    </w:pPr>
    <w:rPr>
      <w:rFonts w:ascii="Times New Roman" w:eastAsia="Times New Roman" w:hAnsi="Times New Roman" w:cs="Times New Roman"/>
      <w:sz w:val="24"/>
      <w:szCs w:val="24"/>
      <w:lang w:eastAsia="pl-PL"/>
    </w:rPr>
  </w:style>
  <w:style w:type="paragraph" w:customStyle="1" w:styleId="Style23">
    <w:name w:val="Style23"/>
    <w:basedOn w:val="Normalny"/>
    <w:uiPriority w:val="99"/>
    <w:rsid w:val="00605F76"/>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customStyle="1" w:styleId="Style43">
    <w:name w:val="Style43"/>
    <w:basedOn w:val="Normalny"/>
    <w:uiPriority w:val="99"/>
    <w:rsid w:val="00605F76"/>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character" w:customStyle="1" w:styleId="FontStyle176">
    <w:name w:val="Font Style176"/>
    <w:uiPriority w:val="99"/>
    <w:rsid w:val="00605F76"/>
    <w:rPr>
      <w:rFonts w:ascii="Times New Roman" w:hAnsi="Times New Roman" w:cs="Times New Roman"/>
      <w:b/>
      <w:bCs/>
      <w:sz w:val="18"/>
      <w:szCs w:val="18"/>
    </w:rPr>
  </w:style>
  <w:style w:type="paragraph" w:customStyle="1" w:styleId="Style7">
    <w:name w:val="Style7"/>
    <w:basedOn w:val="Normalny"/>
    <w:uiPriority w:val="99"/>
    <w:rsid w:val="00605F76"/>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pl-PL"/>
    </w:rPr>
  </w:style>
  <w:style w:type="paragraph" w:customStyle="1" w:styleId="Style10">
    <w:name w:val="Style10"/>
    <w:basedOn w:val="Normalny"/>
    <w:uiPriority w:val="99"/>
    <w:rsid w:val="00605F76"/>
    <w:pPr>
      <w:widowControl w:val="0"/>
      <w:autoSpaceDE w:val="0"/>
      <w:autoSpaceDN w:val="0"/>
      <w:adjustRightInd w:val="0"/>
      <w:spacing w:after="0" w:line="230" w:lineRule="exact"/>
    </w:pPr>
    <w:rPr>
      <w:rFonts w:ascii="Times New Roman" w:eastAsia="Times New Roman" w:hAnsi="Times New Roman" w:cs="Times New Roman"/>
      <w:sz w:val="24"/>
      <w:szCs w:val="24"/>
      <w:lang w:eastAsia="pl-PL"/>
    </w:rPr>
  </w:style>
  <w:style w:type="paragraph" w:customStyle="1" w:styleId="Style31">
    <w:name w:val="Style31"/>
    <w:basedOn w:val="Normalny"/>
    <w:uiPriority w:val="99"/>
    <w:rsid w:val="00605F76"/>
    <w:pPr>
      <w:widowControl w:val="0"/>
      <w:autoSpaceDE w:val="0"/>
      <w:autoSpaceDN w:val="0"/>
      <w:adjustRightInd w:val="0"/>
      <w:spacing w:after="0" w:line="230" w:lineRule="exact"/>
      <w:jc w:val="both"/>
    </w:pPr>
    <w:rPr>
      <w:rFonts w:ascii="Times New Roman" w:eastAsia="Times New Roman" w:hAnsi="Times New Roman" w:cs="Times New Roman"/>
      <w:sz w:val="24"/>
      <w:szCs w:val="24"/>
      <w:lang w:eastAsia="pl-PL"/>
    </w:rPr>
  </w:style>
  <w:style w:type="character" w:customStyle="1" w:styleId="FontStyle158">
    <w:name w:val="Font Style158"/>
    <w:uiPriority w:val="99"/>
    <w:rsid w:val="00605F76"/>
    <w:rPr>
      <w:rFonts w:ascii="Times New Roman" w:hAnsi="Times New Roman" w:cs="Times New Roman"/>
      <w:b/>
      <w:bCs/>
      <w:i/>
      <w:iCs/>
      <w:spacing w:val="-10"/>
      <w:sz w:val="18"/>
      <w:szCs w:val="18"/>
    </w:rPr>
  </w:style>
  <w:style w:type="paragraph" w:customStyle="1" w:styleId="Style20">
    <w:name w:val="Style20"/>
    <w:basedOn w:val="Normalny"/>
    <w:uiPriority w:val="99"/>
    <w:rsid w:val="00605F76"/>
    <w:pPr>
      <w:widowControl w:val="0"/>
      <w:autoSpaceDE w:val="0"/>
      <w:autoSpaceDN w:val="0"/>
      <w:adjustRightInd w:val="0"/>
      <w:spacing w:after="0" w:line="230" w:lineRule="exact"/>
      <w:ind w:hanging="283"/>
      <w:jc w:val="both"/>
    </w:pPr>
    <w:rPr>
      <w:rFonts w:ascii="Times New Roman" w:eastAsia="Times New Roman" w:hAnsi="Times New Roman" w:cs="Times New Roman"/>
      <w:sz w:val="24"/>
      <w:szCs w:val="24"/>
      <w:lang w:eastAsia="pl-PL"/>
    </w:rPr>
  </w:style>
  <w:style w:type="paragraph" w:customStyle="1" w:styleId="Style2">
    <w:name w:val="Style2"/>
    <w:basedOn w:val="Normalny"/>
    <w:uiPriority w:val="99"/>
    <w:rsid w:val="00605F76"/>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numbering" w:customStyle="1" w:styleId="Bezlisty11">
    <w:name w:val="Bez listy11"/>
    <w:next w:val="Bezlisty"/>
    <w:semiHidden/>
    <w:rsid w:val="00605F76"/>
  </w:style>
  <w:style w:type="table" w:customStyle="1" w:styleId="Tabela-Siatka21">
    <w:name w:val="Tabela - Siatka21"/>
    <w:basedOn w:val="Standardowy"/>
    <w:next w:val="Tabela-Siatka"/>
    <w:rsid w:val="00605F76"/>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3">
    <w:name w:val="Tekst podstawowy 23"/>
    <w:basedOn w:val="Normalny"/>
    <w:rsid w:val="0093341C"/>
    <w:pPr>
      <w:overflowPunct w:val="0"/>
      <w:autoSpaceDE w:val="0"/>
      <w:autoSpaceDN w:val="0"/>
      <w:adjustRightInd w:val="0"/>
      <w:spacing w:after="0" w:line="240" w:lineRule="auto"/>
      <w:ind w:left="708"/>
    </w:pPr>
    <w:rPr>
      <w:rFonts w:ascii="Arial" w:eastAsia="Times New Roman" w:hAnsi="Arial" w:cs="Times New Roman"/>
      <w:sz w:val="24"/>
      <w:szCs w:val="20"/>
      <w:lang w:eastAsia="pl-PL"/>
    </w:rPr>
  </w:style>
  <w:style w:type="paragraph" w:customStyle="1" w:styleId="Tekstpodstawowy34">
    <w:name w:val="Tekst podstawowy 34"/>
    <w:basedOn w:val="Normalny"/>
    <w:rsid w:val="004D6256"/>
    <w:pPr>
      <w:widowControl w:val="0"/>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pl-PL"/>
    </w:rPr>
  </w:style>
  <w:style w:type="paragraph" w:customStyle="1" w:styleId="Tekstpodstawowywcity33">
    <w:name w:val="Tekst podstawowy wcięty 33"/>
    <w:basedOn w:val="Normalny"/>
    <w:rsid w:val="004D6256"/>
    <w:pPr>
      <w:widowControl w:val="0"/>
      <w:overflowPunct w:val="0"/>
      <w:autoSpaceDE w:val="0"/>
      <w:autoSpaceDN w:val="0"/>
      <w:adjustRightInd w:val="0"/>
      <w:spacing w:after="0" w:line="240" w:lineRule="auto"/>
      <w:ind w:left="709"/>
      <w:jc w:val="both"/>
    </w:pPr>
    <w:rPr>
      <w:rFonts w:ascii="Arial" w:eastAsia="Times New Roman" w:hAnsi="Arial" w:cs="Times New Roman"/>
      <w:sz w:val="24"/>
      <w:szCs w:val="20"/>
      <w:lang w:eastAsia="pl-PL"/>
    </w:rPr>
  </w:style>
  <w:style w:type="character" w:customStyle="1" w:styleId="Absatz-Standardschriftart">
    <w:name w:val="Absatz-Standardschriftart"/>
    <w:rsid w:val="00AB2DB3"/>
  </w:style>
  <w:style w:type="character" w:customStyle="1" w:styleId="WW8Num32z0">
    <w:name w:val="WW8Num32z0"/>
    <w:rsid w:val="00AB2DB3"/>
    <w:rPr>
      <w:sz w:val="22"/>
      <w:szCs w:val="22"/>
    </w:rPr>
  </w:style>
  <w:style w:type="character" w:customStyle="1" w:styleId="WW8Num33z0">
    <w:name w:val="WW8Num33z0"/>
    <w:rsid w:val="00AB2DB3"/>
    <w:rPr>
      <w:sz w:val="22"/>
      <w:szCs w:val="22"/>
    </w:rPr>
  </w:style>
  <w:style w:type="character" w:customStyle="1" w:styleId="WW8Num37z0">
    <w:name w:val="WW8Num37z0"/>
    <w:rsid w:val="00AB2DB3"/>
    <w:rPr>
      <w:sz w:val="22"/>
      <w:szCs w:val="22"/>
    </w:rPr>
  </w:style>
  <w:style w:type="character" w:customStyle="1" w:styleId="WW8Num38z0">
    <w:name w:val="WW8Num38z0"/>
    <w:rsid w:val="00AB2DB3"/>
    <w:rPr>
      <w:sz w:val="22"/>
      <w:szCs w:val="22"/>
    </w:rPr>
  </w:style>
  <w:style w:type="character" w:customStyle="1" w:styleId="WW8Num39z0">
    <w:name w:val="WW8Num39z0"/>
    <w:rsid w:val="00AB2DB3"/>
    <w:rPr>
      <w:sz w:val="22"/>
      <w:szCs w:val="22"/>
    </w:rPr>
  </w:style>
  <w:style w:type="character" w:customStyle="1" w:styleId="WW8Num40z0">
    <w:name w:val="WW8Num40z0"/>
    <w:rsid w:val="00AB2DB3"/>
    <w:rPr>
      <w:sz w:val="22"/>
      <w:szCs w:val="22"/>
    </w:rPr>
  </w:style>
  <w:style w:type="character" w:customStyle="1" w:styleId="WW8Num41z0">
    <w:name w:val="WW8Num41z0"/>
    <w:rsid w:val="00AB2DB3"/>
    <w:rPr>
      <w:sz w:val="22"/>
      <w:szCs w:val="22"/>
    </w:rPr>
  </w:style>
  <w:style w:type="character" w:customStyle="1" w:styleId="WW8Num43z0">
    <w:name w:val="WW8Num43z0"/>
    <w:rsid w:val="00AB2DB3"/>
    <w:rPr>
      <w:sz w:val="22"/>
      <w:szCs w:val="22"/>
    </w:rPr>
  </w:style>
  <w:style w:type="character" w:customStyle="1" w:styleId="WW8Num46z0">
    <w:name w:val="WW8Num46z0"/>
    <w:rsid w:val="00AB2DB3"/>
    <w:rPr>
      <w:sz w:val="22"/>
      <w:szCs w:val="22"/>
    </w:rPr>
  </w:style>
  <w:style w:type="character" w:customStyle="1" w:styleId="WW8Num47z0">
    <w:name w:val="WW8Num47z0"/>
    <w:rsid w:val="00AB2DB3"/>
    <w:rPr>
      <w:sz w:val="22"/>
      <w:szCs w:val="22"/>
    </w:rPr>
  </w:style>
  <w:style w:type="character" w:customStyle="1" w:styleId="WW8Num49z0">
    <w:name w:val="WW8Num49z0"/>
    <w:rsid w:val="00AB2DB3"/>
    <w:rPr>
      <w:sz w:val="22"/>
      <w:szCs w:val="22"/>
    </w:rPr>
  </w:style>
  <w:style w:type="character" w:customStyle="1" w:styleId="WW8Num50z0">
    <w:name w:val="WW8Num50z0"/>
    <w:rsid w:val="00AB2DB3"/>
    <w:rPr>
      <w:sz w:val="22"/>
      <w:szCs w:val="22"/>
    </w:rPr>
  </w:style>
  <w:style w:type="character" w:customStyle="1" w:styleId="WW8Num51z0">
    <w:name w:val="WW8Num51z0"/>
    <w:rsid w:val="00AB2DB3"/>
    <w:rPr>
      <w:sz w:val="22"/>
      <w:szCs w:val="22"/>
    </w:rPr>
  </w:style>
  <w:style w:type="character" w:customStyle="1" w:styleId="WW8Num54z0">
    <w:name w:val="WW8Num54z0"/>
    <w:rsid w:val="00AB2DB3"/>
    <w:rPr>
      <w:sz w:val="22"/>
      <w:szCs w:val="22"/>
    </w:rPr>
  </w:style>
  <w:style w:type="character" w:customStyle="1" w:styleId="WW8Num57z0">
    <w:name w:val="WW8Num57z0"/>
    <w:rsid w:val="00AB2DB3"/>
    <w:rPr>
      <w:sz w:val="22"/>
      <w:szCs w:val="22"/>
    </w:rPr>
  </w:style>
  <w:style w:type="character" w:customStyle="1" w:styleId="WW8Num58z0">
    <w:name w:val="WW8Num58z0"/>
    <w:rsid w:val="00AB2DB3"/>
    <w:rPr>
      <w:sz w:val="22"/>
      <w:szCs w:val="22"/>
    </w:rPr>
  </w:style>
  <w:style w:type="character" w:customStyle="1" w:styleId="WW8Num59z0">
    <w:name w:val="WW8Num59z0"/>
    <w:rsid w:val="00AB2DB3"/>
    <w:rPr>
      <w:sz w:val="22"/>
      <w:szCs w:val="22"/>
    </w:rPr>
  </w:style>
  <w:style w:type="character" w:customStyle="1" w:styleId="WW8Num61z0">
    <w:name w:val="WW8Num61z0"/>
    <w:rsid w:val="00AB2DB3"/>
    <w:rPr>
      <w:sz w:val="22"/>
      <w:szCs w:val="22"/>
    </w:rPr>
  </w:style>
  <w:style w:type="character" w:customStyle="1" w:styleId="WW8Num62z0">
    <w:name w:val="WW8Num62z0"/>
    <w:rsid w:val="00AB2DB3"/>
    <w:rPr>
      <w:sz w:val="22"/>
      <w:szCs w:val="22"/>
    </w:rPr>
  </w:style>
  <w:style w:type="character" w:customStyle="1" w:styleId="WW8Num63z0">
    <w:name w:val="WW8Num63z0"/>
    <w:rsid w:val="00AB2DB3"/>
    <w:rPr>
      <w:sz w:val="22"/>
      <w:szCs w:val="22"/>
    </w:rPr>
  </w:style>
  <w:style w:type="character" w:customStyle="1" w:styleId="WW8Num64z0">
    <w:name w:val="WW8Num64z0"/>
    <w:rsid w:val="00AB2DB3"/>
    <w:rPr>
      <w:b/>
    </w:rPr>
  </w:style>
  <w:style w:type="character" w:customStyle="1" w:styleId="WW8Num67z0">
    <w:name w:val="WW8Num67z0"/>
    <w:rsid w:val="00AB2DB3"/>
    <w:rPr>
      <w:sz w:val="22"/>
      <w:szCs w:val="22"/>
    </w:rPr>
  </w:style>
  <w:style w:type="character" w:customStyle="1" w:styleId="WW8Num69z0">
    <w:name w:val="WW8Num69z0"/>
    <w:rsid w:val="00AB2DB3"/>
    <w:rPr>
      <w:sz w:val="22"/>
      <w:szCs w:val="22"/>
    </w:rPr>
  </w:style>
  <w:style w:type="character" w:customStyle="1" w:styleId="WW8Num72z0">
    <w:name w:val="WW8Num72z0"/>
    <w:rsid w:val="00AB2DB3"/>
    <w:rPr>
      <w:sz w:val="22"/>
      <w:szCs w:val="22"/>
    </w:rPr>
  </w:style>
  <w:style w:type="character" w:customStyle="1" w:styleId="WW8Num73z0">
    <w:name w:val="WW8Num73z0"/>
    <w:rsid w:val="00AB2DB3"/>
    <w:rPr>
      <w:sz w:val="22"/>
      <w:szCs w:val="22"/>
    </w:rPr>
  </w:style>
  <w:style w:type="character" w:customStyle="1" w:styleId="WW8Num76z0">
    <w:name w:val="WW8Num76z0"/>
    <w:rsid w:val="00AB2DB3"/>
    <w:rPr>
      <w:b/>
    </w:rPr>
  </w:style>
  <w:style w:type="character" w:customStyle="1" w:styleId="WW8Num77z0">
    <w:name w:val="WW8Num77z0"/>
    <w:rsid w:val="00AB2DB3"/>
    <w:rPr>
      <w:sz w:val="22"/>
      <w:szCs w:val="22"/>
    </w:rPr>
  </w:style>
  <w:style w:type="character" w:customStyle="1" w:styleId="WW8Num79z0">
    <w:name w:val="WW8Num79z0"/>
    <w:rsid w:val="00AB2DB3"/>
    <w:rPr>
      <w:sz w:val="22"/>
      <w:szCs w:val="22"/>
    </w:rPr>
  </w:style>
  <w:style w:type="character" w:customStyle="1" w:styleId="WW8Num81z0">
    <w:name w:val="WW8Num81z0"/>
    <w:rsid w:val="00AB2DB3"/>
    <w:rPr>
      <w:sz w:val="22"/>
      <w:szCs w:val="22"/>
    </w:rPr>
  </w:style>
  <w:style w:type="character" w:customStyle="1" w:styleId="WW8Num82z0">
    <w:name w:val="WW8Num82z0"/>
    <w:rsid w:val="00AB2DB3"/>
    <w:rPr>
      <w:sz w:val="22"/>
      <w:szCs w:val="22"/>
    </w:rPr>
  </w:style>
  <w:style w:type="character" w:customStyle="1" w:styleId="WW8Num85z0">
    <w:name w:val="WW8Num85z0"/>
    <w:rsid w:val="00AB2DB3"/>
    <w:rPr>
      <w:sz w:val="22"/>
      <w:szCs w:val="22"/>
    </w:rPr>
  </w:style>
  <w:style w:type="character" w:customStyle="1" w:styleId="WW8Num86z0">
    <w:name w:val="WW8Num86z0"/>
    <w:rsid w:val="00AB2DB3"/>
    <w:rPr>
      <w:sz w:val="22"/>
      <w:szCs w:val="22"/>
    </w:rPr>
  </w:style>
  <w:style w:type="character" w:customStyle="1" w:styleId="WW8Num88z0">
    <w:name w:val="WW8Num88z0"/>
    <w:rsid w:val="00AB2DB3"/>
    <w:rPr>
      <w:sz w:val="22"/>
      <w:szCs w:val="22"/>
    </w:rPr>
  </w:style>
  <w:style w:type="character" w:customStyle="1" w:styleId="WW8Num89z0">
    <w:name w:val="WW8Num89z0"/>
    <w:rsid w:val="00AB2DB3"/>
    <w:rPr>
      <w:sz w:val="22"/>
      <w:szCs w:val="22"/>
    </w:rPr>
  </w:style>
  <w:style w:type="character" w:customStyle="1" w:styleId="WW8Num90z0">
    <w:name w:val="WW8Num90z0"/>
    <w:rsid w:val="00AB2DB3"/>
    <w:rPr>
      <w:sz w:val="22"/>
      <w:szCs w:val="22"/>
    </w:rPr>
  </w:style>
  <w:style w:type="character" w:customStyle="1" w:styleId="WW8Num91z0">
    <w:name w:val="WW8Num91z0"/>
    <w:rsid w:val="00AB2DB3"/>
    <w:rPr>
      <w:sz w:val="22"/>
      <w:szCs w:val="22"/>
    </w:rPr>
  </w:style>
  <w:style w:type="character" w:customStyle="1" w:styleId="WW8Num95z0">
    <w:name w:val="WW8Num95z0"/>
    <w:rsid w:val="00AB2DB3"/>
    <w:rPr>
      <w:sz w:val="22"/>
      <w:szCs w:val="22"/>
    </w:rPr>
  </w:style>
  <w:style w:type="character" w:customStyle="1" w:styleId="WW8Num96z0">
    <w:name w:val="WW8Num96z0"/>
    <w:rsid w:val="00AB2DB3"/>
    <w:rPr>
      <w:sz w:val="22"/>
      <w:szCs w:val="22"/>
    </w:rPr>
  </w:style>
  <w:style w:type="character" w:customStyle="1" w:styleId="WW8Num98z0">
    <w:name w:val="WW8Num98z0"/>
    <w:rsid w:val="00AB2DB3"/>
    <w:rPr>
      <w:sz w:val="22"/>
      <w:szCs w:val="22"/>
    </w:rPr>
  </w:style>
  <w:style w:type="character" w:customStyle="1" w:styleId="WW8Num99z0">
    <w:name w:val="WW8Num99z0"/>
    <w:rsid w:val="00AB2DB3"/>
    <w:rPr>
      <w:sz w:val="22"/>
      <w:szCs w:val="22"/>
    </w:rPr>
  </w:style>
  <w:style w:type="character" w:customStyle="1" w:styleId="WW8Num101z0">
    <w:name w:val="WW8Num101z0"/>
    <w:rsid w:val="00AB2DB3"/>
    <w:rPr>
      <w:sz w:val="22"/>
      <w:szCs w:val="22"/>
    </w:rPr>
  </w:style>
  <w:style w:type="character" w:customStyle="1" w:styleId="WW8Num103z0">
    <w:name w:val="WW8Num103z0"/>
    <w:rsid w:val="00AB2DB3"/>
    <w:rPr>
      <w:sz w:val="22"/>
      <w:szCs w:val="22"/>
    </w:rPr>
  </w:style>
  <w:style w:type="character" w:customStyle="1" w:styleId="WW8Num104z0">
    <w:name w:val="WW8Num104z0"/>
    <w:rsid w:val="00AB2DB3"/>
    <w:rPr>
      <w:sz w:val="22"/>
      <w:szCs w:val="22"/>
    </w:rPr>
  </w:style>
  <w:style w:type="character" w:customStyle="1" w:styleId="WW8Num105z0">
    <w:name w:val="WW8Num105z0"/>
    <w:rsid w:val="00AB2DB3"/>
    <w:rPr>
      <w:sz w:val="22"/>
      <w:szCs w:val="22"/>
    </w:rPr>
  </w:style>
  <w:style w:type="character" w:customStyle="1" w:styleId="WW8Num106z0">
    <w:name w:val="WW8Num106z0"/>
    <w:rsid w:val="00AB2DB3"/>
    <w:rPr>
      <w:sz w:val="22"/>
      <w:szCs w:val="22"/>
    </w:rPr>
  </w:style>
  <w:style w:type="character" w:customStyle="1" w:styleId="WW8Num107z0">
    <w:name w:val="WW8Num107z0"/>
    <w:rsid w:val="00AB2DB3"/>
    <w:rPr>
      <w:sz w:val="22"/>
      <w:szCs w:val="22"/>
    </w:rPr>
  </w:style>
  <w:style w:type="character" w:customStyle="1" w:styleId="WW8Num108z0">
    <w:name w:val="WW8Num108z0"/>
    <w:rsid w:val="00AB2DB3"/>
    <w:rPr>
      <w:sz w:val="22"/>
      <w:szCs w:val="22"/>
    </w:rPr>
  </w:style>
  <w:style w:type="character" w:customStyle="1" w:styleId="WW8Num109z0">
    <w:name w:val="WW8Num109z0"/>
    <w:rsid w:val="00AB2DB3"/>
    <w:rPr>
      <w:sz w:val="22"/>
      <w:szCs w:val="22"/>
    </w:rPr>
  </w:style>
  <w:style w:type="character" w:customStyle="1" w:styleId="WW8Num110z0">
    <w:name w:val="WW8Num110z0"/>
    <w:rsid w:val="00AB2DB3"/>
    <w:rPr>
      <w:sz w:val="22"/>
      <w:szCs w:val="22"/>
    </w:rPr>
  </w:style>
  <w:style w:type="character" w:customStyle="1" w:styleId="WW8Num111z0">
    <w:name w:val="WW8Num111z0"/>
    <w:rsid w:val="00AB2DB3"/>
    <w:rPr>
      <w:b/>
    </w:rPr>
  </w:style>
  <w:style w:type="character" w:customStyle="1" w:styleId="WW8Num112z0">
    <w:name w:val="WW8Num112z0"/>
    <w:rsid w:val="00AB2DB3"/>
    <w:rPr>
      <w:sz w:val="22"/>
      <w:szCs w:val="22"/>
    </w:rPr>
  </w:style>
  <w:style w:type="character" w:customStyle="1" w:styleId="WW8Num113z0">
    <w:name w:val="WW8Num113z0"/>
    <w:rsid w:val="00AB2DB3"/>
    <w:rPr>
      <w:sz w:val="22"/>
      <w:szCs w:val="22"/>
    </w:rPr>
  </w:style>
  <w:style w:type="character" w:customStyle="1" w:styleId="WW8Num116z0">
    <w:name w:val="WW8Num116z0"/>
    <w:rsid w:val="00AB2DB3"/>
    <w:rPr>
      <w:sz w:val="22"/>
      <w:szCs w:val="22"/>
    </w:rPr>
  </w:style>
  <w:style w:type="character" w:customStyle="1" w:styleId="WW8Num118z0">
    <w:name w:val="WW8Num118z0"/>
    <w:rsid w:val="00AB2DB3"/>
    <w:rPr>
      <w:sz w:val="22"/>
      <w:szCs w:val="22"/>
    </w:rPr>
  </w:style>
  <w:style w:type="character" w:customStyle="1" w:styleId="WW8Num119z0">
    <w:name w:val="WW8Num119z0"/>
    <w:rsid w:val="00AB2DB3"/>
    <w:rPr>
      <w:sz w:val="22"/>
      <w:szCs w:val="22"/>
    </w:rPr>
  </w:style>
  <w:style w:type="character" w:customStyle="1" w:styleId="WW8Num120z0">
    <w:name w:val="WW8Num120z0"/>
    <w:rsid w:val="00AB2DB3"/>
    <w:rPr>
      <w:sz w:val="22"/>
      <w:szCs w:val="22"/>
    </w:rPr>
  </w:style>
  <w:style w:type="character" w:customStyle="1" w:styleId="WW8Num122z0">
    <w:name w:val="WW8Num122z0"/>
    <w:rsid w:val="00AB2DB3"/>
    <w:rPr>
      <w:b/>
    </w:rPr>
  </w:style>
  <w:style w:type="character" w:customStyle="1" w:styleId="WW8Num3z1">
    <w:name w:val="WW8Num3z1"/>
    <w:qFormat/>
    <w:rsid w:val="00A637AB"/>
    <w:rPr>
      <w:rFonts w:ascii="Courier New" w:hAnsi="Courier New" w:cs="Courier New"/>
    </w:rPr>
  </w:style>
  <w:style w:type="character" w:customStyle="1" w:styleId="WW8Num3z2">
    <w:name w:val="WW8Num3z2"/>
    <w:qFormat/>
    <w:rsid w:val="00A637AB"/>
    <w:rPr>
      <w:rFonts w:ascii="Wingdings" w:hAnsi="Wingdings" w:cs="Wingdings"/>
    </w:rPr>
  </w:style>
  <w:style w:type="character" w:customStyle="1" w:styleId="WW8NumSt1z0">
    <w:name w:val="WW8NumSt1z0"/>
    <w:qFormat/>
    <w:rsid w:val="00A637AB"/>
    <w:rPr>
      <w:rFonts w:ascii="Symbol" w:hAnsi="Symbol" w:cs="Symbol"/>
      <w:sz w:val="20"/>
    </w:rPr>
  </w:style>
  <w:style w:type="character" w:customStyle="1" w:styleId="WW8NumSt4z0">
    <w:name w:val="WW8NumSt4z0"/>
    <w:qFormat/>
    <w:rsid w:val="00A637AB"/>
    <w:rPr>
      <w:rFonts w:ascii="Symbol" w:hAnsi="Symbol" w:cs="Symbol"/>
    </w:rPr>
  </w:style>
  <w:style w:type="character" w:customStyle="1" w:styleId="WW8NumSt6z0">
    <w:name w:val="WW8NumSt6z0"/>
    <w:qFormat/>
    <w:rsid w:val="00A637AB"/>
    <w:rPr>
      <w:rFonts w:ascii="Symbol" w:hAnsi="Symbol" w:cs="Symbol"/>
      <w:sz w:val="20"/>
    </w:rPr>
  </w:style>
  <w:style w:type="character" w:customStyle="1" w:styleId="WW8NumSt7z0">
    <w:name w:val="WW8NumSt7z0"/>
    <w:qFormat/>
    <w:rsid w:val="00A637AB"/>
    <w:rPr>
      <w:rFonts w:ascii="Symbol" w:hAnsi="Symbol" w:cs="Symbol"/>
      <w:sz w:val="20"/>
    </w:rPr>
  </w:style>
  <w:style w:type="character" w:customStyle="1" w:styleId="WW8NumSt8z0">
    <w:name w:val="WW8NumSt8z0"/>
    <w:qFormat/>
    <w:rsid w:val="00A637AB"/>
    <w:rPr>
      <w:rFonts w:ascii="Symbol" w:hAnsi="Symbol" w:cs="Symbol"/>
      <w:sz w:val="20"/>
    </w:rPr>
  </w:style>
  <w:style w:type="character" w:customStyle="1" w:styleId="Odwiedzoneczeinternetowe">
    <w:name w:val="Odwiedzone łącze internetowe"/>
    <w:basedOn w:val="Domylnaczcionkaakapitu"/>
    <w:rsid w:val="00A637AB"/>
    <w:rPr>
      <w:color w:val="800080"/>
      <w:u w:val="single"/>
    </w:rPr>
  </w:style>
  <w:style w:type="character" w:customStyle="1" w:styleId="Numerstron">
    <w:name w:val="Numer stron"/>
    <w:basedOn w:val="Domylnaczcionkaakapitu"/>
    <w:rsid w:val="00A637AB"/>
  </w:style>
  <w:style w:type="character" w:customStyle="1" w:styleId="FootnoteSymbol">
    <w:name w:val="Footnote Symbol"/>
    <w:qFormat/>
    <w:rsid w:val="00A637AB"/>
    <w:rPr>
      <w:vertAlign w:val="superscript"/>
    </w:rPr>
  </w:style>
  <w:style w:type="character" w:customStyle="1" w:styleId="NagwekZnak1">
    <w:name w:val="Nagłówek Znak1"/>
    <w:basedOn w:val="Domylnaczcionkaakapitu"/>
    <w:rsid w:val="00A637AB"/>
    <w:rPr>
      <w:rFonts w:ascii="Calibri" w:eastAsia="Calibri" w:hAnsi="Calibri" w:cs="Times New Roman"/>
      <w:lang w:eastAsia="zh-CN"/>
    </w:rPr>
  </w:style>
  <w:style w:type="character" w:customStyle="1" w:styleId="TekstpodstawowyZnak1">
    <w:name w:val="Tekst podstawowy Znak1"/>
    <w:basedOn w:val="Domylnaczcionkaakapitu"/>
    <w:rsid w:val="00A637AB"/>
    <w:rPr>
      <w:rFonts w:ascii="Times New Roman" w:eastAsia="Times New Roman" w:hAnsi="Times New Roman" w:cs="Times New Roman"/>
      <w:sz w:val="16"/>
      <w:szCs w:val="20"/>
      <w:lang w:eastAsia="zh-CN"/>
    </w:rPr>
  </w:style>
  <w:style w:type="character" w:customStyle="1" w:styleId="TekstdymkaZnak1">
    <w:name w:val="Tekst dymka Znak1"/>
    <w:basedOn w:val="Domylnaczcionkaakapitu"/>
    <w:rsid w:val="00A637AB"/>
    <w:rPr>
      <w:rFonts w:ascii="Tahoma" w:eastAsia="Calibri" w:hAnsi="Tahoma" w:cs="Tahoma"/>
      <w:sz w:val="16"/>
      <w:szCs w:val="16"/>
      <w:lang w:eastAsia="zh-CN"/>
    </w:rPr>
  </w:style>
  <w:style w:type="character" w:customStyle="1" w:styleId="TekstprzypisudolnegoZnak1">
    <w:name w:val="Tekst przypisu dolnego Znak1"/>
    <w:basedOn w:val="Domylnaczcionkaakapitu"/>
    <w:rsid w:val="00A637AB"/>
    <w:rPr>
      <w:rFonts w:ascii="Times New Roman" w:eastAsia="Times New Roman" w:hAnsi="Times New Roman" w:cs="Times New Roman"/>
      <w:sz w:val="20"/>
      <w:szCs w:val="20"/>
      <w:lang w:eastAsia="zh-CN"/>
    </w:rPr>
  </w:style>
  <w:style w:type="paragraph" w:customStyle="1" w:styleId="Standard">
    <w:name w:val="Standard"/>
    <w:qFormat/>
    <w:rsid w:val="00A637AB"/>
    <w:pPr>
      <w:suppressAutoHyphens/>
      <w:overflowPunct w:val="0"/>
      <w:autoSpaceDE w:val="0"/>
      <w:spacing w:after="0" w:line="240" w:lineRule="auto"/>
      <w:textAlignment w:val="baseline"/>
    </w:pPr>
    <w:rPr>
      <w:rFonts w:ascii="Times New Roman" w:eastAsia="Times New Roman" w:hAnsi="Times New Roman" w:cs="Times New Roman"/>
      <w:kern w:val="2"/>
      <w:sz w:val="24"/>
      <w:szCs w:val="20"/>
      <w:lang w:eastAsia="zh-CN"/>
    </w:rPr>
  </w:style>
  <w:style w:type="paragraph" w:customStyle="1" w:styleId="Textbody">
    <w:name w:val="Text body"/>
    <w:basedOn w:val="Standard"/>
    <w:qFormat/>
    <w:rsid w:val="00A637AB"/>
    <w:pPr>
      <w:jc w:val="center"/>
    </w:pPr>
    <w:rPr>
      <w:sz w:val="16"/>
    </w:rPr>
  </w:style>
  <w:style w:type="paragraph" w:customStyle="1" w:styleId="Index">
    <w:name w:val="Index"/>
    <w:basedOn w:val="Standard"/>
    <w:qFormat/>
    <w:rsid w:val="00A637AB"/>
    <w:pPr>
      <w:suppressLineNumbers/>
    </w:pPr>
    <w:rPr>
      <w:rFonts w:cs="Mangal"/>
    </w:rPr>
  </w:style>
  <w:style w:type="paragraph" w:customStyle="1" w:styleId="Contents1">
    <w:name w:val="Contents 1"/>
    <w:basedOn w:val="Standard"/>
    <w:next w:val="Standard"/>
    <w:qFormat/>
    <w:rsid w:val="00A637AB"/>
    <w:pPr>
      <w:tabs>
        <w:tab w:val="right" w:leader="dot" w:pos="7938"/>
      </w:tabs>
      <w:spacing w:before="120" w:after="120"/>
    </w:pPr>
    <w:rPr>
      <w:b/>
      <w:caps/>
      <w:sz w:val="20"/>
    </w:rPr>
  </w:style>
  <w:style w:type="paragraph" w:customStyle="1" w:styleId="Footnote">
    <w:name w:val="Footnote"/>
    <w:basedOn w:val="Standard"/>
    <w:qFormat/>
    <w:rsid w:val="00A637AB"/>
    <w:pPr>
      <w:jc w:val="both"/>
    </w:pPr>
    <w:rPr>
      <w:sz w:val="20"/>
    </w:rPr>
  </w:style>
  <w:style w:type="character" w:customStyle="1" w:styleId="Tekstpodstawowy2Znak1">
    <w:name w:val="Tekst podstawowy 2 Znak1"/>
    <w:basedOn w:val="Domylnaczcionkaakapitu"/>
    <w:rsid w:val="00A637AB"/>
    <w:rPr>
      <w:rFonts w:ascii="Times New Roman" w:eastAsia="Times New Roman" w:hAnsi="Times New Roman" w:cs="Times New Roman"/>
      <w:sz w:val="20"/>
      <w:szCs w:val="20"/>
      <w:lang w:eastAsia="zh-CN"/>
    </w:rPr>
  </w:style>
  <w:style w:type="character" w:customStyle="1" w:styleId="Tekstpodstawowywcity2Znak1">
    <w:name w:val="Tekst podstawowy wcięty 2 Znak1"/>
    <w:basedOn w:val="Domylnaczcionkaakapitu"/>
    <w:rsid w:val="00A637AB"/>
    <w:rPr>
      <w:rFonts w:ascii="Times New Roman" w:eastAsia="Times New Roman" w:hAnsi="Times New Roman" w:cs="Times New Roman"/>
      <w:sz w:val="20"/>
      <w:szCs w:val="20"/>
      <w:lang w:eastAsia="zh-CN"/>
    </w:rPr>
  </w:style>
  <w:style w:type="character" w:customStyle="1" w:styleId="Tekstpodstawowywcity3Znak1">
    <w:name w:val="Tekst podstawowy wcięty 3 Znak1"/>
    <w:basedOn w:val="Domylnaczcionkaakapitu"/>
    <w:rsid w:val="00A637AB"/>
    <w:rPr>
      <w:rFonts w:ascii="Times New Roman" w:eastAsia="Times New Roman" w:hAnsi="Times New Roman" w:cs="Times New Roman"/>
      <w:sz w:val="20"/>
      <w:szCs w:val="20"/>
      <w:lang w:eastAsia="zh-CN"/>
    </w:rPr>
  </w:style>
  <w:style w:type="paragraph" w:customStyle="1" w:styleId="Contents2">
    <w:name w:val="Contents 2"/>
    <w:basedOn w:val="Standard"/>
    <w:next w:val="Standard"/>
    <w:qFormat/>
    <w:rsid w:val="00A637AB"/>
    <w:pPr>
      <w:tabs>
        <w:tab w:val="right" w:leader="dot" w:pos="8138"/>
      </w:tabs>
      <w:ind w:left="200"/>
    </w:pPr>
    <w:rPr>
      <w:sz w:val="20"/>
    </w:rPr>
  </w:style>
  <w:style w:type="paragraph" w:customStyle="1" w:styleId="Contents3">
    <w:name w:val="Contents 3"/>
    <w:basedOn w:val="Standard"/>
    <w:next w:val="Standard"/>
    <w:qFormat/>
    <w:rsid w:val="00A637AB"/>
    <w:pPr>
      <w:tabs>
        <w:tab w:val="right" w:leader="dot" w:pos="8338"/>
      </w:tabs>
      <w:ind w:left="400"/>
    </w:pPr>
    <w:rPr>
      <w:sz w:val="20"/>
    </w:rPr>
  </w:style>
  <w:style w:type="paragraph" w:customStyle="1" w:styleId="Contents4">
    <w:name w:val="Contents 4"/>
    <w:basedOn w:val="Standard"/>
    <w:next w:val="Standard"/>
    <w:qFormat/>
    <w:rsid w:val="00A637AB"/>
    <w:pPr>
      <w:tabs>
        <w:tab w:val="right" w:leader="dot" w:pos="8538"/>
      </w:tabs>
      <w:ind w:left="600"/>
    </w:pPr>
    <w:rPr>
      <w:sz w:val="18"/>
    </w:rPr>
  </w:style>
  <w:style w:type="paragraph" w:customStyle="1" w:styleId="Contents5">
    <w:name w:val="Contents 5"/>
    <w:basedOn w:val="Standard"/>
    <w:next w:val="Standard"/>
    <w:qFormat/>
    <w:rsid w:val="00A637AB"/>
    <w:pPr>
      <w:tabs>
        <w:tab w:val="right" w:leader="dot" w:pos="8738"/>
      </w:tabs>
      <w:ind w:left="800"/>
    </w:pPr>
    <w:rPr>
      <w:sz w:val="18"/>
    </w:rPr>
  </w:style>
  <w:style w:type="paragraph" w:customStyle="1" w:styleId="Contents6">
    <w:name w:val="Contents 6"/>
    <w:basedOn w:val="Standard"/>
    <w:next w:val="Standard"/>
    <w:qFormat/>
    <w:rsid w:val="00A637AB"/>
    <w:pPr>
      <w:tabs>
        <w:tab w:val="right" w:leader="dot" w:pos="8938"/>
      </w:tabs>
      <w:ind w:left="1000"/>
    </w:pPr>
    <w:rPr>
      <w:sz w:val="18"/>
    </w:rPr>
  </w:style>
  <w:style w:type="paragraph" w:customStyle="1" w:styleId="Contents7">
    <w:name w:val="Contents 7"/>
    <w:basedOn w:val="Standard"/>
    <w:next w:val="Standard"/>
    <w:qFormat/>
    <w:rsid w:val="00A637AB"/>
    <w:pPr>
      <w:tabs>
        <w:tab w:val="right" w:leader="dot" w:pos="9138"/>
      </w:tabs>
      <w:ind w:left="1200"/>
    </w:pPr>
    <w:rPr>
      <w:sz w:val="18"/>
    </w:rPr>
  </w:style>
  <w:style w:type="paragraph" w:customStyle="1" w:styleId="Contents8">
    <w:name w:val="Contents 8"/>
    <w:basedOn w:val="Standard"/>
    <w:next w:val="Standard"/>
    <w:qFormat/>
    <w:rsid w:val="00A637AB"/>
    <w:pPr>
      <w:tabs>
        <w:tab w:val="right" w:leader="dot" w:pos="9338"/>
      </w:tabs>
      <w:ind w:left="1400"/>
    </w:pPr>
    <w:rPr>
      <w:sz w:val="18"/>
    </w:rPr>
  </w:style>
  <w:style w:type="paragraph" w:customStyle="1" w:styleId="Contents9">
    <w:name w:val="Contents 9"/>
    <w:basedOn w:val="Standard"/>
    <w:next w:val="Standard"/>
    <w:qFormat/>
    <w:rsid w:val="00A637AB"/>
    <w:pPr>
      <w:tabs>
        <w:tab w:val="right" w:leader="dot" w:pos="9538"/>
      </w:tabs>
      <w:ind w:left="1600"/>
    </w:pPr>
    <w:rPr>
      <w:sz w:val="18"/>
    </w:rPr>
  </w:style>
  <w:style w:type="paragraph" w:customStyle="1" w:styleId="Contents10">
    <w:name w:val="Contents 10"/>
    <w:basedOn w:val="Index"/>
    <w:qFormat/>
    <w:rsid w:val="00A637AB"/>
    <w:pPr>
      <w:tabs>
        <w:tab w:val="right" w:leader="dot" w:pos="9638"/>
      </w:tabs>
      <w:ind w:left="2547"/>
    </w:pPr>
  </w:style>
  <w:style w:type="paragraph" w:customStyle="1" w:styleId="TableContents">
    <w:name w:val="Table Contents"/>
    <w:basedOn w:val="Standard"/>
    <w:qFormat/>
    <w:rsid w:val="00A637AB"/>
    <w:pPr>
      <w:suppressLineNumbers/>
    </w:pPr>
  </w:style>
  <w:style w:type="paragraph" w:customStyle="1" w:styleId="TableHeading">
    <w:name w:val="Table Heading"/>
    <w:basedOn w:val="TableContents"/>
    <w:qFormat/>
    <w:rsid w:val="00A637AB"/>
    <w:pPr>
      <w:jc w:val="center"/>
    </w:pPr>
    <w:rPr>
      <w:b/>
      <w:bCs/>
    </w:rPr>
  </w:style>
  <w:style w:type="paragraph" w:customStyle="1" w:styleId="ContentsHeading">
    <w:name w:val="Contents Heading"/>
    <w:basedOn w:val="Nagwek"/>
    <w:qFormat/>
    <w:rsid w:val="00A637AB"/>
    <w:pPr>
      <w:keepNext/>
      <w:suppressLineNumbers/>
      <w:tabs>
        <w:tab w:val="clear" w:pos="4536"/>
        <w:tab w:val="clear" w:pos="9072"/>
      </w:tabs>
      <w:suppressAutoHyphens/>
      <w:overflowPunct w:val="0"/>
      <w:autoSpaceDE w:val="0"/>
      <w:spacing w:before="240" w:after="120"/>
      <w:ind w:left="0" w:firstLine="0"/>
      <w:jc w:val="left"/>
      <w:textAlignment w:val="baseline"/>
    </w:pPr>
    <w:rPr>
      <w:rFonts w:ascii="Arial" w:eastAsia="Lucida Sans Unicode" w:hAnsi="Arial" w:cs="Mangal"/>
      <w:b/>
      <w:bCs/>
      <w:color w:val="auto"/>
      <w:kern w:val="2"/>
      <w:sz w:val="32"/>
      <w:szCs w:val="32"/>
      <w:lang w:eastAsia="zh-CN"/>
    </w:rPr>
  </w:style>
  <w:style w:type="numbering" w:customStyle="1" w:styleId="WW8Num1">
    <w:name w:val="WW8Num1"/>
    <w:qFormat/>
    <w:rsid w:val="00A637AB"/>
  </w:style>
  <w:style w:type="numbering" w:customStyle="1" w:styleId="WW8Num2">
    <w:name w:val="WW8Num2"/>
    <w:qFormat/>
    <w:rsid w:val="00A637AB"/>
  </w:style>
  <w:style w:type="numbering" w:customStyle="1" w:styleId="WW8Num3">
    <w:name w:val="WW8Num3"/>
    <w:qFormat/>
    <w:rsid w:val="00A637AB"/>
  </w:style>
  <w:style w:type="numbering" w:customStyle="1" w:styleId="WW8Num4">
    <w:name w:val="WW8Num4"/>
    <w:qFormat/>
    <w:rsid w:val="00A637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8245114">
      <w:bodyDiv w:val="1"/>
      <w:marLeft w:val="0"/>
      <w:marRight w:val="0"/>
      <w:marTop w:val="0"/>
      <w:marBottom w:val="0"/>
      <w:divBdr>
        <w:top w:val="none" w:sz="0" w:space="0" w:color="auto"/>
        <w:left w:val="none" w:sz="0" w:space="0" w:color="auto"/>
        <w:bottom w:val="none" w:sz="0" w:space="0" w:color="auto"/>
        <w:right w:val="none" w:sz="0" w:space="0" w:color="auto"/>
      </w:divBdr>
    </w:div>
    <w:div w:id="1122263872">
      <w:bodyDiv w:val="1"/>
      <w:marLeft w:val="0"/>
      <w:marRight w:val="0"/>
      <w:marTop w:val="0"/>
      <w:marBottom w:val="0"/>
      <w:divBdr>
        <w:top w:val="none" w:sz="0" w:space="0" w:color="auto"/>
        <w:left w:val="none" w:sz="0" w:space="0" w:color="auto"/>
        <w:bottom w:val="none" w:sz="0" w:space="0" w:color="auto"/>
        <w:right w:val="none" w:sz="0" w:space="0" w:color="auto"/>
      </w:divBdr>
    </w:div>
    <w:div w:id="1883201141">
      <w:bodyDiv w:val="1"/>
      <w:marLeft w:val="0"/>
      <w:marRight w:val="0"/>
      <w:marTop w:val="0"/>
      <w:marBottom w:val="0"/>
      <w:divBdr>
        <w:top w:val="none" w:sz="0" w:space="0" w:color="auto"/>
        <w:left w:val="none" w:sz="0" w:space="0" w:color="auto"/>
        <w:bottom w:val="none" w:sz="0" w:space="0" w:color="auto"/>
        <w:right w:val="none" w:sz="0" w:space="0" w:color="auto"/>
      </w:divBdr>
    </w:div>
    <w:div w:id="1979526482">
      <w:bodyDiv w:val="1"/>
      <w:marLeft w:val="0"/>
      <w:marRight w:val="0"/>
      <w:marTop w:val="0"/>
      <w:marBottom w:val="0"/>
      <w:divBdr>
        <w:top w:val="none" w:sz="0" w:space="0" w:color="auto"/>
        <w:left w:val="none" w:sz="0" w:space="0" w:color="auto"/>
        <w:bottom w:val="none" w:sz="0" w:space="0" w:color="auto"/>
        <w:right w:val="none" w:sz="0" w:space="0" w:color="auto"/>
      </w:divBdr>
      <w:divsChild>
        <w:div w:id="5371631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hyperlink" Target="http://www.mapadotacji.gov.pl" TargetMode="Externa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9.jpg"/><Relationship Id="rId107" Type="http://schemas.openxmlformats.org/officeDocument/2006/relationships/theme" Target="theme/theme1.xml"/><Relationship Id="rId11" Type="http://schemas.openxmlformats.org/officeDocument/2006/relationships/image" Target="media/image4.jp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14.png"/><Relationship Id="rId27" Type="http://schemas.openxmlformats.org/officeDocument/2006/relationships/image" Target="media/image19.jpg"/><Relationship Id="rId43" Type="http://schemas.openxmlformats.org/officeDocument/2006/relationships/image" Target="media/image33.pn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5.jpeg"/><Relationship Id="rId17" Type="http://schemas.openxmlformats.org/officeDocument/2006/relationships/image" Target="media/image10.jpg"/><Relationship Id="rId33" Type="http://schemas.openxmlformats.org/officeDocument/2006/relationships/image" Target="media/image25.jpeg"/><Relationship Id="rId38" Type="http://schemas.openxmlformats.org/officeDocument/2006/relationships/image" Target="media/image30.wmf"/><Relationship Id="rId59" Type="http://schemas.openxmlformats.org/officeDocument/2006/relationships/image" Target="media/image46.png"/><Relationship Id="rId103" Type="http://schemas.openxmlformats.org/officeDocument/2006/relationships/image" Target="media/image90.png"/><Relationship Id="rId20" Type="http://schemas.openxmlformats.org/officeDocument/2006/relationships/hyperlink" Target="http://pl.wikipedia.org/wiki/Zgrzewanie" TargetMode="External"/><Relationship Id="rId41" Type="http://schemas.openxmlformats.org/officeDocument/2006/relationships/oleObject" Target="embeddings/oleObject2.bin"/><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8.jpeg"/><Relationship Id="rId49" Type="http://schemas.openxmlformats.org/officeDocument/2006/relationships/hyperlink" Target="http://rpo.opolskie.pl" TargetMode="External"/><Relationship Id="rId57" Type="http://schemas.openxmlformats.org/officeDocument/2006/relationships/image" Target="media/image44.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3.jpg"/><Relationship Id="rId44" Type="http://schemas.openxmlformats.org/officeDocument/2006/relationships/image" Target="media/image34.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image" Target="media/image11.jpg"/><Relationship Id="rId39" Type="http://schemas.openxmlformats.org/officeDocument/2006/relationships/oleObject" Target="embeddings/oleObject1.bin"/><Relationship Id="rId34" Type="http://schemas.openxmlformats.org/officeDocument/2006/relationships/image" Target="media/image26.jp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21.jpg"/><Relationship Id="rId24" Type="http://schemas.openxmlformats.org/officeDocument/2006/relationships/image" Target="media/image16.png"/><Relationship Id="rId40" Type="http://schemas.openxmlformats.org/officeDocument/2006/relationships/image" Target="media/image31.wmf"/><Relationship Id="rId45" Type="http://schemas.openxmlformats.org/officeDocument/2006/relationships/image" Target="media/image35.wmf"/><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12.jpeg"/><Relationship Id="rId14" Type="http://schemas.openxmlformats.org/officeDocument/2006/relationships/image" Target="media/image7.jpg"/><Relationship Id="rId30" Type="http://schemas.openxmlformats.org/officeDocument/2006/relationships/image" Target="media/image22.jpg"/><Relationship Id="rId35" Type="http://schemas.openxmlformats.org/officeDocument/2006/relationships/image" Target="media/image27.jp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footer" Target="footer1.xml"/><Relationship Id="rId8" Type="http://schemas.openxmlformats.org/officeDocument/2006/relationships/image" Target="media/image1.jp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hyperlink" Target="https://www.funduszeeuropejskie.gov.p" TargetMode="External"/><Relationship Id="rId67" Type="http://schemas.openxmlformats.org/officeDocument/2006/relationships/image" Target="media/image5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FDE01D-B69D-410A-A266-87FF29E5D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743</Pages>
  <Words>204432</Words>
  <Characters>1226592</Characters>
  <Application>Microsoft Office Word</Application>
  <DocSecurity>4</DocSecurity>
  <Lines>10221</Lines>
  <Paragraphs>2856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1428168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 Microsoft</dc:creator>
  <cp:keywords/>
  <dc:description/>
  <cp:lastModifiedBy>Adrian Miś</cp:lastModifiedBy>
  <cp:revision>2</cp:revision>
  <cp:lastPrinted>2023-01-17T11:13:00Z</cp:lastPrinted>
  <dcterms:created xsi:type="dcterms:W3CDTF">2025-02-28T10:38:00Z</dcterms:created>
  <dcterms:modified xsi:type="dcterms:W3CDTF">2025-02-28T10:38:00Z</dcterms:modified>
</cp:coreProperties>
</file>